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F37CE6">
      <w:pPr>
        <w:pStyle w:val="RISheading"/>
        <w:jc w:val="both"/>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sz w:val="32"/>
          <w:szCs w:val="32"/>
        </w:rPr>
        <w:t>Regulatory Impact Statement</w:t>
      </w:r>
      <w:bookmarkEnd w:id="1"/>
      <w:bookmarkEnd w:id="2"/>
      <w:bookmarkEnd w:id="3"/>
      <w:bookmarkEnd w:id="4"/>
      <w:bookmarkEnd w:id="5"/>
    </w:p>
    <w:p w:rsidR="000545DC" w:rsidRPr="004342F0" w:rsidRDefault="00096550" w:rsidP="00F37CE6">
      <w:pPr>
        <w:pStyle w:val="RISheading"/>
        <w:jc w:val="both"/>
        <w:rPr>
          <w:spacing w:val="0"/>
          <w:w w:val="100"/>
        </w:rPr>
      </w:pPr>
      <w:r>
        <w:rPr>
          <w:spacing w:val="0"/>
          <w:w w:val="100"/>
        </w:rPr>
        <w:t>Taxation of Employee Share Schemes</w:t>
      </w:r>
    </w:p>
    <w:p w:rsidR="000545DC" w:rsidRPr="004342F0" w:rsidRDefault="001C6912" w:rsidP="00F37CE6">
      <w:pPr>
        <w:pStyle w:val="RISheading"/>
        <w:jc w:val="both"/>
        <w:rPr>
          <w:spacing w:val="0"/>
          <w:w w:val="100"/>
        </w:rPr>
      </w:pPr>
      <w:r w:rsidRPr="004342F0">
        <w:rPr>
          <w:spacing w:val="0"/>
          <w:w w:val="100"/>
        </w:rPr>
        <w:t xml:space="preserve">Agency </w:t>
      </w:r>
      <w:r w:rsidR="000545DC" w:rsidRPr="004342F0">
        <w:rPr>
          <w:spacing w:val="0"/>
          <w:w w:val="100"/>
        </w:rPr>
        <w:t xml:space="preserve">Disclosure Statement </w:t>
      </w:r>
    </w:p>
    <w:p w:rsidR="000545DC" w:rsidRPr="004342F0" w:rsidRDefault="000545DC" w:rsidP="00FE3F1F">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rsidR="004342F0" w:rsidRPr="004342F0" w:rsidRDefault="004342F0">
      <w:pPr>
        <w:pStyle w:val="ListParagraph"/>
        <w:ind w:left="0" w:right="170"/>
        <w:contextualSpacing w:val="0"/>
        <w:rPr>
          <w:rFonts w:ascii="Times New Roman" w:hAnsi="Times New Roman"/>
          <w:sz w:val="24"/>
          <w:szCs w:val="24"/>
        </w:rPr>
      </w:pPr>
    </w:p>
    <w:p w:rsidR="00096550" w:rsidRDefault="000545DC">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It provides an analysis of options to </w:t>
      </w:r>
      <w:r w:rsidR="00096550">
        <w:rPr>
          <w:rFonts w:ascii="Times New Roman" w:hAnsi="Times New Roman"/>
          <w:sz w:val="24"/>
          <w:szCs w:val="24"/>
        </w:rPr>
        <w:t>improve the framework for taxing employee share schemes (ESS)</w:t>
      </w:r>
      <w:r w:rsidR="009A23EE">
        <w:rPr>
          <w:rFonts w:ascii="Times New Roman" w:hAnsi="Times New Roman"/>
          <w:sz w:val="24"/>
          <w:szCs w:val="24"/>
        </w:rPr>
        <w:t>.</w:t>
      </w:r>
      <w:r w:rsidR="001F5A11" w:rsidRPr="001F5A11">
        <w:rPr>
          <w:rFonts w:ascii="Times New Roman" w:hAnsi="Times New Roman"/>
          <w:sz w:val="24"/>
          <w:szCs w:val="24"/>
        </w:rPr>
        <w:t xml:space="preserve"> </w:t>
      </w:r>
      <w:r w:rsidR="001F5A11" w:rsidRPr="00346BA7">
        <w:rPr>
          <w:rFonts w:ascii="Times New Roman" w:hAnsi="Times New Roman"/>
          <w:sz w:val="24"/>
          <w:szCs w:val="24"/>
        </w:rPr>
        <w:t xml:space="preserve">In some circumstances, the current </w:t>
      </w:r>
      <w:r w:rsidR="001F5A11">
        <w:rPr>
          <w:rFonts w:ascii="Times New Roman" w:hAnsi="Times New Roman"/>
          <w:sz w:val="24"/>
          <w:szCs w:val="24"/>
        </w:rPr>
        <w:t xml:space="preserve">tax </w:t>
      </w:r>
      <w:r w:rsidR="001F5A11" w:rsidRPr="00346BA7">
        <w:rPr>
          <w:rFonts w:ascii="Times New Roman" w:hAnsi="Times New Roman"/>
          <w:sz w:val="24"/>
          <w:szCs w:val="24"/>
        </w:rPr>
        <w:t>rules can result in over-taxation; in others they result in under-taxation.</w:t>
      </w:r>
      <w:r w:rsidR="001F5A11">
        <w:rPr>
          <w:rFonts w:ascii="Times New Roman" w:hAnsi="Times New Roman"/>
          <w:sz w:val="24"/>
          <w:szCs w:val="24"/>
        </w:rPr>
        <w:t xml:space="preserve">  The options considered in this Regulatory Impact Statement seek to address these issues.  </w:t>
      </w:r>
    </w:p>
    <w:p w:rsidR="00A808A4" w:rsidRDefault="00A808A4">
      <w:pPr>
        <w:pStyle w:val="ListParagraph"/>
        <w:ind w:left="0" w:right="170"/>
        <w:contextualSpacing w:val="0"/>
        <w:rPr>
          <w:rFonts w:ascii="Times New Roman" w:hAnsi="Times New Roman"/>
          <w:sz w:val="24"/>
          <w:szCs w:val="24"/>
        </w:rPr>
      </w:pPr>
    </w:p>
    <w:p w:rsidR="001F5A11" w:rsidRDefault="00096550">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To analyse the options for taxing ESS, tax policy officials gathered case-based evidence of the range of commercial practices that currently exist.  We researched the historic basis of the existing law. We then identif</w:t>
      </w:r>
      <w:r w:rsidR="00CE6FB6">
        <w:rPr>
          <w:rFonts w:ascii="Times New Roman" w:hAnsi="Times New Roman"/>
          <w:sz w:val="24"/>
          <w:szCs w:val="24"/>
          <w:lang w:val="en-NZ"/>
        </w:rPr>
        <w:t>ied areas where the current law i</w:t>
      </w:r>
      <w:r>
        <w:rPr>
          <w:rFonts w:ascii="Times New Roman" w:hAnsi="Times New Roman"/>
          <w:sz w:val="24"/>
          <w:szCs w:val="24"/>
          <w:lang w:val="en-NZ"/>
        </w:rPr>
        <w:t>s deficient in light of our broad</w:t>
      </w:r>
      <w:r w:rsidR="00C93B46">
        <w:rPr>
          <w:rFonts w:ascii="Times New Roman" w:hAnsi="Times New Roman"/>
          <w:sz w:val="24"/>
          <w:szCs w:val="24"/>
          <w:lang w:val="en-NZ"/>
        </w:rPr>
        <w:t>-</w:t>
      </w:r>
      <w:r>
        <w:rPr>
          <w:rFonts w:ascii="Times New Roman" w:hAnsi="Times New Roman"/>
          <w:sz w:val="24"/>
          <w:szCs w:val="24"/>
          <w:lang w:val="en-NZ"/>
        </w:rPr>
        <w:t>base, low</w:t>
      </w:r>
      <w:r w:rsidR="00C93B46">
        <w:rPr>
          <w:rFonts w:ascii="Times New Roman" w:hAnsi="Times New Roman"/>
          <w:sz w:val="24"/>
          <w:szCs w:val="24"/>
          <w:lang w:val="en-NZ"/>
        </w:rPr>
        <w:t>-</w:t>
      </w:r>
      <w:r>
        <w:rPr>
          <w:rFonts w:ascii="Times New Roman" w:hAnsi="Times New Roman"/>
          <w:sz w:val="24"/>
          <w:szCs w:val="24"/>
          <w:lang w:val="en-NZ"/>
        </w:rPr>
        <w:t xml:space="preserve">rate taxation framework.  Having identified areas where the law </w:t>
      </w:r>
      <w:r w:rsidR="006F5F9F">
        <w:rPr>
          <w:rFonts w:ascii="Times New Roman" w:hAnsi="Times New Roman"/>
          <w:sz w:val="24"/>
          <w:szCs w:val="24"/>
          <w:lang w:val="en-NZ"/>
        </w:rPr>
        <w:t>i</w:t>
      </w:r>
      <w:r>
        <w:rPr>
          <w:rFonts w:ascii="Times New Roman" w:hAnsi="Times New Roman"/>
          <w:sz w:val="24"/>
          <w:szCs w:val="24"/>
          <w:lang w:val="en-NZ"/>
        </w:rPr>
        <w:t xml:space="preserve">s deficient and unclear, we undertook an analysis of the optimal taxation framework for taxing ESS and tested possible solutions against that framework.  </w:t>
      </w:r>
    </w:p>
    <w:p w:rsidR="001F5A11" w:rsidRDefault="001F5A11">
      <w:pPr>
        <w:pStyle w:val="Text"/>
        <w:spacing w:before="0" w:after="0" w:line="240" w:lineRule="auto"/>
        <w:ind w:right="170"/>
        <w:rPr>
          <w:rFonts w:ascii="Times New Roman" w:hAnsi="Times New Roman"/>
          <w:sz w:val="24"/>
          <w:szCs w:val="24"/>
          <w:lang w:val="en-NZ"/>
        </w:rPr>
      </w:pPr>
    </w:p>
    <w:p w:rsidR="00525ED6" w:rsidRDefault="00096550">
      <w:pPr>
        <w:pStyle w:val="Text"/>
        <w:spacing w:before="0" w:after="0" w:line="240" w:lineRule="auto"/>
        <w:ind w:right="170"/>
        <w:rPr>
          <w:rFonts w:ascii="Times New Roman" w:hAnsi="Times New Roman"/>
          <w:sz w:val="24"/>
          <w:szCs w:val="24"/>
        </w:rPr>
      </w:pPr>
      <w:r>
        <w:rPr>
          <w:rFonts w:ascii="Times New Roman" w:hAnsi="Times New Roman"/>
          <w:sz w:val="24"/>
          <w:szCs w:val="24"/>
          <w:lang w:val="en-NZ"/>
        </w:rPr>
        <w:t xml:space="preserve">In considering various options, we considered quantitative data where it was available. Unfortunately, </w:t>
      </w:r>
      <w:r w:rsidR="00525ED6" w:rsidRPr="001E1967">
        <w:rPr>
          <w:rFonts w:ascii="Times New Roman" w:hAnsi="Times New Roman"/>
          <w:sz w:val="24"/>
          <w:szCs w:val="24"/>
        </w:rPr>
        <w:t xml:space="preserve">there are no comprehensive statistics on how widespread employee share schemes are and what form they take. </w:t>
      </w:r>
      <w:r w:rsidR="00525ED6">
        <w:rPr>
          <w:rFonts w:ascii="Times New Roman" w:hAnsi="Times New Roman"/>
          <w:sz w:val="24"/>
          <w:szCs w:val="24"/>
        </w:rPr>
        <w:t>There is also no comprehensive data on the tax treatment of these schemes.  So while we know ESS are an important form of remuneration, we cannot be sure of the number of employees participating in different types of schemes or how much remuneration is provided through ESS. Accordingly, officials are also unable to provide quantitative estimates of the costs and benefit of maintaining the status quo.</w:t>
      </w:r>
    </w:p>
    <w:p w:rsidR="00525ED6" w:rsidRDefault="00525ED6">
      <w:pPr>
        <w:pStyle w:val="Text"/>
        <w:spacing w:before="0" w:after="0" w:line="240" w:lineRule="auto"/>
        <w:ind w:right="170"/>
        <w:rPr>
          <w:rFonts w:ascii="Times New Roman" w:hAnsi="Times New Roman"/>
          <w:sz w:val="24"/>
          <w:szCs w:val="24"/>
        </w:rPr>
      </w:pPr>
    </w:p>
    <w:p w:rsidR="00096550" w:rsidRDefault="00525ED6">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To address this limitation, </w:t>
      </w:r>
      <w:r w:rsidR="00096550">
        <w:rPr>
          <w:rFonts w:ascii="Times New Roman" w:hAnsi="Times New Roman"/>
          <w:sz w:val="24"/>
          <w:szCs w:val="24"/>
          <w:lang w:val="en-NZ"/>
        </w:rPr>
        <w:t>in some cases we had to look to Australia for data.</w:t>
      </w:r>
      <w:r w:rsidR="001F5A11">
        <w:rPr>
          <w:rFonts w:ascii="Times New Roman" w:hAnsi="Times New Roman"/>
          <w:sz w:val="24"/>
          <w:szCs w:val="24"/>
          <w:lang w:val="en-NZ"/>
        </w:rPr>
        <w:t xml:space="preserve">  We made some adjustments to the Australian data to attempt to more accurately reflect the New Zealand environment.  </w:t>
      </w:r>
    </w:p>
    <w:p w:rsidR="00096550" w:rsidRDefault="00096550">
      <w:pPr>
        <w:pStyle w:val="Text"/>
        <w:spacing w:before="0" w:after="0" w:line="240" w:lineRule="auto"/>
        <w:ind w:right="170"/>
        <w:rPr>
          <w:rFonts w:ascii="Times New Roman" w:hAnsi="Times New Roman"/>
          <w:sz w:val="24"/>
          <w:szCs w:val="24"/>
          <w:lang w:val="en-NZ"/>
        </w:rPr>
      </w:pPr>
    </w:p>
    <w:p w:rsidR="00085660" w:rsidRDefault="00085660">
      <w:pPr>
        <w:pStyle w:val="Text"/>
        <w:spacing w:before="0" w:after="0" w:line="240" w:lineRule="auto"/>
        <w:ind w:right="170"/>
        <w:rPr>
          <w:rFonts w:ascii="Times New Roman" w:hAnsi="Times New Roman"/>
          <w:sz w:val="24"/>
          <w:szCs w:val="24"/>
          <w:lang w:val="en-NZ"/>
        </w:rPr>
      </w:pPr>
    </w:p>
    <w:p w:rsidR="00385EC1" w:rsidRPr="004342F0" w:rsidRDefault="00385EC1">
      <w:pPr>
        <w:pStyle w:val="Text"/>
        <w:spacing w:before="0" w:after="0" w:line="240" w:lineRule="auto"/>
        <w:ind w:right="170"/>
        <w:rPr>
          <w:rFonts w:ascii="Times New Roman" w:hAnsi="Times New Roman"/>
          <w:sz w:val="24"/>
          <w:szCs w:val="24"/>
          <w:lang w:val="en-NZ"/>
        </w:rPr>
      </w:pPr>
    </w:p>
    <w:p w:rsidR="00085660" w:rsidRPr="004342F0" w:rsidRDefault="00085660">
      <w:pPr>
        <w:pStyle w:val="Text"/>
        <w:spacing w:before="0" w:after="0" w:line="240" w:lineRule="auto"/>
        <w:ind w:right="170"/>
        <w:rPr>
          <w:rFonts w:ascii="Times New Roman" w:hAnsi="Times New Roman"/>
          <w:sz w:val="24"/>
          <w:szCs w:val="24"/>
          <w:lang w:val="en-NZ"/>
        </w:rPr>
      </w:pPr>
    </w:p>
    <w:p w:rsidR="00085660" w:rsidRPr="004342F0" w:rsidRDefault="000A3943">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Peter Fraw</w:t>
      </w:r>
      <w:r w:rsidR="00096550">
        <w:rPr>
          <w:rFonts w:ascii="Times New Roman" w:hAnsi="Times New Roman"/>
          <w:sz w:val="24"/>
          <w:szCs w:val="24"/>
          <w:lang w:val="en-NZ"/>
        </w:rPr>
        <w:t>ley</w:t>
      </w:r>
    </w:p>
    <w:p w:rsidR="009F7B9A" w:rsidRPr="004342F0" w:rsidRDefault="0009655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w:t>
      </w:r>
      <w:r w:rsidR="005A62E6">
        <w:rPr>
          <w:rFonts w:ascii="Times New Roman" w:hAnsi="Times New Roman"/>
          <w:sz w:val="24"/>
          <w:szCs w:val="24"/>
          <w:lang w:val="en-NZ"/>
        </w:rPr>
        <w:t>, Policy and Strategy</w:t>
      </w:r>
    </w:p>
    <w:p w:rsidR="001C6912" w:rsidRPr="004342F0" w:rsidRDefault="001C6912">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rsidR="000545DC" w:rsidRPr="004342F0" w:rsidRDefault="000545DC">
      <w:pPr>
        <w:pStyle w:val="Text"/>
        <w:tabs>
          <w:tab w:val="left" w:pos="567"/>
        </w:tabs>
        <w:spacing w:before="0" w:after="0" w:line="240" w:lineRule="auto"/>
        <w:ind w:right="170"/>
        <w:rPr>
          <w:rFonts w:ascii="Times New Roman" w:hAnsi="Times New Roman"/>
          <w:sz w:val="24"/>
          <w:szCs w:val="24"/>
          <w:lang w:val="en-NZ"/>
        </w:rPr>
      </w:pPr>
    </w:p>
    <w:p w:rsidR="000545DC" w:rsidRPr="004342F0" w:rsidRDefault="00926EF7">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28 November 2016</w:t>
      </w:r>
    </w:p>
    <w:p w:rsidR="000545DC" w:rsidRPr="004342F0" w:rsidRDefault="001C6912" w:rsidP="00F37CE6">
      <w:pPr>
        <w:pStyle w:val="RISheading"/>
        <w:jc w:val="both"/>
        <w:rPr>
          <w:spacing w:val="0"/>
          <w:w w:val="100"/>
        </w:rPr>
      </w:pPr>
      <w:bookmarkStart w:id="7" w:name="_Toc244580363"/>
      <w:bookmarkStart w:id="8" w:name="_Toc244587039"/>
      <w:bookmarkStart w:id="9" w:name="_Toc244857273"/>
      <w:bookmarkStart w:id="10" w:name="_Toc244912538"/>
      <w:bookmarkStart w:id="11" w:name="_Toc244916995"/>
      <w:r w:rsidRPr="004342F0">
        <w:rPr>
          <w:spacing w:val="0"/>
          <w:w w:val="100"/>
        </w:rPr>
        <w:br w:type="page"/>
      </w:r>
      <w:r w:rsidRPr="004342F0">
        <w:rPr>
          <w:spacing w:val="0"/>
          <w:w w:val="100"/>
        </w:rPr>
        <w:lastRenderedPageBreak/>
        <w:t>STATUS QUO AND PROBLEM DEFINITION</w:t>
      </w:r>
      <w:bookmarkEnd w:id="7"/>
      <w:bookmarkEnd w:id="8"/>
      <w:bookmarkEnd w:id="9"/>
      <w:bookmarkEnd w:id="10"/>
      <w:bookmarkEnd w:id="11"/>
    </w:p>
    <w:p w:rsidR="004D5AC5" w:rsidRPr="004D5AC5" w:rsidRDefault="00A808A4" w:rsidP="00FE3F1F">
      <w:pPr>
        <w:pStyle w:val="Bullet-list"/>
        <w:spacing w:after="0" w:line="240" w:lineRule="auto"/>
        <w:ind w:left="0" w:firstLine="0"/>
        <w:jc w:val="both"/>
        <w:rPr>
          <w:rFonts w:ascii="Times New Roman" w:hAnsi="Times New Roman"/>
          <w:b/>
          <w:sz w:val="24"/>
          <w:szCs w:val="24"/>
        </w:rPr>
      </w:pPr>
      <w:r>
        <w:rPr>
          <w:rFonts w:ascii="Times New Roman" w:hAnsi="Times New Roman"/>
          <w:b/>
          <w:sz w:val="24"/>
          <w:szCs w:val="24"/>
        </w:rPr>
        <w:t>Overview</w:t>
      </w:r>
    </w:p>
    <w:p w:rsidR="004D5AC5" w:rsidRDefault="004D5AC5">
      <w:pPr>
        <w:pStyle w:val="Bullet-list"/>
        <w:tabs>
          <w:tab w:val="num" w:pos="567"/>
        </w:tabs>
        <w:spacing w:after="0" w:line="240" w:lineRule="auto"/>
        <w:ind w:left="0" w:firstLine="0"/>
        <w:jc w:val="both"/>
        <w:rPr>
          <w:rFonts w:ascii="Times New Roman" w:hAnsi="Times New Roman"/>
          <w:sz w:val="24"/>
          <w:szCs w:val="24"/>
        </w:rPr>
      </w:pPr>
    </w:p>
    <w:p w:rsidR="00346BA7" w:rsidRDefault="00323ECB"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Employee share schemes (</w:t>
      </w:r>
      <w:r w:rsidR="004D5AC5">
        <w:rPr>
          <w:rFonts w:ascii="Times New Roman" w:hAnsi="Times New Roman"/>
          <w:sz w:val="24"/>
          <w:szCs w:val="24"/>
        </w:rPr>
        <w:t>ESS</w:t>
      </w:r>
      <w:r>
        <w:rPr>
          <w:rFonts w:ascii="Times New Roman" w:hAnsi="Times New Roman"/>
          <w:sz w:val="24"/>
          <w:szCs w:val="24"/>
        </w:rPr>
        <w:t>)</w:t>
      </w:r>
      <w:r w:rsidR="004D5AC5">
        <w:rPr>
          <w:rFonts w:ascii="Times New Roman" w:hAnsi="Times New Roman"/>
          <w:sz w:val="24"/>
          <w:szCs w:val="24"/>
        </w:rPr>
        <w:t xml:space="preserve"> </w:t>
      </w:r>
      <w:r w:rsidR="00346BA7" w:rsidRPr="00346BA7">
        <w:rPr>
          <w:rFonts w:ascii="Times New Roman" w:hAnsi="Times New Roman"/>
          <w:sz w:val="24"/>
          <w:szCs w:val="24"/>
        </w:rPr>
        <w:t xml:space="preserve">– arrangements providing shares and share options by companies to employees – are an important form of employee remuneration in New Zealand and internationally.  Although the </w:t>
      </w:r>
      <w:r w:rsidR="004D5AC5">
        <w:rPr>
          <w:rFonts w:ascii="Times New Roman" w:hAnsi="Times New Roman"/>
          <w:sz w:val="24"/>
          <w:szCs w:val="24"/>
        </w:rPr>
        <w:t xml:space="preserve">commercial </w:t>
      </w:r>
      <w:r w:rsidR="00346BA7" w:rsidRPr="00346BA7">
        <w:rPr>
          <w:rFonts w:ascii="Times New Roman" w:hAnsi="Times New Roman"/>
          <w:sz w:val="24"/>
          <w:szCs w:val="24"/>
        </w:rPr>
        <w:t xml:space="preserve">design and the accounting treatment of these plans have evolved considerably over recent decades, the tax rules applying to them in New Zealand have not been comprehensively reviewed during that period and are now out of date. </w:t>
      </w:r>
    </w:p>
    <w:p w:rsidR="00346BA7" w:rsidRPr="00346BA7" w:rsidRDefault="00346BA7">
      <w:pPr>
        <w:pStyle w:val="Bullet-list"/>
        <w:spacing w:after="0" w:line="240" w:lineRule="auto"/>
        <w:ind w:left="0" w:firstLine="0"/>
        <w:jc w:val="both"/>
        <w:rPr>
          <w:rFonts w:ascii="Times New Roman" w:hAnsi="Times New Roman"/>
          <w:sz w:val="24"/>
          <w:szCs w:val="24"/>
        </w:rPr>
      </w:pPr>
    </w:p>
    <w:p w:rsidR="00346BA7" w:rsidRDefault="004D5AC5"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ESS</w:t>
      </w:r>
      <w:r w:rsidR="00346BA7" w:rsidRPr="00346BA7">
        <w:rPr>
          <w:rFonts w:ascii="Times New Roman" w:hAnsi="Times New Roman"/>
          <w:sz w:val="24"/>
          <w:szCs w:val="24"/>
        </w:rPr>
        <w:t xml:space="preserve"> can have beneficial economic effects </w:t>
      </w:r>
      <w:r w:rsidR="00290721">
        <w:rPr>
          <w:rFonts w:ascii="Times New Roman" w:hAnsi="Times New Roman"/>
          <w:sz w:val="24"/>
          <w:szCs w:val="24"/>
        </w:rPr>
        <w:t xml:space="preserve">(in terms of aligning employee and shareholder interests, promoting financial literacy and allowing cash poor companies to attract top employees) </w:t>
      </w:r>
      <w:r w:rsidR="00346BA7" w:rsidRPr="00346BA7">
        <w:rPr>
          <w:rFonts w:ascii="Times New Roman" w:hAnsi="Times New Roman"/>
          <w:sz w:val="24"/>
          <w:szCs w:val="24"/>
        </w:rPr>
        <w:t>and it is important that the tax rules do not raise unintended barriers to their use.  In some circumstances, the current rules can result in over-taxation; in others they result in under-taxation.</w:t>
      </w:r>
      <w:r w:rsidR="00290721" w:rsidRPr="00290721">
        <w:rPr>
          <w:rFonts w:ascii="Times New Roman" w:hAnsi="Times New Roman"/>
          <w:sz w:val="24"/>
          <w:szCs w:val="24"/>
        </w:rPr>
        <w:t xml:space="preserve"> </w:t>
      </w:r>
      <w:r w:rsidR="00290721">
        <w:rPr>
          <w:rFonts w:ascii="Times New Roman" w:hAnsi="Times New Roman"/>
          <w:sz w:val="24"/>
          <w:szCs w:val="24"/>
        </w:rPr>
        <w:t xml:space="preserve">There </w:t>
      </w:r>
      <w:r w:rsidR="001F5A11">
        <w:rPr>
          <w:rFonts w:ascii="Times New Roman" w:hAnsi="Times New Roman"/>
          <w:sz w:val="24"/>
          <w:szCs w:val="24"/>
        </w:rPr>
        <w:t xml:space="preserve">is </w:t>
      </w:r>
      <w:r w:rsidR="00290721">
        <w:rPr>
          <w:rFonts w:ascii="Times New Roman" w:hAnsi="Times New Roman"/>
          <w:sz w:val="24"/>
          <w:szCs w:val="24"/>
        </w:rPr>
        <w:t>no comprehensive data to quantify the size of this problem.</w:t>
      </w:r>
    </w:p>
    <w:p w:rsidR="000E02AE" w:rsidRDefault="000E02AE">
      <w:pPr>
        <w:pStyle w:val="Bullet-list"/>
        <w:spacing w:after="0" w:line="240" w:lineRule="auto"/>
        <w:ind w:left="0" w:firstLine="0"/>
        <w:jc w:val="both"/>
        <w:rPr>
          <w:rFonts w:ascii="Times New Roman" w:hAnsi="Times New Roman"/>
          <w:b/>
          <w:sz w:val="24"/>
          <w:szCs w:val="24"/>
        </w:rPr>
      </w:pPr>
    </w:p>
    <w:p w:rsidR="000E02AE" w:rsidRPr="00F37CE6" w:rsidRDefault="000E02AE">
      <w:pPr>
        <w:pStyle w:val="Bullet-list"/>
        <w:tabs>
          <w:tab w:val="num" w:pos="567"/>
        </w:tabs>
        <w:spacing w:after="0" w:line="240" w:lineRule="auto"/>
        <w:ind w:left="0" w:firstLine="0"/>
        <w:jc w:val="both"/>
        <w:rPr>
          <w:rFonts w:ascii="Times New Roman" w:hAnsi="Times New Roman"/>
          <w:b/>
          <w:sz w:val="24"/>
          <w:szCs w:val="24"/>
        </w:rPr>
      </w:pPr>
      <w:r w:rsidRPr="00F37CE6">
        <w:rPr>
          <w:rFonts w:ascii="Times New Roman" w:hAnsi="Times New Roman"/>
          <w:b/>
          <w:sz w:val="24"/>
          <w:szCs w:val="24"/>
        </w:rPr>
        <w:t>Status quo</w:t>
      </w:r>
    </w:p>
    <w:p w:rsidR="00346BA7" w:rsidRDefault="00346BA7">
      <w:pPr>
        <w:pStyle w:val="ListParagraph"/>
        <w:rPr>
          <w:rFonts w:ascii="Times New Roman" w:hAnsi="Times New Roman"/>
          <w:sz w:val="24"/>
          <w:szCs w:val="24"/>
        </w:rPr>
      </w:pPr>
    </w:p>
    <w:p w:rsidR="000E02AE" w:rsidRDefault="004D5AC5"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taxation of ESS is governed by the Income Tax Act 2007 (ITA). </w:t>
      </w:r>
    </w:p>
    <w:p w:rsidR="00DA0011" w:rsidRDefault="00DA0011" w:rsidP="00F37CE6">
      <w:pPr>
        <w:pStyle w:val="Bullet-list"/>
        <w:spacing w:after="0" w:line="240" w:lineRule="auto"/>
        <w:jc w:val="both"/>
        <w:rPr>
          <w:rFonts w:ascii="Times New Roman" w:hAnsi="Times New Roman"/>
          <w:sz w:val="24"/>
          <w:szCs w:val="24"/>
        </w:rPr>
      </w:pPr>
    </w:p>
    <w:p w:rsidR="007865A5" w:rsidRPr="00F37CE6" w:rsidRDefault="007865A5" w:rsidP="00F37CE6">
      <w:pPr>
        <w:pStyle w:val="Bullet-list"/>
        <w:tabs>
          <w:tab w:val="num" w:pos="567"/>
        </w:tabs>
        <w:spacing w:after="0" w:line="240" w:lineRule="auto"/>
        <w:jc w:val="both"/>
        <w:rPr>
          <w:rFonts w:ascii="Times New Roman" w:hAnsi="Times New Roman"/>
          <w:b/>
          <w:i/>
          <w:sz w:val="24"/>
          <w:szCs w:val="24"/>
        </w:rPr>
      </w:pPr>
      <w:r w:rsidRPr="00F37CE6">
        <w:rPr>
          <w:rFonts w:ascii="Times New Roman" w:hAnsi="Times New Roman"/>
          <w:b/>
          <w:i/>
          <w:sz w:val="24"/>
          <w:szCs w:val="24"/>
        </w:rPr>
        <w:t>Framework for taxing employee share schemes</w:t>
      </w:r>
    </w:p>
    <w:p w:rsidR="007865A5" w:rsidRDefault="007865A5" w:rsidP="00F37CE6">
      <w:pPr>
        <w:pStyle w:val="Bullet-list"/>
        <w:tabs>
          <w:tab w:val="num" w:pos="567"/>
        </w:tabs>
        <w:spacing w:after="0" w:line="240" w:lineRule="auto"/>
        <w:ind w:left="0" w:firstLine="0"/>
        <w:jc w:val="both"/>
        <w:rPr>
          <w:rFonts w:ascii="Times New Roman" w:hAnsi="Times New Roman"/>
          <w:sz w:val="24"/>
          <w:szCs w:val="24"/>
        </w:rPr>
      </w:pPr>
    </w:p>
    <w:p w:rsidR="007C0AD7" w:rsidRDefault="007865A5"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bookmarkStart w:id="12" w:name="_Ref464129033"/>
      <w:r>
        <w:rPr>
          <w:rFonts w:ascii="Times New Roman" w:hAnsi="Times New Roman"/>
          <w:sz w:val="24"/>
          <w:szCs w:val="24"/>
        </w:rPr>
        <w:t xml:space="preserve">Broadly speaking, there are two </w:t>
      </w:r>
      <w:r w:rsidR="007C0AD7">
        <w:rPr>
          <w:rFonts w:ascii="Times New Roman" w:hAnsi="Times New Roman"/>
          <w:sz w:val="24"/>
          <w:szCs w:val="24"/>
        </w:rPr>
        <w:t xml:space="preserve">potential </w:t>
      </w:r>
      <w:r>
        <w:rPr>
          <w:rFonts w:ascii="Times New Roman" w:hAnsi="Times New Roman"/>
          <w:sz w:val="24"/>
          <w:szCs w:val="24"/>
        </w:rPr>
        <w:t>frameworks for taxing ESS</w:t>
      </w:r>
      <w:r w:rsidR="007C0AD7">
        <w:rPr>
          <w:rFonts w:ascii="Times New Roman" w:hAnsi="Times New Roman"/>
          <w:sz w:val="24"/>
          <w:szCs w:val="24"/>
        </w:rPr>
        <w:t>:</w:t>
      </w:r>
      <w:bookmarkEnd w:id="12"/>
    </w:p>
    <w:p w:rsidR="007C0AD7" w:rsidRDefault="007C0AD7" w:rsidP="00F37CE6">
      <w:pPr>
        <w:pStyle w:val="Bullet-list"/>
        <w:spacing w:after="0" w:line="240" w:lineRule="auto"/>
        <w:ind w:left="0" w:firstLine="0"/>
        <w:jc w:val="both"/>
        <w:rPr>
          <w:rFonts w:ascii="Times New Roman" w:hAnsi="Times New Roman"/>
          <w:sz w:val="24"/>
          <w:szCs w:val="24"/>
        </w:rPr>
      </w:pPr>
    </w:p>
    <w:p w:rsidR="00277EE4" w:rsidRDefault="007865A5" w:rsidP="00F37CE6">
      <w:pPr>
        <w:pStyle w:val="Bullet-list"/>
        <w:numPr>
          <w:ilvl w:val="0"/>
          <w:numId w:val="31"/>
        </w:numPr>
        <w:spacing w:after="0" w:line="240" w:lineRule="auto"/>
        <w:ind w:left="1134"/>
        <w:jc w:val="both"/>
        <w:rPr>
          <w:rFonts w:ascii="Times New Roman" w:hAnsi="Times New Roman"/>
          <w:sz w:val="24"/>
          <w:szCs w:val="24"/>
        </w:rPr>
      </w:pPr>
      <w:r>
        <w:rPr>
          <w:rFonts w:ascii="Times New Roman" w:hAnsi="Times New Roman"/>
          <w:sz w:val="24"/>
          <w:szCs w:val="24"/>
        </w:rPr>
        <w:t xml:space="preserve">a </w:t>
      </w:r>
      <w:r w:rsidRPr="007C0AD7">
        <w:rPr>
          <w:rFonts w:ascii="Times New Roman" w:hAnsi="Times New Roman"/>
          <w:b/>
          <w:sz w:val="24"/>
          <w:szCs w:val="24"/>
        </w:rPr>
        <w:t>neutral</w:t>
      </w:r>
      <w:r w:rsidR="00277EE4" w:rsidRPr="007C0AD7">
        <w:rPr>
          <w:rFonts w:ascii="Times New Roman" w:hAnsi="Times New Roman"/>
          <w:b/>
          <w:sz w:val="24"/>
          <w:szCs w:val="24"/>
        </w:rPr>
        <w:t xml:space="preserve"> tax framework</w:t>
      </w:r>
      <w:r w:rsidR="00277EE4">
        <w:rPr>
          <w:rFonts w:ascii="Times New Roman" w:hAnsi="Times New Roman"/>
          <w:sz w:val="24"/>
          <w:szCs w:val="24"/>
        </w:rPr>
        <w:t xml:space="preserve"> consistent with N</w:t>
      </w:r>
      <w:r>
        <w:rPr>
          <w:rFonts w:ascii="Times New Roman" w:hAnsi="Times New Roman"/>
          <w:sz w:val="24"/>
          <w:szCs w:val="24"/>
        </w:rPr>
        <w:t>ew Zealand’s BBLR tax policy setting</w:t>
      </w:r>
      <w:r w:rsidR="00026B35">
        <w:rPr>
          <w:rFonts w:ascii="Times New Roman" w:hAnsi="Times New Roman"/>
          <w:sz w:val="24"/>
          <w:szCs w:val="24"/>
        </w:rPr>
        <w:t>s</w:t>
      </w:r>
      <w:r>
        <w:rPr>
          <w:rFonts w:ascii="Times New Roman" w:hAnsi="Times New Roman"/>
          <w:sz w:val="24"/>
          <w:szCs w:val="24"/>
        </w:rPr>
        <w:t xml:space="preserve">.  Under a neutral tax framework, the </w:t>
      </w:r>
      <w:r w:rsidR="00277EE4" w:rsidRPr="00277EE4">
        <w:rPr>
          <w:rFonts w:ascii="Times New Roman" w:hAnsi="Times New Roman"/>
          <w:sz w:val="24"/>
          <w:szCs w:val="24"/>
        </w:rPr>
        <w:t>tax treatment of employment income paid in shares should be consistent with the taxation of employment income paid in cash.</w:t>
      </w:r>
      <w:r w:rsidR="00277EE4">
        <w:rPr>
          <w:rFonts w:ascii="Times New Roman" w:hAnsi="Times New Roman"/>
          <w:sz w:val="24"/>
          <w:szCs w:val="24"/>
        </w:rPr>
        <w:t xml:space="preserve">  That is, ESS </w:t>
      </w:r>
      <w:r w:rsidR="00277EE4" w:rsidRPr="00277EE4">
        <w:rPr>
          <w:rFonts w:ascii="Times New Roman" w:hAnsi="Times New Roman"/>
          <w:sz w:val="24"/>
          <w:szCs w:val="24"/>
        </w:rPr>
        <w:t>should not be at a tax advantage or disadvantage compared to a cash salary</w:t>
      </w:r>
      <w:r w:rsidR="007C0AD7">
        <w:rPr>
          <w:rFonts w:ascii="Times New Roman" w:hAnsi="Times New Roman"/>
          <w:sz w:val="24"/>
          <w:szCs w:val="24"/>
        </w:rPr>
        <w:t>;</w:t>
      </w:r>
      <w:r w:rsidR="00AC37D1">
        <w:rPr>
          <w:rFonts w:ascii="Times New Roman" w:hAnsi="Times New Roman"/>
          <w:sz w:val="24"/>
          <w:szCs w:val="24"/>
        </w:rPr>
        <w:t xml:space="preserve"> or</w:t>
      </w:r>
    </w:p>
    <w:p w:rsidR="007C0AD7" w:rsidRPr="007C0AD7" w:rsidRDefault="007C0AD7" w:rsidP="00F37CE6">
      <w:pPr>
        <w:pStyle w:val="Bullet-list"/>
        <w:numPr>
          <w:ilvl w:val="0"/>
          <w:numId w:val="31"/>
        </w:numPr>
        <w:spacing w:after="0" w:line="240" w:lineRule="auto"/>
        <w:ind w:left="1134"/>
        <w:jc w:val="both"/>
        <w:rPr>
          <w:rFonts w:ascii="Times New Roman" w:hAnsi="Times New Roman"/>
          <w:sz w:val="24"/>
          <w:szCs w:val="24"/>
        </w:rPr>
      </w:pPr>
      <w:r>
        <w:rPr>
          <w:rFonts w:ascii="Times New Roman" w:hAnsi="Times New Roman"/>
          <w:sz w:val="24"/>
          <w:szCs w:val="24"/>
        </w:rPr>
        <w:t xml:space="preserve">a </w:t>
      </w:r>
      <w:r w:rsidRPr="007C0AD7">
        <w:rPr>
          <w:rFonts w:ascii="Times New Roman" w:hAnsi="Times New Roman"/>
          <w:b/>
          <w:sz w:val="24"/>
          <w:szCs w:val="24"/>
        </w:rPr>
        <w:t>concessionary framework</w:t>
      </w:r>
      <w:r>
        <w:rPr>
          <w:rFonts w:ascii="Times New Roman" w:hAnsi="Times New Roman"/>
          <w:sz w:val="24"/>
          <w:szCs w:val="24"/>
        </w:rPr>
        <w:t xml:space="preserve"> where ESS are offered tax incentives. </w:t>
      </w:r>
      <w:r w:rsidRPr="007C0AD7">
        <w:rPr>
          <w:rFonts w:ascii="Times New Roman" w:hAnsi="Times New Roman"/>
          <w:sz w:val="24"/>
          <w:szCs w:val="24"/>
        </w:rPr>
        <w:t>ESS</w:t>
      </w:r>
      <w:r>
        <w:rPr>
          <w:rFonts w:ascii="Times New Roman" w:hAnsi="Times New Roman"/>
          <w:sz w:val="24"/>
          <w:szCs w:val="24"/>
        </w:rPr>
        <w:t xml:space="preserve"> </w:t>
      </w:r>
      <w:r w:rsidRPr="007C0AD7">
        <w:rPr>
          <w:rFonts w:ascii="Times New Roman" w:hAnsi="Times New Roman"/>
          <w:sz w:val="24"/>
          <w:szCs w:val="24"/>
        </w:rPr>
        <w:t>are offered to help align incentives of employees with those of the firm and to improve general employee engagement.  Given these positive effects, it is sometimes suggested that these schemes should benefit from tax incentives.</w:t>
      </w:r>
    </w:p>
    <w:p w:rsidR="007865A5" w:rsidRDefault="007865A5" w:rsidP="00F37CE6">
      <w:pPr>
        <w:pStyle w:val="Bullet-list"/>
        <w:spacing w:after="0" w:line="240" w:lineRule="auto"/>
        <w:ind w:left="0" w:firstLine="0"/>
        <w:jc w:val="both"/>
        <w:rPr>
          <w:rFonts w:ascii="Times New Roman" w:hAnsi="Times New Roman"/>
          <w:sz w:val="24"/>
          <w:szCs w:val="24"/>
        </w:rPr>
      </w:pPr>
    </w:p>
    <w:p w:rsidR="007865A5" w:rsidRPr="000E02AE" w:rsidRDefault="007865A5"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bookmarkStart w:id="13" w:name="_Ref464129026"/>
      <w:r>
        <w:rPr>
          <w:rFonts w:ascii="Times New Roman" w:hAnsi="Times New Roman"/>
          <w:sz w:val="24"/>
          <w:szCs w:val="24"/>
        </w:rPr>
        <w:t>The current framework for taxing emplo</w:t>
      </w:r>
      <w:r w:rsidR="007C0AD7">
        <w:rPr>
          <w:rFonts w:ascii="Times New Roman" w:hAnsi="Times New Roman"/>
          <w:sz w:val="24"/>
          <w:szCs w:val="24"/>
        </w:rPr>
        <w:t xml:space="preserve">yee share schemes is mixed, and in some cases, unclear.  Generally speaking, most ESS are intended to be taxed under a neutral tax framework.  However, there are inadvertent tax benefits associated with some schemes that make them more attractive than </w:t>
      </w:r>
      <w:r w:rsidR="006F5F9F">
        <w:rPr>
          <w:rFonts w:ascii="Times New Roman" w:hAnsi="Times New Roman"/>
          <w:sz w:val="24"/>
          <w:szCs w:val="24"/>
        </w:rPr>
        <w:t xml:space="preserve">other types of schemes, or </w:t>
      </w:r>
      <w:r w:rsidR="007C0AD7">
        <w:rPr>
          <w:rFonts w:ascii="Times New Roman" w:hAnsi="Times New Roman"/>
          <w:sz w:val="24"/>
          <w:szCs w:val="24"/>
        </w:rPr>
        <w:t xml:space="preserve">equivalent cash salary (notably the </w:t>
      </w:r>
      <w:r w:rsidR="00A808A4">
        <w:rPr>
          <w:rFonts w:ascii="Times New Roman" w:hAnsi="Times New Roman"/>
          <w:sz w:val="24"/>
          <w:szCs w:val="24"/>
        </w:rPr>
        <w:t>re</w:t>
      </w:r>
      <w:r w:rsidR="007C0AD7">
        <w:rPr>
          <w:rFonts w:ascii="Times New Roman" w:hAnsi="Times New Roman"/>
          <w:sz w:val="24"/>
          <w:szCs w:val="24"/>
        </w:rPr>
        <w:t>characterisation of labour income as tax-free capital income).  In addition, the current law contains a deliberate, narrow tax exemption and deemed notional interest deduction for widely-offered schemes.</w:t>
      </w:r>
      <w:bookmarkEnd w:id="13"/>
    </w:p>
    <w:p w:rsidR="007865A5" w:rsidRDefault="007865A5" w:rsidP="00F37CE6">
      <w:pPr>
        <w:pStyle w:val="Bullet-list"/>
        <w:spacing w:after="0" w:line="240" w:lineRule="auto"/>
        <w:jc w:val="both"/>
        <w:rPr>
          <w:rFonts w:ascii="Times New Roman" w:hAnsi="Times New Roman"/>
          <w:sz w:val="24"/>
          <w:szCs w:val="24"/>
        </w:rPr>
      </w:pPr>
    </w:p>
    <w:p w:rsidR="00DA0011" w:rsidRPr="00F37CE6" w:rsidRDefault="00DA0011" w:rsidP="00F37CE6">
      <w:pPr>
        <w:pStyle w:val="Bullet-list"/>
        <w:tabs>
          <w:tab w:val="num" w:pos="567"/>
        </w:tabs>
        <w:spacing w:after="0" w:line="240" w:lineRule="auto"/>
        <w:jc w:val="both"/>
        <w:rPr>
          <w:rFonts w:ascii="Times New Roman" w:hAnsi="Times New Roman"/>
          <w:b/>
          <w:i/>
          <w:sz w:val="24"/>
          <w:szCs w:val="24"/>
        </w:rPr>
      </w:pPr>
      <w:r w:rsidRPr="00F37CE6">
        <w:rPr>
          <w:rFonts w:ascii="Times New Roman" w:hAnsi="Times New Roman"/>
          <w:b/>
          <w:i/>
          <w:sz w:val="24"/>
          <w:szCs w:val="24"/>
        </w:rPr>
        <w:t>Treatment of employees</w:t>
      </w:r>
      <w:r w:rsidR="00A51AE2" w:rsidRPr="00F37CE6">
        <w:rPr>
          <w:rFonts w:ascii="Times New Roman" w:hAnsi="Times New Roman"/>
          <w:b/>
          <w:i/>
          <w:sz w:val="24"/>
          <w:szCs w:val="24"/>
        </w:rPr>
        <w:t>’ income</w:t>
      </w:r>
    </w:p>
    <w:p w:rsidR="000E02AE" w:rsidRDefault="000E02AE" w:rsidP="00F37CE6">
      <w:pPr>
        <w:pStyle w:val="Bullet-list"/>
        <w:tabs>
          <w:tab w:val="num" w:pos="567"/>
        </w:tabs>
        <w:spacing w:after="0" w:line="240" w:lineRule="auto"/>
        <w:ind w:left="0" w:firstLine="0"/>
        <w:jc w:val="both"/>
        <w:rPr>
          <w:rFonts w:ascii="Times New Roman" w:hAnsi="Times New Roman"/>
          <w:sz w:val="24"/>
          <w:szCs w:val="24"/>
        </w:rPr>
      </w:pPr>
    </w:p>
    <w:p w:rsidR="000E02AE" w:rsidRPr="000E02AE" w:rsidRDefault="000E02AE"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bookmarkStart w:id="14" w:name="_Ref464133816"/>
      <w:r>
        <w:rPr>
          <w:rFonts w:ascii="Times New Roman" w:hAnsi="Times New Roman"/>
          <w:sz w:val="24"/>
          <w:szCs w:val="24"/>
        </w:rPr>
        <w:t>E</w:t>
      </w:r>
      <w:r w:rsidRPr="000E02AE">
        <w:rPr>
          <w:rFonts w:ascii="Times New Roman" w:hAnsi="Times New Roman"/>
          <w:sz w:val="24"/>
          <w:szCs w:val="24"/>
        </w:rPr>
        <w:t>mployee share schemes may be divided into three general categories:</w:t>
      </w:r>
      <w:bookmarkEnd w:id="14"/>
    </w:p>
    <w:p w:rsidR="000E02AE" w:rsidRPr="00A96F15" w:rsidRDefault="000E02AE">
      <w:pPr>
        <w:pStyle w:val="Chapter3"/>
        <w:numPr>
          <w:ilvl w:val="0"/>
          <w:numId w:val="0"/>
        </w:numPr>
        <w:ind w:left="1277"/>
      </w:pPr>
    </w:p>
    <w:p w:rsidR="000E02AE" w:rsidRPr="00A96F15" w:rsidRDefault="000E02AE">
      <w:pPr>
        <w:pStyle w:val="Chapter3"/>
        <w:numPr>
          <w:ilvl w:val="0"/>
          <w:numId w:val="10"/>
        </w:numPr>
      </w:pPr>
      <w:r w:rsidRPr="00A96F15">
        <w:rPr>
          <w:i/>
        </w:rPr>
        <w:t xml:space="preserve">Unconditional </w:t>
      </w:r>
      <w:r w:rsidRPr="000E02AE">
        <w:rPr>
          <w:i/>
        </w:rPr>
        <w:t>ESS</w:t>
      </w:r>
      <w:r w:rsidRPr="00A96F15">
        <w:t xml:space="preserve"> – which provide shares or options </w:t>
      </w:r>
      <w:r>
        <w:t xml:space="preserve">to employees </w:t>
      </w:r>
      <w:r w:rsidRPr="00A96F15">
        <w:t xml:space="preserve">free from further conditions.  </w:t>
      </w:r>
    </w:p>
    <w:p w:rsidR="000E02AE" w:rsidRPr="00A96F15" w:rsidRDefault="000E02AE">
      <w:pPr>
        <w:pStyle w:val="Chapter3"/>
        <w:numPr>
          <w:ilvl w:val="0"/>
          <w:numId w:val="10"/>
        </w:numPr>
      </w:pPr>
      <w:r w:rsidRPr="00A96F15">
        <w:rPr>
          <w:i/>
        </w:rPr>
        <w:t xml:space="preserve">Conditional </w:t>
      </w:r>
      <w:r w:rsidRPr="000E02AE">
        <w:rPr>
          <w:i/>
        </w:rPr>
        <w:t>ESS</w:t>
      </w:r>
      <w:r w:rsidRPr="00A96F15">
        <w:rPr>
          <w:i/>
        </w:rPr>
        <w:t xml:space="preserve"> </w:t>
      </w:r>
      <w:r w:rsidRPr="00A96F15">
        <w:t xml:space="preserve">– where the shares or options received </w:t>
      </w:r>
      <w:r>
        <w:t xml:space="preserve">by employees </w:t>
      </w:r>
      <w:r w:rsidRPr="00A96F15">
        <w:t xml:space="preserve">are subject to future employment conditions.  </w:t>
      </w:r>
    </w:p>
    <w:p w:rsidR="000E02AE" w:rsidRPr="00A96F15" w:rsidRDefault="000E02AE">
      <w:pPr>
        <w:pStyle w:val="Chapter3"/>
        <w:numPr>
          <w:ilvl w:val="0"/>
          <w:numId w:val="10"/>
        </w:numPr>
      </w:pPr>
      <w:r w:rsidRPr="00A96F15">
        <w:rPr>
          <w:i/>
        </w:rPr>
        <w:lastRenderedPageBreak/>
        <w:t>O</w:t>
      </w:r>
      <w:r>
        <w:rPr>
          <w:i/>
        </w:rPr>
        <w:t>ptions and o</w:t>
      </w:r>
      <w:r w:rsidRPr="00A96F15">
        <w:rPr>
          <w:i/>
        </w:rPr>
        <w:t>ption-like arrangements</w:t>
      </w:r>
      <w:r w:rsidRPr="00A96F15">
        <w:t xml:space="preserve"> – </w:t>
      </w:r>
      <w:r>
        <w:t>options allow employees to purchase shares in their employer at a predetermined time in the future for a predetermined price</w:t>
      </w:r>
      <w:r w:rsidR="00DA0011">
        <w:t xml:space="preserve"> (“strike price”)</w:t>
      </w:r>
      <w:r>
        <w:t xml:space="preserve">. Option-like arrangements are </w:t>
      </w:r>
      <w:r w:rsidRPr="00A96F15">
        <w:t>in the form of a share purchase, but have terms and conditions (often based on the price of the shares) and other features that make the arrangement similar in economic effect to an option.  Option-like arrangements often have employment conditions in addition to the price conditions.</w:t>
      </w:r>
    </w:p>
    <w:p w:rsidR="004D5AC5" w:rsidRDefault="004D5AC5">
      <w:pPr>
        <w:pStyle w:val="Bullet-list"/>
        <w:spacing w:after="0" w:line="240" w:lineRule="auto"/>
        <w:ind w:left="0" w:firstLine="0"/>
        <w:jc w:val="both"/>
        <w:rPr>
          <w:rFonts w:ascii="Times New Roman" w:hAnsi="Times New Roman"/>
          <w:sz w:val="24"/>
          <w:szCs w:val="24"/>
        </w:rPr>
      </w:pPr>
    </w:p>
    <w:p w:rsidR="000E02AE" w:rsidRPr="000E02AE" w:rsidRDefault="000E02AE"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DA0011">
        <w:rPr>
          <w:rFonts w:ascii="Times New Roman" w:hAnsi="Times New Roman"/>
          <w:b/>
          <w:sz w:val="24"/>
          <w:szCs w:val="24"/>
        </w:rPr>
        <w:t xml:space="preserve">Unconditional </w:t>
      </w:r>
      <w:r w:rsidR="00DA0011" w:rsidRPr="00DA0011">
        <w:rPr>
          <w:rFonts w:ascii="Times New Roman" w:hAnsi="Times New Roman"/>
          <w:b/>
          <w:sz w:val="24"/>
          <w:szCs w:val="24"/>
        </w:rPr>
        <w:t xml:space="preserve">and conditional </w:t>
      </w:r>
      <w:r w:rsidRPr="00DA0011">
        <w:rPr>
          <w:rFonts w:ascii="Times New Roman" w:hAnsi="Times New Roman"/>
          <w:b/>
          <w:sz w:val="24"/>
          <w:szCs w:val="24"/>
        </w:rPr>
        <w:t>ESS</w:t>
      </w:r>
      <w:r>
        <w:rPr>
          <w:rFonts w:ascii="Times New Roman" w:hAnsi="Times New Roman"/>
          <w:sz w:val="24"/>
          <w:szCs w:val="24"/>
        </w:rPr>
        <w:t xml:space="preserve"> are currently taxed as follows.  Employees </w:t>
      </w:r>
      <w:r w:rsidRPr="000E02AE">
        <w:rPr>
          <w:rFonts w:ascii="Times New Roman" w:hAnsi="Times New Roman"/>
          <w:sz w:val="24"/>
          <w:szCs w:val="24"/>
        </w:rPr>
        <w:t xml:space="preserve">are taxed when they acquire the shares.  </w:t>
      </w:r>
      <w:r w:rsidR="006F5F9F">
        <w:rPr>
          <w:rFonts w:ascii="Times New Roman" w:hAnsi="Times New Roman"/>
          <w:sz w:val="24"/>
          <w:szCs w:val="24"/>
        </w:rPr>
        <w:t xml:space="preserve">In the case of a conditional scheme, the shares are commonly given to a trustee to hold until the condition is met.  This is treated as acquisition by the employee.  </w:t>
      </w:r>
      <w:r w:rsidRPr="000E02AE">
        <w:rPr>
          <w:rFonts w:ascii="Times New Roman" w:hAnsi="Times New Roman"/>
          <w:sz w:val="24"/>
          <w:szCs w:val="24"/>
        </w:rPr>
        <w:t xml:space="preserve">The taxable income is the difference between the value of the shares at that time and the price they pay for them.  If employees pay full market value for the shares, then no taxable income arises.  At the other extreme, if employees are given shares for no consideration, then the full market value of the shares is taxable income.  </w:t>
      </w:r>
    </w:p>
    <w:p w:rsidR="000E02AE" w:rsidRDefault="000E02AE">
      <w:pPr>
        <w:pStyle w:val="Bullet-list"/>
        <w:tabs>
          <w:tab w:val="num" w:pos="567"/>
        </w:tabs>
        <w:spacing w:after="0" w:line="240" w:lineRule="auto"/>
        <w:jc w:val="both"/>
        <w:rPr>
          <w:rFonts w:ascii="Times New Roman" w:hAnsi="Times New Roman"/>
          <w:sz w:val="24"/>
          <w:szCs w:val="24"/>
        </w:rPr>
      </w:pPr>
    </w:p>
    <w:p w:rsidR="00DA0011" w:rsidRPr="00DA0011" w:rsidRDefault="00DA0011"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With </w:t>
      </w:r>
      <w:r w:rsidRPr="00DA0011">
        <w:rPr>
          <w:rFonts w:ascii="Times New Roman" w:hAnsi="Times New Roman"/>
          <w:b/>
          <w:sz w:val="24"/>
          <w:szCs w:val="24"/>
        </w:rPr>
        <w:t>share options</w:t>
      </w:r>
      <w:r w:rsidRPr="00DA0011">
        <w:rPr>
          <w:rFonts w:ascii="Times New Roman" w:hAnsi="Times New Roman"/>
          <w:sz w:val="24"/>
          <w:szCs w:val="24"/>
        </w:rPr>
        <w:t xml:space="preserve">, employees are given a right to purchase shares at some future date for a set price (the strike price).  </w:t>
      </w:r>
      <w:r w:rsidR="00DF140B">
        <w:rPr>
          <w:rFonts w:ascii="Times New Roman" w:hAnsi="Times New Roman"/>
          <w:sz w:val="24"/>
          <w:szCs w:val="24"/>
        </w:rPr>
        <w:t xml:space="preserve">This right itself may be subject to the satisfaction of a future condition.  In that case, the options are often referred to as “vesting” when the condition is met.  </w:t>
      </w:r>
      <w:r w:rsidRPr="00DA0011">
        <w:rPr>
          <w:rFonts w:ascii="Times New Roman" w:hAnsi="Times New Roman"/>
          <w:sz w:val="24"/>
          <w:szCs w:val="24"/>
        </w:rPr>
        <w:t>An employee will exercise the option if the shares’</w:t>
      </w:r>
      <w:r w:rsidR="00D05A2B">
        <w:rPr>
          <w:rFonts w:ascii="Times New Roman" w:hAnsi="Times New Roman"/>
          <w:sz w:val="24"/>
          <w:szCs w:val="24"/>
        </w:rPr>
        <w:t xml:space="preserve"> </w:t>
      </w:r>
      <w:r w:rsidR="00CE6FB6">
        <w:rPr>
          <w:rFonts w:ascii="Times New Roman" w:hAnsi="Times New Roman"/>
          <w:sz w:val="24"/>
          <w:szCs w:val="24"/>
        </w:rPr>
        <w:t>value</w:t>
      </w:r>
      <w:r w:rsidRPr="00DA0011">
        <w:rPr>
          <w:rFonts w:ascii="Times New Roman" w:hAnsi="Times New Roman"/>
          <w:sz w:val="24"/>
          <w:szCs w:val="24"/>
        </w:rPr>
        <w:t xml:space="preserve"> at the future date exceeds the strike price – the option effectively allows them to acquire the shares at a discount.  If the strike price exceeds the shares’ </w:t>
      </w:r>
      <w:r w:rsidR="00CE6FB6">
        <w:rPr>
          <w:rFonts w:ascii="Times New Roman" w:hAnsi="Times New Roman"/>
          <w:sz w:val="24"/>
          <w:szCs w:val="24"/>
        </w:rPr>
        <w:t>value</w:t>
      </w:r>
      <w:r w:rsidRPr="00DA0011">
        <w:rPr>
          <w:rFonts w:ascii="Times New Roman" w:hAnsi="Times New Roman"/>
          <w:sz w:val="24"/>
          <w:szCs w:val="24"/>
        </w:rPr>
        <w:t xml:space="preserve"> the employee will not exercise their option.</w:t>
      </w:r>
      <w:r>
        <w:rPr>
          <w:rFonts w:ascii="Times New Roman" w:hAnsi="Times New Roman"/>
          <w:sz w:val="24"/>
          <w:szCs w:val="24"/>
        </w:rPr>
        <w:t xml:space="preserve"> </w:t>
      </w:r>
      <w:r w:rsidRPr="00DA0011">
        <w:rPr>
          <w:rFonts w:ascii="Times New Roman" w:hAnsi="Times New Roman"/>
          <w:sz w:val="24"/>
          <w:szCs w:val="24"/>
        </w:rPr>
        <w:t>When an employee receives an option, employment income equal to the value of the option is received and that income should be subject to tax.</w:t>
      </w:r>
    </w:p>
    <w:p w:rsidR="00DA0011" w:rsidRPr="00A96F15" w:rsidRDefault="00DA0011">
      <w:pPr>
        <w:pStyle w:val="Chapter4"/>
        <w:numPr>
          <w:ilvl w:val="0"/>
          <w:numId w:val="0"/>
        </w:numPr>
      </w:pPr>
    </w:p>
    <w:p w:rsidR="00DA0011" w:rsidRDefault="00DA0011"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DA0011">
        <w:rPr>
          <w:rFonts w:ascii="Times New Roman" w:hAnsi="Times New Roman"/>
          <w:sz w:val="24"/>
          <w:szCs w:val="24"/>
        </w:rPr>
        <w:t>Under current rules, no tax is paid when the option is issued</w:t>
      </w:r>
      <w:r w:rsidR="00DF140B">
        <w:rPr>
          <w:rFonts w:ascii="Times New Roman" w:hAnsi="Times New Roman"/>
          <w:sz w:val="24"/>
          <w:szCs w:val="24"/>
        </w:rPr>
        <w:t xml:space="preserve"> or vests</w:t>
      </w:r>
      <w:r w:rsidRPr="00DA0011">
        <w:rPr>
          <w:rFonts w:ascii="Times New Roman" w:hAnsi="Times New Roman"/>
          <w:sz w:val="24"/>
          <w:szCs w:val="24"/>
        </w:rPr>
        <w:t xml:space="preserve">.  An employee participating in a share option plan is taxed only if and when the option is exercised.  The difference between the market value of the shares at exercise and the strike price is taxable income.  This approach is </w:t>
      </w:r>
      <w:r w:rsidRPr="00C93B46">
        <w:rPr>
          <w:rFonts w:ascii="Times New Roman" w:hAnsi="Times New Roman"/>
          <w:i/>
          <w:sz w:val="24"/>
          <w:szCs w:val="24"/>
        </w:rPr>
        <w:t>tax at exercise</w:t>
      </w:r>
      <w:r w:rsidRPr="00DA0011">
        <w:rPr>
          <w:rFonts w:ascii="Times New Roman" w:hAnsi="Times New Roman"/>
          <w:sz w:val="24"/>
          <w:szCs w:val="24"/>
        </w:rPr>
        <w:t>.</w:t>
      </w:r>
    </w:p>
    <w:p w:rsidR="00496789" w:rsidRDefault="00496789" w:rsidP="00F37CE6">
      <w:pPr>
        <w:pStyle w:val="Bullet-list"/>
        <w:spacing w:after="0" w:line="240" w:lineRule="auto"/>
        <w:ind w:left="0" w:firstLine="0"/>
        <w:jc w:val="both"/>
        <w:rPr>
          <w:rFonts w:ascii="Times New Roman" w:hAnsi="Times New Roman"/>
          <w:sz w:val="24"/>
          <w:szCs w:val="24"/>
        </w:rPr>
      </w:pPr>
    </w:p>
    <w:p w:rsidR="00496789" w:rsidRPr="00496789" w:rsidRDefault="00496789"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bookmarkStart w:id="15" w:name="_Ref464133819"/>
      <w:r w:rsidRPr="00496789">
        <w:rPr>
          <w:rFonts w:ascii="Times New Roman" w:hAnsi="Times New Roman"/>
          <w:sz w:val="24"/>
          <w:szCs w:val="24"/>
        </w:rPr>
        <w:t>A number of employee share schemes make use of interest-free loans.  Interest-free loans provided to employees by their employer are generally subject to FBT.  However, FBT is not payable in respect of an interest-free loan provided by an employer to enable an employee to purchase the employer’s shares, provided certain criteria are satisfied</w:t>
      </w:r>
      <w:r>
        <w:rPr>
          <w:rFonts w:ascii="Times New Roman" w:hAnsi="Times New Roman"/>
          <w:sz w:val="24"/>
          <w:szCs w:val="24"/>
        </w:rPr>
        <w:t>. T</w:t>
      </w:r>
      <w:r w:rsidRPr="00496789">
        <w:rPr>
          <w:rFonts w:ascii="Times New Roman" w:hAnsi="Times New Roman"/>
          <w:sz w:val="24"/>
          <w:szCs w:val="24"/>
        </w:rPr>
        <w:t>he FBT exemption is appropriate because it ensures the tax treatment of the interest-free loan is the same as if the employer had charged interest, but paid the employee extra salary to meet the interest cost</w:t>
      </w:r>
      <w:r>
        <w:rPr>
          <w:rFonts w:ascii="Times New Roman" w:hAnsi="Times New Roman"/>
          <w:sz w:val="24"/>
          <w:szCs w:val="24"/>
        </w:rPr>
        <w:t>.</w:t>
      </w:r>
      <w:bookmarkEnd w:id="15"/>
      <w:r>
        <w:rPr>
          <w:rFonts w:ascii="Times New Roman" w:hAnsi="Times New Roman"/>
          <w:sz w:val="24"/>
          <w:szCs w:val="24"/>
        </w:rPr>
        <w:t xml:space="preserve"> </w:t>
      </w:r>
    </w:p>
    <w:p w:rsidR="00DA0011" w:rsidRDefault="00DA0011">
      <w:pPr>
        <w:pStyle w:val="ListParagraph"/>
        <w:rPr>
          <w:rFonts w:ascii="Times New Roman" w:hAnsi="Times New Roman"/>
          <w:sz w:val="24"/>
          <w:szCs w:val="24"/>
        </w:rPr>
      </w:pPr>
    </w:p>
    <w:p w:rsidR="00DA0011" w:rsidRPr="00F37CE6" w:rsidRDefault="00DA0011" w:rsidP="00F37CE6">
      <w:pPr>
        <w:pStyle w:val="Bullet-list"/>
        <w:spacing w:after="0" w:line="240" w:lineRule="auto"/>
        <w:jc w:val="both"/>
        <w:rPr>
          <w:rFonts w:ascii="Times New Roman" w:hAnsi="Times New Roman"/>
          <w:b/>
          <w:i/>
          <w:sz w:val="24"/>
          <w:szCs w:val="24"/>
        </w:rPr>
      </w:pPr>
      <w:r w:rsidRPr="00F37CE6">
        <w:rPr>
          <w:rFonts w:ascii="Times New Roman" w:hAnsi="Times New Roman"/>
          <w:b/>
          <w:i/>
          <w:sz w:val="24"/>
          <w:szCs w:val="24"/>
        </w:rPr>
        <w:t>Treatment of employers</w:t>
      </w:r>
    </w:p>
    <w:p w:rsidR="00A51AE2" w:rsidRDefault="00A51AE2" w:rsidP="00F37CE6">
      <w:pPr>
        <w:pStyle w:val="Default"/>
        <w:jc w:val="both"/>
      </w:pPr>
    </w:p>
    <w:p w:rsidR="00A51AE2" w:rsidRDefault="00A51AE2"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A51AE2">
        <w:rPr>
          <w:rFonts w:ascii="Times New Roman" w:hAnsi="Times New Roman"/>
          <w:sz w:val="24"/>
          <w:szCs w:val="24"/>
        </w:rPr>
        <w:t xml:space="preserve">Under current law there is no explicit deduction for a company that </w:t>
      </w:r>
      <w:r>
        <w:rPr>
          <w:rFonts w:ascii="Times New Roman" w:hAnsi="Times New Roman"/>
          <w:sz w:val="24"/>
          <w:szCs w:val="24"/>
        </w:rPr>
        <w:t>provides</w:t>
      </w:r>
      <w:r w:rsidRPr="00A51AE2">
        <w:rPr>
          <w:rFonts w:ascii="Times New Roman" w:hAnsi="Times New Roman"/>
          <w:sz w:val="24"/>
          <w:szCs w:val="24"/>
        </w:rPr>
        <w:t xml:space="preserve"> shares to an employee at a discount. </w:t>
      </w:r>
      <w:r>
        <w:rPr>
          <w:rFonts w:ascii="Times New Roman" w:hAnsi="Times New Roman"/>
          <w:sz w:val="24"/>
          <w:szCs w:val="24"/>
        </w:rPr>
        <w:t>However, there are structures that can be adopted by employers to achieve a deduction.</w:t>
      </w:r>
      <w:r w:rsidR="00FE3F1F">
        <w:rPr>
          <w:rFonts w:ascii="Times New Roman" w:hAnsi="Times New Roman"/>
          <w:sz w:val="24"/>
          <w:szCs w:val="24"/>
        </w:rPr>
        <w:t xml:space="preserve">  While we do not have comprehensive data on the use of these structures, we understand they are very widespread. </w:t>
      </w:r>
    </w:p>
    <w:p w:rsidR="00A51AE2" w:rsidRDefault="00A51AE2">
      <w:pPr>
        <w:pStyle w:val="Bullet-list"/>
        <w:spacing w:after="0" w:line="240" w:lineRule="auto"/>
        <w:ind w:left="0" w:firstLine="0"/>
        <w:jc w:val="both"/>
        <w:rPr>
          <w:rFonts w:ascii="Times New Roman" w:hAnsi="Times New Roman"/>
          <w:sz w:val="24"/>
          <w:szCs w:val="24"/>
        </w:rPr>
      </w:pPr>
      <w:r w:rsidRPr="00A51AE2">
        <w:rPr>
          <w:rFonts w:ascii="Times New Roman" w:hAnsi="Times New Roman"/>
          <w:sz w:val="24"/>
          <w:szCs w:val="24"/>
        </w:rPr>
        <w:t xml:space="preserve"> </w:t>
      </w:r>
    </w:p>
    <w:p w:rsidR="00DA0011" w:rsidRPr="00F37CE6" w:rsidRDefault="00DA0011" w:rsidP="00F37CE6">
      <w:pPr>
        <w:pStyle w:val="Bullet-list"/>
        <w:spacing w:after="0" w:line="240" w:lineRule="auto"/>
        <w:jc w:val="both"/>
        <w:rPr>
          <w:rFonts w:ascii="Times New Roman" w:hAnsi="Times New Roman"/>
          <w:b/>
          <w:i/>
          <w:sz w:val="24"/>
          <w:szCs w:val="24"/>
        </w:rPr>
      </w:pPr>
      <w:r w:rsidRPr="00F37CE6">
        <w:rPr>
          <w:rFonts w:ascii="Times New Roman" w:hAnsi="Times New Roman"/>
          <w:b/>
          <w:i/>
          <w:sz w:val="24"/>
          <w:szCs w:val="24"/>
        </w:rPr>
        <w:t>Widely</w:t>
      </w:r>
      <w:r w:rsidR="0084019C" w:rsidRPr="00F37CE6">
        <w:rPr>
          <w:rFonts w:ascii="Times New Roman" w:hAnsi="Times New Roman"/>
          <w:b/>
          <w:i/>
          <w:sz w:val="24"/>
          <w:szCs w:val="24"/>
        </w:rPr>
        <w:t>-</w:t>
      </w:r>
      <w:r w:rsidRPr="00F37CE6">
        <w:rPr>
          <w:rFonts w:ascii="Times New Roman" w:hAnsi="Times New Roman"/>
          <w:b/>
          <w:i/>
          <w:sz w:val="24"/>
          <w:szCs w:val="24"/>
        </w:rPr>
        <w:t>offered schemes</w:t>
      </w:r>
    </w:p>
    <w:p w:rsidR="00DA0011" w:rsidRDefault="00DA0011" w:rsidP="00F37CE6">
      <w:pPr>
        <w:pStyle w:val="Bullet-list"/>
        <w:tabs>
          <w:tab w:val="num" w:pos="567"/>
        </w:tabs>
        <w:spacing w:after="0" w:line="240" w:lineRule="auto"/>
        <w:ind w:left="0" w:firstLine="0"/>
        <w:jc w:val="both"/>
        <w:rPr>
          <w:rFonts w:ascii="Times New Roman" w:hAnsi="Times New Roman"/>
          <w:sz w:val="24"/>
          <w:szCs w:val="24"/>
        </w:rPr>
      </w:pPr>
    </w:p>
    <w:p w:rsidR="0084019C" w:rsidRPr="0084019C" w:rsidRDefault="0084019C"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84019C">
        <w:rPr>
          <w:rFonts w:ascii="Times New Roman" w:hAnsi="Times New Roman"/>
          <w:sz w:val="24"/>
          <w:szCs w:val="24"/>
        </w:rPr>
        <w:t xml:space="preserve">The </w:t>
      </w:r>
      <w:r>
        <w:rPr>
          <w:rFonts w:ascii="Times New Roman" w:hAnsi="Times New Roman"/>
          <w:sz w:val="24"/>
          <w:szCs w:val="24"/>
        </w:rPr>
        <w:t>ITA</w:t>
      </w:r>
      <w:r w:rsidRPr="0084019C">
        <w:rPr>
          <w:rFonts w:ascii="Times New Roman" w:hAnsi="Times New Roman"/>
          <w:sz w:val="24"/>
          <w:szCs w:val="24"/>
        </w:rPr>
        <w:t xml:space="preserve"> currently provides a concessionary regime to encourage employers to offer shares to employees under certain widely-offered employee share schemes.  </w:t>
      </w:r>
    </w:p>
    <w:p w:rsidR="00DA0011" w:rsidRDefault="00DA0011" w:rsidP="00F37CE6">
      <w:pPr>
        <w:pStyle w:val="Bullet-list"/>
        <w:spacing w:after="0" w:line="240" w:lineRule="auto"/>
        <w:ind w:left="0" w:firstLine="0"/>
        <w:jc w:val="both"/>
        <w:rPr>
          <w:rFonts w:ascii="Times New Roman" w:hAnsi="Times New Roman"/>
          <w:sz w:val="24"/>
          <w:szCs w:val="24"/>
        </w:rPr>
      </w:pPr>
    </w:p>
    <w:p w:rsidR="0084019C" w:rsidRPr="0084019C" w:rsidRDefault="0084019C"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84019C">
        <w:rPr>
          <w:rFonts w:ascii="Times New Roman" w:hAnsi="Times New Roman"/>
          <w:sz w:val="24"/>
          <w:szCs w:val="24"/>
        </w:rPr>
        <w:t xml:space="preserve">There are two main </w:t>
      </w:r>
      <w:r w:rsidR="00A808A4">
        <w:rPr>
          <w:rFonts w:ascii="Times New Roman" w:hAnsi="Times New Roman"/>
          <w:sz w:val="24"/>
          <w:szCs w:val="24"/>
        </w:rPr>
        <w:t xml:space="preserve">tax </w:t>
      </w:r>
      <w:r w:rsidRPr="0084019C">
        <w:rPr>
          <w:rFonts w:ascii="Times New Roman" w:hAnsi="Times New Roman"/>
          <w:sz w:val="24"/>
          <w:szCs w:val="24"/>
        </w:rPr>
        <w:t>benefits available under the concessionary regime:</w:t>
      </w:r>
    </w:p>
    <w:p w:rsidR="0084019C" w:rsidRPr="0084019C" w:rsidRDefault="0084019C" w:rsidP="00F37CE6">
      <w:pPr>
        <w:pStyle w:val="Bullet-list"/>
        <w:spacing w:after="0" w:line="240" w:lineRule="auto"/>
        <w:ind w:left="0" w:firstLine="0"/>
        <w:jc w:val="both"/>
        <w:rPr>
          <w:rFonts w:ascii="Times New Roman" w:hAnsi="Times New Roman"/>
          <w:sz w:val="24"/>
          <w:szCs w:val="24"/>
        </w:rPr>
      </w:pPr>
    </w:p>
    <w:p w:rsidR="0084019C" w:rsidRPr="0084019C" w:rsidRDefault="0084019C" w:rsidP="00FE3F1F">
      <w:pPr>
        <w:pStyle w:val="Bullet-list"/>
        <w:numPr>
          <w:ilvl w:val="0"/>
          <w:numId w:val="10"/>
        </w:numPr>
        <w:spacing w:after="0" w:line="240" w:lineRule="auto"/>
        <w:jc w:val="both"/>
        <w:rPr>
          <w:rFonts w:ascii="Times New Roman" w:hAnsi="Times New Roman"/>
          <w:sz w:val="24"/>
          <w:szCs w:val="24"/>
        </w:rPr>
      </w:pPr>
      <w:r w:rsidRPr="0084019C">
        <w:rPr>
          <w:rFonts w:ascii="Times New Roman" w:hAnsi="Times New Roman"/>
          <w:b/>
          <w:sz w:val="24"/>
          <w:szCs w:val="24"/>
        </w:rPr>
        <w:t>Exemption for employee</w:t>
      </w:r>
      <w:r w:rsidRPr="0084019C">
        <w:rPr>
          <w:rFonts w:ascii="Times New Roman" w:hAnsi="Times New Roman"/>
          <w:sz w:val="24"/>
          <w:szCs w:val="24"/>
        </w:rPr>
        <w:t>: The value of a benefit received by an employee under a concessionary scheme is not taxable to the employee.</w:t>
      </w:r>
    </w:p>
    <w:p w:rsidR="0084019C" w:rsidRPr="0084019C" w:rsidRDefault="0084019C">
      <w:pPr>
        <w:pStyle w:val="Bullet-list"/>
        <w:spacing w:after="0" w:line="240" w:lineRule="auto"/>
        <w:ind w:left="0" w:firstLine="0"/>
        <w:jc w:val="both"/>
        <w:rPr>
          <w:rFonts w:ascii="Times New Roman" w:hAnsi="Times New Roman"/>
          <w:sz w:val="24"/>
          <w:szCs w:val="24"/>
        </w:rPr>
      </w:pPr>
    </w:p>
    <w:p w:rsidR="0084019C" w:rsidRPr="0084019C" w:rsidRDefault="0084019C">
      <w:pPr>
        <w:pStyle w:val="Bullet-list"/>
        <w:numPr>
          <w:ilvl w:val="0"/>
          <w:numId w:val="10"/>
        </w:numPr>
        <w:spacing w:after="0" w:line="240" w:lineRule="auto"/>
        <w:jc w:val="both"/>
        <w:rPr>
          <w:rFonts w:ascii="Times New Roman" w:hAnsi="Times New Roman"/>
          <w:sz w:val="24"/>
          <w:szCs w:val="24"/>
        </w:rPr>
      </w:pPr>
      <w:r w:rsidRPr="0084019C">
        <w:rPr>
          <w:rFonts w:ascii="Times New Roman" w:hAnsi="Times New Roman"/>
          <w:b/>
          <w:sz w:val="24"/>
          <w:szCs w:val="24"/>
        </w:rPr>
        <w:t>Deemed interest deduction for employer</w:t>
      </w:r>
      <w:r w:rsidRPr="0084019C">
        <w:rPr>
          <w:rFonts w:ascii="Times New Roman" w:hAnsi="Times New Roman"/>
          <w:sz w:val="24"/>
          <w:szCs w:val="24"/>
        </w:rPr>
        <w:t>: The employer company is given a deemed deduction of 10% notional interest on loans made to employees to buy shares. This is additional to any deduction for actual interest incurred on money borrowed to finance the scheme.</w:t>
      </w:r>
      <w:r w:rsidR="004B1388">
        <w:rPr>
          <w:rFonts w:ascii="Times New Roman" w:hAnsi="Times New Roman"/>
          <w:sz w:val="24"/>
          <w:szCs w:val="24"/>
        </w:rPr>
        <w:t xml:space="preserve">  There is not intended to be any deduction for the cost of acquiring shares, although we understand in practice</w:t>
      </w:r>
      <w:r w:rsidR="008256EE">
        <w:rPr>
          <w:rFonts w:ascii="Times New Roman" w:hAnsi="Times New Roman"/>
          <w:sz w:val="24"/>
          <w:szCs w:val="24"/>
        </w:rPr>
        <w:t xml:space="preserve"> many companies have structures in place to achieve unintended deductions.</w:t>
      </w:r>
    </w:p>
    <w:p w:rsidR="0084019C" w:rsidRPr="00A96F15" w:rsidRDefault="0084019C">
      <w:pPr>
        <w:pStyle w:val="Chapter4"/>
        <w:numPr>
          <w:ilvl w:val="0"/>
          <w:numId w:val="0"/>
        </w:numPr>
      </w:pPr>
    </w:p>
    <w:p w:rsidR="0084019C" w:rsidRDefault="0084019C" w:rsidP="00F37CE6">
      <w:pPr>
        <w:pStyle w:val="Bullet-list"/>
        <w:numPr>
          <w:ilvl w:val="0"/>
          <w:numId w:val="3"/>
        </w:numPr>
        <w:tabs>
          <w:tab w:val="num" w:pos="567"/>
        </w:tabs>
        <w:spacing w:after="0" w:line="240" w:lineRule="auto"/>
        <w:ind w:left="0" w:firstLine="0"/>
        <w:jc w:val="both"/>
        <w:rPr>
          <w:rFonts w:ascii="Times New Roman" w:hAnsi="Times New Roman"/>
          <w:szCs w:val="24"/>
        </w:rPr>
      </w:pPr>
      <w:r w:rsidRPr="004D3675">
        <w:rPr>
          <w:rFonts w:ascii="Times New Roman" w:hAnsi="Times New Roman"/>
          <w:sz w:val="24"/>
          <w:szCs w:val="24"/>
        </w:rPr>
        <w:t>Another benefit under the concessionary regime is that interest-free loans made under a qualifying employee share scheme are automatically exempt from fringe benefit tax (FBT).</w:t>
      </w:r>
      <w:r w:rsidRPr="004D3675">
        <w:rPr>
          <w:rStyle w:val="FootnoteReference"/>
          <w:rFonts w:ascii="Times New Roman" w:hAnsi="Times New Roman"/>
        </w:rPr>
        <w:footnoteReference w:id="1"/>
      </w:r>
      <w:r w:rsidRPr="004D3675">
        <w:rPr>
          <w:rFonts w:ascii="Times New Roman" w:hAnsi="Times New Roman"/>
          <w:szCs w:val="24"/>
        </w:rPr>
        <w:t xml:space="preserve">  </w:t>
      </w:r>
    </w:p>
    <w:p w:rsidR="007865A5" w:rsidRDefault="007865A5" w:rsidP="00F37CE6">
      <w:pPr>
        <w:pStyle w:val="Bullet-list"/>
        <w:spacing w:after="0" w:line="240" w:lineRule="auto"/>
        <w:jc w:val="both"/>
        <w:rPr>
          <w:rFonts w:ascii="Times New Roman" w:hAnsi="Times New Roman"/>
          <w:szCs w:val="24"/>
        </w:rPr>
      </w:pPr>
    </w:p>
    <w:p w:rsidR="007865A5" w:rsidRPr="00F37CE6" w:rsidRDefault="007865A5" w:rsidP="00F37CE6">
      <w:pPr>
        <w:pStyle w:val="Bullet-list"/>
        <w:spacing w:after="0" w:line="240" w:lineRule="auto"/>
        <w:jc w:val="both"/>
        <w:rPr>
          <w:rFonts w:ascii="Times New Roman" w:hAnsi="Times New Roman"/>
          <w:b/>
          <w:i/>
          <w:sz w:val="24"/>
          <w:szCs w:val="24"/>
        </w:rPr>
      </w:pPr>
      <w:r w:rsidRPr="00F37CE6">
        <w:rPr>
          <w:rFonts w:ascii="Times New Roman" w:hAnsi="Times New Roman"/>
          <w:b/>
          <w:i/>
          <w:sz w:val="24"/>
          <w:szCs w:val="24"/>
        </w:rPr>
        <w:t xml:space="preserve">Start-up </w:t>
      </w:r>
      <w:r w:rsidR="00026B35" w:rsidRPr="00F37CE6">
        <w:rPr>
          <w:rFonts w:ascii="Times New Roman" w:hAnsi="Times New Roman"/>
          <w:b/>
          <w:i/>
          <w:sz w:val="24"/>
          <w:szCs w:val="24"/>
        </w:rPr>
        <w:t>companies</w:t>
      </w:r>
    </w:p>
    <w:p w:rsidR="00A51AE2" w:rsidRDefault="00A51AE2" w:rsidP="00F37CE6">
      <w:pPr>
        <w:pStyle w:val="Bullet-list"/>
        <w:spacing w:after="0" w:line="240" w:lineRule="auto"/>
        <w:jc w:val="both"/>
        <w:rPr>
          <w:rFonts w:ascii="Times New Roman" w:hAnsi="Times New Roman"/>
          <w:i/>
          <w:sz w:val="24"/>
          <w:szCs w:val="24"/>
        </w:rPr>
      </w:pPr>
    </w:p>
    <w:p w:rsidR="00A51AE2" w:rsidRPr="00F37CE6" w:rsidRDefault="00A51AE2"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There are currently no special rules for</w:t>
      </w:r>
      <w:r w:rsidR="00DF140B">
        <w:rPr>
          <w:rFonts w:ascii="Times New Roman" w:hAnsi="Times New Roman"/>
          <w:sz w:val="24"/>
          <w:szCs w:val="24"/>
        </w:rPr>
        <w:t xml:space="preserve"> ESS offered by </w:t>
      </w:r>
      <w:r>
        <w:rPr>
          <w:rFonts w:ascii="Times New Roman" w:hAnsi="Times New Roman"/>
          <w:sz w:val="24"/>
          <w:szCs w:val="24"/>
        </w:rPr>
        <w:t xml:space="preserve">start-up companies, although they face particular practical barriers </w:t>
      </w:r>
      <w:r w:rsidR="00A808A4">
        <w:rPr>
          <w:rFonts w:ascii="Times New Roman" w:hAnsi="Times New Roman"/>
          <w:sz w:val="24"/>
          <w:szCs w:val="24"/>
        </w:rPr>
        <w:t xml:space="preserve">to </w:t>
      </w:r>
      <w:r>
        <w:rPr>
          <w:rFonts w:ascii="Times New Roman" w:hAnsi="Times New Roman"/>
          <w:sz w:val="24"/>
          <w:szCs w:val="24"/>
        </w:rPr>
        <w:t>offering ESS.</w:t>
      </w:r>
    </w:p>
    <w:p w:rsidR="001E1967" w:rsidRPr="00F37CE6" w:rsidRDefault="001E1967" w:rsidP="00F37CE6">
      <w:pPr>
        <w:pStyle w:val="Bullet-list"/>
        <w:spacing w:after="0" w:line="240" w:lineRule="auto"/>
        <w:ind w:left="0" w:firstLine="0"/>
        <w:jc w:val="both"/>
        <w:rPr>
          <w:rFonts w:ascii="Times New Roman" w:hAnsi="Times New Roman"/>
          <w:sz w:val="24"/>
          <w:szCs w:val="24"/>
        </w:rPr>
      </w:pPr>
    </w:p>
    <w:p w:rsidR="001E1967" w:rsidRPr="00F37CE6" w:rsidRDefault="001E1967"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As stated above</w:t>
      </w:r>
      <w:r w:rsidR="008256EE">
        <w:rPr>
          <w:rFonts w:ascii="Times New Roman" w:hAnsi="Times New Roman"/>
          <w:sz w:val="24"/>
          <w:szCs w:val="24"/>
        </w:rPr>
        <w:t>,</w:t>
      </w:r>
      <w:r>
        <w:rPr>
          <w:rFonts w:ascii="Times New Roman" w:hAnsi="Times New Roman"/>
          <w:sz w:val="24"/>
          <w:szCs w:val="24"/>
        </w:rPr>
        <w:t xml:space="preserve"> they </w:t>
      </w:r>
      <w:r w:rsidRPr="001E1967">
        <w:rPr>
          <w:rFonts w:ascii="Times New Roman" w:hAnsi="Times New Roman"/>
          <w:sz w:val="24"/>
          <w:szCs w:val="24"/>
        </w:rPr>
        <w:t>may have difficulties valuing employee share scheme benefits.</w:t>
      </w:r>
      <w:r>
        <w:rPr>
          <w:rFonts w:ascii="Times New Roman" w:hAnsi="Times New Roman"/>
          <w:sz w:val="24"/>
          <w:szCs w:val="24"/>
        </w:rPr>
        <w:t xml:space="preserve"> They also</w:t>
      </w:r>
      <w:r w:rsidRPr="001E1967">
        <w:rPr>
          <w:rFonts w:ascii="Times New Roman" w:hAnsi="Times New Roman"/>
          <w:sz w:val="24"/>
          <w:szCs w:val="24"/>
        </w:rPr>
        <w:t xml:space="preserve"> may not have sufficient cash at the employee and employer level to fund tax </w:t>
      </w:r>
      <w:r w:rsidR="00DF140B">
        <w:rPr>
          <w:rFonts w:ascii="Times New Roman" w:hAnsi="Times New Roman"/>
          <w:sz w:val="24"/>
          <w:szCs w:val="24"/>
        </w:rPr>
        <w:t>imposed on the grant or vesting of shares, or the exercise of options</w:t>
      </w:r>
      <w:r w:rsidRPr="001E1967">
        <w:rPr>
          <w:rFonts w:ascii="Times New Roman" w:hAnsi="Times New Roman"/>
          <w:sz w:val="24"/>
          <w:szCs w:val="24"/>
        </w:rPr>
        <w:t>.</w:t>
      </w:r>
      <w:r w:rsidRPr="00F37CE6">
        <w:rPr>
          <w:rFonts w:ascii="Times New Roman" w:hAnsi="Times New Roman"/>
          <w:sz w:val="24"/>
          <w:szCs w:val="24"/>
        </w:rPr>
        <w:t xml:space="preserve">  </w:t>
      </w:r>
    </w:p>
    <w:p w:rsidR="008256EE" w:rsidRPr="00F37CE6" w:rsidRDefault="008256EE" w:rsidP="00F37CE6">
      <w:pPr>
        <w:pStyle w:val="Bullet-list"/>
        <w:spacing w:after="0" w:line="240" w:lineRule="auto"/>
        <w:ind w:left="0" w:firstLine="0"/>
        <w:jc w:val="both"/>
        <w:rPr>
          <w:rFonts w:ascii="Times New Roman" w:hAnsi="Times New Roman"/>
          <w:sz w:val="24"/>
          <w:szCs w:val="24"/>
        </w:rPr>
      </w:pPr>
    </w:p>
    <w:p w:rsidR="008256EE" w:rsidRPr="00F37CE6" w:rsidRDefault="008256EE"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F37CE6">
        <w:rPr>
          <w:rFonts w:ascii="Times New Roman" w:hAnsi="Times New Roman"/>
          <w:sz w:val="24"/>
          <w:szCs w:val="24"/>
        </w:rPr>
        <w:t xml:space="preserve">While similar problems can exist for any unlisted companies, more mature companies can generally put in place mechanisms to deal with them.  Start-ups are </w:t>
      </w:r>
      <w:r w:rsidR="00A808A4">
        <w:rPr>
          <w:rFonts w:ascii="Times New Roman" w:hAnsi="Times New Roman"/>
          <w:sz w:val="24"/>
          <w:szCs w:val="24"/>
        </w:rPr>
        <w:t>especially</w:t>
      </w:r>
      <w:r w:rsidRPr="00F37CE6">
        <w:rPr>
          <w:rFonts w:ascii="Times New Roman" w:hAnsi="Times New Roman"/>
          <w:sz w:val="24"/>
          <w:szCs w:val="24"/>
        </w:rPr>
        <w:t xml:space="preserve"> affected by these problems because they lack the cash to pay the tax on behalf of employees and their shares are very difficult to value using orthodox methodologies. </w:t>
      </w:r>
    </w:p>
    <w:p w:rsidR="00A51AE2" w:rsidRDefault="00A51AE2" w:rsidP="00F37CE6">
      <w:pPr>
        <w:pStyle w:val="Bullet-list"/>
        <w:spacing w:after="0" w:line="240" w:lineRule="auto"/>
        <w:jc w:val="both"/>
        <w:rPr>
          <w:rFonts w:ascii="Times New Roman" w:hAnsi="Times New Roman"/>
          <w:szCs w:val="24"/>
        </w:rPr>
      </w:pPr>
    </w:p>
    <w:p w:rsidR="00026B35" w:rsidRPr="00F37CE6" w:rsidRDefault="00026B35" w:rsidP="00F37CE6">
      <w:pPr>
        <w:pStyle w:val="Bullet-list"/>
        <w:spacing w:after="0" w:line="240" w:lineRule="auto"/>
        <w:jc w:val="both"/>
        <w:rPr>
          <w:rFonts w:ascii="Times New Roman" w:hAnsi="Times New Roman"/>
          <w:b/>
          <w:i/>
          <w:sz w:val="24"/>
          <w:szCs w:val="24"/>
        </w:rPr>
      </w:pPr>
      <w:r w:rsidRPr="00F37CE6">
        <w:rPr>
          <w:rFonts w:ascii="Times New Roman" w:hAnsi="Times New Roman"/>
          <w:b/>
          <w:i/>
          <w:sz w:val="24"/>
          <w:szCs w:val="24"/>
        </w:rPr>
        <w:t>Reporting and administrative requirements</w:t>
      </w:r>
    </w:p>
    <w:p w:rsidR="00382FB8" w:rsidRDefault="00382FB8" w:rsidP="00F37CE6">
      <w:pPr>
        <w:pStyle w:val="Bullet-list"/>
        <w:spacing w:after="0" w:line="240" w:lineRule="auto"/>
        <w:ind w:left="0" w:firstLine="0"/>
        <w:jc w:val="both"/>
        <w:rPr>
          <w:rFonts w:ascii="Times New Roman" w:hAnsi="Times New Roman"/>
          <w:sz w:val="24"/>
          <w:szCs w:val="24"/>
        </w:rPr>
      </w:pPr>
    </w:p>
    <w:p w:rsidR="001E1967" w:rsidRPr="001E1967" w:rsidRDefault="001E1967"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1E1967">
        <w:rPr>
          <w:rFonts w:ascii="Times New Roman" w:hAnsi="Times New Roman"/>
          <w:sz w:val="24"/>
          <w:szCs w:val="24"/>
        </w:rPr>
        <w:t xml:space="preserve">There are currently no specific reporting requirements for employers offering, or employees participating in, employee share schemes. While employers offering the </w:t>
      </w:r>
      <w:r>
        <w:rPr>
          <w:rFonts w:ascii="Times New Roman" w:hAnsi="Times New Roman"/>
          <w:sz w:val="24"/>
          <w:szCs w:val="24"/>
        </w:rPr>
        <w:t xml:space="preserve">tax-exempt schemes discussed above </w:t>
      </w:r>
      <w:r w:rsidRPr="001E1967">
        <w:rPr>
          <w:rFonts w:ascii="Times New Roman" w:hAnsi="Times New Roman"/>
          <w:sz w:val="24"/>
          <w:szCs w:val="24"/>
        </w:rPr>
        <w:t xml:space="preserve">must apply to the Commissioner </w:t>
      </w:r>
      <w:r>
        <w:rPr>
          <w:rFonts w:ascii="Times New Roman" w:hAnsi="Times New Roman"/>
          <w:sz w:val="24"/>
          <w:szCs w:val="24"/>
        </w:rPr>
        <w:t xml:space="preserve">of Inland Revenue </w:t>
      </w:r>
      <w:r w:rsidRPr="001E1967">
        <w:rPr>
          <w:rFonts w:ascii="Times New Roman" w:hAnsi="Times New Roman"/>
          <w:sz w:val="24"/>
          <w:szCs w:val="24"/>
        </w:rPr>
        <w:t xml:space="preserve">initially for approval, there are no on-going reporting requirements with respect to these schemes. </w:t>
      </w:r>
    </w:p>
    <w:p w:rsidR="001E1967" w:rsidRPr="001E1967" w:rsidRDefault="001E1967" w:rsidP="00F37CE6">
      <w:pPr>
        <w:pStyle w:val="Bullet-list"/>
        <w:spacing w:after="0" w:line="240" w:lineRule="auto"/>
        <w:ind w:left="0" w:firstLine="0"/>
        <w:jc w:val="both"/>
        <w:rPr>
          <w:rFonts w:ascii="Times New Roman" w:hAnsi="Times New Roman"/>
          <w:sz w:val="24"/>
          <w:szCs w:val="24"/>
        </w:rPr>
      </w:pPr>
    </w:p>
    <w:p w:rsidR="001E1967" w:rsidRPr="001E1967" w:rsidRDefault="001E1967"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From 1 April 2017, </w:t>
      </w:r>
      <w:r w:rsidRPr="001E1967">
        <w:rPr>
          <w:rFonts w:ascii="Times New Roman" w:hAnsi="Times New Roman"/>
          <w:sz w:val="24"/>
          <w:szCs w:val="24"/>
        </w:rPr>
        <w:t xml:space="preserve">employers </w:t>
      </w:r>
      <w:r>
        <w:rPr>
          <w:rFonts w:ascii="Times New Roman" w:hAnsi="Times New Roman"/>
          <w:sz w:val="24"/>
          <w:szCs w:val="24"/>
        </w:rPr>
        <w:t xml:space="preserve">will be required to </w:t>
      </w:r>
      <w:r w:rsidRPr="001E1967">
        <w:rPr>
          <w:rFonts w:ascii="Times New Roman" w:hAnsi="Times New Roman"/>
          <w:sz w:val="24"/>
          <w:szCs w:val="24"/>
        </w:rPr>
        <w:t xml:space="preserve">include employees’ </w:t>
      </w:r>
      <w:r>
        <w:rPr>
          <w:rFonts w:ascii="Times New Roman" w:hAnsi="Times New Roman"/>
          <w:sz w:val="24"/>
          <w:szCs w:val="24"/>
        </w:rPr>
        <w:t>ESS</w:t>
      </w:r>
      <w:r w:rsidRPr="001E1967">
        <w:rPr>
          <w:rFonts w:ascii="Times New Roman" w:hAnsi="Times New Roman"/>
          <w:sz w:val="24"/>
          <w:szCs w:val="24"/>
        </w:rPr>
        <w:t xml:space="preserve"> benefits in the employer monthly schedule (EMS) (whether they </w:t>
      </w:r>
      <w:r>
        <w:rPr>
          <w:rFonts w:ascii="Times New Roman" w:hAnsi="Times New Roman"/>
          <w:sz w:val="24"/>
          <w:szCs w:val="24"/>
        </w:rPr>
        <w:t xml:space="preserve">elect to withhold PAYE or not). </w:t>
      </w:r>
      <w:r w:rsidRPr="001E1967">
        <w:rPr>
          <w:rFonts w:ascii="Times New Roman" w:hAnsi="Times New Roman"/>
          <w:sz w:val="24"/>
          <w:szCs w:val="24"/>
        </w:rPr>
        <w:t xml:space="preserve">However, this amendment does not require the employer to provide specific details of the share scheme benefits provided. </w:t>
      </w:r>
    </w:p>
    <w:p w:rsidR="001E1967" w:rsidRDefault="001E1967" w:rsidP="00F37CE6">
      <w:pPr>
        <w:pStyle w:val="Default"/>
        <w:jc w:val="both"/>
        <w:rPr>
          <w:sz w:val="23"/>
          <w:szCs w:val="23"/>
        </w:rPr>
      </w:pPr>
    </w:p>
    <w:p w:rsidR="001E1967" w:rsidRDefault="00A808A4"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current</w:t>
      </w:r>
      <w:r w:rsidR="001E1967" w:rsidRPr="001E1967">
        <w:rPr>
          <w:rFonts w:ascii="Times New Roman" w:hAnsi="Times New Roman"/>
          <w:sz w:val="24"/>
          <w:szCs w:val="24"/>
        </w:rPr>
        <w:t xml:space="preserve"> lack of reporting raises a number of issues: </w:t>
      </w:r>
    </w:p>
    <w:p w:rsidR="0010234D" w:rsidRDefault="0010234D" w:rsidP="00FE3F1F">
      <w:pPr>
        <w:pStyle w:val="ListParagraph"/>
        <w:rPr>
          <w:rFonts w:ascii="Times New Roman" w:hAnsi="Times New Roman"/>
          <w:sz w:val="24"/>
          <w:szCs w:val="24"/>
        </w:rPr>
      </w:pPr>
    </w:p>
    <w:p w:rsidR="001E1967" w:rsidRPr="001E1967" w:rsidRDefault="001E1967" w:rsidP="00F37CE6">
      <w:pPr>
        <w:pStyle w:val="Bullet-list"/>
        <w:numPr>
          <w:ilvl w:val="1"/>
          <w:numId w:val="3"/>
        </w:numPr>
        <w:tabs>
          <w:tab w:val="num" w:pos="1276"/>
        </w:tabs>
        <w:spacing w:after="0" w:line="240" w:lineRule="auto"/>
        <w:ind w:left="1276" w:hanging="567"/>
        <w:jc w:val="both"/>
        <w:rPr>
          <w:rFonts w:ascii="Times New Roman" w:hAnsi="Times New Roman"/>
          <w:sz w:val="24"/>
          <w:szCs w:val="24"/>
        </w:rPr>
      </w:pPr>
      <w:r w:rsidRPr="001E1967">
        <w:rPr>
          <w:rFonts w:ascii="Times New Roman" w:hAnsi="Times New Roman"/>
          <w:sz w:val="24"/>
          <w:szCs w:val="24"/>
        </w:rPr>
        <w:t xml:space="preserve">it is difficult to know whether employers and employees understand and are complying with their share scheme tax obligations; </w:t>
      </w:r>
    </w:p>
    <w:p w:rsidR="001E1967" w:rsidRPr="001E1967" w:rsidRDefault="001E1967" w:rsidP="00F37CE6">
      <w:pPr>
        <w:pStyle w:val="Bullet-list"/>
        <w:numPr>
          <w:ilvl w:val="1"/>
          <w:numId w:val="3"/>
        </w:numPr>
        <w:tabs>
          <w:tab w:val="num" w:pos="1276"/>
        </w:tabs>
        <w:spacing w:after="0" w:line="240" w:lineRule="auto"/>
        <w:ind w:left="1276" w:hanging="567"/>
        <w:jc w:val="both"/>
        <w:rPr>
          <w:rFonts w:ascii="Times New Roman" w:hAnsi="Times New Roman"/>
          <w:sz w:val="24"/>
          <w:szCs w:val="24"/>
        </w:rPr>
      </w:pPr>
      <w:r w:rsidRPr="001E1967">
        <w:rPr>
          <w:rFonts w:ascii="Times New Roman" w:hAnsi="Times New Roman"/>
          <w:sz w:val="24"/>
          <w:szCs w:val="24"/>
        </w:rPr>
        <w:t xml:space="preserve">employees may not have sufficient information to complete their tax return; and </w:t>
      </w:r>
    </w:p>
    <w:p w:rsidR="001E1967" w:rsidRPr="001E1967" w:rsidRDefault="001E1967" w:rsidP="00F37CE6">
      <w:pPr>
        <w:pStyle w:val="Bullet-list"/>
        <w:numPr>
          <w:ilvl w:val="1"/>
          <w:numId w:val="3"/>
        </w:numPr>
        <w:tabs>
          <w:tab w:val="num" w:pos="1276"/>
        </w:tabs>
        <w:spacing w:after="0" w:line="240" w:lineRule="auto"/>
        <w:ind w:left="1276" w:hanging="567"/>
        <w:jc w:val="both"/>
        <w:rPr>
          <w:rFonts w:ascii="Times New Roman" w:hAnsi="Times New Roman"/>
          <w:sz w:val="24"/>
          <w:szCs w:val="24"/>
        </w:rPr>
      </w:pPr>
      <w:r w:rsidRPr="001E1967">
        <w:rPr>
          <w:rFonts w:ascii="Times New Roman" w:hAnsi="Times New Roman"/>
          <w:sz w:val="24"/>
          <w:szCs w:val="24"/>
        </w:rPr>
        <w:t xml:space="preserve">there are no comprehensive statistics on how widespread employee share schemes are and what form they take. </w:t>
      </w:r>
    </w:p>
    <w:p w:rsidR="00026B35" w:rsidRDefault="00026B35" w:rsidP="00F37CE6">
      <w:pPr>
        <w:pStyle w:val="Bullet-list"/>
        <w:spacing w:after="0" w:line="240" w:lineRule="auto"/>
        <w:ind w:left="0" w:firstLine="0"/>
        <w:jc w:val="both"/>
        <w:rPr>
          <w:rFonts w:ascii="Times New Roman" w:hAnsi="Times New Roman"/>
          <w:sz w:val="24"/>
          <w:szCs w:val="24"/>
        </w:rPr>
      </w:pPr>
    </w:p>
    <w:p w:rsidR="00A808A4" w:rsidRDefault="00A808A4" w:rsidP="00F37CE6">
      <w:pPr>
        <w:pStyle w:val="Bullet-list"/>
        <w:spacing w:after="0" w:line="240" w:lineRule="auto"/>
        <w:ind w:left="0" w:firstLine="0"/>
        <w:jc w:val="both"/>
        <w:rPr>
          <w:rFonts w:ascii="Times New Roman" w:hAnsi="Times New Roman"/>
          <w:b/>
          <w:i/>
          <w:sz w:val="24"/>
          <w:szCs w:val="24"/>
        </w:rPr>
      </w:pPr>
    </w:p>
    <w:p w:rsidR="00A808A4" w:rsidRDefault="00A808A4" w:rsidP="00F37CE6">
      <w:pPr>
        <w:pStyle w:val="Bullet-list"/>
        <w:spacing w:after="0" w:line="240" w:lineRule="auto"/>
        <w:ind w:left="0" w:firstLine="0"/>
        <w:jc w:val="both"/>
        <w:rPr>
          <w:rFonts w:ascii="Times New Roman" w:hAnsi="Times New Roman"/>
          <w:b/>
          <w:i/>
          <w:sz w:val="24"/>
          <w:szCs w:val="24"/>
        </w:rPr>
      </w:pPr>
    </w:p>
    <w:p w:rsidR="000545DC" w:rsidRPr="00382FB8" w:rsidRDefault="00382FB8" w:rsidP="00F37CE6">
      <w:pPr>
        <w:pStyle w:val="Bullet-list"/>
        <w:spacing w:after="0" w:line="240" w:lineRule="auto"/>
        <w:ind w:left="0" w:firstLine="0"/>
        <w:jc w:val="both"/>
        <w:rPr>
          <w:rFonts w:ascii="Times New Roman" w:hAnsi="Times New Roman"/>
          <w:b/>
          <w:i/>
          <w:sz w:val="24"/>
          <w:szCs w:val="24"/>
        </w:rPr>
      </w:pPr>
      <w:r w:rsidRPr="00382FB8">
        <w:rPr>
          <w:rFonts w:ascii="Times New Roman" w:hAnsi="Times New Roman"/>
          <w:b/>
          <w:i/>
          <w:sz w:val="24"/>
          <w:szCs w:val="24"/>
        </w:rPr>
        <w:t>O</w:t>
      </w:r>
      <w:r w:rsidR="000545DC" w:rsidRPr="00382FB8">
        <w:rPr>
          <w:rFonts w:ascii="Times New Roman" w:hAnsi="Times New Roman"/>
          <w:b/>
          <w:i/>
          <w:sz w:val="24"/>
          <w:szCs w:val="24"/>
        </w:rPr>
        <w:t>ther government interventions/programmes</w:t>
      </w:r>
    </w:p>
    <w:p w:rsidR="00382FB8" w:rsidRDefault="00382FB8" w:rsidP="00FE3F1F">
      <w:pPr>
        <w:pStyle w:val="ListParagraph"/>
        <w:rPr>
          <w:rFonts w:ascii="Times New Roman" w:hAnsi="Times New Roman"/>
          <w:sz w:val="24"/>
          <w:szCs w:val="24"/>
        </w:rPr>
      </w:pPr>
    </w:p>
    <w:p w:rsidR="009E39BD" w:rsidRDefault="00382FB8"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382FB8">
        <w:rPr>
          <w:rFonts w:ascii="Times New Roman" w:hAnsi="Times New Roman"/>
          <w:sz w:val="24"/>
          <w:szCs w:val="24"/>
        </w:rPr>
        <w:t xml:space="preserve">The New Zealand Government is committed to removing barriers to offering these schemes – especially for start-ups.  </w:t>
      </w:r>
      <w:r w:rsidR="00A808A4">
        <w:rPr>
          <w:rFonts w:ascii="Times New Roman" w:hAnsi="Times New Roman"/>
          <w:sz w:val="24"/>
          <w:szCs w:val="24"/>
        </w:rPr>
        <w:t xml:space="preserve">Recent changes to the </w:t>
      </w:r>
      <w:r w:rsidRPr="00382FB8">
        <w:rPr>
          <w:rFonts w:ascii="Times New Roman" w:hAnsi="Times New Roman"/>
          <w:sz w:val="24"/>
          <w:szCs w:val="24"/>
        </w:rPr>
        <w:t xml:space="preserve">Financial Markets Conduct Act 2013 exempt many ESS from the requirement to offer a prospectus to employees.  This was seen as a major simplification measure and was welcomed by the business community.  </w:t>
      </w:r>
      <w:r w:rsidR="00DF140B">
        <w:rPr>
          <w:rFonts w:ascii="Times New Roman" w:hAnsi="Times New Roman"/>
          <w:sz w:val="24"/>
          <w:szCs w:val="24"/>
        </w:rPr>
        <w:t xml:space="preserve"> In the course of our consultation it was mentioned as a step which was likely to increase the use of ESS.</w:t>
      </w:r>
    </w:p>
    <w:p w:rsidR="00382FB8" w:rsidRDefault="00382FB8" w:rsidP="00F37CE6">
      <w:pPr>
        <w:pStyle w:val="Bullet-list"/>
        <w:spacing w:after="0" w:line="240" w:lineRule="auto"/>
        <w:ind w:left="0" w:firstLine="0"/>
        <w:jc w:val="both"/>
        <w:rPr>
          <w:rFonts w:ascii="Times New Roman" w:hAnsi="Times New Roman"/>
          <w:sz w:val="24"/>
          <w:szCs w:val="24"/>
        </w:rPr>
      </w:pPr>
    </w:p>
    <w:p w:rsidR="008256EE" w:rsidRPr="00F37CE6" w:rsidRDefault="008256EE" w:rsidP="00F37CE6">
      <w:pPr>
        <w:pStyle w:val="Bullet-list"/>
        <w:spacing w:after="0" w:line="240" w:lineRule="auto"/>
        <w:ind w:left="0" w:firstLine="0"/>
        <w:jc w:val="both"/>
        <w:rPr>
          <w:rFonts w:ascii="Times New Roman" w:hAnsi="Times New Roman"/>
          <w:b/>
          <w:sz w:val="24"/>
          <w:szCs w:val="24"/>
        </w:rPr>
      </w:pPr>
      <w:r w:rsidRPr="00F37CE6">
        <w:rPr>
          <w:rFonts w:ascii="Times New Roman" w:hAnsi="Times New Roman"/>
          <w:b/>
          <w:sz w:val="24"/>
          <w:szCs w:val="24"/>
        </w:rPr>
        <w:t>Problem definition</w:t>
      </w:r>
    </w:p>
    <w:p w:rsidR="008256EE" w:rsidRDefault="008256EE" w:rsidP="00F37CE6">
      <w:pPr>
        <w:pStyle w:val="Bullet-list"/>
        <w:spacing w:after="0" w:line="240" w:lineRule="auto"/>
        <w:ind w:left="0" w:firstLine="0"/>
        <w:jc w:val="both"/>
        <w:rPr>
          <w:rFonts w:ascii="Times New Roman" w:hAnsi="Times New Roman"/>
          <w:b/>
          <w:i/>
          <w:sz w:val="24"/>
          <w:szCs w:val="24"/>
        </w:rPr>
      </w:pPr>
    </w:p>
    <w:p w:rsidR="008256EE" w:rsidRPr="00F37CE6" w:rsidRDefault="008256EE"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As discussed above, in </w:t>
      </w:r>
      <w:r w:rsidRPr="00346BA7">
        <w:rPr>
          <w:rFonts w:ascii="Times New Roman" w:hAnsi="Times New Roman"/>
          <w:sz w:val="24"/>
          <w:szCs w:val="24"/>
        </w:rPr>
        <w:t>some circumstances</w:t>
      </w:r>
      <w:r w:rsidRPr="008256EE">
        <w:rPr>
          <w:rFonts w:ascii="Times New Roman" w:hAnsi="Times New Roman"/>
          <w:sz w:val="24"/>
          <w:szCs w:val="24"/>
        </w:rPr>
        <w:t xml:space="preserve"> </w:t>
      </w:r>
      <w:r>
        <w:rPr>
          <w:rFonts w:ascii="Times New Roman" w:hAnsi="Times New Roman"/>
          <w:sz w:val="24"/>
          <w:szCs w:val="24"/>
        </w:rPr>
        <w:t xml:space="preserve">the status quo results </w:t>
      </w:r>
      <w:r w:rsidRPr="00346BA7">
        <w:rPr>
          <w:rFonts w:ascii="Times New Roman" w:hAnsi="Times New Roman"/>
          <w:sz w:val="24"/>
          <w:szCs w:val="24"/>
        </w:rPr>
        <w:t>in over-taxation</w:t>
      </w:r>
      <w:r>
        <w:rPr>
          <w:rFonts w:ascii="Times New Roman" w:hAnsi="Times New Roman"/>
          <w:sz w:val="24"/>
          <w:szCs w:val="24"/>
        </w:rPr>
        <w:t xml:space="preserve"> and,</w:t>
      </w:r>
      <w:r w:rsidRPr="00346BA7">
        <w:rPr>
          <w:rFonts w:ascii="Times New Roman" w:hAnsi="Times New Roman"/>
          <w:sz w:val="24"/>
          <w:szCs w:val="24"/>
        </w:rPr>
        <w:t xml:space="preserve"> in others</w:t>
      </w:r>
      <w:r>
        <w:rPr>
          <w:rFonts w:ascii="Times New Roman" w:hAnsi="Times New Roman"/>
          <w:sz w:val="24"/>
          <w:szCs w:val="24"/>
        </w:rPr>
        <w:t>,</w:t>
      </w:r>
      <w:r w:rsidRPr="00346BA7">
        <w:rPr>
          <w:rFonts w:ascii="Times New Roman" w:hAnsi="Times New Roman"/>
          <w:sz w:val="24"/>
          <w:szCs w:val="24"/>
        </w:rPr>
        <w:t xml:space="preserve"> under-taxation.</w:t>
      </w:r>
      <w:r w:rsidRPr="00290721">
        <w:rPr>
          <w:rFonts w:ascii="Times New Roman" w:hAnsi="Times New Roman"/>
          <w:sz w:val="24"/>
          <w:szCs w:val="24"/>
        </w:rPr>
        <w:t xml:space="preserve"> </w:t>
      </w:r>
      <w:r w:rsidR="00525ED6">
        <w:rPr>
          <w:rFonts w:ascii="Times New Roman" w:hAnsi="Times New Roman"/>
          <w:sz w:val="24"/>
          <w:szCs w:val="24"/>
        </w:rPr>
        <w:t xml:space="preserve"> There are also significant administrative and compliance costs associat</w:t>
      </w:r>
      <w:r w:rsidR="00A808A4">
        <w:rPr>
          <w:rFonts w:ascii="Times New Roman" w:hAnsi="Times New Roman"/>
          <w:sz w:val="24"/>
          <w:szCs w:val="24"/>
        </w:rPr>
        <w:t>ed</w:t>
      </w:r>
      <w:r w:rsidR="00525ED6">
        <w:rPr>
          <w:rFonts w:ascii="Times New Roman" w:hAnsi="Times New Roman"/>
          <w:sz w:val="24"/>
          <w:szCs w:val="24"/>
        </w:rPr>
        <w:t xml:space="preserve"> with the status quo.  </w:t>
      </w:r>
      <w:r>
        <w:rPr>
          <w:rFonts w:ascii="Times New Roman" w:hAnsi="Times New Roman"/>
          <w:sz w:val="24"/>
          <w:szCs w:val="24"/>
        </w:rPr>
        <w:t>There is no comprehensive data to quantify the size of this problem.</w:t>
      </w:r>
    </w:p>
    <w:p w:rsidR="008256EE" w:rsidRDefault="008256EE" w:rsidP="00F37CE6">
      <w:pPr>
        <w:pStyle w:val="Bullet-list"/>
        <w:spacing w:after="0" w:line="240" w:lineRule="auto"/>
        <w:ind w:left="0" w:firstLine="0"/>
        <w:jc w:val="both"/>
        <w:rPr>
          <w:rFonts w:ascii="Times New Roman" w:hAnsi="Times New Roman"/>
          <w:b/>
          <w:i/>
          <w:sz w:val="24"/>
          <w:szCs w:val="24"/>
        </w:rPr>
      </w:pPr>
    </w:p>
    <w:p w:rsidR="008256EE" w:rsidRPr="004D5AC5" w:rsidRDefault="008256EE" w:rsidP="008256EE">
      <w:pPr>
        <w:pStyle w:val="Bullet-list"/>
        <w:spacing w:after="0" w:line="240" w:lineRule="auto"/>
        <w:ind w:left="0" w:firstLine="0"/>
        <w:jc w:val="both"/>
        <w:rPr>
          <w:rFonts w:ascii="Times New Roman" w:hAnsi="Times New Roman"/>
          <w:b/>
          <w:i/>
          <w:sz w:val="24"/>
          <w:szCs w:val="24"/>
        </w:rPr>
      </w:pPr>
      <w:r w:rsidRPr="004D5AC5">
        <w:rPr>
          <w:rFonts w:ascii="Times New Roman" w:hAnsi="Times New Roman"/>
          <w:b/>
          <w:i/>
          <w:sz w:val="24"/>
          <w:szCs w:val="24"/>
        </w:rPr>
        <w:t>Current impediments and potential over-taxation</w:t>
      </w:r>
    </w:p>
    <w:p w:rsidR="008256EE" w:rsidRDefault="008256EE" w:rsidP="008256EE">
      <w:pPr>
        <w:pStyle w:val="Chapter1"/>
        <w:numPr>
          <w:ilvl w:val="0"/>
          <w:numId w:val="0"/>
        </w:numPr>
        <w:ind w:left="851" w:hanging="851"/>
      </w:pPr>
    </w:p>
    <w:p w:rsidR="008256EE" w:rsidRPr="004D5AC5" w:rsidRDefault="008256EE"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4D5AC5">
        <w:rPr>
          <w:rFonts w:ascii="Times New Roman" w:hAnsi="Times New Roman"/>
          <w:sz w:val="24"/>
          <w:szCs w:val="24"/>
        </w:rPr>
        <w:t xml:space="preserve">The current system impedes the use of </w:t>
      </w:r>
      <w:r>
        <w:rPr>
          <w:rFonts w:ascii="Times New Roman" w:hAnsi="Times New Roman"/>
          <w:sz w:val="24"/>
          <w:szCs w:val="24"/>
        </w:rPr>
        <w:t>ESS</w:t>
      </w:r>
      <w:r w:rsidRPr="004D5AC5">
        <w:rPr>
          <w:rFonts w:ascii="Times New Roman" w:hAnsi="Times New Roman"/>
          <w:sz w:val="24"/>
          <w:szCs w:val="24"/>
        </w:rPr>
        <w:t xml:space="preserve"> in a number of ways.  These problems can be particularly relevant for start-up companies.</w:t>
      </w:r>
    </w:p>
    <w:p w:rsidR="008256EE" w:rsidRPr="00A96F15" w:rsidRDefault="008256EE" w:rsidP="008256EE">
      <w:pPr>
        <w:pStyle w:val="ListParagraph"/>
        <w:rPr>
          <w:rFonts w:ascii="Times New Roman" w:hAnsi="Times New Roman"/>
        </w:rPr>
      </w:pPr>
    </w:p>
    <w:p w:rsidR="008256EE" w:rsidRPr="00A96F15" w:rsidRDefault="008256EE" w:rsidP="008256EE">
      <w:pPr>
        <w:pStyle w:val="Chapter1"/>
        <w:numPr>
          <w:ilvl w:val="0"/>
          <w:numId w:val="7"/>
        </w:numPr>
      </w:pPr>
      <w:r w:rsidRPr="00A96F15">
        <w:t xml:space="preserve">There is considerable uncertainty about how the current </w:t>
      </w:r>
      <w:r>
        <w:t xml:space="preserve">tax </w:t>
      </w:r>
      <w:r w:rsidRPr="00A96F15">
        <w:t xml:space="preserve">rules apply to employees and employers, which may deter firms from offering these schemes. </w:t>
      </w:r>
    </w:p>
    <w:p w:rsidR="008256EE" w:rsidRPr="00A96F15" w:rsidRDefault="008256EE" w:rsidP="008256EE">
      <w:pPr>
        <w:pStyle w:val="Chapter1"/>
        <w:numPr>
          <w:ilvl w:val="0"/>
          <w:numId w:val="7"/>
        </w:numPr>
      </w:pPr>
      <w:r w:rsidRPr="00A96F15">
        <w:t>The costs to employers of providing shares to employees are not explicitly deductible.  Non-deductibility creates a disincentive to using employee share schemes.</w:t>
      </w:r>
    </w:p>
    <w:p w:rsidR="008256EE" w:rsidRPr="00A96F15" w:rsidRDefault="008256EE" w:rsidP="008256EE">
      <w:pPr>
        <w:pStyle w:val="Chapter1"/>
        <w:numPr>
          <w:ilvl w:val="0"/>
          <w:numId w:val="7"/>
        </w:numPr>
      </w:pPr>
      <w:r>
        <w:t>Unlisted, and in particular s</w:t>
      </w:r>
      <w:r w:rsidRPr="00A96F15">
        <w:t>tart-up</w:t>
      </w:r>
      <w:r>
        <w:t>,</w:t>
      </w:r>
      <w:r w:rsidRPr="00A96F15">
        <w:t xml:space="preserve"> companies may have difficulties valuing employee share scheme benefits.</w:t>
      </w:r>
    </w:p>
    <w:p w:rsidR="008256EE" w:rsidRPr="00A96F15" w:rsidRDefault="008256EE" w:rsidP="008256EE">
      <w:pPr>
        <w:pStyle w:val="Chapter1"/>
        <w:numPr>
          <w:ilvl w:val="0"/>
          <w:numId w:val="7"/>
        </w:numPr>
      </w:pPr>
      <w:r w:rsidRPr="00A96F15">
        <w:t>Start-up companies may not have sufficient cash</w:t>
      </w:r>
      <w:r>
        <w:t>-</w:t>
      </w:r>
      <w:r w:rsidRPr="00A96F15">
        <w:t>flow at the employee and employer level to fund tax payments</w:t>
      </w:r>
      <w:r>
        <w:t xml:space="preserve"> triggered by the vesting or receipt of illiquid shares</w:t>
      </w:r>
      <w:r w:rsidRPr="00A96F15">
        <w:t xml:space="preserve">.  </w:t>
      </w:r>
    </w:p>
    <w:p w:rsidR="008256EE" w:rsidRPr="004D5AC5" w:rsidRDefault="008256EE" w:rsidP="008256EE">
      <w:pPr>
        <w:pStyle w:val="Bullet-list"/>
        <w:spacing w:after="0" w:line="240" w:lineRule="auto"/>
        <w:ind w:left="0" w:firstLine="0"/>
        <w:jc w:val="both"/>
        <w:rPr>
          <w:rFonts w:ascii="Times New Roman" w:hAnsi="Times New Roman"/>
          <w:b/>
          <w:sz w:val="24"/>
          <w:szCs w:val="24"/>
        </w:rPr>
      </w:pPr>
    </w:p>
    <w:p w:rsidR="008256EE" w:rsidRPr="004D5AC5" w:rsidRDefault="008256EE" w:rsidP="008256EE">
      <w:pPr>
        <w:pStyle w:val="Bullet-list"/>
        <w:spacing w:after="0" w:line="240" w:lineRule="auto"/>
        <w:ind w:left="0" w:firstLine="0"/>
        <w:jc w:val="both"/>
        <w:rPr>
          <w:rFonts w:ascii="Times New Roman" w:hAnsi="Times New Roman"/>
          <w:b/>
          <w:i/>
          <w:sz w:val="24"/>
          <w:szCs w:val="24"/>
        </w:rPr>
      </w:pPr>
      <w:r w:rsidRPr="004D5AC5">
        <w:rPr>
          <w:rFonts w:ascii="Times New Roman" w:hAnsi="Times New Roman"/>
          <w:b/>
          <w:i/>
          <w:sz w:val="24"/>
          <w:szCs w:val="24"/>
        </w:rPr>
        <w:t>Potential under-taxation</w:t>
      </w:r>
    </w:p>
    <w:p w:rsidR="008256EE" w:rsidRPr="004D5AC5" w:rsidRDefault="008256EE" w:rsidP="008256EE">
      <w:pPr>
        <w:pStyle w:val="Bullet-list"/>
        <w:spacing w:after="0" w:line="240" w:lineRule="auto"/>
        <w:ind w:left="0" w:firstLine="0"/>
        <w:jc w:val="both"/>
        <w:rPr>
          <w:rFonts w:ascii="Times New Roman" w:hAnsi="Times New Roman"/>
          <w:b/>
          <w:sz w:val="24"/>
          <w:szCs w:val="24"/>
        </w:rPr>
      </w:pPr>
    </w:p>
    <w:p w:rsidR="008256EE" w:rsidRPr="004D5AC5" w:rsidRDefault="008256EE"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4D5AC5">
        <w:rPr>
          <w:rFonts w:ascii="Times New Roman" w:hAnsi="Times New Roman"/>
          <w:sz w:val="24"/>
          <w:szCs w:val="24"/>
        </w:rPr>
        <w:t>The current treatment of some sophisticated employee share schemes can result in taxable employment income being treated as tax-free capital gains and so escaping taxation.  This undermines the fairness of the tax system.  These sophisticated employee share schemes can provide a significant amount of untaxed employment income for some high income earners.</w:t>
      </w:r>
    </w:p>
    <w:p w:rsidR="008256EE" w:rsidRDefault="008256EE" w:rsidP="00F37CE6">
      <w:pPr>
        <w:pStyle w:val="Bullet-list"/>
        <w:spacing w:after="0" w:line="240" w:lineRule="auto"/>
        <w:ind w:left="0" w:firstLine="0"/>
        <w:jc w:val="both"/>
        <w:rPr>
          <w:rFonts w:ascii="Times New Roman" w:hAnsi="Times New Roman"/>
          <w:b/>
          <w:i/>
          <w:sz w:val="24"/>
          <w:szCs w:val="24"/>
        </w:rPr>
      </w:pPr>
    </w:p>
    <w:p w:rsidR="008256EE" w:rsidRDefault="008256EE" w:rsidP="00F37CE6">
      <w:pPr>
        <w:pStyle w:val="Bullet-list"/>
        <w:spacing w:after="0" w:line="240" w:lineRule="auto"/>
        <w:ind w:left="0" w:firstLine="0"/>
        <w:jc w:val="both"/>
        <w:rPr>
          <w:rFonts w:ascii="Times New Roman" w:hAnsi="Times New Roman"/>
          <w:b/>
          <w:i/>
          <w:sz w:val="24"/>
          <w:szCs w:val="24"/>
        </w:rPr>
      </w:pPr>
      <w:r>
        <w:rPr>
          <w:rFonts w:ascii="Times New Roman" w:hAnsi="Times New Roman"/>
          <w:b/>
          <w:i/>
          <w:sz w:val="24"/>
          <w:szCs w:val="24"/>
        </w:rPr>
        <w:t>Root causes of these problems</w:t>
      </w:r>
    </w:p>
    <w:p w:rsidR="008256EE" w:rsidRDefault="008256EE" w:rsidP="008256EE">
      <w:pPr>
        <w:pStyle w:val="spacer"/>
        <w:jc w:val="both"/>
        <w:rPr>
          <w:rFonts w:ascii="Times New Roman" w:hAnsi="Times New Roman"/>
          <w:sz w:val="24"/>
          <w:szCs w:val="24"/>
        </w:rPr>
      </w:pPr>
    </w:p>
    <w:p w:rsidR="008256EE" w:rsidRDefault="008256EE"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root causes of these problems are:</w:t>
      </w:r>
    </w:p>
    <w:p w:rsidR="008256EE" w:rsidRDefault="008256EE" w:rsidP="008256EE">
      <w:pPr>
        <w:pStyle w:val="Bullet-list"/>
        <w:spacing w:after="0" w:line="240" w:lineRule="auto"/>
        <w:ind w:left="0" w:firstLine="0"/>
        <w:jc w:val="both"/>
        <w:rPr>
          <w:rFonts w:ascii="Times New Roman" w:hAnsi="Times New Roman"/>
          <w:sz w:val="24"/>
          <w:szCs w:val="24"/>
        </w:rPr>
      </w:pPr>
    </w:p>
    <w:p w:rsidR="008256EE" w:rsidRDefault="008256EE" w:rsidP="008256EE">
      <w:pPr>
        <w:pStyle w:val="Bullet-list"/>
        <w:numPr>
          <w:ilvl w:val="1"/>
          <w:numId w:val="3"/>
        </w:numPr>
        <w:tabs>
          <w:tab w:val="num" w:pos="-99"/>
        </w:tabs>
        <w:spacing w:after="0" w:line="240" w:lineRule="auto"/>
        <w:ind w:left="927"/>
        <w:jc w:val="both"/>
        <w:rPr>
          <w:rFonts w:ascii="Times New Roman" w:hAnsi="Times New Roman"/>
          <w:sz w:val="24"/>
          <w:szCs w:val="24"/>
        </w:rPr>
      </w:pPr>
      <w:r>
        <w:rPr>
          <w:rFonts w:ascii="Times New Roman" w:hAnsi="Times New Roman"/>
          <w:sz w:val="24"/>
          <w:szCs w:val="24"/>
        </w:rPr>
        <w:t>that New Zealand does not tax capital gains, but does tax labour income.  This creates incentives and opportunities for people to recharacterise labour income as tax-free capital gains.</w:t>
      </w:r>
      <w:r w:rsidRPr="00C4659D">
        <w:rPr>
          <w:rFonts w:ascii="Times New Roman" w:hAnsi="Times New Roman"/>
          <w:sz w:val="24"/>
          <w:szCs w:val="24"/>
        </w:rPr>
        <w:t xml:space="preserve"> </w:t>
      </w:r>
      <w:r>
        <w:rPr>
          <w:rFonts w:ascii="Times New Roman" w:hAnsi="Times New Roman"/>
          <w:sz w:val="24"/>
          <w:szCs w:val="24"/>
        </w:rPr>
        <w:t>T</w:t>
      </w:r>
      <w:r w:rsidRPr="00C4659D">
        <w:rPr>
          <w:rFonts w:ascii="Times New Roman" w:hAnsi="Times New Roman"/>
          <w:sz w:val="24"/>
          <w:szCs w:val="24"/>
        </w:rPr>
        <w:t>hese transactions are possible where tax rules are unclear or contain loopholes</w:t>
      </w:r>
      <w:r>
        <w:rPr>
          <w:rFonts w:ascii="Times New Roman" w:hAnsi="Times New Roman"/>
          <w:sz w:val="24"/>
          <w:szCs w:val="24"/>
        </w:rPr>
        <w:t>;</w:t>
      </w:r>
    </w:p>
    <w:p w:rsidR="008256EE" w:rsidRDefault="008256EE" w:rsidP="008256EE">
      <w:pPr>
        <w:pStyle w:val="Bullet-list"/>
        <w:spacing w:after="0" w:line="240" w:lineRule="auto"/>
        <w:ind w:left="927" w:firstLine="0"/>
        <w:jc w:val="both"/>
        <w:rPr>
          <w:rFonts w:ascii="Times New Roman" w:hAnsi="Times New Roman"/>
          <w:sz w:val="24"/>
          <w:szCs w:val="24"/>
        </w:rPr>
      </w:pPr>
    </w:p>
    <w:p w:rsidR="008256EE" w:rsidRPr="00956212" w:rsidRDefault="008256EE" w:rsidP="008256EE">
      <w:pPr>
        <w:pStyle w:val="Bullet-list"/>
        <w:numPr>
          <w:ilvl w:val="1"/>
          <w:numId w:val="3"/>
        </w:numPr>
        <w:tabs>
          <w:tab w:val="num" w:pos="414"/>
        </w:tabs>
        <w:spacing w:after="0" w:line="240" w:lineRule="auto"/>
        <w:ind w:left="927"/>
        <w:jc w:val="both"/>
        <w:rPr>
          <w:rFonts w:ascii="Times New Roman" w:hAnsi="Times New Roman"/>
          <w:sz w:val="24"/>
          <w:szCs w:val="24"/>
        </w:rPr>
      </w:pPr>
      <w:r>
        <w:rPr>
          <w:rFonts w:ascii="Times New Roman" w:hAnsi="Times New Roman"/>
          <w:sz w:val="24"/>
          <w:szCs w:val="24"/>
        </w:rPr>
        <w:t>t</w:t>
      </w:r>
      <w:r w:rsidRPr="00C4659D">
        <w:rPr>
          <w:rFonts w:ascii="Times New Roman" w:hAnsi="Times New Roman"/>
          <w:sz w:val="24"/>
          <w:szCs w:val="24"/>
        </w:rPr>
        <w:t>he tax law relating to ESS is out of date, ambiguous and has not kept up with commercial developments</w:t>
      </w:r>
      <w:r>
        <w:rPr>
          <w:rFonts w:ascii="Times New Roman" w:hAnsi="Times New Roman"/>
          <w:sz w:val="24"/>
          <w:szCs w:val="24"/>
        </w:rPr>
        <w:t xml:space="preserve"> – the legislation was enacted in the late 1960s and early 1970s and has not been comprehensively reviewed since then.  Therefore, there</w:t>
      </w:r>
      <w:r w:rsidRPr="00C4659D">
        <w:rPr>
          <w:rFonts w:ascii="Times New Roman" w:hAnsi="Times New Roman"/>
          <w:sz w:val="24"/>
          <w:szCs w:val="24"/>
        </w:rPr>
        <w:t xml:space="preserve"> is scope for employers/employees to avoid tax on what is essentially remuneration for services.</w:t>
      </w:r>
    </w:p>
    <w:p w:rsidR="00382FB8" w:rsidRDefault="00382FB8" w:rsidP="00F37CE6">
      <w:pPr>
        <w:pStyle w:val="Bullet-list"/>
        <w:spacing w:after="0" w:line="240" w:lineRule="auto"/>
        <w:ind w:left="0" w:firstLine="0"/>
        <w:jc w:val="both"/>
        <w:rPr>
          <w:rFonts w:ascii="Times New Roman" w:hAnsi="Times New Roman"/>
          <w:sz w:val="24"/>
          <w:szCs w:val="24"/>
        </w:rPr>
      </w:pPr>
    </w:p>
    <w:p w:rsidR="009E5CBC" w:rsidRPr="00F37CE6" w:rsidRDefault="008256EE" w:rsidP="00F37CE6">
      <w:pPr>
        <w:pStyle w:val="Bullet-list"/>
        <w:spacing w:after="0" w:line="240" w:lineRule="auto"/>
        <w:ind w:left="0" w:firstLine="0"/>
        <w:jc w:val="both"/>
        <w:rPr>
          <w:rFonts w:ascii="Times New Roman" w:hAnsi="Times New Roman"/>
          <w:b/>
          <w:i/>
          <w:sz w:val="24"/>
          <w:szCs w:val="24"/>
        </w:rPr>
      </w:pPr>
      <w:r w:rsidRPr="00F37CE6">
        <w:rPr>
          <w:rFonts w:ascii="Times New Roman" w:hAnsi="Times New Roman"/>
          <w:b/>
          <w:i/>
          <w:sz w:val="24"/>
          <w:szCs w:val="24"/>
        </w:rPr>
        <w:t>Q</w:t>
      </w:r>
      <w:r w:rsidR="009E5CBC" w:rsidRPr="00F37CE6">
        <w:rPr>
          <w:rFonts w:ascii="Times New Roman" w:hAnsi="Times New Roman"/>
          <w:b/>
          <w:i/>
          <w:sz w:val="24"/>
          <w:szCs w:val="24"/>
        </w:rPr>
        <w:t>uanti</w:t>
      </w:r>
      <w:r w:rsidRPr="00F37CE6">
        <w:rPr>
          <w:rFonts w:ascii="Times New Roman" w:hAnsi="Times New Roman"/>
          <w:b/>
          <w:i/>
          <w:sz w:val="24"/>
          <w:szCs w:val="24"/>
        </w:rPr>
        <w:t>fying the costs and benefits of the status quo</w:t>
      </w:r>
    </w:p>
    <w:p w:rsidR="009E5CBC" w:rsidRPr="004342F0" w:rsidRDefault="009E5CBC" w:rsidP="00F37CE6">
      <w:pPr>
        <w:pStyle w:val="Bullet-list"/>
        <w:spacing w:after="0" w:line="240" w:lineRule="auto"/>
        <w:ind w:left="0" w:firstLine="0"/>
        <w:jc w:val="both"/>
        <w:rPr>
          <w:rFonts w:ascii="Times New Roman" w:hAnsi="Times New Roman"/>
          <w:sz w:val="24"/>
          <w:szCs w:val="24"/>
        </w:rPr>
      </w:pPr>
    </w:p>
    <w:p w:rsidR="00382FB8" w:rsidRDefault="00382FB8"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382FB8">
        <w:rPr>
          <w:rFonts w:ascii="Times New Roman" w:hAnsi="Times New Roman"/>
          <w:sz w:val="24"/>
          <w:szCs w:val="24"/>
        </w:rPr>
        <w:t xml:space="preserve">Employee share schemes are fairly widespread in New Zealand businesses.  Large listed companies use them, as do start-up companies and medium sized privately-held companies.  There are different types of schemes: high value schemes offered to a small group of senior executives, moderate value schemes offered to a wider range of managers and low value schemes offered to all employees.  Some companies offer more than one type of scheme. </w:t>
      </w:r>
    </w:p>
    <w:p w:rsidR="00382FB8" w:rsidRPr="00382FB8" w:rsidRDefault="00382FB8">
      <w:pPr>
        <w:pStyle w:val="Bullet-list"/>
        <w:spacing w:after="0" w:line="240" w:lineRule="auto"/>
        <w:ind w:left="0" w:firstLine="0"/>
        <w:jc w:val="both"/>
        <w:rPr>
          <w:rFonts w:ascii="Times New Roman" w:hAnsi="Times New Roman"/>
          <w:sz w:val="24"/>
          <w:szCs w:val="24"/>
        </w:rPr>
      </w:pPr>
    </w:p>
    <w:p w:rsidR="00382FB8" w:rsidRPr="00F37CE6" w:rsidRDefault="00382FB8"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However, there</w:t>
      </w:r>
      <w:r w:rsidRPr="00382FB8">
        <w:rPr>
          <w:rFonts w:ascii="Times New Roman" w:hAnsi="Times New Roman"/>
          <w:sz w:val="24"/>
          <w:szCs w:val="24"/>
        </w:rPr>
        <w:t xml:space="preserve"> </w:t>
      </w:r>
      <w:r w:rsidR="001A494C">
        <w:rPr>
          <w:rFonts w:ascii="Times New Roman" w:hAnsi="Times New Roman"/>
          <w:sz w:val="24"/>
          <w:szCs w:val="24"/>
        </w:rPr>
        <w:t>is</w:t>
      </w:r>
      <w:r w:rsidRPr="00382FB8">
        <w:rPr>
          <w:rFonts w:ascii="Times New Roman" w:hAnsi="Times New Roman"/>
          <w:sz w:val="24"/>
          <w:szCs w:val="24"/>
        </w:rPr>
        <w:t xml:space="preserve"> no comprehensive data on employee share schemes in New Zealand.  KPMG has recently published a survey of NZX listed companies suggesting that 78% of NZX</w:t>
      </w:r>
      <w:r w:rsidR="00525ED6">
        <w:rPr>
          <w:rFonts w:ascii="Times New Roman" w:hAnsi="Times New Roman"/>
          <w:sz w:val="24"/>
          <w:szCs w:val="24"/>
        </w:rPr>
        <w:t xml:space="preserve"> </w:t>
      </w:r>
      <w:r w:rsidRPr="00382FB8">
        <w:rPr>
          <w:rFonts w:ascii="Times New Roman" w:hAnsi="Times New Roman"/>
          <w:sz w:val="24"/>
          <w:szCs w:val="24"/>
        </w:rPr>
        <w:t>50</w:t>
      </w:r>
      <w:r w:rsidR="00525ED6">
        <w:rPr>
          <w:rFonts w:ascii="Times New Roman" w:hAnsi="Times New Roman"/>
          <w:sz w:val="24"/>
          <w:szCs w:val="24"/>
        </w:rPr>
        <w:t xml:space="preserve"> Index</w:t>
      </w:r>
      <w:r w:rsidRPr="00382FB8">
        <w:rPr>
          <w:rFonts w:ascii="Times New Roman" w:hAnsi="Times New Roman"/>
          <w:sz w:val="24"/>
          <w:szCs w:val="24"/>
        </w:rPr>
        <w:t xml:space="preserve"> companies offer at least one employee share scheme</w:t>
      </w:r>
      <w:r w:rsidR="00A808A4">
        <w:rPr>
          <w:rFonts w:ascii="Times New Roman" w:hAnsi="Times New Roman"/>
          <w:sz w:val="24"/>
          <w:szCs w:val="24"/>
        </w:rPr>
        <w:t>.</w:t>
      </w:r>
      <w:r w:rsidRPr="00F37CE6">
        <w:rPr>
          <w:rFonts w:ascii="Times New Roman" w:hAnsi="Times New Roman"/>
          <w:sz w:val="24"/>
          <w:vertAlign w:val="superscript"/>
        </w:rPr>
        <w:footnoteReference w:id="2"/>
      </w:r>
      <w:r w:rsidR="00F37CE6">
        <w:rPr>
          <w:rFonts w:ascii="Times New Roman" w:hAnsi="Times New Roman"/>
          <w:sz w:val="24"/>
          <w:szCs w:val="24"/>
        </w:rPr>
        <w:t xml:space="preserve">  </w:t>
      </w:r>
      <w:r w:rsidRPr="00F37CE6">
        <w:rPr>
          <w:rFonts w:ascii="Times New Roman" w:hAnsi="Times New Roman"/>
          <w:sz w:val="24"/>
          <w:szCs w:val="24"/>
        </w:rPr>
        <w:t>The New Zealand Venture Investment Fund (NZVIF) also published a report into the use of employee share schemes by New Zealand start-up companies.  Of the 50 companies that responded to their survey, 88% currently have a specific provision in their shareholders’ agreement/constitution allowing them to offer employee share schemes</w:t>
      </w:r>
      <w:r w:rsidR="005E2A30" w:rsidRPr="00F37CE6">
        <w:rPr>
          <w:rFonts w:ascii="Times New Roman" w:hAnsi="Times New Roman"/>
          <w:sz w:val="24"/>
          <w:szCs w:val="24"/>
        </w:rPr>
        <w:t>.</w:t>
      </w:r>
      <w:r w:rsidR="005E2A30" w:rsidRPr="00A808A4">
        <w:rPr>
          <w:rFonts w:ascii="Times New Roman" w:hAnsi="Times New Roman"/>
          <w:sz w:val="24"/>
          <w:vertAlign w:val="superscript"/>
        </w:rPr>
        <w:footnoteReference w:id="3"/>
      </w:r>
      <w:r w:rsidRPr="00A808A4">
        <w:rPr>
          <w:rFonts w:ascii="Times New Roman" w:hAnsi="Times New Roman"/>
          <w:sz w:val="24"/>
          <w:szCs w:val="24"/>
          <w:vertAlign w:val="superscript"/>
        </w:rPr>
        <w:t xml:space="preserve"> </w:t>
      </w:r>
    </w:p>
    <w:p w:rsidR="005E2A30" w:rsidRDefault="005E2A30" w:rsidP="00F37CE6">
      <w:pPr>
        <w:pStyle w:val="Bullet-list"/>
        <w:spacing w:after="0" w:line="240" w:lineRule="auto"/>
        <w:ind w:left="0" w:firstLine="0"/>
        <w:jc w:val="both"/>
        <w:rPr>
          <w:rFonts w:ascii="Times New Roman" w:hAnsi="Times New Roman"/>
          <w:sz w:val="24"/>
          <w:szCs w:val="24"/>
        </w:rPr>
      </w:pPr>
    </w:p>
    <w:p w:rsidR="005E2A30" w:rsidRDefault="005E2A30"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So officials know ESS are an important form of remuneration, but cannot be sure of the number of employees participating in different types of schemes or how much remuneration is provided through ESS.  Accordingly, officials are also unable to provide quantitative estimates of the costs and benefit of maintaining the status quo.</w:t>
      </w:r>
    </w:p>
    <w:p w:rsidR="005E2A30" w:rsidRDefault="005E2A30" w:rsidP="00F37CE6">
      <w:pPr>
        <w:pStyle w:val="Bullet-list"/>
        <w:spacing w:after="0" w:line="240" w:lineRule="auto"/>
        <w:ind w:left="0" w:firstLine="0"/>
        <w:jc w:val="both"/>
        <w:rPr>
          <w:rFonts w:ascii="Times New Roman" w:hAnsi="Times New Roman"/>
          <w:sz w:val="24"/>
          <w:szCs w:val="24"/>
        </w:rPr>
      </w:pPr>
    </w:p>
    <w:p w:rsidR="009E5CBC" w:rsidRDefault="009E5CBC"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table below lists the costs and benefits of the status quo based on anecdotal evidence. </w:t>
      </w:r>
    </w:p>
    <w:p w:rsidR="009E5CBC" w:rsidRDefault="009E5CBC">
      <w:pPr>
        <w:pStyle w:val="ListParagraph"/>
        <w:rPr>
          <w:rFonts w:ascii="Times New Roman" w:hAnsi="Times New Roman"/>
          <w:sz w:val="24"/>
          <w:szCs w:val="24"/>
        </w:rPr>
      </w:pPr>
    </w:p>
    <w:tbl>
      <w:tblPr>
        <w:tblStyle w:val="TableGrid"/>
        <w:tblW w:w="0" w:type="auto"/>
        <w:tblLook w:val="04A0" w:firstRow="1" w:lastRow="0" w:firstColumn="1" w:lastColumn="0" w:noHBand="0" w:noVBand="1"/>
      </w:tblPr>
      <w:tblGrid>
        <w:gridCol w:w="4361"/>
        <w:gridCol w:w="4926"/>
      </w:tblGrid>
      <w:tr w:rsidR="009E5CBC" w:rsidTr="00F37CE6">
        <w:tc>
          <w:tcPr>
            <w:tcW w:w="4361" w:type="dxa"/>
            <w:shd w:val="clear" w:color="auto" w:fill="000000" w:themeFill="text1"/>
          </w:tcPr>
          <w:p w:rsidR="009E5CBC" w:rsidRPr="00F37CE6" w:rsidRDefault="009E5CBC" w:rsidP="00F37CE6">
            <w:pPr>
              <w:pStyle w:val="Bullet-list"/>
              <w:spacing w:after="0" w:line="240" w:lineRule="auto"/>
              <w:ind w:left="0" w:firstLine="0"/>
              <w:rPr>
                <w:rFonts w:ascii="Times New Roman" w:hAnsi="Times New Roman"/>
                <w:b/>
                <w:sz w:val="18"/>
                <w:szCs w:val="24"/>
              </w:rPr>
            </w:pPr>
            <w:r w:rsidRPr="00F37CE6">
              <w:rPr>
                <w:rFonts w:ascii="Times New Roman" w:hAnsi="Times New Roman"/>
                <w:b/>
                <w:sz w:val="18"/>
                <w:szCs w:val="24"/>
              </w:rPr>
              <w:t>Costs of status quo</w:t>
            </w:r>
          </w:p>
        </w:tc>
        <w:tc>
          <w:tcPr>
            <w:tcW w:w="4926" w:type="dxa"/>
            <w:shd w:val="clear" w:color="auto" w:fill="000000" w:themeFill="text1"/>
          </w:tcPr>
          <w:p w:rsidR="009E5CBC" w:rsidRPr="00F37CE6" w:rsidRDefault="009E5CBC" w:rsidP="00F37CE6">
            <w:pPr>
              <w:pStyle w:val="Bullet-list"/>
              <w:spacing w:after="0" w:line="240" w:lineRule="auto"/>
              <w:ind w:left="0" w:firstLine="0"/>
              <w:rPr>
                <w:rFonts w:ascii="Times New Roman" w:hAnsi="Times New Roman"/>
                <w:b/>
                <w:sz w:val="18"/>
                <w:szCs w:val="24"/>
              </w:rPr>
            </w:pPr>
            <w:r w:rsidRPr="00F37CE6">
              <w:rPr>
                <w:rFonts w:ascii="Times New Roman" w:hAnsi="Times New Roman"/>
                <w:b/>
                <w:sz w:val="18"/>
                <w:szCs w:val="24"/>
              </w:rPr>
              <w:t>Benefits of status quo</w:t>
            </w:r>
          </w:p>
        </w:tc>
      </w:tr>
      <w:tr w:rsidR="009E5CBC" w:rsidTr="00F37CE6">
        <w:tc>
          <w:tcPr>
            <w:tcW w:w="4361" w:type="dxa"/>
          </w:tcPr>
          <w:p w:rsidR="001F0A67" w:rsidRPr="00F37CE6" w:rsidRDefault="009E5CBC" w:rsidP="00F37CE6">
            <w:pPr>
              <w:pStyle w:val="Bullet-list"/>
              <w:spacing w:after="0" w:line="240" w:lineRule="auto"/>
              <w:ind w:left="0" w:firstLine="0"/>
              <w:rPr>
                <w:rFonts w:ascii="Times New Roman" w:hAnsi="Times New Roman"/>
                <w:sz w:val="18"/>
                <w:szCs w:val="24"/>
              </w:rPr>
            </w:pPr>
            <w:r w:rsidRPr="00F37CE6">
              <w:rPr>
                <w:rFonts w:ascii="Times New Roman" w:hAnsi="Times New Roman"/>
                <w:sz w:val="18"/>
                <w:szCs w:val="24"/>
              </w:rPr>
              <w:t xml:space="preserve">Lack of </w:t>
            </w:r>
            <w:r w:rsidR="008F4D1D" w:rsidRPr="00F37CE6">
              <w:rPr>
                <w:rFonts w:ascii="Times New Roman" w:hAnsi="Times New Roman"/>
                <w:sz w:val="18"/>
                <w:szCs w:val="24"/>
              </w:rPr>
              <w:t xml:space="preserve">legislative </w:t>
            </w:r>
            <w:r w:rsidRPr="00F37CE6">
              <w:rPr>
                <w:rFonts w:ascii="Times New Roman" w:hAnsi="Times New Roman"/>
                <w:sz w:val="18"/>
                <w:szCs w:val="24"/>
              </w:rPr>
              <w:t>certainty increases compliance and administrative costs</w:t>
            </w:r>
            <w:r w:rsidR="008F4D1D" w:rsidRPr="00F37CE6">
              <w:rPr>
                <w:rFonts w:ascii="Times New Roman" w:hAnsi="Times New Roman"/>
                <w:sz w:val="18"/>
                <w:szCs w:val="24"/>
              </w:rPr>
              <w:t>.</w:t>
            </w:r>
            <w:r w:rsidRPr="00F37CE6">
              <w:rPr>
                <w:rFonts w:ascii="Times New Roman" w:hAnsi="Times New Roman"/>
                <w:sz w:val="18"/>
                <w:szCs w:val="24"/>
              </w:rPr>
              <w:t xml:space="preserve"> </w:t>
            </w:r>
            <w:r w:rsidR="00525ED6" w:rsidRPr="00F37CE6">
              <w:rPr>
                <w:rFonts w:ascii="Times New Roman" w:hAnsi="Times New Roman"/>
                <w:sz w:val="18"/>
                <w:szCs w:val="24"/>
              </w:rPr>
              <w:t xml:space="preserve"> Examples of legislative uncertainty include: whether the law currently requires a widely-offered scheme to have a loan and what the “acquisition” point is for shares.</w:t>
            </w:r>
          </w:p>
        </w:tc>
        <w:tc>
          <w:tcPr>
            <w:tcW w:w="4926" w:type="dxa"/>
          </w:tcPr>
          <w:p w:rsidR="009E5CBC" w:rsidRPr="00F37CE6" w:rsidRDefault="009E5CBC" w:rsidP="00F37CE6">
            <w:pPr>
              <w:pStyle w:val="Bullet-list"/>
              <w:spacing w:after="0" w:line="240" w:lineRule="auto"/>
              <w:ind w:left="0" w:firstLine="0"/>
              <w:rPr>
                <w:rFonts w:ascii="Times New Roman" w:hAnsi="Times New Roman"/>
                <w:sz w:val="18"/>
                <w:szCs w:val="24"/>
              </w:rPr>
            </w:pPr>
            <w:r w:rsidRPr="00F37CE6">
              <w:rPr>
                <w:rFonts w:ascii="Times New Roman" w:hAnsi="Times New Roman"/>
                <w:sz w:val="18"/>
                <w:szCs w:val="24"/>
              </w:rPr>
              <w:t>Rules have been in place for 40 years so companies have bedded in ESS arrangements.  Maintaining the status quo avoids companies and Inland Revenue having to incur the costs associated with changing schemes and systems.</w:t>
            </w:r>
          </w:p>
        </w:tc>
      </w:tr>
      <w:tr w:rsidR="009E5CBC" w:rsidTr="00F37CE6">
        <w:tc>
          <w:tcPr>
            <w:tcW w:w="4361" w:type="dxa"/>
          </w:tcPr>
          <w:p w:rsidR="001F0A67" w:rsidRPr="00F37CE6" w:rsidRDefault="009E5CBC" w:rsidP="00FE3F1F">
            <w:pPr>
              <w:pStyle w:val="Bullet-list"/>
              <w:spacing w:after="0" w:line="240" w:lineRule="auto"/>
              <w:ind w:left="0" w:firstLine="0"/>
              <w:rPr>
                <w:rFonts w:ascii="Times New Roman" w:hAnsi="Times New Roman"/>
                <w:sz w:val="18"/>
                <w:szCs w:val="24"/>
              </w:rPr>
            </w:pPr>
            <w:r w:rsidRPr="00F37CE6">
              <w:rPr>
                <w:rFonts w:ascii="Times New Roman" w:hAnsi="Times New Roman"/>
                <w:sz w:val="18"/>
                <w:szCs w:val="24"/>
              </w:rPr>
              <w:t xml:space="preserve">Efficiency costs as employers structure arrangements to provide tax-free capital gains instead of </w:t>
            </w:r>
            <w:r w:rsidR="00075D26" w:rsidRPr="00F37CE6">
              <w:rPr>
                <w:rFonts w:ascii="Times New Roman" w:hAnsi="Times New Roman"/>
                <w:sz w:val="18"/>
                <w:szCs w:val="24"/>
              </w:rPr>
              <w:t xml:space="preserve">providing </w:t>
            </w:r>
            <w:r w:rsidRPr="00F37CE6">
              <w:rPr>
                <w:rFonts w:ascii="Times New Roman" w:hAnsi="Times New Roman"/>
                <w:sz w:val="18"/>
                <w:szCs w:val="24"/>
              </w:rPr>
              <w:t xml:space="preserve">taxable labour income – </w:t>
            </w:r>
            <w:r w:rsidR="00075D26" w:rsidRPr="00F37CE6">
              <w:rPr>
                <w:rFonts w:ascii="Times New Roman" w:hAnsi="Times New Roman"/>
                <w:sz w:val="18"/>
                <w:szCs w:val="24"/>
              </w:rPr>
              <w:t xml:space="preserve">this </w:t>
            </w:r>
            <w:r w:rsidRPr="00F37CE6">
              <w:rPr>
                <w:rFonts w:ascii="Times New Roman" w:hAnsi="Times New Roman"/>
                <w:sz w:val="18"/>
                <w:szCs w:val="24"/>
              </w:rPr>
              <w:t xml:space="preserve">may result in an inefficiently high </w:t>
            </w:r>
            <w:r w:rsidR="00DF140B" w:rsidRPr="00F37CE6">
              <w:rPr>
                <w:rFonts w:ascii="Times New Roman" w:hAnsi="Times New Roman"/>
                <w:sz w:val="18"/>
                <w:szCs w:val="24"/>
              </w:rPr>
              <w:t>amount of ESS income</w:t>
            </w:r>
            <w:r w:rsidRPr="00F37CE6">
              <w:rPr>
                <w:rFonts w:ascii="Times New Roman" w:hAnsi="Times New Roman"/>
                <w:sz w:val="18"/>
                <w:szCs w:val="24"/>
              </w:rPr>
              <w:t xml:space="preserve">.  </w:t>
            </w:r>
          </w:p>
        </w:tc>
        <w:tc>
          <w:tcPr>
            <w:tcW w:w="4926" w:type="dxa"/>
          </w:tcPr>
          <w:p w:rsidR="009E5CBC" w:rsidRPr="00F37CE6" w:rsidRDefault="009E5CBC" w:rsidP="00F37CE6">
            <w:pPr>
              <w:pStyle w:val="Bullet-list"/>
              <w:spacing w:after="0" w:line="240" w:lineRule="auto"/>
              <w:ind w:left="0" w:firstLine="0"/>
              <w:rPr>
                <w:rFonts w:ascii="Times New Roman" w:hAnsi="Times New Roman"/>
                <w:sz w:val="18"/>
                <w:szCs w:val="24"/>
              </w:rPr>
            </w:pPr>
            <w:r w:rsidRPr="00F37CE6">
              <w:rPr>
                <w:rFonts w:ascii="Times New Roman" w:hAnsi="Times New Roman"/>
                <w:sz w:val="18"/>
                <w:szCs w:val="24"/>
              </w:rPr>
              <w:t xml:space="preserve">Some </w:t>
            </w:r>
            <w:r w:rsidR="00525ED6" w:rsidRPr="00F37CE6">
              <w:rPr>
                <w:rFonts w:ascii="Times New Roman" w:hAnsi="Times New Roman"/>
                <w:sz w:val="18"/>
                <w:szCs w:val="24"/>
              </w:rPr>
              <w:t xml:space="preserve">private sector advisors and companies </w:t>
            </w:r>
            <w:r w:rsidRPr="00F37CE6">
              <w:rPr>
                <w:rFonts w:ascii="Times New Roman" w:hAnsi="Times New Roman"/>
                <w:sz w:val="18"/>
                <w:szCs w:val="24"/>
              </w:rPr>
              <w:t xml:space="preserve">argue being able to access capital gains tax-free adds to incentive effects and allows companies to </w:t>
            </w:r>
            <w:r w:rsidR="00DF140B" w:rsidRPr="00F37CE6">
              <w:rPr>
                <w:rFonts w:ascii="Times New Roman" w:hAnsi="Times New Roman"/>
                <w:sz w:val="18"/>
                <w:szCs w:val="24"/>
              </w:rPr>
              <w:t xml:space="preserve">more easily </w:t>
            </w:r>
            <w:r w:rsidRPr="00F37CE6">
              <w:rPr>
                <w:rFonts w:ascii="Times New Roman" w:hAnsi="Times New Roman"/>
                <w:sz w:val="18"/>
                <w:szCs w:val="24"/>
              </w:rPr>
              <w:t>attract skilled workers.</w:t>
            </w:r>
          </w:p>
        </w:tc>
      </w:tr>
      <w:tr w:rsidR="009E5CBC" w:rsidTr="00F37CE6">
        <w:tc>
          <w:tcPr>
            <w:tcW w:w="4361" w:type="dxa"/>
          </w:tcPr>
          <w:p w:rsidR="001F0A67" w:rsidRPr="00F37CE6" w:rsidRDefault="009E5CBC" w:rsidP="00F37CE6">
            <w:pPr>
              <w:pStyle w:val="Bullet-list"/>
              <w:spacing w:after="0" w:line="240" w:lineRule="auto"/>
              <w:ind w:left="0" w:firstLine="0"/>
              <w:rPr>
                <w:rFonts w:ascii="Times New Roman" w:hAnsi="Times New Roman"/>
                <w:sz w:val="18"/>
                <w:szCs w:val="24"/>
              </w:rPr>
            </w:pPr>
            <w:r w:rsidRPr="00F37CE6">
              <w:rPr>
                <w:rFonts w:ascii="Times New Roman" w:hAnsi="Times New Roman"/>
                <w:sz w:val="18"/>
                <w:szCs w:val="24"/>
              </w:rPr>
              <w:t>Unnecessary transaction costs to implement complicated tax-driven structures</w:t>
            </w:r>
            <w:r w:rsidR="008F4D1D" w:rsidRPr="00F37CE6">
              <w:rPr>
                <w:rFonts w:ascii="Times New Roman" w:hAnsi="Times New Roman"/>
                <w:sz w:val="18"/>
                <w:szCs w:val="24"/>
              </w:rPr>
              <w:t xml:space="preserve"> to achieve tax-free gain/a deduction for the employer when one would not otherwise be available</w:t>
            </w:r>
            <w:r w:rsidRPr="00F37CE6">
              <w:rPr>
                <w:rFonts w:ascii="Times New Roman" w:hAnsi="Times New Roman"/>
                <w:sz w:val="18"/>
                <w:szCs w:val="24"/>
              </w:rPr>
              <w:t>.</w:t>
            </w:r>
          </w:p>
        </w:tc>
        <w:tc>
          <w:tcPr>
            <w:tcW w:w="4926" w:type="dxa"/>
          </w:tcPr>
          <w:p w:rsidR="009E5CBC" w:rsidRPr="00F37CE6" w:rsidRDefault="009E5CBC" w:rsidP="00F37CE6">
            <w:pPr>
              <w:pStyle w:val="Bullet-list"/>
              <w:spacing w:after="0" w:line="240" w:lineRule="auto"/>
              <w:ind w:left="0" w:firstLine="0"/>
              <w:rPr>
                <w:rFonts w:ascii="Times New Roman" w:hAnsi="Times New Roman"/>
                <w:sz w:val="18"/>
                <w:szCs w:val="24"/>
              </w:rPr>
            </w:pPr>
          </w:p>
        </w:tc>
      </w:tr>
      <w:tr w:rsidR="009E5CBC" w:rsidTr="00F37CE6">
        <w:tc>
          <w:tcPr>
            <w:tcW w:w="4361" w:type="dxa"/>
          </w:tcPr>
          <w:p w:rsidR="001F0A67" w:rsidRPr="00F37CE6" w:rsidRDefault="009E5CBC" w:rsidP="00A808A4">
            <w:pPr>
              <w:pStyle w:val="Bullet-list"/>
              <w:spacing w:after="0" w:line="240" w:lineRule="auto"/>
              <w:ind w:left="0" w:firstLine="0"/>
              <w:rPr>
                <w:rFonts w:ascii="Times New Roman" w:hAnsi="Times New Roman"/>
                <w:sz w:val="18"/>
                <w:szCs w:val="24"/>
              </w:rPr>
            </w:pPr>
            <w:r w:rsidRPr="00F37CE6">
              <w:rPr>
                <w:rFonts w:ascii="Times New Roman" w:hAnsi="Times New Roman"/>
                <w:sz w:val="18"/>
                <w:szCs w:val="24"/>
              </w:rPr>
              <w:t>Equity costs – people who are able to participate in ESS and obtain tax-free capital gains are advantaged versus those who</w:t>
            </w:r>
            <w:r w:rsidR="00DF140B" w:rsidRPr="00F37CE6">
              <w:rPr>
                <w:rFonts w:ascii="Times New Roman" w:hAnsi="Times New Roman"/>
                <w:sz w:val="18"/>
                <w:szCs w:val="24"/>
              </w:rPr>
              <w:t xml:space="preserve"> can</w:t>
            </w:r>
            <w:r w:rsidR="00525ED6" w:rsidRPr="00F37CE6">
              <w:rPr>
                <w:rFonts w:ascii="Times New Roman" w:hAnsi="Times New Roman"/>
                <w:sz w:val="18"/>
                <w:szCs w:val="24"/>
              </w:rPr>
              <w:t xml:space="preserve"> only</w:t>
            </w:r>
            <w:r w:rsidRPr="00F37CE6">
              <w:rPr>
                <w:rFonts w:ascii="Times New Roman" w:hAnsi="Times New Roman"/>
                <w:sz w:val="18"/>
                <w:szCs w:val="24"/>
              </w:rPr>
              <w:t xml:space="preserve"> earn taxable salary and wages</w:t>
            </w:r>
            <w:r w:rsidR="00A808A4">
              <w:rPr>
                <w:rFonts w:ascii="Times New Roman" w:hAnsi="Times New Roman"/>
                <w:sz w:val="18"/>
                <w:szCs w:val="24"/>
              </w:rPr>
              <w:t>.</w:t>
            </w:r>
          </w:p>
        </w:tc>
        <w:tc>
          <w:tcPr>
            <w:tcW w:w="4926" w:type="dxa"/>
          </w:tcPr>
          <w:p w:rsidR="009E5CBC" w:rsidRPr="00F37CE6" w:rsidRDefault="009E5CBC" w:rsidP="00F37CE6">
            <w:pPr>
              <w:pStyle w:val="Bullet-list"/>
              <w:spacing w:after="0" w:line="240" w:lineRule="auto"/>
              <w:ind w:left="0" w:firstLine="0"/>
              <w:rPr>
                <w:rFonts w:ascii="Times New Roman" w:hAnsi="Times New Roman"/>
                <w:sz w:val="18"/>
                <w:szCs w:val="24"/>
              </w:rPr>
            </w:pPr>
          </w:p>
        </w:tc>
      </w:tr>
      <w:tr w:rsidR="009E5CBC" w:rsidTr="00F37CE6">
        <w:tc>
          <w:tcPr>
            <w:tcW w:w="4361" w:type="dxa"/>
          </w:tcPr>
          <w:p w:rsidR="001F0A67" w:rsidRPr="00F37CE6" w:rsidRDefault="008F4D1D" w:rsidP="00FE3F1F">
            <w:pPr>
              <w:pStyle w:val="Bullet-list"/>
              <w:spacing w:after="0" w:line="240" w:lineRule="auto"/>
              <w:ind w:left="0" w:firstLine="0"/>
              <w:rPr>
                <w:rFonts w:ascii="Times New Roman" w:hAnsi="Times New Roman"/>
                <w:sz w:val="18"/>
                <w:szCs w:val="24"/>
              </w:rPr>
            </w:pPr>
            <w:r w:rsidRPr="00F37CE6">
              <w:rPr>
                <w:rFonts w:ascii="Times New Roman" w:hAnsi="Times New Roman"/>
                <w:sz w:val="18"/>
                <w:szCs w:val="24"/>
              </w:rPr>
              <w:t xml:space="preserve">There is a cost to Government revenue as some labour income currently goes untaxed (this is mitigated to some extent by the lack of deduction at the employer level).  </w:t>
            </w:r>
          </w:p>
        </w:tc>
        <w:tc>
          <w:tcPr>
            <w:tcW w:w="4926" w:type="dxa"/>
          </w:tcPr>
          <w:p w:rsidR="009E5CBC" w:rsidRPr="00F37CE6" w:rsidRDefault="009E5CBC" w:rsidP="00F37CE6">
            <w:pPr>
              <w:pStyle w:val="Bullet-list"/>
              <w:spacing w:after="0" w:line="240" w:lineRule="auto"/>
              <w:ind w:left="0" w:firstLine="0"/>
              <w:rPr>
                <w:rFonts w:ascii="Times New Roman" w:hAnsi="Times New Roman"/>
                <w:sz w:val="18"/>
                <w:szCs w:val="24"/>
              </w:rPr>
            </w:pPr>
          </w:p>
        </w:tc>
      </w:tr>
    </w:tbl>
    <w:p w:rsidR="009E5CBC" w:rsidRDefault="009E5CBC" w:rsidP="00FE3F1F">
      <w:pPr>
        <w:pStyle w:val="Bullet-list"/>
        <w:spacing w:after="0" w:line="240" w:lineRule="auto"/>
        <w:ind w:left="0" w:firstLine="0"/>
        <w:jc w:val="both"/>
        <w:rPr>
          <w:rFonts w:ascii="Times New Roman" w:hAnsi="Times New Roman"/>
          <w:sz w:val="24"/>
          <w:szCs w:val="24"/>
        </w:rPr>
      </w:pPr>
    </w:p>
    <w:p w:rsidR="003230AE" w:rsidRDefault="003230AE" w:rsidP="00F37CE6">
      <w:pPr>
        <w:pStyle w:val="RISheading"/>
        <w:jc w:val="both"/>
        <w:rPr>
          <w:spacing w:val="0"/>
          <w:w w:val="100"/>
        </w:rPr>
      </w:pPr>
      <w:bookmarkStart w:id="16" w:name="_Toc244580364"/>
      <w:bookmarkStart w:id="17" w:name="_Toc244587040"/>
      <w:bookmarkStart w:id="18" w:name="_Toc244857274"/>
      <w:bookmarkStart w:id="19" w:name="_Toc244912539"/>
      <w:bookmarkStart w:id="20" w:name="_Toc244916996"/>
    </w:p>
    <w:p w:rsidR="000545DC" w:rsidRPr="004342F0" w:rsidRDefault="00D943DD" w:rsidP="00F37CE6">
      <w:pPr>
        <w:pStyle w:val="RISheading"/>
        <w:jc w:val="both"/>
        <w:rPr>
          <w:spacing w:val="0"/>
          <w:w w:val="100"/>
        </w:rPr>
      </w:pPr>
      <w:r w:rsidRPr="004342F0">
        <w:rPr>
          <w:spacing w:val="0"/>
          <w:w w:val="100"/>
        </w:rPr>
        <w:t>OBJECTIVES</w:t>
      </w:r>
      <w:bookmarkEnd w:id="16"/>
      <w:bookmarkEnd w:id="17"/>
      <w:bookmarkEnd w:id="18"/>
      <w:bookmarkEnd w:id="19"/>
      <w:bookmarkEnd w:id="20"/>
    </w:p>
    <w:p w:rsidR="00784E24" w:rsidRPr="00784E24" w:rsidRDefault="00784E24"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bookmarkStart w:id="21" w:name="_Ref464138734"/>
      <w:r w:rsidRPr="00784E24">
        <w:rPr>
          <w:rFonts w:ascii="Times New Roman" w:hAnsi="Times New Roman"/>
          <w:sz w:val="24"/>
          <w:szCs w:val="24"/>
        </w:rPr>
        <w:t xml:space="preserve">The </w:t>
      </w:r>
      <w:r w:rsidR="00C90F89" w:rsidRPr="00C90F89">
        <w:rPr>
          <w:rFonts w:ascii="Times New Roman" w:hAnsi="Times New Roman"/>
          <w:b/>
          <w:sz w:val="24"/>
          <w:szCs w:val="24"/>
        </w:rPr>
        <w:t xml:space="preserve">main </w:t>
      </w:r>
      <w:r w:rsidRPr="00C90F89">
        <w:rPr>
          <w:rFonts w:ascii="Times New Roman" w:hAnsi="Times New Roman"/>
          <w:b/>
          <w:sz w:val="24"/>
          <w:szCs w:val="24"/>
        </w:rPr>
        <w:t>objective</w:t>
      </w:r>
      <w:r w:rsidRPr="00784E24">
        <w:rPr>
          <w:rFonts w:ascii="Times New Roman" w:hAnsi="Times New Roman"/>
          <w:sz w:val="24"/>
          <w:szCs w:val="24"/>
        </w:rPr>
        <w:t xml:space="preserve"> of this reform is to modernise and improve the tax</w:t>
      </w:r>
      <w:r>
        <w:rPr>
          <w:rFonts w:ascii="Times New Roman" w:hAnsi="Times New Roman"/>
          <w:sz w:val="24"/>
          <w:szCs w:val="24"/>
        </w:rPr>
        <w:t>ation of</w:t>
      </w:r>
      <w:r w:rsidRPr="00784E24">
        <w:rPr>
          <w:rFonts w:ascii="Times New Roman" w:hAnsi="Times New Roman"/>
          <w:sz w:val="24"/>
          <w:szCs w:val="24"/>
        </w:rPr>
        <w:t xml:space="preserve"> ESS </w:t>
      </w:r>
      <w:r>
        <w:rPr>
          <w:rFonts w:ascii="Times New Roman" w:hAnsi="Times New Roman"/>
          <w:sz w:val="24"/>
          <w:szCs w:val="24"/>
        </w:rPr>
        <w:t xml:space="preserve">so it </w:t>
      </w:r>
      <w:r w:rsidRPr="00784E24">
        <w:rPr>
          <w:rFonts w:ascii="Times New Roman" w:hAnsi="Times New Roman"/>
          <w:sz w:val="24"/>
          <w:szCs w:val="24"/>
        </w:rPr>
        <w:t>is simple, efficient and fair.</w:t>
      </w:r>
      <w:bookmarkEnd w:id="21"/>
    </w:p>
    <w:p w:rsidR="00956212" w:rsidRDefault="00956212" w:rsidP="00F37CE6">
      <w:pPr>
        <w:pStyle w:val="Bullet-list"/>
        <w:spacing w:after="0" w:line="240" w:lineRule="auto"/>
        <w:ind w:left="0" w:firstLine="0"/>
        <w:jc w:val="both"/>
        <w:rPr>
          <w:rFonts w:ascii="Times New Roman" w:hAnsi="Times New Roman"/>
          <w:sz w:val="24"/>
          <w:szCs w:val="24"/>
        </w:rPr>
      </w:pPr>
    </w:p>
    <w:p w:rsidR="00956212" w:rsidRDefault="00C90F89"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bookmarkStart w:id="22" w:name="_Ref464139126"/>
      <w:r w:rsidRPr="00C90F89">
        <w:rPr>
          <w:rFonts w:ascii="Times New Roman" w:hAnsi="Times New Roman"/>
          <w:sz w:val="24"/>
          <w:szCs w:val="24"/>
        </w:rPr>
        <w:t xml:space="preserve">All options are assessed against the status quo in relation to the main objective and the following </w:t>
      </w:r>
      <w:r w:rsidR="00204D51" w:rsidRPr="00204D51">
        <w:rPr>
          <w:rFonts w:ascii="Times New Roman" w:hAnsi="Times New Roman"/>
          <w:b/>
          <w:sz w:val="24"/>
          <w:szCs w:val="24"/>
        </w:rPr>
        <w:t xml:space="preserve">five </w:t>
      </w:r>
      <w:r w:rsidRPr="00204D51">
        <w:rPr>
          <w:rFonts w:ascii="Times New Roman" w:hAnsi="Times New Roman"/>
          <w:b/>
          <w:sz w:val="24"/>
          <w:szCs w:val="24"/>
        </w:rPr>
        <w:t>criteria</w:t>
      </w:r>
      <w:r w:rsidRPr="00C90F89">
        <w:rPr>
          <w:rFonts w:ascii="Times New Roman" w:hAnsi="Times New Roman"/>
          <w:sz w:val="24"/>
          <w:szCs w:val="24"/>
        </w:rPr>
        <w:t>:</w:t>
      </w:r>
      <w:bookmarkEnd w:id="22"/>
    </w:p>
    <w:p w:rsidR="00C90F89" w:rsidRPr="00C90F89" w:rsidRDefault="00C90F89" w:rsidP="00F37CE6">
      <w:pPr>
        <w:pStyle w:val="Bullet-list"/>
        <w:spacing w:after="0" w:line="240" w:lineRule="auto"/>
        <w:ind w:left="0" w:firstLine="0"/>
        <w:jc w:val="both"/>
        <w:rPr>
          <w:rFonts w:ascii="Times New Roman" w:hAnsi="Times New Roman"/>
          <w:sz w:val="24"/>
          <w:szCs w:val="24"/>
        </w:rPr>
      </w:pPr>
    </w:p>
    <w:p w:rsidR="001F0A67" w:rsidRDefault="00956212" w:rsidP="00F37CE6">
      <w:pPr>
        <w:pStyle w:val="Bullet-list"/>
        <w:numPr>
          <w:ilvl w:val="1"/>
          <w:numId w:val="3"/>
        </w:numPr>
        <w:tabs>
          <w:tab w:val="num" w:pos="-99"/>
        </w:tabs>
        <w:spacing w:after="0" w:line="240" w:lineRule="auto"/>
        <w:ind w:left="927"/>
        <w:jc w:val="both"/>
      </w:pPr>
      <w:r w:rsidRPr="00A7425B">
        <w:rPr>
          <w:rFonts w:ascii="Times New Roman" w:hAnsi="Times New Roman"/>
          <w:b/>
          <w:sz w:val="24"/>
          <w:szCs w:val="24"/>
        </w:rPr>
        <w:t>Neutrality</w:t>
      </w:r>
      <w:r>
        <w:rPr>
          <w:rFonts w:ascii="Times New Roman" w:hAnsi="Times New Roman"/>
          <w:sz w:val="24"/>
          <w:szCs w:val="24"/>
        </w:rPr>
        <w:t xml:space="preserve"> – t</w:t>
      </w:r>
      <w:r w:rsidR="0073516C" w:rsidRPr="00956212">
        <w:rPr>
          <w:rFonts w:ascii="Times New Roman" w:hAnsi="Times New Roman"/>
          <w:sz w:val="24"/>
          <w:szCs w:val="24"/>
        </w:rPr>
        <w:t>his means that the imposition of tax should not affect the form in which employees are paid.  Tax neutrality is a core part of New Zealand’s general BBLR approach to taxation.</w:t>
      </w:r>
      <w:r w:rsidR="0073516C" w:rsidRPr="00C90F89">
        <w:rPr>
          <w:rFonts w:ascii="Times New Roman" w:hAnsi="Times New Roman"/>
          <w:sz w:val="24"/>
          <w:szCs w:val="24"/>
        </w:rPr>
        <w:t xml:space="preserve"> </w:t>
      </w:r>
      <w:r>
        <w:rPr>
          <w:rFonts w:ascii="Times New Roman" w:hAnsi="Times New Roman"/>
          <w:sz w:val="24"/>
          <w:szCs w:val="24"/>
        </w:rPr>
        <w:t xml:space="preserve"> </w:t>
      </w:r>
      <w:r w:rsidR="0073516C" w:rsidRPr="00956212">
        <w:rPr>
          <w:rFonts w:ascii="Times New Roman" w:hAnsi="Times New Roman"/>
          <w:sz w:val="24"/>
          <w:szCs w:val="24"/>
        </w:rPr>
        <w:t>Tax neutral treatment of the employment income means, as much as possible, we should tax all types of employee remuneration, whether paid in cash or shares</w:t>
      </w:r>
      <w:r w:rsidR="00B32AC2">
        <w:rPr>
          <w:rFonts w:ascii="Times New Roman" w:hAnsi="Times New Roman"/>
          <w:sz w:val="24"/>
          <w:szCs w:val="24"/>
        </w:rPr>
        <w:t xml:space="preserve"> or other assets</w:t>
      </w:r>
      <w:r w:rsidR="0073516C" w:rsidRPr="00956212">
        <w:rPr>
          <w:rFonts w:ascii="Times New Roman" w:hAnsi="Times New Roman"/>
          <w:sz w:val="24"/>
          <w:szCs w:val="24"/>
        </w:rPr>
        <w:t xml:space="preserve">, consistently; and ensure that taxation does not </w:t>
      </w:r>
      <w:r w:rsidR="001F0A67">
        <w:rPr>
          <w:rFonts w:ascii="Times New Roman" w:hAnsi="Times New Roman"/>
          <w:sz w:val="24"/>
          <w:szCs w:val="24"/>
        </w:rPr>
        <w:t>distort</w:t>
      </w:r>
      <w:r w:rsidR="0073516C" w:rsidRPr="00956212">
        <w:rPr>
          <w:rFonts w:ascii="Times New Roman" w:hAnsi="Times New Roman"/>
          <w:sz w:val="24"/>
          <w:szCs w:val="24"/>
        </w:rPr>
        <w:t xml:space="preserve"> remuneration decisions.</w:t>
      </w:r>
      <w:r w:rsidR="001F0A67">
        <w:rPr>
          <w:rFonts w:ascii="Times New Roman" w:hAnsi="Times New Roman"/>
          <w:sz w:val="24"/>
          <w:szCs w:val="24"/>
        </w:rPr>
        <w:t xml:space="preserve">  </w:t>
      </w:r>
      <w:r w:rsidR="001F0A67" w:rsidRPr="00F37CE6">
        <w:rPr>
          <w:rFonts w:ascii="Times New Roman" w:hAnsi="Times New Roman"/>
          <w:sz w:val="24"/>
          <w:szCs w:val="24"/>
        </w:rPr>
        <w:t>This ensures employees are remunerated in the most economically efficient (rather than the most tax efficient) form.</w:t>
      </w:r>
      <w:r w:rsidR="001F0A67">
        <w:rPr>
          <w:rFonts w:ascii="Times New Roman" w:hAnsi="Times New Roman"/>
          <w:sz w:val="24"/>
          <w:szCs w:val="24"/>
        </w:rPr>
        <w:t xml:space="preserve">  </w:t>
      </w:r>
      <w:r w:rsidR="001F0A67" w:rsidRPr="00F37CE6">
        <w:rPr>
          <w:rFonts w:ascii="Times New Roman" w:hAnsi="Times New Roman"/>
          <w:sz w:val="24"/>
          <w:szCs w:val="24"/>
        </w:rPr>
        <w:t xml:space="preserve">An alternative approach would be to provide tax concessions for employee share schemes. </w:t>
      </w:r>
      <w:r w:rsidR="001F0A67">
        <w:rPr>
          <w:rFonts w:ascii="Times New Roman" w:hAnsi="Times New Roman"/>
          <w:sz w:val="24"/>
          <w:szCs w:val="24"/>
        </w:rPr>
        <w:t>In our view, is only appropriate to consider tax concessions if there are positive externalities associated with an activity – that is positive benefits to wider society, not just benefits captured by the parties to the arrangements.  B</w:t>
      </w:r>
      <w:r w:rsidR="001F0A67" w:rsidRPr="00F37CE6">
        <w:rPr>
          <w:rFonts w:ascii="Times New Roman" w:hAnsi="Times New Roman"/>
          <w:sz w:val="24"/>
          <w:szCs w:val="24"/>
        </w:rPr>
        <w:t xml:space="preserve">ecause there is no evidence that </w:t>
      </w:r>
      <w:r w:rsidR="001F0A67">
        <w:rPr>
          <w:rFonts w:ascii="Times New Roman" w:hAnsi="Times New Roman"/>
          <w:sz w:val="24"/>
          <w:szCs w:val="24"/>
        </w:rPr>
        <w:t xml:space="preserve">ESS </w:t>
      </w:r>
      <w:r w:rsidR="001F0A67" w:rsidRPr="00F37CE6">
        <w:rPr>
          <w:rFonts w:ascii="Times New Roman" w:hAnsi="Times New Roman"/>
          <w:sz w:val="24"/>
          <w:szCs w:val="24"/>
        </w:rPr>
        <w:t xml:space="preserve">provide positive externalities the best tax </w:t>
      </w:r>
      <w:r w:rsidR="0098146A">
        <w:rPr>
          <w:rFonts w:ascii="Times New Roman" w:hAnsi="Times New Roman"/>
          <w:sz w:val="24"/>
          <w:szCs w:val="24"/>
        </w:rPr>
        <w:t xml:space="preserve">policy </w:t>
      </w:r>
      <w:r w:rsidR="001F0A67" w:rsidRPr="00F37CE6">
        <w:rPr>
          <w:rFonts w:ascii="Times New Roman" w:hAnsi="Times New Roman"/>
          <w:sz w:val="24"/>
          <w:szCs w:val="24"/>
        </w:rPr>
        <w:t xml:space="preserve">framework for </w:t>
      </w:r>
      <w:r w:rsidR="0098146A">
        <w:rPr>
          <w:rFonts w:ascii="Times New Roman" w:hAnsi="Times New Roman"/>
          <w:sz w:val="24"/>
          <w:szCs w:val="24"/>
        </w:rPr>
        <w:t>ESS</w:t>
      </w:r>
      <w:r w:rsidR="001F0A67" w:rsidRPr="00F37CE6">
        <w:rPr>
          <w:rFonts w:ascii="Times New Roman" w:hAnsi="Times New Roman"/>
          <w:sz w:val="24"/>
          <w:szCs w:val="24"/>
        </w:rPr>
        <w:t xml:space="preserve"> is one that is neutral.</w:t>
      </w:r>
      <w:r w:rsidR="001F0A67">
        <w:t xml:space="preserve"> </w:t>
      </w:r>
    </w:p>
    <w:p w:rsidR="001F0A67" w:rsidRDefault="001F0A67" w:rsidP="00F37CE6">
      <w:pPr>
        <w:pStyle w:val="Bullet-list"/>
        <w:tabs>
          <w:tab w:val="num" w:pos="3141"/>
        </w:tabs>
        <w:spacing w:after="0" w:line="240" w:lineRule="auto"/>
        <w:ind w:left="720" w:firstLine="0"/>
        <w:jc w:val="both"/>
        <w:rPr>
          <w:rFonts w:ascii="Times New Roman" w:hAnsi="Times New Roman"/>
          <w:sz w:val="24"/>
          <w:szCs w:val="24"/>
        </w:rPr>
      </w:pPr>
    </w:p>
    <w:p w:rsidR="006B0853" w:rsidRDefault="00784E24">
      <w:pPr>
        <w:pStyle w:val="Bullet-list"/>
        <w:numPr>
          <w:ilvl w:val="1"/>
          <w:numId w:val="3"/>
        </w:numPr>
        <w:tabs>
          <w:tab w:val="num" w:pos="-99"/>
        </w:tabs>
        <w:spacing w:after="0" w:line="240" w:lineRule="auto"/>
        <w:ind w:left="927"/>
        <w:jc w:val="both"/>
        <w:rPr>
          <w:rFonts w:ascii="Times New Roman" w:hAnsi="Times New Roman"/>
          <w:sz w:val="24"/>
          <w:szCs w:val="24"/>
        </w:rPr>
      </w:pPr>
      <w:r w:rsidRPr="00A7425B">
        <w:rPr>
          <w:rFonts w:ascii="Times New Roman" w:hAnsi="Times New Roman"/>
          <w:b/>
          <w:sz w:val="24"/>
          <w:szCs w:val="24"/>
        </w:rPr>
        <w:t xml:space="preserve">Equity </w:t>
      </w:r>
      <w:r w:rsidR="00C90F89">
        <w:rPr>
          <w:rFonts w:ascii="Times New Roman" w:hAnsi="Times New Roman"/>
          <w:sz w:val="24"/>
          <w:szCs w:val="24"/>
        </w:rPr>
        <w:t>–</w:t>
      </w:r>
      <w:r>
        <w:rPr>
          <w:rFonts w:ascii="Times New Roman" w:hAnsi="Times New Roman"/>
          <w:sz w:val="24"/>
          <w:szCs w:val="24"/>
        </w:rPr>
        <w:t xml:space="preserve"> </w:t>
      </w:r>
      <w:r w:rsidR="006B0853" w:rsidRPr="000E1ED6">
        <w:rPr>
          <w:rFonts w:ascii="Times New Roman" w:hAnsi="Times New Roman"/>
          <w:sz w:val="24"/>
          <w:szCs w:val="24"/>
        </w:rPr>
        <w:t>to support fairness in the tax system, options should, to the extent possible, seek to treat similar taxpayers in similar circumstances in a similar way.</w:t>
      </w:r>
      <w:r w:rsidR="006B0853">
        <w:rPr>
          <w:rFonts w:ascii="Times New Roman" w:hAnsi="Times New Roman"/>
          <w:sz w:val="24"/>
          <w:szCs w:val="24"/>
        </w:rPr>
        <w:t xml:space="preserve">  In particular:</w:t>
      </w:r>
    </w:p>
    <w:p w:rsidR="00784E24" w:rsidRDefault="006B0853" w:rsidP="00F37CE6">
      <w:pPr>
        <w:pStyle w:val="Bullet-list"/>
        <w:numPr>
          <w:ilvl w:val="2"/>
          <w:numId w:val="3"/>
        </w:numPr>
        <w:tabs>
          <w:tab w:val="clear" w:pos="3861"/>
          <w:tab w:val="num" w:pos="2835"/>
        </w:tabs>
        <w:spacing w:after="0" w:line="240" w:lineRule="auto"/>
        <w:ind w:left="2835" w:hanging="425"/>
        <w:jc w:val="both"/>
        <w:rPr>
          <w:rFonts w:ascii="Times New Roman" w:hAnsi="Times New Roman"/>
          <w:sz w:val="24"/>
          <w:szCs w:val="24"/>
        </w:rPr>
      </w:pPr>
      <w:r>
        <w:rPr>
          <w:rFonts w:ascii="Times New Roman" w:hAnsi="Times New Roman"/>
          <w:sz w:val="24"/>
          <w:szCs w:val="24"/>
        </w:rPr>
        <w:t>employees paid in shares should not have a tax advantage compared to employees receiving cash salary and wages; and</w:t>
      </w:r>
    </w:p>
    <w:p w:rsidR="006B0853" w:rsidRDefault="006B0853" w:rsidP="00F37CE6">
      <w:pPr>
        <w:pStyle w:val="Bullet-list"/>
        <w:numPr>
          <w:ilvl w:val="2"/>
          <w:numId w:val="3"/>
        </w:numPr>
        <w:tabs>
          <w:tab w:val="clear" w:pos="3861"/>
          <w:tab w:val="num" w:pos="2835"/>
        </w:tabs>
        <w:spacing w:after="0" w:line="240" w:lineRule="auto"/>
        <w:ind w:left="2835" w:hanging="425"/>
        <w:jc w:val="both"/>
        <w:rPr>
          <w:rFonts w:ascii="Times New Roman" w:hAnsi="Times New Roman"/>
          <w:sz w:val="24"/>
          <w:szCs w:val="24"/>
        </w:rPr>
      </w:pPr>
      <w:r>
        <w:rPr>
          <w:rFonts w:ascii="Times New Roman" w:hAnsi="Times New Roman"/>
          <w:sz w:val="24"/>
          <w:szCs w:val="24"/>
        </w:rPr>
        <w:t>employers paying employees in shares should not be disadvantaged compared to employers paying cash.</w:t>
      </w:r>
    </w:p>
    <w:p w:rsidR="001F0A67" w:rsidRDefault="001F0A67" w:rsidP="00F37CE6">
      <w:pPr>
        <w:pStyle w:val="Bullet-list"/>
        <w:spacing w:after="0" w:line="240" w:lineRule="auto"/>
        <w:ind w:left="2160" w:firstLine="0"/>
        <w:jc w:val="both"/>
        <w:rPr>
          <w:rFonts w:ascii="Times New Roman" w:hAnsi="Times New Roman"/>
          <w:sz w:val="24"/>
          <w:szCs w:val="24"/>
        </w:rPr>
      </w:pPr>
    </w:p>
    <w:p w:rsidR="00C90F89" w:rsidRDefault="00C90F89">
      <w:pPr>
        <w:pStyle w:val="Bullet-list"/>
        <w:numPr>
          <w:ilvl w:val="1"/>
          <w:numId w:val="3"/>
        </w:numPr>
        <w:tabs>
          <w:tab w:val="num" w:pos="-99"/>
        </w:tabs>
        <w:spacing w:after="0" w:line="240" w:lineRule="auto"/>
        <w:ind w:left="927"/>
        <w:jc w:val="both"/>
        <w:rPr>
          <w:rFonts w:ascii="Times New Roman" w:hAnsi="Times New Roman"/>
          <w:sz w:val="24"/>
          <w:szCs w:val="24"/>
        </w:rPr>
      </w:pPr>
      <w:r w:rsidRPr="001123BE">
        <w:rPr>
          <w:rFonts w:ascii="Times New Roman" w:hAnsi="Times New Roman"/>
          <w:b/>
          <w:sz w:val="24"/>
          <w:szCs w:val="24"/>
        </w:rPr>
        <w:t>Compliance costs</w:t>
      </w:r>
      <w:r w:rsidRPr="00C90F89">
        <w:rPr>
          <w:rFonts w:ascii="Times New Roman" w:hAnsi="Times New Roman"/>
          <w:sz w:val="24"/>
          <w:szCs w:val="24"/>
        </w:rPr>
        <w:t xml:space="preserve"> </w:t>
      </w:r>
      <w:r w:rsidR="00824906">
        <w:rPr>
          <w:rFonts w:ascii="Times New Roman" w:hAnsi="Times New Roman"/>
          <w:sz w:val="24"/>
          <w:szCs w:val="24"/>
        </w:rPr>
        <w:t>–</w:t>
      </w:r>
      <w:r w:rsidR="001F0A67">
        <w:rPr>
          <w:rFonts w:ascii="Times New Roman" w:hAnsi="Times New Roman"/>
          <w:sz w:val="24"/>
          <w:szCs w:val="24"/>
        </w:rPr>
        <w:t xml:space="preserve"> </w:t>
      </w:r>
      <w:r w:rsidR="00824906">
        <w:rPr>
          <w:rFonts w:ascii="Times New Roman" w:hAnsi="Times New Roman"/>
          <w:sz w:val="24"/>
          <w:szCs w:val="24"/>
        </w:rPr>
        <w:t>compliance costs to businesses and employees</w:t>
      </w:r>
      <w:r w:rsidR="001F0A67">
        <w:rPr>
          <w:rFonts w:ascii="Times New Roman" w:hAnsi="Times New Roman"/>
          <w:sz w:val="24"/>
          <w:szCs w:val="24"/>
        </w:rPr>
        <w:t xml:space="preserve"> should be minimised as much as possible</w:t>
      </w:r>
      <w:r w:rsidR="00824906">
        <w:rPr>
          <w:rFonts w:ascii="Times New Roman" w:hAnsi="Times New Roman"/>
          <w:sz w:val="24"/>
          <w:szCs w:val="24"/>
        </w:rPr>
        <w:t>.</w:t>
      </w:r>
    </w:p>
    <w:p w:rsidR="001F0A67" w:rsidRPr="00C90F89" w:rsidRDefault="001F0A67" w:rsidP="00F37CE6">
      <w:pPr>
        <w:pStyle w:val="Bullet-list"/>
        <w:tabs>
          <w:tab w:val="num" w:pos="3141"/>
        </w:tabs>
        <w:spacing w:after="0" w:line="240" w:lineRule="auto"/>
        <w:ind w:left="927" w:firstLine="0"/>
        <w:jc w:val="both"/>
        <w:rPr>
          <w:rFonts w:ascii="Times New Roman" w:hAnsi="Times New Roman"/>
          <w:sz w:val="24"/>
          <w:szCs w:val="24"/>
        </w:rPr>
      </w:pPr>
    </w:p>
    <w:p w:rsidR="00C90F89" w:rsidRDefault="00C90F89">
      <w:pPr>
        <w:pStyle w:val="Bullet-list"/>
        <w:numPr>
          <w:ilvl w:val="1"/>
          <w:numId w:val="3"/>
        </w:numPr>
        <w:tabs>
          <w:tab w:val="num" w:pos="-99"/>
        </w:tabs>
        <w:spacing w:after="0" w:line="240" w:lineRule="auto"/>
        <w:ind w:left="927"/>
        <w:jc w:val="both"/>
        <w:rPr>
          <w:rFonts w:ascii="Times New Roman" w:hAnsi="Times New Roman"/>
          <w:sz w:val="24"/>
          <w:szCs w:val="24"/>
        </w:rPr>
      </w:pPr>
      <w:r w:rsidRPr="001123BE">
        <w:rPr>
          <w:rFonts w:ascii="Times New Roman" w:hAnsi="Times New Roman"/>
          <w:b/>
          <w:sz w:val="24"/>
          <w:szCs w:val="24"/>
        </w:rPr>
        <w:t>Administrative costs</w:t>
      </w:r>
      <w:r w:rsidRPr="00C90F89">
        <w:rPr>
          <w:rFonts w:ascii="Times New Roman" w:hAnsi="Times New Roman"/>
          <w:sz w:val="24"/>
          <w:szCs w:val="24"/>
        </w:rPr>
        <w:t xml:space="preserve"> </w:t>
      </w:r>
      <w:r w:rsidR="00F11542">
        <w:rPr>
          <w:rFonts w:ascii="Times New Roman" w:hAnsi="Times New Roman"/>
          <w:sz w:val="24"/>
          <w:szCs w:val="24"/>
        </w:rPr>
        <w:t>–</w:t>
      </w:r>
      <w:r w:rsidR="001F0A67">
        <w:rPr>
          <w:rFonts w:ascii="Times New Roman" w:hAnsi="Times New Roman"/>
          <w:sz w:val="24"/>
          <w:szCs w:val="24"/>
        </w:rPr>
        <w:t xml:space="preserve"> </w:t>
      </w:r>
      <w:r w:rsidR="00824906">
        <w:rPr>
          <w:rFonts w:ascii="Times New Roman" w:hAnsi="Times New Roman"/>
          <w:sz w:val="24"/>
          <w:szCs w:val="24"/>
        </w:rPr>
        <w:t>administrative costs for Inland Revenue</w:t>
      </w:r>
      <w:r w:rsidR="001F0A67">
        <w:rPr>
          <w:rFonts w:ascii="Times New Roman" w:hAnsi="Times New Roman"/>
          <w:sz w:val="24"/>
          <w:szCs w:val="24"/>
        </w:rPr>
        <w:t xml:space="preserve"> should be minimised as much as possible</w:t>
      </w:r>
      <w:r w:rsidR="00824906">
        <w:rPr>
          <w:rFonts w:ascii="Times New Roman" w:hAnsi="Times New Roman"/>
          <w:sz w:val="24"/>
          <w:szCs w:val="24"/>
        </w:rPr>
        <w:t>.</w:t>
      </w:r>
    </w:p>
    <w:p w:rsidR="001F0A67" w:rsidRDefault="001F0A67" w:rsidP="00F37CE6">
      <w:pPr>
        <w:pStyle w:val="Bullet-list"/>
        <w:tabs>
          <w:tab w:val="num" w:pos="3141"/>
        </w:tabs>
        <w:spacing w:after="0" w:line="240" w:lineRule="auto"/>
        <w:ind w:left="927" w:firstLine="0"/>
        <w:jc w:val="both"/>
        <w:rPr>
          <w:rFonts w:ascii="Times New Roman" w:hAnsi="Times New Roman"/>
          <w:sz w:val="24"/>
          <w:szCs w:val="24"/>
        </w:rPr>
      </w:pPr>
    </w:p>
    <w:p w:rsidR="00F11542" w:rsidRDefault="00F11542">
      <w:pPr>
        <w:pStyle w:val="Bullet-list"/>
        <w:numPr>
          <w:ilvl w:val="1"/>
          <w:numId w:val="3"/>
        </w:numPr>
        <w:tabs>
          <w:tab w:val="num" w:pos="-99"/>
        </w:tabs>
        <w:spacing w:after="0" w:line="240" w:lineRule="auto"/>
        <w:ind w:left="927"/>
        <w:jc w:val="both"/>
        <w:rPr>
          <w:rFonts w:ascii="Times New Roman" w:hAnsi="Times New Roman"/>
          <w:sz w:val="24"/>
          <w:szCs w:val="24"/>
        </w:rPr>
      </w:pPr>
      <w:r w:rsidRPr="001123BE">
        <w:rPr>
          <w:rFonts w:ascii="Times New Roman" w:hAnsi="Times New Roman"/>
          <w:b/>
          <w:sz w:val="24"/>
          <w:szCs w:val="24"/>
        </w:rPr>
        <w:t>Integrity</w:t>
      </w:r>
      <w:r>
        <w:rPr>
          <w:rFonts w:ascii="Times New Roman" w:hAnsi="Times New Roman"/>
          <w:i/>
          <w:sz w:val="24"/>
          <w:szCs w:val="24"/>
        </w:rPr>
        <w:t xml:space="preserve"> </w:t>
      </w:r>
      <w:r w:rsidR="00824906">
        <w:rPr>
          <w:rFonts w:ascii="Times New Roman" w:hAnsi="Times New Roman"/>
          <w:sz w:val="24"/>
          <w:szCs w:val="24"/>
        </w:rPr>
        <w:t>–</w:t>
      </w:r>
      <w:r>
        <w:rPr>
          <w:rFonts w:ascii="Times New Roman" w:hAnsi="Times New Roman"/>
          <w:sz w:val="24"/>
          <w:szCs w:val="24"/>
        </w:rPr>
        <w:t xml:space="preserve"> </w:t>
      </w:r>
      <w:r w:rsidR="00824906">
        <w:rPr>
          <w:rFonts w:ascii="Times New Roman" w:hAnsi="Times New Roman"/>
          <w:sz w:val="24"/>
          <w:szCs w:val="24"/>
        </w:rPr>
        <w:t>options should safegu</w:t>
      </w:r>
      <w:r w:rsidR="001F0A67">
        <w:rPr>
          <w:rFonts w:ascii="Times New Roman" w:hAnsi="Times New Roman"/>
          <w:sz w:val="24"/>
          <w:szCs w:val="24"/>
        </w:rPr>
        <w:t>a</w:t>
      </w:r>
      <w:r w:rsidR="00824906">
        <w:rPr>
          <w:rFonts w:ascii="Times New Roman" w:hAnsi="Times New Roman"/>
          <w:sz w:val="24"/>
          <w:szCs w:val="24"/>
        </w:rPr>
        <w:t>rd the tax system against tax avoidance and evasion.  The options should also contribute to a coherent set of rules for taxing labour income.</w:t>
      </w:r>
    </w:p>
    <w:p w:rsidR="001F0A67" w:rsidRDefault="001F0A67" w:rsidP="00F37CE6">
      <w:pPr>
        <w:pStyle w:val="Bullet-list"/>
        <w:tabs>
          <w:tab w:val="num" w:pos="3141"/>
        </w:tabs>
        <w:spacing w:after="0" w:line="240" w:lineRule="auto"/>
        <w:jc w:val="both"/>
        <w:rPr>
          <w:rFonts w:ascii="Times New Roman" w:hAnsi="Times New Roman"/>
          <w:sz w:val="24"/>
          <w:szCs w:val="24"/>
        </w:rPr>
      </w:pPr>
    </w:p>
    <w:p w:rsidR="001F0A67" w:rsidRPr="00F37CE6" w:rsidRDefault="001F0A67" w:rsidP="00F37CE6">
      <w:pPr>
        <w:pStyle w:val="Bullet-list"/>
        <w:tabs>
          <w:tab w:val="num" w:pos="3141"/>
        </w:tabs>
        <w:spacing w:after="0" w:line="240" w:lineRule="auto"/>
        <w:jc w:val="both"/>
        <w:rPr>
          <w:rFonts w:ascii="Times New Roman" w:hAnsi="Times New Roman"/>
          <w:b/>
          <w:i/>
          <w:sz w:val="24"/>
          <w:szCs w:val="24"/>
        </w:rPr>
      </w:pPr>
      <w:r w:rsidRPr="00F37CE6">
        <w:rPr>
          <w:rFonts w:ascii="Times New Roman" w:hAnsi="Times New Roman"/>
          <w:b/>
          <w:i/>
          <w:sz w:val="24"/>
          <w:szCs w:val="24"/>
        </w:rPr>
        <w:t>Constraints</w:t>
      </w:r>
    </w:p>
    <w:p w:rsidR="001F0A67" w:rsidRDefault="001F0A67" w:rsidP="00F37CE6">
      <w:pPr>
        <w:pStyle w:val="Bullet-list"/>
        <w:tabs>
          <w:tab w:val="num" w:pos="3141"/>
        </w:tabs>
        <w:spacing w:after="0" w:line="240" w:lineRule="auto"/>
        <w:jc w:val="both"/>
        <w:rPr>
          <w:rFonts w:ascii="Times New Roman" w:hAnsi="Times New Roman"/>
          <w:sz w:val="24"/>
          <w:szCs w:val="24"/>
        </w:rPr>
      </w:pPr>
    </w:p>
    <w:p w:rsidR="001F0A67" w:rsidRDefault="001F0A67"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We were also constrained in terms of the administrative options we were able to consider because of Inland Revenue’s current Business Transformation pro</w:t>
      </w:r>
      <w:r w:rsidR="00F37CE6">
        <w:rPr>
          <w:rFonts w:ascii="Times New Roman" w:hAnsi="Times New Roman"/>
          <w:sz w:val="24"/>
          <w:szCs w:val="24"/>
        </w:rPr>
        <w:t>gramme</w:t>
      </w:r>
      <w:r>
        <w:rPr>
          <w:rFonts w:ascii="Times New Roman" w:hAnsi="Times New Roman"/>
          <w:sz w:val="24"/>
          <w:szCs w:val="24"/>
        </w:rPr>
        <w:t>.</w:t>
      </w:r>
    </w:p>
    <w:p w:rsidR="001F0A67" w:rsidRDefault="001F0A67" w:rsidP="00F37CE6">
      <w:pPr>
        <w:pStyle w:val="Bullet-list"/>
        <w:tabs>
          <w:tab w:val="num" w:pos="3141"/>
        </w:tabs>
        <w:spacing w:after="0" w:line="240" w:lineRule="auto"/>
        <w:jc w:val="both"/>
        <w:rPr>
          <w:rFonts w:ascii="Times New Roman" w:hAnsi="Times New Roman"/>
          <w:sz w:val="24"/>
          <w:szCs w:val="24"/>
        </w:rPr>
      </w:pPr>
    </w:p>
    <w:p w:rsidR="001F0A67" w:rsidRPr="00F37CE6" w:rsidRDefault="001F0A67" w:rsidP="00F37CE6">
      <w:pPr>
        <w:pStyle w:val="Bullet-list"/>
        <w:tabs>
          <w:tab w:val="num" w:pos="3141"/>
        </w:tabs>
        <w:spacing w:after="0" w:line="240" w:lineRule="auto"/>
        <w:jc w:val="both"/>
        <w:rPr>
          <w:rFonts w:ascii="Times New Roman" w:hAnsi="Times New Roman"/>
          <w:b/>
          <w:i/>
          <w:sz w:val="24"/>
          <w:szCs w:val="24"/>
        </w:rPr>
      </w:pPr>
      <w:r w:rsidRPr="00F37CE6">
        <w:rPr>
          <w:rFonts w:ascii="Times New Roman" w:hAnsi="Times New Roman"/>
          <w:b/>
          <w:i/>
          <w:sz w:val="24"/>
          <w:szCs w:val="24"/>
        </w:rPr>
        <w:t>Trade-offs</w:t>
      </w:r>
    </w:p>
    <w:p w:rsidR="001F0A67" w:rsidRDefault="001F0A67" w:rsidP="00F37CE6">
      <w:pPr>
        <w:pStyle w:val="Bullet-list"/>
        <w:tabs>
          <w:tab w:val="num" w:pos="3141"/>
        </w:tabs>
        <w:spacing w:after="0" w:line="240" w:lineRule="auto"/>
        <w:jc w:val="both"/>
        <w:rPr>
          <w:rFonts w:ascii="Times New Roman" w:hAnsi="Times New Roman"/>
          <w:sz w:val="24"/>
          <w:szCs w:val="24"/>
        </w:rPr>
      </w:pPr>
    </w:p>
    <w:p w:rsidR="001F0A67" w:rsidRDefault="0098146A" w:rsidP="001F0A67">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There are</w:t>
      </w:r>
      <w:r w:rsidR="001F0A67">
        <w:rPr>
          <w:rFonts w:ascii="Times New Roman" w:hAnsi="Times New Roman"/>
          <w:sz w:val="24"/>
          <w:szCs w:val="24"/>
        </w:rPr>
        <w:t xml:space="preserve"> trade-offs between the various </w:t>
      </w:r>
      <w:r>
        <w:rPr>
          <w:rFonts w:ascii="Times New Roman" w:hAnsi="Times New Roman"/>
          <w:sz w:val="24"/>
          <w:szCs w:val="24"/>
        </w:rPr>
        <w:t>criteria</w:t>
      </w:r>
      <w:r w:rsidR="001F0A67">
        <w:rPr>
          <w:rFonts w:ascii="Times New Roman" w:hAnsi="Times New Roman"/>
          <w:sz w:val="24"/>
          <w:szCs w:val="24"/>
        </w:rPr>
        <w:t>.</w:t>
      </w:r>
    </w:p>
    <w:p w:rsidR="001F0A67" w:rsidRDefault="001F0A67" w:rsidP="00F37CE6">
      <w:pPr>
        <w:pStyle w:val="Bullet-list"/>
        <w:spacing w:after="0" w:line="240" w:lineRule="auto"/>
        <w:ind w:left="0" w:firstLine="0"/>
        <w:jc w:val="both"/>
        <w:rPr>
          <w:rFonts w:ascii="Times New Roman" w:hAnsi="Times New Roman"/>
          <w:sz w:val="24"/>
          <w:szCs w:val="24"/>
        </w:rPr>
      </w:pPr>
    </w:p>
    <w:p w:rsidR="000E0344" w:rsidRDefault="001F0A67" w:rsidP="001F0A67">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particular, </w:t>
      </w:r>
      <w:r w:rsidR="0098146A">
        <w:rPr>
          <w:rFonts w:ascii="Times New Roman" w:hAnsi="Times New Roman"/>
          <w:sz w:val="24"/>
          <w:szCs w:val="24"/>
        </w:rPr>
        <w:t>there is</w:t>
      </w:r>
      <w:r w:rsidR="000E0344">
        <w:rPr>
          <w:rFonts w:ascii="Times New Roman" w:hAnsi="Times New Roman"/>
          <w:sz w:val="24"/>
          <w:szCs w:val="24"/>
        </w:rPr>
        <w:t xml:space="preserve"> </w:t>
      </w:r>
      <w:r w:rsidR="0098146A">
        <w:rPr>
          <w:rFonts w:ascii="Times New Roman" w:hAnsi="Times New Roman"/>
          <w:sz w:val="24"/>
          <w:szCs w:val="24"/>
        </w:rPr>
        <w:t xml:space="preserve">a </w:t>
      </w:r>
      <w:r>
        <w:rPr>
          <w:rFonts w:ascii="Times New Roman" w:hAnsi="Times New Roman"/>
          <w:sz w:val="24"/>
          <w:szCs w:val="24"/>
        </w:rPr>
        <w:t>trade-off</w:t>
      </w:r>
      <w:r w:rsidR="000E0344">
        <w:rPr>
          <w:rFonts w:ascii="Times New Roman" w:hAnsi="Times New Roman"/>
          <w:sz w:val="24"/>
          <w:szCs w:val="24"/>
        </w:rPr>
        <w:t xml:space="preserve"> between </w:t>
      </w:r>
      <w:r w:rsidR="0098146A">
        <w:rPr>
          <w:rFonts w:ascii="Times New Roman" w:hAnsi="Times New Roman"/>
          <w:sz w:val="24"/>
          <w:szCs w:val="24"/>
        </w:rPr>
        <w:t>minimising</w:t>
      </w:r>
      <w:r w:rsidR="000E0344">
        <w:rPr>
          <w:rFonts w:ascii="Times New Roman" w:hAnsi="Times New Roman"/>
          <w:sz w:val="24"/>
          <w:szCs w:val="24"/>
        </w:rPr>
        <w:t xml:space="preserve"> administrative and compliance costs, and increasing the integrity and equity of the system.  </w:t>
      </w:r>
      <w:r w:rsidR="0098146A">
        <w:rPr>
          <w:rFonts w:ascii="Times New Roman" w:hAnsi="Times New Roman"/>
          <w:sz w:val="24"/>
          <w:szCs w:val="24"/>
        </w:rPr>
        <w:t>In the case of executive level schemes, more</w:t>
      </w:r>
      <w:r w:rsidR="000E0344">
        <w:rPr>
          <w:rFonts w:ascii="Times New Roman" w:hAnsi="Times New Roman"/>
          <w:sz w:val="24"/>
          <w:szCs w:val="24"/>
        </w:rPr>
        <w:t xml:space="preserve"> weight</w:t>
      </w:r>
      <w:r w:rsidR="0098146A">
        <w:rPr>
          <w:rFonts w:ascii="Times New Roman" w:hAnsi="Times New Roman"/>
          <w:sz w:val="24"/>
          <w:szCs w:val="24"/>
        </w:rPr>
        <w:t xml:space="preserve"> is placed</w:t>
      </w:r>
      <w:r w:rsidR="000E0344">
        <w:rPr>
          <w:rFonts w:ascii="Times New Roman" w:hAnsi="Times New Roman"/>
          <w:sz w:val="24"/>
          <w:szCs w:val="24"/>
        </w:rPr>
        <w:t xml:space="preserve"> </w:t>
      </w:r>
      <w:r w:rsidR="00F37CE6">
        <w:rPr>
          <w:rFonts w:ascii="Times New Roman" w:hAnsi="Times New Roman"/>
          <w:sz w:val="24"/>
          <w:szCs w:val="24"/>
        </w:rPr>
        <w:t>on</w:t>
      </w:r>
      <w:r w:rsidR="000E0344">
        <w:rPr>
          <w:rFonts w:ascii="Times New Roman" w:hAnsi="Times New Roman"/>
          <w:sz w:val="24"/>
          <w:szCs w:val="24"/>
        </w:rPr>
        <w:t xml:space="preserve"> increasing equity and integrity than </w:t>
      </w:r>
      <w:r w:rsidR="0098146A">
        <w:rPr>
          <w:rFonts w:ascii="Times New Roman" w:hAnsi="Times New Roman"/>
          <w:sz w:val="24"/>
          <w:szCs w:val="24"/>
        </w:rPr>
        <w:t>minimising</w:t>
      </w:r>
      <w:r w:rsidR="000E0344">
        <w:rPr>
          <w:rFonts w:ascii="Times New Roman" w:hAnsi="Times New Roman"/>
          <w:sz w:val="24"/>
          <w:szCs w:val="24"/>
        </w:rPr>
        <w:t xml:space="preserve"> compliance costs.  This is because there are often high levels of remuneration being provided through these schemes and compliance costs are relatively smaller as a proportion of </w:t>
      </w:r>
      <w:r w:rsidR="00F37CE6">
        <w:rPr>
          <w:rFonts w:ascii="Times New Roman" w:hAnsi="Times New Roman"/>
          <w:sz w:val="24"/>
          <w:szCs w:val="24"/>
        </w:rPr>
        <w:t xml:space="preserve">the </w:t>
      </w:r>
      <w:r w:rsidR="000E0344">
        <w:rPr>
          <w:rFonts w:ascii="Times New Roman" w:hAnsi="Times New Roman"/>
          <w:sz w:val="24"/>
          <w:szCs w:val="24"/>
        </w:rPr>
        <w:t xml:space="preserve">remuneration being provided.  This </w:t>
      </w:r>
      <w:r w:rsidR="00F37CE6">
        <w:rPr>
          <w:rFonts w:ascii="Times New Roman" w:hAnsi="Times New Roman"/>
          <w:sz w:val="24"/>
          <w:szCs w:val="24"/>
        </w:rPr>
        <w:t xml:space="preserve">high level of benefit </w:t>
      </w:r>
      <w:r w:rsidR="000E0344">
        <w:rPr>
          <w:rFonts w:ascii="Times New Roman" w:hAnsi="Times New Roman"/>
          <w:sz w:val="24"/>
          <w:szCs w:val="24"/>
        </w:rPr>
        <w:t>also makes integrity and equity relatively more important.</w:t>
      </w:r>
    </w:p>
    <w:p w:rsidR="000E0344" w:rsidRDefault="000E0344" w:rsidP="00F37CE6">
      <w:pPr>
        <w:pStyle w:val="ListParagraph"/>
        <w:rPr>
          <w:rFonts w:ascii="Times New Roman" w:hAnsi="Times New Roman"/>
          <w:sz w:val="24"/>
          <w:szCs w:val="24"/>
        </w:rPr>
      </w:pPr>
    </w:p>
    <w:p w:rsidR="001F0A67" w:rsidRDefault="000E0344" w:rsidP="001F0A67">
      <w:pPr>
        <w:pStyle w:val="Bullet-list"/>
        <w:numPr>
          <w:ilvl w:val="0"/>
          <w:numId w:val="3"/>
        </w:numPr>
        <w:tabs>
          <w:tab w:val="num" w:pos="567"/>
          <w:tab w:val="num" w:pos="3141"/>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the case of the widely-offered schemes, </w:t>
      </w:r>
      <w:r w:rsidR="0098146A">
        <w:rPr>
          <w:rFonts w:ascii="Times New Roman" w:hAnsi="Times New Roman"/>
          <w:sz w:val="24"/>
          <w:szCs w:val="24"/>
        </w:rPr>
        <w:t>there is a</w:t>
      </w:r>
      <w:r>
        <w:rPr>
          <w:rFonts w:ascii="Times New Roman" w:hAnsi="Times New Roman"/>
          <w:sz w:val="24"/>
          <w:szCs w:val="24"/>
        </w:rPr>
        <w:t xml:space="preserve"> trade-off </w:t>
      </w:r>
      <w:r w:rsidR="0098146A">
        <w:rPr>
          <w:rFonts w:ascii="Times New Roman" w:hAnsi="Times New Roman"/>
          <w:sz w:val="24"/>
          <w:szCs w:val="24"/>
        </w:rPr>
        <w:t xml:space="preserve">between </w:t>
      </w:r>
      <w:r>
        <w:rPr>
          <w:rFonts w:ascii="Times New Roman" w:hAnsi="Times New Roman"/>
          <w:sz w:val="24"/>
          <w:szCs w:val="24"/>
        </w:rPr>
        <w:t xml:space="preserve">neutrality </w:t>
      </w:r>
      <w:r w:rsidR="0098146A">
        <w:rPr>
          <w:rFonts w:ascii="Times New Roman" w:hAnsi="Times New Roman"/>
          <w:sz w:val="24"/>
          <w:szCs w:val="24"/>
        </w:rPr>
        <w:t>and minimising</w:t>
      </w:r>
      <w:r>
        <w:rPr>
          <w:rFonts w:ascii="Times New Roman" w:hAnsi="Times New Roman"/>
          <w:sz w:val="24"/>
          <w:szCs w:val="24"/>
        </w:rPr>
        <w:t xml:space="preserve"> compliance costs</w:t>
      </w:r>
      <w:r w:rsidR="00F37CE6">
        <w:rPr>
          <w:rFonts w:ascii="Times New Roman" w:hAnsi="Times New Roman"/>
          <w:sz w:val="24"/>
          <w:szCs w:val="24"/>
        </w:rPr>
        <w:t xml:space="preserve"> (see table 3 below)</w:t>
      </w:r>
      <w:r>
        <w:rPr>
          <w:rFonts w:ascii="Times New Roman" w:hAnsi="Times New Roman"/>
          <w:sz w:val="24"/>
          <w:szCs w:val="24"/>
        </w:rPr>
        <w:t xml:space="preserve">.  In these schemes compliance costs </w:t>
      </w:r>
      <w:r w:rsidR="0098146A">
        <w:rPr>
          <w:rFonts w:ascii="Times New Roman" w:hAnsi="Times New Roman"/>
          <w:sz w:val="24"/>
          <w:szCs w:val="24"/>
        </w:rPr>
        <w:t xml:space="preserve">had </w:t>
      </w:r>
      <w:r>
        <w:rPr>
          <w:rFonts w:ascii="Times New Roman" w:hAnsi="Times New Roman"/>
          <w:sz w:val="24"/>
          <w:szCs w:val="24"/>
        </w:rPr>
        <w:t xml:space="preserve">a higher weighting than neutrality because of the low level of benefits that </w:t>
      </w:r>
      <w:r w:rsidR="00F37CE6">
        <w:rPr>
          <w:rFonts w:ascii="Times New Roman" w:hAnsi="Times New Roman"/>
          <w:sz w:val="24"/>
          <w:szCs w:val="24"/>
        </w:rPr>
        <w:t>are able to be</w:t>
      </w:r>
      <w:r>
        <w:rPr>
          <w:rFonts w:ascii="Times New Roman" w:hAnsi="Times New Roman"/>
          <w:sz w:val="24"/>
          <w:szCs w:val="24"/>
        </w:rPr>
        <w:t xml:space="preserve"> provided through the schemes and the feedback we received from submitters as to how increased compliance costs would affect them.</w:t>
      </w:r>
      <w:r w:rsidR="001F0A67">
        <w:rPr>
          <w:rFonts w:ascii="Times New Roman" w:hAnsi="Times New Roman"/>
          <w:sz w:val="24"/>
          <w:szCs w:val="24"/>
        </w:rPr>
        <w:t xml:space="preserve"> </w:t>
      </w:r>
      <w:r>
        <w:rPr>
          <w:rFonts w:ascii="Times New Roman" w:hAnsi="Times New Roman"/>
          <w:sz w:val="24"/>
          <w:szCs w:val="24"/>
        </w:rPr>
        <w:t xml:space="preserve"> Potential compliance costs for these schemes are high as a relative proportion of benefits provided through the scheme. In some cases submitters indicated the compliance costs associated with removing the tax exemption and requiring employers to return these amounts on the employer monthly schedule would outweigh the amount of benefit provided</w:t>
      </w:r>
      <w:r w:rsidR="0098146A">
        <w:rPr>
          <w:rFonts w:ascii="Times New Roman" w:hAnsi="Times New Roman"/>
          <w:sz w:val="24"/>
          <w:szCs w:val="24"/>
        </w:rPr>
        <w:t>, meaning</w:t>
      </w:r>
      <w:r>
        <w:rPr>
          <w:rFonts w:ascii="Times New Roman" w:hAnsi="Times New Roman"/>
          <w:sz w:val="24"/>
          <w:szCs w:val="24"/>
        </w:rPr>
        <w:t xml:space="preserve"> the schemes would no longer be viable.</w:t>
      </w:r>
    </w:p>
    <w:p w:rsidR="003230AE" w:rsidRDefault="003230AE" w:rsidP="00F37CE6">
      <w:pPr>
        <w:pStyle w:val="RISheading"/>
        <w:jc w:val="both"/>
        <w:rPr>
          <w:spacing w:val="0"/>
          <w:w w:val="100"/>
        </w:rPr>
      </w:pPr>
      <w:bookmarkStart w:id="23" w:name="_Toc244580365"/>
      <w:bookmarkStart w:id="24" w:name="_Toc244587041"/>
      <w:bookmarkStart w:id="25" w:name="_Toc244857275"/>
      <w:bookmarkStart w:id="26" w:name="_Toc244912540"/>
      <w:bookmarkStart w:id="27" w:name="_Toc244916997"/>
    </w:p>
    <w:p w:rsidR="00320A3C" w:rsidRPr="004342F0" w:rsidRDefault="00D943DD" w:rsidP="00F37CE6">
      <w:pPr>
        <w:pStyle w:val="RISheading"/>
        <w:jc w:val="both"/>
        <w:rPr>
          <w:spacing w:val="0"/>
          <w:w w:val="100"/>
        </w:rPr>
      </w:pPr>
      <w:r w:rsidRPr="004342F0">
        <w:rPr>
          <w:spacing w:val="0"/>
          <w:w w:val="100"/>
        </w:rPr>
        <w:t>REGULATORY IMPACT ANALYSIS</w:t>
      </w:r>
      <w:bookmarkEnd w:id="23"/>
      <w:bookmarkEnd w:id="24"/>
      <w:bookmarkEnd w:id="25"/>
      <w:bookmarkEnd w:id="26"/>
      <w:bookmarkEnd w:id="27"/>
      <w:r w:rsidRPr="004342F0">
        <w:rPr>
          <w:spacing w:val="0"/>
          <w:w w:val="100"/>
        </w:rPr>
        <w:t xml:space="preserve"> </w:t>
      </w:r>
    </w:p>
    <w:p w:rsidR="00C04EAE" w:rsidRDefault="00C04EAE"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There are </w:t>
      </w:r>
      <w:r w:rsidR="000E0344">
        <w:rPr>
          <w:rFonts w:ascii="Times New Roman" w:hAnsi="Times New Roman"/>
          <w:sz w:val="24"/>
          <w:szCs w:val="24"/>
        </w:rPr>
        <w:t xml:space="preserve">three </w:t>
      </w:r>
      <w:r>
        <w:rPr>
          <w:rFonts w:ascii="Times New Roman" w:hAnsi="Times New Roman"/>
          <w:sz w:val="24"/>
          <w:szCs w:val="24"/>
        </w:rPr>
        <w:t xml:space="preserve">areas of reform </w:t>
      </w:r>
      <w:r w:rsidR="000E0344">
        <w:rPr>
          <w:rFonts w:ascii="Times New Roman" w:hAnsi="Times New Roman"/>
          <w:sz w:val="24"/>
          <w:szCs w:val="24"/>
        </w:rPr>
        <w:t>covered in this regulatory impact analysis</w:t>
      </w:r>
      <w:r>
        <w:rPr>
          <w:rFonts w:ascii="Times New Roman" w:hAnsi="Times New Roman"/>
          <w:sz w:val="24"/>
          <w:szCs w:val="24"/>
        </w:rPr>
        <w:t>:</w:t>
      </w:r>
    </w:p>
    <w:p w:rsidR="00C04EAE" w:rsidRDefault="00C04EAE" w:rsidP="00F37CE6">
      <w:pPr>
        <w:pStyle w:val="Bullet-list"/>
        <w:spacing w:after="0" w:line="240" w:lineRule="auto"/>
        <w:ind w:left="0" w:firstLine="0"/>
        <w:jc w:val="both"/>
        <w:rPr>
          <w:rFonts w:ascii="Times New Roman" w:hAnsi="Times New Roman"/>
          <w:sz w:val="24"/>
          <w:szCs w:val="24"/>
        </w:rPr>
      </w:pPr>
    </w:p>
    <w:p w:rsidR="00C04EAE" w:rsidRDefault="00C04EAE" w:rsidP="00F37CE6">
      <w:pPr>
        <w:pStyle w:val="Bullet-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Taxing employees’ income</w:t>
      </w:r>
    </w:p>
    <w:p w:rsidR="00C04EAE" w:rsidRDefault="00C04EAE" w:rsidP="00F37CE6">
      <w:pPr>
        <w:pStyle w:val="Bullet-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Allowing deductions for employers’ costs</w:t>
      </w:r>
    </w:p>
    <w:p w:rsidR="00CD7F0B" w:rsidRDefault="00CD7F0B" w:rsidP="00F37CE6">
      <w:pPr>
        <w:pStyle w:val="Bullet-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Tax exemption for widely-offered schemes</w:t>
      </w:r>
    </w:p>
    <w:p w:rsidR="00C04EAE" w:rsidRDefault="00C04EAE" w:rsidP="00F37CE6">
      <w:pPr>
        <w:pStyle w:val="Bullet-list"/>
        <w:spacing w:after="0" w:line="240" w:lineRule="auto"/>
        <w:ind w:left="0" w:firstLine="0"/>
        <w:jc w:val="both"/>
        <w:rPr>
          <w:rFonts w:ascii="Times New Roman" w:hAnsi="Times New Roman"/>
          <w:sz w:val="24"/>
          <w:szCs w:val="24"/>
        </w:rPr>
      </w:pPr>
    </w:p>
    <w:p w:rsidR="007E0DC1" w:rsidRDefault="00C04EAE" w:rsidP="0098146A">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Within each of these areas, the practical options for reform </w:t>
      </w:r>
      <w:r w:rsidR="000545DC" w:rsidRPr="004342F0">
        <w:rPr>
          <w:rFonts w:ascii="Times New Roman" w:hAnsi="Times New Roman"/>
          <w:sz w:val="24"/>
          <w:szCs w:val="24"/>
        </w:rPr>
        <w:t>that may wholly or partly achieve the</w:t>
      </w:r>
      <w:r w:rsidR="0098146A">
        <w:rPr>
          <w:rFonts w:ascii="Times New Roman" w:hAnsi="Times New Roman"/>
          <w:sz w:val="24"/>
          <w:szCs w:val="24"/>
        </w:rPr>
        <w:t xml:space="preserve"> main</w:t>
      </w:r>
      <w:r w:rsidR="000545DC" w:rsidRPr="004342F0">
        <w:rPr>
          <w:rFonts w:ascii="Times New Roman" w:hAnsi="Times New Roman"/>
          <w:sz w:val="24"/>
          <w:szCs w:val="24"/>
        </w:rPr>
        <w:t xml:space="preserve"> objective</w:t>
      </w:r>
      <w:r>
        <w:rPr>
          <w:rFonts w:ascii="Times New Roman" w:hAnsi="Times New Roman"/>
          <w:sz w:val="24"/>
          <w:szCs w:val="24"/>
        </w:rPr>
        <w:t xml:space="preserve"> are exclusively regulatory</w:t>
      </w:r>
      <w:r w:rsidR="000545DC" w:rsidRPr="004342F0">
        <w:rPr>
          <w:rFonts w:ascii="Times New Roman" w:hAnsi="Times New Roman"/>
          <w:sz w:val="24"/>
          <w:szCs w:val="24"/>
        </w:rPr>
        <w:t xml:space="preserve">. </w:t>
      </w:r>
      <w:r w:rsidR="00D943DD" w:rsidRPr="004342F0">
        <w:rPr>
          <w:rFonts w:ascii="Times New Roman" w:hAnsi="Times New Roman"/>
          <w:sz w:val="24"/>
          <w:szCs w:val="24"/>
        </w:rPr>
        <w:t xml:space="preserve"> </w:t>
      </w:r>
    </w:p>
    <w:p w:rsidR="00C04EAE" w:rsidRDefault="00C04EAE" w:rsidP="00F37CE6">
      <w:pPr>
        <w:pStyle w:val="Bullet-list"/>
        <w:spacing w:after="0" w:line="240" w:lineRule="auto"/>
        <w:ind w:left="0" w:firstLine="0"/>
        <w:jc w:val="both"/>
        <w:rPr>
          <w:rFonts w:ascii="Times New Roman" w:hAnsi="Times New Roman"/>
          <w:sz w:val="24"/>
          <w:szCs w:val="24"/>
        </w:rPr>
      </w:pPr>
    </w:p>
    <w:p w:rsidR="00956744" w:rsidRDefault="00C04EAE"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CD7F0B">
        <w:rPr>
          <w:rFonts w:ascii="Times New Roman" w:hAnsi="Times New Roman"/>
          <w:sz w:val="24"/>
          <w:szCs w:val="24"/>
        </w:rPr>
        <w:t xml:space="preserve">In the following paragraphs, we outline the options for reform we considered.  Each topic has a corresponding </w:t>
      </w:r>
      <w:r w:rsidR="00DA4DA5" w:rsidRPr="00CD7F0B">
        <w:rPr>
          <w:rFonts w:ascii="Times New Roman" w:hAnsi="Times New Roman"/>
          <w:sz w:val="24"/>
          <w:szCs w:val="24"/>
        </w:rPr>
        <w:t>table</w:t>
      </w:r>
      <w:r w:rsidRPr="00CD7F0B">
        <w:rPr>
          <w:rFonts w:ascii="Times New Roman" w:hAnsi="Times New Roman"/>
          <w:sz w:val="24"/>
          <w:szCs w:val="24"/>
        </w:rPr>
        <w:t xml:space="preserve"> where we analyse each option </w:t>
      </w:r>
      <w:r w:rsidR="0098146A">
        <w:rPr>
          <w:rFonts w:ascii="Times New Roman" w:hAnsi="Times New Roman"/>
          <w:sz w:val="24"/>
          <w:szCs w:val="24"/>
        </w:rPr>
        <w:t>by reference to</w:t>
      </w:r>
      <w:r w:rsidRPr="00CD7F0B">
        <w:rPr>
          <w:rFonts w:ascii="Times New Roman" w:hAnsi="Times New Roman"/>
          <w:sz w:val="24"/>
          <w:szCs w:val="24"/>
        </w:rPr>
        <w:t xml:space="preserve"> the </w:t>
      </w:r>
      <w:r w:rsidR="00DA4DA5" w:rsidRPr="00CD7F0B">
        <w:rPr>
          <w:rFonts w:ascii="Times New Roman" w:hAnsi="Times New Roman"/>
          <w:b/>
          <w:sz w:val="24"/>
          <w:szCs w:val="24"/>
        </w:rPr>
        <w:t>five criteria</w:t>
      </w:r>
      <w:r w:rsidR="00DA4DA5" w:rsidRPr="00CD7F0B">
        <w:rPr>
          <w:rFonts w:ascii="Times New Roman" w:hAnsi="Times New Roman"/>
          <w:sz w:val="24"/>
          <w:szCs w:val="24"/>
        </w:rPr>
        <w:t xml:space="preserve"> </w:t>
      </w:r>
      <w:r w:rsidR="0098146A">
        <w:rPr>
          <w:rFonts w:ascii="Times New Roman" w:hAnsi="Times New Roman"/>
          <w:sz w:val="24"/>
          <w:szCs w:val="24"/>
        </w:rPr>
        <w:t>we identified in paragraph</w:t>
      </w:r>
      <w:r w:rsidRPr="00CD7F0B">
        <w:rPr>
          <w:rFonts w:ascii="Times New Roman" w:hAnsi="Times New Roman"/>
          <w:sz w:val="24"/>
          <w:szCs w:val="24"/>
        </w:rPr>
        <w:t xml:space="preserve"> </w:t>
      </w:r>
      <w:r w:rsidR="00DE1786" w:rsidRPr="00CD7F0B">
        <w:rPr>
          <w:rFonts w:ascii="Times New Roman" w:hAnsi="Times New Roman"/>
          <w:sz w:val="24"/>
          <w:szCs w:val="24"/>
        </w:rPr>
        <w:fldChar w:fldCharType="begin"/>
      </w:r>
      <w:r w:rsidR="00DE1786" w:rsidRPr="00CD7F0B">
        <w:rPr>
          <w:rFonts w:ascii="Times New Roman" w:hAnsi="Times New Roman"/>
          <w:sz w:val="24"/>
          <w:szCs w:val="24"/>
        </w:rPr>
        <w:instrText xml:space="preserve"> REF _Ref464139126 \r \h </w:instrText>
      </w:r>
      <w:r w:rsidR="00FE3F1F">
        <w:rPr>
          <w:rFonts w:ascii="Times New Roman" w:hAnsi="Times New Roman"/>
          <w:sz w:val="24"/>
          <w:szCs w:val="24"/>
        </w:rPr>
        <w:instrText xml:space="preserve"> \* MERGEFORMAT </w:instrText>
      </w:r>
      <w:r w:rsidR="00DE1786" w:rsidRPr="00CD7F0B">
        <w:rPr>
          <w:rFonts w:ascii="Times New Roman" w:hAnsi="Times New Roman"/>
          <w:sz w:val="24"/>
          <w:szCs w:val="24"/>
        </w:rPr>
      </w:r>
      <w:r w:rsidR="00DE1786" w:rsidRPr="00CD7F0B">
        <w:rPr>
          <w:rFonts w:ascii="Times New Roman" w:hAnsi="Times New Roman"/>
          <w:sz w:val="24"/>
          <w:szCs w:val="24"/>
        </w:rPr>
        <w:fldChar w:fldCharType="separate"/>
      </w:r>
      <w:r w:rsidR="000349EC">
        <w:rPr>
          <w:rFonts w:ascii="Times New Roman" w:hAnsi="Times New Roman"/>
          <w:sz w:val="24"/>
          <w:szCs w:val="24"/>
        </w:rPr>
        <w:t>31</w:t>
      </w:r>
      <w:r w:rsidR="00DE1786" w:rsidRPr="00CD7F0B">
        <w:rPr>
          <w:rFonts w:ascii="Times New Roman" w:hAnsi="Times New Roman"/>
          <w:sz w:val="24"/>
          <w:szCs w:val="24"/>
        </w:rPr>
        <w:fldChar w:fldCharType="end"/>
      </w:r>
      <w:r w:rsidR="00DA4DA5" w:rsidRPr="00CD7F0B">
        <w:rPr>
          <w:rFonts w:ascii="Times New Roman" w:hAnsi="Times New Roman"/>
          <w:sz w:val="24"/>
          <w:szCs w:val="24"/>
        </w:rPr>
        <w:t xml:space="preserve"> and the </w:t>
      </w:r>
      <w:r w:rsidR="00DA4DA5" w:rsidRPr="00CD7F0B">
        <w:rPr>
          <w:rFonts w:ascii="Times New Roman" w:hAnsi="Times New Roman"/>
          <w:b/>
          <w:sz w:val="24"/>
          <w:szCs w:val="24"/>
        </w:rPr>
        <w:t xml:space="preserve">main objective </w:t>
      </w:r>
      <w:r w:rsidR="00DA4DA5" w:rsidRPr="00CD7F0B">
        <w:rPr>
          <w:rFonts w:ascii="Times New Roman" w:hAnsi="Times New Roman"/>
          <w:sz w:val="24"/>
          <w:szCs w:val="24"/>
        </w:rPr>
        <w:t>in paragraph</w:t>
      </w:r>
      <w:r w:rsidR="00DE1786" w:rsidRPr="00CD7F0B">
        <w:rPr>
          <w:rFonts w:ascii="Times New Roman" w:hAnsi="Times New Roman"/>
          <w:sz w:val="24"/>
          <w:szCs w:val="24"/>
        </w:rPr>
        <w:t xml:space="preserve"> </w:t>
      </w:r>
      <w:r w:rsidR="00DE1786" w:rsidRPr="00CD7F0B">
        <w:rPr>
          <w:rFonts w:ascii="Times New Roman" w:hAnsi="Times New Roman"/>
          <w:sz w:val="24"/>
          <w:szCs w:val="24"/>
        </w:rPr>
        <w:fldChar w:fldCharType="begin"/>
      </w:r>
      <w:r w:rsidR="00DE1786" w:rsidRPr="00CD7F0B">
        <w:rPr>
          <w:rFonts w:ascii="Times New Roman" w:hAnsi="Times New Roman"/>
          <w:sz w:val="24"/>
          <w:szCs w:val="24"/>
        </w:rPr>
        <w:instrText xml:space="preserve"> REF _Ref464138734 \r \h </w:instrText>
      </w:r>
      <w:r w:rsidR="00FE3F1F">
        <w:rPr>
          <w:rFonts w:ascii="Times New Roman" w:hAnsi="Times New Roman"/>
          <w:sz w:val="24"/>
          <w:szCs w:val="24"/>
        </w:rPr>
        <w:instrText xml:space="preserve"> \* MERGEFORMAT </w:instrText>
      </w:r>
      <w:r w:rsidR="00DE1786" w:rsidRPr="00CD7F0B">
        <w:rPr>
          <w:rFonts w:ascii="Times New Roman" w:hAnsi="Times New Roman"/>
          <w:sz w:val="24"/>
          <w:szCs w:val="24"/>
        </w:rPr>
      </w:r>
      <w:r w:rsidR="00DE1786" w:rsidRPr="00CD7F0B">
        <w:rPr>
          <w:rFonts w:ascii="Times New Roman" w:hAnsi="Times New Roman"/>
          <w:sz w:val="24"/>
          <w:szCs w:val="24"/>
        </w:rPr>
        <w:fldChar w:fldCharType="separate"/>
      </w:r>
      <w:r w:rsidR="000349EC">
        <w:rPr>
          <w:rFonts w:ascii="Times New Roman" w:hAnsi="Times New Roman"/>
          <w:sz w:val="24"/>
          <w:szCs w:val="24"/>
        </w:rPr>
        <w:t>30</w:t>
      </w:r>
      <w:r w:rsidR="00DE1786" w:rsidRPr="00CD7F0B">
        <w:rPr>
          <w:rFonts w:ascii="Times New Roman" w:hAnsi="Times New Roman"/>
          <w:sz w:val="24"/>
          <w:szCs w:val="24"/>
        </w:rPr>
        <w:fldChar w:fldCharType="end"/>
      </w:r>
      <w:r w:rsidR="00CD7F0B" w:rsidRPr="00CD7F0B">
        <w:rPr>
          <w:rFonts w:ascii="Times New Roman" w:hAnsi="Times New Roman"/>
          <w:sz w:val="24"/>
          <w:szCs w:val="24"/>
        </w:rPr>
        <w:t>.</w:t>
      </w:r>
    </w:p>
    <w:p w:rsidR="00CD7F0B" w:rsidRDefault="00CD7F0B" w:rsidP="00FE3F1F">
      <w:pPr>
        <w:pStyle w:val="ListParagraph"/>
        <w:rPr>
          <w:rFonts w:ascii="Times New Roman" w:hAnsi="Times New Roman"/>
          <w:sz w:val="24"/>
          <w:szCs w:val="24"/>
        </w:rPr>
      </w:pPr>
    </w:p>
    <w:p w:rsidR="00DA4DA5" w:rsidRPr="00DA4DA5" w:rsidRDefault="00DA4DA5"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DA4DA5">
        <w:rPr>
          <w:rFonts w:ascii="Times New Roman" w:hAnsi="Times New Roman"/>
          <w:sz w:val="24"/>
          <w:szCs w:val="24"/>
        </w:rPr>
        <w:t>Within the table</w:t>
      </w:r>
      <w:r>
        <w:rPr>
          <w:rFonts w:ascii="Times New Roman" w:hAnsi="Times New Roman"/>
          <w:sz w:val="24"/>
          <w:szCs w:val="24"/>
        </w:rPr>
        <w:t>s</w:t>
      </w:r>
      <w:r w:rsidRPr="00DA4DA5">
        <w:rPr>
          <w:rFonts w:ascii="Times New Roman" w:hAnsi="Times New Roman"/>
          <w:sz w:val="24"/>
          <w:szCs w:val="24"/>
        </w:rPr>
        <w:t xml:space="preserve">, the following symbols are used to </w:t>
      </w:r>
      <w:r w:rsidR="00DE1786">
        <w:rPr>
          <w:rFonts w:ascii="Times New Roman" w:hAnsi="Times New Roman"/>
          <w:sz w:val="24"/>
          <w:szCs w:val="24"/>
        </w:rPr>
        <w:t>assess each option against the status quo</w:t>
      </w:r>
      <w:r w:rsidRPr="00DA4DA5">
        <w:rPr>
          <w:rFonts w:ascii="Times New Roman" w:hAnsi="Times New Roman"/>
          <w:sz w:val="24"/>
          <w:szCs w:val="24"/>
        </w:rPr>
        <w:t>:</w:t>
      </w:r>
    </w:p>
    <w:p w:rsidR="00DA4DA5" w:rsidRDefault="00DA4DA5" w:rsidP="00F37CE6">
      <w:pPr>
        <w:pStyle w:val="Bullet-list"/>
        <w:spacing w:after="0" w:line="240" w:lineRule="auto"/>
        <w:ind w:left="0" w:firstLine="0"/>
        <w:jc w:val="both"/>
        <w:rPr>
          <w:rFonts w:ascii="Times New Roman" w:hAnsi="Times New Roman"/>
          <w:b/>
          <w:sz w:val="24"/>
          <w:szCs w:val="24"/>
        </w:rPr>
      </w:pPr>
    </w:p>
    <w:p w:rsidR="00DA4DA5" w:rsidRPr="00FB52C8" w:rsidRDefault="00DA4DA5" w:rsidP="00F37CE6">
      <w:pPr>
        <w:spacing w:after="0"/>
        <w:ind w:left="2268"/>
        <w:jc w:val="both"/>
        <w:rPr>
          <w:rFonts w:ascii="Times New Roman" w:eastAsiaTheme="minorHAnsi" w:hAnsi="Times New Roman"/>
          <w:sz w:val="24"/>
          <w:szCs w:val="24"/>
        </w:rPr>
      </w:pPr>
      <w:r w:rsidRPr="00FB52C8">
        <w:rPr>
          <w:rFonts w:ascii="Wingdings 2" w:eastAsiaTheme="minorHAnsi" w:hAnsi="Wingdings 2"/>
          <w:szCs w:val="24"/>
          <w:lang w:eastAsia="en-US"/>
        </w:rPr>
        <w:t></w:t>
      </w:r>
      <w:r w:rsidRPr="00FB52C8">
        <w:rPr>
          <w:rFonts w:ascii="Wingdings 2" w:eastAsiaTheme="minorHAnsi" w:hAnsi="Wingdings 2"/>
          <w:szCs w:val="24"/>
          <w:lang w:eastAsia="en-US"/>
        </w:rPr>
        <w:t></w:t>
      </w:r>
      <w:r w:rsidRPr="00FB52C8">
        <w:rPr>
          <w:rFonts w:ascii="Wingdings 2" w:eastAsiaTheme="minorHAnsi" w:hAnsi="Wingdings 2"/>
          <w:szCs w:val="24"/>
          <w:lang w:eastAsia="en-US"/>
        </w:rPr>
        <w:tab/>
      </w:r>
      <w:r w:rsidRPr="00FB52C8">
        <w:rPr>
          <w:rFonts w:ascii="Times New Roman" w:eastAsiaTheme="minorHAnsi" w:hAnsi="Times New Roman"/>
          <w:sz w:val="24"/>
          <w:szCs w:val="24"/>
        </w:rPr>
        <w:t>Significantly better than the status quo</w:t>
      </w:r>
    </w:p>
    <w:p w:rsidR="00DA4DA5" w:rsidRPr="00FB52C8" w:rsidRDefault="00DA4DA5" w:rsidP="00FE3F1F">
      <w:pPr>
        <w:pStyle w:val="ListParagraph"/>
        <w:numPr>
          <w:ilvl w:val="0"/>
          <w:numId w:val="19"/>
        </w:numPr>
        <w:ind w:left="2835" w:hanging="567"/>
        <w:rPr>
          <w:rFonts w:ascii="Times New Roman" w:eastAsiaTheme="minorHAnsi" w:hAnsi="Times New Roman"/>
          <w:sz w:val="24"/>
          <w:szCs w:val="24"/>
        </w:rPr>
      </w:pPr>
      <w:r w:rsidRPr="00FB52C8">
        <w:rPr>
          <w:rFonts w:ascii="Times New Roman" w:eastAsiaTheme="minorHAnsi" w:hAnsi="Times New Roman"/>
          <w:sz w:val="24"/>
          <w:szCs w:val="24"/>
        </w:rPr>
        <w:t>Better than the status quo</w:t>
      </w:r>
    </w:p>
    <w:p w:rsidR="00DA4DA5" w:rsidRPr="00A57E40" w:rsidRDefault="00DA4DA5" w:rsidP="00F37CE6">
      <w:pPr>
        <w:pStyle w:val="ListParagraph"/>
        <w:numPr>
          <w:ilvl w:val="0"/>
          <w:numId w:val="18"/>
        </w:numPr>
        <w:ind w:left="2268" w:firstLine="0"/>
        <w:rPr>
          <w:rFonts w:ascii="Times New Roman" w:eastAsiaTheme="minorHAnsi" w:hAnsi="Times New Roman"/>
          <w:sz w:val="24"/>
          <w:szCs w:val="24"/>
        </w:rPr>
      </w:pPr>
      <w:r w:rsidRPr="00A57E40">
        <w:rPr>
          <w:rFonts w:ascii="Times New Roman" w:eastAsiaTheme="minorHAnsi" w:hAnsi="Times New Roman"/>
          <w:sz w:val="24"/>
          <w:szCs w:val="24"/>
        </w:rPr>
        <w:t xml:space="preserve">No better than the status quo </w:t>
      </w:r>
    </w:p>
    <w:p w:rsidR="00DA4DA5" w:rsidRPr="00A57E40" w:rsidRDefault="00DA4DA5">
      <w:pPr>
        <w:spacing w:after="0" w:line="240" w:lineRule="auto"/>
        <w:ind w:left="2268"/>
        <w:contextualSpacing/>
        <w:jc w:val="both"/>
        <w:rPr>
          <w:rFonts w:ascii="Times New Roman" w:eastAsiaTheme="minorHAnsi" w:hAnsi="Times New Roman"/>
          <w:sz w:val="24"/>
          <w:szCs w:val="24"/>
          <w:lang w:val="en-NZ" w:eastAsia="en-US"/>
        </w:rPr>
      </w:pPr>
      <w:r w:rsidRPr="00A57E40">
        <w:rPr>
          <w:rFonts w:ascii="Wingdings 2" w:eastAsiaTheme="minorHAnsi" w:hAnsi="Wingdings 2"/>
          <w:sz w:val="24"/>
          <w:szCs w:val="24"/>
          <w:lang w:val="en-NZ" w:eastAsia="en-US"/>
        </w:rPr>
        <w:t></w:t>
      </w:r>
      <w:r w:rsidRPr="00A57E40">
        <w:rPr>
          <w:rFonts w:ascii="Wingdings 2" w:eastAsiaTheme="minorHAnsi" w:hAnsi="Wingdings 2"/>
          <w:sz w:val="24"/>
          <w:szCs w:val="24"/>
          <w:lang w:val="en-NZ" w:eastAsia="en-US"/>
        </w:rPr>
        <w:t></w:t>
      </w:r>
      <w:r w:rsidRPr="00A57E40">
        <w:rPr>
          <w:rFonts w:ascii="Wingdings 2" w:eastAsiaTheme="minorHAnsi" w:hAnsi="Wingdings 2"/>
          <w:sz w:val="24"/>
          <w:szCs w:val="24"/>
          <w:lang w:val="en-NZ" w:eastAsia="en-US"/>
        </w:rPr>
        <w:tab/>
      </w:r>
      <w:r w:rsidRPr="00A57E40">
        <w:rPr>
          <w:rFonts w:ascii="Times New Roman" w:eastAsiaTheme="minorHAnsi" w:hAnsi="Times New Roman"/>
          <w:sz w:val="24"/>
          <w:szCs w:val="24"/>
          <w:lang w:val="en-NZ" w:eastAsia="en-US"/>
        </w:rPr>
        <w:t xml:space="preserve">Worse than the status quo </w:t>
      </w:r>
    </w:p>
    <w:p w:rsidR="00DA4DA5" w:rsidRDefault="00DA4DA5" w:rsidP="00F37CE6">
      <w:pPr>
        <w:spacing w:after="0" w:line="240" w:lineRule="auto"/>
        <w:jc w:val="both"/>
        <w:rPr>
          <w:rFonts w:ascii="Times New Roman" w:hAnsi="Times New Roman"/>
          <w:sz w:val="24"/>
          <w:szCs w:val="24"/>
          <w:lang w:val="en-AU" w:eastAsia="en-US"/>
        </w:rPr>
      </w:pPr>
    </w:p>
    <w:p w:rsidR="00841E06" w:rsidRPr="004342F0" w:rsidRDefault="00841E06"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None of the options identified in any of the areas have </w:t>
      </w:r>
      <w:r w:rsidRPr="004342F0">
        <w:rPr>
          <w:rFonts w:ascii="Times New Roman" w:hAnsi="Times New Roman"/>
          <w:sz w:val="24"/>
          <w:szCs w:val="24"/>
        </w:rPr>
        <w:t xml:space="preserve">social, environmental </w:t>
      </w:r>
      <w:r w:rsidR="007E0DC1">
        <w:rPr>
          <w:rFonts w:ascii="Times New Roman" w:hAnsi="Times New Roman"/>
          <w:sz w:val="24"/>
          <w:szCs w:val="24"/>
        </w:rPr>
        <w:t>or</w:t>
      </w:r>
      <w:r w:rsidR="007E0DC1" w:rsidRPr="004342F0">
        <w:rPr>
          <w:rFonts w:ascii="Times New Roman" w:hAnsi="Times New Roman"/>
          <w:sz w:val="24"/>
          <w:szCs w:val="24"/>
        </w:rPr>
        <w:t xml:space="preserve"> </w:t>
      </w:r>
      <w:r w:rsidRPr="004342F0">
        <w:rPr>
          <w:rFonts w:ascii="Times New Roman" w:hAnsi="Times New Roman"/>
          <w:sz w:val="24"/>
          <w:szCs w:val="24"/>
        </w:rPr>
        <w:t>cultural</w:t>
      </w:r>
      <w:r>
        <w:rPr>
          <w:rFonts w:ascii="Times New Roman" w:hAnsi="Times New Roman"/>
          <w:sz w:val="24"/>
          <w:szCs w:val="24"/>
        </w:rPr>
        <w:t xml:space="preserve"> implications.</w:t>
      </w:r>
    </w:p>
    <w:p w:rsidR="00F37CE6" w:rsidRDefault="00F37CE6" w:rsidP="00F37CE6">
      <w:pPr>
        <w:pStyle w:val="Bullet-list"/>
        <w:spacing w:after="0" w:line="240" w:lineRule="auto"/>
        <w:jc w:val="both"/>
        <w:rPr>
          <w:rFonts w:ascii="Times New Roman" w:hAnsi="Times New Roman"/>
          <w:b/>
          <w:sz w:val="24"/>
          <w:szCs w:val="24"/>
        </w:rPr>
      </w:pPr>
    </w:p>
    <w:p w:rsidR="003230AE" w:rsidRDefault="003230AE" w:rsidP="00F37CE6">
      <w:pPr>
        <w:pStyle w:val="Bullet-list"/>
        <w:spacing w:after="0" w:line="240" w:lineRule="auto"/>
        <w:jc w:val="both"/>
        <w:rPr>
          <w:rFonts w:ascii="Times New Roman" w:hAnsi="Times New Roman"/>
          <w:b/>
          <w:sz w:val="24"/>
          <w:szCs w:val="24"/>
        </w:rPr>
      </w:pPr>
    </w:p>
    <w:p w:rsidR="003230AE" w:rsidRDefault="003230AE" w:rsidP="00F37CE6">
      <w:pPr>
        <w:pStyle w:val="Bullet-list"/>
        <w:spacing w:after="0" w:line="240" w:lineRule="auto"/>
        <w:jc w:val="both"/>
        <w:rPr>
          <w:rFonts w:ascii="Times New Roman" w:hAnsi="Times New Roman"/>
          <w:b/>
          <w:sz w:val="24"/>
          <w:szCs w:val="24"/>
        </w:rPr>
      </w:pPr>
    </w:p>
    <w:p w:rsidR="003230AE" w:rsidRDefault="003230AE" w:rsidP="00F37CE6">
      <w:pPr>
        <w:pStyle w:val="Bullet-list"/>
        <w:spacing w:after="0" w:line="240" w:lineRule="auto"/>
        <w:jc w:val="both"/>
        <w:rPr>
          <w:rFonts w:ascii="Times New Roman" w:hAnsi="Times New Roman"/>
          <w:b/>
          <w:sz w:val="24"/>
          <w:szCs w:val="24"/>
        </w:rPr>
      </w:pPr>
    </w:p>
    <w:p w:rsidR="003230AE" w:rsidRDefault="003230AE" w:rsidP="00F37CE6">
      <w:pPr>
        <w:pStyle w:val="Bullet-list"/>
        <w:spacing w:after="0" w:line="240" w:lineRule="auto"/>
        <w:jc w:val="both"/>
        <w:rPr>
          <w:rFonts w:ascii="Times New Roman" w:hAnsi="Times New Roman"/>
          <w:b/>
          <w:sz w:val="24"/>
          <w:szCs w:val="24"/>
        </w:rPr>
      </w:pPr>
    </w:p>
    <w:p w:rsidR="003230AE" w:rsidRDefault="003230AE" w:rsidP="00F37CE6">
      <w:pPr>
        <w:pStyle w:val="Bullet-list"/>
        <w:spacing w:after="0" w:line="240" w:lineRule="auto"/>
        <w:jc w:val="both"/>
        <w:rPr>
          <w:rFonts w:ascii="Times New Roman" w:hAnsi="Times New Roman"/>
          <w:b/>
          <w:sz w:val="24"/>
          <w:szCs w:val="24"/>
        </w:rPr>
      </w:pPr>
    </w:p>
    <w:p w:rsidR="003230AE" w:rsidRDefault="003230AE" w:rsidP="00F37CE6">
      <w:pPr>
        <w:pStyle w:val="Bullet-list"/>
        <w:spacing w:after="0" w:line="240" w:lineRule="auto"/>
        <w:jc w:val="both"/>
        <w:rPr>
          <w:rFonts w:ascii="Times New Roman" w:hAnsi="Times New Roman"/>
          <w:b/>
          <w:sz w:val="24"/>
          <w:szCs w:val="24"/>
        </w:rPr>
      </w:pPr>
    </w:p>
    <w:p w:rsidR="003230AE" w:rsidRDefault="003230AE" w:rsidP="00F37CE6">
      <w:pPr>
        <w:pStyle w:val="Bullet-list"/>
        <w:spacing w:after="0" w:line="240" w:lineRule="auto"/>
        <w:jc w:val="both"/>
        <w:rPr>
          <w:rFonts w:ascii="Times New Roman" w:hAnsi="Times New Roman"/>
          <w:b/>
          <w:sz w:val="24"/>
          <w:szCs w:val="24"/>
        </w:rPr>
      </w:pPr>
    </w:p>
    <w:p w:rsidR="00234340" w:rsidRPr="00F37CE6" w:rsidRDefault="00234340" w:rsidP="00F37CE6">
      <w:pPr>
        <w:pStyle w:val="Bullet-list"/>
        <w:spacing w:after="0" w:line="240" w:lineRule="auto"/>
        <w:jc w:val="both"/>
        <w:rPr>
          <w:rFonts w:ascii="Times New Roman" w:hAnsi="Times New Roman"/>
          <w:b/>
          <w:sz w:val="24"/>
          <w:szCs w:val="24"/>
        </w:rPr>
      </w:pPr>
      <w:r w:rsidRPr="00F37CE6">
        <w:rPr>
          <w:rFonts w:ascii="Times New Roman" w:hAnsi="Times New Roman"/>
          <w:b/>
          <w:sz w:val="24"/>
          <w:szCs w:val="24"/>
        </w:rPr>
        <w:t>Taxing employees’ income</w:t>
      </w:r>
    </w:p>
    <w:p w:rsidR="00234340" w:rsidRDefault="00234340" w:rsidP="00F37CE6">
      <w:pPr>
        <w:pStyle w:val="Bullet-list"/>
        <w:spacing w:after="0" w:line="240" w:lineRule="auto"/>
        <w:ind w:left="360" w:firstLine="0"/>
        <w:jc w:val="both"/>
        <w:rPr>
          <w:rFonts w:ascii="Times New Roman" w:hAnsi="Times New Roman"/>
          <w:b/>
          <w:sz w:val="24"/>
          <w:szCs w:val="24"/>
        </w:rPr>
      </w:pPr>
    </w:p>
    <w:p w:rsidR="007E0DC1" w:rsidRDefault="007E0DC1" w:rsidP="007E0DC1">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options we considered are as follows:</w:t>
      </w:r>
    </w:p>
    <w:p w:rsidR="007E0DC1" w:rsidRDefault="007E0DC1" w:rsidP="00F37CE6">
      <w:pPr>
        <w:pStyle w:val="Bullet-list"/>
        <w:spacing w:after="0" w:line="240" w:lineRule="auto"/>
        <w:ind w:left="0" w:firstLine="0"/>
        <w:jc w:val="both"/>
        <w:rPr>
          <w:rFonts w:ascii="Times New Roman" w:hAnsi="Times New Roman"/>
          <w:sz w:val="24"/>
          <w:szCs w:val="24"/>
        </w:rPr>
      </w:pPr>
    </w:p>
    <w:p w:rsidR="007E0DC1" w:rsidRDefault="00234340" w:rsidP="00F37CE6">
      <w:pPr>
        <w:pStyle w:val="Bullet-list"/>
        <w:numPr>
          <w:ilvl w:val="0"/>
          <w:numId w:val="28"/>
        </w:numPr>
        <w:spacing w:after="0" w:line="240" w:lineRule="auto"/>
        <w:jc w:val="both"/>
        <w:rPr>
          <w:rFonts w:ascii="Times New Roman" w:hAnsi="Times New Roman"/>
          <w:sz w:val="24"/>
          <w:szCs w:val="24"/>
        </w:rPr>
      </w:pPr>
      <w:r w:rsidRPr="007E0DC1">
        <w:rPr>
          <w:rFonts w:ascii="Times New Roman" w:hAnsi="Times New Roman"/>
          <w:b/>
          <w:sz w:val="24"/>
          <w:szCs w:val="24"/>
        </w:rPr>
        <w:t>Option A</w:t>
      </w:r>
      <w:r w:rsidRPr="00F37CE6">
        <w:rPr>
          <w:rFonts w:ascii="Times New Roman" w:hAnsi="Times New Roman"/>
          <w:sz w:val="24"/>
          <w:szCs w:val="24"/>
        </w:rPr>
        <w:t xml:space="preserve"> – </w:t>
      </w:r>
      <w:r w:rsidRPr="0098146A">
        <w:rPr>
          <w:rFonts w:ascii="Times New Roman" w:hAnsi="Times New Roman"/>
          <w:b/>
          <w:sz w:val="24"/>
          <w:szCs w:val="24"/>
        </w:rPr>
        <w:t>status quo</w:t>
      </w:r>
      <w:r w:rsidR="0010234D" w:rsidRPr="00F37CE6">
        <w:rPr>
          <w:rFonts w:ascii="Times New Roman" w:hAnsi="Times New Roman"/>
          <w:sz w:val="24"/>
          <w:szCs w:val="24"/>
        </w:rPr>
        <w:t>:</w:t>
      </w:r>
      <w:r w:rsidR="0010234D">
        <w:rPr>
          <w:rFonts w:ascii="Times New Roman" w:hAnsi="Times New Roman"/>
          <w:sz w:val="24"/>
          <w:szCs w:val="24"/>
        </w:rPr>
        <w:t xml:space="preserve"> this option is summarised in paragraphs </w:t>
      </w:r>
      <w:r w:rsidR="0010234D">
        <w:rPr>
          <w:rFonts w:ascii="Times New Roman" w:hAnsi="Times New Roman"/>
          <w:sz w:val="24"/>
          <w:szCs w:val="24"/>
        </w:rPr>
        <w:fldChar w:fldCharType="begin"/>
      </w:r>
      <w:r w:rsidR="0010234D">
        <w:rPr>
          <w:rFonts w:ascii="Times New Roman" w:hAnsi="Times New Roman"/>
          <w:sz w:val="24"/>
          <w:szCs w:val="24"/>
        </w:rPr>
        <w:instrText xml:space="preserve"> REF _Ref464133816 \r \h </w:instrText>
      </w:r>
      <w:r w:rsidR="008923A2">
        <w:rPr>
          <w:rFonts w:ascii="Times New Roman" w:hAnsi="Times New Roman"/>
          <w:sz w:val="24"/>
          <w:szCs w:val="24"/>
        </w:rPr>
        <w:instrText xml:space="preserve"> \* MERGEFORMAT </w:instrText>
      </w:r>
      <w:r w:rsidR="0010234D">
        <w:rPr>
          <w:rFonts w:ascii="Times New Roman" w:hAnsi="Times New Roman"/>
          <w:sz w:val="24"/>
          <w:szCs w:val="24"/>
        </w:rPr>
      </w:r>
      <w:r w:rsidR="0010234D">
        <w:rPr>
          <w:rFonts w:ascii="Times New Roman" w:hAnsi="Times New Roman"/>
          <w:sz w:val="24"/>
          <w:szCs w:val="24"/>
        </w:rPr>
        <w:fldChar w:fldCharType="separate"/>
      </w:r>
      <w:r w:rsidR="000349EC">
        <w:rPr>
          <w:rFonts w:ascii="Times New Roman" w:hAnsi="Times New Roman"/>
          <w:sz w:val="24"/>
          <w:szCs w:val="24"/>
        </w:rPr>
        <w:t>6</w:t>
      </w:r>
      <w:r w:rsidR="0010234D">
        <w:rPr>
          <w:rFonts w:ascii="Times New Roman" w:hAnsi="Times New Roman"/>
          <w:sz w:val="24"/>
          <w:szCs w:val="24"/>
        </w:rPr>
        <w:fldChar w:fldCharType="end"/>
      </w:r>
      <w:r w:rsidR="0010234D">
        <w:rPr>
          <w:rFonts w:ascii="Times New Roman" w:hAnsi="Times New Roman"/>
          <w:sz w:val="24"/>
          <w:szCs w:val="24"/>
        </w:rPr>
        <w:t xml:space="preserve"> to </w:t>
      </w:r>
      <w:r w:rsidR="0010234D">
        <w:rPr>
          <w:rFonts w:ascii="Times New Roman" w:hAnsi="Times New Roman"/>
          <w:sz w:val="24"/>
          <w:szCs w:val="24"/>
        </w:rPr>
        <w:fldChar w:fldCharType="begin"/>
      </w:r>
      <w:r w:rsidR="0010234D">
        <w:rPr>
          <w:rFonts w:ascii="Times New Roman" w:hAnsi="Times New Roman"/>
          <w:sz w:val="24"/>
          <w:szCs w:val="24"/>
        </w:rPr>
        <w:instrText xml:space="preserve"> REF _Ref464133819 \r \h </w:instrText>
      </w:r>
      <w:r w:rsidR="008923A2">
        <w:rPr>
          <w:rFonts w:ascii="Times New Roman" w:hAnsi="Times New Roman"/>
          <w:sz w:val="24"/>
          <w:szCs w:val="24"/>
        </w:rPr>
        <w:instrText xml:space="preserve"> \* MERGEFORMAT </w:instrText>
      </w:r>
      <w:r w:rsidR="0010234D">
        <w:rPr>
          <w:rFonts w:ascii="Times New Roman" w:hAnsi="Times New Roman"/>
          <w:sz w:val="24"/>
          <w:szCs w:val="24"/>
        </w:rPr>
      </w:r>
      <w:r w:rsidR="0010234D">
        <w:rPr>
          <w:rFonts w:ascii="Times New Roman" w:hAnsi="Times New Roman"/>
          <w:sz w:val="24"/>
          <w:szCs w:val="24"/>
        </w:rPr>
        <w:fldChar w:fldCharType="separate"/>
      </w:r>
      <w:r w:rsidR="000349EC">
        <w:rPr>
          <w:rFonts w:ascii="Times New Roman" w:hAnsi="Times New Roman"/>
          <w:sz w:val="24"/>
          <w:szCs w:val="24"/>
        </w:rPr>
        <w:t>10</w:t>
      </w:r>
      <w:r w:rsidR="0010234D">
        <w:rPr>
          <w:rFonts w:ascii="Times New Roman" w:hAnsi="Times New Roman"/>
          <w:sz w:val="24"/>
          <w:szCs w:val="24"/>
        </w:rPr>
        <w:fldChar w:fldCharType="end"/>
      </w:r>
      <w:r w:rsidR="0010234D">
        <w:rPr>
          <w:rFonts w:ascii="Times New Roman" w:hAnsi="Times New Roman"/>
          <w:sz w:val="24"/>
          <w:szCs w:val="24"/>
        </w:rPr>
        <w:t xml:space="preserve">. </w:t>
      </w:r>
      <w:r w:rsidR="008923A2">
        <w:rPr>
          <w:rFonts w:ascii="Times New Roman" w:hAnsi="Times New Roman"/>
          <w:sz w:val="24"/>
          <w:szCs w:val="24"/>
        </w:rPr>
        <w:t xml:space="preserve"> Essentially shares are taxed when they are acquired by an employee (or trust), even if they have not yet been earned or they are subject to an arrangement that protects employees from suffering an economic loss if the share price declines.  Options are taxed on exercise.  In both cases, the assessable income is the market value of the shares at the time they are acquired (including through the exercise of an option), less any amount paid for them.</w:t>
      </w:r>
    </w:p>
    <w:p w:rsidR="007A59F4" w:rsidRDefault="007A59F4" w:rsidP="007A59F4">
      <w:pPr>
        <w:pStyle w:val="Bullet-list"/>
        <w:spacing w:after="0" w:line="240" w:lineRule="auto"/>
        <w:ind w:left="720" w:firstLine="0"/>
        <w:jc w:val="both"/>
        <w:rPr>
          <w:rFonts w:ascii="Times New Roman" w:hAnsi="Times New Roman"/>
          <w:sz w:val="24"/>
          <w:szCs w:val="24"/>
        </w:rPr>
      </w:pPr>
    </w:p>
    <w:p w:rsidR="007E0DC1" w:rsidRDefault="00234340" w:rsidP="00F37CE6">
      <w:pPr>
        <w:pStyle w:val="Bullet-list"/>
        <w:numPr>
          <w:ilvl w:val="0"/>
          <w:numId w:val="28"/>
        </w:numPr>
        <w:spacing w:after="0" w:line="240" w:lineRule="auto"/>
        <w:jc w:val="both"/>
        <w:rPr>
          <w:rFonts w:ascii="Times New Roman" w:hAnsi="Times New Roman"/>
          <w:sz w:val="24"/>
          <w:szCs w:val="24"/>
        </w:rPr>
      </w:pPr>
      <w:r w:rsidRPr="003721AC">
        <w:rPr>
          <w:rFonts w:ascii="Times New Roman" w:hAnsi="Times New Roman"/>
          <w:b/>
          <w:sz w:val="24"/>
          <w:szCs w:val="24"/>
        </w:rPr>
        <w:t>Option B</w:t>
      </w:r>
      <w:r>
        <w:rPr>
          <w:rFonts w:ascii="Times New Roman" w:hAnsi="Times New Roman"/>
          <w:sz w:val="24"/>
          <w:szCs w:val="24"/>
        </w:rPr>
        <w:t xml:space="preserve"> </w:t>
      </w:r>
      <w:r w:rsidRPr="008923A2">
        <w:rPr>
          <w:rFonts w:ascii="Times New Roman" w:hAnsi="Times New Roman"/>
          <w:b/>
          <w:sz w:val="24"/>
          <w:szCs w:val="24"/>
        </w:rPr>
        <w:t xml:space="preserve">– </w:t>
      </w:r>
      <w:r w:rsidR="0010234D" w:rsidRPr="008923A2">
        <w:rPr>
          <w:rFonts w:ascii="Times New Roman" w:hAnsi="Times New Roman"/>
          <w:b/>
          <w:sz w:val="24"/>
          <w:szCs w:val="24"/>
        </w:rPr>
        <w:t>t</w:t>
      </w:r>
      <w:r w:rsidRPr="008923A2">
        <w:rPr>
          <w:rFonts w:ascii="Times New Roman" w:hAnsi="Times New Roman"/>
          <w:b/>
          <w:sz w:val="24"/>
          <w:szCs w:val="24"/>
        </w:rPr>
        <w:t xml:space="preserve">ax </w:t>
      </w:r>
      <w:r w:rsidR="00386EB9">
        <w:rPr>
          <w:rFonts w:ascii="Times New Roman" w:hAnsi="Times New Roman"/>
          <w:b/>
          <w:sz w:val="24"/>
          <w:szCs w:val="24"/>
        </w:rPr>
        <w:t xml:space="preserve">employee </w:t>
      </w:r>
      <w:r w:rsidRPr="008923A2">
        <w:rPr>
          <w:rFonts w:ascii="Times New Roman" w:hAnsi="Times New Roman"/>
          <w:b/>
          <w:sz w:val="24"/>
          <w:szCs w:val="24"/>
        </w:rPr>
        <w:t>on grant</w:t>
      </w:r>
      <w:r w:rsidR="0010234D" w:rsidRPr="008923A2">
        <w:rPr>
          <w:rFonts w:ascii="Times New Roman" w:hAnsi="Times New Roman"/>
          <w:b/>
          <w:sz w:val="24"/>
          <w:szCs w:val="24"/>
        </w:rPr>
        <w:t>:</w:t>
      </w:r>
      <w:r w:rsidR="0010234D">
        <w:rPr>
          <w:rFonts w:ascii="Times New Roman" w:hAnsi="Times New Roman"/>
          <w:sz w:val="24"/>
          <w:szCs w:val="24"/>
        </w:rPr>
        <w:t xml:space="preserve"> this would involve taxing an employee on the value of the arrangement when they enter into it. For example, when an option is granted to an employee or</w:t>
      </w:r>
      <w:r w:rsidR="003E1561">
        <w:rPr>
          <w:rFonts w:ascii="Times New Roman" w:hAnsi="Times New Roman"/>
          <w:sz w:val="24"/>
          <w:szCs w:val="24"/>
        </w:rPr>
        <w:t xml:space="preserve"> when an employee is promised </w:t>
      </w:r>
      <w:r w:rsidR="0010234D">
        <w:rPr>
          <w:rFonts w:ascii="Times New Roman" w:hAnsi="Times New Roman"/>
          <w:sz w:val="24"/>
          <w:szCs w:val="24"/>
        </w:rPr>
        <w:t>shares</w:t>
      </w:r>
      <w:r w:rsidR="003E1561">
        <w:rPr>
          <w:rFonts w:ascii="Times New Roman" w:hAnsi="Times New Roman"/>
          <w:sz w:val="24"/>
          <w:szCs w:val="24"/>
        </w:rPr>
        <w:t xml:space="preserve"> under an ESS </w:t>
      </w:r>
      <w:r w:rsidR="00777C7A">
        <w:rPr>
          <w:rFonts w:ascii="Times New Roman" w:hAnsi="Times New Roman"/>
          <w:sz w:val="24"/>
          <w:szCs w:val="24"/>
        </w:rPr>
        <w:t>if they</w:t>
      </w:r>
      <w:r w:rsidR="003E1561">
        <w:rPr>
          <w:rFonts w:ascii="Times New Roman" w:hAnsi="Times New Roman"/>
          <w:sz w:val="24"/>
          <w:szCs w:val="24"/>
        </w:rPr>
        <w:t xml:space="preserve"> perfor</w:t>
      </w:r>
      <w:r w:rsidR="003227F8">
        <w:rPr>
          <w:rFonts w:ascii="Times New Roman" w:hAnsi="Times New Roman"/>
          <w:sz w:val="24"/>
          <w:szCs w:val="24"/>
        </w:rPr>
        <w:t xml:space="preserve">m </w:t>
      </w:r>
      <w:r w:rsidR="003E1561">
        <w:rPr>
          <w:rFonts w:ascii="Times New Roman" w:hAnsi="Times New Roman"/>
          <w:sz w:val="24"/>
          <w:szCs w:val="24"/>
        </w:rPr>
        <w:t>services for a certain period of time</w:t>
      </w:r>
      <w:r w:rsidR="0010234D">
        <w:rPr>
          <w:rFonts w:ascii="Times New Roman" w:hAnsi="Times New Roman"/>
          <w:sz w:val="24"/>
          <w:szCs w:val="24"/>
        </w:rPr>
        <w:t>.</w:t>
      </w:r>
    </w:p>
    <w:p w:rsidR="007E0DC1" w:rsidRDefault="00234340" w:rsidP="00F37CE6">
      <w:pPr>
        <w:pStyle w:val="Bullet-list"/>
        <w:numPr>
          <w:ilvl w:val="0"/>
          <w:numId w:val="28"/>
        </w:numPr>
        <w:spacing w:after="0" w:line="240" w:lineRule="auto"/>
        <w:jc w:val="both"/>
        <w:rPr>
          <w:rFonts w:ascii="Times New Roman" w:hAnsi="Times New Roman"/>
          <w:sz w:val="24"/>
          <w:szCs w:val="24"/>
        </w:rPr>
      </w:pPr>
      <w:r w:rsidRPr="008923A2">
        <w:rPr>
          <w:rFonts w:ascii="Times New Roman" w:hAnsi="Times New Roman"/>
          <w:b/>
          <w:sz w:val="24"/>
          <w:szCs w:val="24"/>
        </w:rPr>
        <w:t>Option C</w:t>
      </w:r>
      <w:r w:rsidR="003E1561" w:rsidRPr="008923A2">
        <w:rPr>
          <w:rFonts w:ascii="Times New Roman" w:hAnsi="Times New Roman"/>
          <w:b/>
          <w:sz w:val="24"/>
          <w:szCs w:val="24"/>
        </w:rPr>
        <w:t xml:space="preserve"> –</w:t>
      </w:r>
      <w:r w:rsidRPr="008923A2">
        <w:rPr>
          <w:rFonts w:ascii="Times New Roman" w:hAnsi="Times New Roman"/>
          <w:b/>
          <w:sz w:val="24"/>
          <w:szCs w:val="24"/>
        </w:rPr>
        <w:t xml:space="preserve"> tax </w:t>
      </w:r>
      <w:r w:rsidR="00386EB9">
        <w:rPr>
          <w:rFonts w:ascii="Times New Roman" w:hAnsi="Times New Roman"/>
          <w:b/>
          <w:sz w:val="24"/>
          <w:szCs w:val="24"/>
        </w:rPr>
        <w:t xml:space="preserve">employee </w:t>
      </w:r>
      <w:r w:rsidR="003E1561" w:rsidRPr="008923A2">
        <w:rPr>
          <w:rFonts w:ascii="Times New Roman" w:hAnsi="Times New Roman"/>
          <w:b/>
          <w:sz w:val="24"/>
          <w:szCs w:val="24"/>
        </w:rPr>
        <w:t>when the shares vest:</w:t>
      </w:r>
      <w:r w:rsidR="003E1561">
        <w:rPr>
          <w:rFonts w:ascii="Times New Roman" w:hAnsi="Times New Roman"/>
          <w:sz w:val="24"/>
          <w:szCs w:val="24"/>
        </w:rPr>
        <w:t xml:space="preserve"> this involves taxing employees when they have done everything they have to do to earn the shares and they hold them on (essentially) the same basis as other shareholders</w:t>
      </w:r>
      <w:r w:rsidR="008923A2">
        <w:rPr>
          <w:rFonts w:ascii="Times New Roman" w:hAnsi="Times New Roman"/>
          <w:sz w:val="24"/>
          <w:szCs w:val="24"/>
        </w:rPr>
        <w:t xml:space="preserve"> (including not having any protection from suffering an economic loss if the share price declines)</w:t>
      </w:r>
      <w:r w:rsidR="003E1561">
        <w:rPr>
          <w:rFonts w:ascii="Times New Roman" w:hAnsi="Times New Roman"/>
          <w:sz w:val="24"/>
          <w:szCs w:val="24"/>
        </w:rPr>
        <w:t xml:space="preserve">.  </w:t>
      </w:r>
      <w:r w:rsidR="008923A2">
        <w:rPr>
          <w:rFonts w:ascii="Times New Roman" w:hAnsi="Times New Roman"/>
          <w:sz w:val="24"/>
          <w:szCs w:val="24"/>
        </w:rPr>
        <w:t xml:space="preserve">Under this option, employees are taxable on the market value of the shares at the time they vest, less any amount they pay for the shares.  </w:t>
      </w:r>
      <w:r w:rsidR="0038394D">
        <w:rPr>
          <w:rFonts w:ascii="Times New Roman" w:hAnsi="Times New Roman"/>
          <w:sz w:val="24"/>
          <w:szCs w:val="24"/>
        </w:rPr>
        <w:t>Consistent with existing law, o</w:t>
      </w:r>
      <w:r w:rsidR="003E1561">
        <w:rPr>
          <w:rFonts w:ascii="Times New Roman" w:hAnsi="Times New Roman"/>
          <w:sz w:val="24"/>
          <w:szCs w:val="24"/>
        </w:rPr>
        <w:t>ptions</w:t>
      </w:r>
      <w:r w:rsidR="008923A2">
        <w:rPr>
          <w:rFonts w:ascii="Times New Roman" w:hAnsi="Times New Roman"/>
          <w:sz w:val="24"/>
          <w:szCs w:val="24"/>
        </w:rPr>
        <w:t xml:space="preserve"> would be taxed when they are exercised (even if the options themselves have vested at an earlier date)</w:t>
      </w:r>
      <w:r w:rsidR="003E1561">
        <w:rPr>
          <w:rFonts w:ascii="Times New Roman" w:hAnsi="Times New Roman"/>
          <w:sz w:val="24"/>
          <w:szCs w:val="24"/>
        </w:rPr>
        <w:t>.</w:t>
      </w:r>
      <w:r w:rsidR="0038394D">
        <w:rPr>
          <w:rFonts w:ascii="Times New Roman" w:hAnsi="Times New Roman"/>
          <w:sz w:val="24"/>
          <w:szCs w:val="24"/>
        </w:rPr>
        <w:t xml:space="preserve">  The assessable income would be</w:t>
      </w:r>
      <w:r w:rsidR="008923A2">
        <w:rPr>
          <w:rFonts w:ascii="Times New Roman" w:hAnsi="Times New Roman"/>
          <w:sz w:val="24"/>
          <w:szCs w:val="24"/>
        </w:rPr>
        <w:t xml:space="preserve"> </w:t>
      </w:r>
      <w:r w:rsidR="0038394D">
        <w:rPr>
          <w:rFonts w:ascii="Times New Roman" w:hAnsi="Times New Roman"/>
          <w:sz w:val="24"/>
          <w:szCs w:val="24"/>
        </w:rPr>
        <w:t>the market value of the shares at the time they are acquired through the exercise of the option, less any amount paid for them.</w:t>
      </w:r>
    </w:p>
    <w:p w:rsidR="007A59F4" w:rsidRDefault="007A59F4" w:rsidP="007A59F4">
      <w:pPr>
        <w:pStyle w:val="Bullet-list"/>
        <w:spacing w:after="0" w:line="240" w:lineRule="auto"/>
        <w:ind w:left="720" w:firstLine="0"/>
        <w:jc w:val="both"/>
        <w:rPr>
          <w:rFonts w:ascii="Times New Roman" w:hAnsi="Times New Roman"/>
          <w:sz w:val="24"/>
          <w:szCs w:val="24"/>
        </w:rPr>
      </w:pPr>
    </w:p>
    <w:p w:rsidR="007E0DC1" w:rsidRDefault="008923A2" w:rsidP="00F37CE6">
      <w:pPr>
        <w:pStyle w:val="Bullet-list"/>
        <w:numPr>
          <w:ilvl w:val="0"/>
          <w:numId w:val="28"/>
        </w:numPr>
        <w:spacing w:after="0" w:line="240" w:lineRule="auto"/>
        <w:jc w:val="both"/>
        <w:rPr>
          <w:rFonts w:ascii="Times New Roman" w:hAnsi="Times New Roman"/>
          <w:sz w:val="24"/>
          <w:szCs w:val="24"/>
        </w:rPr>
      </w:pPr>
      <w:r w:rsidRPr="008923A2">
        <w:rPr>
          <w:rFonts w:ascii="Times New Roman" w:hAnsi="Times New Roman"/>
          <w:b/>
          <w:sz w:val="24"/>
          <w:szCs w:val="24"/>
        </w:rPr>
        <w:t>Option C2</w:t>
      </w:r>
      <w:r>
        <w:rPr>
          <w:rFonts w:ascii="Times New Roman" w:hAnsi="Times New Roman"/>
          <w:sz w:val="24"/>
          <w:szCs w:val="24"/>
        </w:rPr>
        <w:t xml:space="preserve"> – </w:t>
      </w:r>
      <w:r w:rsidRPr="006C23E3">
        <w:rPr>
          <w:rFonts w:ascii="Times New Roman" w:hAnsi="Times New Roman"/>
          <w:b/>
          <w:sz w:val="24"/>
          <w:szCs w:val="24"/>
        </w:rPr>
        <w:t xml:space="preserve">same as Option C above, but </w:t>
      </w:r>
      <w:r w:rsidR="00386EB9">
        <w:rPr>
          <w:rFonts w:ascii="Times New Roman" w:hAnsi="Times New Roman"/>
          <w:b/>
          <w:sz w:val="24"/>
          <w:szCs w:val="24"/>
        </w:rPr>
        <w:t xml:space="preserve">tax </w:t>
      </w:r>
      <w:r w:rsidRPr="006C23E3">
        <w:rPr>
          <w:rFonts w:ascii="Times New Roman" w:hAnsi="Times New Roman"/>
          <w:b/>
          <w:sz w:val="24"/>
          <w:szCs w:val="24"/>
        </w:rPr>
        <w:t>option</w:t>
      </w:r>
      <w:r w:rsidR="0038394D" w:rsidRPr="006C23E3">
        <w:rPr>
          <w:rFonts w:ascii="Times New Roman" w:hAnsi="Times New Roman"/>
          <w:b/>
          <w:sz w:val="24"/>
          <w:szCs w:val="24"/>
        </w:rPr>
        <w:t>s</w:t>
      </w:r>
      <w:r w:rsidRPr="006C23E3">
        <w:rPr>
          <w:rFonts w:ascii="Times New Roman" w:hAnsi="Times New Roman"/>
          <w:b/>
          <w:sz w:val="24"/>
          <w:szCs w:val="24"/>
        </w:rPr>
        <w:t xml:space="preserve"> when they </w:t>
      </w:r>
      <w:r w:rsidRPr="006C23E3">
        <w:rPr>
          <w:rFonts w:ascii="Times New Roman" w:hAnsi="Times New Roman"/>
          <w:b/>
          <w:i/>
          <w:sz w:val="24"/>
          <w:szCs w:val="24"/>
        </w:rPr>
        <w:t>vest</w:t>
      </w:r>
      <w:r w:rsidR="0038394D" w:rsidRPr="006C23E3">
        <w:rPr>
          <w:rFonts w:ascii="Times New Roman" w:hAnsi="Times New Roman"/>
          <w:b/>
          <w:sz w:val="24"/>
          <w:szCs w:val="24"/>
        </w:rPr>
        <w:t xml:space="preserve">, </w:t>
      </w:r>
      <w:r w:rsidR="0038394D" w:rsidRPr="0098146A">
        <w:rPr>
          <w:rFonts w:ascii="Times New Roman" w:hAnsi="Times New Roman"/>
          <w:b/>
          <w:sz w:val="24"/>
          <w:szCs w:val="24"/>
        </w:rPr>
        <w:t xml:space="preserve">not when they are </w:t>
      </w:r>
      <w:r w:rsidR="0038394D" w:rsidRPr="0098146A">
        <w:rPr>
          <w:rFonts w:ascii="Times New Roman" w:hAnsi="Times New Roman"/>
          <w:b/>
          <w:i/>
          <w:sz w:val="24"/>
          <w:szCs w:val="24"/>
        </w:rPr>
        <w:t>exercised</w:t>
      </w:r>
      <w:r w:rsidR="0038394D" w:rsidRPr="0098146A">
        <w:rPr>
          <w:rFonts w:ascii="Times New Roman" w:hAnsi="Times New Roman"/>
          <w:b/>
          <w:sz w:val="24"/>
          <w:szCs w:val="24"/>
        </w:rPr>
        <w:t>.</w:t>
      </w:r>
      <w:r w:rsidR="0038394D">
        <w:rPr>
          <w:rFonts w:ascii="Times New Roman" w:hAnsi="Times New Roman"/>
          <w:sz w:val="24"/>
          <w:szCs w:val="24"/>
        </w:rPr>
        <w:t xml:space="preserve"> </w:t>
      </w:r>
      <w:r>
        <w:rPr>
          <w:rFonts w:ascii="Times New Roman" w:hAnsi="Times New Roman"/>
          <w:sz w:val="24"/>
          <w:szCs w:val="24"/>
        </w:rPr>
        <w:t xml:space="preserve"> </w:t>
      </w:r>
      <w:r w:rsidR="0038394D">
        <w:rPr>
          <w:rFonts w:ascii="Times New Roman" w:hAnsi="Times New Roman"/>
          <w:sz w:val="24"/>
          <w:szCs w:val="24"/>
        </w:rPr>
        <w:t xml:space="preserve">An option vests when an employee has done everything they have to do to earn it and it can no longer be forfeited.  An option may vest some time before it is (or is able to be) exercised.  Under this option, the assessable income would be equal to the value of the option on the date it vests, </w:t>
      </w:r>
      <w:r>
        <w:rPr>
          <w:rFonts w:ascii="Times New Roman" w:hAnsi="Times New Roman"/>
          <w:sz w:val="24"/>
          <w:szCs w:val="24"/>
        </w:rPr>
        <w:t>estimated using an option valuation model</w:t>
      </w:r>
      <w:r w:rsidR="0038394D">
        <w:rPr>
          <w:rFonts w:ascii="Times New Roman" w:hAnsi="Times New Roman"/>
          <w:sz w:val="24"/>
          <w:szCs w:val="24"/>
        </w:rPr>
        <w:t xml:space="preserve"> (such as the Black-Scholes-Merton model)</w:t>
      </w:r>
      <w:r>
        <w:rPr>
          <w:rFonts w:ascii="Times New Roman" w:hAnsi="Times New Roman"/>
          <w:sz w:val="24"/>
          <w:szCs w:val="24"/>
        </w:rPr>
        <w:t xml:space="preserve">, rather than when </w:t>
      </w:r>
      <w:r w:rsidR="0038394D">
        <w:rPr>
          <w:rFonts w:ascii="Times New Roman" w:hAnsi="Times New Roman"/>
          <w:sz w:val="24"/>
          <w:szCs w:val="24"/>
        </w:rPr>
        <w:t>the option is exercised</w:t>
      </w:r>
      <w:r>
        <w:rPr>
          <w:rFonts w:ascii="Times New Roman" w:hAnsi="Times New Roman"/>
          <w:sz w:val="24"/>
          <w:szCs w:val="24"/>
        </w:rPr>
        <w:t xml:space="preserve"> on the value of the shares at that time less any amount paid for them.</w:t>
      </w:r>
      <w:r w:rsidR="006C23E3">
        <w:rPr>
          <w:rFonts w:ascii="Times New Roman" w:hAnsi="Times New Roman"/>
          <w:sz w:val="24"/>
          <w:szCs w:val="24"/>
        </w:rPr>
        <w:t xml:space="preserve"> </w:t>
      </w:r>
    </w:p>
    <w:p w:rsidR="007A59F4" w:rsidRDefault="007A59F4" w:rsidP="007A59F4">
      <w:pPr>
        <w:pStyle w:val="ListParagraph"/>
        <w:rPr>
          <w:rFonts w:ascii="Times New Roman" w:hAnsi="Times New Roman"/>
          <w:sz w:val="24"/>
          <w:szCs w:val="24"/>
        </w:rPr>
      </w:pPr>
    </w:p>
    <w:p w:rsidR="00E23DC2" w:rsidRDefault="00234340" w:rsidP="00F37CE6">
      <w:pPr>
        <w:pStyle w:val="Bullet-list"/>
        <w:numPr>
          <w:ilvl w:val="0"/>
          <w:numId w:val="28"/>
        </w:numPr>
        <w:spacing w:after="0" w:line="240" w:lineRule="auto"/>
        <w:jc w:val="both"/>
        <w:rPr>
          <w:rFonts w:ascii="Times New Roman" w:hAnsi="Times New Roman"/>
          <w:sz w:val="24"/>
          <w:szCs w:val="24"/>
        </w:rPr>
        <w:sectPr w:rsidR="00E23DC2" w:rsidSect="00E23DC2">
          <w:footerReference w:type="even" r:id="rId9"/>
          <w:footerReference w:type="default" r:id="rId10"/>
          <w:pgSz w:w="11907" w:h="16840" w:code="9"/>
          <w:pgMar w:top="1134" w:right="1418" w:bottom="1134" w:left="1418" w:header="567" w:footer="567" w:gutter="0"/>
          <w:pgNumType w:start="1"/>
          <w:cols w:space="720"/>
          <w:docGrid w:linePitch="360"/>
        </w:sectPr>
      </w:pPr>
      <w:r w:rsidRPr="003721AC">
        <w:rPr>
          <w:rFonts w:ascii="Times New Roman" w:hAnsi="Times New Roman"/>
          <w:b/>
          <w:sz w:val="24"/>
          <w:szCs w:val="24"/>
        </w:rPr>
        <w:t xml:space="preserve">Option </w:t>
      </w:r>
      <w:r>
        <w:rPr>
          <w:rFonts w:ascii="Times New Roman" w:hAnsi="Times New Roman"/>
          <w:b/>
          <w:sz w:val="24"/>
          <w:szCs w:val="24"/>
        </w:rPr>
        <w:t>D</w:t>
      </w:r>
      <w:r>
        <w:rPr>
          <w:rFonts w:ascii="Times New Roman" w:hAnsi="Times New Roman"/>
          <w:sz w:val="24"/>
          <w:szCs w:val="24"/>
        </w:rPr>
        <w:t xml:space="preserve"> </w:t>
      </w:r>
      <w:r w:rsidRPr="006C23E3">
        <w:rPr>
          <w:rFonts w:ascii="Times New Roman" w:hAnsi="Times New Roman"/>
          <w:b/>
          <w:sz w:val="24"/>
          <w:szCs w:val="24"/>
        </w:rPr>
        <w:t xml:space="preserve">– tax </w:t>
      </w:r>
      <w:r w:rsidR="00386EB9">
        <w:rPr>
          <w:rFonts w:ascii="Times New Roman" w:hAnsi="Times New Roman"/>
          <w:b/>
          <w:sz w:val="24"/>
          <w:szCs w:val="24"/>
        </w:rPr>
        <w:t>employee when they sell the shares</w:t>
      </w:r>
      <w:r w:rsidR="003E1561">
        <w:rPr>
          <w:rFonts w:ascii="Times New Roman" w:hAnsi="Times New Roman"/>
          <w:sz w:val="24"/>
          <w:szCs w:val="24"/>
        </w:rPr>
        <w:t>:</w:t>
      </w:r>
      <w:r w:rsidR="006C23E3">
        <w:rPr>
          <w:rFonts w:ascii="Times New Roman" w:hAnsi="Times New Roman"/>
          <w:sz w:val="24"/>
          <w:szCs w:val="24"/>
        </w:rPr>
        <w:t xml:space="preserve"> tax could be imposed on shares at the time they are sold.  The assessable income would be equal to the proceeds of sale less any amount the employees paid to acquire the shares.  This means employees will have the cash to pay the tax and the market value will be more easily established.  </w:t>
      </w:r>
    </w:p>
    <w:p w:rsidR="00577DD7" w:rsidRPr="00BD5B13" w:rsidRDefault="00BD5B13" w:rsidP="00F37CE6">
      <w:pPr>
        <w:pStyle w:val="Bullet-list"/>
        <w:spacing w:after="0" w:line="240" w:lineRule="auto"/>
        <w:jc w:val="both"/>
        <w:rPr>
          <w:rFonts w:ascii="Times New Roman" w:hAnsi="Times New Roman"/>
          <w:b/>
          <w:sz w:val="24"/>
          <w:szCs w:val="24"/>
        </w:rPr>
      </w:pPr>
      <w:r w:rsidRPr="00BD5B13">
        <w:rPr>
          <w:rFonts w:ascii="Times New Roman" w:hAnsi="Times New Roman"/>
          <w:b/>
          <w:sz w:val="24"/>
          <w:szCs w:val="24"/>
        </w:rPr>
        <w:t xml:space="preserve">Table </w:t>
      </w:r>
      <w:r w:rsidR="007E0DC1">
        <w:rPr>
          <w:rFonts w:ascii="Times New Roman" w:hAnsi="Times New Roman"/>
          <w:b/>
          <w:sz w:val="24"/>
          <w:szCs w:val="24"/>
        </w:rPr>
        <w:t>1</w:t>
      </w:r>
      <w:r w:rsidR="007E0DC1" w:rsidRPr="00BD5B13">
        <w:rPr>
          <w:rFonts w:ascii="Times New Roman" w:hAnsi="Times New Roman"/>
          <w:b/>
          <w:sz w:val="24"/>
          <w:szCs w:val="24"/>
        </w:rPr>
        <w:t xml:space="preserve"> </w:t>
      </w:r>
      <w:r w:rsidRPr="00BD5B13">
        <w:rPr>
          <w:rFonts w:ascii="Times New Roman" w:hAnsi="Times New Roman"/>
          <w:b/>
          <w:sz w:val="24"/>
          <w:szCs w:val="24"/>
        </w:rPr>
        <w:t>- Taxing employees’ income</w:t>
      </w:r>
    </w:p>
    <w:p w:rsidR="00234340" w:rsidRDefault="00234340" w:rsidP="00F37CE6">
      <w:pPr>
        <w:pStyle w:val="Bullet-list"/>
        <w:spacing w:after="0" w:line="240" w:lineRule="auto"/>
        <w:jc w:val="both"/>
        <w:rPr>
          <w:rFonts w:ascii="Times New Roman" w:hAnsi="Times New Roman"/>
          <w:sz w:val="24"/>
          <w:szCs w:val="24"/>
        </w:rPr>
      </w:pPr>
    </w:p>
    <w:tbl>
      <w:tblPr>
        <w:tblStyle w:val="TableGrid"/>
        <w:tblW w:w="5000" w:type="pct"/>
        <w:tblLayout w:type="fixed"/>
        <w:tblLook w:val="04A0" w:firstRow="1" w:lastRow="0" w:firstColumn="1" w:lastColumn="0" w:noHBand="0" w:noVBand="1"/>
      </w:tblPr>
      <w:tblGrid>
        <w:gridCol w:w="1131"/>
        <w:gridCol w:w="2097"/>
        <w:gridCol w:w="2266"/>
        <w:gridCol w:w="2694"/>
        <w:gridCol w:w="2127"/>
        <w:gridCol w:w="1757"/>
        <w:gridCol w:w="1358"/>
        <w:gridCol w:w="1358"/>
      </w:tblGrid>
      <w:tr w:rsidR="00A808A4" w:rsidRPr="003721AC" w:rsidTr="00A808A4">
        <w:tc>
          <w:tcPr>
            <w:tcW w:w="382"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6"/>
                <w:szCs w:val="24"/>
              </w:rPr>
            </w:pPr>
          </w:p>
        </w:tc>
        <w:tc>
          <w:tcPr>
            <w:tcW w:w="709"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6"/>
                <w:szCs w:val="24"/>
              </w:rPr>
            </w:pPr>
            <w:r w:rsidRPr="00F37CE6">
              <w:rPr>
                <w:rFonts w:ascii="Times New Roman" w:hAnsi="Times New Roman"/>
                <w:b/>
                <w:sz w:val="16"/>
                <w:szCs w:val="24"/>
              </w:rPr>
              <w:t>Neutrality</w:t>
            </w:r>
          </w:p>
        </w:tc>
        <w:tc>
          <w:tcPr>
            <w:tcW w:w="766"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6"/>
                <w:szCs w:val="24"/>
              </w:rPr>
            </w:pPr>
            <w:r w:rsidRPr="00F37CE6">
              <w:rPr>
                <w:rFonts w:ascii="Times New Roman" w:hAnsi="Times New Roman"/>
                <w:b/>
                <w:sz w:val="16"/>
                <w:szCs w:val="24"/>
              </w:rPr>
              <w:t>Equity</w:t>
            </w:r>
          </w:p>
        </w:tc>
        <w:tc>
          <w:tcPr>
            <w:tcW w:w="911"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6"/>
                <w:szCs w:val="24"/>
              </w:rPr>
            </w:pPr>
            <w:r w:rsidRPr="00F37CE6">
              <w:rPr>
                <w:rFonts w:ascii="Times New Roman" w:hAnsi="Times New Roman"/>
                <w:b/>
                <w:sz w:val="16"/>
                <w:szCs w:val="24"/>
              </w:rPr>
              <w:t>Minimises compliance costs</w:t>
            </w:r>
          </w:p>
        </w:tc>
        <w:tc>
          <w:tcPr>
            <w:tcW w:w="719"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6"/>
                <w:szCs w:val="24"/>
              </w:rPr>
            </w:pPr>
            <w:r w:rsidRPr="00F37CE6">
              <w:rPr>
                <w:rFonts w:ascii="Times New Roman" w:hAnsi="Times New Roman"/>
                <w:b/>
                <w:sz w:val="16"/>
                <w:szCs w:val="24"/>
              </w:rPr>
              <w:t>Minimises administrative costs</w:t>
            </w:r>
          </w:p>
        </w:tc>
        <w:tc>
          <w:tcPr>
            <w:tcW w:w="594"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6"/>
                <w:szCs w:val="24"/>
              </w:rPr>
            </w:pPr>
            <w:r w:rsidRPr="00F37CE6">
              <w:rPr>
                <w:rFonts w:ascii="Times New Roman" w:hAnsi="Times New Roman"/>
                <w:b/>
                <w:sz w:val="16"/>
                <w:szCs w:val="24"/>
              </w:rPr>
              <w:t>Integrity</w:t>
            </w:r>
          </w:p>
        </w:tc>
        <w:tc>
          <w:tcPr>
            <w:tcW w:w="459"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6"/>
                <w:szCs w:val="24"/>
              </w:rPr>
            </w:pPr>
            <w:r w:rsidRPr="00F37CE6">
              <w:rPr>
                <w:rFonts w:ascii="Times New Roman" w:hAnsi="Times New Roman"/>
                <w:b/>
                <w:sz w:val="16"/>
                <w:szCs w:val="24"/>
              </w:rPr>
              <w:t>Assessment against main objective</w:t>
            </w:r>
          </w:p>
        </w:tc>
        <w:tc>
          <w:tcPr>
            <w:tcW w:w="459" w:type="pct"/>
            <w:shd w:val="clear" w:color="auto" w:fill="000000" w:themeFill="text1"/>
          </w:tcPr>
          <w:p w:rsidR="00577DD7" w:rsidRPr="00577DD7" w:rsidRDefault="00577DD7">
            <w:pPr>
              <w:pStyle w:val="Bullet-list"/>
              <w:spacing w:after="0" w:line="240" w:lineRule="auto"/>
              <w:ind w:left="0" w:firstLine="0"/>
              <w:jc w:val="left"/>
              <w:rPr>
                <w:rFonts w:ascii="Times New Roman" w:hAnsi="Times New Roman"/>
                <w:b/>
                <w:sz w:val="16"/>
                <w:szCs w:val="24"/>
              </w:rPr>
            </w:pPr>
            <w:r>
              <w:rPr>
                <w:rFonts w:ascii="Times New Roman" w:hAnsi="Times New Roman"/>
                <w:b/>
                <w:sz w:val="16"/>
                <w:szCs w:val="24"/>
              </w:rPr>
              <w:t>Fiscal impact</w:t>
            </w:r>
          </w:p>
        </w:tc>
      </w:tr>
      <w:tr w:rsidR="00577DD7" w:rsidRPr="003721AC" w:rsidTr="00A808A4">
        <w:tc>
          <w:tcPr>
            <w:tcW w:w="382" w:type="pct"/>
          </w:tcPr>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b/>
                <w:sz w:val="16"/>
                <w:szCs w:val="24"/>
              </w:rPr>
              <w:t>Option A</w:t>
            </w:r>
            <w:r w:rsidRPr="00F37CE6">
              <w:rPr>
                <w:rFonts w:ascii="Times New Roman" w:hAnsi="Times New Roman"/>
                <w:sz w:val="16"/>
                <w:szCs w:val="24"/>
              </w:rPr>
              <w:t xml:space="preserve"> –</w:t>
            </w:r>
          </w:p>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status quo</w:t>
            </w:r>
          </w:p>
        </w:tc>
        <w:tc>
          <w:tcPr>
            <w:tcW w:w="709" w:type="pct"/>
          </w:tcPr>
          <w:p w:rsidR="00577DD7" w:rsidRPr="00F37CE6" w:rsidRDefault="00577DD7">
            <w:pPr>
              <w:pStyle w:val="ListParagraph"/>
              <w:ind w:left="30"/>
              <w:jc w:val="left"/>
              <w:rPr>
                <w:rFonts w:ascii="Times New Roman" w:eastAsiaTheme="minorHAnsi" w:hAnsi="Times New Roman"/>
                <w:sz w:val="16"/>
                <w:szCs w:val="24"/>
              </w:rPr>
            </w:pPr>
            <w:r w:rsidRPr="00F37CE6">
              <w:rPr>
                <w:rFonts w:ascii="Times New Roman" w:hAnsi="Times New Roman"/>
                <w:sz w:val="16"/>
                <w:szCs w:val="24"/>
              </w:rPr>
              <w:t>ESS benefits taxed differently from cash salary and other in-kind benefits.  Taxation of shares at grant is not consistent with taxation of options on exercise.</w:t>
            </w:r>
          </w:p>
        </w:tc>
        <w:tc>
          <w:tcPr>
            <w:tcW w:w="766" w:type="pct"/>
          </w:tcPr>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ESS benefits are often tax advantaged.</w:t>
            </w:r>
          </w:p>
        </w:tc>
        <w:tc>
          <w:tcPr>
            <w:tcW w:w="911" w:type="pct"/>
          </w:tcPr>
          <w:p w:rsidR="00577DD7" w:rsidRPr="00F37CE6" w:rsidRDefault="00577DD7" w:rsidP="00A808A4">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Significant compliance costs associated with uncertainty of the law</w:t>
            </w:r>
            <w:r w:rsidR="00A808A4">
              <w:rPr>
                <w:rFonts w:ascii="Times New Roman" w:hAnsi="Times New Roman"/>
                <w:sz w:val="16"/>
                <w:szCs w:val="24"/>
              </w:rPr>
              <w:t>. Valuation and cashflow issues also cause significant compliance costs – especially for start-up companies.</w:t>
            </w:r>
          </w:p>
        </w:tc>
        <w:tc>
          <w:tcPr>
            <w:tcW w:w="719" w:type="pct"/>
          </w:tcPr>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Significant administrative costs associated with uncertainty of the law</w:t>
            </w:r>
          </w:p>
        </w:tc>
        <w:tc>
          <w:tcPr>
            <w:tcW w:w="594" w:type="pct"/>
          </w:tcPr>
          <w:p w:rsidR="00577DD7" w:rsidRPr="00F37CE6" w:rsidRDefault="00577DD7" w:rsidP="007A59F4">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Many opportunities for tax avoidance and e</w:t>
            </w:r>
            <w:r w:rsidR="007A59F4">
              <w:rPr>
                <w:rFonts w:ascii="Times New Roman" w:hAnsi="Times New Roman"/>
                <w:sz w:val="16"/>
                <w:szCs w:val="24"/>
              </w:rPr>
              <w:t>vasion. T</w:t>
            </w:r>
            <w:r w:rsidRPr="00F37CE6">
              <w:rPr>
                <w:rFonts w:ascii="Times New Roman" w:hAnsi="Times New Roman"/>
                <w:sz w:val="16"/>
                <w:szCs w:val="24"/>
              </w:rPr>
              <w:t>he law is not coherent</w:t>
            </w:r>
          </w:p>
        </w:tc>
        <w:tc>
          <w:tcPr>
            <w:tcW w:w="459" w:type="pct"/>
          </w:tcPr>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i/>
                <w:sz w:val="16"/>
                <w:szCs w:val="24"/>
              </w:rPr>
              <w:t>Does not meet the main objective</w:t>
            </w:r>
          </w:p>
        </w:tc>
        <w:tc>
          <w:tcPr>
            <w:tcW w:w="459" w:type="pct"/>
          </w:tcPr>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Not applicable</w:t>
            </w:r>
          </w:p>
        </w:tc>
      </w:tr>
      <w:tr w:rsidR="00577DD7" w:rsidRPr="003721AC" w:rsidTr="00A808A4">
        <w:tc>
          <w:tcPr>
            <w:tcW w:w="382" w:type="pct"/>
          </w:tcPr>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b/>
                <w:sz w:val="16"/>
                <w:szCs w:val="24"/>
              </w:rPr>
              <w:t>Option B</w:t>
            </w:r>
            <w:r w:rsidRPr="00F37CE6">
              <w:rPr>
                <w:rFonts w:ascii="Times New Roman" w:hAnsi="Times New Roman"/>
                <w:sz w:val="16"/>
                <w:szCs w:val="24"/>
              </w:rPr>
              <w:t xml:space="preserve"> – </w:t>
            </w:r>
          </w:p>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 xml:space="preserve">tax on grant </w:t>
            </w:r>
          </w:p>
        </w:tc>
        <w:tc>
          <w:tcPr>
            <w:tcW w:w="709" w:type="pct"/>
          </w:tcPr>
          <w:p w:rsidR="00577DD7" w:rsidRPr="00F37CE6" w:rsidRDefault="00577DD7">
            <w:pPr>
              <w:spacing w:after="0" w:line="240" w:lineRule="auto"/>
              <w:contextualSpacing/>
              <w:jc w:val="left"/>
              <w:rPr>
                <w:rFonts w:ascii="Times New Roman" w:eastAsiaTheme="minorHAnsi" w:hAnsi="Times New Roman"/>
                <w:b/>
                <w:sz w:val="16"/>
                <w:szCs w:val="24"/>
                <w:lang w:val="en-NZ" w:eastAsia="en-US"/>
              </w:rPr>
            </w:pPr>
            <w:r w:rsidRPr="00F37CE6">
              <w:rPr>
                <w:rFonts w:ascii="Wingdings 2" w:eastAsiaTheme="minorHAnsi" w:hAnsi="Wingdings 2"/>
                <w:b/>
                <w:sz w:val="16"/>
                <w:szCs w:val="24"/>
                <w:lang w:val="en-NZ" w:eastAsia="en-US"/>
              </w:rPr>
              <w:t></w:t>
            </w:r>
            <w:r w:rsidRPr="00F37CE6">
              <w:rPr>
                <w:rFonts w:ascii="Wingdings 2" w:eastAsiaTheme="minorHAnsi" w:hAnsi="Wingdings 2"/>
                <w:b/>
                <w:sz w:val="16"/>
                <w:szCs w:val="24"/>
                <w:lang w:val="en-NZ" w:eastAsia="en-US"/>
              </w:rPr>
              <w:t></w:t>
            </w:r>
            <w:r w:rsidRPr="00F37CE6">
              <w:rPr>
                <w:rFonts w:ascii="Times New Roman" w:eastAsiaTheme="minorHAnsi" w:hAnsi="Times New Roman"/>
                <w:b/>
                <w:sz w:val="16"/>
                <w:szCs w:val="24"/>
                <w:lang w:val="en-NZ" w:eastAsia="en-US"/>
              </w:rPr>
              <w:t xml:space="preserve">Worse than the status quo </w:t>
            </w:r>
          </w:p>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ESS benefits taxed differently from cash salary and other in-kind benefits.</w:t>
            </w:r>
          </w:p>
          <w:p w:rsidR="00577DD7" w:rsidRPr="00F37CE6" w:rsidRDefault="00577DD7">
            <w:pPr>
              <w:pStyle w:val="Bullet-list"/>
              <w:spacing w:after="0" w:line="240" w:lineRule="auto"/>
              <w:ind w:left="0" w:firstLine="0"/>
              <w:jc w:val="left"/>
              <w:rPr>
                <w:rFonts w:ascii="Times New Roman" w:hAnsi="Times New Roman"/>
                <w:sz w:val="16"/>
                <w:szCs w:val="24"/>
              </w:rPr>
            </w:pPr>
          </w:p>
          <w:p w:rsidR="00577DD7" w:rsidRPr="00F37CE6" w:rsidRDefault="00577DD7">
            <w:pPr>
              <w:pStyle w:val="Bullet-list"/>
              <w:spacing w:after="0" w:line="240" w:lineRule="auto"/>
              <w:ind w:left="0" w:firstLine="0"/>
              <w:jc w:val="left"/>
              <w:rPr>
                <w:rFonts w:ascii="Times New Roman" w:hAnsi="Times New Roman"/>
                <w:sz w:val="16"/>
                <w:szCs w:val="24"/>
              </w:rPr>
            </w:pPr>
          </w:p>
        </w:tc>
        <w:tc>
          <w:tcPr>
            <w:tcW w:w="766" w:type="pct"/>
          </w:tcPr>
          <w:p w:rsidR="00577DD7" w:rsidRPr="00F37CE6" w:rsidRDefault="00577DD7">
            <w:pPr>
              <w:spacing w:after="0" w:line="240" w:lineRule="auto"/>
              <w:contextualSpacing/>
              <w:jc w:val="left"/>
              <w:rPr>
                <w:rFonts w:ascii="Times New Roman" w:eastAsiaTheme="minorHAnsi" w:hAnsi="Times New Roman"/>
                <w:b/>
                <w:sz w:val="16"/>
                <w:szCs w:val="24"/>
                <w:lang w:val="en-NZ" w:eastAsia="en-US"/>
              </w:rPr>
            </w:pPr>
            <w:r w:rsidRPr="00F37CE6">
              <w:rPr>
                <w:rFonts w:ascii="Wingdings 2" w:eastAsiaTheme="minorHAnsi" w:hAnsi="Wingdings 2"/>
                <w:b/>
                <w:sz w:val="16"/>
                <w:szCs w:val="24"/>
                <w:lang w:val="en-NZ" w:eastAsia="en-US"/>
              </w:rPr>
              <w:t></w:t>
            </w:r>
            <w:r w:rsidRPr="00F37CE6">
              <w:rPr>
                <w:rFonts w:ascii="Times New Roman" w:eastAsiaTheme="minorHAnsi" w:hAnsi="Times New Roman"/>
                <w:b/>
                <w:sz w:val="16"/>
                <w:szCs w:val="24"/>
                <w:lang w:val="en-NZ" w:eastAsia="en-US"/>
              </w:rPr>
              <w:t xml:space="preserve">No better than status quo </w:t>
            </w:r>
          </w:p>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 xml:space="preserve">ESS benefits taxed differently from cash salary and other in-kind benefits. </w:t>
            </w:r>
          </w:p>
        </w:tc>
        <w:tc>
          <w:tcPr>
            <w:tcW w:w="911" w:type="pct"/>
          </w:tcPr>
          <w:p w:rsidR="00577DD7" w:rsidRPr="00F37CE6" w:rsidRDefault="00577DD7">
            <w:pPr>
              <w:spacing w:after="0" w:line="240" w:lineRule="auto"/>
              <w:contextualSpacing/>
              <w:jc w:val="left"/>
              <w:rPr>
                <w:rFonts w:ascii="Times New Roman" w:eastAsiaTheme="minorHAnsi" w:hAnsi="Times New Roman"/>
                <w:b/>
                <w:sz w:val="16"/>
                <w:szCs w:val="24"/>
                <w:lang w:val="en-NZ" w:eastAsia="en-US"/>
              </w:rPr>
            </w:pPr>
            <w:r w:rsidRPr="00F37CE6">
              <w:rPr>
                <w:rFonts w:ascii="Wingdings 2" w:eastAsiaTheme="minorHAnsi" w:hAnsi="Wingdings 2"/>
                <w:b/>
                <w:sz w:val="16"/>
                <w:szCs w:val="24"/>
                <w:lang w:val="en-NZ" w:eastAsia="en-US"/>
              </w:rPr>
              <w:t></w:t>
            </w:r>
            <w:r w:rsidRPr="00F37CE6">
              <w:rPr>
                <w:rFonts w:ascii="Wingdings 2" w:eastAsiaTheme="minorHAnsi" w:hAnsi="Wingdings 2"/>
                <w:b/>
                <w:sz w:val="16"/>
                <w:szCs w:val="24"/>
                <w:lang w:val="en-NZ" w:eastAsia="en-US"/>
              </w:rPr>
              <w:t></w:t>
            </w:r>
            <w:r w:rsidRPr="00F37CE6">
              <w:rPr>
                <w:rFonts w:ascii="Times New Roman" w:eastAsiaTheme="minorHAnsi" w:hAnsi="Times New Roman"/>
                <w:b/>
                <w:sz w:val="16"/>
                <w:szCs w:val="24"/>
                <w:lang w:val="en-NZ" w:eastAsia="en-US"/>
              </w:rPr>
              <w:t xml:space="preserve">Worse than the status quo </w:t>
            </w:r>
          </w:p>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Significant compliance costs involved in valuing the “promise” to pay in the future.</w:t>
            </w:r>
          </w:p>
        </w:tc>
        <w:tc>
          <w:tcPr>
            <w:tcW w:w="719" w:type="pct"/>
          </w:tcPr>
          <w:p w:rsidR="00577DD7" w:rsidRPr="00F37CE6" w:rsidRDefault="00577DD7">
            <w:pPr>
              <w:spacing w:after="0" w:line="240" w:lineRule="auto"/>
              <w:contextualSpacing/>
              <w:jc w:val="left"/>
              <w:rPr>
                <w:rFonts w:ascii="Times New Roman" w:eastAsiaTheme="minorHAnsi" w:hAnsi="Times New Roman"/>
                <w:b/>
                <w:sz w:val="16"/>
                <w:szCs w:val="24"/>
                <w:lang w:val="en-NZ" w:eastAsia="en-US"/>
              </w:rPr>
            </w:pPr>
            <w:r w:rsidRPr="00F37CE6">
              <w:rPr>
                <w:rFonts w:ascii="Wingdings 2" w:eastAsiaTheme="minorHAnsi" w:hAnsi="Wingdings 2"/>
                <w:b/>
                <w:sz w:val="16"/>
                <w:szCs w:val="24"/>
                <w:lang w:val="en-NZ" w:eastAsia="en-US"/>
              </w:rPr>
              <w:t></w:t>
            </w:r>
            <w:r w:rsidRPr="00F37CE6">
              <w:rPr>
                <w:rFonts w:ascii="Wingdings 2" w:eastAsiaTheme="minorHAnsi" w:hAnsi="Wingdings 2"/>
                <w:b/>
                <w:sz w:val="16"/>
                <w:szCs w:val="24"/>
                <w:lang w:val="en-NZ" w:eastAsia="en-US"/>
              </w:rPr>
              <w:t></w:t>
            </w:r>
            <w:r w:rsidRPr="00F37CE6">
              <w:rPr>
                <w:rFonts w:ascii="Times New Roman" w:eastAsiaTheme="minorHAnsi" w:hAnsi="Times New Roman"/>
                <w:b/>
                <w:sz w:val="16"/>
                <w:szCs w:val="24"/>
                <w:lang w:val="en-NZ" w:eastAsia="en-US"/>
              </w:rPr>
              <w:t xml:space="preserve">Worse than the status quo </w:t>
            </w:r>
          </w:p>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Significant administrative costs involved in valuing the “promise” to pay in the future.</w:t>
            </w:r>
          </w:p>
        </w:tc>
        <w:tc>
          <w:tcPr>
            <w:tcW w:w="594" w:type="pct"/>
          </w:tcPr>
          <w:p w:rsidR="00577DD7" w:rsidRPr="00F37CE6" w:rsidRDefault="00577DD7">
            <w:pPr>
              <w:spacing w:after="0" w:line="240" w:lineRule="auto"/>
              <w:contextualSpacing/>
              <w:jc w:val="left"/>
              <w:rPr>
                <w:rFonts w:ascii="Times New Roman" w:eastAsiaTheme="minorHAnsi" w:hAnsi="Times New Roman"/>
                <w:b/>
                <w:sz w:val="16"/>
                <w:szCs w:val="24"/>
                <w:lang w:val="en-NZ" w:eastAsia="en-US"/>
              </w:rPr>
            </w:pPr>
            <w:r w:rsidRPr="00F37CE6">
              <w:rPr>
                <w:rFonts w:ascii="Wingdings 2" w:eastAsiaTheme="minorHAnsi" w:hAnsi="Wingdings 2"/>
                <w:b/>
                <w:sz w:val="16"/>
                <w:szCs w:val="24"/>
                <w:lang w:val="en-NZ" w:eastAsia="en-US"/>
              </w:rPr>
              <w:t></w:t>
            </w:r>
            <w:r w:rsidRPr="00F37CE6">
              <w:rPr>
                <w:rFonts w:ascii="Times New Roman" w:eastAsiaTheme="minorHAnsi" w:hAnsi="Times New Roman"/>
                <w:b/>
                <w:sz w:val="16"/>
                <w:szCs w:val="24"/>
                <w:lang w:val="en-NZ" w:eastAsia="en-US"/>
              </w:rPr>
              <w:t xml:space="preserve">No better than status quo </w:t>
            </w:r>
          </w:p>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Does not address all opportunities for tax avoidance and evasion. Taxation of employment income is not coherent</w:t>
            </w:r>
          </w:p>
        </w:tc>
        <w:tc>
          <w:tcPr>
            <w:tcW w:w="459" w:type="pct"/>
          </w:tcPr>
          <w:p w:rsidR="00577DD7" w:rsidRPr="00F37CE6" w:rsidRDefault="00577DD7">
            <w:pPr>
              <w:pStyle w:val="Bullet-list"/>
              <w:spacing w:after="0" w:line="240" w:lineRule="auto"/>
              <w:ind w:left="0" w:firstLine="0"/>
              <w:jc w:val="left"/>
              <w:rPr>
                <w:rFonts w:ascii="Times New Roman" w:hAnsi="Times New Roman"/>
                <w:b/>
                <w:color w:val="FF0000"/>
                <w:sz w:val="16"/>
                <w:szCs w:val="24"/>
              </w:rPr>
            </w:pPr>
            <w:r w:rsidRPr="00F37CE6">
              <w:rPr>
                <w:rFonts w:ascii="Times New Roman" w:hAnsi="Times New Roman"/>
                <w:i/>
                <w:sz w:val="16"/>
                <w:szCs w:val="24"/>
              </w:rPr>
              <w:t>Does not meet the main objective</w:t>
            </w:r>
            <w:r w:rsidRPr="00F37CE6">
              <w:rPr>
                <w:rFonts w:ascii="Times New Roman" w:hAnsi="Times New Roman"/>
                <w:b/>
                <w:color w:val="FF0000"/>
                <w:sz w:val="16"/>
                <w:szCs w:val="24"/>
              </w:rPr>
              <w:t xml:space="preserve"> </w:t>
            </w:r>
          </w:p>
          <w:p w:rsidR="00577DD7" w:rsidRPr="00F37CE6" w:rsidRDefault="00577DD7">
            <w:pPr>
              <w:spacing w:after="0" w:line="240" w:lineRule="auto"/>
              <w:contextualSpacing/>
              <w:jc w:val="left"/>
              <w:rPr>
                <w:rFonts w:ascii="Wingdings 2" w:eastAsiaTheme="minorHAnsi" w:hAnsi="Wingdings 2"/>
                <w:sz w:val="16"/>
                <w:szCs w:val="24"/>
                <w:lang w:val="en-NZ" w:eastAsia="en-US"/>
              </w:rPr>
            </w:pPr>
          </w:p>
          <w:p w:rsidR="00577DD7" w:rsidRPr="00F37CE6" w:rsidRDefault="00577DD7" w:rsidP="00F37CE6">
            <w:pPr>
              <w:spacing w:after="0" w:line="240" w:lineRule="auto"/>
              <w:contextualSpacing/>
              <w:rPr>
                <w:rFonts w:ascii="Times New Roman" w:hAnsi="Times New Roman"/>
                <w:i/>
                <w:sz w:val="16"/>
                <w:szCs w:val="24"/>
              </w:rPr>
            </w:pPr>
          </w:p>
        </w:tc>
        <w:tc>
          <w:tcPr>
            <w:tcW w:w="459" w:type="pct"/>
          </w:tcPr>
          <w:p w:rsidR="00577DD7" w:rsidRPr="00F37CE6" w:rsidRDefault="00577DD7">
            <w:pPr>
              <w:pStyle w:val="Bullet-list"/>
              <w:spacing w:after="0" w:line="240" w:lineRule="auto"/>
              <w:ind w:left="0" w:firstLine="0"/>
              <w:jc w:val="left"/>
              <w:rPr>
                <w:rFonts w:ascii="Times New Roman" w:hAnsi="Times New Roman"/>
                <w:sz w:val="16"/>
                <w:szCs w:val="24"/>
              </w:rPr>
            </w:pPr>
            <w:r w:rsidRPr="00577DD7">
              <w:rPr>
                <w:rFonts w:ascii="Times New Roman" w:hAnsi="Times New Roman"/>
                <w:sz w:val="16"/>
                <w:szCs w:val="24"/>
              </w:rPr>
              <w:t>Unable to estimate</w:t>
            </w:r>
          </w:p>
        </w:tc>
      </w:tr>
      <w:tr w:rsidR="00577DD7" w:rsidRPr="00234340" w:rsidTr="00A808A4">
        <w:tc>
          <w:tcPr>
            <w:tcW w:w="382" w:type="pct"/>
          </w:tcPr>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b/>
                <w:sz w:val="16"/>
                <w:szCs w:val="24"/>
              </w:rPr>
              <w:t>Option C</w:t>
            </w:r>
            <w:r w:rsidRPr="00F37CE6">
              <w:rPr>
                <w:rFonts w:ascii="Times New Roman" w:hAnsi="Times New Roman"/>
                <w:sz w:val="16"/>
                <w:szCs w:val="24"/>
              </w:rPr>
              <w:t xml:space="preserve"> –  tax on shares vesting (and options on exercise)</w:t>
            </w:r>
          </w:p>
        </w:tc>
        <w:tc>
          <w:tcPr>
            <w:tcW w:w="709" w:type="pct"/>
          </w:tcPr>
          <w:p w:rsidR="00577DD7" w:rsidRPr="00F37CE6" w:rsidRDefault="00577DD7">
            <w:pPr>
              <w:pStyle w:val="Bullet-list"/>
              <w:spacing w:after="0" w:line="240" w:lineRule="auto"/>
              <w:ind w:left="0" w:firstLine="0"/>
              <w:jc w:val="left"/>
              <w:rPr>
                <w:rFonts w:ascii="Times New Roman" w:eastAsiaTheme="minorHAnsi" w:hAnsi="Times New Roman"/>
                <w:b/>
                <w:sz w:val="16"/>
                <w:szCs w:val="24"/>
              </w:rPr>
            </w:pPr>
            <w:r w:rsidRPr="00F37CE6">
              <w:rPr>
                <w:rFonts w:ascii="Wingdings 2" w:eastAsiaTheme="minorHAnsi" w:hAnsi="Wingdings 2"/>
                <w:b/>
                <w:sz w:val="16"/>
                <w:szCs w:val="24"/>
              </w:rPr>
              <w:t></w:t>
            </w:r>
            <w:r w:rsidRPr="00F37CE6">
              <w:rPr>
                <w:rFonts w:ascii="Wingdings 2" w:eastAsiaTheme="minorHAnsi" w:hAnsi="Wingdings 2"/>
                <w:b/>
                <w:sz w:val="16"/>
                <w:szCs w:val="24"/>
              </w:rPr>
              <w:t></w:t>
            </w:r>
            <w:r w:rsidRPr="00F37CE6">
              <w:rPr>
                <w:rFonts w:ascii="Times New Roman" w:eastAsiaTheme="minorHAnsi" w:hAnsi="Times New Roman"/>
                <w:b/>
                <w:sz w:val="16"/>
                <w:szCs w:val="24"/>
              </w:rPr>
              <w:t>Significantly better than the status quo</w:t>
            </w:r>
          </w:p>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ESS benefits taxed the same as cash salary and other in-kind benefits. In some cases the shares cannot be realised to pay tax. There are ways to address this.</w:t>
            </w:r>
          </w:p>
        </w:tc>
        <w:tc>
          <w:tcPr>
            <w:tcW w:w="766" w:type="pct"/>
          </w:tcPr>
          <w:p w:rsidR="00577DD7" w:rsidRPr="00F37CE6" w:rsidRDefault="00577DD7">
            <w:pPr>
              <w:pStyle w:val="Bullet-list"/>
              <w:spacing w:after="0" w:line="240" w:lineRule="auto"/>
              <w:ind w:left="0" w:firstLine="0"/>
              <w:jc w:val="left"/>
              <w:rPr>
                <w:rFonts w:ascii="Times New Roman" w:eastAsiaTheme="minorHAnsi" w:hAnsi="Times New Roman"/>
                <w:b/>
                <w:sz w:val="16"/>
                <w:szCs w:val="24"/>
              </w:rPr>
            </w:pPr>
            <w:r w:rsidRPr="00F37CE6">
              <w:rPr>
                <w:rFonts w:ascii="Wingdings 2" w:eastAsiaTheme="minorHAnsi" w:hAnsi="Wingdings 2"/>
                <w:b/>
                <w:sz w:val="16"/>
                <w:szCs w:val="24"/>
              </w:rPr>
              <w:t></w:t>
            </w:r>
            <w:r w:rsidRPr="00F37CE6">
              <w:rPr>
                <w:rFonts w:ascii="Wingdings 2" w:eastAsiaTheme="minorHAnsi" w:hAnsi="Wingdings 2"/>
                <w:b/>
                <w:sz w:val="16"/>
                <w:szCs w:val="24"/>
              </w:rPr>
              <w:t></w:t>
            </w:r>
            <w:r w:rsidRPr="00F37CE6">
              <w:rPr>
                <w:rFonts w:ascii="Times New Roman" w:eastAsiaTheme="minorHAnsi" w:hAnsi="Times New Roman"/>
                <w:b/>
                <w:sz w:val="16"/>
                <w:szCs w:val="24"/>
              </w:rPr>
              <w:t>Significantly better than the status quo</w:t>
            </w:r>
          </w:p>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ESS benefits taxed the same as cash salary and other in-kind benefits. However, in some cases the shares cannot be realised to pay tax. There are ways to address this.</w:t>
            </w:r>
          </w:p>
        </w:tc>
        <w:tc>
          <w:tcPr>
            <w:tcW w:w="911" w:type="pct"/>
          </w:tcPr>
          <w:p w:rsidR="00577DD7" w:rsidRPr="00F37CE6" w:rsidRDefault="00577DD7">
            <w:pPr>
              <w:pStyle w:val="Bullet-list"/>
              <w:spacing w:after="0" w:line="240" w:lineRule="auto"/>
              <w:ind w:left="0" w:firstLine="0"/>
              <w:jc w:val="left"/>
              <w:rPr>
                <w:rFonts w:ascii="Times New Roman" w:eastAsiaTheme="minorHAnsi" w:hAnsi="Times New Roman"/>
                <w:b/>
                <w:sz w:val="16"/>
                <w:szCs w:val="24"/>
              </w:rPr>
            </w:pPr>
            <w:r w:rsidRPr="00F37CE6">
              <w:rPr>
                <w:rFonts w:ascii="Wingdings 2" w:eastAsiaTheme="minorHAnsi" w:hAnsi="Wingdings 2"/>
                <w:b/>
                <w:sz w:val="16"/>
                <w:szCs w:val="24"/>
              </w:rPr>
              <w:t></w:t>
            </w:r>
            <w:r w:rsidRPr="00F37CE6">
              <w:rPr>
                <w:rFonts w:ascii="Times New Roman" w:eastAsiaTheme="minorHAnsi" w:hAnsi="Times New Roman"/>
                <w:b/>
                <w:sz w:val="16"/>
                <w:szCs w:val="24"/>
              </w:rPr>
              <w:t>Better than the status quo</w:t>
            </w:r>
          </w:p>
          <w:p w:rsidR="00577DD7" w:rsidRPr="00F37CE6" w:rsidRDefault="00577DD7" w:rsidP="00A808A4">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The law will be clearer and more certain, which reduces compliance costs. Valuation issues and tracking vesting may increase compliance costs</w:t>
            </w:r>
            <w:r w:rsidR="00A808A4">
              <w:rPr>
                <w:rFonts w:ascii="Times New Roman" w:hAnsi="Times New Roman"/>
                <w:sz w:val="16"/>
                <w:szCs w:val="24"/>
              </w:rPr>
              <w:t xml:space="preserve"> for some segments of the market</w:t>
            </w:r>
            <w:r w:rsidRPr="00F37CE6">
              <w:rPr>
                <w:rFonts w:ascii="Times New Roman" w:hAnsi="Times New Roman"/>
                <w:sz w:val="16"/>
                <w:szCs w:val="24"/>
              </w:rPr>
              <w:t>.  These costs will largely fall on businesses.</w:t>
            </w:r>
            <w:r w:rsidR="00A808A4">
              <w:rPr>
                <w:rFonts w:ascii="Times New Roman" w:hAnsi="Times New Roman"/>
                <w:sz w:val="16"/>
                <w:szCs w:val="24"/>
              </w:rPr>
              <w:t xml:space="preserve">  We do not expect start-up companies to face significantly higher compliance costs as a result of this option.</w:t>
            </w:r>
          </w:p>
        </w:tc>
        <w:tc>
          <w:tcPr>
            <w:tcW w:w="719" w:type="pct"/>
          </w:tcPr>
          <w:p w:rsidR="00577DD7" w:rsidRPr="00F37CE6" w:rsidRDefault="00577DD7" w:rsidP="007B690F">
            <w:pPr>
              <w:pStyle w:val="Bullet-list"/>
              <w:spacing w:after="0" w:line="240" w:lineRule="auto"/>
              <w:ind w:left="0" w:firstLine="0"/>
              <w:jc w:val="left"/>
              <w:rPr>
                <w:rFonts w:ascii="Times New Roman" w:eastAsiaTheme="minorHAnsi" w:hAnsi="Times New Roman"/>
                <w:b/>
                <w:sz w:val="16"/>
                <w:szCs w:val="24"/>
              </w:rPr>
            </w:pPr>
            <w:r w:rsidRPr="00F37CE6">
              <w:rPr>
                <w:rFonts w:ascii="Wingdings 2" w:eastAsiaTheme="minorHAnsi" w:hAnsi="Wingdings 2"/>
                <w:b/>
                <w:sz w:val="16"/>
                <w:szCs w:val="24"/>
              </w:rPr>
              <w:t></w:t>
            </w:r>
            <w:r w:rsidRPr="00F37CE6">
              <w:rPr>
                <w:rFonts w:ascii="Times New Roman" w:eastAsiaTheme="minorHAnsi" w:hAnsi="Times New Roman"/>
                <w:b/>
                <w:sz w:val="16"/>
                <w:szCs w:val="24"/>
              </w:rPr>
              <w:t>Better than the status quo</w:t>
            </w:r>
          </w:p>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The law will be clearer and more certain, which reduces administrative costs. However, auditing valuation and vesting may increase administrative costs.</w:t>
            </w:r>
          </w:p>
        </w:tc>
        <w:tc>
          <w:tcPr>
            <w:tcW w:w="594" w:type="pct"/>
          </w:tcPr>
          <w:p w:rsidR="00577DD7" w:rsidRPr="00F37CE6" w:rsidRDefault="00577DD7" w:rsidP="007B690F">
            <w:pPr>
              <w:pStyle w:val="Bullet-list"/>
              <w:spacing w:after="0" w:line="240" w:lineRule="auto"/>
              <w:ind w:left="0" w:firstLine="0"/>
              <w:jc w:val="left"/>
              <w:rPr>
                <w:rFonts w:ascii="Times New Roman" w:eastAsiaTheme="minorHAnsi" w:hAnsi="Times New Roman"/>
                <w:b/>
                <w:sz w:val="16"/>
                <w:szCs w:val="24"/>
              </w:rPr>
            </w:pPr>
            <w:r w:rsidRPr="00F37CE6">
              <w:rPr>
                <w:rFonts w:ascii="Wingdings 2" w:eastAsiaTheme="minorHAnsi" w:hAnsi="Wingdings 2"/>
                <w:b/>
                <w:sz w:val="16"/>
                <w:szCs w:val="24"/>
              </w:rPr>
              <w:t></w:t>
            </w:r>
            <w:r w:rsidRPr="00F37CE6">
              <w:rPr>
                <w:rFonts w:ascii="Wingdings 2" w:eastAsiaTheme="minorHAnsi" w:hAnsi="Wingdings 2"/>
                <w:b/>
                <w:sz w:val="16"/>
                <w:szCs w:val="24"/>
              </w:rPr>
              <w:t></w:t>
            </w:r>
            <w:r w:rsidRPr="00F37CE6">
              <w:rPr>
                <w:rFonts w:ascii="Times New Roman" w:eastAsiaTheme="minorHAnsi" w:hAnsi="Times New Roman"/>
                <w:b/>
                <w:sz w:val="16"/>
                <w:szCs w:val="24"/>
              </w:rPr>
              <w:t>Significantly better than the status quo</w:t>
            </w:r>
          </w:p>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Addresses avoidance concerns and makes the taxation of employment income more coherent.</w:t>
            </w:r>
          </w:p>
        </w:tc>
        <w:tc>
          <w:tcPr>
            <w:tcW w:w="459" w:type="pct"/>
          </w:tcPr>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i/>
                <w:sz w:val="16"/>
                <w:szCs w:val="24"/>
              </w:rPr>
              <w:t>Meets the main objective</w:t>
            </w:r>
          </w:p>
          <w:p w:rsidR="00577DD7" w:rsidRPr="00F37CE6" w:rsidRDefault="00577DD7">
            <w:pPr>
              <w:pStyle w:val="Bullet-list"/>
              <w:spacing w:after="0" w:line="240" w:lineRule="auto"/>
              <w:ind w:left="0" w:firstLine="0"/>
              <w:jc w:val="left"/>
              <w:rPr>
                <w:rFonts w:ascii="Times New Roman" w:hAnsi="Times New Roman"/>
                <w:i/>
                <w:sz w:val="16"/>
                <w:szCs w:val="24"/>
              </w:rPr>
            </w:pPr>
          </w:p>
          <w:p w:rsidR="00577DD7" w:rsidRPr="00F37CE6" w:rsidRDefault="00577DD7">
            <w:pPr>
              <w:pStyle w:val="Bullet-list"/>
              <w:spacing w:after="0" w:line="240" w:lineRule="auto"/>
              <w:ind w:left="0" w:firstLine="0"/>
              <w:jc w:val="left"/>
              <w:rPr>
                <w:rFonts w:ascii="Times New Roman" w:eastAsiaTheme="minorHAnsi" w:hAnsi="Times New Roman"/>
                <w:sz w:val="16"/>
                <w:szCs w:val="24"/>
              </w:rPr>
            </w:pPr>
          </w:p>
          <w:p w:rsidR="00577DD7" w:rsidRPr="00F37CE6" w:rsidRDefault="00577DD7">
            <w:pPr>
              <w:pStyle w:val="Bullet-list"/>
              <w:spacing w:after="0" w:line="240" w:lineRule="auto"/>
              <w:ind w:left="0" w:firstLine="0"/>
              <w:jc w:val="left"/>
              <w:rPr>
                <w:rFonts w:ascii="Times New Roman" w:hAnsi="Times New Roman"/>
                <w:b/>
                <w:color w:val="FF0000"/>
                <w:sz w:val="16"/>
                <w:szCs w:val="24"/>
              </w:rPr>
            </w:pPr>
            <w:r w:rsidRPr="00F37CE6">
              <w:rPr>
                <w:rFonts w:ascii="Times New Roman" w:hAnsi="Times New Roman"/>
                <w:b/>
                <w:color w:val="FF0000"/>
                <w:sz w:val="16"/>
                <w:szCs w:val="24"/>
              </w:rPr>
              <w:t>Preferred option</w:t>
            </w:r>
          </w:p>
          <w:p w:rsidR="00577DD7" w:rsidRPr="00F37CE6" w:rsidRDefault="00577DD7">
            <w:pPr>
              <w:jc w:val="left"/>
              <w:rPr>
                <w:rFonts w:ascii="Times New Roman" w:eastAsiaTheme="minorHAnsi" w:hAnsi="Times New Roman"/>
                <w:sz w:val="16"/>
                <w:szCs w:val="24"/>
              </w:rPr>
            </w:pPr>
          </w:p>
        </w:tc>
        <w:tc>
          <w:tcPr>
            <w:tcW w:w="459" w:type="pct"/>
          </w:tcPr>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Likely to increase revenue</w:t>
            </w:r>
            <w:r>
              <w:rPr>
                <w:rFonts w:ascii="Times New Roman" w:hAnsi="Times New Roman"/>
                <w:sz w:val="16"/>
                <w:szCs w:val="24"/>
              </w:rPr>
              <w:t xml:space="preserve"> compared to status quo</w:t>
            </w:r>
          </w:p>
        </w:tc>
      </w:tr>
      <w:tr w:rsidR="00577DD7" w:rsidRPr="00234340" w:rsidTr="00A808A4">
        <w:tc>
          <w:tcPr>
            <w:tcW w:w="382" w:type="pct"/>
          </w:tcPr>
          <w:p w:rsidR="00577DD7" w:rsidRPr="00F37CE6"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b/>
                <w:sz w:val="16"/>
                <w:szCs w:val="24"/>
              </w:rPr>
              <w:t>Option C2</w:t>
            </w:r>
            <w:r w:rsidRPr="00F37CE6">
              <w:rPr>
                <w:rFonts w:ascii="Times New Roman" w:hAnsi="Times New Roman"/>
                <w:sz w:val="16"/>
                <w:szCs w:val="24"/>
              </w:rPr>
              <w:t xml:space="preserve"> – tax options on vesting  </w:t>
            </w:r>
          </w:p>
          <w:p w:rsidR="00577DD7" w:rsidRPr="00F37CE6" w:rsidRDefault="00577DD7">
            <w:pPr>
              <w:pStyle w:val="Bullet-list"/>
              <w:spacing w:after="0" w:line="240" w:lineRule="auto"/>
              <w:ind w:left="0" w:firstLine="0"/>
              <w:jc w:val="left"/>
              <w:rPr>
                <w:rFonts w:ascii="Times New Roman" w:hAnsi="Times New Roman"/>
                <w:b/>
                <w:sz w:val="16"/>
                <w:szCs w:val="24"/>
              </w:rPr>
            </w:pPr>
          </w:p>
        </w:tc>
        <w:tc>
          <w:tcPr>
            <w:tcW w:w="709" w:type="pct"/>
          </w:tcPr>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Wingdings 2" w:eastAsiaTheme="minorHAnsi" w:hAnsi="Wingdings 2"/>
                <w:b/>
                <w:sz w:val="16"/>
                <w:szCs w:val="24"/>
              </w:rPr>
              <w:t></w:t>
            </w:r>
            <w:r w:rsidRPr="00F37CE6">
              <w:rPr>
                <w:rFonts w:ascii="Times New Roman" w:eastAsiaTheme="minorHAnsi" w:hAnsi="Times New Roman"/>
                <w:b/>
                <w:sz w:val="16"/>
                <w:szCs w:val="24"/>
              </w:rPr>
              <w:t>Better than the status quo</w:t>
            </w:r>
          </w:p>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sz w:val="16"/>
                <w:szCs w:val="24"/>
              </w:rPr>
              <w:t>As for Option C, but taxing options on vesting exacerbates this cash-flow problem.</w:t>
            </w:r>
          </w:p>
        </w:tc>
        <w:tc>
          <w:tcPr>
            <w:tcW w:w="766" w:type="pct"/>
          </w:tcPr>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Wingdings 2" w:eastAsiaTheme="minorHAnsi" w:hAnsi="Wingdings 2"/>
                <w:b/>
                <w:sz w:val="16"/>
                <w:szCs w:val="24"/>
              </w:rPr>
              <w:t></w:t>
            </w:r>
            <w:r w:rsidRPr="00F37CE6">
              <w:rPr>
                <w:rFonts w:ascii="Times New Roman" w:eastAsiaTheme="minorHAnsi" w:hAnsi="Times New Roman"/>
                <w:b/>
                <w:sz w:val="16"/>
                <w:szCs w:val="24"/>
              </w:rPr>
              <w:t>Better than the status quo</w:t>
            </w:r>
            <w:r w:rsidRPr="00F37CE6" w:rsidDel="007B690F">
              <w:rPr>
                <w:rFonts w:ascii="Times New Roman" w:hAnsi="Times New Roman"/>
                <w:i/>
                <w:sz w:val="16"/>
                <w:szCs w:val="24"/>
              </w:rPr>
              <w:t xml:space="preserve"> </w:t>
            </w:r>
          </w:p>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sz w:val="16"/>
                <w:szCs w:val="24"/>
              </w:rPr>
              <w:t>As for Option C, but taxing options on vesting exacerbates this cash-flow problem.</w:t>
            </w:r>
          </w:p>
        </w:tc>
        <w:tc>
          <w:tcPr>
            <w:tcW w:w="911" w:type="pct"/>
          </w:tcPr>
          <w:p w:rsidR="00577DD7" w:rsidRPr="00F37CE6" w:rsidRDefault="00577DD7" w:rsidP="007B690F">
            <w:pPr>
              <w:pStyle w:val="Bullet-list"/>
              <w:spacing w:after="0" w:line="240" w:lineRule="auto"/>
              <w:ind w:left="0" w:firstLine="0"/>
              <w:jc w:val="left"/>
              <w:rPr>
                <w:rFonts w:ascii="Times New Roman" w:eastAsiaTheme="minorHAnsi" w:hAnsi="Times New Roman"/>
                <w:b/>
                <w:sz w:val="16"/>
                <w:szCs w:val="24"/>
              </w:rPr>
            </w:pPr>
            <w:r w:rsidRPr="00F37CE6">
              <w:rPr>
                <w:rFonts w:ascii="Wingdings 2" w:eastAsiaTheme="minorHAnsi" w:hAnsi="Wingdings 2"/>
                <w:b/>
                <w:sz w:val="16"/>
                <w:szCs w:val="24"/>
              </w:rPr>
              <w:t></w:t>
            </w:r>
            <w:r w:rsidRPr="00F37CE6">
              <w:rPr>
                <w:rFonts w:ascii="Times New Roman" w:eastAsiaTheme="minorHAnsi" w:hAnsi="Times New Roman"/>
                <w:b/>
                <w:sz w:val="16"/>
                <w:szCs w:val="24"/>
              </w:rPr>
              <w:t>Better than the status quo</w:t>
            </w:r>
          </w:p>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sz w:val="16"/>
                <w:szCs w:val="24"/>
              </w:rPr>
              <w:t>As for Option C, but valuing options is difficult and unreliable in this context. Extra compliance costs involved in valuing option correctly.</w:t>
            </w:r>
          </w:p>
        </w:tc>
        <w:tc>
          <w:tcPr>
            <w:tcW w:w="719" w:type="pct"/>
          </w:tcPr>
          <w:p w:rsidR="00577DD7" w:rsidRPr="00F37CE6" w:rsidRDefault="00577DD7" w:rsidP="007B690F">
            <w:pPr>
              <w:pStyle w:val="Bullet-list"/>
              <w:spacing w:after="0" w:line="240" w:lineRule="auto"/>
              <w:ind w:left="0" w:firstLine="0"/>
              <w:jc w:val="left"/>
              <w:rPr>
                <w:rFonts w:ascii="Times New Roman" w:eastAsiaTheme="minorHAnsi" w:hAnsi="Times New Roman"/>
                <w:b/>
                <w:sz w:val="16"/>
                <w:szCs w:val="24"/>
              </w:rPr>
            </w:pPr>
            <w:r w:rsidRPr="00F37CE6">
              <w:rPr>
                <w:rFonts w:ascii="Wingdings 2" w:eastAsiaTheme="minorHAnsi" w:hAnsi="Wingdings 2"/>
                <w:b/>
                <w:sz w:val="16"/>
                <w:szCs w:val="24"/>
              </w:rPr>
              <w:t></w:t>
            </w:r>
            <w:r w:rsidRPr="00F37CE6">
              <w:rPr>
                <w:rFonts w:ascii="Times New Roman" w:eastAsiaTheme="minorHAnsi" w:hAnsi="Times New Roman"/>
                <w:b/>
                <w:sz w:val="16"/>
                <w:szCs w:val="24"/>
              </w:rPr>
              <w:t>Better than the status quo</w:t>
            </w:r>
          </w:p>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sz w:val="16"/>
                <w:szCs w:val="24"/>
              </w:rPr>
              <w:t>As for Option C, but valuing options is difficult and unreliable in this context. Extra administrative costs involved in testing valuations.</w:t>
            </w:r>
          </w:p>
        </w:tc>
        <w:tc>
          <w:tcPr>
            <w:tcW w:w="594" w:type="pct"/>
          </w:tcPr>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Wingdings 2" w:eastAsiaTheme="minorHAnsi" w:hAnsi="Wingdings 2"/>
                <w:b/>
                <w:sz w:val="16"/>
                <w:szCs w:val="24"/>
              </w:rPr>
              <w:t></w:t>
            </w:r>
            <w:r w:rsidRPr="00F37CE6">
              <w:rPr>
                <w:rFonts w:ascii="Wingdings 2" w:eastAsiaTheme="minorHAnsi" w:hAnsi="Wingdings 2"/>
                <w:b/>
                <w:sz w:val="16"/>
                <w:szCs w:val="24"/>
              </w:rPr>
              <w:t></w:t>
            </w:r>
            <w:r w:rsidRPr="00F37CE6">
              <w:rPr>
                <w:rFonts w:ascii="Times New Roman" w:eastAsiaTheme="minorHAnsi" w:hAnsi="Times New Roman"/>
                <w:b/>
                <w:sz w:val="16"/>
                <w:szCs w:val="24"/>
              </w:rPr>
              <w:t>Significantly better than the status quo</w:t>
            </w:r>
            <w:r w:rsidRPr="00F37CE6" w:rsidDel="007B690F">
              <w:rPr>
                <w:rFonts w:ascii="Times New Roman" w:hAnsi="Times New Roman"/>
                <w:i/>
                <w:sz w:val="16"/>
                <w:szCs w:val="24"/>
              </w:rPr>
              <w:t xml:space="preserve"> </w:t>
            </w:r>
            <w:r w:rsidRPr="00F37CE6">
              <w:rPr>
                <w:rFonts w:ascii="Times New Roman" w:hAnsi="Times New Roman"/>
                <w:sz w:val="16"/>
                <w:szCs w:val="24"/>
              </w:rPr>
              <w:t>Addresses avoidance concerns and makes the taxation of employment income more coherent.</w:t>
            </w:r>
          </w:p>
        </w:tc>
        <w:tc>
          <w:tcPr>
            <w:tcW w:w="459" w:type="pct"/>
          </w:tcPr>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i/>
                <w:sz w:val="16"/>
                <w:szCs w:val="24"/>
              </w:rPr>
              <w:t>Partially meets the main objective</w:t>
            </w:r>
          </w:p>
          <w:p w:rsidR="00577DD7" w:rsidRPr="00F37CE6" w:rsidRDefault="00577DD7">
            <w:pPr>
              <w:pStyle w:val="Bullet-list"/>
              <w:spacing w:after="0" w:line="240" w:lineRule="auto"/>
              <w:ind w:left="0" w:firstLine="0"/>
              <w:jc w:val="left"/>
              <w:rPr>
                <w:rFonts w:ascii="Times New Roman" w:hAnsi="Times New Roman"/>
                <w:i/>
                <w:sz w:val="16"/>
                <w:szCs w:val="24"/>
              </w:rPr>
            </w:pPr>
          </w:p>
          <w:p w:rsidR="00577DD7" w:rsidRPr="00F37CE6" w:rsidRDefault="00577DD7">
            <w:pPr>
              <w:pStyle w:val="Bullet-list"/>
              <w:spacing w:after="0" w:line="240" w:lineRule="auto"/>
              <w:ind w:left="0" w:firstLine="0"/>
              <w:jc w:val="left"/>
              <w:rPr>
                <w:rFonts w:ascii="Times New Roman" w:hAnsi="Times New Roman"/>
                <w:i/>
                <w:sz w:val="16"/>
                <w:szCs w:val="24"/>
              </w:rPr>
            </w:pPr>
          </w:p>
        </w:tc>
        <w:tc>
          <w:tcPr>
            <w:tcW w:w="459" w:type="pct"/>
          </w:tcPr>
          <w:p w:rsidR="00577DD7" w:rsidRPr="00577DD7" w:rsidRDefault="00577DD7">
            <w:pPr>
              <w:pStyle w:val="Bullet-list"/>
              <w:spacing w:after="0" w:line="240" w:lineRule="auto"/>
              <w:ind w:left="0" w:firstLine="0"/>
              <w:jc w:val="left"/>
              <w:rPr>
                <w:rFonts w:ascii="Times New Roman" w:hAnsi="Times New Roman"/>
                <w:i/>
                <w:sz w:val="16"/>
                <w:szCs w:val="24"/>
              </w:rPr>
            </w:pPr>
            <w:r w:rsidRPr="00CD2C83">
              <w:rPr>
                <w:rFonts w:ascii="Times New Roman" w:hAnsi="Times New Roman"/>
                <w:sz w:val="16"/>
                <w:szCs w:val="24"/>
              </w:rPr>
              <w:t>Likely to increase revenue</w:t>
            </w:r>
            <w:r>
              <w:rPr>
                <w:rFonts w:ascii="Times New Roman" w:hAnsi="Times New Roman"/>
                <w:sz w:val="16"/>
                <w:szCs w:val="24"/>
              </w:rPr>
              <w:t xml:space="preserve"> compared to status quo</w:t>
            </w:r>
          </w:p>
        </w:tc>
      </w:tr>
      <w:tr w:rsidR="00577DD7" w:rsidRPr="00234340" w:rsidTr="00A808A4">
        <w:tc>
          <w:tcPr>
            <w:tcW w:w="382" w:type="pct"/>
          </w:tcPr>
          <w:p w:rsidR="00577DD7" w:rsidRPr="00F37CE6" w:rsidRDefault="00577DD7">
            <w:pPr>
              <w:pStyle w:val="Bullet-list"/>
              <w:spacing w:after="0" w:line="240" w:lineRule="auto"/>
              <w:ind w:left="0" w:firstLine="0"/>
              <w:jc w:val="left"/>
              <w:rPr>
                <w:rFonts w:ascii="Times New Roman" w:hAnsi="Times New Roman"/>
                <w:b/>
                <w:sz w:val="16"/>
                <w:szCs w:val="24"/>
              </w:rPr>
            </w:pPr>
            <w:r w:rsidRPr="00F37CE6">
              <w:rPr>
                <w:rFonts w:ascii="Times New Roman" w:hAnsi="Times New Roman"/>
                <w:b/>
                <w:sz w:val="16"/>
                <w:szCs w:val="24"/>
              </w:rPr>
              <w:t>Option D</w:t>
            </w:r>
            <w:r w:rsidRPr="00F37CE6">
              <w:rPr>
                <w:rFonts w:ascii="Times New Roman" w:hAnsi="Times New Roman"/>
                <w:sz w:val="16"/>
                <w:szCs w:val="24"/>
              </w:rPr>
              <w:t xml:space="preserve"> –  tax on sale</w:t>
            </w:r>
          </w:p>
        </w:tc>
        <w:tc>
          <w:tcPr>
            <w:tcW w:w="709" w:type="pct"/>
          </w:tcPr>
          <w:p w:rsidR="00577DD7" w:rsidRPr="00F37CE6" w:rsidRDefault="00577DD7" w:rsidP="007B690F">
            <w:pPr>
              <w:spacing w:after="0" w:line="240" w:lineRule="auto"/>
              <w:contextualSpacing/>
              <w:jc w:val="left"/>
              <w:rPr>
                <w:rFonts w:ascii="Times New Roman" w:eastAsiaTheme="minorHAnsi" w:hAnsi="Times New Roman"/>
                <w:b/>
                <w:sz w:val="16"/>
                <w:szCs w:val="24"/>
                <w:lang w:val="en-NZ" w:eastAsia="en-US"/>
              </w:rPr>
            </w:pPr>
            <w:r w:rsidRPr="00F37CE6">
              <w:rPr>
                <w:rFonts w:ascii="Wingdings 2" w:eastAsiaTheme="minorHAnsi" w:hAnsi="Wingdings 2"/>
                <w:b/>
                <w:sz w:val="16"/>
                <w:szCs w:val="24"/>
                <w:lang w:val="en-NZ" w:eastAsia="en-US"/>
              </w:rPr>
              <w:t></w:t>
            </w:r>
            <w:r w:rsidRPr="00F37CE6">
              <w:rPr>
                <w:rFonts w:ascii="Wingdings 2" w:eastAsiaTheme="minorHAnsi" w:hAnsi="Wingdings 2"/>
                <w:b/>
                <w:sz w:val="16"/>
                <w:szCs w:val="24"/>
                <w:lang w:val="en-NZ" w:eastAsia="en-US"/>
              </w:rPr>
              <w:t></w:t>
            </w:r>
            <w:r w:rsidRPr="00F37CE6">
              <w:rPr>
                <w:rFonts w:ascii="Times New Roman" w:eastAsiaTheme="minorHAnsi" w:hAnsi="Times New Roman"/>
                <w:b/>
                <w:sz w:val="16"/>
                <w:szCs w:val="24"/>
                <w:lang w:val="en-NZ" w:eastAsia="en-US"/>
              </w:rPr>
              <w:t xml:space="preserve">Worse than the status quo </w:t>
            </w:r>
          </w:p>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sz w:val="16"/>
                <w:szCs w:val="24"/>
              </w:rPr>
              <w:t>ESS benefits taxed differently from other in-kind benefits.</w:t>
            </w:r>
          </w:p>
        </w:tc>
        <w:tc>
          <w:tcPr>
            <w:tcW w:w="766" w:type="pct"/>
          </w:tcPr>
          <w:p w:rsidR="00577DD7" w:rsidRPr="00F37CE6" w:rsidRDefault="00577DD7" w:rsidP="007B690F">
            <w:pPr>
              <w:spacing w:after="0" w:line="240" w:lineRule="auto"/>
              <w:contextualSpacing/>
              <w:jc w:val="left"/>
              <w:rPr>
                <w:rFonts w:ascii="Times New Roman" w:eastAsiaTheme="minorHAnsi" w:hAnsi="Times New Roman"/>
                <w:b/>
                <w:sz w:val="16"/>
                <w:szCs w:val="24"/>
                <w:lang w:val="en-NZ" w:eastAsia="en-US"/>
              </w:rPr>
            </w:pPr>
            <w:r w:rsidRPr="00F37CE6">
              <w:rPr>
                <w:rFonts w:ascii="Wingdings 2" w:eastAsiaTheme="minorHAnsi" w:hAnsi="Wingdings 2"/>
                <w:b/>
                <w:sz w:val="16"/>
                <w:szCs w:val="24"/>
                <w:lang w:val="en-NZ" w:eastAsia="en-US"/>
              </w:rPr>
              <w:t></w:t>
            </w:r>
            <w:r w:rsidRPr="00F37CE6">
              <w:rPr>
                <w:rFonts w:ascii="Wingdings 2" w:eastAsiaTheme="minorHAnsi" w:hAnsi="Wingdings 2"/>
                <w:b/>
                <w:sz w:val="16"/>
                <w:szCs w:val="24"/>
                <w:lang w:val="en-NZ" w:eastAsia="en-US"/>
              </w:rPr>
              <w:t></w:t>
            </w:r>
            <w:r w:rsidRPr="00F37CE6">
              <w:rPr>
                <w:rFonts w:ascii="Times New Roman" w:eastAsiaTheme="minorHAnsi" w:hAnsi="Times New Roman"/>
                <w:b/>
                <w:sz w:val="16"/>
                <w:szCs w:val="24"/>
                <w:lang w:val="en-NZ" w:eastAsia="en-US"/>
              </w:rPr>
              <w:t xml:space="preserve">Worse than the status quo </w:t>
            </w:r>
          </w:p>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sz w:val="16"/>
                <w:szCs w:val="24"/>
              </w:rPr>
              <w:t>ESS benefits taxed differently from other in-kind benefits.  However, it is more equitable in that it only taxes employees when they have the cash to pay the tax.  It is also easier to establish the value of the shares.</w:t>
            </w:r>
          </w:p>
        </w:tc>
        <w:tc>
          <w:tcPr>
            <w:tcW w:w="911" w:type="pct"/>
          </w:tcPr>
          <w:p w:rsidR="00577DD7" w:rsidRPr="00F37CE6" w:rsidRDefault="00577DD7" w:rsidP="007B690F">
            <w:pPr>
              <w:spacing w:after="0" w:line="240" w:lineRule="auto"/>
              <w:contextualSpacing/>
              <w:jc w:val="left"/>
              <w:rPr>
                <w:rFonts w:ascii="Times New Roman" w:eastAsiaTheme="minorHAnsi" w:hAnsi="Times New Roman"/>
                <w:b/>
                <w:sz w:val="16"/>
                <w:szCs w:val="24"/>
                <w:lang w:val="en-NZ" w:eastAsia="en-US"/>
              </w:rPr>
            </w:pPr>
            <w:r w:rsidRPr="00F37CE6">
              <w:rPr>
                <w:rFonts w:ascii="Wingdings 2" w:eastAsiaTheme="minorHAnsi" w:hAnsi="Wingdings 2"/>
                <w:b/>
                <w:sz w:val="16"/>
                <w:szCs w:val="24"/>
                <w:lang w:val="en-NZ" w:eastAsia="en-US"/>
              </w:rPr>
              <w:t></w:t>
            </w:r>
            <w:r w:rsidRPr="00F37CE6">
              <w:rPr>
                <w:rFonts w:ascii="Times New Roman" w:eastAsiaTheme="minorHAnsi" w:hAnsi="Times New Roman"/>
                <w:b/>
                <w:sz w:val="16"/>
                <w:szCs w:val="24"/>
                <w:lang w:val="en-NZ" w:eastAsia="en-US"/>
              </w:rPr>
              <w:t xml:space="preserve">No better than status quo </w:t>
            </w:r>
          </w:p>
          <w:p w:rsidR="00577DD7" w:rsidRDefault="00577DD7">
            <w:pPr>
              <w:pStyle w:val="Bullet-list"/>
              <w:spacing w:after="0" w:line="240" w:lineRule="auto"/>
              <w:ind w:left="0" w:firstLine="0"/>
              <w:jc w:val="left"/>
              <w:rPr>
                <w:rFonts w:ascii="Times New Roman" w:hAnsi="Times New Roman"/>
                <w:sz w:val="16"/>
                <w:szCs w:val="24"/>
              </w:rPr>
            </w:pPr>
            <w:r w:rsidRPr="00F37CE6">
              <w:rPr>
                <w:rFonts w:ascii="Times New Roman" w:hAnsi="Times New Roman"/>
                <w:sz w:val="16"/>
                <w:szCs w:val="24"/>
              </w:rPr>
              <w:t>There will be some extra compliance costs in tracking sale of shares, but the real benefit of this option is that i</w:t>
            </w:r>
            <w:r w:rsidR="007900B4">
              <w:rPr>
                <w:rFonts w:ascii="Times New Roman" w:hAnsi="Times New Roman"/>
                <w:sz w:val="16"/>
                <w:szCs w:val="24"/>
              </w:rPr>
              <w:t xml:space="preserve">t </w:t>
            </w:r>
            <w:r w:rsidRPr="00F37CE6">
              <w:rPr>
                <w:rFonts w:ascii="Times New Roman" w:hAnsi="Times New Roman"/>
                <w:sz w:val="16"/>
                <w:szCs w:val="24"/>
              </w:rPr>
              <w:t xml:space="preserve">reduces compliance costs involved in arranging for cash to pay the tax and getting valuations. </w:t>
            </w:r>
          </w:p>
          <w:p w:rsidR="00577DD7" w:rsidRPr="00F37CE6" w:rsidRDefault="00577DD7">
            <w:pPr>
              <w:pStyle w:val="Bullet-list"/>
              <w:spacing w:after="0" w:line="240" w:lineRule="auto"/>
              <w:ind w:left="0" w:firstLine="0"/>
              <w:jc w:val="left"/>
              <w:rPr>
                <w:rFonts w:ascii="Times New Roman" w:hAnsi="Times New Roman"/>
                <w:i/>
                <w:sz w:val="16"/>
                <w:szCs w:val="24"/>
              </w:rPr>
            </w:pPr>
          </w:p>
        </w:tc>
        <w:tc>
          <w:tcPr>
            <w:tcW w:w="719" w:type="pct"/>
          </w:tcPr>
          <w:p w:rsidR="0098146A" w:rsidRPr="00F37CE6" w:rsidRDefault="0098146A" w:rsidP="0098146A">
            <w:pPr>
              <w:spacing w:after="0" w:line="240" w:lineRule="auto"/>
              <w:contextualSpacing/>
              <w:jc w:val="left"/>
              <w:rPr>
                <w:rFonts w:ascii="Times New Roman" w:eastAsiaTheme="minorHAnsi" w:hAnsi="Times New Roman"/>
                <w:b/>
                <w:sz w:val="16"/>
                <w:szCs w:val="24"/>
                <w:lang w:val="en-NZ" w:eastAsia="en-US"/>
              </w:rPr>
            </w:pPr>
            <w:r w:rsidRPr="00F37CE6">
              <w:rPr>
                <w:rFonts w:ascii="Wingdings 2" w:eastAsiaTheme="minorHAnsi" w:hAnsi="Wingdings 2"/>
                <w:b/>
                <w:sz w:val="16"/>
                <w:szCs w:val="24"/>
                <w:lang w:val="en-NZ" w:eastAsia="en-US"/>
              </w:rPr>
              <w:t></w:t>
            </w:r>
            <w:r w:rsidRPr="00F37CE6">
              <w:rPr>
                <w:rFonts w:ascii="Wingdings 2" w:eastAsiaTheme="minorHAnsi" w:hAnsi="Wingdings 2"/>
                <w:b/>
                <w:sz w:val="16"/>
                <w:szCs w:val="24"/>
                <w:lang w:val="en-NZ" w:eastAsia="en-US"/>
              </w:rPr>
              <w:t></w:t>
            </w:r>
            <w:r w:rsidRPr="00F37CE6">
              <w:rPr>
                <w:rFonts w:ascii="Times New Roman" w:eastAsiaTheme="minorHAnsi" w:hAnsi="Times New Roman"/>
                <w:b/>
                <w:sz w:val="16"/>
                <w:szCs w:val="24"/>
                <w:lang w:val="en-NZ" w:eastAsia="en-US"/>
              </w:rPr>
              <w:t xml:space="preserve">Worse than the status quo </w:t>
            </w:r>
          </w:p>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sz w:val="16"/>
                <w:szCs w:val="24"/>
              </w:rPr>
              <w:t>The administrative costs in tracking and auditing ESS will increase under this option</w:t>
            </w:r>
          </w:p>
        </w:tc>
        <w:tc>
          <w:tcPr>
            <w:tcW w:w="594" w:type="pct"/>
          </w:tcPr>
          <w:p w:rsidR="00577DD7" w:rsidRPr="00F37CE6" w:rsidRDefault="00577DD7" w:rsidP="007B690F">
            <w:pPr>
              <w:spacing w:after="0" w:line="240" w:lineRule="auto"/>
              <w:contextualSpacing/>
              <w:jc w:val="left"/>
              <w:rPr>
                <w:rFonts w:ascii="Times New Roman" w:eastAsiaTheme="minorHAnsi" w:hAnsi="Times New Roman"/>
                <w:b/>
                <w:sz w:val="16"/>
                <w:szCs w:val="24"/>
                <w:lang w:val="en-NZ" w:eastAsia="en-US"/>
              </w:rPr>
            </w:pPr>
            <w:r w:rsidRPr="00F37CE6">
              <w:rPr>
                <w:rFonts w:ascii="Wingdings 2" w:eastAsiaTheme="minorHAnsi" w:hAnsi="Wingdings 2"/>
                <w:b/>
                <w:sz w:val="16"/>
                <w:szCs w:val="24"/>
                <w:lang w:val="en-NZ" w:eastAsia="en-US"/>
              </w:rPr>
              <w:t></w:t>
            </w:r>
            <w:r w:rsidRPr="00F37CE6">
              <w:rPr>
                <w:rFonts w:ascii="Wingdings 2" w:eastAsiaTheme="minorHAnsi" w:hAnsi="Wingdings 2"/>
                <w:b/>
                <w:sz w:val="16"/>
                <w:szCs w:val="24"/>
                <w:lang w:val="en-NZ" w:eastAsia="en-US"/>
              </w:rPr>
              <w:t></w:t>
            </w:r>
            <w:r w:rsidRPr="00F37CE6">
              <w:rPr>
                <w:rFonts w:ascii="Times New Roman" w:eastAsiaTheme="minorHAnsi" w:hAnsi="Times New Roman"/>
                <w:b/>
                <w:sz w:val="16"/>
                <w:szCs w:val="24"/>
                <w:lang w:val="en-NZ" w:eastAsia="en-US"/>
              </w:rPr>
              <w:t xml:space="preserve">Worse than the status quo </w:t>
            </w:r>
          </w:p>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sz w:val="16"/>
                <w:szCs w:val="24"/>
              </w:rPr>
              <w:t>Deferral opens up opportunities for evasion</w:t>
            </w:r>
          </w:p>
        </w:tc>
        <w:tc>
          <w:tcPr>
            <w:tcW w:w="459" w:type="pct"/>
          </w:tcPr>
          <w:p w:rsidR="00577DD7" w:rsidRPr="00F37CE6" w:rsidRDefault="00577DD7">
            <w:pPr>
              <w:pStyle w:val="Bullet-list"/>
              <w:spacing w:after="0" w:line="240" w:lineRule="auto"/>
              <w:ind w:left="0" w:firstLine="0"/>
              <w:jc w:val="left"/>
              <w:rPr>
                <w:rFonts w:ascii="Times New Roman" w:hAnsi="Times New Roman"/>
                <w:i/>
                <w:sz w:val="16"/>
                <w:szCs w:val="24"/>
              </w:rPr>
            </w:pPr>
            <w:r w:rsidRPr="00F37CE6">
              <w:rPr>
                <w:rFonts w:ascii="Times New Roman" w:hAnsi="Times New Roman"/>
                <w:i/>
                <w:sz w:val="16"/>
                <w:szCs w:val="24"/>
              </w:rPr>
              <w:t>Does not meet the main objective</w:t>
            </w:r>
          </w:p>
          <w:p w:rsidR="00577DD7" w:rsidRPr="00F37CE6" w:rsidRDefault="00577DD7">
            <w:pPr>
              <w:pStyle w:val="Bullet-list"/>
              <w:spacing w:after="0" w:line="240" w:lineRule="auto"/>
              <w:ind w:left="0" w:firstLine="0"/>
              <w:jc w:val="left"/>
              <w:rPr>
                <w:rFonts w:ascii="Wingdings 2" w:eastAsiaTheme="minorHAnsi" w:hAnsi="Wingdings 2"/>
                <w:sz w:val="16"/>
                <w:szCs w:val="24"/>
              </w:rPr>
            </w:pPr>
          </w:p>
          <w:p w:rsidR="00577DD7" w:rsidRPr="00F37CE6" w:rsidRDefault="00577DD7">
            <w:pPr>
              <w:pStyle w:val="Bullet-list"/>
              <w:spacing w:after="0" w:line="240" w:lineRule="auto"/>
              <w:ind w:left="0" w:firstLine="0"/>
              <w:jc w:val="left"/>
              <w:rPr>
                <w:rFonts w:ascii="Times New Roman" w:hAnsi="Times New Roman"/>
                <w:i/>
                <w:sz w:val="16"/>
                <w:szCs w:val="24"/>
              </w:rPr>
            </w:pPr>
          </w:p>
        </w:tc>
        <w:tc>
          <w:tcPr>
            <w:tcW w:w="459" w:type="pct"/>
          </w:tcPr>
          <w:p w:rsidR="00577DD7" w:rsidRPr="00577DD7" w:rsidDel="007B690F" w:rsidRDefault="00577DD7">
            <w:pPr>
              <w:pStyle w:val="Bullet-list"/>
              <w:spacing w:after="0" w:line="240" w:lineRule="auto"/>
              <w:ind w:left="0" w:firstLine="0"/>
              <w:jc w:val="left"/>
              <w:rPr>
                <w:rFonts w:ascii="Times New Roman" w:hAnsi="Times New Roman"/>
                <w:i/>
                <w:sz w:val="16"/>
                <w:szCs w:val="24"/>
              </w:rPr>
            </w:pPr>
            <w:r w:rsidRPr="00CD2C83">
              <w:rPr>
                <w:rFonts w:ascii="Times New Roman" w:hAnsi="Times New Roman"/>
                <w:sz w:val="16"/>
                <w:szCs w:val="24"/>
              </w:rPr>
              <w:t>Unable to estimate</w:t>
            </w:r>
          </w:p>
        </w:tc>
      </w:tr>
    </w:tbl>
    <w:p w:rsidR="002A72AB" w:rsidRPr="00F37CE6" w:rsidRDefault="002A72AB" w:rsidP="00F37CE6">
      <w:pPr>
        <w:rPr>
          <w:rFonts w:ascii="Times New Roman" w:hAnsi="Times New Roman"/>
          <w:b/>
          <w:sz w:val="24"/>
          <w:szCs w:val="24"/>
          <w:u w:val="single"/>
        </w:rPr>
        <w:sectPr w:rsidR="002A72AB" w:rsidRPr="00F37CE6" w:rsidSect="007A59F4">
          <w:pgSz w:w="16840" w:h="11907" w:orient="landscape" w:code="9"/>
          <w:pgMar w:top="1418" w:right="1134" w:bottom="1418" w:left="1134" w:header="567" w:footer="567" w:gutter="0"/>
          <w:cols w:space="720"/>
          <w:docGrid w:linePitch="360"/>
        </w:sectPr>
      </w:pPr>
    </w:p>
    <w:p w:rsidR="003227F8" w:rsidRPr="00F37CE6" w:rsidRDefault="003227F8" w:rsidP="00F37CE6">
      <w:pPr>
        <w:rPr>
          <w:rFonts w:ascii="Times New Roman" w:hAnsi="Times New Roman"/>
          <w:b/>
          <w:sz w:val="24"/>
          <w:szCs w:val="24"/>
        </w:rPr>
      </w:pPr>
      <w:r w:rsidRPr="00F37CE6">
        <w:rPr>
          <w:rFonts w:ascii="Times New Roman" w:hAnsi="Times New Roman"/>
          <w:b/>
          <w:sz w:val="24"/>
          <w:szCs w:val="24"/>
        </w:rPr>
        <w:t>Allowing deductions for employers’ costs</w:t>
      </w:r>
    </w:p>
    <w:p w:rsidR="00577DD7" w:rsidRDefault="00577DD7" w:rsidP="00577DD7">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options we considered are as follows:</w:t>
      </w:r>
    </w:p>
    <w:p w:rsidR="003227F8" w:rsidRDefault="003227F8" w:rsidP="00F37CE6">
      <w:pPr>
        <w:spacing w:after="0" w:line="240" w:lineRule="auto"/>
        <w:jc w:val="both"/>
        <w:rPr>
          <w:rFonts w:ascii="Times New Roman" w:hAnsi="Times New Roman"/>
          <w:sz w:val="24"/>
          <w:szCs w:val="24"/>
          <w:lang w:val="en-AU" w:eastAsia="en-US"/>
        </w:rPr>
      </w:pPr>
    </w:p>
    <w:p w:rsidR="003227F8" w:rsidRPr="00F37CE6" w:rsidRDefault="003227F8" w:rsidP="00F37CE6">
      <w:pPr>
        <w:pStyle w:val="ListParagraph"/>
        <w:numPr>
          <w:ilvl w:val="0"/>
          <w:numId w:val="29"/>
        </w:numPr>
        <w:rPr>
          <w:rFonts w:ascii="Times New Roman" w:hAnsi="Times New Roman"/>
          <w:sz w:val="24"/>
          <w:szCs w:val="24"/>
          <w:lang w:val="en-AU"/>
        </w:rPr>
      </w:pPr>
      <w:r w:rsidRPr="00F37CE6">
        <w:rPr>
          <w:rFonts w:ascii="Times New Roman" w:hAnsi="Times New Roman"/>
          <w:b/>
          <w:sz w:val="24"/>
          <w:szCs w:val="24"/>
          <w:lang w:val="en-AU"/>
        </w:rPr>
        <w:t>Option A</w:t>
      </w:r>
      <w:r w:rsidRPr="00F37CE6">
        <w:rPr>
          <w:rFonts w:ascii="Times New Roman" w:hAnsi="Times New Roman"/>
          <w:sz w:val="24"/>
          <w:szCs w:val="24"/>
          <w:lang w:val="en-AU"/>
        </w:rPr>
        <w:t xml:space="preserve"> –</w:t>
      </w:r>
      <w:r w:rsidRPr="00F37CE6">
        <w:rPr>
          <w:rFonts w:ascii="Times New Roman" w:hAnsi="Times New Roman"/>
          <w:b/>
          <w:sz w:val="24"/>
          <w:szCs w:val="24"/>
          <w:lang w:val="en-AU"/>
        </w:rPr>
        <w:t xml:space="preserve"> </w:t>
      </w:r>
      <w:r w:rsidR="007A59F4">
        <w:rPr>
          <w:rFonts w:ascii="Times New Roman" w:hAnsi="Times New Roman"/>
          <w:b/>
          <w:sz w:val="24"/>
          <w:szCs w:val="24"/>
          <w:lang w:val="en-AU"/>
        </w:rPr>
        <w:t>s</w:t>
      </w:r>
      <w:r w:rsidRPr="00F37CE6">
        <w:rPr>
          <w:rFonts w:ascii="Times New Roman" w:hAnsi="Times New Roman"/>
          <w:b/>
          <w:sz w:val="24"/>
          <w:szCs w:val="24"/>
          <w:lang w:val="en-AU"/>
        </w:rPr>
        <w:t>tatus quo</w:t>
      </w:r>
      <w:r w:rsidRPr="00F37CE6">
        <w:rPr>
          <w:rFonts w:ascii="Times New Roman" w:hAnsi="Times New Roman"/>
          <w:sz w:val="24"/>
          <w:szCs w:val="24"/>
          <w:lang w:val="en-AU"/>
        </w:rPr>
        <w:t>: no specific statutory deduction, but employers generally structure their ESS to achieve a deduction.  Deductions are generally achieved by the employer (a) paying employees a deductible bonus which is used to buy the shares (or repay a loan used to buy the shares); (b) making a payment to an ESS trust which is used to buy shares for the employees; or (c) making a “recharge” payment to a parent company to procure the parent company to provide shares to the subsidiary company’s employees.  Deductions are for the actual cash costs incurred and are generally deductible when paid (although in some cases the payment may be spread over the term of the ESS or deductible on a deferred basis).</w:t>
      </w:r>
    </w:p>
    <w:p w:rsidR="003227F8" w:rsidRDefault="003227F8">
      <w:pPr>
        <w:spacing w:after="0" w:line="240" w:lineRule="auto"/>
        <w:ind w:left="360"/>
        <w:jc w:val="both"/>
        <w:rPr>
          <w:rFonts w:ascii="Times New Roman" w:hAnsi="Times New Roman"/>
          <w:sz w:val="24"/>
          <w:szCs w:val="24"/>
          <w:lang w:val="en-AU" w:eastAsia="en-US"/>
        </w:rPr>
      </w:pPr>
    </w:p>
    <w:p w:rsidR="003227F8" w:rsidRPr="00F37CE6" w:rsidRDefault="003227F8" w:rsidP="00F37CE6">
      <w:pPr>
        <w:pStyle w:val="ListParagraph"/>
        <w:numPr>
          <w:ilvl w:val="0"/>
          <w:numId w:val="29"/>
        </w:numPr>
        <w:rPr>
          <w:rFonts w:ascii="Times New Roman" w:hAnsi="Times New Roman"/>
          <w:sz w:val="24"/>
          <w:szCs w:val="24"/>
          <w:lang w:val="en-AU"/>
        </w:rPr>
      </w:pPr>
      <w:r w:rsidRPr="00F37CE6">
        <w:rPr>
          <w:rFonts w:ascii="Times New Roman" w:hAnsi="Times New Roman"/>
          <w:b/>
          <w:sz w:val="24"/>
          <w:szCs w:val="24"/>
          <w:lang w:val="en-AU"/>
        </w:rPr>
        <w:t xml:space="preserve">Option B – </w:t>
      </w:r>
      <w:r w:rsidR="007A59F4">
        <w:rPr>
          <w:rFonts w:ascii="Times New Roman" w:hAnsi="Times New Roman"/>
          <w:b/>
          <w:sz w:val="24"/>
          <w:szCs w:val="24"/>
          <w:lang w:val="en-AU"/>
        </w:rPr>
        <w:t>m</w:t>
      </w:r>
      <w:r w:rsidRPr="00F37CE6">
        <w:rPr>
          <w:rFonts w:ascii="Times New Roman" w:hAnsi="Times New Roman"/>
          <w:b/>
          <w:sz w:val="24"/>
          <w:szCs w:val="24"/>
          <w:lang w:val="en-AU"/>
        </w:rPr>
        <w:t>atching deduction:</w:t>
      </w:r>
      <w:r w:rsidRPr="00F37CE6">
        <w:rPr>
          <w:rFonts w:ascii="Times New Roman" w:hAnsi="Times New Roman"/>
          <w:sz w:val="24"/>
          <w:szCs w:val="24"/>
          <w:lang w:val="en-AU"/>
        </w:rPr>
        <w:t xml:space="preserve"> employers would be entitled to a statutory deduction equal in timing and quantum to the employees’ income.</w:t>
      </w:r>
    </w:p>
    <w:p w:rsidR="003227F8" w:rsidRDefault="003227F8">
      <w:pPr>
        <w:spacing w:after="0" w:line="240" w:lineRule="auto"/>
        <w:ind w:left="360"/>
        <w:jc w:val="both"/>
        <w:rPr>
          <w:rFonts w:ascii="Times New Roman" w:hAnsi="Times New Roman"/>
          <w:sz w:val="24"/>
          <w:szCs w:val="24"/>
          <w:lang w:val="en-AU" w:eastAsia="en-US"/>
        </w:rPr>
      </w:pPr>
    </w:p>
    <w:p w:rsidR="003227F8" w:rsidRPr="00F37CE6" w:rsidRDefault="003227F8" w:rsidP="00F37CE6">
      <w:pPr>
        <w:pStyle w:val="ListParagraph"/>
        <w:numPr>
          <w:ilvl w:val="0"/>
          <w:numId w:val="29"/>
        </w:numPr>
        <w:rPr>
          <w:rFonts w:ascii="Times New Roman" w:hAnsi="Times New Roman"/>
          <w:sz w:val="24"/>
          <w:szCs w:val="24"/>
          <w:lang w:val="en-AU"/>
        </w:rPr>
      </w:pPr>
      <w:r w:rsidRPr="00F37CE6">
        <w:rPr>
          <w:rFonts w:ascii="Times New Roman" w:hAnsi="Times New Roman"/>
          <w:b/>
          <w:sz w:val="24"/>
          <w:szCs w:val="24"/>
          <w:lang w:val="en-AU"/>
        </w:rPr>
        <w:t xml:space="preserve">Option C – following International Financial </w:t>
      </w:r>
      <w:r w:rsidR="0054510F" w:rsidRPr="00F37CE6">
        <w:rPr>
          <w:rFonts w:ascii="Times New Roman" w:hAnsi="Times New Roman"/>
          <w:b/>
          <w:sz w:val="24"/>
          <w:szCs w:val="24"/>
          <w:lang w:val="en-AU"/>
        </w:rPr>
        <w:t>R</w:t>
      </w:r>
      <w:r w:rsidRPr="00F37CE6">
        <w:rPr>
          <w:rFonts w:ascii="Times New Roman" w:hAnsi="Times New Roman"/>
          <w:b/>
          <w:sz w:val="24"/>
          <w:szCs w:val="24"/>
          <w:lang w:val="en-AU"/>
        </w:rPr>
        <w:t>eporting Standards (IFRS)</w:t>
      </w:r>
      <w:r w:rsidRPr="00F37CE6">
        <w:rPr>
          <w:rFonts w:ascii="Times New Roman" w:hAnsi="Times New Roman"/>
          <w:sz w:val="24"/>
          <w:szCs w:val="24"/>
          <w:lang w:val="en-AU"/>
        </w:rPr>
        <w:t xml:space="preserve">: IFRS requires companies to recognise an expense </w:t>
      </w:r>
      <w:r w:rsidR="00B41074" w:rsidRPr="00F37CE6">
        <w:rPr>
          <w:rFonts w:ascii="Times New Roman" w:hAnsi="Times New Roman"/>
          <w:sz w:val="24"/>
          <w:szCs w:val="24"/>
          <w:lang w:val="en-AU"/>
        </w:rPr>
        <w:t>association with the provision of options or shares under an ESS.  The expense is generally calculated at the date of grant and spread over the term of the ESS.</w:t>
      </w:r>
    </w:p>
    <w:p w:rsidR="003227F8" w:rsidRDefault="003227F8" w:rsidP="00F37CE6">
      <w:pPr>
        <w:spacing w:after="0" w:line="240" w:lineRule="auto"/>
        <w:jc w:val="both"/>
        <w:rPr>
          <w:rFonts w:ascii="Times New Roman" w:hAnsi="Times New Roman"/>
          <w:sz w:val="24"/>
          <w:szCs w:val="24"/>
          <w:lang w:val="en-AU" w:eastAsia="en-US"/>
        </w:rPr>
      </w:pPr>
    </w:p>
    <w:p w:rsidR="00B41074" w:rsidRDefault="00B41074" w:rsidP="00F37CE6">
      <w:pPr>
        <w:spacing w:after="0" w:line="240" w:lineRule="auto"/>
        <w:jc w:val="both"/>
        <w:rPr>
          <w:rFonts w:ascii="Times New Roman" w:hAnsi="Times New Roman"/>
          <w:sz w:val="24"/>
          <w:szCs w:val="24"/>
          <w:lang w:val="en-AU" w:eastAsia="en-US"/>
        </w:rPr>
        <w:sectPr w:rsidR="00B41074" w:rsidSect="007A59F4">
          <w:pgSz w:w="11907" w:h="16840" w:code="9"/>
          <w:pgMar w:top="1134" w:right="1418" w:bottom="1134" w:left="1418" w:header="567" w:footer="567" w:gutter="0"/>
          <w:cols w:space="720"/>
          <w:docGrid w:linePitch="360"/>
        </w:sectPr>
      </w:pPr>
    </w:p>
    <w:p w:rsidR="003227F8" w:rsidRPr="00B41074" w:rsidRDefault="003227F8" w:rsidP="00F37CE6">
      <w:pPr>
        <w:pStyle w:val="Bullet-list"/>
        <w:spacing w:after="0" w:line="240" w:lineRule="auto"/>
        <w:jc w:val="both"/>
        <w:rPr>
          <w:rFonts w:ascii="Times New Roman" w:hAnsi="Times New Roman"/>
          <w:b/>
          <w:sz w:val="24"/>
          <w:szCs w:val="24"/>
        </w:rPr>
      </w:pPr>
      <w:r w:rsidRPr="00DE1786">
        <w:rPr>
          <w:rFonts w:ascii="Times New Roman" w:hAnsi="Times New Roman"/>
          <w:b/>
          <w:sz w:val="24"/>
          <w:szCs w:val="24"/>
        </w:rPr>
        <w:t xml:space="preserve">Table </w:t>
      </w:r>
      <w:r w:rsidR="00577DD7">
        <w:rPr>
          <w:rFonts w:ascii="Times New Roman" w:hAnsi="Times New Roman"/>
          <w:b/>
          <w:sz w:val="24"/>
          <w:szCs w:val="24"/>
        </w:rPr>
        <w:t xml:space="preserve">2 </w:t>
      </w:r>
      <w:r>
        <w:rPr>
          <w:rFonts w:ascii="Times New Roman" w:hAnsi="Times New Roman"/>
          <w:b/>
          <w:sz w:val="24"/>
          <w:szCs w:val="24"/>
        </w:rPr>
        <w:t xml:space="preserve">- </w:t>
      </w:r>
      <w:r w:rsidR="00B41074" w:rsidRPr="00B41074">
        <w:rPr>
          <w:rFonts w:ascii="Times New Roman" w:hAnsi="Times New Roman"/>
          <w:b/>
          <w:sz w:val="24"/>
          <w:szCs w:val="24"/>
        </w:rPr>
        <w:t>Allowing deductions for employers’ costs</w:t>
      </w:r>
    </w:p>
    <w:p w:rsidR="003227F8" w:rsidRDefault="003227F8" w:rsidP="00F37CE6">
      <w:pPr>
        <w:pStyle w:val="Bullet-list"/>
        <w:spacing w:after="0" w:line="240" w:lineRule="auto"/>
        <w:ind w:left="0" w:firstLine="0"/>
        <w:jc w:val="both"/>
        <w:rPr>
          <w:rFonts w:ascii="Times New Roman" w:hAnsi="Times New Roman"/>
          <w:sz w:val="24"/>
          <w:szCs w:val="24"/>
        </w:rPr>
      </w:pPr>
    </w:p>
    <w:tbl>
      <w:tblPr>
        <w:tblStyle w:val="TableGrid"/>
        <w:tblW w:w="5000" w:type="pct"/>
        <w:tblLook w:val="04A0" w:firstRow="1" w:lastRow="0" w:firstColumn="1" w:lastColumn="0" w:noHBand="0" w:noVBand="1"/>
      </w:tblPr>
      <w:tblGrid>
        <w:gridCol w:w="1525"/>
        <w:gridCol w:w="1985"/>
        <w:gridCol w:w="1843"/>
        <w:gridCol w:w="2836"/>
        <w:gridCol w:w="1701"/>
        <w:gridCol w:w="1955"/>
        <w:gridCol w:w="1446"/>
        <w:gridCol w:w="1497"/>
      </w:tblGrid>
      <w:tr w:rsidR="00BE4B9E" w:rsidTr="00F37CE6">
        <w:tc>
          <w:tcPr>
            <w:tcW w:w="516"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8"/>
                <w:szCs w:val="24"/>
              </w:rPr>
            </w:pPr>
          </w:p>
        </w:tc>
        <w:tc>
          <w:tcPr>
            <w:tcW w:w="671"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Neutrality</w:t>
            </w:r>
          </w:p>
        </w:tc>
        <w:tc>
          <w:tcPr>
            <w:tcW w:w="623"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Equity</w:t>
            </w:r>
          </w:p>
        </w:tc>
        <w:tc>
          <w:tcPr>
            <w:tcW w:w="959"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Minimises compliance costs</w:t>
            </w:r>
          </w:p>
        </w:tc>
        <w:tc>
          <w:tcPr>
            <w:tcW w:w="575"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Minimises administrative costs</w:t>
            </w:r>
          </w:p>
        </w:tc>
        <w:tc>
          <w:tcPr>
            <w:tcW w:w="661"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Integrity</w:t>
            </w:r>
          </w:p>
        </w:tc>
        <w:tc>
          <w:tcPr>
            <w:tcW w:w="489" w:type="pct"/>
            <w:shd w:val="clear" w:color="auto" w:fill="000000" w:themeFill="text1"/>
          </w:tcPr>
          <w:p w:rsidR="00577DD7" w:rsidRPr="00F37CE6" w:rsidRDefault="00577DD7"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Assessment against main objective</w:t>
            </w:r>
          </w:p>
        </w:tc>
        <w:tc>
          <w:tcPr>
            <w:tcW w:w="506" w:type="pct"/>
            <w:shd w:val="clear" w:color="auto" w:fill="000000" w:themeFill="text1"/>
          </w:tcPr>
          <w:p w:rsidR="00577DD7" w:rsidRPr="00F37CE6" w:rsidRDefault="00577DD7">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Fiscal impact</w:t>
            </w:r>
          </w:p>
        </w:tc>
      </w:tr>
      <w:tr w:rsidR="00BE4B9E" w:rsidTr="00F37CE6">
        <w:tc>
          <w:tcPr>
            <w:tcW w:w="516" w:type="pct"/>
          </w:tcPr>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b/>
                <w:sz w:val="18"/>
                <w:szCs w:val="24"/>
              </w:rPr>
              <w:t>Option A</w:t>
            </w:r>
            <w:r w:rsidRPr="00F37CE6">
              <w:rPr>
                <w:rFonts w:ascii="Times New Roman" w:hAnsi="Times New Roman"/>
                <w:sz w:val="18"/>
                <w:szCs w:val="24"/>
              </w:rPr>
              <w:t xml:space="preserve"> –</w:t>
            </w:r>
          </w:p>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status quo</w:t>
            </w:r>
          </w:p>
        </w:tc>
        <w:tc>
          <w:tcPr>
            <w:tcW w:w="671" w:type="pct"/>
          </w:tcPr>
          <w:p w:rsidR="00577DD7" w:rsidRPr="00F37CE6" w:rsidRDefault="00577DD7">
            <w:pPr>
              <w:pStyle w:val="ListParagraph"/>
              <w:ind w:left="30"/>
              <w:jc w:val="left"/>
              <w:rPr>
                <w:rFonts w:ascii="Times New Roman" w:eastAsiaTheme="minorHAnsi" w:hAnsi="Times New Roman"/>
                <w:sz w:val="18"/>
                <w:szCs w:val="24"/>
              </w:rPr>
            </w:pPr>
            <w:r w:rsidRPr="00F37CE6">
              <w:rPr>
                <w:rFonts w:ascii="Times New Roman" w:hAnsi="Times New Roman"/>
                <w:sz w:val="18"/>
                <w:szCs w:val="24"/>
              </w:rPr>
              <w:t>The provision of ESS benefits may be non-deductible.  If they are deductible, the deduction does not generally match the employees’ income. This is inconsistent with the way the cost of cash salary and wages are treated.</w:t>
            </w:r>
          </w:p>
        </w:tc>
        <w:tc>
          <w:tcPr>
            <w:tcW w:w="623" w:type="pct"/>
          </w:tcPr>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The lack of statutory deduction for ESS benefits means employers are disadvantaged vis-à-vis paying cash salary.  To achieve deductions they have to incur costs to structure around this issue.</w:t>
            </w:r>
          </w:p>
        </w:tc>
        <w:tc>
          <w:tcPr>
            <w:tcW w:w="959" w:type="pct"/>
          </w:tcPr>
          <w:p w:rsidR="00577DD7" w:rsidRPr="00F37CE6" w:rsidRDefault="00577DD7" w:rsidP="007A59F4">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 xml:space="preserve">Significant transaction and compliance costs associated with structuring to achieve deductibility. There is also uncertainty in the law which </w:t>
            </w:r>
            <w:r w:rsidR="007A59F4">
              <w:rPr>
                <w:rFonts w:ascii="Times New Roman" w:hAnsi="Times New Roman"/>
                <w:sz w:val="18"/>
                <w:szCs w:val="24"/>
              </w:rPr>
              <w:t>results in high</w:t>
            </w:r>
            <w:r w:rsidRPr="00F37CE6">
              <w:rPr>
                <w:rFonts w:ascii="Times New Roman" w:hAnsi="Times New Roman"/>
                <w:sz w:val="18"/>
                <w:szCs w:val="24"/>
              </w:rPr>
              <w:t xml:space="preserve"> compliance costs. Borne by employers.</w:t>
            </w:r>
          </w:p>
        </w:tc>
        <w:tc>
          <w:tcPr>
            <w:tcW w:w="575" w:type="pct"/>
          </w:tcPr>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Administrative costs associated with uncertainty of the law.</w:t>
            </w:r>
          </w:p>
        </w:tc>
        <w:tc>
          <w:tcPr>
            <w:tcW w:w="661" w:type="pct"/>
          </w:tcPr>
          <w:p w:rsidR="00577DD7" w:rsidRPr="00F37CE6" w:rsidRDefault="00577DD7" w:rsidP="007A59F4">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Some opportunities to potentially accelerate deductions</w:t>
            </w:r>
            <w:r w:rsidR="007A59F4">
              <w:rPr>
                <w:rFonts w:ascii="Times New Roman" w:hAnsi="Times New Roman"/>
                <w:sz w:val="18"/>
                <w:szCs w:val="24"/>
              </w:rPr>
              <w:t>. T</w:t>
            </w:r>
            <w:r w:rsidRPr="00F37CE6">
              <w:rPr>
                <w:rFonts w:ascii="Times New Roman" w:hAnsi="Times New Roman"/>
                <w:sz w:val="18"/>
                <w:szCs w:val="24"/>
              </w:rPr>
              <w:t>he law relating to employment income is not coherent</w:t>
            </w:r>
          </w:p>
        </w:tc>
        <w:tc>
          <w:tcPr>
            <w:tcW w:w="489" w:type="pct"/>
          </w:tcPr>
          <w:p w:rsidR="00577DD7" w:rsidRPr="00F37CE6" w:rsidRDefault="00577DD7">
            <w:pPr>
              <w:pStyle w:val="Bullet-list"/>
              <w:spacing w:after="0" w:line="240" w:lineRule="auto"/>
              <w:ind w:left="0" w:firstLine="0"/>
              <w:jc w:val="left"/>
              <w:rPr>
                <w:rFonts w:ascii="Times New Roman" w:hAnsi="Times New Roman"/>
                <w:i/>
                <w:sz w:val="18"/>
                <w:szCs w:val="24"/>
              </w:rPr>
            </w:pPr>
            <w:r w:rsidRPr="00F37CE6">
              <w:rPr>
                <w:rFonts w:ascii="Times New Roman" w:hAnsi="Times New Roman"/>
                <w:i/>
                <w:sz w:val="18"/>
                <w:szCs w:val="24"/>
              </w:rPr>
              <w:t>Does not meet the main objective</w:t>
            </w:r>
          </w:p>
        </w:tc>
        <w:tc>
          <w:tcPr>
            <w:tcW w:w="506" w:type="pct"/>
          </w:tcPr>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Not applicable</w:t>
            </w:r>
          </w:p>
        </w:tc>
      </w:tr>
      <w:tr w:rsidR="00BE4B9E" w:rsidTr="00F37CE6">
        <w:tc>
          <w:tcPr>
            <w:tcW w:w="516" w:type="pct"/>
          </w:tcPr>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b/>
                <w:sz w:val="18"/>
                <w:szCs w:val="24"/>
              </w:rPr>
              <w:t>Option B</w:t>
            </w:r>
            <w:r w:rsidRPr="00F37CE6">
              <w:rPr>
                <w:rFonts w:ascii="Times New Roman" w:hAnsi="Times New Roman"/>
                <w:sz w:val="18"/>
                <w:szCs w:val="24"/>
              </w:rPr>
              <w:t xml:space="preserve"> – matching deduction</w:t>
            </w:r>
          </w:p>
          <w:p w:rsidR="00577DD7" w:rsidRPr="00F37CE6" w:rsidRDefault="00577DD7">
            <w:pPr>
              <w:pStyle w:val="Bullet-list"/>
              <w:spacing w:after="0" w:line="240" w:lineRule="auto"/>
              <w:ind w:left="0" w:firstLine="0"/>
              <w:jc w:val="left"/>
              <w:rPr>
                <w:rFonts w:ascii="Times New Roman" w:hAnsi="Times New Roman"/>
                <w:sz w:val="18"/>
                <w:szCs w:val="24"/>
              </w:rPr>
            </w:pPr>
          </w:p>
        </w:tc>
        <w:tc>
          <w:tcPr>
            <w:tcW w:w="671" w:type="pct"/>
          </w:tcPr>
          <w:p w:rsidR="00577DD7" w:rsidRPr="00F37CE6" w:rsidRDefault="00577DD7" w:rsidP="00577DD7">
            <w:pPr>
              <w:pStyle w:val="Bullet-list"/>
              <w:spacing w:after="0" w:line="240" w:lineRule="auto"/>
              <w:ind w:left="0" w:firstLine="0"/>
              <w:jc w:val="left"/>
              <w:rPr>
                <w:rFonts w:ascii="Times New Roman" w:eastAsiaTheme="minorHAnsi" w:hAnsi="Times New Roman"/>
                <w:b/>
                <w:sz w:val="18"/>
                <w:szCs w:val="24"/>
              </w:rPr>
            </w:pPr>
            <w:r w:rsidRPr="00F37CE6">
              <w:rPr>
                <w:rFonts w:ascii="Wingdings 2" w:eastAsiaTheme="minorHAnsi" w:hAnsi="Wingdings 2"/>
                <w:b/>
                <w:sz w:val="18"/>
                <w:szCs w:val="24"/>
              </w:rPr>
              <w:t></w:t>
            </w:r>
            <w:r w:rsidRPr="00F37CE6">
              <w:rPr>
                <w:rFonts w:ascii="Wingdings 2" w:eastAsiaTheme="minorHAnsi" w:hAnsi="Wingdings 2"/>
                <w:b/>
                <w:sz w:val="18"/>
                <w:szCs w:val="24"/>
              </w:rPr>
              <w:t></w:t>
            </w:r>
            <w:r w:rsidRPr="00F37CE6">
              <w:rPr>
                <w:rFonts w:ascii="Times New Roman" w:eastAsiaTheme="minorHAnsi" w:hAnsi="Times New Roman"/>
                <w:b/>
                <w:sz w:val="18"/>
                <w:szCs w:val="24"/>
              </w:rPr>
              <w:t>Significantly better than the status quo</w:t>
            </w:r>
          </w:p>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ESS benefits taxed the same as cash salary and wages for both employer and employee, and taxed consistently between themselves.</w:t>
            </w:r>
          </w:p>
        </w:tc>
        <w:tc>
          <w:tcPr>
            <w:tcW w:w="623" w:type="pct"/>
          </w:tcPr>
          <w:p w:rsidR="00577DD7" w:rsidRPr="00F37CE6" w:rsidRDefault="00577DD7" w:rsidP="00577DD7">
            <w:pPr>
              <w:pStyle w:val="Bullet-list"/>
              <w:spacing w:after="0" w:line="240" w:lineRule="auto"/>
              <w:ind w:left="0" w:firstLine="0"/>
              <w:jc w:val="left"/>
              <w:rPr>
                <w:rFonts w:ascii="Times New Roman" w:eastAsiaTheme="minorHAnsi" w:hAnsi="Times New Roman"/>
                <w:b/>
                <w:sz w:val="18"/>
                <w:szCs w:val="24"/>
              </w:rPr>
            </w:pPr>
            <w:r w:rsidRPr="00F37CE6">
              <w:rPr>
                <w:rFonts w:ascii="Wingdings 2" w:eastAsiaTheme="minorHAnsi" w:hAnsi="Wingdings 2"/>
                <w:b/>
                <w:sz w:val="18"/>
                <w:szCs w:val="24"/>
              </w:rPr>
              <w:t></w:t>
            </w:r>
            <w:r w:rsidRPr="00F37CE6">
              <w:rPr>
                <w:rFonts w:ascii="Wingdings 2" w:eastAsiaTheme="minorHAnsi" w:hAnsi="Wingdings 2"/>
                <w:b/>
                <w:sz w:val="18"/>
                <w:szCs w:val="24"/>
              </w:rPr>
              <w:t></w:t>
            </w:r>
            <w:r w:rsidRPr="00F37CE6">
              <w:rPr>
                <w:rFonts w:ascii="Times New Roman" w:eastAsiaTheme="minorHAnsi" w:hAnsi="Times New Roman"/>
                <w:b/>
                <w:sz w:val="18"/>
                <w:szCs w:val="24"/>
              </w:rPr>
              <w:t>Significantly better than the status quo</w:t>
            </w:r>
          </w:p>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ESS benefits taxed the same as cash salary and wages.</w:t>
            </w:r>
          </w:p>
        </w:tc>
        <w:tc>
          <w:tcPr>
            <w:tcW w:w="959" w:type="pct"/>
          </w:tcPr>
          <w:p w:rsidR="00716A9E" w:rsidRPr="00716A9E" w:rsidRDefault="007A59F4" w:rsidP="00716A9E">
            <w:pPr>
              <w:pStyle w:val="Bullet-list"/>
              <w:spacing w:after="0" w:line="240" w:lineRule="auto"/>
              <w:ind w:left="0" w:firstLine="0"/>
              <w:rPr>
                <w:rFonts w:ascii="Times New Roman" w:eastAsiaTheme="minorHAnsi" w:hAnsi="Times New Roman"/>
                <w:b/>
                <w:sz w:val="18"/>
                <w:szCs w:val="24"/>
              </w:rPr>
            </w:pPr>
            <w:r w:rsidRPr="00CD2C83">
              <w:rPr>
                <w:rFonts w:ascii="Wingdings 2" w:eastAsiaTheme="minorHAnsi" w:hAnsi="Wingdings 2"/>
                <w:b/>
                <w:sz w:val="18"/>
                <w:szCs w:val="24"/>
                <w:lang w:val="en-NZ"/>
              </w:rPr>
              <w:t></w:t>
            </w:r>
            <w:r w:rsidR="00716A9E" w:rsidRPr="00716A9E">
              <w:rPr>
                <w:rFonts w:ascii="Times New Roman" w:eastAsiaTheme="minorHAnsi" w:hAnsi="Times New Roman"/>
                <w:b/>
                <w:sz w:val="18"/>
                <w:szCs w:val="24"/>
              </w:rPr>
              <w:t xml:space="preserve">No better than status quo </w:t>
            </w:r>
          </w:p>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Reduced compliance costs associated with structuring, but will need to value shares when they vest to determine deduction. Some companies report that there will be increased compliance costs associated with accounting for the tax effect of the new regime under IFRS.  This issue seems to be confined to certain types of structures and certain taxpayers. Costs borne by employers.</w:t>
            </w:r>
          </w:p>
          <w:p w:rsidR="00577DD7" w:rsidRPr="00F37CE6" w:rsidRDefault="00577DD7">
            <w:pPr>
              <w:pStyle w:val="Bullet-list"/>
              <w:spacing w:after="0" w:line="240" w:lineRule="auto"/>
              <w:ind w:left="0" w:firstLine="0"/>
              <w:jc w:val="left"/>
              <w:rPr>
                <w:rFonts w:ascii="Times New Roman" w:hAnsi="Times New Roman"/>
                <w:sz w:val="18"/>
                <w:szCs w:val="24"/>
              </w:rPr>
            </w:pPr>
          </w:p>
        </w:tc>
        <w:tc>
          <w:tcPr>
            <w:tcW w:w="575" w:type="pct"/>
          </w:tcPr>
          <w:p w:rsidR="00577DD7" w:rsidRPr="00F37CE6" w:rsidRDefault="00577DD7" w:rsidP="00577DD7">
            <w:pPr>
              <w:pStyle w:val="Bullet-list"/>
              <w:spacing w:after="0" w:line="240" w:lineRule="auto"/>
              <w:ind w:left="0" w:firstLine="0"/>
              <w:jc w:val="left"/>
              <w:rPr>
                <w:rFonts w:ascii="Times New Roman" w:eastAsiaTheme="minorHAnsi" w:hAnsi="Times New Roman"/>
                <w:b/>
                <w:sz w:val="18"/>
                <w:szCs w:val="24"/>
              </w:rPr>
            </w:pPr>
            <w:r w:rsidRPr="00F37CE6">
              <w:rPr>
                <w:rFonts w:ascii="Wingdings 2" w:eastAsiaTheme="minorHAnsi" w:hAnsi="Wingdings 2"/>
                <w:b/>
                <w:sz w:val="18"/>
                <w:szCs w:val="24"/>
              </w:rPr>
              <w:t></w:t>
            </w:r>
            <w:r w:rsidRPr="00F37CE6">
              <w:rPr>
                <w:rFonts w:ascii="Times New Roman" w:eastAsiaTheme="minorHAnsi" w:hAnsi="Times New Roman"/>
                <w:b/>
                <w:sz w:val="18"/>
                <w:szCs w:val="24"/>
              </w:rPr>
              <w:t>Better than the status quo</w:t>
            </w:r>
          </w:p>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 xml:space="preserve">Reduced administrative costs because law is more certain.  Potentially increased administrative costs as more companies having to value shares. </w:t>
            </w:r>
          </w:p>
          <w:p w:rsidR="00577DD7" w:rsidRPr="00F37CE6" w:rsidRDefault="00577DD7">
            <w:pPr>
              <w:pStyle w:val="Bullet-list"/>
              <w:spacing w:after="0" w:line="240" w:lineRule="auto"/>
              <w:ind w:left="0" w:firstLine="0"/>
              <w:jc w:val="left"/>
              <w:rPr>
                <w:rFonts w:ascii="Times New Roman" w:hAnsi="Times New Roman"/>
                <w:sz w:val="18"/>
                <w:szCs w:val="24"/>
              </w:rPr>
            </w:pPr>
          </w:p>
        </w:tc>
        <w:tc>
          <w:tcPr>
            <w:tcW w:w="661" w:type="pct"/>
          </w:tcPr>
          <w:p w:rsidR="00577DD7" w:rsidRPr="00F37CE6" w:rsidRDefault="00577DD7" w:rsidP="00577DD7">
            <w:pPr>
              <w:pStyle w:val="Bullet-list"/>
              <w:spacing w:after="0" w:line="240" w:lineRule="auto"/>
              <w:ind w:left="0" w:firstLine="0"/>
              <w:jc w:val="left"/>
              <w:rPr>
                <w:rFonts w:ascii="Times New Roman" w:eastAsiaTheme="minorHAnsi" w:hAnsi="Times New Roman"/>
                <w:b/>
                <w:sz w:val="18"/>
                <w:szCs w:val="24"/>
              </w:rPr>
            </w:pPr>
            <w:r w:rsidRPr="00F37CE6">
              <w:rPr>
                <w:rFonts w:ascii="Wingdings 2" w:eastAsiaTheme="minorHAnsi" w:hAnsi="Wingdings 2"/>
                <w:b/>
                <w:sz w:val="18"/>
                <w:szCs w:val="24"/>
              </w:rPr>
              <w:t></w:t>
            </w:r>
            <w:r w:rsidRPr="00F37CE6">
              <w:rPr>
                <w:rFonts w:ascii="Wingdings 2" w:eastAsiaTheme="minorHAnsi" w:hAnsi="Wingdings 2"/>
                <w:b/>
                <w:sz w:val="18"/>
                <w:szCs w:val="24"/>
              </w:rPr>
              <w:t></w:t>
            </w:r>
            <w:r w:rsidRPr="00F37CE6">
              <w:rPr>
                <w:rFonts w:ascii="Times New Roman" w:eastAsiaTheme="minorHAnsi" w:hAnsi="Times New Roman"/>
                <w:b/>
                <w:sz w:val="18"/>
                <w:szCs w:val="24"/>
              </w:rPr>
              <w:t>Significantly better than the status quo</w:t>
            </w:r>
          </w:p>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 xml:space="preserve">Removes opportunities for tax avoidance and evasion, more coherent and clear law relating to employment income </w:t>
            </w:r>
          </w:p>
        </w:tc>
        <w:tc>
          <w:tcPr>
            <w:tcW w:w="489" w:type="pct"/>
          </w:tcPr>
          <w:p w:rsidR="00577DD7" w:rsidRPr="00F37CE6" w:rsidRDefault="00577DD7">
            <w:pPr>
              <w:pStyle w:val="Bullet-list"/>
              <w:spacing w:after="0" w:line="240" w:lineRule="auto"/>
              <w:ind w:left="0" w:firstLine="0"/>
              <w:jc w:val="left"/>
              <w:rPr>
                <w:rFonts w:ascii="Times New Roman" w:hAnsi="Times New Roman"/>
                <w:i/>
                <w:sz w:val="18"/>
                <w:szCs w:val="24"/>
              </w:rPr>
            </w:pPr>
            <w:r w:rsidRPr="00F37CE6">
              <w:rPr>
                <w:rFonts w:ascii="Times New Roman" w:hAnsi="Times New Roman"/>
                <w:i/>
                <w:sz w:val="18"/>
                <w:szCs w:val="24"/>
              </w:rPr>
              <w:t>Meets the main objective</w:t>
            </w:r>
          </w:p>
          <w:p w:rsidR="00577DD7" w:rsidRPr="00F37CE6" w:rsidRDefault="00577DD7">
            <w:pPr>
              <w:pStyle w:val="Bullet-list"/>
              <w:spacing w:after="0" w:line="240" w:lineRule="auto"/>
              <w:ind w:left="0" w:firstLine="0"/>
              <w:jc w:val="left"/>
              <w:rPr>
                <w:rFonts w:ascii="Times New Roman" w:hAnsi="Times New Roman"/>
                <w:b/>
                <w:color w:val="FF0000"/>
                <w:sz w:val="18"/>
                <w:szCs w:val="24"/>
              </w:rPr>
            </w:pPr>
          </w:p>
          <w:p w:rsidR="00577DD7" w:rsidRPr="00F37CE6" w:rsidRDefault="00577DD7">
            <w:pPr>
              <w:pStyle w:val="Bullet-list"/>
              <w:spacing w:after="0" w:line="240" w:lineRule="auto"/>
              <w:ind w:left="0" w:firstLine="0"/>
              <w:jc w:val="left"/>
              <w:rPr>
                <w:rFonts w:ascii="Times New Roman" w:hAnsi="Times New Roman"/>
                <w:b/>
                <w:color w:val="FF0000"/>
                <w:sz w:val="18"/>
                <w:szCs w:val="24"/>
              </w:rPr>
            </w:pPr>
            <w:r w:rsidRPr="00F37CE6">
              <w:rPr>
                <w:rFonts w:ascii="Times New Roman" w:hAnsi="Times New Roman"/>
                <w:b/>
                <w:color w:val="FF0000"/>
                <w:sz w:val="18"/>
                <w:szCs w:val="24"/>
              </w:rPr>
              <w:t>Preferred option</w:t>
            </w:r>
          </w:p>
          <w:p w:rsidR="00577DD7" w:rsidRPr="00F37CE6" w:rsidRDefault="00577DD7">
            <w:pPr>
              <w:pStyle w:val="Bullet-list"/>
              <w:spacing w:after="0" w:line="240" w:lineRule="auto"/>
              <w:ind w:left="0" w:firstLine="0"/>
              <w:jc w:val="left"/>
              <w:rPr>
                <w:rFonts w:ascii="Times New Roman" w:hAnsi="Times New Roman"/>
                <w:i/>
                <w:sz w:val="18"/>
                <w:szCs w:val="24"/>
              </w:rPr>
            </w:pPr>
          </w:p>
        </w:tc>
        <w:tc>
          <w:tcPr>
            <w:tcW w:w="506" w:type="pct"/>
          </w:tcPr>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Likely to slightly reduce revenue</w:t>
            </w:r>
          </w:p>
        </w:tc>
      </w:tr>
      <w:tr w:rsidR="00BE4B9E" w:rsidTr="00F37CE6">
        <w:tc>
          <w:tcPr>
            <w:tcW w:w="516" w:type="pct"/>
          </w:tcPr>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b/>
                <w:sz w:val="18"/>
                <w:szCs w:val="24"/>
              </w:rPr>
              <w:t>Option C</w:t>
            </w:r>
            <w:r w:rsidRPr="00F37CE6">
              <w:rPr>
                <w:rFonts w:ascii="Times New Roman" w:hAnsi="Times New Roman"/>
                <w:sz w:val="18"/>
                <w:szCs w:val="24"/>
              </w:rPr>
              <w:t xml:space="preserve"> –  follow IFRS</w:t>
            </w:r>
          </w:p>
        </w:tc>
        <w:tc>
          <w:tcPr>
            <w:tcW w:w="671" w:type="pct"/>
          </w:tcPr>
          <w:p w:rsidR="00BE4B9E" w:rsidRPr="00F37CE6" w:rsidRDefault="00BE4B9E">
            <w:pPr>
              <w:pStyle w:val="Bullet-list"/>
              <w:spacing w:after="0" w:line="240" w:lineRule="auto"/>
              <w:ind w:left="0" w:firstLine="0"/>
              <w:jc w:val="left"/>
              <w:rPr>
                <w:rFonts w:ascii="Times New Roman" w:hAnsi="Times New Roman"/>
                <w:b/>
                <w:sz w:val="18"/>
                <w:szCs w:val="24"/>
              </w:rPr>
            </w:pPr>
            <w:r w:rsidRPr="00F37CE6">
              <w:rPr>
                <w:rFonts w:ascii="Wingdings 2" w:eastAsiaTheme="minorHAnsi" w:hAnsi="Wingdings 2"/>
                <w:b/>
                <w:sz w:val="18"/>
                <w:szCs w:val="24"/>
                <w:lang w:val="en-NZ"/>
              </w:rPr>
              <w:t></w:t>
            </w:r>
            <w:r w:rsidRPr="00F37CE6">
              <w:rPr>
                <w:rFonts w:ascii="Wingdings 2" w:eastAsiaTheme="minorHAnsi" w:hAnsi="Wingdings 2"/>
                <w:b/>
                <w:sz w:val="18"/>
                <w:szCs w:val="24"/>
                <w:lang w:val="en-NZ"/>
              </w:rPr>
              <w:t></w:t>
            </w:r>
            <w:r w:rsidRPr="00F37CE6">
              <w:rPr>
                <w:rFonts w:ascii="Times New Roman" w:eastAsiaTheme="minorHAnsi" w:hAnsi="Times New Roman"/>
                <w:b/>
                <w:sz w:val="18"/>
                <w:szCs w:val="24"/>
                <w:lang w:val="en-NZ"/>
              </w:rPr>
              <w:t>Worse than the status quo</w:t>
            </w:r>
            <w:r w:rsidRPr="00F37CE6" w:rsidDel="00BE4B9E">
              <w:rPr>
                <w:rFonts w:ascii="Times New Roman" w:hAnsi="Times New Roman"/>
                <w:b/>
                <w:i/>
                <w:sz w:val="18"/>
                <w:szCs w:val="24"/>
              </w:rPr>
              <w:t xml:space="preserve"> </w:t>
            </w:r>
          </w:p>
          <w:p w:rsidR="00577DD7" w:rsidRPr="00F37CE6" w:rsidRDefault="00577DD7">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ESS benefits taxed differently from cash salary and wages.  Other deductions do not follow IFRS.</w:t>
            </w:r>
          </w:p>
        </w:tc>
        <w:tc>
          <w:tcPr>
            <w:tcW w:w="623" w:type="pct"/>
          </w:tcPr>
          <w:p w:rsidR="00BE4B9E" w:rsidRPr="00CD2C83" w:rsidRDefault="00BE4B9E" w:rsidP="00BE4B9E">
            <w:pPr>
              <w:pStyle w:val="Bullet-list"/>
              <w:spacing w:after="0" w:line="240" w:lineRule="auto"/>
              <w:ind w:left="0" w:firstLine="0"/>
              <w:jc w:val="left"/>
              <w:rPr>
                <w:rFonts w:ascii="Times New Roman" w:hAnsi="Times New Roman"/>
                <w:b/>
                <w:sz w:val="18"/>
                <w:szCs w:val="24"/>
              </w:rPr>
            </w:pPr>
            <w:r w:rsidRPr="00CD2C83">
              <w:rPr>
                <w:rFonts w:ascii="Wingdings 2" w:eastAsiaTheme="minorHAnsi" w:hAnsi="Wingdings 2"/>
                <w:b/>
                <w:sz w:val="18"/>
                <w:szCs w:val="24"/>
                <w:lang w:val="en-NZ"/>
              </w:rPr>
              <w:t></w:t>
            </w:r>
            <w:r w:rsidRPr="00CD2C83">
              <w:rPr>
                <w:rFonts w:ascii="Wingdings 2" w:eastAsiaTheme="minorHAnsi" w:hAnsi="Wingdings 2"/>
                <w:b/>
                <w:sz w:val="18"/>
                <w:szCs w:val="24"/>
                <w:lang w:val="en-NZ"/>
              </w:rPr>
              <w:t></w:t>
            </w:r>
            <w:r w:rsidRPr="00CD2C83">
              <w:rPr>
                <w:rFonts w:ascii="Times New Roman" w:eastAsiaTheme="minorHAnsi" w:hAnsi="Times New Roman"/>
                <w:b/>
                <w:sz w:val="18"/>
                <w:szCs w:val="24"/>
                <w:lang w:val="en-NZ"/>
              </w:rPr>
              <w:t>Worse than the status quo</w:t>
            </w:r>
            <w:r w:rsidRPr="00CD2C83" w:rsidDel="00BE4B9E">
              <w:rPr>
                <w:rFonts w:ascii="Times New Roman" w:hAnsi="Times New Roman"/>
                <w:b/>
                <w:i/>
                <w:sz w:val="18"/>
                <w:szCs w:val="24"/>
              </w:rPr>
              <w:t xml:space="preserve"> </w:t>
            </w:r>
          </w:p>
          <w:p w:rsidR="00577DD7" w:rsidRPr="00F37CE6" w:rsidRDefault="00577DD7" w:rsidP="00F37CE6">
            <w:pPr>
              <w:pStyle w:val="Bullet-list"/>
              <w:spacing w:after="0" w:line="240" w:lineRule="auto"/>
              <w:ind w:left="0" w:firstLine="0"/>
              <w:jc w:val="left"/>
              <w:rPr>
                <w:rFonts w:ascii="Times New Roman" w:hAnsi="Times New Roman"/>
                <w:color w:val="000000"/>
                <w:sz w:val="18"/>
                <w:szCs w:val="24"/>
              </w:rPr>
            </w:pPr>
            <w:r w:rsidRPr="00F37CE6">
              <w:rPr>
                <w:rFonts w:ascii="Times New Roman" w:hAnsi="Times New Roman"/>
                <w:sz w:val="18"/>
                <w:szCs w:val="24"/>
              </w:rPr>
              <w:t>ESS benefits would potentially be tax advantaged or disadvantaged.</w:t>
            </w:r>
          </w:p>
        </w:tc>
        <w:tc>
          <w:tcPr>
            <w:tcW w:w="959" w:type="pct"/>
          </w:tcPr>
          <w:p w:rsidR="00BE4B9E" w:rsidRPr="00CD2C83" w:rsidRDefault="00BE4B9E" w:rsidP="00BE4B9E">
            <w:pPr>
              <w:pStyle w:val="Bullet-list"/>
              <w:spacing w:after="0" w:line="240" w:lineRule="auto"/>
              <w:ind w:left="0" w:firstLine="0"/>
              <w:jc w:val="left"/>
              <w:rPr>
                <w:rFonts w:ascii="Times New Roman" w:hAnsi="Times New Roman"/>
                <w:b/>
                <w:sz w:val="18"/>
                <w:szCs w:val="24"/>
              </w:rPr>
            </w:pPr>
            <w:r w:rsidRPr="00CD2C83">
              <w:rPr>
                <w:rFonts w:ascii="Wingdings 2" w:eastAsiaTheme="minorHAnsi" w:hAnsi="Wingdings 2"/>
                <w:b/>
                <w:sz w:val="18"/>
                <w:szCs w:val="24"/>
                <w:lang w:val="en-NZ"/>
              </w:rPr>
              <w:t></w:t>
            </w:r>
            <w:r w:rsidRPr="00CD2C83">
              <w:rPr>
                <w:rFonts w:ascii="Wingdings 2" w:eastAsiaTheme="minorHAnsi" w:hAnsi="Wingdings 2"/>
                <w:b/>
                <w:sz w:val="18"/>
                <w:szCs w:val="24"/>
                <w:lang w:val="en-NZ"/>
              </w:rPr>
              <w:t></w:t>
            </w:r>
            <w:r w:rsidRPr="00CD2C83">
              <w:rPr>
                <w:rFonts w:ascii="Times New Roman" w:eastAsiaTheme="minorHAnsi" w:hAnsi="Times New Roman"/>
                <w:b/>
                <w:sz w:val="18"/>
                <w:szCs w:val="24"/>
                <w:lang w:val="en-NZ"/>
              </w:rPr>
              <w:t>Worse than the status quo</w:t>
            </w:r>
            <w:r w:rsidRPr="00CD2C83" w:rsidDel="00BE4B9E">
              <w:rPr>
                <w:rFonts w:ascii="Times New Roman" w:hAnsi="Times New Roman"/>
                <w:b/>
                <w:i/>
                <w:sz w:val="18"/>
                <w:szCs w:val="24"/>
              </w:rPr>
              <w:t xml:space="preserve"> </w:t>
            </w:r>
          </w:p>
          <w:p w:rsidR="00577DD7" w:rsidRDefault="00577DD7" w:rsidP="00F37CE6">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 xml:space="preserve">Many companies do not use IFRS, so they may need to use them just for ESS benefits. IFRS rules are complex and require the use of option pricing models. For some large taxpayers who use IFRS already, there would be reduced compliance costs. </w:t>
            </w:r>
          </w:p>
          <w:p w:rsidR="00BE4B9E" w:rsidRPr="00F37CE6" w:rsidRDefault="00BE4B9E" w:rsidP="00F37CE6">
            <w:pPr>
              <w:pStyle w:val="Bullet-list"/>
              <w:spacing w:after="0" w:line="240" w:lineRule="auto"/>
              <w:ind w:left="0" w:firstLine="0"/>
              <w:jc w:val="left"/>
              <w:rPr>
                <w:rFonts w:ascii="Times New Roman" w:hAnsi="Times New Roman"/>
                <w:color w:val="000000"/>
                <w:sz w:val="18"/>
                <w:szCs w:val="24"/>
              </w:rPr>
            </w:pPr>
          </w:p>
        </w:tc>
        <w:tc>
          <w:tcPr>
            <w:tcW w:w="575" w:type="pct"/>
          </w:tcPr>
          <w:p w:rsidR="00BE4B9E" w:rsidRPr="00CD2C83" w:rsidRDefault="00BE4B9E" w:rsidP="00BE4B9E">
            <w:pPr>
              <w:pStyle w:val="Bullet-list"/>
              <w:spacing w:after="0" w:line="240" w:lineRule="auto"/>
              <w:ind w:left="0" w:firstLine="0"/>
              <w:jc w:val="left"/>
              <w:rPr>
                <w:rFonts w:ascii="Times New Roman" w:hAnsi="Times New Roman"/>
                <w:b/>
                <w:sz w:val="18"/>
                <w:szCs w:val="24"/>
              </w:rPr>
            </w:pPr>
            <w:r w:rsidRPr="00CD2C83">
              <w:rPr>
                <w:rFonts w:ascii="Wingdings 2" w:eastAsiaTheme="minorHAnsi" w:hAnsi="Wingdings 2"/>
                <w:b/>
                <w:sz w:val="18"/>
                <w:szCs w:val="24"/>
                <w:lang w:val="en-NZ"/>
              </w:rPr>
              <w:t></w:t>
            </w:r>
            <w:r w:rsidRPr="00CD2C83">
              <w:rPr>
                <w:rFonts w:ascii="Wingdings 2" w:eastAsiaTheme="minorHAnsi" w:hAnsi="Wingdings 2"/>
                <w:b/>
                <w:sz w:val="18"/>
                <w:szCs w:val="24"/>
                <w:lang w:val="en-NZ"/>
              </w:rPr>
              <w:t></w:t>
            </w:r>
            <w:r w:rsidRPr="00CD2C83">
              <w:rPr>
                <w:rFonts w:ascii="Times New Roman" w:eastAsiaTheme="minorHAnsi" w:hAnsi="Times New Roman"/>
                <w:b/>
                <w:sz w:val="18"/>
                <w:szCs w:val="24"/>
                <w:lang w:val="en-NZ"/>
              </w:rPr>
              <w:t>Worse than the status quo</w:t>
            </w:r>
            <w:r w:rsidRPr="00CD2C83" w:rsidDel="00BE4B9E">
              <w:rPr>
                <w:rFonts w:ascii="Times New Roman" w:hAnsi="Times New Roman"/>
                <w:b/>
                <w:i/>
                <w:sz w:val="18"/>
                <w:szCs w:val="24"/>
              </w:rPr>
              <w:t xml:space="preserve"> </w:t>
            </w:r>
          </w:p>
          <w:p w:rsidR="00577DD7" w:rsidRPr="00F37CE6" w:rsidRDefault="00577DD7" w:rsidP="00F37CE6">
            <w:pPr>
              <w:pStyle w:val="Bullet-list"/>
              <w:spacing w:after="0" w:line="240" w:lineRule="auto"/>
              <w:ind w:left="0" w:firstLine="0"/>
              <w:jc w:val="left"/>
              <w:rPr>
                <w:rFonts w:ascii="Times New Roman" w:hAnsi="Times New Roman"/>
                <w:color w:val="000000"/>
                <w:sz w:val="18"/>
                <w:szCs w:val="24"/>
              </w:rPr>
            </w:pPr>
            <w:r w:rsidRPr="00F37CE6">
              <w:rPr>
                <w:rFonts w:ascii="Times New Roman" w:hAnsi="Times New Roman"/>
                <w:sz w:val="18"/>
                <w:szCs w:val="24"/>
              </w:rPr>
              <w:t>Increased administrative costs associated with monitoring IFRS compliance.</w:t>
            </w:r>
          </w:p>
        </w:tc>
        <w:tc>
          <w:tcPr>
            <w:tcW w:w="661" w:type="pct"/>
          </w:tcPr>
          <w:p w:rsidR="00BE4B9E" w:rsidRPr="00CD2C83" w:rsidRDefault="00BE4B9E" w:rsidP="00BE4B9E">
            <w:pPr>
              <w:pStyle w:val="Bullet-list"/>
              <w:spacing w:after="0" w:line="240" w:lineRule="auto"/>
              <w:ind w:left="0" w:firstLine="0"/>
              <w:jc w:val="left"/>
              <w:rPr>
                <w:rFonts w:ascii="Times New Roman" w:hAnsi="Times New Roman"/>
                <w:b/>
                <w:sz w:val="18"/>
                <w:szCs w:val="24"/>
              </w:rPr>
            </w:pPr>
            <w:r w:rsidRPr="00CD2C83">
              <w:rPr>
                <w:rFonts w:ascii="Wingdings 2" w:eastAsiaTheme="minorHAnsi" w:hAnsi="Wingdings 2"/>
                <w:b/>
                <w:sz w:val="18"/>
                <w:szCs w:val="24"/>
                <w:lang w:val="en-NZ"/>
              </w:rPr>
              <w:t></w:t>
            </w:r>
            <w:r w:rsidRPr="00CD2C83">
              <w:rPr>
                <w:rFonts w:ascii="Wingdings 2" w:eastAsiaTheme="minorHAnsi" w:hAnsi="Wingdings 2"/>
                <w:b/>
                <w:sz w:val="18"/>
                <w:szCs w:val="24"/>
                <w:lang w:val="en-NZ"/>
              </w:rPr>
              <w:t></w:t>
            </w:r>
            <w:r w:rsidRPr="00CD2C83">
              <w:rPr>
                <w:rFonts w:ascii="Times New Roman" w:eastAsiaTheme="minorHAnsi" w:hAnsi="Times New Roman"/>
                <w:b/>
                <w:sz w:val="18"/>
                <w:szCs w:val="24"/>
                <w:lang w:val="en-NZ"/>
              </w:rPr>
              <w:t>Worse than the status quo</w:t>
            </w:r>
            <w:r w:rsidRPr="00CD2C83" w:rsidDel="00BE4B9E">
              <w:rPr>
                <w:rFonts w:ascii="Times New Roman" w:hAnsi="Times New Roman"/>
                <w:b/>
                <w:i/>
                <w:sz w:val="18"/>
                <w:szCs w:val="24"/>
              </w:rPr>
              <w:t xml:space="preserve"> </w:t>
            </w:r>
          </w:p>
          <w:p w:rsidR="00577DD7" w:rsidRPr="00F37CE6" w:rsidRDefault="007A59F4" w:rsidP="007A59F4">
            <w:pPr>
              <w:pStyle w:val="Bullet-list"/>
              <w:spacing w:after="0" w:line="240" w:lineRule="auto"/>
              <w:ind w:left="0" w:firstLine="0"/>
              <w:jc w:val="left"/>
              <w:rPr>
                <w:rFonts w:ascii="Times New Roman" w:hAnsi="Times New Roman"/>
                <w:color w:val="000000"/>
                <w:sz w:val="18"/>
                <w:szCs w:val="24"/>
              </w:rPr>
            </w:pPr>
            <w:r>
              <w:rPr>
                <w:rFonts w:ascii="Times New Roman" w:hAnsi="Times New Roman"/>
                <w:sz w:val="18"/>
                <w:szCs w:val="24"/>
              </w:rPr>
              <w:t>P</w:t>
            </w:r>
            <w:r w:rsidR="00577DD7" w:rsidRPr="00F37CE6">
              <w:rPr>
                <w:rFonts w:ascii="Times New Roman" w:hAnsi="Times New Roman"/>
                <w:sz w:val="18"/>
                <w:szCs w:val="24"/>
              </w:rPr>
              <w:t>otential for avoidance and abuse (IFRS allows a wide range of values)</w:t>
            </w:r>
            <w:r>
              <w:rPr>
                <w:rFonts w:ascii="Times New Roman" w:hAnsi="Times New Roman"/>
                <w:sz w:val="18"/>
                <w:szCs w:val="24"/>
              </w:rPr>
              <w:t>.</w:t>
            </w:r>
            <w:r w:rsidR="00577DD7" w:rsidRPr="00F37CE6">
              <w:rPr>
                <w:rFonts w:ascii="Times New Roman" w:hAnsi="Times New Roman"/>
                <w:sz w:val="18"/>
                <w:szCs w:val="24"/>
              </w:rPr>
              <w:t xml:space="preserve"> </w:t>
            </w:r>
            <w:r>
              <w:rPr>
                <w:rFonts w:ascii="Times New Roman" w:hAnsi="Times New Roman"/>
                <w:sz w:val="18"/>
                <w:szCs w:val="24"/>
              </w:rPr>
              <w:t>R</w:t>
            </w:r>
            <w:r w:rsidR="00577DD7" w:rsidRPr="00F37CE6">
              <w:rPr>
                <w:rFonts w:ascii="Times New Roman" w:hAnsi="Times New Roman"/>
                <w:sz w:val="18"/>
                <w:szCs w:val="24"/>
              </w:rPr>
              <w:t>ules around employment remuneration not coherent.</w:t>
            </w:r>
          </w:p>
        </w:tc>
        <w:tc>
          <w:tcPr>
            <w:tcW w:w="489" w:type="pct"/>
          </w:tcPr>
          <w:p w:rsidR="00577DD7" w:rsidRPr="00F37CE6" w:rsidRDefault="00577DD7" w:rsidP="00F37CE6">
            <w:pPr>
              <w:pStyle w:val="Bullet-list"/>
              <w:spacing w:after="0" w:line="240" w:lineRule="auto"/>
              <w:ind w:left="0" w:firstLine="0"/>
              <w:jc w:val="left"/>
              <w:rPr>
                <w:rFonts w:ascii="Times New Roman" w:hAnsi="Times New Roman"/>
                <w:i/>
                <w:color w:val="000000"/>
                <w:sz w:val="18"/>
                <w:szCs w:val="24"/>
              </w:rPr>
            </w:pPr>
            <w:r w:rsidRPr="00F37CE6">
              <w:rPr>
                <w:rFonts w:ascii="Times New Roman" w:hAnsi="Times New Roman"/>
                <w:i/>
                <w:sz w:val="18"/>
                <w:szCs w:val="24"/>
              </w:rPr>
              <w:t>Does not meet the main objective</w:t>
            </w:r>
          </w:p>
          <w:p w:rsidR="00577DD7" w:rsidRPr="00F37CE6" w:rsidRDefault="00577DD7">
            <w:pPr>
              <w:pStyle w:val="Bullet-list"/>
              <w:spacing w:after="0" w:line="240" w:lineRule="auto"/>
              <w:ind w:left="0" w:firstLine="0"/>
              <w:jc w:val="left"/>
              <w:rPr>
                <w:rFonts w:ascii="Times New Roman" w:hAnsi="Times New Roman"/>
                <w:i/>
                <w:sz w:val="18"/>
                <w:szCs w:val="24"/>
              </w:rPr>
            </w:pPr>
          </w:p>
          <w:p w:rsidR="00577DD7" w:rsidRPr="00F37CE6" w:rsidRDefault="00577DD7">
            <w:pPr>
              <w:spacing w:after="0" w:line="240" w:lineRule="auto"/>
              <w:contextualSpacing/>
              <w:jc w:val="left"/>
              <w:rPr>
                <w:rFonts w:ascii="Times New Roman" w:eastAsiaTheme="minorHAnsi" w:hAnsi="Times New Roman"/>
                <w:sz w:val="18"/>
                <w:szCs w:val="24"/>
                <w:lang w:val="en-NZ" w:eastAsia="en-US"/>
              </w:rPr>
            </w:pPr>
          </w:p>
        </w:tc>
        <w:tc>
          <w:tcPr>
            <w:tcW w:w="506" w:type="pct"/>
          </w:tcPr>
          <w:p w:rsidR="00577DD7" w:rsidRPr="00F37CE6" w:rsidRDefault="00BE4B9E">
            <w:pPr>
              <w:pStyle w:val="Bullet-list"/>
              <w:spacing w:after="0" w:line="240" w:lineRule="auto"/>
              <w:ind w:left="0" w:firstLine="0"/>
              <w:jc w:val="left"/>
              <w:rPr>
                <w:rFonts w:ascii="Times New Roman" w:hAnsi="Times New Roman"/>
                <w:i/>
                <w:sz w:val="18"/>
                <w:szCs w:val="24"/>
              </w:rPr>
            </w:pPr>
            <w:r w:rsidRPr="00CD2C83">
              <w:rPr>
                <w:rFonts w:ascii="Times New Roman" w:hAnsi="Times New Roman"/>
                <w:sz w:val="18"/>
                <w:szCs w:val="24"/>
              </w:rPr>
              <w:t xml:space="preserve">Likely to </w:t>
            </w:r>
            <w:r>
              <w:rPr>
                <w:rFonts w:ascii="Times New Roman" w:hAnsi="Times New Roman"/>
                <w:sz w:val="18"/>
                <w:szCs w:val="24"/>
              </w:rPr>
              <w:t>significantly</w:t>
            </w:r>
            <w:r w:rsidRPr="00CD2C83">
              <w:rPr>
                <w:rFonts w:ascii="Times New Roman" w:hAnsi="Times New Roman"/>
                <w:sz w:val="18"/>
                <w:szCs w:val="24"/>
              </w:rPr>
              <w:t xml:space="preserve"> reduce revenue</w:t>
            </w:r>
          </w:p>
        </w:tc>
      </w:tr>
    </w:tbl>
    <w:p w:rsidR="003227F8" w:rsidRDefault="003227F8" w:rsidP="00F37CE6">
      <w:pPr>
        <w:pStyle w:val="Bullet-list"/>
        <w:spacing w:after="0" w:line="240" w:lineRule="auto"/>
        <w:ind w:left="0" w:firstLine="0"/>
        <w:jc w:val="both"/>
        <w:rPr>
          <w:rFonts w:ascii="Times New Roman" w:hAnsi="Times New Roman"/>
          <w:sz w:val="24"/>
          <w:szCs w:val="24"/>
        </w:rPr>
        <w:sectPr w:rsidR="003227F8" w:rsidSect="007A59F4">
          <w:pgSz w:w="16840" w:h="11907" w:orient="landscape" w:code="9"/>
          <w:pgMar w:top="1418" w:right="1134" w:bottom="1418" w:left="1134" w:header="567" w:footer="567" w:gutter="0"/>
          <w:cols w:space="720"/>
          <w:docGrid w:linePitch="360"/>
        </w:sectPr>
      </w:pPr>
    </w:p>
    <w:p w:rsidR="00F41A0D" w:rsidRPr="00F37CE6" w:rsidRDefault="00F41A0D" w:rsidP="00F37CE6">
      <w:pPr>
        <w:rPr>
          <w:rFonts w:ascii="Times New Roman" w:hAnsi="Times New Roman"/>
          <w:b/>
          <w:sz w:val="24"/>
          <w:szCs w:val="24"/>
        </w:rPr>
      </w:pPr>
      <w:bookmarkStart w:id="28" w:name="_Toc244580366"/>
      <w:bookmarkStart w:id="29" w:name="_Toc244587042"/>
      <w:bookmarkStart w:id="30" w:name="_Toc244857276"/>
      <w:bookmarkStart w:id="31" w:name="_Toc244912541"/>
      <w:bookmarkStart w:id="32" w:name="_Toc244916998"/>
      <w:r w:rsidRPr="00F37CE6">
        <w:rPr>
          <w:rFonts w:ascii="Times New Roman" w:hAnsi="Times New Roman"/>
          <w:b/>
          <w:sz w:val="24"/>
          <w:szCs w:val="24"/>
        </w:rPr>
        <w:t xml:space="preserve">Tax </w:t>
      </w:r>
      <w:r w:rsidR="0065197A" w:rsidRPr="00F37CE6">
        <w:rPr>
          <w:rFonts w:ascii="Times New Roman" w:hAnsi="Times New Roman"/>
          <w:b/>
          <w:sz w:val="24"/>
          <w:szCs w:val="24"/>
        </w:rPr>
        <w:t>concessions</w:t>
      </w:r>
      <w:r w:rsidRPr="00F37CE6">
        <w:rPr>
          <w:rFonts w:ascii="Times New Roman" w:hAnsi="Times New Roman"/>
          <w:b/>
          <w:sz w:val="24"/>
          <w:szCs w:val="24"/>
        </w:rPr>
        <w:t xml:space="preserve"> for widely-offered schemes</w:t>
      </w:r>
    </w:p>
    <w:p w:rsidR="00BE4B9E" w:rsidRDefault="00BE4B9E" w:rsidP="00BE4B9E">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options we considered are as follows:</w:t>
      </w:r>
    </w:p>
    <w:p w:rsidR="00F41A0D" w:rsidRPr="003227F8" w:rsidRDefault="00F41A0D">
      <w:pPr>
        <w:pStyle w:val="ListParagraph"/>
        <w:ind w:left="360"/>
        <w:rPr>
          <w:rFonts w:ascii="Times New Roman" w:hAnsi="Times New Roman"/>
          <w:b/>
          <w:sz w:val="24"/>
          <w:szCs w:val="24"/>
          <w:u w:val="single"/>
        </w:rPr>
      </w:pPr>
    </w:p>
    <w:p w:rsidR="00F41A0D" w:rsidRPr="00F37CE6" w:rsidRDefault="00F41A0D" w:rsidP="00F37CE6">
      <w:pPr>
        <w:pStyle w:val="ListParagraph"/>
        <w:numPr>
          <w:ilvl w:val="0"/>
          <w:numId w:val="30"/>
        </w:numPr>
        <w:rPr>
          <w:rFonts w:ascii="Times New Roman" w:hAnsi="Times New Roman"/>
          <w:sz w:val="24"/>
          <w:szCs w:val="24"/>
          <w:lang w:val="en-AU"/>
        </w:rPr>
      </w:pPr>
      <w:r w:rsidRPr="00F37CE6">
        <w:rPr>
          <w:rFonts w:ascii="Times New Roman" w:hAnsi="Times New Roman"/>
          <w:b/>
          <w:sz w:val="24"/>
          <w:szCs w:val="24"/>
          <w:lang w:val="en-AU"/>
        </w:rPr>
        <w:t>Option A</w:t>
      </w:r>
      <w:r w:rsidRPr="00F37CE6">
        <w:rPr>
          <w:rFonts w:ascii="Times New Roman" w:hAnsi="Times New Roman"/>
          <w:sz w:val="24"/>
          <w:szCs w:val="24"/>
          <w:lang w:val="en-AU"/>
        </w:rPr>
        <w:t xml:space="preserve"> –</w:t>
      </w:r>
      <w:r w:rsidRPr="00F37CE6">
        <w:rPr>
          <w:rFonts w:ascii="Times New Roman" w:hAnsi="Times New Roman"/>
          <w:b/>
          <w:sz w:val="24"/>
          <w:szCs w:val="24"/>
          <w:lang w:val="en-AU"/>
        </w:rPr>
        <w:t xml:space="preserve"> </w:t>
      </w:r>
      <w:r w:rsidR="006856C0" w:rsidRPr="00F37CE6">
        <w:rPr>
          <w:rFonts w:ascii="Times New Roman" w:hAnsi="Times New Roman"/>
          <w:b/>
          <w:sz w:val="24"/>
          <w:szCs w:val="24"/>
          <w:lang w:val="en-AU"/>
        </w:rPr>
        <w:t>s</w:t>
      </w:r>
      <w:r w:rsidRPr="00F37CE6">
        <w:rPr>
          <w:rFonts w:ascii="Times New Roman" w:hAnsi="Times New Roman"/>
          <w:b/>
          <w:sz w:val="24"/>
          <w:szCs w:val="24"/>
          <w:lang w:val="en-AU"/>
        </w:rPr>
        <w:t>tatus quo</w:t>
      </w:r>
      <w:r w:rsidRPr="00F37CE6">
        <w:rPr>
          <w:rFonts w:ascii="Times New Roman" w:hAnsi="Times New Roman"/>
          <w:sz w:val="24"/>
          <w:szCs w:val="24"/>
          <w:lang w:val="en-AU"/>
        </w:rPr>
        <w:t>: complex legislation allowing shares to be provided tax-free to employees so long as they pay no more than $2,340 to buy them over a three year period and all employees are entitled to participate on an equal basis.  A number of other criteria must be met.  Employers are entitled to a deemed deduction equal to 10% of any loans provided to employees to purchase shares under a qualifying scheme. Currently employers are able to claim unintended deductions for amounts contributed to trusts to purchase shares.</w:t>
      </w:r>
    </w:p>
    <w:p w:rsidR="00F41A0D" w:rsidRDefault="00F41A0D">
      <w:pPr>
        <w:spacing w:after="0" w:line="240" w:lineRule="auto"/>
        <w:ind w:left="360"/>
        <w:jc w:val="both"/>
        <w:rPr>
          <w:rFonts w:ascii="Times New Roman" w:hAnsi="Times New Roman"/>
          <w:sz w:val="24"/>
          <w:szCs w:val="24"/>
          <w:lang w:val="en-AU" w:eastAsia="en-US"/>
        </w:rPr>
      </w:pPr>
    </w:p>
    <w:p w:rsidR="00F41A0D" w:rsidRPr="00F37CE6" w:rsidRDefault="00F41A0D" w:rsidP="00F37CE6">
      <w:pPr>
        <w:pStyle w:val="ListParagraph"/>
        <w:numPr>
          <w:ilvl w:val="0"/>
          <w:numId w:val="30"/>
        </w:numPr>
        <w:rPr>
          <w:rFonts w:ascii="Times New Roman" w:hAnsi="Times New Roman"/>
          <w:sz w:val="24"/>
          <w:szCs w:val="24"/>
          <w:lang w:val="en-AU"/>
        </w:rPr>
      </w:pPr>
      <w:r w:rsidRPr="00F37CE6">
        <w:rPr>
          <w:rFonts w:ascii="Times New Roman" w:hAnsi="Times New Roman"/>
          <w:b/>
          <w:sz w:val="24"/>
          <w:szCs w:val="24"/>
          <w:lang w:val="en-AU"/>
        </w:rPr>
        <w:t xml:space="preserve">Option B – </w:t>
      </w:r>
      <w:r w:rsidR="006856C0" w:rsidRPr="00F37CE6">
        <w:rPr>
          <w:rFonts w:ascii="Times New Roman" w:hAnsi="Times New Roman"/>
          <w:b/>
          <w:sz w:val="24"/>
          <w:szCs w:val="24"/>
          <w:lang w:val="en-AU"/>
        </w:rPr>
        <w:t>r</w:t>
      </w:r>
      <w:r w:rsidRPr="00F37CE6">
        <w:rPr>
          <w:rFonts w:ascii="Times New Roman" w:hAnsi="Times New Roman"/>
          <w:b/>
          <w:sz w:val="24"/>
          <w:szCs w:val="24"/>
          <w:lang w:val="en-AU"/>
        </w:rPr>
        <w:t xml:space="preserve">epeal </w:t>
      </w:r>
      <w:r w:rsidR="006856C0" w:rsidRPr="00F37CE6">
        <w:rPr>
          <w:rFonts w:ascii="Times New Roman" w:hAnsi="Times New Roman"/>
          <w:b/>
          <w:sz w:val="24"/>
          <w:szCs w:val="24"/>
          <w:lang w:val="en-AU"/>
        </w:rPr>
        <w:t xml:space="preserve">tax concessions for </w:t>
      </w:r>
      <w:r w:rsidRPr="00F37CE6">
        <w:rPr>
          <w:rFonts w:ascii="Times New Roman" w:hAnsi="Times New Roman"/>
          <w:b/>
          <w:sz w:val="24"/>
          <w:szCs w:val="24"/>
          <w:lang w:val="en-AU"/>
        </w:rPr>
        <w:t>widely-offered schemes:</w:t>
      </w:r>
      <w:r w:rsidRPr="00F37CE6">
        <w:rPr>
          <w:rFonts w:ascii="Times New Roman" w:hAnsi="Times New Roman"/>
          <w:sz w:val="24"/>
          <w:szCs w:val="24"/>
          <w:lang w:val="en-AU"/>
        </w:rPr>
        <w:t xml:space="preserve"> remove tax exempt schemes</w:t>
      </w:r>
      <w:r w:rsidR="007A59F4">
        <w:rPr>
          <w:rFonts w:ascii="Times New Roman" w:hAnsi="Times New Roman"/>
          <w:sz w:val="24"/>
          <w:szCs w:val="24"/>
          <w:lang w:val="en-AU"/>
        </w:rPr>
        <w:t xml:space="preserve"> – </w:t>
      </w:r>
      <w:r w:rsidRPr="00F37CE6">
        <w:rPr>
          <w:rFonts w:ascii="Times New Roman" w:hAnsi="Times New Roman"/>
          <w:sz w:val="24"/>
          <w:szCs w:val="24"/>
          <w:lang w:val="en-AU"/>
        </w:rPr>
        <w:t>all employee share schemes treated the same for tax purposes.</w:t>
      </w:r>
    </w:p>
    <w:p w:rsidR="00F41A0D" w:rsidRDefault="00F41A0D">
      <w:pPr>
        <w:spacing w:after="0" w:line="240" w:lineRule="auto"/>
        <w:ind w:left="360"/>
        <w:jc w:val="both"/>
        <w:rPr>
          <w:rFonts w:ascii="Times New Roman" w:hAnsi="Times New Roman"/>
          <w:sz w:val="24"/>
          <w:szCs w:val="24"/>
          <w:lang w:val="en-AU" w:eastAsia="en-US"/>
        </w:rPr>
      </w:pPr>
    </w:p>
    <w:p w:rsidR="00BE4B9E" w:rsidRDefault="00F41A0D" w:rsidP="00F37CE6">
      <w:pPr>
        <w:pStyle w:val="ListParagraph"/>
        <w:numPr>
          <w:ilvl w:val="0"/>
          <w:numId w:val="30"/>
        </w:numPr>
        <w:rPr>
          <w:rFonts w:ascii="Times New Roman" w:hAnsi="Times New Roman"/>
          <w:sz w:val="24"/>
          <w:szCs w:val="24"/>
          <w:lang w:val="en-AU"/>
        </w:rPr>
      </w:pPr>
      <w:r w:rsidRPr="00F37CE6">
        <w:rPr>
          <w:rFonts w:ascii="Times New Roman" w:hAnsi="Times New Roman"/>
          <w:b/>
          <w:sz w:val="24"/>
          <w:szCs w:val="24"/>
          <w:lang w:val="en-AU"/>
        </w:rPr>
        <w:t xml:space="preserve">Option C – </w:t>
      </w:r>
      <w:r w:rsidR="006856C0" w:rsidRPr="00F37CE6">
        <w:rPr>
          <w:rFonts w:ascii="Times New Roman" w:hAnsi="Times New Roman"/>
          <w:b/>
          <w:sz w:val="24"/>
          <w:szCs w:val="24"/>
          <w:lang w:val="en-AU"/>
        </w:rPr>
        <w:t>retain and modernise widely-offered schemes</w:t>
      </w:r>
      <w:r w:rsidRPr="00F37CE6">
        <w:rPr>
          <w:rFonts w:ascii="Times New Roman" w:hAnsi="Times New Roman"/>
          <w:sz w:val="24"/>
          <w:szCs w:val="24"/>
          <w:lang w:val="en-AU"/>
        </w:rPr>
        <w:t>:</w:t>
      </w:r>
      <w:r w:rsidR="006856C0" w:rsidRPr="00F37CE6">
        <w:rPr>
          <w:rFonts w:ascii="Times New Roman" w:hAnsi="Times New Roman"/>
          <w:sz w:val="24"/>
          <w:szCs w:val="24"/>
          <w:lang w:val="en-AU"/>
        </w:rPr>
        <w:t xml:space="preserve"> as well as improving some of the ambiguous drafting, the current limit on the amounts employees can pay for their shares could be increased</w:t>
      </w:r>
      <w:r w:rsidR="007A59F4">
        <w:rPr>
          <w:rFonts w:ascii="Times New Roman" w:hAnsi="Times New Roman"/>
          <w:sz w:val="24"/>
          <w:szCs w:val="24"/>
          <w:lang w:val="en-AU"/>
        </w:rPr>
        <w:t xml:space="preserve"> to take account of inflation since the threshold was last increased</w:t>
      </w:r>
      <w:r w:rsidR="00BE4B9E">
        <w:rPr>
          <w:rFonts w:ascii="Times New Roman" w:hAnsi="Times New Roman"/>
          <w:sz w:val="24"/>
          <w:szCs w:val="24"/>
          <w:lang w:val="en-AU"/>
        </w:rPr>
        <w:t>.  In addition:</w:t>
      </w:r>
    </w:p>
    <w:p w:rsidR="00BE4B9E" w:rsidRPr="00F37CE6" w:rsidRDefault="00BE4B9E" w:rsidP="00F37CE6">
      <w:pPr>
        <w:pStyle w:val="ListParagraph"/>
        <w:rPr>
          <w:rFonts w:ascii="Times New Roman" w:hAnsi="Times New Roman"/>
          <w:sz w:val="24"/>
          <w:szCs w:val="24"/>
          <w:lang w:val="en-AU"/>
        </w:rPr>
      </w:pPr>
    </w:p>
    <w:p w:rsidR="00BE4B9E" w:rsidRDefault="00BE4B9E" w:rsidP="00F37CE6">
      <w:pPr>
        <w:pStyle w:val="ListParagraph"/>
        <w:numPr>
          <w:ilvl w:val="1"/>
          <w:numId w:val="30"/>
        </w:numPr>
        <w:rPr>
          <w:rFonts w:ascii="Times New Roman" w:hAnsi="Times New Roman"/>
          <w:sz w:val="24"/>
          <w:szCs w:val="24"/>
          <w:lang w:val="en-AU"/>
        </w:rPr>
      </w:pPr>
      <w:r>
        <w:rPr>
          <w:rFonts w:ascii="Times New Roman" w:hAnsi="Times New Roman"/>
          <w:sz w:val="24"/>
          <w:szCs w:val="24"/>
          <w:lang w:val="en-AU"/>
        </w:rPr>
        <w:t>t</w:t>
      </w:r>
      <w:r w:rsidR="006856C0" w:rsidRPr="00F37CE6">
        <w:rPr>
          <w:rFonts w:ascii="Times New Roman" w:hAnsi="Times New Roman"/>
          <w:sz w:val="24"/>
          <w:szCs w:val="24"/>
          <w:lang w:val="en-AU"/>
        </w:rPr>
        <w:t>he scheme could be relaxed so it only has to be offered to 90% of employees (rather than 100</w:t>
      </w:r>
      <w:r w:rsidRPr="00F37CE6">
        <w:rPr>
          <w:rFonts w:ascii="Times New Roman" w:hAnsi="Times New Roman"/>
          <w:sz w:val="24"/>
          <w:szCs w:val="24"/>
          <w:lang w:val="en-AU"/>
        </w:rPr>
        <w:t>%)</w:t>
      </w:r>
      <w:r>
        <w:rPr>
          <w:rFonts w:ascii="Times New Roman" w:hAnsi="Times New Roman"/>
          <w:sz w:val="24"/>
          <w:szCs w:val="24"/>
          <w:lang w:val="en-AU"/>
        </w:rPr>
        <w:t>;</w:t>
      </w:r>
    </w:p>
    <w:p w:rsidR="00BE4B9E" w:rsidRDefault="006856C0" w:rsidP="00F37CE6">
      <w:pPr>
        <w:pStyle w:val="ListParagraph"/>
        <w:numPr>
          <w:ilvl w:val="1"/>
          <w:numId w:val="30"/>
        </w:numPr>
        <w:rPr>
          <w:rFonts w:ascii="Times New Roman" w:hAnsi="Times New Roman"/>
          <w:sz w:val="24"/>
          <w:szCs w:val="24"/>
          <w:lang w:val="en-AU"/>
        </w:rPr>
      </w:pPr>
      <w:r w:rsidRPr="00F37CE6">
        <w:rPr>
          <w:rFonts w:ascii="Times New Roman" w:hAnsi="Times New Roman"/>
          <w:sz w:val="24"/>
          <w:szCs w:val="24"/>
          <w:lang w:val="en-AU"/>
        </w:rPr>
        <w:t>an upper limit would need to be placed on the exempt benefit to employees</w:t>
      </w:r>
      <w:r w:rsidR="00BE4B9E">
        <w:rPr>
          <w:rFonts w:ascii="Times New Roman" w:hAnsi="Times New Roman"/>
          <w:sz w:val="24"/>
          <w:szCs w:val="24"/>
          <w:lang w:val="en-AU"/>
        </w:rPr>
        <w:t>;</w:t>
      </w:r>
    </w:p>
    <w:p w:rsidR="00BE4B9E" w:rsidRDefault="006856C0" w:rsidP="00F37CE6">
      <w:pPr>
        <w:pStyle w:val="ListParagraph"/>
        <w:numPr>
          <w:ilvl w:val="1"/>
          <w:numId w:val="30"/>
        </w:numPr>
        <w:rPr>
          <w:rFonts w:ascii="Times New Roman" w:hAnsi="Times New Roman"/>
          <w:sz w:val="24"/>
          <w:szCs w:val="24"/>
          <w:lang w:val="en-AU"/>
        </w:rPr>
      </w:pPr>
      <w:r w:rsidRPr="00F37CE6">
        <w:rPr>
          <w:rFonts w:ascii="Times New Roman" w:hAnsi="Times New Roman"/>
          <w:sz w:val="24"/>
          <w:szCs w:val="24"/>
          <w:lang w:val="en-AU"/>
        </w:rPr>
        <w:t>the deemed interest deduction should be removed</w:t>
      </w:r>
      <w:r w:rsidR="00BE4B9E">
        <w:rPr>
          <w:rFonts w:ascii="Times New Roman" w:hAnsi="Times New Roman"/>
          <w:sz w:val="24"/>
          <w:szCs w:val="24"/>
          <w:lang w:val="en-AU"/>
        </w:rPr>
        <w:t>;</w:t>
      </w:r>
    </w:p>
    <w:p w:rsidR="00BE4B9E" w:rsidRDefault="006856C0" w:rsidP="00F37CE6">
      <w:pPr>
        <w:pStyle w:val="ListParagraph"/>
        <w:numPr>
          <w:ilvl w:val="1"/>
          <w:numId w:val="30"/>
        </w:numPr>
        <w:rPr>
          <w:rFonts w:ascii="Times New Roman" w:hAnsi="Times New Roman"/>
          <w:sz w:val="24"/>
          <w:szCs w:val="24"/>
          <w:lang w:val="en-AU"/>
        </w:rPr>
      </w:pPr>
      <w:r w:rsidRPr="00F37CE6">
        <w:rPr>
          <w:rFonts w:ascii="Times New Roman" w:hAnsi="Times New Roman"/>
          <w:sz w:val="24"/>
          <w:szCs w:val="24"/>
          <w:lang w:val="en-AU"/>
        </w:rPr>
        <w:t>it should be made clear that any deduction for the cost of providing shares under the scheme is to be denied</w:t>
      </w:r>
      <w:r w:rsidR="00BE4B9E">
        <w:rPr>
          <w:rFonts w:ascii="Times New Roman" w:hAnsi="Times New Roman"/>
          <w:sz w:val="24"/>
          <w:szCs w:val="24"/>
          <w:lang w:val="en-AU"/>
        </w:rPr>
        <w:t>;</w:t>
      </w:r>
      <w:r w:rsidRPr="00F37CE6">
        <w:rPr>
          <w:rFonts w:ascii="Times New Roman" w:hAnsi="Times New Roman"/>
          <w:sz w:val="24"/>
          <w:szCs w:val="24"/>
          <w:lang w:val="en-AU"/>
        </w:rPr>
        <w:t xml:space="preserve"> </w:t>
      </w:r>
    </w:p>
    <w:p w:rsidR="00BE4B9E" w:rsidRDefault="006856C0" w:rsidP="00F37CE6">
      <w:pPr>
        <w:pStyle w:val="ListParagraph"/>
        <w:numPr>
          <w:ilvl w:val="1"/>
          <w:numId w:val="30"/>
        </w:numPr>
        <w:rPr>
          <w:rFonts w:ascii="Times New Roman" w:hAnsi="Times New Roman"/>
          <w:sz w:val="24"/>
          <w:szCs w:val="24"/>
          <w:lang w:val="en-AU"/>
        </w:rPr>
      </w:pPr>
      <w:r w:rsidRPr="00F37CE6">
        <w:rPr>
          <w:rFonts w:ascii="Times New Roman" w:hAnsi="Times New Roman"/>
          <w:sz w:val="24"/>
          <w:szCs w:val="24"/>
          <w:lang w:val="en-AU"/>
        </w:rPr>
        <w:t>the legislation could clearly state that a loan is only mandatory to the extent that employees have to pay something for the shares</w:t>
      </w:r>
      <w:r w:rsidR="00BE4B9E">
        <w:rPr>
          <w:rFonts w:ascii="Times New Roman" w:hAnsi="Times New Roman"/>
          <w:sz w:val="24"/>
          <w:szCs w:val="24"/>
          <w:lang w:val="en-AU"/>
        </w:rPr>
        <w:t>; and</w:t>
      </w:r>
    </w:p>
    <w:p w:rsidR="006856C0" w:rsidRPr="00F37CE6" w:rsidRDefault="00BE4B9E" w:rsidP="00F37CE6">
      <w:pPr>
        <w:pStyle w:val="ListParagraph"/>
        <w:numPr>
          <w:ilvl w:val="1"/>
          <w:numId w:val="30"/>
        </w:numPr>
        <w:rPr>
          <w:rFonts w:ascii="Times New Roman" w:hAnsi="Times New Roman"/>
          <w:sz w:val="24"/>
          <w:szCs w:val="24"/>
          <w:lang w:val="en-AU"/>
        </w:rPr>
      </w:pPr>
      <w:r>
        <w:rPr>
          <w:rFonts w:ascii="Times New Roman" w:hAnsi="Times New Roman"/>
          <w:sz w:val="24"/>
          <w:szCs w:val="24"/>
          <w:lang w:val="en-AU"/>
        </w:rPr>
        <w:t xml:space="preserve">the requirement for the </w:t>
      </w:r>
      <w:r w:rsidR="00795423" w:rsidRPr="00F37CE6">
        <w:rPr>
          <w:rFonts w:ascii="Times New Roman" w:hAnsi="Times New Roman"/>
          <w:sz w:val="24"/>
          <w:szCs w:val="24"/>
          <w:lang w:val="en-AU"/>
        </w:rPr>
        <w:t xml:space="preserve">scheme </w:t>
      </w:r>
      <w:r>
        <w:rPr>
          <w:rFonts w:ascii="Times New Roman" w:hAnsi="Times New Roman"/>
          <w:sz w:val="24"/>
          <w:szCs w:val="24"/>
          <w:lang w:val="en-AU"/>
        </w:rPr>
        <w:t xml:space="preserve">to be </w:t>
      </w:r>
      <w:r w:rsidR="00795423" w:rsidRPr="00F37CE6">
        <w:rPr>
          <w:rFonts w:ascii="Times New Roman" w:hAnsi="Times New Roman"/>
          <w:sz w:val="24"/>
          <w:szCs w:val="24"/>
          <w:lang w:val="en-AU"/>
        </w:rPr>
        <w:t xml:space="preserve">“approved” </w:t>
      </w:r>
      <w:r>
        <w:rPr>
          <w:rFonts w:ascii="Times New Roman" w:hAnsi="Times New Roman"/>
          <w:sz w:val="24"/>
          <w:szCs w:val="24"/>
          <w:lang w:val="en-AU"/>
        </w:rPr>
        <w:t xml:space="preserve">by  the </w:t>
      </w:r>
      <w:r w:rsidRPr="00973793">
        <w:rPr>
          <w:rFonts w:ascii="Times New Roman" w:hAnsi="Times New Roman"/>
          <w:sz w:val="24"/>
          <w:szCs w:val="24"/>
          <w:lang w:val="en-AU"/>
        </w:rPr>
        <w:t xml:space="preserve">Commissioner of Inland Revenue (CIR) </w:t>
      </w:r>
      <w:r>
        <w:rPr>
          <w:rFonts w:ascii="Times New Roman" w:hAnsi="Times New Roman"/>
          <w:sz w:val="24"/>
          <w:szCs w:val="24"/>
          <w:lang w:val="en-AU"/>
        </w:rPr>
        <w:t xml:space="preserve">should be replaced </w:t>
      </w:r>
      <w:r w:rsidR="00795423" w:rsidRPr="00F37CE6">
        <w:rPr>
          <w:rFonts w:ascii="Times New Roman" w:hAnsi="Times New Roman"/>
          <w:sz w:val="24"/>
          <w:szCs w:val="24"/>
          <w:lang w:val="en-AU"/>
        </w:rPr>
        <w:t>by</w:t>
      </w:r>
      <w:r>
        <w:rPr>
          <w:rFonts w:ascii="Times New Roman" w:hAnsi="Times New Roman"/>
          <w:sz w:val="24"/>
          <w:szCs w:val="24"/>
          <w:lang w:val="en-AU"/>
        </w:rPr>
        <w:t xml:space="preserve"> a </w:t>
      </w:r>
      <w:r w:rsidR="00795423" w:rsidRPr="00F37CE6">
        <w:rPr>
          <w:rFonts w:ascii="Times New Roman" w:hAnsi="Times New Roman"/>
          <w:sz w:val="24"/>
          <w:szCs w:val="24"/>
          <w:lang w:val="en-AU"/>
        </w:rPr>
        <w:t>regist</w:t>
      </w:r>
      <w:r>
        <w:rPr>
          <w:rFonts w:ascii="Times New Roman" w:hAnsi="Times New Roman"/>
          <w:sz w:val="24"/>
          <w:szCs w:val="24"/>
          <w:lang w:val="en-AU"/>
        </w:rPr>
        <w:t>ration requirement</w:t>
      </w:r>
      <w:r w:rsidR="00795423" w:rsidRPr="00F37CE6">
        <w:rPr>
          <w:rFonts w:ascii="Times New Roman" w:hAnsi="Times New Roman"/>
          <w:sz w:val="24"/>
          <w:szCs w:val="24"/>
          <w:lang w:val="en-AU"/>
        </w:rPr>
        <w:t>.</w:t>
      </w:r>
    </w:p>
    <w:p w:rsidR="00F41A0D" w:rsidRDefault="00F41A0D">
      <w:pPr>
        <w:spacing w:after="0" w:line="240" w:lineRule="auto"/>
        <w:ind w:left="360"/>
        <w:jc w:val="both"/>
        <w:rPr>
          <w:rFonts w:ascii="Times New Roman" w:hAnsi="Times New Roman"/>
          <w:sz w:val="24"/>
          <w:szCs w:val="24"/>
          <w:lang w:val="en-AU" w:eastAsia="en-US"/>
        </w:rPr>
      </w:pPr>
    </w:p>
    <w:p w:rsidR="00F41A0D" w:rsidRDefault="00F41A0D" w:rsidP="00F37CE6">
      <w:pPr>
        <w:spacing w:after="0" w:line="240" w:lineRule="auto"/>
        <w:jc w:val="both"/>
        <w:rPr>
          <w:rFonts w:ascii="Times New Roman" w:hAnsi="Times New Roman"/>
          <w:sz w:val="24"/>
          <w:szCs w:val="24"/>
          <w:lang w:val="en-AU" w:eastAsia="en-US"/>
        </w:rPr>
      </w:pPr>
    </w:p>
    <w:p w:rsidR="00F41A0D" w:rsidRDefault="00F41A0D" w:rsidP="00F37CE6">
      <w:pPr>
        <w:spacing w:after="0" w:line="240" w:lineRule="auto"/>
        <w:jc w:val="both"/>
        <w:rPr>
          <w:rFonts w:ascii="Times New Roman" w:hAnsi="Times New Roman"/>
          <w:sz w:val="24"/>
          <w:szCs w:val="24"/>
          <w:lang w:val="en-AU" w:eastAsia="en-US"/>
        </w:rPr>
        <w:sectPr w:rsidR="00F41A0D" w:rsidSect="007A59F4">
          <w:pgSz w:w="11907" w:h="16840" w:code="9"/>
          <w:pgMar w:top="1134" w:right="1418" w:bottom="1134" w:left="1418" w:header="567" w:footer="567" w:gutter="0"/>
          <w:cols w:space="720"/>
          <w:docGrid w:linePitch="360"/>
        </w:sectPr>
      </w:pPr>
    </w:p>
    <w:p w:rsidR="00F41A0D" w:rsidRPr="00B41074" w:rsidRDefault="00F41A0D" w:rsidP="00F37CE6">
      <w:pPr>
        <w:pStyle w:val="Bullet-list"/>
        <w:spacing w:after="0" w:line="240" w:lineRule="auto"/>
        <w:jc w:val="both"/>
        <w:rPr>
          <w:rFonts w:ascii="Times New Roman" w:hAnsi="Times New Roman"/>
          <w:b/>
          <w:sz w:val="24"/>
          <w:szCs w:val="24"/>
        </w:rPr>
      </w:pPr>
      <w:r w:rsidRPr="00DE1786">
        <w:rPr>
          <w:rFonts w:ascii="Times New Roman" w:hAnsi="Times New Roman"/>
          <w:b/>
          <w:sz w:val="24"/>
          <w:szCs w:val="24"/>
        </w:rPr>
        <w:t xml:space="preserve">Table </w:t>
      </w:r>
      <w:r w:rsidR="00F37CE6">
        <w:rPr>
          <w:rFonts w:ascii="Times New Roman" w:hAnsi="Times New Roman"/>
          <w:b/>
          <w:sz w:val="24"/>
          <w:szCs w:val="24"/>
        </w:rPr>
        <w:t>3</w:t>
      </w:r>
      <w:r>
        <w:rPr>
          <w:rFonts w:ascii="Times New Roman" w:hAnsi="Times New Roman"/>
          <w:b/>
          <w:sz w:val="24"/>
          <w:szCs w:val="24"/>
        </w:rPr>
        <w:t xml:space="preserve"> </w:t>
      </w:r>
      <w:r w:rsidR="0065197A">
        <w:rPr>
          <w:rFonts w:ascii="Times New Roman" w:hAnsi="Times New Roman"/>
          <w:b/>
          <w:sz w:val="24"/>
          <w:szCs w:val="24"/>
        </w:rPr>
        <w:t>–</w:t>
      </w:r>
      <w:r>
        <w:rPr>
          <w:rFonts w:ascii="Times New Roman" w:hAnsi="Times New Roman"/>
          <w:b/>
          <w:sz w:val="24"/>
          <w:szCs w:val="24"/>
        </w:rPr>
        <w:t xml:space="preserve"> </w:t>
      </w:r>
      <w:r w:rsidR="0065197A">
        <w:rPr>
          <w:rFonts w:ascii="Times New Roman" w:hAnsi="Times New Roman"/>
          <w:b/>
          <w:sz w:val="24"/>
          <w:szCs w:val="24"/>
        </w:rPr>
        <w:t>Tax concessions for widely-offered schemes</w:t>
      </w:r>
    </w:p>
    <w:p w:rsidR="00F41A0D" w:rsidRDefault="00F41A0D" w:rsidP="00F37CE6">
      <w:pPr>
        <w:pStyle w:val="Bullet-list"/>
        <w:spacing w:after="0" w:line="240" w:lineRule="auto"/>
        <w:ind w:left="0" w:firstLine="0"/>
        <w:jc w:val="both"/>
        <w:rPr>
          <w:rFonts w:ascii="Times New Roman" w:hAnsi="Times New Roman"/>
          <w:sz w:val="24"/>
          <w:szCs w:val="24"/>
        </w:rPr>
      </w:pPr>
    </w:p>
    <w:tbl>
      <w:tblPr>
        <w:tblStyle w:val="TableGrid"/>
        <w:tblW w:w="5000" w:type="pct"/>
        <w:tblLook w:val="04A0" w:firstRow="1" w:lastRow="0" w:firstColumn="1" w:lastColumn="0" w:noHBand="0" w:noVBand="1"/>
      </w:tblPr>
      <w:tblGrid>
        <w:gridCol w:w="1525"/>
        <w:gridCol w:w="2694"/>
        <w:gridCol w:w="1559"/>
        <w:gridCol w:w="2129"/>
        <w:gridCol w:w="1840"/>
        <w:gridCol w:w="1843"/>
        <w:gridCol w:w="1701"/>
        <w:gridCol w:w="1497"/>
      </w:tblGrid>
      <w:tr w:rsidR="00BE4B9E" w:rsidTr="00F37CE6">
        <w:tc>
          <w:tcPr>
            <w:tcW w:w="516" w:type="pct"/>
            <w:shd w:val="clear" w:color="auto" w:fill="000000" w:themeFill="text1"/>
          </w:tcPr>
          <w:p w:rsidR="00BE4B9E" w:rsidRPr="00F37CE6" w:rsidRDefault="00BE4B9E" w:rsidP="00F37CE6">
            <w:pPr>
              <w:pStyle w:val="Bullet-list"/>
              <w:spacing w:after="0" w:line="240" w:lineRule="auto"/>
              <w:ind w:left="0" w:firstLine="0"/>
              <w:jc w:val="left"/>
              <w:rPr>
                <w:rFonts w:ascii="Times New Roman" w:hAnsi="Times New Roman"/>
                <w:b/>
                <w:sz w:val="18"/>
                <w:szCs w:val="24"/>
              </w:rPr>
            </w:pPr>
          </w:p>
        </w:tc>
        <w:tc>
          <w:tcPr>
            <w:tcW w:w="911" w:type="pct"/>
            <w:shd w:val="clear" w:color="auto" w:fill="000000" w:themeFill="text1"/>
          </w:tcPr>
          <w:p w:rsidR="00BE4B9E" w:rsidRPr="00F37CE6" w:rsidRDefault="00BE4B9E"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Neutrality</w:t>
            </w:r>
          </w:p>
        </w:tc>
        <w:tc>
          <w:tcPr>
            <w:tcW w:w="527" w:type="pct"/>
            <w:shd w:val="clear" w:color="auto" w:fill="000000" w:themeFill="text1"/>
          </w:tcPr>
          <w:p w:rsidR="00BE4B9E" w:rsidRPr="00F37CE6" w:rsidRDefault="00BE4B9E"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Equity</w:t>
            </w:r>
          </w:p>
        </w:tc>
        <w:tc>
          <w:tcPr>
            <w:tcW w:w="720" w:type="pct"/>
            <w:shd w:val="clear" w:color="auto" w:fill="000000" w:themeFill="text1"/>
          </w:tcPr>
          <w:p w:rsidR="00BE4B9E" w:rsidRPr="00F37CE6" w:rsidRDefault="00BE4B9E"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Minimises compliance costs</w:t>
            </w:r>
          </w:p>
        </w:tc>
        <w:tc>
          <w:tcPr>
            <w:tcW w:w="622" w:type="pct"/>
            <w:shd w:val="clear" w:color="auto" w:fill="000000" w:themeFill="text1"/>
          </w:tcPr>
          <w:p w:rsidR="00BE4B9E" w:rsidRPr="00F37CE6" w:rsidRDefault="00BE4B9E"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Minimises administrative costs</w:t>
            </w:r>
          </w:p>
        </w:tc>
        <w:tc>
          <w:tcPr>
            <w:tcW w:w="623" w:type="pct"/>
            <w:shd w:val="clear" w:color="auto" w:fill="000000" w:themeFill="text1"/>
          </w:tcPr>
          <w:p w:rsidR="00BE4B9E" w:rsidRPr="00F37CE6" w:rsidRDefault="00BE4B9E"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Integrity</w:t>
            </w:r>
          </w:p>
        </w:tc>
        <w:tc>
          <w:tcPr>
            <w:tcW w:w="575" w:type="pct"/>
            <w:shd w:val="clear" w:color="auto" w:fill="000000" w:themeFill="text1"/>
          </w:tcPr>
          <w:p w:rsidR="00BE4B9E" w:rsidRPr="00F37CE6" w:rsidRDefault="00BE4B9E" w:rsidP="00F37CE6">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Assessment against main objective</w:t>
            </w:r>
          </w:p>
        </w:tc>
        <w:tc>
          <w:tcPr>
            <w:tcW w:w="506" w:type="pct"/>
            <w:shd w:val="clear" w:color="auto" w:fill="000000" w:themeFill="text1"/>
          </w:tcPr>
          <w:p w:rsidR="00BE4B9E" w:rsidRPr="00F37CE6" w:rsidRDefault="00BE4B9E">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Fiscal impact</w:t>
            </w:r>
          </w:p>
        </w:tc>
      </w:tr>
      <w:tr w:rsidR="00BE4B9E" w:rsidTr="00F37CE6">
        <w:tc>
          <w:tcPr>
            <w:tcW w:w="516" w:type="pct"/>
          </w:tcPr>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b/>
                <w:sz w:val="18"/>
                <w:szCs w:val="24"/>
              </w:rPr>
              <w:t>Option A</w:t>
            </w:r>
            <w:r w:rsidRPr="00F37CE6">
              <w:rPr>
                <w:rFonts w:ascii="Times New Roman" w:hAnsi="Times New Roman"/>
                <w:sz w:val="18"/>
                <w:szCs w:val="24"/>
              </w:rPr>
              <w:t xml:space="preserve"> –</w:t>
            </w:r>
          </w:p>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status quo</w:t>
            </w:r>
          </w:p>
        </w:tc>
        <w:tc>
          <w:tcPr>
            <w:tcW w:w="911" w:type="pct"/>
          </w:tcPr>
          <w:p w:rsidR="00BE4B9E" w:rsidRPr="00F37CE6" w:rsidRDefault="00BE4B9E">
            <w:pPr>
              <w:pStyle w:val="ListParagraph"/>
              <w:ind w:left="30"/>
              <w:jc w:val="left"/>
              <w:rPr>
                <w:rFonts w:ascii="Times New Roman" w:hAnsi="Times New Roman"/>
                <w:sz w:val="18"/>
                <w:szCs w:val="24"/>
              </w:rPr>
            </w:pPr>
            <w:r w:rsidRPr="00F37CE6">
              <w:rPr>
                <w:rFonts w:ascii="Times New Roman" w:hAnsi="Times New Roman"/>
                <w:sz w:val="18"/>
                <w:szCs w:val="24"/>
              </w:rPr>
              <w:t>ESS benefits are exempt from tax, whereas comparable salary is not.  Deemed 10% interest deduction and deduction for contribution to trust also different to treatment of standard salary and other types of ESS.</w:t>
            </w:r>
          </w:p>
          <w:p w:rsidR="00BE4B9E" w:rsidRPr="00F37CE6" w:rsidRDefault="00BE4B9E">
            <w:pPr>
              <w:pStyle w:val="ListParagraph"/>
              <w:ind w:left="30"/>
              <w:jc w:val="left"/>
              <w:rPr>
                <w:rFonts w:ascii="Times New Roman" w:eastAsiaTheme="minorHAnsi" w:hAnsi="Times New Roman"/>
                <w:sz w:val="18"/>
                <w:szCs w:val="24"/>
              </w:rPr>
            </w:pPr>
          </w:p>
        </w:tc>
        <w:tc>
          <w:tcPr>
            <w:tcW w:w="527" w:type="pct"/>
          </w:tcPr>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ESS benefits are tax advantaged.</w:t>
            </w:r>
          </w:p>
        </w:tc>
        <w:tc>
          <w:tcPr>
            <w:tcW w:w="720" w:type="pct"/>
          </w:tcPr>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 xml:space="preserve">Significant transaction and compliance costs associated with setting up schemes. There is also uncertainty in the law which </w:t>
            </w:r>
            <w:r w:rsidR="00DE64B9">
              <w:rPr>
                <w:rFonts w:ascii="Times New Roman" w:hAnsi="Times New Roman"/>
                <w:sz w:val="18"/>
                <w:szCs w:val="24"/>
              </w:rPr>
              <w:t>results in high</w:t>
            </w:r>
            <w:r w:rsidR="00DE64B9" w:rsidRPr="00F37CE6">
              <w:rPr>
                <w:rFonts w:ascii="Times New Roman" w:hAnsi="Times New Roman"/>
                <w:sz w:val="18"/>
                <w:szCs w:val="24"/>
              </w:rPr>
              <w:t xml:space="preserve"> </w:t>
            </w:r>
            <w:r w:rsidRPr="00F37CE6">
              <w:rPr>
                <w:rFonts w:ascii="Times New Roman" w:hAnsi="Times New Roman"/>
                <w:sz w:val="18"/>
                <w:szCs w:val="24"/>
              </w:rPr>
              <w:t>compliance costs. Borne by employers.</w:t>
            </w:r>
          </w:p>
        </w:tc>
        <w:tc>
          <w:tcPr>
            <w:tcW w:w="622" w:type="pct"/>
          </w:tcPr>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Administrative costs associated with uncertainty of the law.</w:t>
            </w:r>
          </w:p>
        </w:tc>
        <w:tc>
          <w:tcPr>
            <w:tcW w:w="623" w:type="pct"/>
          </w:tcPr>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Some avoidance opportunities. Does not fit with BBLR system.</w:t>
            </w:r>
          </w:p>
        </w:tc>
        <w:tc>
          <w:tcPr>
            <w:tcW w:w="575" w:type="pct"/>
          </w:tcPr>
          <w:p w:rsidR="00BE4B9E" w:rsidRPr="00F37CE6" w:rsidRDefault="00BE4B9E">
            <w:pPr>
              <w:pStyle w:val="Bullet-list"/>
              <w:spacing w:after="0" w:line="240" w:lineRule="auto"/>
              <w:ind w:left="0" w:firstLine="0"/>
              <w:jc w:val="left"/>
              <w:rPr>
                <w:rFonts w:ascii="Times New Roman" w:hAnsi="Times New Roman"/>
                <w:i/>
                <w:sz w:val="18"/>
                <w:szCs w:val="24"/>
              </w:rPr>
            </w:pPr>
            <w:r w:rsidRPr="00F37CE6">
              <w:rPr>
                <w:rFonts w:ascii="Times New Roman" w:hAnsi="Times New Roman"/>
                <w:i/>
                <w:sz w:val="18"/>
                <w:szCs w:val="24"/>
              </w:rPr>
              <w:t>Does not meet the main objective</w:t>
            </w:r>
          </w:p>
        </w:tc>
        <w:tc>
          <w:tcPr>
            <w:tcW w:w="506" w:type="pct"/>
          </w:tcPr>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Not applicable</w:t>
            </w:r>
          </w:p>
        </w:tc>
      </w:tr>
      <w:tr w:rsidR="00BE4B9E" w:rsidTr="00F37CE6">
        <w:tc>
          <w:tcPr>
            <w:tcW w:w="516" w:type="pct"/>
          </w:tcPr>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b/>
                <w:sz w:val="18"/>
                <w:szCs w:val="24"/>
              </w:rPr>
              <w:t>Option B</w:t>
            </w:r>
            <w:r w:rsidRPr="00F37CE6">
              <w:rPr>
                <w:rFonts w:ascii="Times New Roman" w:hAnsi="Times New Roman"/>
                <w:sz w:val="18"/>
                <w:szCs w:val="24"/>
              </w:rPr>
              <w:t xml:space="preserve"> – repeal tax concessions for widely-offered schemes</w:t>
            </w:r>
          </w:p>
          <w:p w:rsidR="00BE4B9E" w:rsidRPr="00F37CE6" w:rsidRDefault="00BE4B9E">
            <w:pPr>
              <w:pStyle w:val="Bullet-list"/>
              <w:spacing w:after="0" w:line="240" w:lineRule="auto"/>
              <w:ind w:left="0" w:firstLine="0"/>
              <w:jc w:val="left"/>
              <w:rPr>
                <w:rFonts w:ascii="Times New Roman" w:hAnsi="Times New Roman"/>
                <w:sz w:val="18"/>
                <w:szCs w:val="24"/>
              </w:rPr>
            </w:pPr>
          </w:p>
        </w:tc>
        <w:tc>
          <w:tcPr>
            <w:tcW w:w="911" w:type="pct"/>
          </w:tcPr>
          <w:p w:rsidR="00BE4B9E" w:rsidRPr="00F37CE6" w:rsidRDefault="00BE4B9E">
            <w:pPr>
              <w:pStyle w:val="Bullet-list"/>
              <w:spacing w:after="0" w:line="240" w:lineRule="auto"/>
              <w:ind w:left="0" w:firstLine="0"/>
              <w:jc w:val="left"/>
              <w:rPr>
                <w:rFonts w:ascii="Times New Roman" w:hAnsi="Times New Roman"/>
                <w:b/>
                <w:sz w:val="18"/>
                <w:szCs w:val="24"/>
              </w:rPr>
            </w:pPr>
            <w:r w:rsidRPr="00F37CE6">
              <w:rPr>
                <w:rFonts w:ascii="Wingdings 2" w:eastAsiaTheme="minorHAnsi" w:hAnsi="Wingdings 2"/>
                <w:b/>
                <w:sz w:val="18"/>
                <w:szCs w:val="24"/>
              </w:rPr>
              <w:t></w:t>
            </w:r>
            <w:r w:rsidRPr="00F37CE6">
              <w:rPr>
                <w:rFonts w:ascii="Wingdings 2" w:eastAsiaTheme="minorHAnsi" w:hAnsi="Wingdings 2"/>
                <w:b/>
                <w:sz w:val="18"/>
                <w:szCs w:val="24"/>
              </w:rPr>
              <w:t></w:t>
            </w:r>
            <w:r w:rsidRPr="00F37CE6">
              <w:rPr>
                <w:rFonts w:ascii="Times New Roman" w:hAnsi="Times New Roman"/>
                <w:b/>
                <w:sz w:val="18"/>
                <w:szCs w:val="24"/>
              </w:rPr>
              <w:t>Better than the status quo</w:t>
            </w:r>
          </w:p>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 xml:space="preserve">ESS benefits taxed the same as cash salary and wages for both employer and employee, and taxed consistently between themselves.  However, ESS incurs significantly more compliance costs for low level of benefit. </w:t>
            </w:r>
          </w:p>
          <w:p w:rsidR="00BE4B9E" w:rsidRPr="00F37CE6" w:rsidRDefault="00BE4B9E">
            <w:pPr>
              <w:pStyle w:val="Bullet-list"/>
              <w:spacing w:after="0" w:line="240" w:lineRule="auto"/>
              <w:ind w:left="0" w:firstLine="0"/>
              <w:jc w:val="left"/>
              <w:rPr>
                <w:rFonts w:ascii="Times New Roman" w:hAnsi="Times New Roman"/>
                <w:sz w:val="18"/>
                <w:szCs w:val="24"/>
              </w:rPr>
            </w:pPr>
          </w:p>
        </w:tc>
        <w:tc>
          <w:tcPr>
            <w:tcW w:w="527" w:type="pct"/>
          </w:tcPr>
          <w:p w:rsidR="00BE4B9E" w:rsidRPr="00CD2C83" w:rsidRDefault="00BE4B9E" w:rsidP="00BE4B9E">
            <w:pPr>
              <w:pStyle w:val="Bullet-list"/>
              <w:spacing w:after="0" w:line="240" w:lineRule="auto"/>
              <w:ind w:left="0" w:firstLine="0"/>
              <w:jc w:val="left"/>
              <w:rPr>
                <w:rFonts w:ascii="Times New Roman" w:hAnsi="Times New Roman"/>
                <w:b/>
                <w:sz w:val="18"/>
                <w:szCs w:val="24"/>
              </w:rPr>
            </w:pPr>
            <w:r w:rsidRPr="00CD2C83">
              <w:rPr>
                <w:rFonts w:ascii="Wingdings 2" w:eastAsiaTheme="minorHAnsi" w:hAnsi="Wingdings 2"/>
                <w:b/>
                <w:sz w:val="18"/>
                <w:szCs w:val="24"/>
              </w:rPr>
              <w:t></w:t>
            </w:r>
            <w:r w:rsidRPr="00CD2C83">
              <w:rPr>
                <w:rFonts w:ascii="Wingdings 2" w:eastAsiaTheme="minorHAnsi" w:hAnsi="Wingdings 2"/>
                <w:b/>
                <w:sz w:val="18"/>
                <w:szCs w:val="24"/>
              </w:rPr>
              <w:t></w:t>
            </w:r>
            <w:r w:rsidRPr="00CD2C83">
              <w:rPr>
                <w:rFonts w:ascii="Times New Roman" w:hAnsi="Times New Roman"/>
                <w:b/>
                <w:sz w:val="18"/>
                <w:szCs w:val="24"/>
              </w:rPr>
              <w:t>Better than the status quo</w:t>
            </w:r>
          </w:p>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ESS benefits taxed the same as cash salary and wages.  However disadvantaged as compared to salary and wages that do not incur compliance costs.</w:t>
            </w:r>
          </w:p>
        </w:tc>
        <w:tc>
          <w:tcPr>
            <w:tcW w:w="720" w:type="pct"/>
          </w:tcPr>
          <w:p w:rsidR="00BE4B9E" w:rsidRPr="00CD2C83" w:rsidRDefault="00BE4B9E" w:rsidP="00BE4B9E">
            <w:pPr>
              <w:spacing w:after="0" w:line="240" w:lineRule="auto"/>
              <w:contextualSpacing/>
              <w:jc w:val="left"/>
              <w:rPr>
                <w:rFonts w:ascii="Times New Roman" w:eastAsiaTheme="minorHAnsi" w:hAnsi="Times New Roman"/>
                <w:b/>
                <w:sz w:val="16"/>
                <w:szCs w:val="24"/>
                <w:lang w:val="en-NZ" w:eastAsia="en-US"/>
              </w:rPr>
            </w:pPr>
            <w:r w:rsidRPr="00CD2C83">
              <w:rPr>
                <w:rFonts w:ascii="Wingdings 2" w:eastAsiaTheme="minorHAnsi" w:hAnsi="Wingdings 2"/>
                <w:b/>
                <w:sz w:val="16"/>
                <w:szCs w:val="24"/>
                <w:lang w:val="en-NZ" w:eastAsia="en-US"/>
              </w:rPr>
              <w:t></w:t>
            </w:r>
            <w:r w:rsidRPr="00CD2C83">
              <w:rPr>
                <w:rFonts w:ascii="Wingdings 2" w:eastAsiaTheme="minorHAnsi" w:hAnsi="Wingdings 2"/>
                <w:b/>
                <w:sz w:val="16"/>
                <w:szCs w:val="24"/>
                <w:lang w:val="en-NZ" w:eastAsia="en-US"/>
              </w:rPr>
              <w:t></w:t>
            </w:r>
            <w:r w:rsidRPr="00CD2C83">
              <w:rPr>
                <w:rFonts w:ascii="Times New Roman" w:eastAsiaTheme="minorHAnsi" w:hAnsi="Times New Roman"/>
                <w:b/>
                <w:sz w:val="16"/>
                <w:szCs w:val="24"/>
                <w:lang w:val="en-NZ" w:eastAsia="en-US"/>
              </w:rPr>
              <w:t xml:space="preserve">Worse than the status quo </w:t>
            </w:r>
          </w:p>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Significant transaction and compliance costs associated with bringing tax-exempt schemes into the tax system. In many cases these costs likely to outweigh the benefits offered under the scheme.</w:t>
            </w:r>
          </w:p>
          <w:p w:rsidR="00BE4B9E" w:rsidRPr="00F37CE6" w:rsidRDefault="00BE4B9E">
            <w:pPr>
              <w:pStyle w:val="Bullet-list"/>
              <w:spacing w:after="0" w:line="240" w:lineRule="auto"/>
              <w:ind w:left="0" w:firstLine="0"/>
              <w:jc w:val="left"/>
              <w:rPr>
                <w:rFonts w:ascii="Times New Roman" w:hAnsi="Times New Roman"/>
                <w:sz w:val="18"/>
                <w:szCs w:val="24"/>
              </w:rPr>
            </w:pPr>
          </w:p>
        </w:tc>
        <w:tc>
          <w:tcPr>
            <w:tcW w:w="622" w:type="pct"/>
          </w:tcPr>
          <w:p w:rsidR="00BE4B9E" w:rsidRPr="00CD2C83" w:rsidRDefault="00BE4B9E" w:rsidP="00BE4B9E">
            <w:pPr>
              <w:spacing w:after="0" w:line="240" w:lineRule="auto"/>
              <w:contextualSpacing/>
              <w:jc w:val="left"/>
              <w:rPr>
                <w:rFonts w:ascii="Times New Roman" w:eastAsiaTheme="minorHAnsi" w:hAnsi="Times New Roman"/>
                <w:b/>
                <w:sz w:val="16"/>
                <w:szCs w:val="24"/>
                <w:lang w:val="en-NZ" w:eastAsia="en-US"/>
              </w:rPr>
            </w:pPr>
            <w:r w:rsidRPr="00CD2C83">
              <w:rPr>
                <w:rFonts w:ascii="Wingdings 2" w:eastAsiaTheme="minorHAnsi" w:hAnsi="Wingdings 2"/>
                <w:b/>
                <w:sz w:val="16"/>
                <w:szCs w:val="24"/>
                <w:lang w:val="en-NZ" w:eastAsia="en-US"/>
              </w:rPr>
              <w:t></w:t>
            </w:r>
            <w:r w:rsidRPr="00CD2C83">
              <w:rPr>
                <w:rFonts w:ascii="Wingdings 2" w:eastAsiaTheme="minorHAnsi" w:hAnsi="Wingdings 2"/>
                <w:b/>
                <w:sz w:val="16"/>
                <w:szCs w:val="24"/>
                <w:lang w:val="en-NZ" w:eastAsia="en-US"/>
              </w:rPr>
              <w:t></w:t>
            </w:r>
            <w:r w:rsidRPr="00CD2C83">
              <w:rPr>
                <w:rFonts w:ascii="Times New Roman" w:eastAsiaTheme="minorHAnsi" w:hAnsi="Times New Roman"/>
                <w:b/>
                <w:sz w:val="16"/>
                <w:szCs w:val="24"/>
                <w:lang w:val="en-NZ" w:eastAsia="en-US"/>
              </w:rPr>
              <w:t xml:space="preserve">Worse than the status quo </w:t>
            </w:r>
          </w:p>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Reduced administrative costs because law is more certain.   However, potentially more resources needed to monitor previously tax-exempt schemes.</w:t>
            </w:r>
          </w:p>
        </w:tc>
        <w:tc>
          <w:tcPr>
            <w:tcW w:w="623" w:type="pct"/>
          </w:tcPr>
          <w:p w:rsidR="00FA1DA5" w:rsidRPr="00CD2C83" w:rsidRDefault="00FA1DA5" w:rsidP="00FA1DA5">
            <w:pPr>
              <w:pStyle w:val="Bullet-list"/>
              <w:spacing w:after="0" w:line="240" w:lineRule="auto"/>
              <w:ind w:left="0" w:firstLine="0"/>
              <w:jc w:val="left"/>
              <w:rPr>
                <w:rFonts w:ascii="Times New Roman" w:hAnsi="Times New Roman"/>
                <w:b/>
                <w:sz w:val="18"/>
                <w:szCs w:val="24"/>
              </w:rPr>
            </w:pPr>
            <w:r>
              <w:rPr>
                <w:rFonts w:ascii="Wingdings 2" w:eastAsiaTheme="minorHAnsi" w:hAnsi="Wingdings 2"/>
                <w:b/>
                <w:sz w:val="18"/>
                <w:szCs w:val="24"/>
              </w:rPr>
              <w:t></w:t>
            </w:r>
            <w:r>
              <w:rPr>
                <w:rFonts w:ascii="Wingdings 2" w:eastAsiaTheme="minorHAnsi" w:hAnsi="Wingdings 2"/>
                <w:b/>
                <w:sz w:val="18"/>
                <w:szCs w:val="24"/>
              </w:rPr>
              <w:t></w:t>
            </w:r>
            <w:r>
              <w:rPr>
                <w:rFonts w:ascii="Times New Roman" w:hAnsi="Times New Roman"/>
                <w:b/>
                <w:sz w:val="18"/>
                <w:szCs w:val="24"/>
              </w:rPr>
              <w:t xml:space="preserve">Significantly better than </w:t>
            </w:r>
            <w:r w:rsidRPr="00CD2C83">
              <w:rPr>
                <w:rFonts w:ascii="Times New Roman" w:hAnsi="Times New Roman"/>
                <w:b/>
                <w:sz w:val="18"/>
                <w:szCs w:val="24"/>
              </w:rPr>
              <w:t>the status quo</w:t>
            </w:r>
          </w:p>
          <w:p w:rsidR="00BE4B9E" w:rsidRPr="00F37CE6" w:rsidRDefault="00DE64B9">
            <w:pPr>
              <w:pStyle w:val="Bullet-list"/>
              <w:spacing w:after="0" w:line="240" w:lineRule="auto"/>
              <w:ind w:left="0" w:firstLine="0"/>
              <w:jc w:val="left"/>
              <w:rPr>
                <w:rFonts w:ascii="Times New Roman" w:hAnsi="Times New Roman"/>
                <w:sz w:val="18"/>
                <w:szCs w:val="24"/>
              </w:rPr>
            </w:pPr>
            <w:r>
              <w:rPr>
                <w:rFonts w:ascii="Times New Roman" w:hAnsi="Times New Roman"/>
                <w:sz w:val="18"/>
                <w:szCs w:val="24"/>
              </w:rPr>
              <w:t>R</w:t>
            </w:r>
            <w:r w:rsidR="00BE4B9E" w:rsidRPr="00F37CE6">
              <w:rPr>
                <w:rFonts w:ascii="Times New Roman" w:hAnsi="Times New Roman"/>
                <w:sz w:val="18"/>
                <w:szCs w:val="24"/>
              </w:rPr>
              <w:t>emoves opportunities for tax avoidance and evasion</w:t>
            </w:r>
            <w:r>
              <w:rPr>
                <w:rFonts w:ascii="Times New Roman" w:hAnsi="Times New Roman"/>
                <w:sz w:val="18"/>
                <w:szCs w:val="24"/>
              </w:rPr>
              <w:t>.</w:t>
            </w:r>
            <w:r w:rsidRPr="00F37CE6">
              <w:rPr>
                <w:rFonts w:ascii="Times New Roman" w:hAnsi="Times New Roman"/>
                <w:sz w:val="18"/>
                <w:szCs w:val="24"/>
              </w:rPr>
              <w:t xml:space="preserve"> </w:t>
            </w:r>
            <w:r>
              <w:rPr>
                <w:rFonts w:ascii="Times New Roman" w:hAnsi="Times New Roman"/>
                <w:sz w:val="18"/>
                <w:szCs w:val="24"/>
              </w:rPr>
              <w:t>C</w:t>
            </w:r>
            <w:r w:rsidR="00BE4B9E" w:rsidRPr="00F37CE6">
              <w:rPr>
                <w:rFonts w:ascii="Times New Roman" w:hAnsi="Times New Roman"/>
                <w:sz w:val="18"/>
                <w:szCs w:val="24"/>
              </w:rPr>
              <w:t xml:space="preserve">oherent and clear law relating to employment income </w:t>
            </w:r>
          </w:p>
        </w:tc>
        <w:tc>
          <w:tcPr>
            <w:tcW w:w="575" w:type="pct"/>
          </w:tcPr>
          <w:p w:rsidR="00BE4B9E" w:rsidRPr="00F37CE6" w:rsidRDefault="00BE4B9E">
            <w:pPr>
              <w:pStyle w:val="Bullet-list"/>
              <w:spacing w:after="0" w:line="240" w:lineRule="auto"/>
              <w:ind w:left="0" w:firstLine="0"/>
              <w:jc w:val="left"/>
              <w:rPr>
                <w:rFonts w:ascii="Times New Roman" w:hAnsi="Times New Roman"/>
                <w:i/>
                <w:sz w:val="18"/>
                <w:szCs w:val="24"/>
              </w:rPr>
            </w:pPr>
            <w:r w:rsidRPr="00F37CE6">
              <w:rPr>
                <w:rFonts w:ascii="Times New Roman" w:hAnsi="Times New Roman"/>
                <w:i/>
                <w:sz w:val="18"/>
                <w:szCs w:val="24"/>
              </w:rPr>
              <w:t>Meets the main objective</w:t>
            </w:r>
          </w:p>
          <w:p w:rsidR="00BE4B9E" w:rsidRPr="00F37CE6" w:rsidRDefault="00BE4B9E">
            <w:pPr>
              <w:pStyle w:val="Bullet-list"/>
              <w:spacing w:after="0" w:line="240" w:lineRule="auto"/>
              <w:ind w:left="0" w:firstLine="0"/>
              <w:jc w:val="left"/>
              <w:rPr>
                <w:rFonts w:ascii="Times New Roman" w:hAnsi="Times New Roman"/>
                <w:b/>
                <w:color w:val="FF0000"/>
                <w:sz w:val="18"/>
                <w:szCs w:val="24"/>
              </w:rPr>
            </w:pPr>
          </w:p>
          <w:p w:rsidR="00BE4B9E" w:rsidRPr="00F37CE6" w:rsidRDefault="00BE4B9E" w:rsidP="00F37CE6">
            <w:pPr>
              <w:rPr>
                <w:rFonts w:ascii="Times New Roman" w:hAnsi="Times New Roman"/>
                <w:i/>
                <w:sz w:val="18"/>
                <w:szCs w:val="24"/>
              </w:rPr>
            </w:pPr>
          </w:p>
        </w:tc>
        <w:tc>
          <w:tcPr>
            <w:tcW w:w="506" w:type="pct"/>
          </w:tcPr>
          <w:p w:rsidR="00BE4B9E" w:rsidRPr="00F37CE6" w:rsidRDefault="00FA1DA5">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Broadly fiscally neutral</w:t>
            </w:r>
          </w:p>
        </w:tc>
      </w:tr>
      <w:tr w:rsidR="00BE4B9E" w:rsidTr="00F37CE6">
        <w:tc>
          <w:tcPr>
            <w:tcW w:w="516" w:type="pct"/>
          </w:tcPr>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b/>
                <w:sz w:val="18"/>
                <w:szCs w:val="24"/>
              </w:rPr>
              <w:t>Option C</w:t>
            </w:r>
            <w:r w:rsidRPr="00F37CE6">
              <w:rPr>
                <w:rFonts w:ascii="Times New Roman" w:hAnsi="Times New Roman"/>
                <w:sz w:val="18"/>
                <w:szCs w:val="24"/>
              </w:rPr>
              <w:t xml:space="preserve"> –  retain and modernise widely-offered scheme</w:t>
            </w:r>
          </w:p>
        </w:tc>
        <w:tc>
          <w:tcPr>
            <w:tcW w:w="911" w:type="pct"/>
          </w:tcPr>
          <w:p w:rsidR="00BE4B9E" w:rsidRPr="00F37CE6" w:rsidRDefault="00BE4B9E" w:rsidP="00BE4B9E">
            <w:pPr>
              <w:spacing w:after="0" w:line="240" w:lineRule="auto"/>
              <w:contextualSpacing/>
              <w:jc w:val="left"/>
              <w:rPr>
                <w:rFonts w:ascii="Times New Roman" w:eastAsiaTheme="minorHAnsi" w:hAnsi="Times New Roman"/>
                <w:b/>
                <w:sz w:val="18"/>
                <w:szCs w:val="24"/>
                <w:lang w:val="en-NZ" w:eastAsia="en-US"/>
              </w:rPr>
            </w:pPr>
            <w:r w:rsidRPr="00F37CE6">
              <w:rPr>
                <w:rFonts w:ascii="Wingdings 2" w:eastAsiaTheme="minorHAnsi" w:hAnsi="Wingdings 2"/>
                <w:b/>
                <w:sz w:val="18"/>
                <w:szCs w:val="24"/>
                <w:lang w:val="en-NZ" w:eastAsia="en-US"/>
              </w:rPr>
              <w:t></w:t>
            </w:r>
            <w:r w:rsidRPr="00F37CE6">
              <w:rPr>
                <w:rFonts w:ascii="Times New Roman" w:eastAsiaTheme="minorHAnsi" w:hAnsi="Times New Roman"/>
                <w:b/>
                <w:sz w:val="18"/>
                <w:szCs w:val="24"/>
                <w:lang w:val="en-NZ" w:eastAsia="en-US"/>
              </w:rPr>
              <w:t xml:space="preserve">No worse than the status quo </w:t>
            </w:r>
          </w:p>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ESS benefits are exempt from tax, whereas comparable salary is not.  Denial of deduction also different to treatment of standard salary and other types of ESS – however this is a necessary corollary of the tax-exemption.</w:t>
            </w:r>
          </w:p>
          <w:p w:rsidR="00BE4B9E" w:rsidRPr="00F37CE6" w:rsidRDefault="00BE4B9E">
            <w:pPr>
              <w:pStyle w:val="Bullet-list"/>
              <w:spacing w:after="0" w:line="240" w:lineRule="auto"/>
              <w:ind w:left="0" w:firstLine="0"/>
              <w:jc w:val="left"/>
              <w:rPr>
                <w:rFonts w:ascii="Times New Roman" w:hAnsi="Times New Roman"/>
                <w:sz w:val="18"/>
                <w:szCs w:val="24"/>
              </w:rPr>
            </w:pPr>
          </w:p>
        </w:tc>
        <w:tc>
          <w:tcPr>
            <w:tcW w:w="527" w:type="pct"/>
          </w:tcPr>
          <w:p w:rsidR="00BE4B9E" w:rsidRPr="00CD2C83" w:rsidRDefault="00BE4B9E" w:rsidP="00BE4B9E">
            <w:pPr>
              <w:spacing w:after="0" w:line="240" w:lineRule="auto"/>
              <w:contextualSpacing/>
              <w:jc w:val="left"/>
              <w:rPr>
                <w:rFonts w:ascii="Times New Roman" w:eastAsiaTheme="minorHAnsi" w:hAnsi="Times New Roman"/>
                <w:b/>
                <w:sz w:val="18"/>
                <w:szCs w:val="24"/>
                <w:lang w:val="en-NZ" w:eastAsia="en-US"/>
              </w:rPr>
            </w:pPr>
            <w:r w:rsidRPr="00CD2C83">
              <w:rPr>
                <w:rFonts w:ascii="Wingdings 2" w:eastAsiaTheme="minorHAnsi" w:hAnsi="Wingdings 2"/>
                <w:b/>
                <w:sz w:val="18"/>
                <w:szCs w:val="24"/>
                <w:lang w:val="en-NZ" w:eastAsia="en-US"/>
              </w:rPr>
              <w:t></w:t>
            </w:r>
            <w:r w:rsidRPr="00CD2C83">
              <w:rPr>
                <w:rFonts w:ascii="Times New Roman" w:eastAsiaTheme="minorHAnsi" w:hAnsi="Times New Roman"/>
                <w:b/>
                <w:sz w:val="18"/>
                <w:szCs w:val="24"/>
                <w:lang w:val="en-NZ" w:eastAsia="en-US"/>
              </w:rPr>
              <w:t xml:space="preserve">No worse than the status quo </w:t>
            </w:r>
          </w:p>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ESS benefits are tax advantaged. However, compliance cost barrier is removed.</w:t>
            </w:r>
          </w:p>
        </w:tc>
        <w:tc>
          <w:tcPr>
            <w:tcW w:w="720" w:type="pct"/>
          </w:tcPr>
          <w:p w:rsidR="00BE4B9E" w:rsidRPr="00CD2C83" w:rsidRDefault="00BE4B9E" w:rsidP="00BE4B9E">
            <w:pPr>
              <w:pStyle w:val="Bullet-list"/>
              <w:spacing w:after="0" w:line="240" w:lineRule="auto"/>
              <w:ind w:left="0" w:firstLine="0"/>
              <w:jc w:val="left"/>
              <w:rPr>
                <w:rFonts w:ascii="Times New Roman" w:hAnsi="Times New Roman"/>
                <w:b/>
                <w:sz w:val="18"/>
                <w:szCs w:val="24"/>
              </w:rPr>
            </w:pPr>
            <w:r>
              <w:rPr>
                <w:rFonts w:ascii="Wingdings 2" w:eastAsiaTheme="minorHAnsi" w:hAnsi="Wingdings 2"/>
                <w:b/>
                <w:sz w:val="18"/>
                <w:szCs w:val="24"/>
              </w:rPr>
              <w:t></w:t>
            </w:r>
            <w:r>
              <w:rPr>
                <w:rFonts w:ascii="Wingdings 2" w:eastAsiaTheme="minorHAnsi" w:hAnsi="Wingdings 2"/>
                <w:b/>
                <w:sz w:val="18"/>
                <w:szCs w:val="24"/>
              </w:rPr>
              <w:t></w:t>
            </w:r>
            <w:r>
              <w:rPr>
                <w:rFonts w:ascii="Times New Roman" w:hAnsi="Times New Roman"/>
                <w:b/>
                <w:sz w:val="18"/>
                <w:szCs w:val="24"/>
              </w:rPr>
              <w:t xml:space="preserve">Significantly better than </w:t>
            </w:r>
            <w:r w:rsidRPr="00CD2C83">
              <w:rPr>
                <w:rFonts w:ascii="Times New Roman" w:hAnsi="Times New Roman"/>
                <w:b/>
                <w:sz w:val="18"/>
                <w:szCs w:val="24"/>
              </w:rPr>
              <w:t>the status quo</w:t>
            </w:r>
          </w:p>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 xml:space="preserve">Significantly reduces compliance costs. </w:t>
            </w:r>
          </w:p>
        </w:tc>
        <w:tc>
          <w:tcPr>
            <w:tcW w:w="622" w:type="pct"/>
          </w:tcPr>
          <w:p w:rsidR="00BE4B9E" w:rsidRPr="00CD2C83" w:rsidRDefault="00BE4B9E" w:rsidP="00BE4B9E">
            <w:pPr>
              <w:pStyle w:val="Bullet-list"/>
              <w:spacing w:after="0" w:line="240" w:lineRule="auto"/>
              <w:ind w:left="0" w:firstLine="0"/>
              <w:jc w:val="left"/>
              <w:rPr>
                <w:rFonts w:ascii="Times New Roman" w:hAnsi="Times New Roman"/>
                <w:b/>
                <w:sz w:val="18"/>
                <w:szCs w:val="24"/>
              </w:rPr>
            </w:pPr>
            <w:r>
              <w:rPr>
                <w:rFonts w:ascii="Wingdings 2" w:eastAsiaTheme="minorHAnsi" w:hAnsi="Wingdings 2"/>
                <w:b/>
                <w:sz w:val="18"/>
                <w:szCs w:val="24"/>
              </w:rPr>
              <w:t></w:t>
            </w:r>
            <w:r>
              <w:rPr>
                <w:rFonts w:ascii="Wingdings 2" w:eastAsiaTheme="minorHAnsi" w:hAnsi="Wingdings 2"/>
                <w:b/>
                <w:sz w:val="18"/>
                <w:szCs w:val="24"/>
              </w:rPr>
              <w:t></w:t>
            </w:r>
            <w:r>
              <w:rPr>
                <w:rFonts w:ascii="Times New Roman" w:hAnsi="Times New Roman"/>
                <w:b/>
                <w:sz w:val="18"/>
                <w:szCs w:val="24"/>
              </w:rPr>
              <w:t xml:space="preserve">Significantly better than </w:t>
            </w:r>
            <w:r w:rsidRPr="00CD2C83">
              <w:rPr>
                <w:rFonts w:ascii="Times New Roman" w:hAnsi="Times New Roman"/>
                <w:b/>
                <w:sz w:val="18"/>
                <w:szCs w:val="24"/>
              </w:rPr>
              <w:t>the status quo</w:t>
            </w:r>
          </w:p>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Reduces administrative costs.</w:t>
            </w:r>
          </w:p>
        </w:tc>
        <w:tc>
          <w:tcPr>
            <w:tcW w:w="623" w:type="pct"/>
          </w:tcPr>
          <w:p w:rsidR="00BE4B9E" w:rsidRPr="00CD2C83" w:rsidRDefault="00BE4B9E" w:rsidP="00BE4B9E">
            <w:pPr>
              <w:pStyle w:val="Bullet-list"/>
              <w:spacing w:after="0" w:line="240" w:lineRule="auto"/>
              <w:ind w:left="0" w:firstLine="0"/>
              <w:jc w:val="left"/>
              <w:rPr>
                <w:rFonts w:ascii="Times New Roman" w:hAnsi="Times New Roman"/>
                <w:b/>
                <w:sz w:val="18"/>
                <w:szCs w:val="24"/>
              </w:rPr>
            </w:pPr>
            <w:r w:rsidRPr="00CD2C83">
              <w:rPr>
                <w:rFonts w:ascii="Wingdings 2" w:eastAsiaTheme="minorHAnsi" w:hAnsi="Wingdings 2"/>
                <w:b/>
                <w:sz w:val="18"/>
                <w:szCs w:val="24"/>
              </w:rPr>
              <w:t></w:t>
            </w:r>
            <w:r w:rsidRPr="00CD2C83">
              <w:rPr>
                <w:rFonts w:ascii="Times New Roman" w:hAnsi="Times New Roman"/>
                <w:b/>
                <w:sz w:val="18"/>
                <w:szCs w:val="24"/>
              </w:rPr>
              <w:t>Better than the status quo</w:t>
            </w:r>
          </w:p>
          <w:p w:rsidR="00BE4B9E" w:rsidRPr="00F37CE6" w:rsidRDefault="00BE4B9E">
            <w:pPr>
              <w:pStyle w:val="Bullet-list"/>
              <w:spacing w:after="0" w:line="240" w:lineRule="auto"/>
              <w:ind w:left="0" w:firstLine="0"/>
              <w:jc w:val="left"/>
              <w:rPr>
                <w:rFonts w:ascii="Times New Roman" w:hAnsi="Times New Roman"/>
                <w:sz w:val="18"/>
                <w:szCs w:val="24"/>
              </w:rPr>
            </w:pPr>
            <w:r w:rsidRPr="00F37CE6">
              <w:rPr>
                <w:rFonts w:ascii="Times New Roman" w:hAnsi="Times New Roman"/>
                <w:sz w:val="18"/>
                <w:szCs w:val="24"/>
              </w:rPr>
              <w:t>Loopholes removed, but differential treatment does not fit with BBLR framework.</w:t>
            </w:r>
          </w:p>
        </w:tc>
        <w:tc>
          <w:tcPr>
            <w:tcW w:w="575" w:type="pct"/>
          </w:tcPr>
          <w:p w:rsidR="00BE4B9E" w:rsidRPr="00F37CE6" w:rsidRDefault="00BE4B9E">
            <w:pPr>
              <w:pStyle w:val="Bullet-list"/>
              <w:spacing w:after="0" w:line="240" w:lineRule="auto"/>
              <w:ind w:left="0" w:firstLine="0"/>
              <w:jc w:val="left"/>
              <w:rPr>
                <w:rFonts w:ascii="Times New Roman" w:hAnsi="Times New Roman"/>
                <w:i/>
                <w:sz w:val="18"/>
                <w:szCs w:val="24"/>
              </w:rPr>
            </w:pPr>
            <w:r w:rsidRPr="00F37CE6">
              <w:rPr>
                <w:rFonts w:ascii="Times New Roman" w:hAnsi="Times New Roman"/>
                <w:i/>
                <w:sz w:val="18"/>
                <w:szCs w:val="24"/>
              </w:rPr>
              <w:t>Meets the main objective</w:t>
            </w:r>
          </w:p>
          <w:p w:rsidR="00BE4B9E" w:rsidRPr="00F37CE6" w:rsidRDefault="00BE4B9E">
            <w:pPr>
              <w:pStyle w:val="Bullet-list"/>
              <w:spacing w:after="0" w:line="240" w:lineRule="auto"/>
              <w:ind w:left="0" w:firstLine="0"/>
              <w:jc w:val="left"/>
              <w:rPr>
                <w:rFonts w:ascii="Times New Roman" w:hAnsi="Times New Roman"/>
                <w:b/>
                <w:color w:val="FF0000"/>
                <w:sz w:val="18"/>
                <w:szCs w:val="24"/>
              </w:rPr>
            </w:pPr>
          </w:p>
          <w:p w:rsidR="00BE4B9E" w:rsidRPr="00F37CE6" w:rsidRDefault="00BE4B9E">
            <w:pPr>
              <w:pStyle w:val="Bullet-list"/>
              <w:spacing w:after="0" w:line="240" w:lineRule="auto"/>
              <w:ind w:left="0" w:firstLine="0"/>
              <w:jc w:val="left"/>
              <w:rPr>
                <w:rFonts w:ascii="Times New Roman" w:hAnsi="Times New Roman"/>
                <w:b/>
                <w:color w:val="FF0000"/>
                <w:sz w:val="18"/>
                <w:szCs w:val="24"/>
              </w:rPr>
            </w:pPr>
            <w:r w:rsidRPr="00F37CE6">
              <w:rPr>
                <w:rFonts w:ascii="Times New Roman" w:hAnsi="Times New Roman"/>
                <w:b/>
                <w:color w:val="FF0000"/>
                <w:sz w:val="18"/>
                <w:szCs w:val="24"/>
              </w:rPr>
              <w:t>Preferred option – on balance compliance costs are a major consideration</w:t>
            </w:r>
          </w:p>
          <w:p w:rsidR="00BE4B9E" w:rsidRPr="00F37CE6" w:rsidRDefault="00BE4B9E">
            <w:pPr>
              <w:spacing w:after="0" w:line="240" w:lineRule="auto"/>
              <w:contextualSpacing/>
              <w:jc w:val="left"/>
              <w:rPr>
                <w:rFonts w:ascii="Times New Roman" w:eastAsiaTheme="minorHAnsi" w:hAnsi="Times New Roman"/>
                <w:sz w:val="18"/>
                <w:szCs w:val="24"/>
                <w:lang w:val="en-NZ" w:eastAsia="en-US"/>
              </w:rPr>
            </w:pPr>
          </w:p>
        </w:tc>
        <w:tc>
          <w:tcPr>
            <w:tcW w:w="506" w:type="pct"/>
          </w:tcPr>
          <w:p w:rsidR="00BE4B9E" w:rsidRPr="00F37CE6" w:rsidRDefault="00FA1DA5">
            <w:pPr>
              <w:pStyle w:val="Bullet-list"/>
              <w:spacing w:after="0" w:line="240" w:lineRule="auto"/>
              <w:ind w:left="0" w:firstLine="0"/>
              <w:jc w:val="left"/>
              <w:rPr>
                <w:rFonts w:ascii="Times New Roman" w:hAnsi="Times New Roman"/>
                <w:i/>
                <w:sz w:val="18"/>
                <w:szCs w:val="24"/>
              </w:rPr>
            </w:pPr>
            <w:r w:rsidRPr="00CD2C83">
              <w:rPr>
                <w:rFonts w:ascii="Times New Roman" w:hAnsi="Times New Roman"/>
                <w:sz w:val="18"/>
                <w:szCs w:val="24"/>
              </w:rPr>
              <w:t>Broadly fiscally neutral</w:t>
            </w:r>
          </w:p>
        </w:tc>
      </w:tr>
    </w:tbl>
    <w:p w:rsidR="00F41A0D" w:rsidRDefault="00F41A0D" w:rsidP="00F37CE6">
      <w:pPr>
        <w:pStyle w:val="Bullet-list"/>
        <w:spacing w:after="0" w:line="240" w:lineRule="auto"/>
        <w:ind w:left="0" w:firstLine="0"/>
        <w:jc w:val="both"/>
        <w:rPr>
          <w:rFonts w:ascii="Times New Roman" w:hAnsi="Times New Roman"/>
          <w:sz w:val="24"/>
          <w:szCs w:val="24"/>
        </w:rPr>
        <w:sectPr w:rsidR="00F41A0D" w:rsidSect="007A59F4">
          <w:pgSz w:w="16840" w:h="11907" w:orient="landscape" w:code="9"/>
          <w:pgMar w:top="1418" w:right="1134" w:bottom="1418" w:left="1134" w:header="567" w:footer="567" w:gutter="0"/>
          <w:cols w:space="720"/>
          <w:docGrid w:linePitch="360"/>
        </w:sectPr>
      </w:pPr>
    </w:p>
    <w:p w:rsidR="00580DF7" w:rsidRDefault="00580DF7" w:rsidP="00F37CE6">
      <w:pPr>
        <w:pStyle w:val="spacer"/>
        <w:jc w:val="both"/>
        <w:rPr>
          <w:rFonts w:ascii="Times New Roman" w:hAnsi="Times New Roman"/>
          <w:b/>
          <w:sz w:val="24"/>
          <w:szCs w:val="24"/>
        </w:rPr>
      </w:pPr>
    </w:p>
    <w:p w:rsidR="000545DC" w:rsidRPr="004342F0" w:rsidRDefault="00D943DD" w:rsidP="00F37CE6">
      <w:pPr>
        <w:pStyle w:val="RISheading"/>
        <w:jc w:val="both"/>
        <w:rPr>
          <w:spacing w:val="0"/>
          <w:w w:val="100"/>
        </w:rPr>
      </w:pPr>
      <w:r w:rsidRPr="004342F0">
        <w:rPr>
          <w:spacing w:val="0"/>
          <w:w w:val="100"/>
        </w:rPr>
        <w:t>CONSULTATION</w:t>
      </w:r>
      <w:bookmarkEnd w:id="28"/>
      <w:bookmarkEnd w:id="29"/>
      <w:bookmarkEnd w:id="30"/>
      <w:bookmarkEnd w:id="31"/>
      <w:bookmarkEnd w:id="32"/>
    </w:p>
    <w:p w:rsidR="008352F5" w:rsidRPr="00F37CE6" w:rsidRDefault="008352F5"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F37CE6">
        <w:rPr>
          <w:rFonts w:ascii="Times New Roman" w:hAnsi="Times New Roman"/>
          <w:sz w:val="24"/>
          <w:szCs w:val="24"/>
        </w:rPr>
        <w:t xml:space="preserve">Consultation is an important part of the Generic Tax Policy Process (GTPP).  Tax policy officials undertook numerous discussions with stakeholders before releasing an issues paper for formal public consultation.  Submitters had six weeks to submit on the issues paper.  Twenty seven submissions were received.  </w:t>
      </w:r>
      <w:r w:rsidR="00A12CAC" w:rsidRPr="00F37CE6">
        <w:rPr>
          <w:rFonts w:ascii="Times New Roman" w:hAnsi="Times New Roman"/>
          <w:sz w:val="24"/>
          <w:szCs w:val="24"/>
        </w:rPr>
        <w:t xml:space="preserve">Thirteen were from corporates, seven were from industry bodies and seven were from professional services firms.  </w:t>
      </w:r>
      <w:r w:rsidRPr="00F37CE6">
        <w:rPr>
          <w:rFonts w:ascii="Times New Roman" w:hAnsi="Times New Roman"/>
          <w:sz w:val="24"/>
          <w:szCs w:val="24"/>
        </w:rPr>
        <w:t xml:space="preserve">After submissions were received, officials met with a number of submitters to discuss their submissions.  As a result of submissions, it became apparent there were specific issues that would benefit from further consultation.  Officials released a subsequent consultation letter and allowed a further four weeks for submissions.  During this time, officials again met with a number of submitters to help inform their further submissions.  Eighteen further submissions were received.  </w:t>
      </w:r>
      <w:r w:rsidR="00A12CAC" w:rsidRPr="00F37CE6">
        <w:rPr>
          <w:rFonts w:ascii="Times New Roman" w:hAnsi="Times New Roman"/>
          <w:sz w:val="24"/>
          <w:szCs w:val="24"/>
        </w:rPr>
        <w:t xml:space="preserve">Six were from corporates, three were from industry bodies and nine were from professional services firms.  </w:t>
      </w:r>
      <w:r w:rsidRPr="00F37CE6">
        <w:rPr>
          <w:rFonts w:ascii="Times New Roman" w:hAnsi="Times New Roman"/>
          <w:sz w:val="24"/>
          <w:szCs w:val="24"/>
        </w:rPr>
        <w:t xml:space="preserve">The analysis of options to improve the framework for taxing ESS was significantly informed by submissions received. </w:t>
      </w:r>
    </w:p>
    <w:p w:rsidR="008352F5" w:rsidRPr="00F37CE6" w:rsidRDefault="008352F5" w:rsidP="00F37CE6">
      <w:pPr>
        <w:pStyle w:val="Bullet-list"/>
        <w:spacing w:after="0" w:line="240" w:lineRule="auto"/>
        <w:ind w:left="0" w:firstLine="0"/>
        <w:jc w:val="both"/>
        <w:rPr>
          <w:rFonts w:ascii="Times New Roman" w:hAnsi="Times New Roman"/>
          <w:sz w:val="24"/>
          <w:szCs w:val="24"/>
        </w:rPr>
      </w:pPr>
    </w:p>
    <w:p w:rsidR="008352F5" w:rsidRDefault="008352F5" w:rsidP="007A59F4">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F37CE6">
        <w:rPr>
          <w:rFonts w:ascii="Times New Roman" w:hAnsi="Times New Roman"/>
          <w:sz w:val="24"/>
          <w:szCs w:val="24"/>
        </w:rPr>
        <w:t xml:space="preserve">As an overall observation, submitters were not generally in favour of the proposals to change the tax treatment of ESS benefits in the hands of employees.  </w:t>
      </w:r>
      <w:r w:rsidR="007A59F4" w:rsidRPr="007A59F4">
        <w:rPr>
          <w:rFonts w:ascii="Times New Roman" w:hAnsi="Times New Roman"/>
          <w:sz w:val="24"/>
          <w:szCs w:val="24"/>
        </w:rPr>
        <w:t xml:space="preserve">This is to be expected.  Some submitters have argued that </w:t>
      </w:r>
      <w:r w:rsidR="007A59F4">
        <w:rPr>
          <w:rFonts w:ascii="Times New Roman" w:hAnsi="Times New Roman"/>
          <w:sz w:val="24"/>
          <w:szCs w:val="24"/>
        </w:rPr>
        <w:t xml:space="preserve">the reforms tax capital gains. </w:t>
      </w:r>
      <w:r w:rsidR="007A59F4" w:rsidRPr="007A59F4">
        <w:rPr>
          <w:rFonts w:ascii="Times New Roman" w:hAnsi="Times New Roman"/>
          <w:sz w:val="24"/>
          <w:szCs w:val="24"/>
        </w:rPr>
        <w:t xml:space="preserve">While </w:t>
      </w:r>
      <w:r w:rsidR="007A59F4">
        <w:rPr>
          <w:rFonts w:ascii="Times New Roman" w:hAnsi="Times New Roman"/>
          <w:sz w:val="24"/>
          <w:szCs w:val="24"/>
        </w:rPr>
        <w:t>ESS</w:t>
      </w:r>
      <w:r w:rsidR="007A59F4" w:rsidRPr="007A59F4">
        <w:rPr>
          <w:rFonts w:ascii="Times New Roman" w:hAnsi="Times New Roman"/>
          <w:sz w:val="24"/>
          <w:szCs w:val="24"/>
        </w:rPr>
        <w:t xml:space="preserve"> benefits might sometimes look like capital gains because employees are being paid in shares, the reality is that this is just another form of employment income and should be taxed as such.  The proposals isolate employment income and tax that.  They ensure that all employment income is treated the same and will reduce opportunities to substitute non-taxable gains for taxable salary.  The proposals do not prevent employees from ever being able to hold their shares on capital account and receive gains tax-free.  They simply ensure that employees are taxed on the value of the shares they receive when those shares are payment in-kind for services.  Once the employee owns the shares like any other investor they can derive tax-free capital gains.</w:t>
      </w:r>
    </w:p>
    <w:p w:rsidR="004D1829" w:rsidRDefault="004D1829" w:rsidP="004D1829">
      <w:pPr>
        <w:pStyle w:val="ListParagraph"/>
        <w:rPr>
          <w:rFonts w:ascii="Times New Roman" w:hAnsi="Times New Roman"/>
          <w:sz w:val="24"/>
          <w:szCs w:val="24"/>
        </w:rPr>
      </w:pPr>
    </w:p>
    <w:p w:rsidR="004D1829" w:rsidRPr="007A59F4" w:rsidRDefault="004D1829" w:rsidP="007A59F4">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Some submitters also advocated for a concessionary framework, rather than the neutral tax framework described above.  For the reasons already explained, we did not support a concessionary framework.</w:t>
      </w:r>
    </w:p>
    <w:p w:rsidR="00407F66" w:rsidRDefault="00407F66" w:rsidP="00F37CE6">
      <w:pPr>
        <w:pStyle w:val="Bullet-list"/>
        <w:spacing w:after="0" w:line="240" w:lineRule="auto"/>
        <w:ind w:left="0" w:firstLine="0"/>
        <w:jc w:val="both"/>
        <w:rPr>
          <w:rFonts w:ascii="Times New Roman" w:hAnsi="Times New Roman"/>
          <w:sz w:val="24"/>
          <w:szCs w:val="24"/>
        </w:rPr>
      </w:pPr>
    </w:p>
    <w:p w:rsidR="00407F66" w:rsidRPr="00F37CE6" w:rsidRDefault="00407F66"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F37CE6">
        <w:rPr>
          <w:rFonts w:ascii="Times New Roman" w:hAnsi="Times New Roman"/>
          <w:sz w:val="24"/>
          <w:szCs w:val="24"/>
        </w:rPr>
        <w:t>Submitters were generally in favour of providing a statutory deduction for providing ESS benefits, but some disagreed with the proposed basis for those deductions.</w:t>
      </w:r>
    </w:p>
    <w:p w:rsidR="00407F66" w:rsidRDefault="00407F66" w:rsidP="00F37CE6">
      <w:pPr>
        <w:pStyle w:val="Bullet-list"/>
        <w:spacing w:after="0" w:line="240" w:lineRule="auto"/>
        <w:ind w:left="0" w:firstLine="0"/>
        <w:jc w:val="both"/>
        <w:rPr>
          <w:rFonts w:ascii="Times New Roman" w:hAnsi="Times New Roman"/>
          <w:sz w:val="24"/>
          <w:szCs w:val="24"/>
        </w:rPr>
      </w:pPr>
    </w:p>
    <w:p w:rsidR="00407F66" w:rsidRPr="00F37CE6" w:rsidRDefault="00407F66"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F37CE6">
        <w:rPr>
          <w:rFonts w:ascii="Times New Roman" w:hAnsi="Times New Roman"/>
          <w:sz w:val="24"/>
          <w:szCs w:val="24"/>
        </w:rPr>
        <w:t>As a result of consultation, officials made a number of changes to the proposals including:</w:t>
      </w:r>
    </w:p>
    <w:p w:rsidR="00407F66" w:rsidRDefault="00407F66">
      <w:pPr>
        <w:pStyle w:val="ListParagraph"/>
        <w:rPr>
          <w:rFonts w:ascii="Times New Roman" w:hAnsi="Times New Roman"/>
          <w:sz w:val="24"/>
          <w:szCs w:val="24"/>
        </w:rPr>
      </w:pPr>
    </w:p>
    <w:p w:rsidR="00407F66" w:rsidRDefault="00407F66" w:rsidP="002A72AB">
      <w:pPr>
        <w:pStyle w:val="CommentText"/>
        <w:numPr>
          <w:ilvl w:val="1"/>
          <w:numId w:val="17"/>
        </w:numPr>
        <w:spacing w:after="0" w:line="240" w:lineRule="auto"/>
        <w:ind w:left="709" w:hanging="425"/>
        <w:jc w:val="both"/>
        <w:rPr>
          <w:rFonts w:ascii="Times New Roman" w:hAnsi="Times New Roman"/>
          <w:sz w:val="24"/>
          <w:szCs w:val="24"/>
          <w:lang w:val="en-NZ"/>
        </w:rPr>
      </w:pPr>
      <w:r>
        <w:rPr>
          <w:rFonts w:ascii="Times New Roman" w:hAnsi="Times New Roman"/>
          <w:sz w:val="24"/>
          <w:szCs w:val="24"/>
          <w:lang w:val="en-NZ"/>
        </w:rPr>
        <w:t>recommending retaining and modernising the widely-offered tax exempt schemes</w:t>
      </w:r>
      <w:r w:rsidR="00F54E1B">
        <w:rPr>
          <w:rFonts w:ascii="Times New Roman" w:hAnsi="Times New Roman"/>
          <w:sz w:val="24"/>
          <w:szCs w:val="24"/>
          <w:lang w:val="en-NZ"/>
        </w:rPr>
        <w:t xml:space="preserve"> – based on concerns about compliance costs</w:t>
      </w:r>
      <w:r>
        <w:rPr>
          <w:rFonts w:ascii="Times New Roman" w:hAnsi="Times New Roman"/>
          <w:sz w:val="24"/>
          <w:szCs w:val="24"/>
          <w:lang w:val="en-NZ"/>
        </w:rPr>
        <w:t>;</w:t>
      </w:r>
    </w:p>
    <w:p w:rsidR="00407F66" w:rsidRDefault="00407F66" w:rsidP="002A72AB">
      <w:pPr>
        <w:pStyle w:val="CommentText"/>
        <w:numPr>
          <w:ilvl w:val="1"/>
          <w:numId w:val="17"/>
        </w:numPr>
        <w:spacing w:after="0" w:line="240" w:lineRule="auto"/>
        <w:ind w:left="709" w:hanging="425"/>
        <w:jc w:val="both"/>
        <w:rPr>
          <w:rFonts w:ascii="Times New Roman" w:hAnsi="Times New Roman"/>
          <w:sz w:val="24"/>
          <w:szCs w:val="24"/>
          <w:lang w:val="en-NZ"/>
        </w:rPr>
      </w:pPr>
      <w:r>
        <w:rPr>
          <w:rFonts w:ascii="Times New Roman" w:hAnsi="Times New Roman"/>
          <w:sz w:val="24"/>
          <w:szCs w:val="24"/>
          <w:lang w:val="en-NZ"/>
        </w:rPr>
        <w:t>clarifying when the new rules will and will not apply to common commercial structures</w:t>
      </w:r>
      <w:r w:rsidR="00F54E1B">
        <w:rPr>
          <w:rFonts w:ascii="Times New Roman" w:hAnsi="Times New Roman"/>
          <w:sz w:val="24"/>
          <w:szCs w:val="24"/>
          <w:lang w:val="en-NZ"/>
        </w:rPr>
        <w:t xml:space="preserve"> – based on some confusion about the border between </w:t>
      </w:r>
      <w:r w:rsidR="002A72AB">
        <w:rPr>
          <w:rFonts w:ascii="Times New Roman" w:hAnsi="Times New Roman"/>
          <w:sz w:val="24"/>
          <w:szCs w:val="24"/>
          <w:lang w:val="en-NZ"/>
        </w:rPr>
        <w:t xml:space="preserve">holding shares as </w:t>
      </w:r>
      <w:r w:rsidR="007A59F4">
        <w:rPr>
          <w:rFonts w:ascii="Times New Roman" w:hAnsi="Times New Roman"/>
          <w:sz w:val="24"/>
          <w:szCs w:val="24"/>
          <w:lang w:val="en-NZ"/>
        </w:rPr>
        <w:t xml:space="preserve">an </w:t>
      </w:r>
      <w:r w:rsidR="00F54E1B">
        <w:rPr>
          <w:rFonts w:ascii="Times New Roman" w:hAnsi="Times New Roman"/>
          <w:sz w:val="24"/>
          <w:szCs w:val="24"/>
          <w:lang w:val="en-NZ"/>
        </w:rPr>
        <w:t>employee and holding them just like any other shareholder</w:t>
      </w:r>
      <w:r>
        <w:rPr>
          <w:rFonts w:ascii="Times New Roman" w:hAnsi="Times New Roman"/>
          <w:sz w:val="24"/>
          <w:szCs w:val="24"/>
          <w:lang w:val="en-NZ"/>
        </w:rPr>
        <w:t>; and</w:t>
      </w:r>
    </w:p>
    <w:p w:rsidR="00407F66" w:rsidRDefault="00407F66" w:rsidP="002A72AB">
      <w:pPr>
        <w:pStyle w:val="CommentText"/>
        <w:numPr>
          <w:ilvl w:val="1"/>
          <w:numId w:val="17"/>
        </w:numPr>
        <w:spacing w:after="0" w:line="240" w:lineRule="auto"/>
        <w:ind w:left="709" w:hanging="425"/>
        <w:jc w:val="both"/>
        <w:rPr>
          <w:rFonts w:ascii="Times New Roman" w:hAnsi="Times New Roman"/>
          <w:sz w:val="24"/>
          <w:szCs w:val="24"/>
          <w:lang w:val="en-NZ"/>
        </w:rPr>
      </w:pPr>
      <w:r>
        <w:rPr>
          <w:rFonts w:ascii="Times New Roman" w:hAnsi="Times New Roman"/>
          <w:sz w:val="24"/>
          <w:szCs w:val="24"/>
          <w:lang w:val="en-NZ"/>
        </w:rPr>
        <w:t>extending the transitional/grandparenting arrangements</w:t>
      </w:r>
      <w:r w:rsidR="00F54E1B">
        <w:rPr>
          <w:rFonts w:ascii="Times New Roman" w:hAnsi="Times New Roman"/>
          <w:sz w:val="24"/>
          <w:szCs w:val="24"/>
          <w:lang w:val="en-NZ"/>
        </w:rPr>
        <w:t xml:space="preserve"> – to </w:t>
      </w:r>
      <w:r w:rsidR="002A72AB">
        <w:rPr>
          <w:rFonts w:ascii="Times New Roman" w:hAnsi="Times New Roman"/>
          <w:sz w:val="24"/>
          <w:szCs w:val="24"/>
          <w:lang w:val="en-NZ"/>
        </w:rPr>
        <w:t>address concerns that the proposed transitional arrangements were not long enough for companies</w:t>
      </w:r>
      <w:r w:rsidR="00F54E1B">
        <w:rPr>
          <w:rFonts w:ascii="Times New Roman" w:hAnsi="Times New Roman"/>
          <w:sz w:val="24"/>
          <w:szCs w:val="24"/>
          <w:lang w:val="en-NZ"/>
        </w:rPr>
        <w:t xml:space="preserve"> </w:t>
      </w:r>
      <w:r w:rsidR="002A72AB">
        <w:rPr>
          <w:rFonts w:ascii="Times New Roman" w:hAnsi="Times New Roman"/>
          <w:sz w:val="24"/>
          <w:szCs w:val="24"/>
          <w:lang w:val="en-NZ"/>
        </w:rPr>
        <w:t xml:space="preserve">to </w:t>
      </w:r>
      <w:r w:rsidR="00F54E1B">
        <w:rPr>
          <w:rFonts w:ascii="Times New Roman" w:hAnsi="Times New Roman"/>
          <w:sz w:val="24"/>
          <w:szCs w:val="24"/>
          <w:lang w:val="en-NZ"/>
        </w:rPr>
        <w:t>implement new arrangements and to take account of longer terms schemes</w:t>
      </w:r>
      <w:r>
        <w:rPr>
          <w:rFonts w:ascii="Times New Roman" w:hAnsi="Times New Roman"/>
          <w:sz w:val="24"/>
          <w:szCs w:val="24"/>
          <w:lang w:val="en-NZ"/>
        </w:rPr>
        <w:t>.</w:t>
      </w:r>
    </w:p>
    <w:p w:rsidR="00407F66" w:rsidRDefault="00407F66">
      <w:pPr>
        <w:pStyle w:val="ListParagraph"/>
        <w:rPr>
          <w:rFonts w:ascii="Times New Roman" w:hAnsi="Times New Roman"/>
          <w:sz w:val="24"/>
          <w:szCs w:val="24"/>
        </w:rPr>
      </w:pPr>
    </w:p>
    <w:p w:rsidR="002A72AB" w:rsidRDefault="002A72AB" w:rsidP="002A72AB">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Based on feedback from submitters, we have also recommended considering a second stage of ESS reforms to consider whether it is feasible and desirable to design a start-up deferral regime which would address issues of cash flow and liquidity for early stage companies</w:t>
      </w:r>
      <w:r w:rsidRPr="00F37CE6">
        <w:rPr>
          <w:rFonts w:ascii="Times New Roman" w:hAnsi="Times New Roman"/>
          <w:sz w:val="24"/>
          <w:szCs w:val="24"/>
        </w:rPr>
        <w:t>.</w:t>
      </w:r>
    </w:p>
    <w:p w:rsidR="002A72AB" w:rsidRPr="002A72AB" w:rsidRDefault="002A72AB" w:rsidP="002A72AB">
      <w:pPr>
        <w:pStyle w:val="Bullet-list"/>
        <w:spacing w:after="0" w:line="240" w:lineRule="auto"/>
        <w:ind w:left="0" w:firstLine="0"/>
        <w:jc w:val="both"/>
        <w:rPr>
          <w:rFonts w:ascii="Times New Roman" w:hAnsi="Times New Roman"/>
          <w:sz w:val="24"/>
          <w:szCs w:val="24"/>
        </w:rPr>
      </w:pPr>
    </w:p>
    <w:p w:rsidR="003230AE" w:rsidRDefault="008352F5"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4D1829">
        <w:rPr>
          <w:rFonts w:ascii="Times New Roman" w:hAnsi="Times New Roman"/>
          <w:sz w:val="24"/>
          <w:szCs w:val="24"/>
        </w:rPr>
        <w:t xml:space="preserve">Tax policy officials consulted with other </w:t>
      </w:r>
      <w:r w:rsidR="007A59F4" w:rsidRPr="004D1829">
        <w:rPr>
          <w:rFonts w:ascii="Times New Roman" w:hAnsi="Times New Roman"/>
          <w:sz w:val="24"/>
          <w:szCs w:val="24"/>
        </w:rPr>
        <w:t>g</w:t>
      </w:r>
      <w:r w:rsidRPr="004D1829">
        <w:rPr>
          <w:rFonts w:ascii="Times New Roman" w:hAnsi="Times New Roman"/>
          <w:sz w:val="24"/>
          <w:szCs w:val="24"/>
        </w:rPr>
        <w:t>overnment agencies – specifically</w:t>
      </w:r>
      <w:r w:rsidR="00F54E1B" w:rsidRPr="004D1829">
        <w:rPr>
          <w:rFonts w:ascii="Times New Roman" w:hAnsi="Times New Roman"/>
          <w:sz w:val="24"/>
          <w:szCs w:val="24"/>
        </w:rPr>
        <w:t xml:space="preserve"> The Treasury, </w:t>
      </w:r>
      <w:r w:rsidRPr="004D1829">
        <w:rPr>
          <w:rFonts w:ascii="Times New Roman" w:hAnsi="Times New Roman"/>
          <w:sz w:val="24"/>
          <w:szCs w:val="24"/>
        </w:rPr>
        <w:t xml:space="preserve">a number of units within the Ministry of Business, Innovation and Employment (MBIE) and Callaghan Innovation. </w:t>
      </w:r>
    </w:p>
    <w:p w:rsidR="003230AE" w:rsidRDefault="003230AE" w:rsidP="003230AE">
      <w:pPr>
        <w:pStyle w:val="ListParagraph"/>
        <w:rPr>
          <w:rFonts w:ascii="Times New Roman" w:hAnsi="Times New Roman"/>
          <w:sz w:val="24"/>
          <w:szCs w:val="24"/>
        </w:rPr>
      </w:pPr>
    </w:p>
    <w:p w:rsidR="003230AE" w:rsidRDefault="008352F5"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F37CE6">
        <w:rPr>
          <w:rFonts w:ascii="Times New Roman" w:hAnsi="Times New Roman"/>
          <w:sz w:val="24"/>
          <w:szCs w:val="24"/>
        </w:rPr>
        <w:t>Tax policy officials also contacted officials in Australia, the U</w:t>
      </w:r>
      <w:r w:rsidR="00F54E1B" w:rsidRPr="00F37CE6">
        <w:rPr>
          <w:rFonts w:ascii="Times New Roman" w:hAnsi="Times New Roman"/>
          <w:sz w:val="24"/>
          <w:szCs w:val="24"/>
        </w:rPr>
        <w:t xml:space="preserve">nited </w:t>
      </w:r>
      <w:r w:rsidRPr="00F37CE6">
        <w:rPr>
          <w:rFonts w:ascii="Times New Roman" w:hAnsi="Times New Roman"/>
          <w:sz w:val="24"/>
          <w:szCs w:val="24"/>
        </w:rPr>
        <w:t>K</w:t>
      </w:r>
      <w:r w:rsidR="00F54E1B" w:rsidRPr="00F37CE6">
        <w:rPr>
          <w:rFonts w:ascii="Times New Roman" w:hAnsi="Times New Roman"/>
          <w:sz w:val="24"/>
          <w:szCs w:val="24"/>
        </w:rPr>
        <w:t>ingdom</w:t>
      </w:r>
      <w:r w:rsidRPr="00F37CE6">
        <w:rPr>
          <w:rFonts w:ascii="Times New Roman" w:hAnsi="Times New Roman"/>
          <w:sz w:val="24"/>
          <w:szCs w:val="24"/>
        </w:rPr>
        <w:t xml:space="preserve"> and South Africa to gain insights into the way they tax ESS.  This has provided us with some useful guidance in terms of areas where New Zealand’s rules are consistent with the treatment in those jurisdictions and where we recommend deliberately departing from the approach in other jurisdictions for </w:t>
      </w:r>
      <w:r w:rsidR="00F54E1B" w:rsidRPr="00F37CE6">
        <w:rPr>
          <w:rFonts w:ascii="Times New Roman" w:hAnsi="Times New Roman"/>
          <w:sz w:val="24"/>
          <w:szCs w:val="24"/>
        </w:rPr>
        <w:t xml:space="preserve">some </w:t>
      </w:r>
      <w:r w:rsidRPr="00F37CE6">
        <w:rPr>
          <w:rFonts w:ascii="Times New Roman" w:hAnsi="Times New Roman"/>
          <w:sz w:val="24"/>
          <w:szCs w:val="24"/>
        </w:rPr>
        <w:t xml:space="preserve">reason – for example, because our tax policy settings are different (for example, we do not have a </w:t>
      </w:r>
      <w:r w:rsidR="003230AE">
        <w:rPr>
          <w:rFonts w:ascii="Times New Roman" w:hAnsi="Times New Roman"/>
          <w:sz w:val="24"/>
          <w:szCs w:val="24"/>
        </w:rPr>
        <w:t xml:space="preserve">comprehensive </w:t>
      </w:r>
      <w:r w:rsidRPr="00F37CE6">
        <w:rPr>
          <w:rFonts w:ascii="Times New Roman" w:hAnsi="Times New Roman"/>
          <w:sz w:val="24"/>
          <w:szCs w:val="24"/>
        </w:rPr>
        <w:t>capital gains tax) or because there are particular aspects of the laws of these jurisdictions that officials report are problematic.</w:t>
      </w:r>
      <w:bookmarkStart w:id="33" w:name="_Preferred_option_[optional]"/>
      <w:bookmarkStart w:id="34" w:name="_Toc244580367"/>
      <w:bookmarkStart w:id="35" w:name="_Toc244587043"/>
      <w:bookmarkStart w:id="36" w:name="_Toc244857277"/>
      <w:bookmarkStart w:id="37" w:name="_Toc244912542"/>
      <w:bookmarkStart w:id="38" w:name="_Toc244916999"/>
      <w:bookmarkEnd w:id="33"/>
    </w:p>
    <w:p w:rsidR="003230AE" w:rsidRDefault="003230AE" w:rsidP="003230AE">
      <w:pPr>
        <w:pStyle w:val="ListParagraph"/>
        <w:rPr>
          <w:rFonts w:ascii="Times New Roman" w:hAnsi="Times New Roman"/>
          <w:sz w:val="24"/>
          <w:szCs w:val="24"/>
        </w:rPr>
      </w:pPr>
    </w:p>
    <w:p w:rsidR="000545DC" w:rsidRPr="004342F0" w:rsidRDefault="00D943DD" w:rsidP="00F37CE6">
      <w:pPr>
        <w:pStyle w:val="RISheading"/>
        <w:jc w:val="both"/>
        <w:rPr>
          <w:spacing w:val="0"/>
          <w:w w:val="100"/>
        </w:rPr>
      </w:pPr>
      <w:r w:rsidRPr="004342F0">
        <w:rPr>
          <w:spacing w:val="0"/>
          <w:w w:val="100"/>
        </w:rPr>
        <w:t>CONCLUSIONS AND RECOMMENDATIONS</w:t>
      </w:r>
      <w:bookmarkEnd w:id="34"/>
      <w:bookmarkEnd w:id="35"/>
      <w:bookmarkEnd w:id="36"/>
      <w:bookmarkEnd w:id="37"/>
      <w:bookmarkEnd w:id="38"/>
    </w:p>
    <w:p w:rsidR="00CD7F0B" w:rsidRDefault="00CD7F0B"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Based on the analysis above, the table below summarises the conclusions of the regulatory impact analysis.</w:t>
      </w:r>
    </w:p>
    <w:p w:rsidR="00716A9E" w:rsidRDefault="00716A9E" w:rsidP="00716A9E">
      <w:pPr>
        <w:pStyle w:val="Bullet-list"/>
        <w:spacing w:after="0" w:line="240" w:lineRule="auto"/>
        <w:ind w:left="0" w:firstLine="0"/>
        <w:jc w:val="both"/>
        <w:rPr>
          <w:rFonts w:ascii="Times New Roman" w:hAnsi="Times New Roman"/>
          <w:sz w:val="24"/>
          <w:szCs w:val="24"/>
        </w:rPr>
      </w:pPr>
    </w:p>
    <w:tbl>
      <w:tblPr>
        <w:tblStyle w:val="TableGrid"/>
        <w:tblW w:w="10031" w:type="dxa"/>
        <w:tblLook w:val="04A0" w:firstRow="1" w:lastRow="0" w:firstColumn="1" w:lastColumn="0" w:noHBand="0" w:noVBand="1"/>
      </w:tblPr>
      <w:tblGrid>
        <w:gridCol w:w="2376"/>
        <w:gridCol w:w="4111"/>
        <w:gridCol w:w="3544"/>
      </w:tblGrid>
      <w:tr w:rsidR="00BB411D" w:rsidTr="00716A9E">
        <w:tc>
          <w:tcPr>
            <w:tcW w:w="2376" w:type="dxa"/>
            <w:shd w:val="clear" w:color="auto" w:fill="000000" w:themeFill="text1"/>
          </w:tcPr>
          <w:p w:rsidR="00BB411D" w:rsidRPr="00F37CE6" w:rsidRDefault="00716A9E" w:rsidP="00F37CE6">
            <w:pPr>
              <w:pStyle w:val="spacer"/>
              <w:jc w:val="left"/>
              <w:rPr>
                <w:rFonts w:ascii="Times New Roman" w:hAnsi="Times New Roman"/>
                <w:b/>
                <w:sz w:val="18"/>
                <w:szCs w:val="24"/>
                <w:lang w:val="en-AU"/>
              </w:rPr>
            </w:pPr>
            <w:bookmarkStart w:id="39" w:name="_Toc244580368"/>
            <w:bookmarkStart w:id="40" w:name="_Toc244587044"/>
            <w:bookmarkStart w:id="41" w:name="_Toc244857278"/>
            <w:bookmarkStart w:id="42" w:name="_Toc244912543"/>
            <w:bookmarkStart w:id="43" w:name="_Toc244917000"/>
            <w:r>
              <w:rPr>
                <w:rFonts w:ascii="Times New Roman" w:hAnsi="Times New Roman"/>
                <w:b/>
                <w:sz w:val="18"/>
                <w:szCs w:val="24"/>
                <w:lang w:val="en-AU"/>
              </w:rPr>
              <w:t>Area of reform</w:t>
            </w:r>
          </w:p>
        </w:tc>
        <w:tc>
          <w:tcPr>
            <w:tcW w:w="4111" w:type="dxa"/>
            <w:shd w:val="clear" w:color="auto" w:fill="000000" w:themeFill="text1"/>
          </w:tcPr>
          <w:p w:rsidR="00BB411D" w:rsidRPr="00F37CE6" w:rsidRDefault="00BB411D" w:rsidP="00F37CE6">
            <w:pPr>
              <w:pStyle w:val="spacer"/>
              <w:jc w:val="left"/>
              <w:rPr>
                <w:rFonts w:ascii="Times New Roman" w:hAnsi="Times New Roman"/>
                <w:b/>
                <w:sz w:val="18"/>
                <w:szCs w:val="24"/>
                <w:lang w:val="en-AU"/>
              </w:rPr>
            </w:pPr>
            <w:r w:rsidRPr="00F37CE6">
              <w:rPr>
                <w:rFonts w:ascii="Times New Roman" w:hAnsi="Times New Roman"/>
                <w:b/>
                <w:sz w:val="18"/>
                <w:szCs w:val="24"/>
                <w:lang w:val="en-AU"/>
              </w:rPr>
              <w:t>Options</w:t>
            </w:r>
          </w:p>
        </w:tc>
        <w:tc>
          <w:tcPr>
            <w:tcW w:w="3544" w:type="dxa"/>
            <w:shd w:val="clear" w:color="auto" w:fill="000000" w:themeFill="text1"/>
          </w:tcPr>
          <w:p w:rsidR="00BB411D" w:rsidRPr="00F37CE6" w:rsidRDefault="00BB411D" w:rsidP="00F37CE6">
            <w:pPr>
              <w:pStyle w:val="TRNormal"/>
              <w:tabs>
                <w:tab w:val="left" w:pos="567"/>
              </w:tabs>
              <w:spacing w:line="240" w:lineRule="auto"/>
              <w:jc w:val="left"/>
              <w:rPr>
                <w:rFonts w:ascii="Arial" w:hAnsi="Arial"/>
                <w:b/>
                <w:sz w:val="18"/>
                <w:szCs w:val="24"/>
                <w:lang w:val="en-AU"/>
              </w:rPr>
            </w:pPr>
            <w:r w:rsidRPr="00F37CE6">
              <w:rPr>
                <w:b/>
                <w:sz w:val="18"/>
                <w:szCs w:val="24"/>
                <w:lang w:val="en-AU"/>
              </w:rPr>
              <w:t>Analysis against the objective and criteria</w:t>
            </w:r>
          </w:p>
        </w:tc>
      </w:tr>
      <w:tr w:rsidR="00BB411D" w:rsidTr="00716A9E">
        <w:tc>
          <w:tcPr>
            <w:tcW w:w="2376" w:type="dxa"/>
            <w:vMerge w:val="restart"/>
          </w:tcPr>
          <w:p w:rsidR="00BB411D" w:rsidRPr="00F37CE6" w:rsidRDefault="00BB411D">
            <w:pPr>
              <w:pStyle w:val="spacer"/>
              <w:jc w:val="left"/>
              <w:rPr>
                <w:rFonts w:ascii="Times New Roman" w:hAnsi="Times New Roman"/>
                <w:sz w:val="18"/>
                <w:szCs w:val="24"/>
                <w:lang w:val="en-AU"/>
              </w:rPr>
            </w:pPr>
            <w:r w:rsidRPr="00F37CE6">
              <w:rPr>
                <w:rFonts w:ascii="Times New Roman" w:hAnsi="Times New Roman"/>
                <w:sz w:val="18"/>
                <w:szCs w:val="24"/>
                <w:lang w:val="en-AU"/>
              </w:rPr>
              <w:t>Taxing employees’ income</w:t>
            </w:r>
          </w:p>
          <w:p w:rsidR="00BB411D" w:rsidRPr="00F37CE6" w:rsidRDefault="00BB411D">
            <w:pPr>
              <w:pStyle w:val="spacer"/>
              <w:jc w:val="left"/>
              <w:rPr>
                <w:rFonts w:ascii="Times New Roman" w:hAnsi="Times New Roman"/>
                <w:sz w:val="18"/>
                <w:szCs w:val="24"/>
                <w:lang w:val="en-AU"/>
              </w:rPr>
            </w:pPr>
          </w:p>
        </w:tc>
        <w:tc>
          <w:tcPr>
            <w:tcW w:w="4111" w:type="dxa"/>
          </w:tcPr>
          <w:p w:rsidR="00BB411D" w:rsidRPr="00F37CE6" w:rsidRDefault="00BB411D">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 xml:space="preserve">Option A </w:t>
            </w:r>
            <w:r w:rsidRPr="00F37CE6">
              <w:rPr>
                <w:rFonts w:ascii="Times New Roman" w:hAnsi="Times New Roman"/>
                <w:sz w:val="18"/>
                <w:szCs w:val="24"/>
              </w:rPr>
              <w:t>– status quo</w:t>
            </w:r>
          </w:p>
        </w:tc>
        <w:tc>
          <w:tcPr>
            <w:tcW w:w="3544" w:type="dxa"/>
          </w:tcPr>
          <w:p w:rsidR="00BB411D" w:rsidRPr="00F37CE6" w:rsidRDefault="00BB411D" w:rsidP="00F37CE6">
            <w:pPr>
              <w:pStyle w:val="Bullet-list"/>
              <w:spacing w:after="0" w:line="240" w:lineRule="auto"/>
              <w:ind w:left="0" w:firstLine="0"/>
              <w:rPr>
                <w:rFonts w:ascii="Times New Roman" w:hAnsi="Times New Roman"/>
                <w:i/>
                <w:sz w:val="18"/>
                <w:szCs w:val="24"/>
              </w:rPr>
            </w:pPr>
            <w:r w:rsidRPr="00F37CE6">
              <w:rPr>
                <w:rFonts w:ascii="Times New Roman" w:hAnsi="Times New Roman"/>
                <w:b/>
                <w:i/>
                <w:sz w:val="18"/>
                <w:szCs w:val="24"/>
              </w:rPr>
              <w:t>Does not meet the main objective</w:t>
            </w:r>
          </w:p>
        </w:tc>
      </w:tr>
      <w:tr w:rsidR="00BB411D" w:rsidTr="00716A9E">
        <w:tc>
          <w:tcPr>
            <w:tcW w:w="2376" w:type="dxa"/>
            <w:vMerge/>
          </w:tcPr>
          <w:p w:rsidR="00BB411D" w:rsidRPr="00F37CE6" w:rsidRDefault="00BB411D">
            <w:pPr>
              <w:pStyle w:val="spacer"/>
              <w:jc w:val="left"/>
              <w:rPr>
                <w:rFonts w:ascii="Times New Roman" w:hAnsi="Times New Roman"/>
                <w:sz w:val="18"/>
                <w:szCs w:val="24"/>
                <w:lang w:val="en-AU"/>
              </w:rPr>
            </w:pPr>
          </w:p>
        </w:tc>
        <w:tc>
          <w:tcPr>
            <w:tcW w:w="4111" w:type="dxa"/>
          </w:tcPr>
          <w:p w:rsidR="00BB411D" w:rsidRPr="00F37CE6" w:rsidRDefault="00BB411D">
            <w:pPr>
              <w:pStyle w:val="Bullet-list"/>
              <w:spacing w:after="0" w:line="240" w:lineRule="auto"/>
              <w:ind w:left="0" w:firstLine="0"/>
              <w:jc w:val="left"/>
              <w:rPr>
                <w:rFonts w:ascii="Times New Roman" w:hAnsi="Times New Roman"/>
                <w:b/>
                <w:sz w:val="18"/>
                <w:szCs w:val="24"/>
              </w:rPr>
            </w:pPr>
            <w:r w:rsidRPr="00F37CE6">
              <w:rPr>
                <w:rFonts w:ascii="Times New Roman" w:hAnsi="Times New Roman"/>
                <w:b/>
                <w:sz w:val="18"/>
                <w:szCs w:val="24"/>
              </w:rPr>
              <w:t>Option B</w:t>
            </w:r>
            <w:r w:rsidRPr="00F37CE6">
              <w:rPr>
                <w:rFonts w:ascii="Times New Roman" w:hAnsi="Times New Roman"/>
                <w:sz w:val="18"/>
                <w:szCs w:val="24"/>
              </w:rPr>
              <w:t xml:space="preserve"> – tax employee on grant</w:t>
            </w:r>
          </w:p>
        </w:tc>
        <w:tc>
          <w:tcPr>
            <w:tcW w:w="3544" w:type="dxa"/>
          </w:tcPr>
          <w:p w:rsidR="00BB411D" w:rsidRPr="00F37CE6" w:rsidRDefault="00BB411D">
            <w:pPr>
              <w:pStyle w:val="Bullet-list"/>
              <w:spacing w:after="0" w:line="240" w:lineRule="auto"/>
              <w:ind w:left="0" w:firstLine="0"/>
              <w:jc w:val="left"/>
              <w:rPr>
                <w:rFonts w:ascii="Times New Roman" w:hAnsi="Times New Roman"/>
                <w:b/>
                <w:color w:val="FF0000"/>
                <w:sz w:val="18"/>
                <w:szCs w:val="24"/>
              </w:rPr>
            </w:pPr>
            <w:r w:rsidRPr="00F37CE6">
              <w:rPr>
                <w:rFonts w:ascii="Times New Roman" w:hAnsi="Times New Roman"/>
                <w:b/>
                <w:i/>
                <w:sz w:val="18"/>
                <w:szCs w:val="24"/>
              </w:rPr>
              <w:t>Does not meet the main objective</w:t>
            </w:r>
            <w:r w:rsidRPr="00F37CE6">
              <w:rPr>
                <w:rFonts w:ascii="Times New Roman" w:hAnsi="Times New Roman"/>
                <w:b/>
                <w:color w:val="FF0000"/>
                <w:sz w:val="18"/>
                <w:szCs w:val="24"/>
              </w:rPr>
              <w:t xml:space="preserve"> </w:t>
            </w:r>
          </w:p>
          <w:p w:rsidR="00BB411D" w:rsidRPr="00F37CE6" w:rsidRDefault="00BB411D">
            <w:pPr>
              <w:spacing w:after="0" w:line="240" w:lineRule="auto"/>
              <w:contextualSpacing/>
              <w:jc w:val="left"/>
              <w:rPr>
                <w:rFonts w:ascii="Wingdings 2" w:eastAsiaTheme="minorHAnsi" w:hAnsi="Wingdings 2"/>
                <w:sz w:val="18"/>
                <w:szCs w:val="24"/>
                <w:lang w:val="en-NZ" w:eastAsia="en-US"/>
              </w:rPr>
            </w:pPr>
          </w:p>
          <w:p w:rsidR="00BB411D" w:rsidRPr="00F37CE6" w:rsidRDefault="00BB411D">
            <w:pPr>
              <w:pStyle w:val="Bullet-list"/>
              <w:spacing w:after="0" w:line="240" w:lineRule="auto"/>
              <w:jc w:val="left"/>
              <w:rPr>
                <w:rFonts w:ascii="Times New Roman" w:hAnsi="Times New Roman"/>
                <w:sz w:val="18"/>
                <w:szCs w:val="24"/>
              </w:rPr>
            </w:pPr>
            <w:r w:rsidRPr="00F37CE6">
              <w:rPr>
                <w:rFonts w:ascii="Times New Roman" w:hAnsi="Times New Roman"/>
                <w:sz w:val="18"/>
                <w:szCs w:val="24"/>
              </w:rPr>
              <w:t xml:space="preserve">Neutrality </w:t>
            </w:r>
            <w:r w:rsidRPr="00F37CE6">
              <w:rPr>
                <w:rFonts w:ascii="Wingdings 2" w:eastAsiaTheme="minorHAnsi" w:hAnsi="Wingdings 2"/>
                <w:sz w:val="18"/>
                <w:szCs w:val="24"/>
                <w:lang w:val="en-NZ"/>
              </w:rPr>
              <w:t></w:t>
            </w:r>
            <w:r w:rsidR="00716A9E" w:rsidRPr="00F37CE6">
              <w:rPr>
                <w:rFonts w:ascii="Wingdings 2" w:eastAsiaTheme="minorHAnsi" w:hAnsi="Wingdings 2"/>
                <w:sz w:val="18"/>
                <w:szCs w:val="24"/>
                <w:lang w:val="en-NZ"/>
              </w:rPr>
              <w:t></w:t>
            </w:r>
          </w:p>
          <w:p w:rsidR="00BB411D" w:rsidRPr="00F37CE6" w:rsidRDefault="00BB411D">
            <w:pPr>
              <w:pStyle w:val="Bullet-list"/>
              <w:spacing w:after="0" w:line="240" w:lineRule="auto"/>
              <w:jc w:val="left"/>
              <w:rPr>
                <w:rFonts w:ascii="Times New Roman" w:hAnsi="Times New Roman"/>
                <w:sz w:val="18"/>
                <w:szCs w:val="24"/>
              </w:rPr>
            </w:pPr>
            <w:r w:rsidRPr="00F37CE6">
              <w:rPr>
                <w:rFonts w:ascii="Times New Roman" w:hAnsi="Times New Roman"/>
                <w:sz w:val="18"/>
                <w:szCs w:val="24"/>
              </w:rPr>
              <w:t xml:space="preserve">Equity </w:t>
            </w:r>
            <w:r w:rsidRPr="00F37CE6">
              <w:rPr>
                <w:rFonts w:ascii="Wingdings 2" w:eastAsiaTheme="minorHAnsi" w:hAnsi="Wingdings 2"/>
                <w:sz w:val="18"/>
                <w:szCs w:val="24"/>
                <w:lang w:val="en-NZ"/>
              </w:rPr>
              <w:t></w:t>
            </w:r>
          </w:p>
          <w:p w:rsidR="00BB411D" w:rsidRPr="00F37CE6" w:rsidRDefault="00BB411D">
            <w:pPr>
              <w:pStyle w:val="Bullet-list"/>
              <w:spacing w:after="0" w:line="240" w:lineRule="auto"/>
              <w:jc w:val="left"/>
              <w:rPr>
                <w:rFonts w:ascii="Times New Roman" w:hAnsi="Times New Roman"/>
                <w:sz w:val="18"/>
                <w:szCs w:val="24"/>
              </w:rPr>
            </w:pPr>
            <w:r w:rsidRPr="00F37CE6">
              <w:rPr>
                <w:rFonts w:ascii="Times New Roman" w:hAnsi="Times New Roman"/>
                <w:sz w:val="18"/>
                <w:szCs w:val="24"/>
              </w:rPr>
              <w:t xml:space="preserve">Compliance costs </w:t>
            </w:r>
            <w:r w:rsidRPr="00F37CE6">
              <w:rPr>
                <w:rFonts w:ascii="Wingdings 2" w:eastAsiaTheme="minorHAnsi" w:hAnsi="Wingdings 2"/>
                <w:sz w:val="18"/>
                <w:szCs w:val="24"/>
                <w:lang w:val="en-NZ"/>
              </w:rPr>
              <w:t></w:t>
            </w:r>
            <w:r w:rsidRPr="00F37CE6">
              <w:rPr>
                <w:rFonts w:ascii="Wingdings 2" w:eastAsiaTheme="minorHAnsi" w:hAnsi="Wingdings 2"/>
                <w:sz w:val="18"/>
                <w:szCs w:val="24"/>
                <w:lang w:val="en-NZ"/>
              </w:rPr>
              <w:t></w:t>
            </w:r>
          </w:p>
          <w:p w:rsidR="00BB411D" w:rsidRPr="00F37CE6" w:rsidRDefault="00BB411D">
            <w:pPr>
              <w:pStyle w:val="Bullet-list"/>
              <w:spacing w:after="0" w:line="240" w:lineRule="auto"/>
              <w:jc w:val="left"/>
              <w:rPr>
                <w:rFonts w:ascii="Times New Roman" w:hAnsi="Times New Roman"/>
                <w:sz w:val="18"/>
                <w:szCs w:val="24"/>
              </w:rPr>
            </w:pPr>
            <w:r w:rsidRPr="00F37CE6">
              <w:rPr>
                <w:rFonts w:ascii="Times New Roman" w:hAnsi="Times New Roman"/>
                <w:sz w:val="18"/>
                <w:szCs w:val="24"/>
              </w:rPr>
              <w:t xml:space="preserve">Administrative costs </w:t>
            </w:r>
            <w:r w:rsidRPr="00F37CE6">
              <w:rPr>
                <w:rFonts w:ascii="Wingdings 2" w:eastAsiaTheme="minorHAnsi" w:hAnsi="Wingdings 2"/>
                <w:sz w:val="18"/>
                <w:szCs w:val="24"/>
                <w:lang w:val="en-NZ"/>
              </w:rPr>
              <w:t></w:t>
            </w:r>
            <w:r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jc w:val="left"/>
            </w:pPr>
            <w:r w:rsidRPr="00F37CE6">
              <w:rPr>
                <w:rFonts w:ascii="Times New Roman" w:hAnsi="Times New Roman"/>
                <w:sz w:val="18"/>
                <w:szCs w:val="24"/>
              </w:rPr>
              <w:t xml:space="preserve">Integrity </w:t>
            </w:r>
            <w:r w:rsidR="00716A9E">
              <w:rPr>
                <w:rFonts w:ascii="Wingdings 2" w:eastAsiaTheme="minorHAnsi" w:hAnsi="Wingdings 2"/>
                <w:sz w:val="18"/>
                <w:szCs w:val="24"/>
                <w:lang w:val="en-NZ"/>
              </w:rPr>
              <w:t></w:t>
            </w:r>
          </w:p>
        </w:tc>
      </w:tr>
      <w:tr w:rsidR="00BB411D" w:rsidTr="00716A9E">
        <w:tc>
          <w:tcPr>
            <w:tcW w:w="2376" w:type="dxa"/>
            <w:vMerge/>
          </w:tcPr>
          <w:p w:rsidR="00BB411D" w:rsidRPr="00F37CE6" w:rsidRDefault="00BB411D" w:rsidP="00F37CE6">
            <w:pPr>
              <w:pStyle w:val="spacer"/>
              <w:rPr>
                <w:rFonts w:ascii="Times New Roman" w:hAnsi="Times New Roman"/>
                <w:sz w:val="18"/>
                <w:szCs w:val="24"/>
                <w:lang w:val="en-AU"/>
              </w:rPr>
            </w:pPr>
          </w:p>
        </w:tc>
        <w:tc>
          <w:tcPr>
            <w:tcW w:w="4111" w:type="dxa"/>
          </w:tcPr>
          <w:p w:rsidR="00BB411D" w:rsidRDefault="00BB411D">
            <w:pPr>
              <w:pStyle w:val="spacer"/>
              <w:jc w:val="left"/>
              <w:rPr>
                <w:rFonts w:ascii="Times New Roman" w:hAnsi="Times New Roman"/>
                <w:sz w:val="18"/>
                <w:szCs w:val="24"/>
              </w:rPr>
            </w:pPr>
            <w:r w:rsidRPr="00F37CE6">
              <w:rPr>
                <w:rFonts w:ascii="Times New Roman" w:hAnsi="Times New Roman"/>
                <w:b/>
                <w:sz w:val="18"/>
                <w:szCs w:val="24"/>
              </w:rPr>
              <w:t>Option C</w:t>
            </w:r>
            <w:r w:rsidRPr="00F37CE6">
              <w:rPr>
                <w:rFonts w:ascii="Times New Roman" w:hAnsi="Times New Roman"/>
                <w:sz w:val="18"/>
                <w:szCs w:val="24"/>
              </w:rPr>
              <w:t xml:space="preserve"> – tax employee when the shares vest</w:t>
            </w:r>
          </w:p>
          <w:p w:rsidR="00BB411D" w:rsidRDefault="00BB411D">
            <w:pPr>
              <w:pStyle w:val="spacer"/>
              <w:jc w:val="left"/>
              <w:rPr>
                <w:rFonts w:ascii="Times New Roman" w:hAnsi="Times New Roman"/>
                <w:sz w:val="18"/>
                <w:szCs w:val="24"/>
              </w:rPr>
            </w:pPr>
          </w:p>
          <w:p w:rsidR="00BB411D" w:rsidRPr="00F37CE6" w:rsidRDefault="00BB411D">
            <w:pPr>
              <w:pStyle w:val="spacer"/>
              <w:jc w:val="left"/>
              <w:rPr>
                <w:rFonts w:ascii="Times New Roman" w:hAnsi="Times New Roman"/>
                <w:sz w:val="18"/>
                <w:szCs w:val="24"/>
                <w:lang w:val="en-AU"/>
              </w:rPr>
            </w:pPr>
            <w:r w:rsidRPr="00F37CE6">
              <w:rPr>
                <w:rFonts w:ascii="Times New Roman" w:hAnsi="Times New Roman"/>
                <w:b/>
                <w:color w:val="FF0000"/>
                <w:sz w:val="18"/>
                <w:szCs w:val="24"/>
                <w:lang w:val="en-AU"/>
              </w:rPr>
              <w:t>Preferred option</w:t>
            </w:r>
          </w:p>
        </w:tc>
        <w:tc>
          <w:tcPr>
            <w:tcW w:w="3544" w:type="dxa"/>
          </w:tcPr>
          <w:p w:rsidR="00BB411D" w:rsidRPr="00F37CE6" w:rsidRDefault="00BB411D">
            <w:pPr>
              <w:pStyle w:val="Bullet-list"/>
              <w:spacing w:after="0" w:line="240" w:lineRule="auto"/>
              <w:ind w:left="0" w:firstLine="0"/>
              <w:jc w:val="left"/>
              <w:rPr>
                <w:rFonts w:ascii="Times New Roman" w:hAnsi="Times New Roman"/>
                <w:b/>
                <w:i/>
                <w:sz w:val="18"/>
                <w:szCs w:val="24"/>
              </w:rPr>
            </w:pPr>
            <w:r w:rsidRPr="00F37CE6">
              <w:rPr>
                <w:rFonts w:ascii="Times New Roman" w:hAnsi="Times New Roman"/>
                <w:b/>
                <w:i/>
                <w:sz w:val="18"/>
                <w:szCs w:val="24"/>
              </w:rPr>
              <w:t>Meets the main objective</w:t>
            </w:r>
          </w:p>
          <w:p w:rsidR="00BB411D" w:rsidRPr="00F37CE6" w:rsidRDefault="00BB411D">
            <w:pPr>
              <w:pStyle w:val="Bullet-list"/>
              <w:spacing w:after="0" w:line="240" w:lineRule="auto"/>
              <w:ind w:left="0" w:firstLine="0"/>
              <w:jc w:val="left"/>
              <w:rPr>
                <w:rFonts w:ascii="Times New Roman" w:hAnsi="Times New Roman"/>
                <w:sz w:val="18"/>
                <w:szCs w:val="24"/>
                <w:u w:val="single"/>
              </w:rPr>
            </w:pPr>
          </w:p>
          <w:p w:rsidR="00BB411D" w:rsidRPr="00F37CE6" w:rsidRDefault="00BB411D">
            <w:pPr>
              <w:pStyle w:val="Bullet-list"/>
              <w:spacing w:after="0" w:line="240" w:lineRule="auto"/>
              <w:jc w:val="left"/>
              <w:rPr>
                <w:rFonts w:ascii="Times New Roman" w:hAnsi="Times New Roman"/>
                <w:sz w:val="18"/>
                <w:szCs w:val="24"/>
              </w:rPr>
            </w:pPr>
            <w:r w:rsidRPr="00F37CE6">
              <w:rPr>
                <w:rFonts w:ascii="Times New Roman" w:hAnsi="Times New Roman"/>
                <w:sz w:val="18"/>
                <w:szCs w:val="24"/>
              </w:rPr>
              <w:t xml:space="preserve">Neutrality </w:t>
            </w:r>
            <w:r w:rsidRPr="00F37CE6">
              <w:rPr>
                <w:rFonts w:ascii="Wingdings 2" w:eastAsiaTheme="minorHAnsi" w:hAnsi="Wingdings 2"/>
                <w:sz w:val="18"/>
                <w:szCs w:val="24"/>
              </w:rPr>
              <w:t></w:t>
            </w:r>
            <w:r w:rsidRPr="00F37CE6">
              <w:rPr>
                <w:rFonts w:ascii="Wingdings 2" w:eastAsiaTheme="minorHAnsi" w:hAnsi="Wingdings 2"/>
                <w:sz w:val="18"/>
                <w:szCs w:val="24"/>
              </w:rPr>
              <w:t></w:t>
            </w:r>
          </w:p>
          <w:p w:rsidR="00BB411D" w:rsidRPr="00F37CE6" w:rsidRDefault="00BB411D">
            <w:pPr>
              <w:pStyle w:val="Bullet-list"/>
              <w:spacing w:after="0" w:line="240" w:lineRule="auto"/>
              <w:jc w:val="left"/>
              <w:rPr>
                <w:rFonts w:ascii="Times New Roman" w:hAnsi="Times New Roman"/>
                <w:b/>
                <w:sz w:val="18"/>
                <w:szCs w:val="24"/>
              </w:rPr>
            </w:pPr>
            <w:r w:rsidRPr="00F37CE6">
              <w:rPr>
                <w:rFonts w:ascii="Times New Roman" w:hAnsi="Times New Roman"/>
                <w:sz w:val="18"/>
                <w:szCs w:val="24"/>
              </w:rPr>
              <w:t xml:space="preserve">Equity </w:t>
            </w:r>
            <w:r w:rsidRPr="00F37CE6">
              <w:rPr>
                <w:rFonts w:ascii="Wingdings 2" w:eastAsiaTheme="minorHAnsi" w:hAnsi="Wingdings 2"/>
                <w:sz w:val="18"/>
                <w:szCs w:val="24"/>
              </w:rPr>
              <w:t></w:t>
            </w:r>
            <w:r w:rsidRPr="00F37CE6">
              <w:rPr>
                <w:rFonts w:ascii="Wingdings 2" w:eastAsiaTheme="minorHAnsi" w:hAnsi="Wingdings 2"/>
                <w:sz w:val="18"/>
                <w:szCs w:val="24"/>
              </w:rPr>
              <w:t></w:t>
            </w:r>
          </w:p>
          <w:p w:rsidR="00BB411D" w:rsidRPr="00F37CE6" w:rsidRDefault="00BB411D">
            <w:pPr>
              <w:pStyle w:val="Bullet-list"/>
              <w:spacing w:after="0" w:line="240" w:lineRule="auto"/>
              <w:jc w:val="left"/>
              <w:rPr>
                <w:rFonts w:ascii="Times New Roman" w:hAnsi="Times New Roman"/>
                <w:sz w:val="18"/>
                <w:szCs w:val="24"/>
              </w:rPr>
            </w:pPr>
            <w:r w:rsidRPr="00F37CE6">
              <w:rPr>
                <w:rFonts w:ascii="Times New Roman" w:hAnsi="Times New Roman"/>
                <w:sz w:val="18"/>
                <w:szCs w:val="24"/>
              </w:rPr>
              <w:t xml:space="preserve">Compliance costs </w:t>
            </w:r>
            <w:r w:rsidRPr="00F37CE6">
              <w:rPr>
                <w:rFonts w:ascii="Wingdings 2" w:eastAsiaTheme="minorHAnsi" w:hAnsi="Wingdings 2"/>
                <w:sz w:val="18"/>
                <w:szCs w:val="24"/>
              </w:rPr>
              <w:t></w:t>
            </w:r>
          </w:p>
          <w:p w:rsidR="00BB411D" w:rsidRPr="00F37CE6" w:rsidRDefault="00BB411D">
            <w:pPr>
              <w:pStyle w:val="Bullet-list"/>
              <w:spacing w:after="0" w:line="240" w:lineRule="auto"/>
              <w:jc w:val="left"/>
              <w:rPr>
                <w:rFonts w:ascii="Times New Roman" w:hAnsi="Times New Roman"/>
                <w:sz w:val="18"/>
                <w:szCs w:val="24"/>
              </w:rPr>
            </w:pPr>
            <w:r w:rsidRPr="00F37CE6">
              <w:rPr>
                <w:rFonts w:ascii="Times New Roman" w:hAnsi="Times New Roman"/>
                <w:sz w:val="18"/>
                <w:szCs w:val="24"/>
              </w:rPr>
              <w:t xml:space="preserve">Administrative costs </w:t>
            </w:r>
            <w:r w:rsidRPr="00F37CE6">
              <w:rPr>
                <w:rFonts w:ascii="Wingdings 2" w:eastAsiaTheme="minorHAnsi" w:hAnsi="Wingdings 2"/>
                <w:sz w:val="18"/>
                <w:szCs w:val="24"/>
              </w:rPr>
              <w:t></w:t>
            </w:r>
          </w:p>
          <w:p w:rsidR="00BB411D" w:rsidRPr="00F37CE6" w:rsidRDefault="00BB411D">
            <w:pPr>
              <w:pStyle w:val="Bullet-list"/>
              <w:spacing w:after="0" w:line="240" w:lineRule="auto"/>
              <w:ind w:left="0" w:firstLine="0"/>
              <w:jc w:val="left"/>
              <w:rPr>
                <w:rFonts w:ascii="Times New Roman" w:eastAsiaTheme="minorHAnsi" w:hAnsi="Times New Roman"/>
                <w:sz w:val="18"/>
                <w:szCs w:val="24"/>
              </w:rPr>
            </w:pPr>
            <w:r w:rsidRPr="00F37CE6">
              <w:rPr>
                <w:rFonts w:ascii="Times New Roman" w:hAnsi="Times New Roman"/>
                <w:sz w:val="18"/>
                <w:szCs w:val="24"/>
              </w:rPr>
              <w:t xml:space="preserve">Integrity </w:t>
            </w:r>
            <w:r w:rsidRPr="00F37CE6">
              <w:rPr>
                <w:rFonts w:ascii="Wingdings 2" w:eastAsiaTheme="minorHAnsi" w:hAnsi="Wingdings 2"/>
                <w:sz w:val="18"/>
                <w:szCs w:val="24"/>
              </w:rPr>
              <w:t></w:t>
            </w:r>
            <w:r w:rsidRPr="00F37CE6">
              <w:rPr>
                <w:rFonts w:ascii="Wingdings 2" w:eastAsiaTheme="minorHAnsi" w:hAnsi="Wingdings 2"/>
                <w:sz w:val="18"/>
                <w:szCs w:val="24"/>
              </w:rPr>
              <w:t></w:t>
            </w:r>
          </w:p>
        </w:tc>
      </w:tr>
      <w:tr w:rsidR="00BB411D" w:rsidTr="00716A9E">
        <w:tc>
          <w:tcPr>
            <w:tcW w:w="2376" w:type="dxa"/>
            <w:vMerge/>
          </w:tcPr>
          <w:p w:rsidR="00BB411D" w:rsidRPr="00F37CE6" w:rsidRDefault="00BB411D" w:rsidP="00F37CE6">
            <w:pPr>
              <w:pStyle w:val="spacer"/>
              <w:rPr>
                <w:rFonts w:ascii="Times New Roman" w:hAnsi="Times New Roman"/>
                <w:sz w:val="18"/>
                <w:szCs w:val="24"/>
                <w:lang w:val="en-AU"/>
              </w:rPr>
            </w:pPr>
          </w:p>
        </w:tc>
        <w:tc>
          <w:tcPr>
            <w:tcW w:w="4111" w:type="dxa"/>
          </w:tcPr>
          <w:p w:rsidR="00BB411D" w:rsidRPr="00F37CE6" w:rsidRDefault="00BB411D" w:rsidP="00F37CE6">
            <w:pPr>
              <w:pStyle w:val="spacer"/>
              <w:rPr>
                <w:rFonts w:ascii="Times New Roman" w:hAnsi="Times New Roman"/>
                <w:sz w:val="18"/>
                <w:szCs w:val="24"/>
                <w:lang w:val="en-AU"/>
              </w:rPr>
            </w:pPr>
            <w:r w:rsidRPr="00F37CE6">
              <w:rPr>
                <w:rFonts w:ascii="Times New Roman" w:hAnsi="Times New Roman"/>
                <w:b/>
                <w:sz w:val="18"/>
                <w:szCs w:val="24"/>
              </w:rPr>
              <w:t xml:space="preserve">Option C2 – </w:t>
            </w:r>
            <w:r w:rsidRPr="00F37CE6">
              <w:rPr>
                <w:rFonts w:ascii="Times New Roman" w:hAnsi="Times New Roman"/>
                <w:sz w:val="18"/>
                <w:szCs w:val="24"/>
              </w:rPr>
              <w:t xml:space="preserve">same as Option C above, but tax options when they </w:t>
            </w:r>
            <w:r w:rsidRPr="00F37CE6">
              <w:rPr>
                <w:rFonts w:ascii="Times New Roman" w:hAnsi="Times New Roman"/>
                <w:i/>
                <w:sz w:val="18"/>
                <w:szCs w:val="24"/>
              </w:rPr>
              <w:t>vest</w:t>
            </w:r>
            <w:r w:rsidRPr="00F37CE6">
              <w:rPr>
                <w:rFonts w:ascii="Times New Roman" w:hAnsi="Times New Roman"/>
                <w:sz w:val="18"/>
                <w:szCs w:val="24"/>
              </w:rPr>
              <w:t xml:space="preserve">, not when they are </w:t>
            </w:r>
            <w:r w:rsidRPr="00F37CE6">
              <w:rPr>
                <w:rFonts w:ascii="Times New Roman" w:hAnsi="Times New Roman"/>
                <w:i/>
                <w:sz w:val="18"/>
                <w:szCs w:val="24"/>
              </w:rPr>
              <w:t>exercised</w:t>
            </w:r>
          </w:p>
        </w:tc>
        <w:tc>
          <w:tcPr>
            <w:tcW w:w="3544" w:type="dxa"/>
          </w:tcPr>
          <w:p w:rsidR="00BB411D" w:rsidRPr="00F37CE6" w:rsidRDefault="00BB411D" w:rsidP="00F37CE6">
            <w:pPr>
              <w:pStyle w:val="Bullet-list"/>
              <w:spacing w:after="0" w:line="240" w:lineRule="auto"/>
              <w:ind w:left="0" w:firstLine="0"/>
              <w:rPr>
                <w:rFonts w:ascii="Times New Roman" w:hAnsi="Times New Roman"/>
                <w:b/>
                <w:i/>
                <w:sz w:val="18"/>
                <w:szCs w:val="24"/>
              </w:rPr>
            </w:pPr>
            <w:r w:rsidRPr="00F37CE6">
              <w:rPr>
                <w:rFonts w:ascii="Times New Roman" w:hAnsi="Times New Roman"/>
                <w:b/>
                <w:i/>
                <w:sz w:val="18"/>
                <w:szCs w:val="24"/>
              </w:rPr>
              <w:t>Partially meets the main objective</w:t>
            </w:r>
          </w:p>
          <w:p w:rsidR="00BB411D" w:rsidRPr="00F37CE6" w:rsidRDefault="00BB411D" w:rsidP="00F37CE6">
            <w:pPr>
              <w:pStyle w:val="Bullet-list"/>
              <w:spacing w:after="0" w:line="240" w:lineRule="auto"/>
              <w:ind w:left="0" w:firstLine="0"/>
              <w:rPr>
                <w:rFonts w:ascii="Times New Roman" w:hAnsi="Times New Roman"/>
                <w:i/>
                <w:sz w:val="18"/>
                <w:szCs w:val="24"/>
              </w:rPr>
            </w:pP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Neutrality </w:t>
            </w:r>
            <w:r w:rsidRPr="00F37CE6">
              <w:rPr>
                <w:rFonts w:ascii="Wingdings 2" w:eastAsiaTheme="minorHAnsi" w:hAnsi="Wingdings 2"/>
                <w:sz w:val="18"/>
                <w:szCs w:val="24"/>
              </w:rPr>
              <w:t></w:t>
            </w:r>
          </w:p>
          <w:p w:rsidR="00BB411D" w:rsidRPr="00F37CE6" w:rsidRDefault="00BB411D" w:rsidP="00F37CE6">
            <w:pPr>
              <w:pStyle w:val="Bullet-list"/>
              <w:spacing w:after="0" w:line="240" w:lineRule="auto"/>
              <w:rPr>
                <w:rFonts w:ascii="Times New Roman" w:hAnsi="Times New Roman"/>
                <w:b/>
                <w:sz w:val="18"/>
                <w:szCs w:val="24"/>
              </w:rPr>
            </w:pPr>
            <w:r w:rsidRPr="00F37CE6">
              <w:rPr>
                <w:rFonts w:ascii="Times New Roman" w:hAnsi="Times New Roman"/>
                <w:sz w:val="18"/>
                <w:szCs w:val="24"/>
              </w:rPr>
              <w:t xml:space="preserve">Equity </w:t>
            </w:r>
            <w:r w:rsidRPr="00F37CE6">
              <w:rPr>
                <w:rFonts w:ascii="Wingdings 2" w:eastAsiaTheme="minorHAnsi" w:hAnsi="Wingdings 2"/>
                <w:sz w:val="18"/>
                <w:szCs w:val="24"/>
              </w:rPr>
              <w:t></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Compliance costs </w:t>
            </w:r>
            <w:r w:rsidRPr="00F37CE6">
              <w:rPr>
                <w:rFonts w:ascii="Wingdings 2" w:eastAsiaTheme="minorHAnsi" w:hAnsi="Wingdings 2"/>
                <w:sz w:val="18"/>
                <w:szCs w:val="24"/>
              </w:rPr>
              <w:t></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Administrative costs </w:t>
            </w:r>
            <w:r w:rsidRPr="00F37CE6">
              <w:rPr>
                <w:rFonts w:ascii="Wingdings 2" w:eastAsiaTheme="minorHAnsi" w:hAnsi="Wingdings 2"/>
                <w:sz w:val="18"/>
                <w:szCs w:val="24"/>
              </w:rPr>
              <w:t></w:t>
            </w:r>
          </w:p>
          <w:p w:rsidR="00BB411D" w:rsidRPr="00F37CE6" w:rsidRDefault="00BB411D" w:rsidP="00F37CE6">
            <w:pPr>
              <w:pStyle w:val="Bullet-list"/>
              <w:spacing w:after="0" w:line="240" w:lineRule="auto"/>
              <w:rPr>
                <w:rFonts w:ascii="Times New Roman" w:hAnsi="Times New Roman"/>
                <w:i/>
                <w:sz w:val="18"/>
                <w:szCs w:val="24"/>
              </w:rPr>
            </w:pPr>
            <w:r w:rsidRPr="00F37CE6">
              <w:rPr>
                <w:rFonts w:ascii="Times New Roman" w:hAnsi="Times New Roman"/>
                <w:sz w:val="18"/>
                <w:szCs w:val="24"/>
              </w:rPr>
              <w:t xml:space="preserve">Integrity </w:t>
            </w:r>
            <w:r w:rsidRPr="00F37CE6">
              <w:rPr>
                <w:rFonts w:ascii="Wingdings 2" w:eastAsiaTheme="minorHAnsi" w:hAnsi="Wingdings 2"/>
                <w:sz w:val="18"/>
                <w:szCs w:val="24"/>
              </w:rPr>
              <w:t></w:t>
            </w:r>
            <w:r w:rsidR="00716A9E" w:rsidRPr="00F37CE6">
              <w:rPr>
                <w:rFonts w:ascii="Wingdings 2" w:eastAsiaTheme="minorHAnsi" w:hAnsi="Wingdings 2"/>
                <w:sz w:val="18"/>
                <w:szCs w:val="24"/>
              </w:rPr>
              <w:t></w:t>
            </w:r>
          </w:p>
        </w:tc>
      </w:tr>
      <w:tr w:rsidR="00BB411D" w:rsidTr="00716A9E">
        <w:tc>
          <w:tcPr>
            <w:tcW w:w="2376" w:type="dxa"/>
            <w:vMerge/>
          </w:tcPr>
          <w:p w:rsidR="00BB411D" w:rsidRPr="00F37CE6" w:rsidRDefault="00BB411D" w:rsidP="00F37CE6">
            <w:pPr>
              <w:pStyle w:val="spacer"/>
              <w:rPr>
                <w:rFonts w:ascii="Times New Roman" w:hAnsi="Times New Roman"/>
                <w:sz w:val="18"/>
                <w:szCs w:val="24"/>
                <w:lang w:val="en-AU"/>
              </w:rPr>
            </w:pPr>
          </w:p>
        </w:tc>
        <w:tc>
          <w:tcPr>
            <w:tcW w:w="4111" w:type="dxa"/>
          </w:tcPr>
          <w:p w:rsidR="00BB411D" w:rsidRPr="00F37CE6" w:rsidRDefault="00BB411D" w:rsidP="00F37CE6">
            <w:pPr>
              <w:pStyle w:val="spacer"/>
              <w:rPr>
                <w:rFonts w:ascii="Times New Roman" w:hAnsi="Times New Roman"/>
                <w:sz w:val="18"/>
                <w:szCs w:val="24"/>
                <w:lang w:val="en-AU"/>
              </w:rPr>
            </w:pPr>
            <w:r w:rsidRPr="00F37CE6">
              <w:rPr>
                <w:rFonts w:ascii="Times New Roman" w:hAnsi="Times New Roman"/>
                <w:b/>
                <w:sz w:val="18"/>
                <w:szCs w:val="24"/>
              </w:rPr>
              <w:t>Option D</w:t>
            </w:r>
            <w:r w:rsidRPr="00F37CE6">
              <w:rPr>
                <w:rFonts w:ascii="Times New Roman" w:hAnsi="Times New Roman"/>
                <w:sz w:val="18"/>
                <w:szCs w:val="24"/>
              </w:rPr>
              <w:t xml:space="preserve"> </w:t>
            </w:r>
            <w:r w:rsidRPr="00F37CE6">
              <w:rPr>
                <w:rFonts w:ascii="Times New Roman" w:hAnsi="Times New Roman"/>
                <w:b/>
                <w:sz w:val="18"/>
                <w:szCs w:val="24"/>
              </w:rPr>
              <w:t xml:space="preserve">– </w:t>
            </w:r>
            <w:r w:rsidRPr="00F37CE6">
              <w:rPr>
                <w:rFonts w:ascii="Times New Roman" w:hAnsi="Times New Roman"/>
                <w:sz w:val="18"/>
                <w:szCs w:val="24"/>
              </w:rPr>
              <w:t>tax employee when they sell the shares</w:t>
            </w:r>
          </w:p>
        </w:tc>
        <w:tc>
          <w:tcPr>
            <w:tcW w:w="3544" w:type="dxa"/>
          </w:tcPr>
          <w:p w:rsidR="00BB411D" w:rsidRPr="00F37CE6" w:rsidRDefault="00BB411D" w:rsidP="00F37CE6">
            <w:pPr>
              <w:pStyle w:val="Bullet-list"/>
              <w:spacing w:after="0" w:line="240" w:lineRule="auto"/>
              <w:ind w:left="0" w:firstLine="0"/>
              <w:rPr>
                <w:rFonts w:ascii="Times New Roman" w:hAnsi="Times New Roman"/>
                <w:b/>
                <w:i/>
                <w:sz w:val="18"/>
                <w:szCs w:val="24"/>
              </w:rPr>
            </w:pPr>
            <w:r w:rsidRPr="00F37CE6">
              <w:rPr>
                <w:rFonts w:ascii="Times New Roman" w:hAnsi="Times New Roman"/>
                <w:b/>
                <w:i/>
                <w:sz w:val="18"/>
                <w:szCs w:val="24"/>
              </w:rPr>
              <w:t>Partially meets the main objective</w:t>
            </w:r>
          </w:p>
          <w:p w:rsidR="00BB411D" w:rsidRPr="00F37CE6" w:rsidRDefault="00BB411D" w:rsidP="00F37CE6">
            <w:pPr>
              <w:pStyle w:val="Bullet-list"/>
              <w:spacing w:after="0" w:line="240" w:lineRule="auto"/>
              <w:ind w:left="0" w:firstLine="0"/>
              <w:rPr>
                <w:rFonts w:ascii="Times New Roman" w:hAnsi="Times New Roman"/>
                <w:sz w:val="18"/>
                <w:szCs w:val="24"/>
                <w:u w:val="single"/>
              </w:rPr>
            </w:pP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Neutrality </w:t>
            </w:r>
            <w:r w:rsidRPr="00F37CE6">
              <w:rPr>
                <w:rFonts w:ascii="Wingdings 2" w:eastAsiaTheme="minorHAnsi" w:hAnsi="Wingdings 2"/>
                <w:sz w:val="18"/>
                <w:szCs w:val="24"/>
                <w:lang w:val="en-NZ"/>
              </w:rPr>
              <w:t></w:t>
            </w:r>
            <w:r w:rsidR="00716A9E"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rPr>
                <w:rFonts w:ascii="Wingdings 2" w:eastAsiaTheme="minorHAnsi" w:hAnsi="Wingdings 2"/>
                <w:sz w:val="18"/>
                <w:szCs w:val="24"/>
              </w:rPr>
            </w:pPr>
            <w:r w:rsidRPr="00F37CE6">
              <w:rPr>
                <w:rFonts w:ascii="Times New Roman" w:hAnsi="Times New Roman"/>
                <w:sz w:val="18"/>
                <w:szCs w:val="24"/>
              </w:rPr>
              <w:t xml:space="preserve">Equity </w:t>
            </w:r>
            <w:r w:rsidRPr="00F37CE6">
              <w:rPr>
                <w:rFonts w:ascii="Wingdings 2" w:eastAsiaTheme="minorHAnsi" w:hAnsi="Wingdings 2"/>
                <w:sz w:val="18"/>
                <w:szCs w:val="24"/>
                <w:lang w:val="en-NZ"/>
              </w:rPr>
              <w:t></w:t>
            </w:r>
            <w:r w:rsidR="00716A9E"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Compliance costs </w:t>
            </w:r>
            <w:r w:rsidR="00716A9E"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Administrative costs </w:t>
            </w:r>
            <w:r w:rsidR="00716A9E" w:rsidRPr="00F37CE6">
              <w:rPr>
                <w:rFonts w:ascii="Wingdings 2" w:eastAsiaTheme="minorHAnsi" w:hAnsi="Wingdings 2"/>
                <w:sz w:val="18"/>
                <w:szCs w:val="24"/>
                <w:lang w:val="en-NZ"/>
              </w:rPr>
              <w:t></w:t>
            </w:r>
            <w:r w:rsidR="0098146A"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ind w:left="0" w:firstLine="0"/>
              <w:rPr>
                <w:rFonts w:ascii="Times New Roman" w:hAnsi="Times New Roman"/>
                <w:i/>
                <w:sz w:val="18"/>
                <w:szCs w:val="24"/>
              </w:rPr>
            </w:pPr>
            <w:r w:rsidRPr="00F37CE6">
              <w:rPr>
                <w:rFonts w:ascii="Times New Roman" w:hAnsi="Times New Roman"/>
                <w:sz w:val="18"/>
                <w:szCs w:val="24"/>
              </w:rPr>
              <w:t xml:space="preserve">Integrity </w:t>
            </w:r>
            <w:r w:rsidRPr="00F37CE6">
              <w:rPr>
                <w:rFonts w:ascii="Wingdings 2" w:eastAsiaTheme="minorHAnsi" w:hAnsi="Wingdings 2"/>
                <w:sz w:val="18"/>
                <w:szCs w:val="24"/>
                <w:lang w:val="en-NZ"/>
              </w:rPr>
              <w:t></w:t>
            </w:r>
            <w:r w:rsidR="00716A9E" w:rsidRPr="00F37CE6">
              <w:rPr>
                <w:rFonts w:ascii="Wingdings 2" w:eastAsiaTheme="minorHAnsi" w:hAnsi="Wingdings 2"/>
                <w:sz w:val="18"/>
                <w:szCs w:val="24"/>
                <w:lang w:val="en-NZ"/>
              </w:rPr>
              <w:t></w:t>
            </w:r>
          </w:p>
        </w:tc>
      </w:tr>
      <w:tr w:rsidR="00BB411D" w:rsidTr="00716A9E">
        <w:tc>
          <w:tcPr>
            <w:tcW w:w="2376" w:type="dxa"/>
            <w:vMerge w:val="restart"/>
          </w:tcPr>
          <w:p w:rsidR="00BB411D" w:rsidRPr="00F37CE6" w:rsidRDefault="00BB411D">
            <w:pPr>
              <w:pStyle w:val="spacer"/>
              <w:jc w:val="left"/>
              <w:rPr>
                <w:rFonts w:ascii="Times New Roman" w:hAnsi="Times New Roman"/>
                <w:sz w:val="18"/>
                <w:szCs w:val="24"/>
                <w:lang w:val="en-AU"/>
              </w:rPr>
            </w:pPr>
            <w:r w:rsidRPr="00F37CE6">
              <w:rPr>
                <w:rFonts w:ascii="Times New Roman" w:hAnsi="Times New Roman"/>
                <w:sz w:val="18"/>
                <w:szCs w:val="24"/>
                <w:lang w:val="en-AU"/>
              </w:rPr>
              <w:t>Allowing deductions for employers’ costs</w:t>
            </w:r>
          </w:p>
          <w:p w:rsidR="00BB411D" w:rsidRPr="00F37CE6" w:rsidRDefault="00BB411D" w:rsidP="00F37CE6">
            <w:pPr>
              <w:pStyle w:val="spacer"/>
              <w:rPr>
                <w:rFonts w:ascii="Times New Roman" w:hAnsi="Times New Roman"/>
                <w:sz w:val="18"/>
                <w:szCs w:val="24"/>
                <w:lang w:val="en-AU"/>
              </w:rPr>
            </w:pPr>
          </w:p>
        </w:tc>
        <w:tc>
          <w:tcPr>
            <w:tcW w:w="4111" w:type="dxa"/>
          </w:tcPr>
          <w:p w:rsidR="00BB411D" w:rsidRPr="00F37CE6" w:rsidRDefault="00BB411D" w:rsidP="00F37CE6">
            <w:pPr>
              <w:spacing w:after="0" w:line="240" w:lineRule="auto"/>
              <w:rPr>
                <w:lang w:val="en-AU"/>
              </w:rPr>
            </w:pPr>
            <w:r w:rsidRPr="00F37CE6">
              <w:rPr>
                <w:rFonts w:ascii="Times New Roman" w:hAnsi="Times New Roman"/>
                <w:b/>
                <w:sz w:val="18"/>
                <w:szCs w:val="24"/>
                <w:lang w:val="en-AU" w:eastAsia="en-US"/>
              </w:rPr>
              <w:t>Option A</w:t>
            </w:r>
            <w:r w:rsidRPr="00F37CE6">
              <w:rPr>
                <w:rFonts w:ascii="Times New Roman" w:hAnsi="Times New Roman"/>
                <w:sz w:val="18"/>
                <w:szCs w:val="24"/>
                <w:lang w:val="en-AU" w:eastAsia="en-US"/>
              </w:rPr>
              <w:t xml:space="preserve"> –</w:t>
            </w:r>
            <w:r w:rsidRPr="00F37CE6">
              <w:rPr>
                <w:rFonts w:ascii="Times New Roman" w:hAnsi="Times New Roman"/>
                <w:b/>
                <w:sz w:val="18"/>
                <w:szCs w:val="24"/>
                <w:lang w:val="en-AU" w:eastAsia="en-US"/>
              </w:rPr>
              <w:t xml:space="preserve"> </w:t>
            </w:r>
            <w:r w:rsidRPr="00F37CE6">
              <w:rPr>
                <w:rFonts w:ascii="Times New Roman" w:hAnsi="Times New Roman"/>
                <w:sz w:val="18"/>
                <w:szCs w:val="24"/>
                <w:lang w:val="en-AU" w:eastAsia="en-US"/>
              </w:rPr>
              <w:t>Status quo</w:t>
            </w:r>
          </w:p>
        </w:tc>
        <w:tc>
          <w:tcPr>
            <w:tcW w:w="3544" w:type="dxa"/>
          </w:tcPr>
          <w:p w:rsidR="00BB411D" w:rsidRPr="00F37CE6" w:rsidRDefault="00BB411D" w:rsidP="00F37CE6">
            <w:pPr>
              <w:pStyle w:val="Bullet-list"/>
              <w:spacing w:after="0" w:line="240" w:lineRule="auto"/>
              <w:ind w:left="0" w:firstLine="0"/>
              <w:rPr>
                <w:rFonts w:ascii="Times New Roman" w:hAnsi="Times New Roman"/>
                <w:sz w:val="18"/>
                <w:szCs w:val="24"/>
              </w:rPr>
            </w:pPr>
            <w:r w:rsidRPr="00F37CE6">
              <w:rPr>
                <w:rFonts w:ascii="Times New Roman" w:hAnsi="Times New Roman"/>
                <w:b/>
                <w:i/>
                <w:sz w:val="18"/>
                <w:szCs w:val="24"/>
              </w:rPr>
              <w:t>Does not meet the main objective</w:t>
            </w:r>
          </w:p>
        </w:tc>
      </w:tr>
      <w:tr w:rsidR="00BB411D" w:rsidTr="00716A9E">
        <w:tc>
          <w:tcPr>
            <w:tcW w:w="2376" w:type="dxa"/>
            <w:vMerge/>
          </w:tcPr>
          <w:p w:rsidR="00BB411D" w:rsidRPr="00F37CE6" w:rsidRDefault="00BB411D">
            <w:pPr>
              <w:pStyle w:val="spacer"/>
              <w:jc w:val="left"/>
              <w:rPr>
                <w:rFonts w:ascii="Times New Roman" w:hAnsi="Times New Roman"/>
                <w:sz w:val="18"/>
                <w:szCs w:val="24"/>
                <w:lang w:val="en-AU"/>
              </w:rPr>
            </w:pPr>
          </w:p>
        </w:tc>
        <w:tc>
          <w:tcPr>
            <w:tcW w:w="4111" w:type="dxa"/>
          </w:tcPr>
          <w:p w:rsidR="00BB411D" w:rsidRPr="00F37CE6" w:rsidRDefault="00BB411D" w:rsidP="00F37CE6">
            <w:pPr>
              <w:spacing w:after="0" w:line="240" w:lineRule="auto"/>
              <w:rPr>
                <w:rFonts w:ascii="Times New Roman" w:hAnsi="Times New Roman"/>
                <w:sz w:val="18"/>
                <w:szCs w:val="24"/>
                <w:lang w:val="en-AU" w:eastAsia="en-US"/>
              </w:rPr>
            </w:pPr>
            <w:r w:rsidRPr="00F37CE6">
              <w:rPr>
                <w:rFonts w:ascii="Times New Roman" w:hAnsi="Times New Roman"/>
                <w:b/>
                <w:sz w:val="18"/>
                <w:szCs w:val="24"/>
                <w:lang w:val="en-AU" w:eastAsia="en-US"/>
              </w:rPr>
              <w:t>Option B</w:t>
            </w:r>
            <w:r w:rsidRPr="00F37CE6">
              <w:rPr>
                <w:rFonts w:ascii="Times New Roman" w:hAnsi="Times New Roman"/>
                <w:sz w:val="18"/>
                <w:szCs w:val="24"/>
                <w:lang w:val="en-AU" w:eastAsia="en-US"/>
              </w:rPr>
              <w:t xml:space="preserve"> – Matching deduction</w:t>
            </w:r>
          </w:p>
          <w:p w:rsidR="00BB411D" w:rsidRDefault="00BB411D" w:rsidP="00F37CE6">
            <w:pPr>
              <w:pStyle w:val="spacer"/>
              <w:rPr>
                <w:rFonts w:ascii="Times New Roman" w:hAnsi="Times New Roman"/>
                <w:sz w:val="18"/>
                <w:szCs w:val="24"/>
                <w:lang w:val="en-AU"/>
              </w:rPr>
            </w:pPr>
          </w:p>
          <w:p w:rsidR="00BB411D" w:rsidRPr="00F37CE6" w:rsidRDefault="00BB411D" w:rsidP="00F37CE6">
            <w:pPr>
              <w:pStyle w:val="spacer"/>
              <w:rPr>
                <w:rFonts w:ascii="Times New Roman" w:hAnsi="Times New Roman"/>
                <w:sz w:val="18"/>
                <w:szCs w:val="24"/>
                <w:lang w:val="en-AU"/>
              </w:rPr>
            </w:pPr>
            <w:r w:rsidRPr="00CD2C83">
              <w:rPr>
                <w:rFonts w:ascii="Times New Roman" w:hAnsi="Times New Roman"/>
                <w:b/>
                <w:color w:val="FF0000"/>
                <w:sz w:val="18"/>
                <w:szCs w:val="24"/>
                <w:lang w:val="en-AU"/>
              </w:rPr>
              <w:t>Preferred option</w:t>
            </w:r>
          </w:p>
        </w:tc>
        <w:tc>
          <w:tcPr>
            <w:tcW w:w="3544" w:type="dxa"/>
          </w:tcPr>
          <w:p w:rsidR="00BB411D" w:rsidRPr="00F37CE6" w:rsidRDefault="00BB411D" w:rsidP="00F37CE6">
            <w:pPr>
              <w:pStyle w:val="Bullet-list"/>
              <w:spacing w:after="0" w:line="240" w:lineRule="auto"/>
              <w:ind w:left="0" w:firstLine="0"/>
              <w:rPr>
                <w:rFonts w:ascii="Times New Roman" w:hAnsi="Times New Roman"/>
                <w:b/>
                <w:i/>
                <w:sz w:val="18"/>
                <w:szCs w:val="24"/>
              </w:rPr>
            </w:pPr>
            <w:r w:rsidRPr="00F37CE6">
              <w:rPr>
                <w:rFonts w:ascii="Times New Roman" w:hAnsi="Times New Roman"/>
                <w:b/>
                <w:i/>
                <w:sz w:val="18"/>
                <w:szCs w:val="24"/>
              </w:rPr>
              <w:t>Meets the main objective</w:t>
            </w:r>
          </w:p>
          <w:p w:rsidR="00BB411D" w:rsidRPr="00F37CE6" w:rsidRDefault="00BB411D" w:rsidP="00F37CE6">
            <w:pPr>
              <w:pStyle w:val="Bullet-list"/>
              <w:spacing w:after="0" w:line="240" w:lineRule="auto"/>
              <w:ind w:left="0" w:firstLine="0"/>
              <w:rPr>
                <w:rFonts w:ascii="Times New Roman" w:hAnsi="Times New Roman"/>
                <w:i/>
                <w:sz w:val="18"/>
                <w:szCs w:val="24"/>
              </w:rPr>
            </w:pPr>
          </w:p>
          <w:p w:rsidR="00BB411D" w:rsidRPr="00F37CE6" w:rsidRDefault="00BB411D" w:rsidP="00F37CE6">
            <w:pPr>
              <w:pStyle w:val="Bullet-list"/>
              <w:spacing w:after="0" w:line="240" w:lineRule="auto"/>
              <w:rPr>
                <w:rFonts w:ascii="Times New Roman" w:hAnsi="Times New Roman"/>
                <w:color w:val="000000"/>
                <w:sz w:val="18"/>
                <w:szCs w:val="24"/>
              </w:rPr>
            </w:pPr>
            <w:r w:rsidRPr="00F37CE6">
              <w:rPr>
                <w:rFonts w:ascii="Times New Roman" w:hAnsi="Times New Roman"/>
                <w:sz w:val="18"/>
                <w:szCs w:val="24"/>
              </w:rPr>
              <w:t xml:space="preserve">Neutrality </w:t>
            </w:r>
            <w:r w:rsidRPr="00F37CE6">
              <w:rPr>
                <w:rFonts w:ascii="Wingdings 2" w:eastAsiaTheme="minorHAnsi" w:hAnsi="Wingdings 2"/>
                <w:sz w:val="18"/>
                <w:szCs w:val="24"/>
              </w:rPr>
              <w:t></w:t>
            </w:r>
            <w:r w:rsidRPr="00F37CE6">
              <w:rPr>
                <w:rFonts w:ascii="Wingdings 2" w:eastAsiaTheme="minorHAnsi" w:hAnsi="Wingdings 2"/>
                <w:sz w:val="18"/>
                <w:szCs w:val="24"/>
              </w:rPr>
              <w:t></w:t>
            </w:r>
          </w:p>
          <w:p w:rsidR="00BB411D" w:rsidRPr="00F37CE6" w:rsidRDefault="00BB411D" w:rsidP="00F37CE6">
            <w:pPr>
              <w:pStyle w:val="Bullet-list"/>
              <w:spacing w:after="0" w:line="240" w:lineRule="auto"/>
              <w:rPr>
                <w:rFonts w:ascii="Times New Roman" w:hAnsi="Times New Roman"/>
                <w:b/>
                <w:color w:val="000000"/>
                <w:sz w:val="18"/>
                <w:szCs w:val="24"/>
              </w:rPr>
            </w:pPr>
            <w:r w:rsidRPr="00F37CE6">
              <w:rPr>
                <w:rFonts w:ascii="Times New Roman" w:hAnsi="Times New Roman"/>
                <w:sz w:val="18"/>
                <w:szCs w:val="24"/>
              </w:rPr>
              <w:t xml:space="preserve">Equity </w:t>
            </w:r>
            <w:r w:rsidRPr="00F37CE6">
              <w:rPr>
                <w:rFonts w:ascii="Wingdings 2" w:eastAsiaTheme="minorHAnsi" w:hAnsi="Wingdings 2"/>
                <w:sz w:val="18"/>
                <w:szCs w:val="24"/>
              </w:rPr>
              <w:t></w:t>
            </w:r>
            <w:r w:rsidRPr="00F37CE6">
              <w:rPr>
                <w:rFonts w:ascii="Wingdings 2" w:eastAsiaTheme="minorHAnsi" w:hAnsi="Wingdings 2"/>
                <w:sz w:val="18"/>
                <w:szCs w:val="24"/>
              </w:rPr>
              <w:t></w:t>
            </w:r>
          </w:p>
          <w:p w:rsidR="00BB411D" w:rsidRPr="00F37CE6" w:rsidRDefault="00BB411D" w:rsidP="00F37CE6">
            <w:pPr>
              <w:pStyle w:val="Bullet-list"/>
              <w:spacing w:after="0" w:line="240" w:lineRule="auto"/>
              <w:rPr>
                <w:rFonts w:ascii="Times New Roman" w:hAnsi="Times New Roman"/>
                <w:color w:val="000000"/>
                <w:sz w:val="18"/>
                <w:szCs w:val="24"/>
              </w:rPr>
            </w:pPr>
            <w:r w:rsidRPr="00F37CE6">
              <w:rPr>
                <w:rFonts w:ascii="Times New Roman" w:hAnsi="Times New Roman"/>
                <w:sz w:val="18"/>
                <w:szCs w:val="24"/>
              </w:rPr>
              <w:t xml:space="preserve">Compliance costs </w:t>
            </w:r>
            <w:r w:rsidR="00716A9E"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rPr>
                <w:rFonts w:ascii="Times New Roman" w:hAnsi="Times New Roman"/>
                <w:color w:val="000000"/>
                <w:sz w:val="18"/>
                <w:szCs w:val="24"/>
              </w:rPr>
            </w:pPr>
            <w:r w:rsidRPr="00F37CE6">
              <w:rPr>
                <w:rFonts w:ascii="Times New Roman" w:hAnsi="Times New Roman"/>
                <w:sz w:val="18"/>
                <w:szCs w:val="24"/>
              </w:rPr>
              <w:t xml:space="preserve">Administrative costs </w:t>
            </w:r>
            <w:r w:rsidR="00716A9E" w:rsidRPr="00F37CE6">
              <w:rPr>
                <w:rFonts w:ascii="Wingdings 2" w:eastAsiaTheme="minorHAnsi" w:hAnsi="Wingdings 2"/>
                <w:sz w:val="18"/>
                <w:szCs w:val="24"/>
              </w:rPr>
              <w:t></w:t>
            </w:r>
          </w:p>
          <w:p w:rsidR="00BB411D" w:rsidRDefault="00BB411D" w:rsidP="00F37CE6">
            <w:pPr>
              <w:pStyle w:val="Bullet-list"/>
              <w:spacing w:after="0" w:line="240" w:lineRule="auto"/>
              <w:rPr>
                <w:rFonts w:ascii="Wingdings 2" w:eastAsiaTheme="minorHAnsi" w:hAnsi="Wingdings 2"/>
                <w:sz w:val="18"/>
                <w:szCs w:val="24"/>
              </w:rPr>
            </w:pPr>
            <w:r w:rsidRPr="00F37CE6">
              <w:rPr>
                <w:rFonts w:ascii="Times New Roman" w:hAnsi="Times New Roman"/>
                <w:sz w:val="18"/>
                <w:szCs w:val="24"/>
              </w:rPr>
              <w:t xml:space="preserve">Integrity </w:t>
            </w:r>
            <w:r w:rsidRPr="00F37CE6">
              <w:rPr>
                <w:rFonts w:ascii="Wingdings 2" w:eastAsiaTheme="minorHAnsi" w:hAnsi="Wingdings 2"/>
                <w:sz w:val="18"/>
                <w:szCs w:val="24"/>
              </w:rPr>
              <w:t></w:t>
            </w:r>
            <w:r w:rsidR="00716A9E" w:rsidRPr="00F37CE6">
              <w:rPr>
                <w:rFonts w:ascii="Wingdings 2" w:eastAsiaTheme="minorHAnsi" w:hAnsi="Wingdings 2"/>
                <w:sz w:val="18"/>
                <w:szCs w:val="24"/>
              </w:rPr>
              <w:t></w:t>
            </w:r>
          </w:p>
          <w:p w:rsidR="003230AE" w:rsidRPr="00F37CE6" w:rsidRDefault="003230AE" w:rsidP="00F37CE6">
            <w:pPr>
              <w:pStyle w:val="Bullet-list"/>
              <w:spacing w:after="0" w:line="240" w:lineRule="auto"/>
              <w:rPr>
                <w:rFonts w:ascii="Times New Roman" w:hAnsi="Times New Roman"/>
                <w:sz w:val="18"/>
                <w:szCs w:val="24"/>
              </w:rPr>
            </w:pPr>
          </w:p>
        </w:tc>
      </w:tr>
      <w:tr w:rsidR="00BB411D" w:rsidTr="00716A9E">
        <w:tc>
          <w:tcPr>
            <w:tcW w:w="2376" w:type="dxa"/>
            <w:vMerge/>
          </w:tcPr>
          <w:p w:rsidR="00BB411D" w:rsidRPr="00F37CE6" w:rsidRDefault="00BB411D">
            <w:pPr>
              <w:pStyle w:val="spacer"/>
              <w:jc w:val="left"/>
              <w:rPr>
                <w:rFonts w:ascii="Times New Roman" w:hAnsi="Times New Roman"/>
                <w:sz w:val="18"/>
                <w:szCs w:val="24"/>
                <w:lang w:val="en-AU"/>
              </w:rPr>
            </w:pPr>
          </w:p>
        </w:tc>
        <w:tc>
          <w:tcPr>
            <w:tcW w:w="4111" w:type="dxa"/>
          </w:tcPr>
          <w:p w:rsidR="00BB411D" w:rsidRPr="00F37CE6" w:rsidRDefault="00BB411D" w:rsidP="00F37CE6">
            <w:pPr>
              <w:pStyle w:val="spacer"/>
              <w:rPr>
                <w:rFonts w:ascii="Times New Roman" w:hAnsi="Times New Roman"/>
                <w:sz w:val="18"/>
                <w:szCs w:val="24"/>
                <w:lang w:val="en-AU" w:eastAsia="en-US"/>
              </w:rPr>
            </w:pPr>
            <w:r w:rsidRPr="00F37CE6">
              <w:rPr>
                <w:rFonts w:ascii="Times New Roman" w:hAnsi="Times New Roman"/>
                <w:b/>
                <w:sz w:val="18"/>
                <w:szCs w:val="24"/>
                <w:lang w:val="en-AU" w:eastAsia="en-US"/>
              </w:rPr>
              <w:t xml:space="preserve">Option C </w:t>
            </w:r>
            <w:r w:rsidRPr="00F37CE6">
              <w:rPr>
                <w:rFonts w:ascii="Times New Roman" w:hAnsi="Times New Roman"/>
                <w:sz w:val="18"/>
                <w:szCs w:val="24"/>
                <w:lang w:val="en-AU" w:eastAsia="en-US"/>
              </w:rPr>
              <w:t>– following IFRS</w:t>
            </w:r>
          </w:p>
          <w:p w:rsidR="00BB411D" w:rsidRPr="00F37CE6" w:rsidRDefault="00BB411D" w:rsidP="00F37CE6">
            <w:pPr>
              <w:pStyle w:val="spacer"/>
              <w:rPr>
                <w:rFonts w:ascii="Times New Roman" w:hAnsi="Times New Roman"/>
                <w:sz w:val="18"/>
                <w:szCs w:val="24"/>
                <w:lang w:val="en-AU"/>
              </w:rPr>
            </w:pPr>
          </w:p>
        </w:tc>
        <w:tc>
          <w:tcPr>
            <w:tcW w:w="3544" w:type="dxa"/>
          </w:tcPr>
          <w:p w:rsidR="00BB411D" w:rsidRPr="00F37CE6" w:rsidRDefault="00BB411D" w:rsidP="00F37CE6">
            <w:pPr>
              <w:pStyle w:val="Bullet-list"/>
              <w:spacing w:after="0" w:line="240" w:lineRule="auto"/>
              <w:ind w:left="0" w:firstLine="0"/>
              <w:rPr>
                <w:rFonts w:ascii="Times New Roman" w:hAnsi="Times New Roman"/>
                <w:b/>
                <w:i/>
                <w:sz w:val="18"/>
                <w:szCs w:val="24"/>
              </w:rPr>
            </w:pPr>
            <w:r w:rsidRPr="00F37CE6">
              <w:rPr>
                <w:rFonts w:ascii="Times New Roman" w:hAnsi="Times New Roman"/>
                <w:b/>
                <w:i/>
                <w:sz w:val="18"/>
                <w:szCs w:val="24"/>
              </w:rPr>
              <w:t>Does not meet the main objective</w:t>
            </w:r>
          </w:p>
          <w:p w:rsidR="00BB411D" w:rsidRPr="00F37CE6" w:rsidRDefault="00BB411D" w:rsidP="00F37CE6">
            <w:pPr>
              <w:pStyle w:val="Bullet-list"/>
              <w:spacing w:after="0" w:line="240" w:lineRule="auto"/>
              <w:ind w:left="0" w:firstLine="0"/>
              <w:rPr>
                <w:rFonts w:ascii="Times New Roman" w:hAnsi="Times New Roman"/>
                <w:i/>
                <w:sz w:val="18"/>
                <w:szCs w:val="24"/>
              </w:rPr>
            </w:pP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Neutrality </w:t>
            </w:r>
            <w:r w:rsidRPr="00F37CE6">
              <w:rPr>
                <w:rFonts w:ascii="Wingdings 2" w:eastAsiaTheme="minorHAnsi" w:hAnsi="Wingdings 2"/>
                <w:sz w:val="18"/>
                <w:szCs w:val="24"/>
                <w:lang w:val="en-NZ"/>
              </w:rPr>
              <w:t></w:t>
            </w:r>
            <w:r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rPr>
                <w:rFonts w:ascii="Times New Roman" w:hAnsi="Times New Roman"/>
                <w:b/>
                <w:sz w:val="18"/>
                <w:szCs w:val="24"/>
              </w:rPr>
            </w:pPr>
            <w:r w:rsidRPr="00F37CE6">
              <w:rPr>
                <w:rFonts w:ascii="Times New Roman" w:hAnsi="Times New Roman"/>
                <w:sz w:val="18"/>
                <w:szCs w:val="24"/>
              </w:rPr>
              <w:t xml:space="preserve">Equity </w:t>
            </w:r>
            <w:r w:rsidRPr="00F37CE6">
              <w:rPr>
                <w:rFonts w:ascii="Wingdings 2" w:eastAsiaTheme="minorHAnsi" w:hAnsi="Wingdings 2"/>
                <w:sz w:val="18"/>
                <w:szCs w:val="24"/>
                <w:lang w:val="en-NZ"/>
              </w:rPr>
              <w:t></w:t>
            </w:r>
            <w:r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Compliance costs </w:t>
            </w:r>
            <w:r w:rsidRPr="00F37CE6">
              <w:rPr>
                <w:rFonts w:ascii="Wingdings 2" w:eastAsiaTheme="minorHAnsi" w:hAnsi="Wingdings 2"/>
                <w:sz w:val="18"/>
                <w:szCs w:val="24"/>
                <w:lang w:val="en-NZ"/>
              </w:rPr>
              <w:t></w:t>
            </w:r>
            <w:r w:rsidR="008E1141"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Administrative costs </w:t>
            </w:r>
            <w:r w:rsidRPr="00F37CE6">
              <w:rPr>
                <w:rFonts w:ascii="Wingdings 2" w:eastAsiaTheme="minorHAnsi" w:hAnsi="Wingdings 2"/>
                <w:sz w:val="18"/>
                <w:szCs w:val="24"/>
                <w:lang w:val="en-NZ"/>
              </w:rPr>
              <w:t></w:t>
            </w:r>
          </w:p>
          <w:p w:rsidR="00BB411D" w:rsidRDefault="00BB411D" w:rsidP="00F37CE6">
            <w:pPr>
              <w:pStyle w:val="Bullet-list"/>
              <w:spacing w:after="0" w:line="240" w:lineRule="auto"/>
              <w:rPr>
                <w:rFonts w:ascii="Wingdings 2" w:eastAsiaTheme="minorHAnsi" w:hAnsi="Wingdings 2"/>
                <w:sz w:val="18"/>
                <w:szCs w:val="24"/>
                <w:lang w:val="en-NZ"/>
              </w:rPr>
            </w:pPr>
            <w:r w:rsidRPr="00F37CE6">
              <w:rPr>
                <w:rFonts w:ascii="Times New Roman" w:hAnsi="Times New Roman"/>
                <w:sz w:val="18"/>
                <w:szCs w:val="24"/>
              </w:rPr>
              <w:t xml:space="preserve">Integrity </w:t>
            </w:r>
            <w:r w:rsidRPr="00F37CE6">
              <w:rPr>
                <w:rFonts w:ascii="Wingdings 2" w:eastAsiaTheme="minorHAnsi" w:hAnsi="Wingdings 2"/>
                <w:sz w:val="18"/>
                <w:szCs w:val="24"/>
                <w:lang w:val="en-NZ"/>
              </w:rPr>
              <w:t></w:t>
            </w:r>
            <w:r w:rsidRPr="00F37CE6">
              <w:rPr>
                <w:rFonts w:ascii="Wingdings 2" w:eastAsiaTheme="minorHAnsi" w:hAnsi="Wingdings 2"/>
                <w:sz w:val="18"/>
                <w:szCs w:val="24"/>
                <w:lang w:val="en-NZ"/>
              </w:rPr>
              <w:t></w:t>
            </w:r>
          </w:p>
          <w:p w:rsidR="003230AE" w:rsidRPr="00F37CE6" w:rsidRDefault="003230AE" w:rsidP="00F37CE6">
            <w:pPr>
              <w:pStyle w:val="Bullet-list"/>
              <w:spacing w:after="0" w:line="240" w:lineRule="auto"/>
            </w:pPr>
          </w:p>
        </w:tc>
      </w:tr>
      <w:tr w:rsidR="00BB411D" w:rsidTr="00716A9E">
        <w:tc>
          <w:tcPr>
            <w:tcW w:w="2376" w:type="dxa"/>
            <w:vMerge w:val="restart"/>
          </w:tcPr>
          <w:p w:rsidR="00BB411D" w:rsidRPr="00F37CE6" w:rsidRDefault="00BB411D">
            <w:pPr>
              <w:pStyle w:val="spacer"/>
              <w:jc w:val="left"/>
              <w:rPr>
                <w:rFonts w:ascii="Times New Roman" w:hAnsi="Times New Roman"/>
                <w:sz w:val="18"/>
                <w:szCs w:val="24"/>
                <w:lang w:val="en-AU"/>
              </w:rPr>
            </w:pPr>
            <w:r w:rsidRPr="00F37CE6">
              <w:rPr>
                <w:rFonts w:ascii="Times New Roman" w:hAnsi="Times New Roman"/>
                <w:sz w:val="18"/>
                <w:szCs w:val="24"/>
                <w:lang w:val="en-AU"/>
              </w:rPr>
              <w:t xml:space="preserve">Tax concession for widely-offered schemes </w:t>
            </w:r>
          </w:p>
        </w:tc>
        <w:tc>
          <w:tcPr>
            <w:tcW w:w="4111" w:type="dxa"/>
          </w:tcPr>
          <w:p w:rsidR="00BB411D" w:rsidRPr="00F37CE6" w:rsidRDefault="00BB411D" w:rsidP="00F37CE6">
            <w:pPr>
              <w:spacing w:after="0" w:line="240" w:lineRule="auto"/>
              <w:rPr>
                <w:rFonts w:ascii="Times New Roman" w:hAnsi="Times New Roman"/>
                <w:sz w:val="18"/>
                <w:szCs w:val="24"/>
                <w:lang w:val="en-AU" w:eastAsia="en-US"/>
              </w:rPr>
            </w:pPr>
            <w:r w:rsidRPr="00F37CE6">
              <w:rPr>
                <w:rFonts w:ascii="Times New Roman" w:hAnsi="Times New Roman"/>
                <w:b/>
                <w:sz w:val="18"/>
                <w:szCs w:val="24"/>
                <w:lang w:val="en-AU" w:eastAsia="en-US"/>
              </w:rPr>
              <w:t>Option A</w:t>
            </w:r>
            <w:r w:rsidRPr="00F37CE6">
              <w:rPr>
                <w:rFonts w:ascii="Times New Roman" w:hAnsi="Times New Roman"/>
                <w:sz w:val="18"/>
                <w:szCs w:val="24"/>
                <w:lang w:val="en-AU" w:eastAsia="en-US"/>
              </w:rPr>
              <w:t xml:space="preserve"> </w:t>
            </w:r>
            <w:r w:rsidRPr="00F37CE6">
              <w:rPr>
                <w:rFonts w:ascii="Times New Roman" w:hAnsi="Times New Roman"/>
                <w:b/>
                <w:sz w:val="18"/>
                <w:szCs w:val="24"/>
                <w:lang w:val="en-AU" w:eastAsia="en-US"/>
              </w:rPr>
              <w:t xml:space="preserve">– </w:t>
            </w:r>
            <w:r w:rsidRPr="00F37CE6">
              <w:rPr>
                <w:rFonts w:ascii="Times New Roman" w:hAnsi="Times New Roman"/>
                <w:sz w:val="18"/>
                <w:szCs w:val="24"/>
                <w:lang w:val="en-AU" w:eastAsia="en-US"/>
              </w:rPr>
              <w:t>status quo</w:t>
            </w:r>
          </w:p>
        </w:tc>
        <w:tc>
          <w:tcPr>
            <w:tcW w:w="3544" w:type="dxa"/>
          </w:tcPr>
          <w:p w:rsidR="00BB411D" w:rsidRPr="00F37CE6" w:rsidRDefault="00BB411D" w:rsidP="00F37CE6">
            <w:pPr>
              <w:pStyle w:val="Bullet-list"/>
              <w:spacing w:after="0" w:line="240" w:lineRule="auto"/>
              <w:ind w:left="0" w:firstLine="0"/>
              <w:rPr>
                <w:rFonts w:ascii="Times New Roman" w:hAnsi="Times New Roman"/>
                <w:sz w:val="18"/>
                <w:szCs w:val="24"/>
              </w:rPr>
            </w:pPr>
            <w:r w:rsidRPr="00F37CE6">
              <w:rPr>
                <w:rFonts w:ascii="Times New Roman" w:hAnsi="Times New Roman"/>
                <w:b/>
                <w:i/>
                <w:sz w:val="18"/>
                <w:szCs w:val="24"/>
              </w:rPr>
              <w:t>Does not meet the main objectiv</w:t>
            </w:r>
            <w:r>
              <w:rPr>
                <w:rFonts w:ascii="Times New Roman" w:hAnsi="Times New Roman"/>
                <w:sz w:val="18"/>
                <w:szCs w:val="24"/>
              </w:rPr>
              <w:t>e</w:t>
            </w:r>
          </w:p>
        </w:tc>
      </w:tr>
      <w:tr w:rsidR="00BB411D" w:rsidTr="00716A9E">
        <w:tc>
          <w:tcPr>
            <w:tcW w:w="2376" w:type="dxa"/>
            <w:vMerge/>
          </w:tcPr>
          <w:p w:rsidR="00BB411D" w:rsidRPr="00F37CE6" w:rsidRDefault="00BB411D" w:rsidP="00F37CE6">
            <w:pPr>
              <w:pStyle w:val="spacer"/>
              <w:rPr>
                <w:rFonts w:ascii="Times New Roman" w:hAnsi="Times New Roman"/>
                <w:sz w:val="18"/>
                <w:szCs w:val="24"/>
                <w:lang w:val="en-AU"/>
              </w:rPr>
            </w:pPr>
          </w:p>
        </w:tc>
        <w:tc>
          <w:tcPr>
            <w:tcW w:w="4111" w:type="dxa"/>
          </w:tcPr>
          <w:p w:rsidR="00BB411D" w:rsidRPr="00F37CE6" w:rsidRDefault="00BB411D" w:rsidP="00F37CE6">
            <w:pPr>
              <w:spacing w:after="0" w:line="240" w:lineRule="auto"/>
              <w:rPr>
                <w:rFonts w:ascii="Times New Roman" w:hAnsi="Times New Roman"/>
                <w:sz w:val="18"/>
                <w:szCs w:val="24"/>
                <w:lang w:val="en-AU"/>
              </w:rPr>
            </w:pPr>
            <w:r w:rsidRPr="00F37CE6">
              <w:rPr>
                <w:rFonts w:ascii="Times New Roman" w:hAnsi="Times New Roman"/>
                <w:b/>
                <w:sz w:val="18"/>
                <w:szCs w:val="24"/>
                <w:lang w:val="en-AU" w:eastAsia="en-US"/>
              </w:rPr>
              <w:t xml:space="preserve">Option B </w:t>
            </w:r>
            <w:r w:rsidRPr="00F37CE6">
              <w:rPr>
                <w:rFonts w:ascii="Times New Roman" w:hAnsi="Times New Roman"/>
                <w:sz w:val="18"/>
                <w:szCs w:val="24"/>
                <w:lang w:val="en-AU" w:eastAsia="en-US"/>
              </w:rPr>
              <w:t>– repeal tax concessions for widely-offered schemes</w:t>
            </w:r>
          </w:p>
        </w:tc>
        <w:tc>
          <w:tcPr>
            <w:tcW w:w="3544" w:type="dxa"/>
          </w:tcPr>
          <w:p w:rsidR="00BB411D" w:rsidRPr="00F37CE6" w:rsidRDefault="00BB411D" w:rsidP="00F37CE6">
            <w:pPr>
              <w:pStyle w:val="Bullet-list"/>
              <w:spacing w:after="0" w:line="240" w:lineRule="auto"/>
              <w:ind w:left="0" w:firstLine="0"/>
              <w:rPr>
                <w:rFonts w:ascii="Times New Roman" w:hAnsi="Times New Roman"/>
                <w:b/>
                <w:i/>
                <w:sz w:val="18"/>
                <w:szCs w:val="24"/>
              </w:rPr>
            </w:pPr>
            <w:r w:rsidRPr="00F37CE6">
              <w:rPr>
                <w:rFonts w:ascii="Times New Roman" w:hAnsi="Times New Roman"/>
                <w:b/>
                <w:i/>
                <w:sz w:val="18"/>
                <w:szCs w:val="24"/>
              </w:rPr>
              <w:t>Meets the main objective</w:t>
            </w:r>
          </w:p>
          <w:p w:rsidR="00BB411D" w:rsidRPr="00F37CE6" w:rsidRDefault="00BB411D" w:rsidP="00F37CE6">
            <w:pPr>
              <w:pStyle w:val="Bullet-list"/>
              <w:spacing w:after="0" w:line="240" w:lineRule="auto"/>
              <w:ind w:left="0" w:firstLine="0"/>
              <w:rPr>
                <w:rFonts w:ascii="Times New Roman" w:hAnsi="Times New Roman"/>
                <w:i/>
                <w:sz w:val="18"/>
                <w:szCs w:val="24"/>
              </w:rPr>
            </w:pP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Neutrality </w:t>
            </w:r>
            <w:r w:rsidR="008E1141">
              <w:rPr>
                <w:rFonts w:ascii="Wingdings 2" w:eastAsiaTheme="minorHAnsi" w:hAnsi="Wingdings 2"/>
                <w:sz w:val="18"/>
                <w:szCs w:val="24"/>
              </w:rPr>
              <w:t></w:t>
            </w:r>
          </w:p>
          <w:p w:rsidR="00BB411D" w:rsidRPr="00F37CE6" w:rsidRDefault="00BB411D" w:rsidP="00F37CE6">
            <w:pPr>
              <w:pStyle w:val="Bullet-list"/>
              <w:spacing w:after="0" w:line="240" w:lineRule="auto"/>
              <w:rPr>
                <w:rFonts w:ascii="Times New Roman" w:hAnsi="Times New Roman"/>
                <w:b/>
                <w:sz w:val="18"/>
                <w:szCs w:val="24"/>
              </w:rPr>
            </w:pPr>
            <w:r w:rsidRPr="00F37CE6">
              <w:rPr>
                <w:rFonts w:ascii="Times New Roman" w:hAnsi="Times New Roman"/>
                <w:sz w:val="18"/>
                <w:szCs w:val="24"/>
              </w:rPr>
              <w:t xml:space="preserve">Equity </w:t>
            </w:r>
            <w:r w:rsidR="008E1141">
              <w:rPr>
                <w:rFonts w:ascii="Wingdings 2" w:eastAsiaTheme="minorHAnsi" w:hAnsi="Wingdings 2"/>
                <w:sz w:val="18"/>
                <w:szCs w:val="24"/>
              </w:rPr>
              <w:t></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Compliance costs </w:t>
            </w:r>
            <w:r w:rsidRPr="00F37CE6">
              <w:rPr>
                <w:rFonts w:ascii="Wingdings 2" w:eastAsiaTheme="minorHAnsi" w:hAnsi="Wingdings 2"/>
                <w:sz w:val="18"/>
                <w:szCs w:val="24"/>
                <w:lang w:val="en-NZ"/>
              </w:rPr>
              <w:t></w:t>
            </w:r>
            <w:r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Administrative costs </w:t>
            </w:r>
            <w:r w:rsidRPr="00F37CE6">
              <w:rPr>
                <w:rFonts w:ascii="Wingdings 2" w:eastAsiaTheme="minorHAnsi" w:hAnsi="Wingdings 2"/>
                <w:sz w:val="18"/>
                <w:szCs w:val="24"/>
                <w:lang w:val="en-NZ"/>
              </w:rPr>
              <w:t></w:t>
            </w:r>
            <w:r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Integrity </w:t>
            </w:r>
            <w:r w:rsidRPr="00F37CE6">
              <w:rPr>
                <w:rFonts w:ascii="Wingdings 2" w:eastAsiaTheme="minorHAnsi" w:hAnsi="Wingdings 2"/>
                <w:sz w:val="18"/>
                <w:szCs w:val="24"/>
              </w:rPr>
              <w:t></w:t>
            </w:r>
            <w:r w:rsidR="008E1141" w:rsidRPr="00F37CE6">
              <w:rPr>
                <w:rFonts w:ascii="Wingdings 2" w:eastAsiaTheme="minorHAnsi" w:hAnsi="Wingdings 2"/>
                <w:sz w:val="18"/>
                <w:szCs w:val="24"/>
              </w:rPr>
              <w:t></w:t>
            </w:r>
          </w:p>
        </w:tc>
      </w:tr>
      <w:tr w:rsidR="00BB411D" w:rsidTr="00716A9E">
        <w:tc>
          <w:tcPr>
            <w:tcW w:w="2376" w:type="dxa"/>
            <w:vMerge/>
          </w:tcPr>
          <w:p w:rsidR="00BB411D" w:rsidRPr="00F37CE6" w:rsidRDefault="00BB411D" w:rsidP="00F37CE6">
            <w:pPr>
              <w:pStyle w:val="spacer"/>
              <w:rPr>
                <w:rFonts w:ascii="Times New Roman" w:hAnsi="Times New Roman"/>
                <w:sz w:val="18"/>
                <w:szCs w:val="24"/>
                <w:lang w:val="en-AU"/>
              </w:rPr>
            </w:pPr>
          </w:p>
        </w:tc>
        <w:tc>
          <w:tcPr>
            <w:tcW w:w="4111" w:type="dxa"/>
          </w:tcPr>
          <w:p w:rsidR="00BB411D" w:rsidRDefault="00BB411D" w:rsidP="00F37CE6">
            <w:pPr>
              <w:pStyle w:val="spacer"/>
              <w:rPr>
                <w:rFonts w:ascii="Times New Roman" w:hAnsi="Times New Roman"/>
                <w:sz w:val="18"/>
                <w:szCs w:val="24"/>
                <w:lang w:val="en-AU" w:eastAsia="en-US"/>
              </w:rPr>
            </w:pPr>
            <w:r w:rsidRPr="00F37CE6">
              <w:rPr>
                <w:rFonts w:ascii="Times New Roman" w:hAnsi="Times New Roman"/>
                <w:b/>
                <w:sz w:val="18"/>
                <w:szCs w:val="24"/>
                <w:lang w:val="en-AU" w:eastAsia="en-US"/>
              </w:rPr>
              <w:t xml:space="preserve">Option C </w:t>
            </w:r>
            <w:r w:rsidRPr="00F37CE6">
              <w:rPr>
                <w:rFonts w:ascii="Times New Roman" w:hAnsi="Times New Roman"/>
                <w:sz w:val="18"/>
                <w:szCs w:val="24"/>
                <w:lang w:val="en-AU" w:eastAsia="en-US"/>
              </w:rPr>
              <w:t>– retain and modernise widely-offered schemes</w:t>
            </w:r>
          </w:p>
          <w:p w:rsidR="00BB411D" w:rsidRDefault="00BB411D" w:rsidP="00F37CE6">
            <w:pPr>
              <w:pStyle w:val="spacer"/>
              <w:rPr>
                <w:rFonts w:ascii="Times New Roman" w:hAnsi="Times New Roman"/>
                <w:sz w:val="18"/>
                <w:szCs w:val="24"/>
                <w:lang w:val="en-AU" w:eastAsia="en-US"/>
              </w:rPr>
            </w:pPr>
          </w:p>
          <w:p w:rsidR="00BB411D" w:rsidRPr="00F37CE6" w:rsidRDefault="00BB411D" w:rsidP="00F37CE6">
            <w:pPr>
              <w:pStyle w:val="spacer"/>
              <w:rPr>
                <w:rFonts w:ascii="Times New Roman" w:hAnsi="Times New Roman"/>
                <w:sz w:val="18"/>
                <w:szCs w:val="24"/>
                <w:lang w:val="en-AU"/>
              </w:rPr>
            </w:pPr>
            <w:r w:rsidRPr="00CD2C83">
              <w:rPr>
                <w:rFonts w:ascii="Times New Roman" w:hAnsi="Times New Roman"/>
                <w:b/>
                <w:color w:val="FF0000"/>
                <w:sz w:val="18"/>
                <w:szCs w:val="24"/>
                <w:lang w:val="en-AU"/>
              </w:rPr>
              <w:t>Preferred option</w:t>
            </w:r>
          </w:p>
        </w:tc>
        <w:tc>
          <w:tcPr>
            <w:tcW w:w="3544" w:type="dxa"/>
          </w:tcPr>
          <w:p w:rsidR="00BB411D" w:rsidRPr="00F37CE6" w:rsidRDefault="00BB411D" w:rsidP="00F37CE6">
            <w:pPr>
              <w:pStyle w:val="Bullet-list"/>
              <w:spacing w:after="0" w:line="240" w:lineRule="auto"/>
              <w:ind w:left="0" w:firstLine="0"/>
              <w:rPr>
                <w:rFonts w:ascii="Times New Roman" w:hAnsi="Times New Roman"/>
                <w:b/>
                <w:i/>
                <w:sz w:val="18"/>
                <w:szCs w:val="24"/>
              </w:rPr>
            </w:pPr>
            <w:r w:rsidRPr="00F37CE6">
              <w:rPr>
                <w:rFonts w:ascii="Times New Roman" w:hAnsi="Times New Roman"/>
                <w:b/>
                <w:i/>
                <w:sz w:val="18"/>
                <w:szCs w:val="24"/>
              </w:rPr>
              <w:t>Meets the main objective</w:t>
            </w:r>
          </w:p>
          <w:p w:rsidR="00BB411D" w:rsidRPr="00F37CE6" w:rsidRDefault="00BB411D" w:rsidP="00F37CE6">
            <w:pPr>
              <w:pStyle w:val="Bullet-list"/>
              <w:spacing w:after="0" w:line="240" w:lineRule="auto"/>
              <w:ind w:left="0" w:firstLine="0"/>
              <w:rPr>
                <w:rFonts w:ascii="Times New Roman" w:hAnsi="Times New Roman"/>
                <w:i/>
                <w:sz w:val="18"/>
                <w:szCs w:val="24"/>
              </w:rPr>
            </w:pP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Neutrality </w:t>
            </w:r>
            <w:r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rPr>
                <w:rFonts w:ascii="Times New Roman" w:hAnsi="Times New Roman"/>
                <w:b/>
                <w:sz w:val="18"/>
                <w:szCs w:val="24"/>
              </w:rPr>
            </w:pPr>
            <w:r w:rsidRPr="00F37CE6">
              <w:rPr>
                <w:rFonts w:ascii="Times New Roman" w:hAnsi="Times New Roman"/>
                <w:sz w:val="18"/>
                <w:szCs w:val="24"/>
              </w:rPr>
              <w:t xml:space="preserve">Equity </w:t>
            </w:r>
            <w:r w:rsidRPr="00F37CE6">
              <w:rPr>
                <w:rFonts w:ascii="Wingdings 2" w:eastAsiaTheme="minorHAnsi" w:hAnsi="Wingdings 2"/>
                <w:sz w:val="18"/>
                <w:szCs w:val="24"/>
                <w:lang w:val="en-NZ"/>
              </w:rPr>
              <w:t></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Compliance costs </w:t>
            </w:r>
            <w:r w:rsidRPr="00F37CE6">
              <w:rPr>
                <w:rFonts w:ascii="Wingdings 2" w:eastAsiaTheme="minorHAnsi" w:hAnsi="Wingdings 2"/>
                <w:sz w:val="18"/>
                <w:szCs w:val="24"/>
              </w:rPr>
              <w:t></w:t>
            </w:r>
            <w:r w:rsidRPr="00F37CE6">
              <w:rPr>
                <w:rFonts w:ascii="Wingdings 2" w:eastAsiaTheme="minorHAnsi" w:hAnsi="Wingdings 2"/>
                <w:sz w:val="18"/>
                <w:szCs w:val="24"/>
              </w:rPr>
              <w:t></w:t>
            </w:r>
            <w:r w:rsidRPr="00F37CE6">
              <w:rPr>
                <w:rFonts w:ascii="Times New Roman" w:hAnsi="Times New Roman"/>
                <w:sz w:val="18"/>
                <w:szCs w:val="24"/>
              </w:rPr>
              <w:t xml:space="preserve"> </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Administrative costs </w:t>
            </w:r>
            <w:r w:rsidRPr="00F37CE6">
              <w:rPr>
                <w:rFonts w:ascii="Wingdings 2" w:eastAsiaTheme="minorHAnsi" w:hAnsi="Wingdings 2"/>
                <w:sz w:val="18"/>
                <w:szCs w:val="24"/>
              </w:rPr>
              <w:t></w:t>
            </w:r>
            <w:r w:rsidRPr="00F37CE6">
              <w:rPr>
                <w:rFonts w:ascii="Wingdings 2" w:eastAsiaTheme="minorHAnsi" w:hAnsi="Wingdings 2"/>
                <w:sz w:val="18"/>
                <w:szCs w:val="24"/>
              </w:rPr>
              <w:t></w:t>
            </w:r>
          </w:p>
          <w:p w:rsidR="00BB411D" w:rsidRPr="00F37CE6" w:rsidRDefault="00BB411D" w:rsidP="00F37CE6">
            <w:pPr>
              <w:pStyle w:val="Bullet-list"/>
              <w:spacing w:after="0" w:line="240" w:lineRule="auto"/>
              <w:rPr>
                <w:rFonts w:ascii="Times New Roman" w:hAnsi="Times New Roman"/>
                <w:sz w:val="18"/>
                <w:szCs w:val="24"/>
              </w:rPr>
            </w:pPr>
            <w:r w:rsidRPr="00F37CE6">
              <w:rPr>
                <w:rFonts w:ascii="Times New Roman" w:hAnsi="Times New Roman"/>
                <w:sz w:val="18"/>
                <w:szCs w:val="24"/>
              </w:rPr>
              <w:t xml:space="preserve">Integrity </w:t>
            </w:r>
            <w:r w:rsidR="008E1141" w:rsidRPr="00F37CE6">
              <w:rPr>
                <w:rFonts w:ascii="Wingdings 2" w:eastAsiaTheme="minorHAnsi" w:hAnsi="Wingdings 2"/>
                <w:sz w:val="18"/>
                <w:szCs w:val="24"/>
              </w:rPr>
              <w:t></w:t>
            </w:r>
          </w:p>
        </w:tc>
      </w:tr>
    </w:tbl>
    <w:p w:rsidR="00716A9E" w:rsidRDefault="00716A9E" w:rsidP="00716A9E">
      <w:pPr>
        <w:pStyle w:val="Bullet-list"/>
        <w:spacing w:after="0" w:line="240" w:lineRule="auto"/>
        <w:ind w:left="0" w:firstLine="0"/>
        <w:jc w:val="both"/>
        <w:rPr>
          <w:rFonts w:ascii="Times New Roman" w:hAnsi="Times New Roman"/>
          <w:sz w:val="24"/>
          <w:szCs w:val="24"/>
        </w:rPr>
      </w:pPr>
    </w:p>
    <w:p w:rsidR="00FD6559" w:rsidRDefault="00FD6559" w:rsidP="00FD6559">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summary, the proposed package involves aligning the taxing point of ESS with when the employee has earned the shares and generally holds them like other shareholders, allowing employers a matching deduction and modernising the widely-offered tax-exempt schemes. </w:t>
      </w:r>
    </w:p>
    <w:p w:rsidR="00FD6559" w:rsidRDefault="00FD6559" w:rsidP="00F37CE6">
      <w:pPr>
        <w:pStyle w:val="Bullet-list"/>
        <w:spacing w:after="0" w:line="240" w:lineRule="auto"/>
        <w:ind w:left="0" w:firstLine="0"/>
        <w:jc w:val="both"/>
        <w:rPr>
          <w:rFonts w:ascii="Times New Roman" w:hAnsi="Times New Roman"/>
          <w:sz w:val="24"/>
          <w:szCs w:val="24"/>
        </w:rPr>
      </w:pPr>
    </w:p>
    <w:p w:rsidR="00D943DD" w:rsidRDefault="00FD6559"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8E1141">
        <w:rPr>
          <w:rFonts w:ascii="Times New Roman" w:hAnsi="Times New Roman"/>
          <w:sz w:val="24"/>
          <w:szCs w:val="24"/>
        </w:rPr>
        <w:t xml:space="preserve">It is difficult to quantify the direction or size of the fiscal impacts from this combined package relative to baseline estimates since there is no New Zealand data on the amount of income from ESS. </w:t>
      </w:r>
      <w:r w:rsidR="008E1141">
        <w:rPr>
          <w:rFonts w:ascii="Times New Roman" w:hAnsi="Times New Roman"/>
          <w:sz w:val="24"/>
          <w:szCs w:val="24"/>
        </w:rPr>
        <w:t xml:space="preserve">  However, o</w:t>
      </w:r>
      <w:r w:rsidRPr="008E1141">
        <w:rPr>
          <w:rFonts w:ascii="Times New Roman" w:hAnsi="Times New Roman"/>
          <w:sz w:val="24"/>
          <w:szCs w:val="24"/>
        </w:rPr>
        <w:t>n balance the proposals are expected to raise revenue of $30 million per annum once fully phased in.</w:t>
      </w:r>
    </w:p>
    <w:p w:rsidR="003230AE" w:rsidRDefault="003230AE" w:rsidP="003230AE">
      <w:pPr>
        <w:pStyle w:val="ListParagraph"/>
        <w:rPr>
          <w:rFonts w:ascii="Times New Roman" w:hAnsi="Times New Roman"/>
          <w:sz w:val="24"/>
          <w:szCs w:val="24"/>
        </w:rPr>
      </w:pPr>
    </w:p>
    <w:p w:rsidR="000545DC" w:rsidRPr="004342F0" w:rsidRDefault="00D943DD" w:rsidP="00F37CE6">
      <w:pPr>
        <w:pStyle w:val="RISheading"/>
        <w:jc w:val="both"/>
        <w:rPr>
          <w:spacing w:val="0"/>
          <w:w w:val="100"/>
        </w:rPr>
      </w:pPr>
      <w:r w:rsidRPr="004342F0">
        <w:rPr>
          <w:spacing w:val="0"/>
          <w:w w:val="100"/>
        </w:rPr>
        <w:t>IMPLEMENTATION</w:t>
      </w:r>
      <w:bookmarkEnd w:id="39"/>
      <w:bookmarkEnd w:id="40"/>
      <w:bookmarkEnd w:id="41"/>
      <w:bookmarkEnd w:id="42"/>
      <w:bookmarkEnd w:id="43"/>
      <w:r w:rsidRPr="004342F0">
        <w:rPr>
          <w:spacing w:val="0"/>
          <w:w w:val="100"/>
        </w:rPr>
        <w:t xml:space="preserve"> </w:t>
      </w:r>
    </w:p>
    <w:p w:rsidR="00782611" w:rsidRPr="00782611" w:rsidRDefault="000C20D8"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bookmarkStart w:id="44" w:name="_Toc244580369"/>
      <w:bookmarkStart w:id="45" w:name="_Toc244587045"/>
      <w:bookmarkStart w:id="46" w:name="_Toc244857279"/>
      <w:bookmarkStart w:id="47" w:name="_Toc244912544"/>
      <w:bookmarkStart w:id="48" w:name="_Toc244917001"/>
      <w:r>
        <w:rPr>
          <w:rFonts w:ascii="Times New Roman" w:hAnsi="Times New Roman"/>
          <w:sz w:val="24"/>
          <w:szCs w:val="24"/>
        </w:rPr>
        <w:t>T</w:t>
      </w:r>
      <w:r w:rsidR="00782611" w:rsidRPr="00782611">
        <w:rPr>
          <w:rFonts w:ascii="Times New Roman" w:hAnsi="Times New Roman"/>
          <w:sz w:val="24"/>
          <w:szCs w:val="24"/>
        </w:rPr>
        <w:t xml:space="preserve">he preferred options will primarily require changes to the </w:t>
      </w:r>
      <w:r w:rsidR="004F620B">
        <w:rPr>
          <w:rFonts w:ascii="Times New Roman" w:hAnsi="Times New Roman"/>
          <w:sz w:val="24"/>
          <w:szCs w:val="24"/>
        </w:rPr>
        <w:t>ITA</w:t>
      </w:r>
      <w:r w:rsidR="00782611" w:rsidRPr="00782611">
        <w:rPr>
          <w:rFonts w:ascii="Times New Roman" w:hAnsi="Times New Roman"/>
          <w:sz w:val="24"/>
          <w:szCs w:val="24"/>
        </w:rPr>
        <w:t>.</w:t>
      </w:r>
    </w:p>
    <w:p w:rsidR="00782611" w:rsidRDefault="00782611">
      <w:pPr>
        <w:pStyle w:val="Bullet-list"/>
        <w:spacing w:after="0" w:line="240" w:lineRule="auto"/>
        <w:ind w:left="0" w:firstLine="0"/>
        <w:jc w:val="both"/>
        <w:rPr>
          <w:rFonts w:ascii="Times New Roman" w:hAnsi="Times New Roman"/>
          <w:sz w:val="24"/>
          <w:szCs w:val="24"/>
        </w:rPr>
      </w:pPr>
    </w:p>
    <w:p w:rsidR="00782611" w:rsidRDefault="00782611"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782611">
        <w:rPr>
          <w:rFonts w:ascii="Times New Roman" w:hAnsi="Times New Roman"/>
          <w:sz w:val="24"/>
          <w:szCs w:val="24"/>
        </w:rPr>
        <w:t xml:space="preserve">Officials recommend any legislative changes be included in the taxation bill scheduled for introduction in </w:t>
      </w:r>
      <w:r w:rsidR="004F620B">
        <w:rPr>
          <w:rFonts w:ascii="Times New Roman" w:hAnsi="Times New Roman"/>
          <w:sz w:val="24"/>
          <w:szCs w:val="24"/>
        </w:rPr>
        <w:t>early</w:t>
      </w:r>
      <w:r w:rsidRPr="00782611">
        <w:rPr>
          <w:rFonts w:ascii="Times New Roman" w:hAnsi="Times New Roman"/>
          <w:sz w:val="24"/>
          <w:szCs w:val="24"/>
        </w:rPr>
        <w:t xml:space="preserve"> 201</w:t>
      </w:r>
      <w:r>
        <w:rPr>
          <w:rFonts w:ascii="Times New Roman" w:hAnsi="Times New Roman"/>
          <w:sz w:val="24"/>
          <w:szCs w:val="24"/>
        </w:rPr>
        <w:t xml:space="preserve">7 </w:t>
      </w:r>
      <w:r w:rsidRPr="00782611">
        <w:rPr>
          <w:rFonts w:ascii="Times New Roman" w:hAnsi="Times New Roman"/>
          <w:sz w:val="24"/>
          <w:szCs w:val="24"/>
        </w:rPr>
        <w:t xml:space="preserve">and </w:t>
      </w:r>
      <w:r w:rsidR="003230AE">
        <w:rPr>
          <w:rFonts w:ascii="Times New Roman" w:hAnsi="Times New Roman"/>
          <w:sz w:val="24"/>
          <w:szCs w:val="24"/>
        </w:rPr>
        <w:t>should</w:t>
      </w:r>
      <w:r>
        <w:rPr>
          <w:rFonts w:ascii="Times New Roman" w:hAnsi="Times New Roman"/>
          <w:sz w:val="24"/>
          <w:szCs w:val="24"/>
        </w:rPr>
        <w:t xml:space="preserve"> generally </w:t>
      </w:r>
      <w:r w:rsidRPr="00782611">
        <w:rPr>
          <w:rFonts w:ascii="Times New Roman" w:hAnsi="Times New Roman"/>
          <w:sz w:val="24"/>
          <w:szCs w:val="24"/>
        </w:rPr>
        <w:t xml:space="preserve">apply, unless otherwise stated, </w:t>
      </w:r>
      <w:r w:rsidR="00CD7F0B">
        <w:rPr>
          <w:rFonts w:ascii="Times New Roman" w:hAnsi="Times New Roman"/>
          <w:sz w:val="24"/>
          <w:szCs w:val="24"/>
        </w:rPr>
        <w:t>from enactment</w:t>
      </w:r>
      <w:r w:rsidRPr="00782611">
        <w:rPr>
          <w:rFonts w:ascii="Times New Roman" w:hAnsi="Times New Roman"/>
          <w:sz w:val="24"/>
          <w:szCs w:val="24"/>
        </w:rPr>
        <w:t>.</w:t>
      </w:r>
    </w:p>
    <w:p w:rsidR="00CD7F0B" w:rsidRDefault="00CD7F0B" w:rsidP="00F37CE6">
      <w:pPr>
        <w:pStyle w:val="Bullet-list"/>
        <w:spacing w:after="0" w:line="240" w:lineRule="auto"/>
        <w:ind w:left="0" w:firstLine="0"/>
        <w:jc w:val="both"/>
        <w:rPr>
          <w:rFonts w:ascii="Times New Roman" w:hAnsi="Times New Roman"/>
          <w:sz w:val="24"/>
          <w:szCs w:val="24"/>
        </w:rPr>
      </w:pPr>
    </w:p>
    <w:p w:rsidR="00CD7F0B" w:rsidRPr="00CD7F0B" w:rsidRDefault="00CD7F0B"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CD7F0B">
        <w:rPr>
          <w:rFonts w:ascii="Times New Roman" w:hAnsi="Times New Roman"/>
          <w:sz w:val="24"/>
          <w:szCs w:val="24"/>
        </w:rPr>
        <w:t xml:space="preserve">Transitional rules are very important to ensuring the reforms are fair and give companies and employees an opportunity to update their schemes.  However, </w:t>
      </w:r>
      <w:r>
        <w:rPr>
          <w:rFonts w:ascii="Times New Roman" w:hAnsi="Times New Roman"/>
          <w:sz w:val="24"/>
          <w:szCs w:val="24"/>
        </w:rPr>
        <w:t>there is also a need to prevent</w:t>
      </w:r>
      <w:r w:rsidRPr="00CD7F0B">
        <w:rPr>
          <w:rFonts w:ascii="Times New Roman" w:hAnsi="Times New Roman"/>
          <w:sz w:val="24"/>
          <w:szCs w:val="24"/>
        </w:rPr>
        <w:t xml:space="preserve"> opportunities for tax structuring. </w:t>
      </w:r>
      <w:r>
        <w:rPr>
          <w:rFonts w:ascii="Times New Roman" w:hAnsi="Times New Roman"/>
          <w:sz w:val="24"/>
          <w:szCs w:val="24"/>
        </w:rPr>
        <w:t xml:space="preserve">  We consulted extensively on transitional rules as part of the consultation on the policy proposals.</w:t>
      </w:r>
    </w:p>
    <w:p w:rsidR="00CD7F0B" w:rsidRPr="00CD7F0B" w:rsidRDefault="00CD7F0B">
      <w:pPr>
        <w:pStyle w:val="Bullet-list"/>
        <w:spacing w:after="0" w:line="240" w:lineRule="auto"/>
        <w:ind w:left="0" w:firstLine="0"/>
        <w:jc w:val="both"/>
        <w:rPr>
          <w:rFonts w:ascii="Times New Roman" w:hAnsi="Times New Roman"/>
          <w:sz w:val="24"/>
          <w:szCs w:val="24"/>
        </w:rPr>
      </w:pPr>
    </w:p>
    <w:p w:rsidR="00CD7F0B" w:rsidRDefault="00CD7F0B"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In broad terms, the transitional rules proposed</w:t>
      </w:r>
      <w:r w:rsidRPr="00CD7F0B">
        <w:rPr>
          <w:rFonts w:ascii="Times New Roman" w:hAnsi="Times New Roman"/>
          <w:sz w:val="24"/>
          <w:szCs w:val="24"/>
        </w:rPr>
        <w:t xml:space="preserve"> giv</w:t>
      </w:r>
      <w:r>
        <w:rPr>
          <w:rFonts w:ascii="Times New Roman" w:hAnsi="Times New Roman"/>
          <w:sz w:val="24"/>
          <w:szCs w:val="24"/>
        </w:rPr>
        <w:t>e</w:t>
      </w:r>
      <w:r w:rsidRPr="00CD7F0B">
        <w:rPr>
          <w:rFonts w:ascii="Times New Roman" w:hAnsi="Times New Roman"/>
          <w:sz w:val="24"/>
          <w:szCs w:val="24"/>
        </w:rPr>
        <w:t xml:space="preserve"> companies </w:t>
      </w:r>
      <w:r>
        <w:rPr>
          <w:rFonts w:ascii="Times New Roman" w:hAnsi="Times New Roman"/>
          <w:sz w:val="24"/>
          <w:szCs w:val="24"/>
        </w:rPr>
        <w:t>six</w:t>
      </w:r>
      <w:r w:rsidRPr="00CD7F0B">
        <w:rPr>
          <w:rFonts w:ascii="Times New Roman" w:hAnsi="Times New Roman"/>
          <w:sz w:val="24"/>
          <w:szCs w:val="24"/>
        </w:rPr>
        <w:t xml:space="preserve"> months post-enactment where the old law still applies, so they can update their schemes with the benefit of l</w:t>
      </w:r>
      <w:r>
        <w:rPr>
          <w:rFonts w:ascii="Times New Roman" w:hAnsi="Times New Roman"/>
          <w:sz w:val="24"/>
          <w:szCs w:val="24"/>
        </w:rPr>
        <w:t>ooking at finalised legislation.</w:t>
      </w:r>
    </w:p>
    <w:p w:rsidR="00CD7F0B" w:rsidRDefault="00CD7F0B" w:rsidP="00F37CE6">
      <w:pPr>
        <w:pStyle w:val="Bullet-list"/>
        <w:spacing w:after="0" w:line="240" w:lineRule="auto"/>
        <w:ind w:left="0" w:firstLine="0"/>
        <w:jc w:val="both"/>
        <w:rPr>
          <w:rFonts w:ascii="Times New Roman" w:hAnsi="Times New Roman"/>
          <w:sz w:val="24"/>
          <w:szCs w:val="24"/>
        </w:rPr>
      </w:pPr>
    </w:p>
    <w:p w:rsidR="00CD7F0B" w:rsidRPr="00CD7F0B" w:rsidRDefault="00CD7F0B"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Specifically, </w:t>
      </w:r>
      <w:r w:rsidRPr="00CD7F0B">
        <w:rPr>
          <w:rFonts w:ascii="Times New Roman" w:hAnsi="Times New Roman"/>
          <w:sz w:val="24"/>
          <w:szCs w:val="24"/>
        </w:rPr>
        <w:t>for ESS benefits issued in the ordinary course</w:t>
      </w:r>
      <w:r>
        <w:rPr>
          <w:rFonts w:ascii="Times New Roman" w:hAnsi="Times New Roman"/>
          <w:sz w:val="24"/>
          <w:szCs w:val="24"/>
        </w:rPr>
        <w:t>, there will be</w:t>
      </w:r>
      <w:r w:rsidRPr="00CD7F0B">
        <w:rPr>
          <w:rFonts w:ascii="Times New Roman" w:hAnsi="Times New Roman"/>
          <w:sz w:val="24"/>
          <w:szCs w:val="24"/>
        </w:rPr>
        <w:t>:</w:t>
      </w:r>
    </w:p>
    <w:p w:rsidR="00CD7F0B" w:rsidRPr="00CD7F0B" w:rsidRDefault="00CD7F0B">
      <w:pPr>
        <w:pStyle w:val="Bullet-list"/>
        <w:spacing w:after="0" w:line="240" w:lineRule="auto"/>
        <w:ind w:left="0" w:firstLine="0"/>
        <w:jc w:val="both"/>
        <w:rPr>
          <w:rFonts w:ascii="Times New Roman" w:hAnsi="Times New Roman"/>
          <w:sz w:val="24"/>
          <w:szCs w:val="24"/>
        </w:rPr>
      </w:pPr>
    </w:p>
    <w:p w:rsidR="00CD7F0B" w:rsidRPr="00CD7F0B" w:rsidRDefault="00CD7F0B" w:rsidP="003230AE">
      <w:pPr>
        <w:pStyle w:val="Bullet-list"/>
        <w:numPr>
          <w:ilvl w:val="0"/>
          <w:numId w:val="32"/>
        </w:numPr>
        <w:spacing w:after="0" w:line="240" w:lineRule="auto"/>
        <w:jc w:val="both"/>
        <w:rPr>
          <w:rFonts w:ascii="Times New Roman" w:hAnsi="Times New Roman"/>
          <w:sz w:val="24"/>
          <w:szCs w:val="24"/>
        </w:rPr>
      </w:pPr>
      <w:r w:rsidRPr="00CD7F0B">
        <w:rPr>
          <w:rFonts w:ascii="Times New Roman" w:hAnsi="Times New Roman"/>
          <w:sz w:val="24"/>
          <w:szCs w:val="24"/>
        </w:rPr>
        <w:t xml:space="preserve">open-ended grandparenting for </w:t>
      </w:r>
      <w:r>
        <w:rPr>
          <w:rFonts w:ascii="Times New Roman" w:hAnsi="Times New Roman"/>
          <w:sz w:val="24"/>
          <w:szCs w:val="24"/>
        </w:rPr>
        <w:t>ESS</w:t>
      </w:r>
      <w:r w:rsidRPr="00CD7F0B">
        <w:rPr>
          <w:rFonts w:ascii="Times New Roman" w:hAnsi="Times New Roman"/>
          <w:sz w:val="24"/>
          <w:szCs w:val="24"/>
        </w:rPr>
        <w:t xml:space="preserve"> existing before the issues paper was released in May 2016 if there is a taxing point under the existing law </w:t>
      </w:r>
      <w:r>
        <w:rPr>
          <w:rFonts w:ascii="Times New Roman" w:hAnsi="Times New Roman"/>
          <w:sz w:val="24"/>
          <w:szCs w:val="24"/>
        </w:rPr>
        <w:t xml:space="preserve">(the “old taxing point”) </w:t>
      </w:r>
      <w:r w:rsidRPr="00CD7F0B">
        <w:rPr>
          <w:rFonts w:ascii="Times New Roman" w:hAnsi="Times New Roman"/>
          <w:sz w:val="24"/>
          <w:szCs w:val="24"/>
        </w:rPr>
        <w:t>before the 6 month period ends; and </w:t>
      </w:r>
    </w:p>
    <w:p w:rsidR="00CD7F0B" w:rsidRPr="00CD7F0B" w:rsidRDefault="00CD7F0B" w:rsidP="003230AE">
      <w:pPr>
        <w:pStyle w:val="Bullet-list"/>
        <w:numPr>
          <w:ilvl w:val="0"/>
          <w:numId w:val="32"/>
        </w:numPr>
        <w:spacing w:after="0" w:line="240" w:lineRule="auto"/>
        <w:jc w:val="both"/>
        <w:rPr>
          <w:rFonts w:ascii="Times New Roman" w:hAnsi="Times New Roman"/>
          <w:sz w:val="24"/>
          <w:szCs w:val="24"/>
        </w:rPr>
      </w:pPr>
      <w:r w:rsidRPr="00CD7F0B">
        <w:rPr>
          <w:rFonts w:ascii="Times New Roman" w:hAnsi="Times New Roman"/>
          <w:sz w:val="24"/>
          <w:szCs w:val="24"/>
        </w:rPr>
        <w:t xml:space="preserve">grandparenting for other schemes where the old taxing point falls within that 6 month period and the new taxing point </w:t>
      </w:r>
      <w:r>
        <w:rPr>
          <w:rFonts w:ascii="Times New Roman" w:hAnsi="Times New Roman"/>
          <w:sz w:val="24"/>
          <w:szCs w:val="24"/>
        </w:rPr>
        <w:t>occurs</w:t>
      </w:r>
      <w:r w:rsidRPr="00CD7F0B">
        <w:rPr>
          <w:rFonts w:ascii="Times New Roman" w:hAnsi="Times New Roman"/>
          <w:sz w:val="24"/>
          <w:szCs w:val="24"/>
        </w:rPr>
        <w:t xml:space="preserve"> before a sunset date of 1 April 2022.</w:t>
      </w:r>
    </w:p>
    <w:p w:rsidR="003230AE" w:rsidRDefault="003230AE" w:rsidP="003230AE">
      <w:pPr>
        <w:pStyle w:val="Bullet-list"/>
        <w:spacing w:after="0" w:line="240" w:lineRule="auto"/>
        <w:jc w:val="both"/>
        <w:rPr>
          <w:rFonts w:ascii="Times New Roman" w:hAnsi="Times New Roman"/>
          <w:sz w:val="24"/>
          <w:szCs w:val="24"/>
        </w:rPr>
      </w:pPr>
    </w:p>
    <w:p w:rsidR="003230AE" w:rsidRPr="004F620B" w:rsidRDefault="003230AE" w:rsidP="003230AE">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transitional rules have been designed to minimise compliance costs for businesses and employees in moving to the new rules.    </w:t>
      </w:r>
    </w:p>
    <w:p w:rsidR="00CD7F0B" w:rsidRPr="00CD7F0B" w:rsidRDefault="00CD7F0B">
      <w:pPr>
        <w:pStyle w:val="Bullet-list"/>
        <w:spacing w:after="0" w:line="240" w:lineRule="auto"/>
        <w:ind w:left="0" w:firstLine="0"/>
        <w:jc w:val="both"/>
        <w:rPr>
          <w:rFonts w:ascii="Times New Roman" w:hAnsi="Times New Roman"/>
          <w:sz w:val="24"/>
          <w:szCs w:val="24"/>
        </w:rPr>
      </w:pPr>
    </w:p>
    <w:p w:rsidR="00CD7F0B" w:rsidRPr="00CD7F0B" w:rsidRDefault="00CD7F0B"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CD7F0B">
        <w:rPr>
          <w:rFonts w:ascii="Times New Roman" w:hAnsi="Times New Roman"/>
          <w:sz w:val="24"/>
          <w:szCs w:val="24"/>
        </w:rPr>
        <w:t xml:space="preserve">Otherwise the new rules should </w:t>
      </w:r>
      <w:r>
        <w:rPr>
          <w:rFonts w:ascii="Times New Roman" w:hAnsi="Times New Roman"/>
          <w:sz w:val="24"/>
          <w:szCs w:val="24"/>
        </w:rPr>
        <w:t xml:space="preserve">apply from the date of enactment. </w:t>
      </w:r>
    </w:p>
    <w:p w:rsidR="00782611" w:rsidRDefault="00782611" w:rsidP="00F37CE6">
      <w:pPr>
        <w:pStyle w:val="Bullet-list"/>
        <w:spacing w:after="0" w:line="240" w:lineRule="auto"/>
        <w:ind w:left="0" w:firstLine="0"/>
        <w:jc w:val="both"/>
        <w:rPr>
          <w:rFonts w:ascii="Times New Roman" w:hAnsi="Times New Roman"/>
          <w:sz w:val="24"/>
          <w:szCs w:val="24"/>
        </w:rPr>
      </w:pPr>
    </w:p>
    <w:p w:rsidR="00782611" w:rsidRDefault="00782611"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782611">
        <w:rPr>
          <w:rFonts w:ascii="Times New Roman" w:hAnsi="Times New Roman"/>
          <w:sz w:val="24"/>
          <w:szCs w:val="24"/>
        </w:rPr>
        <w:t xml:space="preserve">When introduced into Parliament, a commentary on the bill will be released explaining the amendments and further explanation of their effect will be contained in Inland Revenue’s </w:t>
      </w:r>
      <w:r w:rsidRPr="00F37CE6">
        <w:rPr>
          <w:rFonts w:ascii="Times New Roman" w:hAnsi="Times New Roman"/>
          <w:i/>
          <w:sz w:val="24"/>
          <w:szCs w:val="24"/>
        </w:rPr>
        <w:t>Tax Information Bulletin</w:t>
      </w:r>
      <w:r w:rsidRPr="00782611">
        <w:rPr>
          <w:rFonts w:ascii="Times New Roman" w:hAnsi="Times New Roman"/>
          <w:sz w:val="24"/>
          <w:szCs w:val="24"/>
        </w:rPr>
        <w:t>, which would be released shortly after the bill receives Royal assent.</w:t>
      </w:r>
    </w:p>
    <w:p w:rsidR="00782611" w:rsidRDefault="00782611" w:rsidP="00F37CE6">
      <w:pPr>
        <w:pStyle w:val="Bullet-list"/>
        <w:spacing w:after="0" w:line="240" w:lineRule="auto"/>
        <w:ind w:left="0" w:firstLine="0"/>
        <w:jc w:val="both"/>
        <w:rPr>
          <w:rFonts w:ascii="Times New Roman" w:hAnsi="Times New Roman"/>
          <w:sz w:val="24"/>
          <w:szCs w:val="24"/>
        </w:rPr>
      </w:pPr>
    </w:p>
    <w:p w:rsidR="00782611" w:rsidRDefault="00782611"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w:t>
      </w:r>
      <w:r w:rsidRPr="00782611">
        <w:rPr>
          <w:rFonts w:ascii="Times New Roman" w:hAnsi="Times New Roman"/>
          <w:sz w:val="24"/>
          <w:szCs w:val="24"/>
        </w:rPr>
        <w:t>nland Revenue will administer the proposed changes. Enforcement of the changes would be managed by Inland Revenue as business as usual.</w:t>
      </w:r>
    </w:p>
    <w:p w:rsidR="006C4F39" w:rsidRDefault="006C4F39" w:rsidP="00F37CE6">
      <w:pPr>
        <w:pStyle w:val="ListParagraph"/>
        <w:rPr>
          <w:rFonts w:ascii="Times New Roman" w:hAnsi="Times New Roman"/>
          <w:sz w:val="24"/>
          <w:szCs w:val="24"/>
        </w:rPr>
      </w:pPr>
    </w:p>
    <w:p w:rsidR="006C4F39" w:rsidRPr="006C4F39" w:rsidRDefault="006C4F39"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F37CE6">
        <w:rPr>
          <w:rFonts w:ascii="Times New Roman" w:hAnsi="Times New Roman"/>
          <w:sz w:val="24"/>
          <w:szCs w:val="24"/>
        </w:rPr>
        <w:t xml:space="preserve">Inland Revenue has completed an impact assessment of the policy proposal and is confident that it has the capacity to provide the administrative </w:t>
      </w:r>
      <w:r w:rsidR="003230AE">
        <w:rPr>
          <w:rFonts w:ascii="Times New Roman" w:hAnsi="Times New Roman"/>
          <w:sz w:val="24"/>
          <w:szCs w:val="24"/>
        </w:rPr>
        <w:t>measures</w:t>
      </w:r>
      <w:r w:rsidRPr="00F37CE6">
        <w:rPr>
          <w:rFonts w:ascii="Times New Roman" w:hAnsi="Times New Roman"/>
          <w:sz w:val="24"/>
          <w:szCs w:val="24"/>
        </w:rPr>
        <w:t xml:space="preserve"> necessary to implement these reforms</w:t>
      </w:r>
      <w:r>
        <w:rPr>
          <w:rFonts w:ascii="Times New Roman" w:hAnsi="Times New Roman"/>
          <w:sz w:val="24"/>
          <w:szCs w:val="24"/>
        </w:rPr>
        <w:t>.</w:t>
      </w:r>
    </w:p>
    <w:p w:rsidR="004F620B" w:rsidRDefault="004F620B" w:rsidP="00F37CE6">
      <w:pPr>
        <w:pStyle w:val="Bullet-list"/>
        <w:spacing w:after="0" w:line="240" w:lineRule="auto"/>
        <w:ind w:left="0" w:firstLine="0"/>
        <w:jc w:val="both"/>
        <w:rPr>
          <w:rFonts w:ascii="Times New Roman" w:hAnsi="Times New Roman"/>
          <w:sz w:val="24"/>
          <w:szCs w:val="24"/>
        </w:rPr>
      </w:pPr>
    </w:p>
    <w:p w:rsidR="000545DC" w:rsidRPr="004342F0" w:rsidRDefault="00D943DD" w:rsidP="00F37CE6">
      <w:pPr>
        <w:pStyle w:val="RISheading"/>
        <w:jc w:val="both"/>
        <w:rPr>
          <w:spacing w:val="0"/>
          <w:w w:val="100"/>
        </w:rPr>
      </w:pPr>
      <w:r w:rsidRPr="004342F0">
        <w:rPr>
          <w:spacing w:val="0"/>
          <w:w w:val="100"/>
        </w:rPr>
        <w:t>MONITORING, EVALUATION AND REVIEW</w:t>
      </w:r>
      <w:bookmarkEnd w:id="44"/>
      <w:bookmarkEnd w:id="45"/>
      <w:bookmarkEnd w:id="46"/>
      <w:bookmarkEnd w:id="47"/>
      <w:bookmarkEnd w:id="48"/>
    </w:p>
    <w:p w:rsidR="00407F66" w:rsidRDefault="00407F66"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407F66">
        <w:rPr>
          <w:rFonts w:ascii="Times New Roman" w:hAnsi="Times New Roman"/>
          <w:sz w:val="24"/>
          <w:szCs w:val="24"/>
        </w:rPr>
        <w:t>In general, Inland Revenue</w:t>
      </w:r>
      <w:r w:rsidR="005D236A">
        <w:rPr>
          <w:rFonts w:ascii="Times New Roman" w:hAnsi="Times New Roman"/>
          <w:sz w:val="24"/>
          <w:szCs w:val="24"/>
        </w:rPr>
        <w:t>’s</w:t>
      </w:r>
      <w:r w:rsidRPr="00407F66">
        <w:rPr>
          <w:rFonts w:ascii="Times New Roman" w:hAnsi="Times New Roman"/>
          <w:sz w:val="24"/>
          <w:szCs w:val="24"/>
        </w:rPr>
        <w:t xml:space="preserve"> monitoring, evaluation and review of these proposals would take place under the generic tax policy process (GTPP). The GTPP is a multi-stage policy process that has been used to design tax policy (and subsequently social policy administered by Inland Revenue) in New Zealand since 1995.</w:t>
      </w:r>
    </w:p>
    <w:p w:rsidR="00407F66" w:rsidRDefault="00407F66">
      <w:pPr>
        <w:pStyle w:val="Bullet-list"/>
        <w:spacing w:after="0" w:line="240" w:lineRule="auto"/>
        <w:ind w:left="0" w:firstLine="0"/>
        <w:jc w:val="both"/>
        <w:rPr>
          <w:rFonts w:ascii="Times New Roman" w:hAnsi="Times New Roman"/>
          <w:sz w:val="24"/>
          <w:szCs w:val="24"/>
        </w:rPr>
      </w:pPr>
    </w:p>
    <w:p w:rsidR="00407F66" w:rsidRDefault="00407F66"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sidRPr="00407F66">
        <w:rPr>
          <w:rFonts w:ascii="Times New Roman" w:hAnsi="Times New Roman"/>
          <w:sz w:val="24"/>
          <w:szCs w:val="24"/>
        </w:rPr>
        <w:t>The final step in the process is the implementation and review stage, which involves post-implementation review of legislation and the identification of remedial issues. Opportunities for external consultation are built into this stage. In practice, any changes identified as necessary would be added to the tax policy work programme, and proposals would go through the GTPP.</w:t>
      </w:r>
    </w:p>
    <w:p w:rsidR="00FE4E3F" w:rsidRDefault="00FE4E3F" w:rsidP="00F37CE6">
      <w:pPr>
        <w:pStyle w:val="Bullet-list"/>
        <w:spacing w:after="0" w:line="240" w:lineRule="auto"/>
        <w:ind w:left="0" w:firstLine="0"/>
        <w:jc w:val="both"/>
        <w:rPr>
          <w:rFonts w:ascii="Times New Roman" w:hAnsi="Times New Roman"/>
          <w:sz w:val="24"/>
          <w:szCs w:val="24"/>
        </w:rPr>
      </w:pPr>
    </w:p>
    <w:p w:rsidR="00FE4E3F" w:rsidRPr="00407F66" w:rsidRDefault="00FE4E3F" w:rsidP="00F37CE6">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Because there is no quantitative data on the use of ESS to provide remunerati</w:t>
      </w:r>
      <w:r w:rsidR="00C7231F">
        <w:rPr>
          <w:rFonts w:ascii="Times New Roman" w:hAnsi="Times New Roman"/>
          <w:sz w:val="24"/>
          <w:szCs w:val="24"/>
        </w:rPr>
        <w:t>o</w:t>
      </w:r>
      <w:r>
        <w:rPr>
          <w:rFonts w:ascii="Times New Roman" w:hAnsi="Times New Roman"/>
          <w:sz w:val="24"/>
          <w:szCs w:val="24"/>
        </w:rPr>
        <w:t xml:space="preserve">n, it will not be possible to judge the effect of the proposals either on the amount of ESS benefits provided in the economy or on the amount of tax collected on ESS benefits.  </w:t>
      </w:r>
    </w:p>
    <w:p w:rsidR="00F11542" w:rsidRPr="00594805" w:rsidRDefault="00F11542" w:rsidP="00F37CE6">
      <w:pPr>
        <w:spacing w:after="0" w:line="240" w:lineRule="auto"/>
        <w:jc w:val="both"/>
        <w:rPr>
          <w:rFonts w:ascii="Times New Roman" w:hAnsi="Times New Roman"/>
          <w:sz w:val="24"/>
          <w:szCs w:val="24"/>
          <w:lang w:val="en-NZ" w:eastAsia="en-AU"/>
        </w:rPr>
      </w:pPr>
    </w:p>
    <w:sectPr w:rsidR="00F11542" w:rsidRPr="00594805" w:rsidSect="004D1829">
      <w:pgSz w:w="11907" w:h="16840" w:code="9"/>
      <w:pgMar w:top="1134" w:right="1418" w:bottom="85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6A" w:rsidRDefault="0098146A" w:rsidP="00F72085">
      <w:r>
        <w:separator/>
      </w:r>
    </w:p>
  </w:endnote>
  <w:endnote w:type="continuationSeparator" w:id="0">
    <w:p w:rsidR="0098146A" w:rsidRDefault="0098146A"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6A" w:rsidRDefault="0098146A"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8146A" w:rsidRPr="00281580" w:rsidRDefault="0098146A"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6A" w:rsidRPr="00594805" w:rsidRDefault="0098146A"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8E2EF4">
      <w:rPr>
        <w:rStyle w:val="PageNumber"/>
        <w:rFonts w:ascii="Times New Roman" w:hAnsi="Times New Roman"/>
        <w:color w:val="auto"/>
        <w:sz w:val="20"/>
        <w:szCs w:val="20"/>
      </w:rPr>
      <w:t>1</w:t>
    </w:r>
    <w:r w:rsidRPr="00594805">
      <w:rPr>
        <w:rStyle w:val="PageNumber"/>
        <w:rFonts w:ascii="Times New Roman" w:hAnsi="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6A" w:rsidRDefault="0098146A" w:rsidP="00F72085">
      <w:r>
        <w:separator/>
      </w:r>
    </w:p>
  </w:footnote>
  <w:footnote w:type="continuationSeparator" w:id="0">
    <w:p w:rsidR="0098146A" w:rsidRDefault="0098146A" w:rsidP="00F72085">
      <w:r>
        <w:continuationSeparator/>
      </w:r>
    </w:p>
  </w:footnote>
  <w:footnote w:id="1">
    <w:p w:rsidR="0098146A" w:rsidRPr="0084019C" w:rsidRDefault="0098146A" w:rsidP="0084019C">
      <w:pPr>
        <w:pStyle w:val="FootnoteText"/>
        <w:rPr>
          <w:rFonts w:ascii="Times New Roman" w:hAnsi="Times New Roman"/>
        </w:rPr>
      </w:pPr>
      <w:r w:rsidRPr="0084019C">
        <w:rPr>
          <w:rStyle w:val="FootnoteReference"/>
          <w:rFonts w:ascii="Times New Roman" w:hAnsi="Times New Roman"/>
        </w:rPr>
        <w:footnoteRef/>
      </w:r>
      <w:r w:rsidRPr="0084019C">
        <w:rPr>
          <w:rFonts w:ascii="Times New Roman" w:hAnsi="Times New Roman"/>
        </w:rPr>
        <w:t xml:space="preserve"> The majority of employee share scheme loans are exempt from FBT.</w:t>
      </w:r>
    </w:p>
  </w:footnote>
  <w:footnote w:id="2">
    <w:p w:rsidR="0098146A" w:rsidRPr="00382FB8" w:rsidRDefault="0098146A" w:rsidP="00382FB8">
      <w:pPr>
        <w:pStyle w:val="spacer"/>
        <w:keepNext/>
        <w:spacing w:before="80" w:after="80" w:line="280" w:lineRule="atLeast"/>
        <w:rPr>
          <w:rFonts w:cs="Arial"/>
          <w:sz w:val="20"/>
          <w:lang w:val="en-NZ"/>
        </w:rPr>
      </w:pPr>
      <w:r>
        <w:rPr>
          <w:rStyle w:val="FootnoteReference"/>
        </w:rPr>
        <w:footnoteRef/>
      </w:r>
      <w:r>
        <w:t xml:space="preserve"> </w:t>
      </w:r>
      <w:hyperlink r:id="rId1" w:history="1">
        <w:r w:rsidRPr="00382FB8">
          <w:rPr>
            <w:rFonts w:ascii="Times New Roman" w:hAnsi="Times New Roman"/>
            <w:sz w:val="18"/>
            <w:szCs w:val="20"/>
            <w:lang w:eastAsia="en-GB"/>
          </w:rPr>
          <w:t>https://assets.kpmg.com/content/dam/kpmg/pdf/2016/02/NZ-Employee-Share-Schemes-Brochure-Feb-2016.pdf</w:t>
        </w:r>
      </w:hyperlink>
      <w:r>
        <w:rPr>
          <w:rFonts w:cs="Arial"/>
          <w:sz w:val="20"/>
          <w:lang w:val="en-NZ"/>
        </w:rPr>
        <w:t xml:space="preserve"> </w:t>
      </w:r>
    </w:p>
  </w:footnote>
  <w:footnote w:id="3">
    <w:p w:rsidR="0098146A" w:rsidRPr="005E2A30" w:rsidRDefault="0098146A">
      <w:pPr>
        <w:pStyle w:val="FootnoteText"/>
        <w:rPr>
          <w:lang w:val="en-NZ"/>
        </w:rPr>
      </w:pPr>
      <w:r>
        <w:rPr>
          <w:rStyle w:val="FootnoteReference"/>
        </w:rPr>
        <w:footnoteRef/>
      </w:r>
      <w:r>
        <w:t xml:space="preserve"> </w:t>
      </w:r>
      <w:hyperlink r:id="rId2" w:history="1">
        <w:r w:rsidRPr="005E2A30">
          <w:rPr>
            <w:rFonts w:ascii="Times New Roman" w:hAnsi="Times New Roman"/>
          </w:rPr>
          <w:t>http://www.nzvif.co.nz/assets/publications/ESOP-Survey-Report.pdf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5C3"/>
    <w:multiLevelType w:val="hybridMultilevel"/>
    <w:tmpl w:val="31FA901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nsid w:val="0454351B"/>
    <w:multiLevelType w:val="hybridMultilevel"/>
    <w:tmpl w:val="30F6C9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53E4624"/>
    <w:multiLevelType w:val="hybridMultilevel"/>
    <w:tmpl w:val="19A2CCB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6AC173A"/>
    <w:multiLevelType w:val="multilevel"/>
    <w:tmpl w:val="7C2C2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49D73B4"/>
    <w:multiLevelType w:val="hybridMultilevel"/>
    <w:tmpl w:val="8A148E74"/>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670033C"/>
    <w:multiLevelType w:val="hybridMultilevel"/>
    <w:tmpl w:val="575821B4"/>
    <w:lvl w:ilvl="0" w:tplc="49302404">
      <w:start w:val="1"/>
      <w:numFmt w:val="decimal"/>
      <w:lvlText w:val="%1."/>
      <w:lvlJc w:val="left"/>
      <w:pPr>
        <w:tabs>
          <w:tab w:val="num" w:pos="2421"/>
        </w:tabs>
        <w:ind w:left="2421" w:hanging="360"/>
      </w:pPr>
      <w:rPr>
        <w:b w:val="0"/>
      </w:rPr>
    </w:lvl>
    <w:lvl w:ilvl="1" w:tplc="14090001">
      <w:start w:val="1"/>
      <w:numFmt w:val="bullet"/>
      <w:lvlText w:val=""/>
      <w:lvlJc w:val="left"/>
      <w:pPr>
        <w:tabs>
          <w:tab w:val="num" w:pos="3141"/>
        </w:tabs>
        <w:ind w:left="3141" w:hanging="360"/>
      </w:pPr>
      <w:rPr>
        <w:rFonts w:ascii="Symbol" w:hAnsi="Symbol" w:hint="default"/>
        <w:b w:val="0"/>
      </w:rPr>
    </w:lvl>
    <w:lvl w:ilvl="2" w:tplc="0C09001B">
      <w:start w:val="1"/>
      <w:numFmt w:val="lowerRoman"/>
      <w:lvlText w:val="%3."/>
      <w:lvlJc w:val="right"/>
      <w:pPr>
        <w:tabs>
          <w:tab w:val="num" w:pos="3861"/>
        </w:tabs>
        <w:ind w:left="3861" w:hanging="180"/>
      </w:pPr>
    </w:lvl>
    <w:lvl w:ilvl="3" w:tplc="0C09000F" w:tentative="1">
      <w:start w:val="1"/>
      <w:numFmt w:val="decimal"/>
      <w:lvlText w:val="%4."/>
      <w:lvlJc w:val="left"/>
      <w:pPr>
        <w:tabs>
          <w:tab w:val="num" w:pos="4581"/>
        </w:tabs>
        <w:ind w:left="4581" w:hanging="360"/>
      </w:pPr>
    </w:lvl>
    <w:lvl w:ilvl="4" w:tplc="0C090019" w:tentative="1">
      <w:start w:val="1"/>
      <w:numFmt w:val="lowerLetter"/>
      <w:lvlText w:val="%5."/>
      <w:lvlJc w:val="left"/>
      <w:pPr>
        <w:tabs>
          <w:tab w:val="num" w:pos="5301"/>
        </w:tabs>
        <w:ind w:left="5301" w:hanging="360"/>
      </w:pPr>
    </w:lvl>
    <w:lvl w:ilvl="5" w:tplc="0C09001B" w:tentative="1">
      <w:start w:val="1"/>
      <w:numFmt w:val="lowerRoman"/>
      <w:lvlText w:val="%6."/>
      <w:lvlJc w:val="right"/>
      <w:pPr>
        <w:tabs>
          <w:tab w:val="num" w:pos="6021"/>
        </w:tabs>
        <w:ind w:left="6021" w:hanging="180"/>
      </w:pPr>
    </w:lvl>
    <w:lvl w:ilvl="6" w:tplc="0C09000F" w:tentative="1">
      <w:start w:val="1"/>
      <w:numFmt w:val="decimal"/>
      <w:lvlText w:val="%7."/>
      <w:lvlJc w:val="left"/>
      <w:pPr>
        <w:tabs>
          <w:tab w:val="num" w:pos="6741"/>
        </w:tabs>
        <w:ind w:left="6741" w:hanging="360"/>
      </w:pPr>
    </w:lvl>
    <w:lvl w:ilvl="7" w:tplc="0C090019" w:tentative="1">
      <w:start w:val="1"/>
      <w:numFmt w:val="lowerLetter"/>
      <w:lvlText w:val="%8."/>
      <w:lvlJc w:val="left"/>
      <w:pPr>
        <w:tabs>
          <w:tab w:val="num" w:pos="7461"/>
        </w:tabs>
        <w:ind w:left="7461" w:hanging="360"/>
      </w:pPr>
    </w:lvl>
    <w:lvl w:ilvl="8" w:tplc="0C09001B" w:tentative="1">
      <w:start w:val="1"/>
      <w:numFmt w:val="lowerRoman"/>
      <w:lvlText w:val="%9."/>
      <w:lvlJc w:val="right"/>
      <w:pPr>
        <w:tabs>
          <w:tab w:val="num" w:pos="8181"/>
        </w:tabs>
        <w:ind w:left="8181" w:hanging="180"/>
      </w:pPr>
    </w:lvl>
  </w:abstractNum>
  <w:abstractNum w:abstractNumId="7">
    <w:nsid w:val="196D31D5"/>
    <w:multiLevelType w:val="hybridMultilevel"/>
    <w:tmpl w:val="CE8EC5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C9124C2"/>
    <w:multiLevelType w:val="multilevel"/>
    <w:tmpl w:val="D0EEF44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DC37972"/>
    <w:multiLevelType w:val="singleLevel"/>
    <w:tmpl w:val="AD60C7AA"/>
    <w:lvl w:ilvl="0">
      <w:start w:val="1"/>
      <w:numFmt w:val="decimal"/>
      <w:pStyle w:val="Chapter2"/>
      <w:lvlText w:val="2.%1"/>
      <w:lvlJc w:val="left"/>
      <w:pPr>
        <w:tabs>
          <w:tab w:val="num" w:pos="1702"/>
        </w:tabs>
        <w:ind w:left="1702" w:hanging="851"/>
      </w:pPr>
      <w:rPr>
        <w:rFonts w:hint="default"/>
      </w:rPr>
    </w:lvl>
  </w:abstractNum>
  <w:abstractNum w:abstractNumId="10">
    <w:nsid w:val="232041FB"/>
    <w:multiLevelType w:val="hybridMultilevel"/>
    <w:tmpl w:val="D870F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689157B"/>
    <w:multiLevelType w:val="hybridMultilevel"/>
    <w:tmpl w:val="592E96D2"/>
    <w:lvl w:ilvl="0" w:tplc="FC362A48">
      <w:numFmt w:val="bullet"/>
      <w:lvlText w:val=""/>
      <w:lvlJc w:val="left"/>
      <w:pPr>
        <w:ind w:left="2629" w:hanging="360"/>
      </w:pPr>
      <w:rPr>
        <w:rFonts w:ascii="Wingdings 2" w:eastAsiaTheme="minorHAnsi" w:hAnsi="Wingdings 2" w:cs="Times New Roman" w:hint="default"/>
        <w:sz w:val="22"/>
      </w:rPr>
    </w:lvl>
    <w:lvl w:ilvl="1" w:tplc="14090003" w:tentative="1">
      <w:start w:val="1"/>
      <w:numFmt w:val="bullet"/>
      <w:lvlText w:val="o"/>
      <w:lvlJc w:val="left"/>
      <w:pPr>
        <w:ind w:left="3349" w:hanging="360"/>
      </w:pPr>
      <w:rPr>
        <w:rFonts w:ascii="Courier New" w:hAnsi="Courier New" w:cs="Courier New" w:hint="default"/>
      </w:rPr>
    </w:lvl>
    <w:lvl w:ilvl="2" w:tplc="14090005" w:tentative="1">
      <w:start w:val="1"/>
      <w:numFmt w:val="bullet"/>
      <w:lvlText w:val=""/>
      <w:lvlJc w:val="left"/>
      <w:pPr>
        <w:ind w:left="4069" w:hanging="360"/>
      </w:pPr>
      <w:rPr>
        <w:rFonts w:ascii="Wingdings" w:hAnsi="Wingdings" w:hint="default"/>
      </w:rPr>
    </w:lvl>
    <w:lvl w:ilvl="3" w:tplc="14090001" w:tentative="1">
      <w:start w:val="1"/>
      <w:numFmt w:val="bullet"/>
      <w:lvlText w:val=""/>
      <w:lvlJc w:val="left"/>
      <w:pPr>
        <w:ind w:left="4789" w:hanging="360"/>
      </w:pPr>
      <w:rPr>
        <w:rFonts w:ascii="Symbol" w:hAnsi="Symbol" w:hint="default"/>
      </w:rPr>
    </w:lvl>
    <w:lvl w:ilvl="4" w:tplc="14090003" w:tentative="1">
      <w:start w:val="1"/>
      <w:numFmt w:val="bullet"/>
      <w:lvlText w:val="o"/>
      <w:lvlJc w:val="left"/>
      <w:pPr>
        <w:ind w:left="5509" w:hanging="360"/>
      </w:pPr>
      <w:rPr>
        <w:rFonts w:ascii="Courier New" w:hAnsi="Courier New" w:cs="Courier New" w:hint="default"/>
      </w:rPr>
    </w:lvl>
    <w:lvl w:ilvl="5" w:tplc="14090005" w:tentative="1">
      <w:start w:val="1"/>
      <w:numFmt w:val="bullet"/>
      <w:lvlText w:val=""/>
      <w:lvlJc w:val="left"/>
      <w:pPr>
        <w:ind w:left="6229" w:hanging="360"/>
      </w:pPr>
      <w:rPr>
        <w:rFonts w:ascii="Wingdings" w:hAnsi="Wingdings" w:hint="default"/>
      </w:rPr>
    </w:lvl>
    <w:lvl w:ilvl="6" w:tplc="14090001" w:tentative="1">
      <w:start w:val="1"/>
      <w:numFmt w:val="bullet"/>
      <w:lvlText w:val=""/>
      <w:lvlJc w:val="left"/>
      <w:pPr>
        <w:ind w:left="6949" w:hanging="360"/>
      </w:pPr>
      <w:rPr>
        <w:rFonts w:ascii="Symbol" w:hAnsi="Symbol" w:hint="default"/>
      </w:rPr>
    </w:lvl>
    <w:lvl w:ilvl="7" w:tplc="14090003" w:tentative="1">
      <w:start w:val="1"/>
      <w:numFmt w:val="bullet"/>
      <w:lvlText w:val="o"/>
      <w:lvlJc w:val="left"/>
      <w:pPr>
        <w:ind w:left="7669" w:hanging="360"/>
      </w:pPr>
      <w:rPr>
        <w:rFonts w:ascii="Courier New" w:hAnsi="Courier New" w:cs="Courier New" w:hint="default"/>
      </w:rPr>
    </w:lvl>
    <w:lvl w:ilvl="8" w:tplc="14090005" w:tentative="1">
      <w:start w:val="1"/>
      <w:numFmt w:val="bullet"/>
      <w:lvlText w:val=""/>
      <w:lvlJc w:val="left"/>
      <w:pPr>
        <w:ind w:left="8389" w:hanging="360"/>
      </w:pPr>
      <w:rPr>
        <w:rFonts w:ascii="Wingdings" w:hAnsi="Wingdings" w:hint="default"/>
      </w:rPr>
    </w:lvl>
  </w:abstractNum>
  <w:abstractNum w:abstractNumId="12">
    <w:nsid w:val="29735569"/>
    <w:multiLevelType w:val="hybridMultilevel"/>
    <w:tmpl w:val="A8A2F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C4F09DD"/>
    <w:multiLevelType w:val="hybridMultilevel"/>
    <w:tmpl w:val="8A148E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5">
    <w:nsid w:val="335F0215"/>
    <w:multiLevelType w:val="hybridMultilevel"/>
    <w:tmpl w:val="51F81936"/>
    <w:lvl w:ilvl="0" w:tplc="A89AB082">
      <w:start w:val="1"/>
      <w:numFmt w:val="decimal"/>
      <w:pStyle w:val="Numberparagraph"/>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3AF09BD"/>
    <w:multiLevelType w:val="hybridMultilevel"/>
    <w:tmpl w:val="EDB8334C"/>
    <w:lvl w:ilvl="0" w:tplc="5614BE60">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48F0072"/>
    <w:multiLevelType w:val="hybridMultilevel"/>
    <w:tmpl w:val="DF4E70D6"/>
    <w:lvl w:ilvl="0" w:tplc="7F8CC6AA">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60938EC"/>
    <w:multiLevelType w:val="hybridMultilevel"/>
    <w:tmpl w:val="BD3A05A4"/>
    <w:lvl w:ilvl="0" w:tplc="CF6017AE">
      <w:start w:val="1"/>
      <w:numFmt w:val="decimal"/>
      <w:pStyle w:val="Chapter4"/>
      <w:lvlText w:val="4.%1"/>
      <w:lvlJc w:val="left"/>
      <w:pPr>
        <w:tabs>
          <w:tab w:val="num" w:pos="851"/>
        </w:tabs>
        <w:ind w:left="851" w:hanging="851"/>
      </w:pPr>
      <w:rPr>
        <w:rFonts w:hint="default"/>
        <w:b w:val="0"/>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C7B7980"/>
    <w:multiLevelType w:val="hybridMultilevel"/>
    <w:tmpl w:val="F83E02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462F4703"/>
    <w:multiLevelType w:val="hybridMultilevel"/>
    <w:tmpl w:val="3622010A"/>
    <w:lvl w:ilvl="0" w:tplc="8E14043E">
      <w:start w:val="20"/>
      <w:numFmt w:val="bullet"/>
      <w:lvlText w:val=""/>
      <w:lvlJc w:val="left"/>
      <w:pPr>
        <w:ind w:left="927" w:hanging="360"/>
      </w:pPr>
      <w:rPr>
        <w:rFonts w:ascii="Wingdings 2" w:eastAsiaTheme="minorHAnsi" w:hAnsi="Wingdings 2"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2">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571D426C"/>
    <w:multiLevelType w:val="hybridMultilevel"/>
    <w:tmpl w:val="28BE767A"/>
    <w:lvl w:ilvl="0" w:tplc="C658CCA4">
      <w:start w:val="1"/>
      <w:numFmt w:val="decimal"/>
      <w:lvlText w:val="%1."/>
      <w:lvlJc w:val="left"/>
      <w:pPr>
        <w:ind w:left="720" w:hanging="360"/>
      </w:pPr>
      <w:rPr>
        <w:rFonts w:ascii="Times New Roman" w:hAnsi="Times New Roman" w:cs="Times New Roman" w:hint="default"/>
        <w:b w:val="0"/>
        <w:sz w:val="24"/>
        <w:szCs w:val="24"/>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nsid w:val="5CA854D3"/>
    <w:multiLevelType w:val="hybridMultilevel"/>
    <w:tmpl w:val="D84A3692"/>
    <w:lvl w:ilvl="0" w:tplc="14090001">
      <w:start w:val="1"/>
      <w:numFmt w:val="bullet"/>
      <w:lvlText w:val=""/>
      <w:lvlJc w:val="left"/>
      <w:pPr>
        <w:ind w:left="3141" w:hanging="360"/>
      </w:pPr>
      <w:rPr>
        <w:rFonts w:ascii="Symbol" w:hAnsi="Symbol" w:hint="default"/>
      </w:rPr>
    </w:lvl>
    <w:lvl w:ilvl="1" w:tplc="14090003" w:tentative="1">
      <w:start w:val="1"/>
      <w:numFmt w:val="bullet"/>
      <w:lvlText w:val="o"/>
      <w:lvlJc w:val="left"/>
      <w:pPr>
        <w:ind w:left="3861" w:hanging="360"/>
      </w:pPr>
      <w:rPr>
        <w:rFonts w:ascii="Courier New" w:hAnsi="Courier New" w:cs="Courier New" w:hint="default"/>
      </w:rPr>
    </w:lvl>
    <w:lvl w:ilvl="2" w:tplc="14090005" w:tentative="1">
      <w:start w:val="1"/>
      <w:numFmt w:val="bullet"/>
      <w:lvlText w:val=""/>
      <w:lvlJc w:val="left"/>
      <w:pPr>
        <w:ind w:left="4581" w:hanging="360"/>
      </w:pPr>
      <w:rPr>
        <w:rFonts w:ascii="Wingdings" w:hAnsi="Wingdings" w:hint="default"/>
      </w:rPr>
    </w:lvl>
    <w:lvl w:ilvl="3" w:tplc="14090001" w:tentative="1">
      <w:start w:val="1"/>
      <w:numFmt w:val="bullet"/>
      <w:lvlText w:val=""/>
      <w:lvlJc w:val="left"/>
      <w:pPr>
        <w:ind w:left="5301" w:hanging="360"/>
      </w:pPr>
      <w:rPr>
        <w:rFonts w:ascii="Symbol" w:hAnsi="Symbol" w:hint="default"/>
      </w:rPr>
    </w:lvl>
    <w:lvl w:ilvl="4" w:tplc="14090003" w:tentative="1">
      <w:start w:val="1"/>
      <w:numFmt w:val="bullet"/>
      <w:lvlText w:val="o"/>
      <w:lvlJc w:val="left"/>
      <w:pPr>
        <w:ind w:left="6021" w:hanging="360"/>
      </w:pPr>
      <w:rPr>
        <w:rFonts w:ascii="Courier New" w:hAnsi="Courier New" w:cs="Courier New" w:hint="default"/>
      </w:rPr>
    </w:lvl>
    <w:lvl w:ilvl="5" w:tplc="14090005" w:tentative="1">
      <w:start w:val="1"/>
      <w:numFmt w:val="bullet"/>
      <w:lvlText w:val=""/>
      <w:lvlJc w:val="left"/>
      <w:pPr>
        <w:ind w:left="6741" w:hanging="360"/>
      </w:pPr>
      <w:rPr>
        <w:rFonts w:ascii="Wingdings" w:hAnsi="Wingdings" w:hint="default"/>
      </w:rPr>
    </w:lvl>
    <w:lvl w:ilvl="6" w:tplc="14090001" w:tentative="1">
      <w:start w:val="1"/>
      <w:numFmt w:val="bullet"/>
      <w:lvlText w:val=""/>
      <w:lvlJc w:val="left"/>
      <w:pPr>
        <w:ind w:left="7461" w:hanging="360"/>
      </w:pPr>
      <w:rPr>
        <w:rFonts w:ascii="Symbol" w:hAnsi="Symbol" w:hint="default"/>
      </w:rPr>
    </w:lvl>
    <w:lvl w:ilvl="7" w:tplc="14090003" w:tentative="1">
      <w:start w:val="1"/>
      <w:numFmt w:val="bullet"/>
      <w:lvlText w:val="o"/>
      <w:lvlJc w:val="left"/>
      <w:pPr>
        <w:ind w:left="8181" w:hanging="360"/>
      </w:pPr>
      <w:rPr>
        <w:rFonts w:ascii="Courier New" w:hAnsi="Courier New" w:cs="Courier New" w:hint="default"/>
      </w:rPr>
    </w:lvl>
    <w:lvl w:ilvl="8" w:tplc="14090005" w:tentative="1">
      <w:start w:val="1"/>
      <w:numFmt w:val="bullet"/>
      <w:lvlText w:val=""/>
      <w:lvlJc w:val="left"/>
      <w:pPr>
        <w:ind w:left="8901" w:hanging="360"/>
      </w:pPr>
      <w:rPr>
        <w:rFonts w:ascii="Wingdings" w:hAnsi="Wingdings" w:hint="default"/>
      </w:rPr>
    </w:lvl>
  </w:abstractNum>
  <w:abstractNum w:abstractNumId="26">
    <w:nsid w:val="5D14162B"/>
    <w:multiLevelType w:val="hybridMultilevel"/>
    <w:tmpl w:val="930497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F3E1D42"/>
    <w:multiLevelType w:val="hybridMultilevel"/>
    <w:tmpl w:val="809C77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40C6943"/>
    <w:multiLevelType w:val="singleLevel"/>
    <w:tmpl w:val="9864D8FA"/>
    <w:lvl w:ilvl="0">
      <w:start w:val="1"/>
      <w:numFmt w:val="decimal"/>
      <w:pStyle w:val="Chapter3"/>
      <w:lvlText w:val="3.%1"/>
      <w:lvlJc w:val="left"/>
      <w:pPr>
        <w:tabs>
          <w:tab w:val="num" w:pos="1561"/>
        </w:tabs>
        <w:ind w:left="1561" w:hanging="851"/>
      </w:pPr>
      <w:rPr>
        <w:rFonts w:hint="default"/>
      </w:rPr>
    </w:lvl>
  </w:abstractNum>
  <w:abstractNum w:abstractNumId="29">
    <w:nsid w:val="69860D9D"/>
    <w:multiLevelType w:val="hybridMultilevel"/>
    <w:tmpl w:val="A1E4254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0">
    <w:nsid w:val="739032D9"/>
    <w:multiLevelType w:val="hybridMultilevel"/>
    <w:tmpl w:val="8A148E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5ED6463"/>
    <w:multiLevelType w:val="hybridMultilevel"/>
    <w:tmpl w:val="8A148E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14"/>
  </w:num>
  <w:num w:numId="3">
    <w:abstractNumId w:val="6"/>
  </w:num>
  <w:num w:numId="4">
    <w:abstractNumId w:val="4"/>
  </w:num>
  <w:num w:numId="5">
    <w:abstractNumId w:val="22"/>
  </w:num>
  <w:num w:numId="6">
    <w:abstractNumId w:val="23"/>
  </w:num>
  <w:num w:numId="7">
    <w:abstractNumId w:val="0"/>
  </w:num>
  <w:num w:numId="8">
    <w:abstractNumId w:val="28"/>
  </w:num>
  <w:num w:numId="9">
    <w:abstractNumId w:val="18"/>
  </w:num>
  <w:num w:numId="10">
    <w:abstractNumId w:val="29"/>
  </w:num>
  <w:num w:numId="11">
    <w:abstractNumId w:val="8"/>
  </w:num>
  <w:num w:numId="12">
    <w:abstractNumId w:val="9"/>
  </w:num>
  <w:num w:numId="13">
    <w:abstractNumId w:val="24"/>
  </w:num>
  <w:num w:numId="14">
    <w:abstractNumId w:val="1"/>
  </w:num>
  <w:num w:numId="15">
    <w:abstractNumId w:val="7"/>
  </w:num>
  <w:num w:numId="16">
    <w:abstractNumId w:val="30"/>
  </w:num>
  <w:num w:numId="17">
    <w:abstractNumId w:val="5"/>
  </w:num>
  <w:num w:numId="18">
    <w:abstractNumId w:val="21"/>
  </w:num>
  <w:num w:numId="19">
    <w:abstractNumId w:val="11"/>
  </w:num>
  <w:num w:numId="20">
    <w:abstractNumId w:val="12"/>
  </w:num>
  <w:num w:numId="21">
    <w:abstractNumId w:val="20"/>
  </w:num>
  <w:num w:numId="22">
    <w:abstractNumId w:val="31"/>
  </w:num>
  <w:num w:numId="23">
    <w:abstractNumId w:val="15"/>
  </w:num>
  <w:num w:numId="24">
    <w:abstractNumId w:val="13"/>
  </w:num>
  <w:num w:numId="25">
    <w:abstractNumId w:val="3"/>
  </w:num>
  <w:num w:numId="26">
    <w:abstractNumId w:val="10"/>
  </w:num>
  <w:num w:numId="27">
    <w:abstractNumId w:val="27"/>
  </w:num>
  <w:num w:numId="28">
    <w:abstractNumId w:val="26"/>
  </w:num>
  <w:num w:numId="29">
    <w:abstractNumId w:val="17"/>
  </w:num>
  <w:num w:numId="30">
    <w:abstractNumId w:val="16"/>
  </w:num>
  <w:num w:numId="31">
    <w:abstractNumId w:val="25"/>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43"/>
    <w:rsid w:val="00001539"/>
    <w:rsid w:val="00002433"/>
    <w:rsid w:val="000037F4"/>
    <w:rsid w:val="00004A8A"/>
    <w:rsid w:val="00005DC9"/>
    <w:rsid w:val="000105E1"/>
    <w:rsid w:val="00010986"/>
    <w:rsid w:val="00010F7D"/>
    <w:rsid w:val="00012338"/>
    <w:rsid w:val="00013A18"/>
    <w:rsid w:val="00014196"/>
    <w:rsid w:val="000147DC"/>
    <w:rsid w:val="00015072"/>
    <w:rsid w:val="00016722"/>
    <w:rsid w:val="0002068B"/>
    <w:rsid w:val="000232EB"/>
    <w:rsid w:val="00023BAB"/>
    <w:rsid w:val="00023EA6"/>
    <w:rsid w:val="00024B22"/>
    <w:rsid w:val="0002568E"/>
    <w:rsid w:val="00025954"/>
    <w:rsid w:val="00026B35"/>
    <w:rsid w:val="00030890"/>
    <w:rsid w:val="00030DEA"/>
    <w:rsid w:val="00033950"/>
    <w:rsid w:val="000343E7"/>
    <w:rsid w:val="000349EC"/>
    <w:rsid w:val="00035185"/>
    <w:rsid w:val="00036A3D"/>
    <w:rsid w:val="00036EE4"/>
    <w:rsid w:val="00041469"/>
    <w:rsid w:val="000414CC"/>
    <w:rsid w:val="00041CD1"/>
    <w:rsid w:val="0004221C"/>
    <w:rsid w:val="000431FE"/>
    <w:rsid w:val="000435AD"/>
    <w:rsid w:val="00045AFC"/>
    <w:rsid w:val="00046F46"/>
    <w:rsid w:val="00047559"/>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4EF7"/>
    <w:rsid w:val="000655B2"/>
    <w:rsid w:val="00070193"/>
    <w:rsid w:val="00073A19"/>
    <w:rsid w:val="00073F31"/>
    <w:rsid w:val="000745D3"/>
    <w:rsid w:val="00074B13"/>
    <w:rsid w:val="00074D02"/>
    <w:rsid w:val="0007562B"/>
    <w:rsid w:val="00075D26"/>
    <w:rsid w:val="00080CE0"/>
    <w:rsid w:val="00080DE3"/>
    <w:rsid w:val="00082653"/>
    <w:rsid w:val="00082ABC"/>
    <w:rsid w:val="00083ADB"/>
    <w:rsid w:val="00084EBE"/>
    <w:rsid w:val="00085660"/>
    <w:rsid w:val="00086007"/>
    <w:rsid w:val="000863E2"/>
    <w:rsid w:val="00086898"/>
    <w:rsid w:val="0008712F"/>
    <w:rsid w:val="00087C41"/>
    <w:rsid w:val="00095446"/>
    <w:rsid w:val="00096550"/>
    <w:rsid w:val="00096BFA"/>
    <w:rsid w:val="000A073E"/>
    <w:rsid w:val="000A20D1"/>
    <w:rsid w:val="000A3943"/>
    <w:rsid w:val="000A39F4"/>
    <w:rsid w:val="000A43F8"/>
    <w:rsid w:val="000A4419"/>
    <w:rsid w:val="000B005C"/>
    <w:rsid w:val="000B01CC"/>
    <w:rsid w:val="000B0480"/>
    <w:rsid w:val="000B0615"/>
    <w:rsid w:val="000B0C12"/>
    <w:rsid w:val="000B0D42"/>
    <w:rsid w:val="000B16BF"/>
    <w:rsid w:val="000B2052"/>
    <w:rsid w:val="000B5B1E"/>
    <w:rsid w:val="000C0912"/>
    <w:rsid w:val="000C20D8"/>
    <w:rsid w:val="000C2669"/>
    <w:rsid w:val="000C26E9"/>
    <w:rsid w:val="000C3EB5"/>
    <w:rsid w:val="000C43B6"/>
    <w:rsid w:val="000C684B"/>
    <w:rsid w:val="000C6EED"/>
    <w:rsid w:val="000C79FD"/>
    <w:rsid w:val="000D012A"/>
    <w:rsid w:val="000D0FA0"/>
    <w:rsid w:val="000D2A6B"/>
    <w:rsid w:val="000D31FE"/>
    <w:rsid w:val="000D5E01"/>
    <w:rsid w:val="000D6393"/>
    <w:rsid w:val="000D670A"/>
    <w:rsid w:val="000D77C0"/>
    <w:rsid w:val="000D7C12"/>
    <w:rsid w:val="000E0036"/>
    <w:rsid w:val="000E02AE"/>
    <w:rsid w:val="000E0344"/>
    <w:rsid w:val="000E310A"/>
    <w:rsid w:val="000E3979"/>
    <w:rsid w:val="000E3CE1"/>
    <w:rsid w:val="000E73FF"/>
    <w:rsid w:val="000E7C1C"/>
    <w:rsid w:val="000F03B0"/>
    <w:rsid w:val="000F162C"/>
    <w:rsid w:val="000F3333"/>
    <w:rsid w:val="000F6F99"/>
    <w:rsid w:val="000F7020"/>
    <w:rsid w:val="00101A24"/>
    <w:rsid w:val="0010234D"/>
    <w:rsid w:val="00106A05"/>
    <w:rsid w:val="001123BE"/>
    <w:rsid w:val="00113146"/>
    <w:rsid w:val="00114F56"/>
    <w:rsid w:val="001158BA"/>
    <w:rsid w:val="00116006"/>
    <w:rsid w:val="00116B51"/>
    <w:rsid w:val="0012153E"/>
    <w:rsid w:val="0012410B"/>
    <w:rsid w:val="00125812"/>
    <w:rsid w:val="00125ADD"/>
    <w:rsid w:val="00126CD1"/>
    <w:rsid w:val="00127757"/>
    <w:rsid w:val="00130E8F"/>
    <w:rsid w:val="001336E3"/>
    <w:rsid w:val="001339BB"/>
    <w:rsid w:val="00135304"/>
    <w:rsid w:val="00136EED"/>
    <w:rsid w:val="00141B20"/>
    <w:rsid w:val="00141D39"/>
    <w:rsid w:val="00142051"/>
    <w:rsid w:val="00143437"/>
    <w:rsid w:val="00144369"/>
    <w:rsid w:val="00144ADC"/>
    <w:rsid w:val="00144BBB"/>
    <w:rsid w:val="00146FC1"/>
    <w:rsid w:val="00150932"/>
    <w:rsid w:val="00152D49"/>
    <w:rsid w:val="00157E18"/>
    <w:rsid w:val="00161022"/>
    <w:rsid w:val="00161358"/>
    <w:rsid w:val="001620EB"/>
    <w:rsid w:val="0016538E"/>
    <w:rsid w:val="00166A7A"/>
    <w:rsid w:val="00166C49"/>
    <w:rsid w:val="001674EB"/>
    <w:rsid w:val="00167EE1"/>
    <w:rsid w:val="001705C4"/>
    <w:rsid w:val="00171281"/>
    <w:rsid w:val="001712D6"/>
    <w:rsid w:val="001726B0"/>
    <w:rsid w:val="00175644"/>
    <w:rsid w:val="001767C7"/>
    <w:rsid w:val="001800AF"/>
    <w:rsid w:val="00180A3B"/>
    <w:rsid w:val="00180BD5"/>
    <w:rsid w:val="00180D17"/>
    <w:rsid w:val="00183D99"/>
    <w:rsid w:val="00183EB1"/>
    <w:rsid w:val="00184219"/>
    <w:rsid w:val="00185884"/>
    <w:rsid w:val="001901C1"/>
    <w:rsid w:val="00190331"/>
    <w:rsid w:val="0019141D"/>
    <w:rsid w:val="00191B67"/>
    <w:rsid w:val="00191EEC"/>
    <w:rsid w:val="00194873"/>
    <w:rsid w:val="00194B8A"/>
    <w:rsid w:val="00194CF9"/>
    <w:rsid w:val="00197273"/>
    <w:rsid w:val="001A13C8"/>
    <w:rsid w:val="001A1C61"/>
    <w:rsid w:val="001A1DFB"/>
    <w:rsid w:val="001A494C"/>
    <w:rsid w:val="001A5694"/>
    <w:rsid w:val="001A5BEE"/>
    <w:rsid w:val="001B0726"/>
    <w:rsid w:val="001B0A7A"/>
    <w:rsid w:val="001B0DF0"/>
    <w:rsid w:val="001B1A87"/>
    <w:rsid w:val="001B1BDF"/>
    <w:rsid w:val="001B24D5"/>
    <w:rsid w:val="001B2869"/>
    <w:rsid w:val="001B3F6D"/>
    <w:rsid w:val="001B3F81"/>
    <w:rsid w:val="001B4E6C"/>
    <w:rsid w:val="001B54FC"/>
    <w:rsid w:val="001B7122"/>
    <w:rsid w:val="001C0CF6"/>
    <w:rsid w:val="001C2214"/>
    <w:rsid w:val="001C2524"/>
    <w:rsid w:val="001C41C2"/>
    <w:rsid w:val="001C6912"/>
    <w:rsid w:val="001D0A46"/>
    <w:rsid w:val="001D22ED"/>
    <w:rsid w:val="001D3440"/>
    <w:rsid w:val="001D37FB"/>
    <w:rsid w:val="001D4D62"/>
    <w:rsid w:val="001D53A8"/>
    <w:rsid w:val="001D7325"/>
    <w:rsid w:val="001E12C8"/>
    <w:rsid w:val="001E1967"/>
    <w:rsid w:val="001E1A8F"/>
    <w:rsid w:val="001E6311"/>
    <w:rsid w:val="001E6AFE"/>
    <w:rsid w:val="001F0773"/>
    <w:rsid w:val="001F0A67"/>
    <w:rsid w:val="001F0DD3"/>
    <w:rsid w:val="001F1711"/>
    <w:rsid w:val="001F1A2D"/>
    <w:rsid w:val="001F21CB"/>
    <w:rsid w:val="001F5A11"/>
    <w:rsid w:val="001F6750"/>
    <w:rsid w:val="00200311"/>
    <w:rsid w:val="002008D1"/>
    <w:rsid w:val="00202E20"/>
    <w:rsid w:val="002036AA"/>
    <w:rsid w:val="00203789"/>
    <w:rsid w:val="00204A66"/>
    <w:rsid w:val="00204D51"/>
    <w:rsid w:val="00205334"/>
    <w:rsid w:val="00205D47"/>
    <w:rsid w:val="00210BE5"/>
    <w:rsid w:val="00213B41"/>
    <w:rsid w:val="00216DB5"/>
    <w:rsid w:val="00216F08"/>
    <w:rsid w:val="00217A19"/>
    <w:rsid w:val="00222CA5"/>
    <w:rsid w:val="00223298"/>
    <w:rsid w:val="00224A1F"/>
    <w:rsid w:val="00224BD6"/>
    <w:rsid w:val="002253E9"/>
    <w:rsid w:val="002258FC"/>
    <w:rsid w:val="00226226"/>
    <w:rsid w:val="00227D78"/>
    <w:rsid w:val="00227FE4"/>
    <w:rsid w:val="002317B4"/>
    <w:rsid w:val="002331A0"/>
    <w:rsid w:val="00233DC9"/>
    <w:rsid w:val="00234340"/>
    <w:rsid w:val="0023447D"/>
    <w:rsid w:val="0023708B"/>
    <w:rsid w:val="00237318"/>
    <w:rsid w:val="00237FE9"/>
    <w:rsid w:val="0024128C"/>
    <w:rsid w:val="002445E5"/>
    <w:rsid w:val="0024555D"/>
    <w:rsid w:val="00245DA0"/>
    <w:rsid w:val="00247ADA"/>
    <w:rsid w:val="00251406"/>
    <w:rsid w:val="00256877"/>
    <w:rsid w:val="00257836"/>
    <w:rsid w:val="00264EEE"/>
    <w:rsid w:val="0026530E"/>
    <w:rsid w:val="00265DED"/>
    <w:rsid w:val="00265E6C"/>
    <w:rsid w:val="00266A30"/>
    <w:rsid w:val="0026794D"/>
    <w:rsid w:val="00267FAB"/>
    <w:rsid w:val="00270CAF"/>
    <w:rsid w:val="002712C8"/>
    <w:rsid w:val="002719ED"/>
    <w:rsid w:val="00271EB7"/>
    <w:rsid w:val="0027239E"/>
    <w:rsid w:val="00272E82"/>
    <w:rsid w:val="00273D5C"/>
    <w:rsid w:val="00273ECF"/>
    <w:rsid w:val="00275209"/>
    <w:rsid w:val="0027527B"/>
    <w:rsid w:val="00275B26"/>
    <w:rsid w:val="0027706F"/>
    <w:rsid w:val="00277EE4"/>
    <w:rsid w:val="00281580"/>
    <w:rsid w:val="00282DD1"/>
    <w:rsid w:val="00283259"/>
    <w:rsid w:val="00283AFA"/>
    <w:rsid w:val="00283D22"/>
    <w:rsid w:val="00285102"/>
    <w:rsid w:val="00285F4F"/>
    <w:rsid w:val="00287942"/>
    <w:rsid w:val="00290721"/>
    <w:rsid w:val="00292783"/>
    <w:rsid w:val="0029399F"/>
    <w:rsid w:val="00293E21"/>
    <w:rsid w:val="00295264"/>
    <w:rsid w:val="00295DFA"/>
    <w:rsid w:val="00296404"/>
    <w:rsid w:val="0029649F"/>
    <w:rsid w:val="002A05D3"/>
    <w:rsid w:val="002A06C6"/>
    <w:rsid w:val="002A107A"/>
    <w:rsid w:val="002A535E"/>
    <w:rsid w:val="002A5881"/>
    <w:rsid w:val="002A5E7A"/>
    <w:rsid w:val="002A72AB"/>
    <w:rsid w:val="002B0025"/>
    <w:rsid w:val="002B0801"/>
    <w:rsid w:val="002B0A3F"/>
    <w:rsid w:val="002B5324"/>
    <w:rsid w:val="002B56E7"/>
    <w:rsid w:val="002B5823"/>
    <w:rsid w:val="002B733A"/>
    <w:rsid w:val="002B7F4A"/>
    <w:rsid w:val="002C0074"/>
    <w:rsid w:val="002C097E"/>
    <w:rsid w:val="002C22E0"/>
    <w:rsid w:val="002C2315"/>
    <w:rsid w:val="002C301D"/>
    <w:rsid w:val="002C4A38"/>
    <w:rsid w:val="002C65B8"/>
    <w:rsid w:val="002C734D"/>
    <w:rsid w:val="002C744C"/>
    <w:rsid w:val="002D01BF"/>
    <w:rsid w:val="002D0FAA"/>
    <w:rsid w:val="002D2A01"/>
    <w:rsid w:val="002D3E81"/>
    <w:rsid w:val="002D4AC3"/>
    <w:rsid w:val="002D52A0"/>
    <w:rsid w:val="002D6691"/>
    <w:rsid w:val="002E0169"/>
    <w:rsid w:val="002E062E"/>
    <w:rsid w:val="002E1226"/>
    <w:rsid w:val="002E1D30"/>
    <w:rsid w:val="002E2678"/>
    <w:rsid w:val="002E28C6"/>
    <w:rsid w:val="002E4DB3"/>
    <w:rsid w:val="002E6D37"/>
    <w:rsid w:val="002E79A6"/>
    <w:rsid w:val="002F10BF"/>
    <w:rsid w:val="002F110D"/>
    <w:rsid w:val="002F32BD"/>
    <w:rsid w:val="002F4407"/>
    <w:rsid w:val="002F5A1A"/>
    <w:rsid w:val="002F6E67"/>
    <w:rsid w:val="002F71F1"/>
    <w:rsid w:val="002F7C03"/>
    <w:rsid w:val="0030111A"/>
    <w:rsid w:val="003020F3"/>
    <w:rsid w:val="003022D4"/>
    <w:rsid w:val="003038AC"/>
    <w:rsid w:val="00305726"/>
    <w:rsid w:val="00306E9B"/>
    <w:rsid w:val="003076FA"/>
    <w:rsid w:val="00310D70"/>
    <w:rsid w:val="0031214B"/>
    <w:rsid w:val="00313F3E"/>
    <w:rsid w:val="00314A19"/>
    <w:rsid w:val="00315307"/>
    <w:rsid w:val="00315D17"/>
    <w:rsid w:val="00316B54"/>
    <w:rsid w:val="003176BB"/>
    <w:rsid w:val="00317E1A"/>
    <w:rsid w:val="00320A3C"/>
    <w:rsid w:val="003227F8"/>
    <w:rsid w:val="003230AE"/>
    <w:rsid w:val="003232C2"/>
    <w:rsid w:val="003237B0"/>
    <w:rsid w:val="00323ECB"/>
    <w:rsid w:val="0032503F"/>
    <w:rsid w:val="003262CE"/>
    <w:rsid w:val="003264ED"/>
    <w:rsid w:val="003308B4"/>
    <w:rsid w:val="00333209"/>
    <w:rsid w:val="00334A4E"/>
    <w:rsid w:val="003352EF"/>
    <w:rsid w:val="003418C0"/>
    <w:rsid w:val="003424A8"/>
    <w:rsid w:val="003425F7"/>
    <w:rsid w:val="00343012"/>
    <w:rsid w:val="00343233"/>
    <w:rsid w:val="00343B25"/>
    <w:rsid w:val="003441E3"/>
    <w:rsid w:val="003445EA"/>
    <w:rsid w:val="00346BA7"/>
    <w:rsid w:val="00350175"/>
    <w:rsid w:val="00351EC0"/>
    <w:rsid w:val="00352990"/>
    <w:rsid w:val="00353113"/>
    <w:rsid w:val="00353518"/>
    <w:rsid w:val="00355DAA"/>
    <w:rsid w:val="003613F4"/>
    <w:rsid w:val="00361819"/>
    <w:rsid w:val="00361F3D"/>
    <w:rsid w:val="00362E2F"/>
    <w:rsid w:val="00362FE1"/>
    <w:rsid w:val="00363DCE"/>
    <w:rsid w:val="00365680"/>
    <w:rsid w:val="00366A1A"/>
    <w:rsid w:val="00367B6E"/>
    <w:rsid w:val="00370B2E"/>
    <w:rsid w:val="003721AC"/>
    <w:rsid w:val="00372D68"/>
    <w:rsid w:val="0037447C"/>
    <w:rsid w:val="0037458C"/>
    <w:rsid w:val="00374E9A"/>
    <w:rsid w:val="00375E7C"/>
    <w:rsid w:val="00375FFD"/>
    <w:rsid w:val="00381DB8"/>
    <w:rsid w:val="003826A0"/>
    <w:rsid w:val="00382FB8"/>
    <w:rsid w:val="00383462"/>
    <w:rsid w:val="0038394D"/>
    <w:rsid w:val="00384701"/>
    <w:rsid w:val="00384B58"/>
    <w:rsid w:val="00385683"/>
    <w:rsid w:val="00385EC1"/>
    <w:rsid w:val="00386DD1"/>
    <w:rsid w:val="00386EB9"/>
    <w:rsid w:val="00387CA4"/>
    <w:rsid w:val="00391389"/>
    <w:rsid w:val="00391E64"/>
    <w:rsid w:val="00395750"/>
    <w:rsid w:val="0039581F"/>
    <w:rsid w:val="00396861"/>
    <w:rsid w:val="00396E92"/>
    <w:rsid w:val="0039783E"/>
    <w:rsid w:val="003A0009"/>
    <w:rsid w:val="003A0E47"/>
    <w:rsid w:val="003A401E"/>
    <w:rsid w:val="003A4360"/>
    <w:rsid w:val="003A68AA"/>
    <w:rsid w:val="003A7561"/>
    <w:rsid w:val="003A76E4"/>
    <w:rsid w:val="003B09F2"/>
    <w:rsid w:val="003B1384"/>
    <w:rsid w:val="003B35B8"/>
    <w:rsid w:val="003B4A9D"/>
    <w:rsid w:val="003B4B13"/>
    <w:rsid w:val="003B4D2C"/>
    <w:rsid w:val="003B53A6"/>
    <w:rsid w:val="003B64B4"/>
    <w:rsid w:val="003C0785"/>
    <w:rsid w:val="003C1764"/>
    <w:rsid w:val="003C3AD0"/>
    <w:rsid w:val="003C4E9D"/>
    <w:rsid w:val="003C722C"/>
    <w:rsid w:val="003C7985"/>
    <w:rsid w:val="003C7CAC"/>
    <w:rsid w:val="003C7E67"/>
    <w:rsid w:val="003D20ED"/>
    <w:rsid w:val="003D4ED7"/>
    <w:rsid w:val="003D6531"/>
    <w:rsid w:val="003D6C84"/>
    <w:rsid w:val="003E017A"/>
    <w:rsid w:val="003E1561"/>
    <w:rsid w:val="003E1FAF"/>
    <w:rsid w:val="003E20B9"/>
    <w:rsid w:val="003E3836"/>
    <w:rsid w:val="003E39B9"/>
    <w:rsid w:val="003E400B"/>
    <w:rsid w:val="003E4AC8"/>
    <w:rsid w:val="003E4BB4"/>
    <w:rsid w:val="003E68B5"/>
    <w:rsid w:val="003F14AC"/>
    <w:rsid w:val="003F27A7"/>
    <w:rsid w:val="003F2D09"/>
    <w:rsid w:val="003F34BF"/>
    <w:rsid w:val="003F37EA"/>
    <w:rsid w:val="003F47F5"/>
    <w:rsid w:val="003F59CC"/>
    <w:rsid w:val="003F5E57"/>
    <w:rsid w:val="003F5F9D"/>
    <w:rsid w:val="003F7023"/>
    <w:rsid w:val="003F7652"/>
    <w:rsid w:val="003F7EDA"/>
    <w:rsid w:val="00401D87"/>
    <w:rsid w:val="00402BF8"/>
    <w:rsid w:val="00403755"/>
    <w:rsid w:val="0040387F"/>
    <w:rsid w:val="00406227"/>
    <w:rsid w:val="00407D3B"/>
    <w:rsid w:val="00407F66"/>
    <w:rsid w:val="004103BF"/>
    <w:rsid w:val="0041363C"/>
    <w:rsid w:val="00414E9A"/>
    <w:rsid w:val="00415CC4"/>
    <w:rsid w:val="00415FD6"/>
    <w:rsid w:val="0041696F"/>
    <w:rsid w:val="00420D4C"/>
    <w:rsid w:val="00422D8B"/>
    <w:rsid w:val="00423B79"/>
    <w:rsid w:val="004240D2"/>
    <w:rsid w:val="00424ADF"/>
    <w:rsid w:val="004303B8"/>
    <w:rsid w:val="00431677"/>
    <w:rsid w:val="0043279F"/>
    <w:rsid w:val="00433183"/>
    <w:rsid w:val="00433AED"/>
    <w:rsid w:val="004342F0"/>
    <w:rsid w:val="004353DD"/>
    <w:rsid w:val="00435F4A"/>
    <w:rsid w:val="00437C49"/>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5363"/>
    <w:rsid w:val="00456B8F"/>
    <w:rsid w:val="00457045"/>
    <w:rsid w:val="004574C4"/>
    <w:rsid w:val="00457A91"/>
    <w:rsid w:val="004604E9"/>
    <w:rsid w:val="00460A55"/>
    <w:rsid w:val="004610FB"/>
    <w:rsid w:val="0046180A"/>
    <w:rsid w:val="00462BC6"/>
    <w:rsid w:val="00463FEB"/>
    <w:rsid w:val="004660F2"/>
    <w:rsid w:val="00470C11"/>
    <w:rsid w:val="00471759"/>
    <w:rsid w:val="0047175C"/>
    <w:rsid w:val="004721E0"/>
    <w:rsid w:val="00472F9C"/>
    <w:rsid w:val="00473803"/>
    <w:rsid w:val="004755FE"/>
    <w:rsid w:val="004759BF"/>
    <w:rsid w:val="00476857"/>
    <w:rsid w:val="00476B4E"/>
    <w:rsid w:val="0047782F"/>
    <w:rsid w:val="004828C6"/>
    <w:rsid w:val="00484675"/>
    <w:rsid w:val="00484F33"/>
    <w:rsid w:val="004869CF"/>
    <w:rsid w:val="00487545"/>
    <w:rsid w:val="00490239"/>
    <w:rsid w:val="00490B1D"/>
    <w:rsid w:val="00491DC5"/>
    <w:rsid w:val="004929EC"/>
    <w:rsid w:val="004935F6"/>
    <w:rsid w:val="00493B10"/>
    <w:rsid w:val="00493F24"/>
    <w:rsid w:val="00495017"/>
    <w:rsid w:val="0049615F"/>
    <w:rsid w:val="00496789"/>
    <w:rsid w:val="004971EF"/>
    <w:rsid w:val="004A2043"/>
    <w:rsid w:val="004A2FD9"/>
    <w:rsid w:val="004A51CB"/>
    <w:rsid w:val="004A5D55"/>
    <w:rsid w:val="004A5E53"/>
    <w:rsid w:val="004A6D51"/>
    <w:rsid w:val="004A7203"/>
    <w:rsid w:val="004B03BE"/>
    <w:rsid w:val="004B0A80"/>
    <w:rsid w:val="004B1388"/>
    <w:rsid w:val="004B1950"/>
    <w:rsid w:val="004B2839"/>
    <w:rsid w:val="004B300A"/>
    <w:rsid w:val="004B4E7B"/>
    <w:rsid w:val="004B7418"/>
    <w:rsid w:val="004B78FA"/>
    <w:rsid w:val="004C0FBA"/>
    <w:rsid w:val="004C1080"/>
    <w:rsid w:val="004C2B29"/>
    <w:rsid w:val="004C3F7B"/>
    <w:rsid w:val="004C3FD4"/>
    <w:rsid w:val="004C4916"/>
    <w:rsid w:val="004C6A1A"/>
    <w:rsid w:val="004C6E24"/>
    <w:rsid w:val="004C78C4"/>
    <w:rsid w:val="004D1829"/>
    <w:rsid w:val="004D2B88"/>
    <w:rsid w:val="004D2EB8"/>
    <w:rsid w:val="004D3675"/>
    <w:rsid w:val="004D3A3F"/>
    <w:rsid w:val="004D512D"/>
    <w:rsid w:val="004D58A1"/>
    <w:rsid w:val="004D5AC5"/>
    <w:rsid w:val="004D5D38"/>
    <w:rsid w:val="004D5F74"/>
    <w:rsid w:val="004D6ED4"/>
    <w:rsid w:val="004E10E0"/>
    <w:rsid w:val="004E17E0"/>
    <w:rsid w:val="004E198A"/>
    <w:rsid w:val="004E2A32"/>
    <w:rsid w:val="004E3061"/>
    <w:rsid w:val="004E3F7E"/>
    <w:rsid w:val="004E67E6"/>
    <w:rsid w:val="004F0496"/>
    <w:rsid w:val="004F0E40"/>
    <w:rsid w:val="004F19CD"/>
    <w:rsid w:val="004F1F6E"/>
    <w:rsid w:val="004F245D"/>
    <w:rsid w:val="004F5E93"/>
    <w:rsid w:val="004F603D"/>
    <w:rsid w:val="004F620B"/>
    <w:rsid w:val="004F6545"/>
    <w:rsid w:val="004F6D32"/>
    <w:rsid w:val="004F6FC8"/>
    <w:rsid w:val="0050046F"/>
    <w:rsid w:val="00500EEF"/>
    <w:rsid w:val="005015CE"/>
    <w:rsid w:val="00501BD9"/>
    <w:rsid w:val="005041A7"/>
    <w:rsid w:val="00504E3C"/>
    <w:rsid w:val="00505874"/>
    <w:rsid w:val="00506456"/>
    <w:rsid w:val="00506825"/>
    <w:rsid w:val="00506FA2"/>
    <w:rsid w:val="00507196"/>
    <w:rsid w:val="005103B1"/>
    <w:rsid w:val="005137CD"/>
    <w:rsid w:val="00515680"/>
    <w:rsid w:val="005173F5"/>
    <w:rsid w:val="00517D7F"/>
    <w:rsid w:val="00517E7D"/>
    <w:rsid w:val="00520779"/>
    <w:rsid w:val="00521E8C"/>
    <w:rsid w:val="00523AAC"/>
    <w:rsid w:val="00523CF5"/>
    <w:rsid w:val="005246FD"/>
    <w:rsid w:val="00525A4C"/>
    <w:rsid w:val="00525C51"/>
    <w:rsid w:val="00525ED6"/>
    <w:rsid w:val="00530417"/>
    <w:rsid w:val="00530B0F"/>
    <w:rsid w:val="00532095"/>
    <w:rsid w:val="005321B7"/>
    <w:rsid w:val="005328C3"/>
    <w:rsid w:val="0053379A"/>
    <w:rsid w:val="005337D5"/>
    <w:rsid w:val="0053679A"/>
    <w:rsid w:val="00536C66"/>
    <w:rsid w:val="0054067C"/>
    <w:rsid w:val="00541C62"/>
    <w:rsid w:val="00543665"/>
    <w:rsid w:val="005437B7"/>
    <w:rsid w:val="00543E03"/>
    <w:rsid w:val="0054510F"/>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77DD7"/>
    <w:rsid w:val="00580450"/>
    <w:rsid w:val="00580CDE"/>
    <w:rsid w:val="00580DF7"/>
    <w:rsid w:val="00581009"/>
    <w:rsid w:val="005819B2"/>
    <w:rsid w:val="00582409"/>
    <w:rsid w:val="00582DC6"/>
    <w:rsid w:val="00583F9C"/>
    <w:rsid w:val="00585F5E"/>
    <w:rsid w:val="00586DC7"/>
    <w:rsid w:val="00590BD9"/>
    <w:rsid w:val="00590D92"/>
    <w:rsid w:val="00591D93"/>
    <w:rsid w:val="00593561"/>
    <w:rsid w:val="00594805"/>
    <w:rsid w:val="00596392"/>
    <w:rsid w:val="00596EAD"/>
    <w:rsid w:val="00597DFE"/>
    <w:rsid w:val="00597FAF"/>
    <w:rsid w:val="005A13E7"/>
    <w:rsid w:val="005A196E"/>
    <w:rsid w:val="005A3D06"/>
    <w:rsid w:val="005A3DA9"/>
    <w:rsid w:val="005A62E6"/>
    <w:rsid w:val="005A6CC1"/>
    <w:rsid w:val="005A6CCD"/>
    <w:rsid w:val="005A7107"/>
    <w:rsid w:val="005B174D"/>
    <w:rsid w:val="005B1762"/>
    <w:rsid w:val="005B29AF"/>
    <w:rsid w:val="005B39D2"/>
    <w:rsid w:val="005B3B36"/>
    <w:rsid w:val="005B5315"/>
    <w:rsid w:val="005B545C"/>
    <w:rsid w:val="005B55F8"/>
    <w:rsid w:val="005B5924"/>
    <w:rsid w:val="005B5EF3"/>
    <w:rsid w:val="005B6561"/>
    <w:rsid w:val="005C0312"/>
    <w:rsid w:val="005C0453"/>
    <w:rsid w:val="005C21D1"/>
    <w:rsid w:val="005C24B6"/>
    <w:rsid w:val="005C29FA"/>
    <w:rsid w:val="005C363D"/>
    <w:rsid w:val="005C3E40"/>
    <w:rsid w:val="005C5F92"/>
    <w:rsid w:val="005C6EDB"/>
    <w:rsid w:val="005D0652"/>
    <w:rsid w:val="005D0763"/>
    <w:rsid w:val="005D0FD8"/>
    <w:rsid w:val="005D236A"/>
    <w:rsid w:val="005D3DE0"/>
    <w:rsid w:val="005D4C84"/>
    <w:rsid w:val="005D57F3"/>
    <w:rsid w:val="005D67EA"/>
    <w:rsid w:val="005E0B96"/>
    <w:rsid w:val="005E2A30"/>
    <w:rsid w:val="005E4156"/>
    <w:rsid w:val="005E6DB6"/>
    <w:rsid w:val="005E7559"/>
    <w:rsid w:val="005F1675"/>
    <w:rsid w:val="005F2C40"/>
    <w:rsid w:val="005F4DCE"/>
    <w:rsid w:val="005F5FC9"/>
    <w:rsid w:val="0060184B"/>
    <w:rsid w:val="00601A52"/>
    <w:rsid w:val="00602E73"/>
    <w:rsid w:val="00603627"/>
    <w:rsid w:val="006036A6"/>
    <w:rsid w:val="00603E2B"/>
    <w:rsid w:val="00603FA8"/>
    <w:rsid w:val="006050DD"/>
    <w:rsid w:val="006062EF"/>
    <w:rsid w:val="00607594"/>
    <w:rsid w:val="0061025C"/>
    <w:rsid w:val="00610DB8"/>
    <w:rsid w:val="006121E5"/>
    <w:rsid w:val="00612D19"/>
    <w:rsid w:val="0061317B"/>
    <w:rsid w:val="00613972"/>
    <w:rsid w:val="006159F2"/>
    <w:rsid w:val="00615E70"/>
    <w:rsid w:val="006170F2"/>
    <w:rsid w:val="00617398"/>
    <w:rsid w:val="0061761D"/>
    <w:rsid w:val="006207E9"/>
    <w:rsid w:val="00621E70"/>
    <w:rsid w:val="00626B7E"/>
    <w:rsid w:val="00632BA7"/>
    <w:rsid w:val="00632C89"/>
    <w:rsid w:val="00632E8C"/>
    <w:rsid w:val="00634F11"/>
    <w:rsid w:val="006359F5"/>
    <w:rsid w:val="00635A18"/>
    <w:rsid w:val="00636A92"/>
    <w:rsid w:val="006371BF"/>
    <w:rsid w:val="006377D3"/>
    <w:rsid w:val="00637BB7"/>
    <w:rsid w:val="00642ADD"/>
    <w:rsid w:val="00643396"/>
    <w:rsid w:val="00643788"/>
    <w:rsid w:val="0064402C"/>
    <w:rsid w:val="006445A2"/>
    <w:rsid w:val="00645C45"/>
    <w:rsid w:val="00646179"/>
    <w:rsid w:val="006464FD"/>
    <w:rsid w:val="006474EE"/>
    <w:rsid w:val="0064763A"/>
    <w:rsid w:val="0065197A"/>
    <w:rsid w:val="006544DB"/>
    <w:rsid w:val="00655439"/>
    <w:rsid w:val="00656647"/>
    <w:rsid w:val="0065713B"/>
    <w:rsid w:val="0065713C"/>
    <w:rsid w:val="0065773E"/>
    <w:rsid w:val="00660B1F"/>
    <w:rsid w:val="00662194"/>
    <w:rsid w:val="006637FA"/>
    <w:rsid w:val="00663B17"/>
    <w:rsid w:val="00666A40"/>
    <w:rsid w:val="00667A22"/>
    <w:rsid w:val="00671424"/>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4D57"/>
    <w:rsid w:val="006856C0"/>
    <w:rsid w:val="006873EA"/>
    <w:rsid w:val="00692162"/>
    <w:rsid w:val="00693024"/>
    <w:rsid w:val="006931A3"/>
    <w:rsid w:val="00693CCD"/>
    <w:rsid w:val="00694ABE"/>
    <w:rsid w:val="00694E49"/>
    <w:rsid w:val="006A0E74"/>
    <w:rsid w:val="006A0FE1"/>
    <w:rsid w:val="006A218F"/>
    <w:rsid w:val="006A3F76"/>
    <w:rsid w:val="006A4054"/>
    <w:rsid w:val="006A40A1"/>
    <w:rsid w:val="006A5C00"/>
    <w:rsid w:val="006A6165"/>
    <w:rsid w:val="006A6392"/>
    <w:rsid w:val="006A7E28"/>
    <w:rsid w:val="006B0853"/>
    <w:rsid w:val="006B2116"/>
    <w:rsid w:val="006B2982"/>
    <w:rsid w:val="006B35BE"/>
    <w:rsid w:val="006C0A4C"/>
    <w:rsid w:val="006C1B43"/>
    <w:rsid w:val="006C1D7C"/>
    <w:rsid w:val="006C23E3"/>
    <w:rsid w:val="006C3765"/>
    <w:rsid w:val="006C39BF"/>
    <w:rsid w:val="006C4775"/>
    <w:rsid w:val="006C4F39"/>
    <w:rsid w:val="006C6FA2"/>
    <w:rsid w:val="006C7000"/>
    <w:rsid w:val="006C7763"/>
    <w:rsid w:val="006D012B"/>
    <w:rsid w:val="006D12A7"/>
    <w:rsid w:val="006D2BD5"/>
    <w:rsid w:val="006D3ECE"/>
    <w:rsid w:val="006D4E45"/>
    <w:rsid w:val="006D5350"/>
    <w:rsid w:val="006E0317"/>
    <w:rsid w:val="006E0511"/>
    <w:rsid w:val="006E12C1"/>
    <w:rsid w:val="006E5580"/>
    <w:rsid w:val="006E607F"/>
    <w:rsid w:val="006E7DC2"/>
    <w:rsid w:val="006F0D73"/>
    <w:rsid w:val="006F1342"/>
    <w:rsid w:val="006F1B2E"/>
    <w:rsid w:val="006F3D80"/>
    <w:rsid w:val="006F3EF5"/>
    <w:rsid w:val="006F49F0"/>
    <w:rsid w:val="006F5F9F"/>
    <w:rsid w:val="0070184A"/>
    <w:rsid w:val="00702E8D"/>
    <w:rsid w:val="0070360B"/>
    <w:rsid w:val="00704726"/>
    <w:rsid w:val="007053E7"/>
    <w:rsid w:val="0070569D"/>
    <w:rsid w:val="00705884"/>
    <w:rsid w:val="00705BD1"/>
    <w:rsid w:val="007063F2"/>
    <w:rsid w:val="00706447"/>
    <w:rsid w:val="00706E77"/>
    <w:rsid w:val="007075B8"/>
    <w:rsid w:val="00707B2E"/>
    <w:rsid w:val="00710B00"/>
    <w:rsid w:val="00711471"/>
    <w:rsid w:val="00712398"/>
    <w:rsid w:val="00716A9E"/>
    <w:rsid w:val="00716DEA"/>
    <w:rsid w:val="0072105B"/>
    <w:rsid w:val="0072284E"/>
    <w:rsid w:val="00723508"/>
    <w:rsid w:val="0073286C"/>
    <w:rsid w:val="007328CC"/>
    <w:rsid w:val="007330DF"/>
    <w:rsid w:val="00733260"/>
    <w:rsid w:val="00735070"/>
    <w:rsid w:val="0073516C"/>
    <w:rsid w:val="00735AD3"/>
    <w:rsid w:val="007364DA"/>
    <w:rsid w:val="007372E7"/>
    <w:rsid w:val="007409D2"/>
    <w:rsid w:val="00742222"/>
    <w:rsid w:val="00742E96"/>
    <w:rsid w:val="00743EA9"/>
    <w:rsid w:val="0074529C"/>
    <w:rsid w:val="00747ECC"/>
    <w:rsid w:val="00750BF8"/>
    <w:rsid w:val="00750E2F"/>
    <w:rsid w:val="007515BC"/>
    <w:rsid w:val="00753328"/>
    <w:rsid w:val="00753433"/>
    <w:rsid w:val="00754E11"/>
    <w:rsid w:val="00755197"/>
    <w:rsid w:val="00756097"/>
    <w:rsid w:val="00760CF2"/>
    <w:rsid w:val="00764F3A"/>
    <w:rsid w:val="00765CC1"/>
    <w:rsid w:val="007669BA"/>
    <w:rsid w:val="00770261"/>
    <w:rsid w:val="007712EA"/>
    <w:rsid w:val="00772439"/>
    <w:rsid w:val="00773ACD"/>
    <w:rsid w:val="007768C5"/>
    <w:rsid w:val="0077715B"/>
    <w:rsid w:val="007773BD"/>
    <w:rsid w:val="00777B72"/>
    <w:rsid w:val="00777C7A"/>
    <w:rsid w:val="00777EEE"/>
    <w:rsid w:val="007811C0"/>
    <w:rsid w:val="007819CF"/>
    <w:rsid w:val="00782611"/>
    <w:rsid w:val="0078263F"/>
    <w:rsid w:val="00783657"/>
    <w:rsid w:val="00784E24"/>
    <w:rsid w:val="007865A5"/>
    <w:rsid w:val="00786840"/>
    <w:rsid w:val="007900B4"/>
    <w:rsid w:val="00790852"/>
    <w:rsid w:val="00790EEE"/>
    <w:rsid w:val="00791304"/>
    <w:rsid w:val="00791677"/>
    <w:rsid w:val="00791E8E"/>
    <w:rsid w:val="007931A9"/>
    <w:rsid w:val="00794E52"/>
    <w:rsid w:val="00794E6C"/>
    <w:rsid w:val="007952A7"/>
    <w:rsid w:val="00795423"/>
    <w:rsid w:val="00796982"/>
    <w:rsid w:val="007A02C7"/>
    <w:rsid w:val="007A05C6"/>
    <w:rsid w:val="007A2C70"/>
    <w:rsid w:val="007A375D"/>
    <w:rsid w:val="007A5826"/>
    <w:rsid w:val="007A59F4"/>
    <w:rsid w:val="007A657A"/>
    <w:rsid w:val="007B249F"/>
    <w:rsid w:val="007B4330"/>
    <w:rsid w:val="007B435A"/>
    <w:rsid w:val="007B5D7E"/>
    <w:rsid w:val="007B690F"/>
    <w:rsid w:val="007B788E"/>
    <w:rsid w:val="007C0AD7"/>
    <w:rsid w:val="007C17B1"/>
    <w:rsid w:val="007C3030"/>
    <w:rsid w:val="007C43BB"/>
    <w:rsid w:val="007C6ED9"/>
    <w:rsid w:val="007C737B"/>
    <w:rsid w:val="007D1D13"/>
    <w:rsid w:val="007D20FF"/>
    <w:rsid w:val="007D36F2"/>
    <w:rsid w:val="007D3B6C"/>
    <w:rsid w:val="007D57DC"/>
    <w:rsid w:val="007E00A1"/>
    <w:rsid w:val="007E0DC1"/>
    <w:rsid w:val="007E2BB1"/>
    <w:rsid w:val="007E2F2D"/>
    <w:rsid w:val="007E3A3A"/>
    <w:rsid w:val="007E3C1B"/>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7058"/>
    <w:rsid w:val="0080739F"/>
    <w:rsid w:val="0080758E"/>
    <w:rsid w:val="0081025E"/>
    <w:rsid w:val="00812261"/>
    <w:rsid w:val="008124E6"/>
    <w:rsid w:val="00812B72"/>
    <w:rsid w:val="00813360"/>
    <w:rsid w:val="00813620"/>
    <w:rsid w:val="00816F3A"/>
    <w:rsid w:val="008171ED"/>
    <w:rsid w:val="00820A94"/>
    <w:rsid w:val="00822DB3"/>
    <w:rsid w:val="00823B52"/>
    <w:rsid w:val="00823B90"/>
    <w:rsid w:val="00824906"/>
    <w:rsid w:val="008256EE"/>
    <w:rsid w:val="008304E8"/>
    <w:rsid w:val="00831ACA"/>
    <w:rsid w:val="00831AD5"/>
    <w:rsid w:val="00831BAA"/>
    <w:rsid w:val="00831E32"/>
    <w:rsid w:val="00834C7B"/>
    <w:rsid w:val="008352F5"/>
    <w:rsid w:val="00836367"/>
    <w:rsid w:val="008375CF"/>
    <w:rsid w:val="0084019C"/>
    <w:rsid w:val="00841E06"/>
    <w:rsid w:val="008425D5"/>
    <w:rsid w:val="00843D20"/>
    <w:rsid w:val="00843F42"/>
    <w:rsid w:val="00844454"/>
    <w:rsid w:val="00847192"/>
    <w:rsid w:val="0084731D"/>
    <w:rsid w:val="00850142"/>
    <w:rsid w:val="008511D0"/>
    <w:rsid w:val="00857420"/>
    <w:rsid w:val="0085773A"/>
    <w:rsid w:val="008602AF"/>
    <w:rsid w:val="008603F1"/>
    <w:rsid w:val="00860CCE"/>
    <w:rsid w:val="00862540"/>
    <w:rsid w:val="00862551"/>
    <w:rsid w:val="0086294E"/>
    <w:rsid w:val="00863459"/>
    <w:rsid w:val="008637E1"/>
    <w:rsid w:val="008669BF"/>
    <w:rsid w:val="00867E68"/>
    <w:rsid w:val="00872CDA"/>
    <w:rsid w:val="0087340F"/>
    <w:rsid w:val="00873D37"/>
    <w:rsid w:val="00874188"/>
    <w:rsid w:val="00876879"/>
    <w:rsid w:val="0088302D"/>
    <w:rsid w:val="008830FE"/>
    <w:rsid w:val="00883A51"/>
    <w:rsid w:val="008841C7"/>
    <w:rsid w:val="00885271"/>
    <w:rsid w:val="00885542"/>
    <w:rsid w:val="00885C28"/>
    <w:rsid w:val="00885F6B"/>
    <w:rsid w:val="008866E0"/>
    <w:rsid w:val="00887803"/>
    <w:rsid w:val="00887ABA"/>
    <w:rsid w:val="00891481"/>
    <w:rsid w:val="008923A2"/>
    <w:rsid w:val="00893A34"/>
    <w:rsid w:val="00893F1F"/>
    <w:rsid w:val="00897964"/>
    <w:rsid w:val="008A2675"/>
    <w:rsid w:val="008A2903"/>
    <w:rsid w:val="008A2ECB"/>
    <w:rsid w:val="008A41D1"/>
    <w:rsid w:val="008A6B32"/>
    <w:rsid w:val="008A6D57"/>
    <w:rsid w:val="008A7DEB"/>
    <w:rsid w:val="008B39F2"/>
    <w:rsid w:val="008B7CC7"/>
    <w:rsid w:val="008C0BAD"/>
    <w:rsid w:val="008C1654"/>
    <w:rsid w:val="008C2E66"/>
    <w:rsid w:val="008C3CF3"/>
    <w:rsid w:val="008C4059"/>
    <w:rsid w:val="008C5061"/>
    <w:rsid w:val="008D2633"/>
    <w:rsid w:val="008D321E"/>
    <w:rsid w:val="008D4069"/>
    <w:rsid w:val="008D4C74"/>
    <w:rsid w:val="008D578D"/>
    <w:rsid w:val="008D6F8D"/>
    <w:rsid w:val="008E0799"/>
    <w:rsid w:val="008E1141"/>
    <w:rsid w:val="008E144C"/>
    <w:rsid w:val="008E1524"/>
    <w:rsid w:val="008E1751"/>
    <w:rsid w:val="008E2EF4"/>
    <w:rsid w:val="008E35D5"/>
    <w:rsid w:val="008E499D"/>
    <w:rsid w:val="008E663E"/>
    <w:rsid w:val="008F1742"/>
    <w:rsid w:val="008F3401"/>
    <w:rsid w:val="008F45DD"/>
    <w:rsid w:val="008F4D1D"/>
    <w:rsid w:val="008F524F"/>
    <w:rsid w:val="008F546B"/>
    <w:rsid w:val="008F79A4"/>
    <w:rsid w:val="008F7F16"/>
    <w:rsid w:val="009011FA"/>
    <w:rsid w:val="00903A46"/>
    <w:rsid w:val="00907EF1"/>
    <w:rsid w:val="00910C56"/>
    <w:rsid w:val="009112D6"/>
    <w:rsid w:val="00911779"/>
    <w:rsid w:val="00912583"/>
    <w:rsid w:val="00912FE6"/>
    <w:rsid w:val="0091537A"/>
    <w:rsid w:val="0091613C"/>
    <w:rsid w:val="00916AA9"/>
    <w:rsid w:val="00917703"/>
    <w:rsid w:val="00921613"/>
    <w:rsid w:val="00921AD9"/>
    <w:rsid w:val="00922DFB"/>
    <w:rsid w:val="00924DAD"/>
    <w:rsid w:val="00924EF9"/>
    <w:rsid w:val="00926B17"/>
    <w:rsid w:val="00926EF7"/>
    <w:rsid w:val="00931139"/>
    <w:rsid w:val="00931186"/>
    <w:rsid w:val="00931C60"/>
    <w:rsid w:val="00932330"/>
    <w:rsid w:val="009366A0"/>
    <w:rsid w:val="009407EE"/>
    <w:rsid w:val="00943B26"/>
    <w:rsid w:val="00950357"/>
    <w:rsid w:val="0095200D"/>
    <w:rsid w:val="009542D3"/>
    <w:rsid w:val="00956212"/>
    <w:rsid w:val="00956744"/>
    <w:rsid w:val="00956DA6"/>
    <w:rsid w:val="009575E3"/>
    <w:rsid w:val="00957F52"/>
    <w:rsid w:val="00960387"/>
    <w:rsid w:val="00961C3D"/>
    <w:rsid w:val="00961DC0"/>
    <w:rsid w:val="00962484"/>
    <w:rsid w:val="0096278C"/>
    <w:rsid w:val="009643C4"/>
    <w:rsid w:val="00967BAA"/>
    <w:rsid w:val="00970DF3"/>
    <w:rsid w:val="00975870"/>
    <w:rsid w:val="00975CDC"/>
    <w:rsid w:val="009768F2"/>
    <w:rsid w:val="0098146A"/>
    <w:rsid w:val="00981A56"/>
    <w:rsid w:val="00983242"/>
    <w:rsid w:val="00983700"/>
    <w:rsid w:val="00984467"/>
    <w:rsid w:val="0098563C"/>
    <w:rsid w:val="0098603E"/>
    <w:rsid w:val="00986F53"/>
    <w:rsid w:val="0099053A"/>
    <w:rsid w:val="009918E8"/>
    <w:rsid w:val="00991A6A"/>
    <w:rsid w:val="00991ACC"/>
    <w:rsid w:val="00992345"/>
    <w:rsid w:val="00993572"/>
    <w:rsid w:val="009951C1"/>
    <w:rsid w:val="00995D58"/>
    <w:rsid w:val="0099604A"/>
    <w:rsid w:val="009962FE"/>
    <w:rsid w:val="00997E46"/>
    <w:rsid w:val="009A0E5A"/>
    <w:rsid w:val="009A1F84"/>
    <w:rsid w:val="009A237B"/>
    <w:rsid w:val="009A23EE"/>
    <w:rsid w:val="009A2C24"/>
    <w:rsid w:val="009A4293"/>
    <w:rsid w:val="009A6068"/>
    <w:rsid w:val="009B0464"/>
    <w:rsid w:val="009B1209"/>
    <w:rsid w:val="009B3F9B"/>
    <w:rsid w:val="009B4464"/>
    <w:rsid w:val="009B5ED9"/>
    <w:rsid w:val="009B687E"/>
    <w:rsid w:val="009B78C5"/>
    <w:rsid w:val="009B7ABC"/>
    <w:rsid w:val="009C4DC5"/>
    <w:rsid w:val="009C4F2E"/>
    <w:rsid w:val="009C5262"/>
    <w:rsid w:val="009C6B0A"/>
    <w:rsid w:val="009D07A9"/>
    <w:rsid w:val="009D176F"/>
    <w:rsid w:val="009D5865"/>
    <w:rsid w:val="009D5E4C"/>
    <w:rsid w:val="009D6D25"/>
    <w:rsid w:val="009E03FB"/>
    <w:rsid w:val="009E17B9"/>
    <w:rsid w:val="009E39BD"/>
    <w:rsid w:val="009E56D2"/>
    <w:rsid w:val="009E5CBC"/>
    <w:rsid w:val="009F06E5"/>
    <w:rsid w:val="009F09E6"/>
    <w:rsid w:val="009F39B2"/>
    <w:rsid w:val="009F630C"/>
    <w:rsid w:val="009F7B9A"/>
    <w:rsid w:val="009F7F75"/>
    <w:rsid w:val="00A0358C"/>
    <w:rsid w:val="00A03704"/>
    <w:rsid w:val="00A05AD3"/>
    <w:rsid w:val="00A067D6"/>
    <w:rsid w:val="00A06AC7"/>
    <w:rsid w:val="00A11347"/>
    <w:rsid w:val="00A11C67"/>
    <w:rsid w:val="00A12961"/>
    <w:rsid w:val="00A12CAC"/>
    <w:rsid w:val="00A136AC"/>
    <w:rsid w:val="00A13885"/>
    <w:rsid w:val="00A144CF"/>
    <w:rsid w:val="00A169B4"/>
    <w:rsid w:val="00A16CD8"/>
    <w:rsid w:val="00A178DF"/>
    <w:rsid w:val="00A20C92"/>
    <w:rsid w:val="00A214BF"/>
    <w:rsid w:val="00A227F2"/>
    <w:rsid w:val="00A240B1"/>
    <w:rsid w:val="00A241BD"/>
    <w:rsid w:val="00A260E7"/>
    <w:rsid w:val="00A2777E"/>
    <w:rsid w:val="00A3103A"/>
    <w:rsid w:val="00A31268"/>
    <w:rsid w:val="00A31E8F"/>
    <w:rsid w:val="00A3580A"/>
    <w:rsid w:val="00A40AF3"/>
    <w:rsid w:val="00A41E37"/>
    <w:rsid w:val="00A41FC7"/>
    <w:rsid w:val="00A44EB9"/>
    <w:rsid w:val="00A458F0"/>
    <w:rsid w:val="00A46A67"/>
    <w:rsid w:val="00A474F8"/>
    <w:rsid w:val="00A51AE2"/>
    <w:rsid w:val="00A51CC9"/>
    <w:rsid w:val="00A51EF6"/>
    <w:rsid w:val="00A52763"/>
    <w:rsid w:val="00A52964"/>
    <w:rsid w:val="00A541BB"/>
    <w:rsid w:val="00A55D82"/>
    <w:rsid w:val="00A6088D"/>
    <w:rsid w:val="00A637DD"/>
    <w:rsid w:val="00A65EA6"/>
    <w:rsid w:val="00A72D91"/>
    <w:rsid w:val="00A73D4B"/>
    <w:rsid w:val="00A7425B"/>
    <w:rsid w:val="00A748A3"/>
    <w:rsid w:val="00A761FA"/>
    <w:rsid w:val="00A771C0"/>
    <w:rsid w:val="00A808A4"/>
    <w:rsid w:val="00A80CA4"/>
    <w:rsid w:val="00A81192"/>
    <w:rsid w:val="00A81297"/>
    <w:rsid w:val="00A82A72"/>
    <w:rsid w:val="00A85A08"/>
    <w:rsid w:val="00A86724"/>
    <w:rsid w:val="00A8672D"/>
    <w:rsid w:val="00A90B0E"/>
    <w:rsid w:val="00A90B93"/>
    <w:rsid w:val="00A92E1D"/>
    <w:rsid w:val="00A94F1D"/>
    <w:rsid w:val="00A95810"/>
    <w:rsid w:val="00A95DA6"/>
    <w:rsid w:val="00A97006"/>
    <w:rsid w:val="00A97DC2"/>
    <w:rsid w:val="00AA0305"/>
    <w:rsid w:val="00AA1E55"/>
    <w:rsid w:val="00AA2A15"/>
    <w:rsid w:val="00AA2A96"/>
    <w:rsid w:val="00AA2B71"/>
    <w:rsid w:val="00AA3683"/>
    <w:rsid w:val="00AA42A7"/>
    <w:rsid w:val="00AA50D5"/>
    <w:rsid w:val="00AA714E"/>
    <w:rsid w:val="00AB1C8B"/>
    <w:rsid w:val="00AB4B80"/>
    <w:rsid w:val="00AB7678"/>
    <w:rsid w:val="00AC014E"/>
    <w:rsid w:val="00AC238D"/>
    <w:rsid w:val="00AC37D1"/>
    <w:rsid w:val="00AC4B7F"/>
    <w:rsid w:val="00AC7238"/>
    <w:rsid w:val="00AC7BEB"/>
    <w:rsid w:val="00AC7C05"/>
    <w:rsid w:val="00AD162D"/>
    <w:rsid w:val="00AD16E4"/>
    <w:rsid w:val="00AD2189"/>
    <w:rsid w:val="00AD2C02"/>
    <w:rsid w:val="00AD31A9"/>
    <w:rsid w:val="00AD5287"/>
    <w:rsid w:val="00AD6CF5"/>
    <w:rsid w:val="00AD7847"/>
    <w:rsid w:val="00AE097A"/>
    <w:rsid w:val="00AE1B5A"/>
    <w:rsid w:val="00AE2151"/>
    <w:rsid w:val="00AE249D"/>
    <w:rsid w:val="00AE2EFB"/>
    <w:rsid w:val="00AE31B0"/>
    <w:rsid w:val="00AE3EC0"/>
    <w:rsid w:val="00AE6FC4"/>
    <w:rsid w:val="00AF0479"/>
    <w:rsid w:val="00AF26A2"/>
    <w:rsid w:val="00AF3DFB"/>
    <w:rsid w:val="00AF411C"/>
    <w:rsid w:val="00AF4B64"/>
    <w:rsid w:val="00AF7EC6"/>
    <w:rsid w:val="00B01B51"/>
    <w:rsid w:val="00B03333"/>
    <w:rsid w:val="00B033B6"/>
    <w:rsid w:val="00B0379D"/>
    <w:rsid w:val="00B0406A"/>
    <w:rsid w:val="00B06841"/>
    <w:rsid w:val="00B06B03"/>
    <w:rsid w:val="00B071AF"/>
    <w:rsid w:val="00B07DB6"/>
    <w:rsid w:val="00B113E5"/>
    <w:rsid w:val="00B1162D"/>
    <w:rsid w:val="00B120DA"/>
    <w:rsid w:val="00B14C06"/>
    <w:rsid w:val="00B153F0"/>
    <w:rsid w:val="00B162A3"/>
    <w:rsid w:val="00B1640A"/>
    <w:rsid w:val="00B17ECC"/>
    <w:rsid w:val="00B23398"/>
    <w:rsid w:val="00B245B0"/>
    <w:rsid w:val="00B26E56"/>
    <w:rsid w:val="00B31879"/>
    <w:rsid w:val="00B32AC2"/>
    <w:rsid w:val="00B3311C"/>
    <w:rsid w:val="00B33125"/>
    <w:rsid w:val="00B34A3B"/>
    <w:rsid w:val="00B355C5"/>
    <w:rsid w:val="00B3673D"/>
    <w:rsid w:val="00B41074"/>
    <w:rsid w:val="00B44C6C"/>
    <w:rsid w:val="00B4757F"/>
    <w:rsid w:val="00B51084"/>
    <w:rsid w:val="00B5187A"/>
    <w:rsid w:val="00B5229A"/>
    <w:rsid w:val="00B52E33"/>
    <w:rsid w:val="00B543F7"/>
    <w:rsid w:val="00B55CD1"/>
    <w:rsid w:val="00B57C9F"/>
    <w:rsid w:val="00B605F9"/>
    <w:rsid w:val="00B61C67"/>
    <w:rsid w:val="00B6314D"/>
    <w:rsid w:val="00B64BD8"/>
    <w:rsid w:val="00B70EFF"/>
    <w:rsid w:val="00B713DA"/>
    <w:rsid w:val="00B71654"/>
    <w:rsid w:val="00B71B24"/>
    <w:rsid w:val="00B727C2"/>
    <w:rsid w:val="00B738C7"/>
    <w:rsid w:val="00B747AC"/>
    <w:rsid w:val="00B75E1D"/>
    <w:rsid w:val="00B77124"/>
    <w:rsid w:val="00B8023E"/>
    <w:rsid w:val="00B82106"/>
    <w:rsid w:val="00B82526"/>
    <w:rsid w:val="00B82809"/>
    <w:rsid w:val="00B87915"/>
    <w:rsid w:val="00B9084D"/>
    <w:rsid w:val="00B91224"/>
    <w:rsid w:val="00B91420"/>
    <w:rsid w:val="00B92DEC"/>
    <w:rsid w:val="00B9525A"/>
    <w:rsid w:val="00B95366"/>
    <w:rsid w:val="00BA015D"/>
    <w:rsid w:val="00BA064C"/>
    <w:rsid w:val="00BA08F9"/>
    <w:rsid w:val="00BA0C85"/>
    <w:rsid w:val="00BA1B22"/>
    <w:rsid w:val="00BA4091"/>
    <w:rsid w:val="00BA4735"/>
    <w:rsid w:val="00BA49A1"/>
    <w:rsid w:val="00BA54D5"/>
    <w:rsid w:val="00BB2DB8"/>
    <w:rsid w:val="00BB3A50"/>
    <w:rsid w:val="00BB411D"/>
    <w:rsid w:val="00BB4D9B"/>
    <w:rsid w:val="00BB647C"/>
    <w:rsid w:val="00BC0C83"/>
    <w:rsid w:val="00BC33E7"/>
    <w:rsid w:val="00BC5A0A"/>
    <w:rsid w:val="00BC61B1"/>
    <w:rsid w:val="00BC74B2"/>
    <w:rsid w:val="00BD1F16"/>
    <w:rsid w:val="00BD201F"/>
    <w:rsid w:val="00BD27A9"/>
    <w:rsid w:val="00BD55D3"/>
    <w:rsid w:val="00BD5B13"/>
    <w:rsid w:val="00BD787F"/>
    <w:rsid w:val="00BD7E26"/>
    <w:rsid w:val="00BE00F2"/>
    <w:rsid w:val="00BE209A"/>
    <w:rsid w:val="00BE2293"/>
    <w:rsid w:val="00BE2455"/>
    <w:rsid w:val="00BE24AF"/>
    <w:rsid w:val="00BE37DF"/>
    <w:rsid w:val="00BE37E1"/>
    <w:rsid w:val="00BE4B28"/>
    <w:rsid w:val="00BE4B9E"/>
    <w:rsid w:val="00BE4ED0"/>
    <w:rsid w:val="00BE57F6"/>
    <w:rsid w:val="00BE6E5D"/>
    <w:rsid w:val="00BE7220"/>
    <w:rsid w:val="00BF021D"/>
    <w:rsid w:val="00BF2D80"/>
    <w:rsid w:val="00BF2DF2"/>
    <w:rsid w:val="00BF32A0"/>
    <w:rsid w:val="00BF34A5"/>
    <w:rsid w:val="00BF3828"/>
    <w:rsid w:val="00BF4F4D"/>
    <w:rsid w:val="00BF5144"/>
    <w:rsid w:val="00BF5E9D"/>
    <w:rsid w:val="00C00747"/>
    <w:rsid w:val="00C0107B"/>
    <w:rsid w:val="00C01116"/>
    <w:rsid w:val="00C02336"/>
    <w:rsid w:val="00C04254"/>
    <w:rsid w:val="00C043A7"/>
    <w:rsid w:val="00C044F1"/>
    <w:rsid w:val="00C04EAE"/>
    <w:rsid w:val="00C050D3"/>
    <w:rsid w:val="00C10374"/>
    <w:rsid w:val="00C12840"/>
    <w:rsid w:val="00C12CCA"/>
    <w:rsid w:val="00C12D95"/>
    <w:rsid w:val="00C1326D"/>
    <w:rsid w:val="00C13480"/>
    <w:rsid w:val="00C1593D"/>
    <w:rsid w:val="00C172E3"/>
    <w:rsid w:val="00C217D7"/>
    <w:rsid w:val="00C21910"/>
    <w:rsid w:val="00C22372"/>
    <w:rsid w:val="00C22791"/>
    <w:rsid w:val="00C244FF"/>
    <w:rsid w:val="00C268EB"/>
    <w:rsid w:val="00C27FC3"/>
    <w:rsid w:val="00C33D51"/>
    <w:rsid w:val="00C34065"/>
    <w:rsid w:val="00C35580"/>
    <w:rsid w:val="00C35BF3"/>
    <w:rsid w:val="00C3670D"/>
    <w:rsid w:val="00C41370"/>
    <w:rsid w:val="00C41EED"/>
    <w:rsid w:val="00C442B6"/>
    <w:rsid w:val="00C459A1"/>
    <w:rsid w:val="00C4659D"/>
    <w:rsid w:val="00C47A2B"/>
    <w:rsid w:val="00C5096F"/>
    <w:rsid w:val="00C50CC6"/>
    <w:rsid w:val="00C5302D"/>
    <w:rsid w:val="00C5403F"/>
    <w:rsid w:val="00C55956"/>
    <w:rsid w:val="00C55CDD"/>
    <w:rsid w:val="00C5787F"/>
    <w:rsid w:val="00C57E44"/>
    <w:rsid w:val="00C60E71"/>
    <w:rsid w:val="00C61A00"/>
    <w:rsid w:val="00C61A6F"/>
    <w:rsid w:val="00C62597"/>
    <w:rsid w:val="00C626A5"/>
    <w:rsid w:val="00C62F4A"/>
    <w:rsid w:val="00C6318D"/>
    <w:rsid w:val="00C634DB"/>
    <w:rsid w:val="00C63883"/>
    <w:rsid w:val="00C66506"/>
    <w:rsid w:val="00C70641"/>
    <w:rsid w:val="00C7231F"/>
    <w:rsid w:val="00C72EF0"/>
    <w:rsid w:val="00C7318D"/>
    <w:rsid w:val="00C74CC2"/>
    <w:rsid w:val="00C76487"/>
    <w:rsid w:val="00C76BFF"/>
    <w:rsid w:val="00C77322"/>
    <w:rsid w:val="00C77ACD"/>
    <w:rsid w:val="00C81584"/>
    <w:rsid w:val="00C82FC1"/>
    <w:rsid w:val="00C83726"/>
    <w:rsid w:val="00C85536"/>
    <w:rsid w:val="00C90F89"/>
    <w:rsid w:val="00C9240D"/>
    <w:rsid w:val="00C93B46"/>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6BD8"/>
    <w:rsid w:val="00CB74C1"/>
    <w:rsid w:val="00CC0031"/>
    <w:rsid w:val="00CC1B2D"/>
    <w:rsid w:val="00CC2C4F"/>
    <w:rsid w:val="00CC3FDF"/>
    <w:rsid w:val="00CC60B9"/>
    <w:rsid w:val="00CD1628"/>
    <w:rsid w:val="00CD2712"/>
    <w:rsid w:val="00CD35A0"/>
    <w:rsid w:val="00CD41EE"/>
    <w:rsid w:val="00CD476F"/>
    <w:rsid w:val="00CD664F"/>
    <w:rsid w:val="00CD7C95"/>
    <w:rsid w:val="00CD7F0B"/>
    <w:rsid w:val="00CE3D5E"/>
    <w:rsid w:val="00CE4881"/>
    <w:rsid w:val="00CE49E7"/>
    <w:rsid w:val="00CE642E"/>
    <w:rsid w:val="00CE6FB6"/>
    <w:rsid w:val="00CF034B"/>
    <w:rsid w:val="00CF32E9"/>
    <w:rsid w:val="00CF345C"/>
    <w:rsid w:val="00CF4E94"/>
    <w:rsid w:val="00CF56C1"/>
    <w:rsid w:val="00CF75BA"/>
    <w:rsid w:val="00D0100E"/>
    <w:rsid w:val="00D010E3"/>
    <w:rsid w:val="00D01A19"/>
    <w:rsid w:val="00D02E90"/>
    <w:rsid w:val="00D0482D"/>
    <w:rsid w:val="00D05810"/>
    <w:rsid w:val="00D05A2B"/>
    <w:rsid w:val="00D10925"/>
    <w:rsid w:val="00D15ADE"/>
    <w:rsid w:val="00D20416"/>
    <w:rsid w:val="00D20CCF"/>
    <w:rsid w:val="00D21942"/>
    <w:rsid w:val="00D22B65"/>
    <w:rsid w:val="00D23682"/>
    <w:rsid w:val="00D27397"/>
    <w:rsid w:val="00D30BD9"/>
    <w:rsid w:val="00D30C9F"/>
    <w:rsid w:val="00D31275"/>
    <w:rsid w:val="00D3196B"/>
    <w:rsid w:val="00D31C7F"/>
    <w:rsid w:val="00D324FC"/>
    <w:rsid w:val="00D35F36"/>
    <w:rsid w:val="00D378DF"/>
    <w:rsid w:val="00D41322"/>
    <w:rsid w:val="00D42B0C"/>
    <w:rsid w:val="00D47AC5"/>
    <w:rsid w:val="00D5090D"/>
    <w:rsid w:val="00D5113F"/>
    <w:rsid w:val="00D52351"/>
    <w:rsid w:val="00D56336"/>
    <w:rsid w:val="00D56BA7"/>
    <w:rsid w:val="00D576E9"/>
    <w:rsid w:val="00D5781D"/>
    <w:rsid w:val="00D617EF"/>
    <w:rsid w:val="00D62ECD"/>
    <w:rsid w:val="00D65CF2"/>
    <w:rsid w:val="00D6682C"/>
    <w:rsid w:val="00D66CF8"/>
    <w:rsid w:val="00D66DB5"/>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B5D"/>
    <w:rsid w:val="00D853FF"/>
    <w:rsid w:val="00D8705F"/>
    <w:rsid w:val="00D87A07"/>
    <w:rsid w:val="00D92A15"/>
    <w:rsid w:val="00D934FF"/>
    <w:rsid w:val="00D943DD"/>
    <w:rsid w:val="00D957C0"/>
    <w:rsid w:val="00D965FE"/>
    <w:rsid w:val="00DA0011"/>
    <w:rsid w:val="00DA0546"/>
    <w:rsid w:val="00DA1332"/>
    <w:rsid w:val="00DA377B"/>
    <w:rsid w:val="00DA48F6"/>
    <w:rsid w:val="00DA4DA5"/>
    <w:rsid w:val="00DA5238"/>
    <w:rsid w:val="00DA53C1"/>
    <w:rsid w:val="00DA5621"/>
    <w:rsid w:val="00DA5B67"/>
    <w:rsid w:val="00DA7ECD"/>
    <w:rsid w:val="00DB09E4"/>
    <w:rsid w:val="00DB2D17"/>
    <w:rsid w:val="00DB5E4D"/>
    <w:rsid w:val="00DB5F9F"/>
    <w:rsid w:val="00DB6D1F"/>
    <w:rsid w:val="00DC11CB"/>
    <w:rsid w:val="00DC13EA"/>
    <w:rsid w:val="00DC1BB7"/>
    <w:rsid w:val="00DC3ADA"/>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6B23"/>
    <w:rsid w:val="00DE1786"/>
    <w:rsid w:val="00DE1E06"/>
    <w:rsid w:val="00DE342A"/>
    <w:rsid w:val="00DE48C3"/>
    <w:rsid w:val="00DE493A"/>
    <w:rsid w:val="00DE5099"/>
    <w:rsid w:val="00DE58AE"/>
    <w:rsid w:val="00DE64B9"/>
    <w:rsid w:val="00DE7190"/>
    <w:rsid w:val="00DF1157"/>
    <w:rsid w:val="00DF140B"/>
    <w:rsid w:val="00DF178D"/>
    <w:rsid w:val="00DF2711"/>
    <w:rsid w:val="00DF2E2D"/>
    <w:rsid w:val="00DF38C7"/>
    <w:rsid w:val="00DF4392"/>
    <w:rsid w:val="00DF4E1F"/>
    <w:rsid w:val="00DF69A1"/>
    <w:rsid w:val="00DF6DE1"/>
    <w:rsid w:val="00DF752E"/>
    <w:rsid w:val="00E0035B"/>
    <w:rsid w:val="00E00956"/>
    <w:rsid w:val="00E011B3"/>
    <w:rsid w:val="00E01A14"/>
    <w:rsid w:val="00E01A51"/>
    <w:rsid w:val="00E02EE2"/>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3DC2"/>
    <w:rsid w:val="00E245F0"/>
    <w:rsid w:val="00E2566D"/>
    <w:rsid w:val="00E27820"/>
    <w:rsid w:val="00E304B3"/>
    <w:rsid w:val="00E32827"/>
    <w:rsid w:val="00E329AF"/>
    <w:rsid w:val="00E342B0"/>
    <w:rsid w:val="00E350B7"/>
    <w:rsid w:val="00E356BA"/>
    <w:rsid w:val="00E37D1E"/>
    <w:rsid w:val="00E40979"/>
    <w:rsid w:val="00E411F1"/>
    <w:rsid w:val="00E435B7"/>
    <w:rsid w:val="00E43A26"/>
    <w:rsid w:val="00E466D8"/>
    <w:rsid w:val="00E46AF2"/>
    <w:rsid w:val="00E47557"/>
    <w:rsid w:val="00E503F7"/>
    <w:rsid w:val="00E5543F"/>
    <w:rsid w:val="00E6140D"/>
    <w:rsid w:val="00E61F52"/>
    <w:rsid w:val="00E635E4"/>
    <w:rsid w:val="00E6414B"/>
    <w:rsid w:val="00E64851"/>
    <w:rsid w:val="00E67C51"/>
    <w:rsid w:val="00E70BD3"/>
    <w:rsid w:val="00E71783"/>
    <w:rsid w:val="00E71967"/>
    <w:rsid w:val="00E7237E"/>
    <w:rsid w:val="00E72A5A"/>
    <w:rsid w:val="00E72D5C"/>
    <w:rsid w:val="00E735B1"/>
    <w:rsid w:val="00E73BE0"/>
    <w:rsid w:val="00E73CB6"/>
    <w:rsid w:val="00E741ED"/>
    <w:rsid w:val="00E770AD"/>
    <w:rsid w:val="00E77FD2"/>
    <w:rsid w:val="00E81DCB"/>
    <w:rsid w:val="00E85206"/>
    <w:rsid w:val="00E8707A"/>
    <w:rsid w:val="00E87692"/>
    <w:rsid w:val="00E90B31"/>
    <w:rsid w:val="00E90BDF"/>
    <w:rsid w:val="00E929ED"/>
    <w:rsid w:val="00E940AC"/>
    <w:rsid w:val="00E94F36"/>
    <w:rsid w:val="00E95883"/>
    <w:rsid w:val="00EA258A"/>
    <w:rsid w:val="00EA447E"/>
    <w:rsid w:val="00EA4DBC"/>
    <w:rsid w:val="00EA50AB"/>
    <w:rsid w:val="00EB037F"/>
    <w:rsid w:val="00EB10EA"/>
    <w:rsid w:val="00EB1595"/>
    <w:rsid w:val="00EB31AB"/>
    <w:rsid w:val="00EB4EFE"/>
    <w:rsid w:val="00EB5751"/>
    <w:rsid w:val="00EC175E"/>
    <w:rsid w:val="00EC22D7"/>
    <w:rsid w:val="00EC245A"/>
    <w:rsid w:val="00EC4BAE"/>
    <w:rsid w:val="00EC5B7C"/>
    <w:rsid w:val="00EC5D37"/>
    <w:rsid w:val="00EC6A3F"/>
    <w:rsid w:val="00ED2391"/>
    <w:rsid w:val="00ED3DA3"/>
    <w:rsid w:val="00EE6411"/>
    <w:rsid w:val="00EE66C7"/>
    <w:rsid w:val="00EE6B2F"/>
    <w:rsid w:val="00EE70C3"/>
    <w:rsid w:val="00EF02F8"/>
    <w:rsid w:val="00EF0400"/>
    <w:rsid w:val="00EF5730"/>
    <w:rsid w:val="00EF5C83"/>
    <w:rsid w:val="00EF7D7A"/>
    <w:rsid w:val="00F002B2"/>
    <w:rsid w:val="00F00AC2"/>
    <w:rsid w:val="00F01C27"/>
    <w:rsid w:val="00F0204B"/>
    <w:rsid w:val="00F0390E"/>
    <w:rsid w:val="00F03B3D"/>
    <w:rsid w:val="00F05177"/>
    <w:rsid w:val="00F0601A"/>
    <w:rsid w:val="00F0724E"/>
    <w:rsid w:val="00F11542"/>
    <w:rsid w:val="00F12FA2"/>
    <w:rsid w:val="00F14C67"/>
    <w:rsid w:val="00F15518"/>
    <w:rsid w:val="00F16724"/>
    <w:rsid w:val="00F17616"/>
    <w:rsid w:val="00F22E5F"/>
    <w:rsid w:val="00F233B0"/>
    <w:rsid w:val="00F24E5E"/>
    <w:rsid w:val="00F25D76"/>
    <w:rsid w:val="00F26DA9"/>
    <w:rsid w:val="00F31D64"/>
    <w:rsid w:val="00F33537"/>
    <w:rsid w:val="00F33736"/>
    <w:rsid w:val="00F33B09"/>
    <w:rsid w:val="00F3434E"/>
    <w:rsid w:val="00F358FC"/>
    <w:rsid w:val="00F36056"/>
    <w:rsid w:val="00F36D4A"/>
    <w:rsid w:val="00F376EB"/>
    <w:rsid w:val="00F37CE6"/>
    <w:rsid w:val="00F37FE5"/>
    <w:rsid w:val="00F40249"/>
    <w:rsid w:val="00F40EC2"/>
    <w:rsid w:val="00F40EFA"/>
    <w:rsid w:val="00F41545"/>
    <w:rsid w:val="00F41A0D"/>
    <w:rsid w:val="00F41EEA"/>
    <w:rsid w:val="00F4341D"/>
    <w:rsid w:val="00F4545C"/>
    <w:rsid w:val="00F45E80"/>
    <w:rsid w:val="00F50177"/>
    <w:rsid w:val="00F51132"/>
    <w:rsid w:val="00F51CC5"/>
    <w:rsid w:val="00F51F90"/>
    <w:rsid w:val="00F54E1B"/>
    <w:rsid w:val="00F567BF"/>
    <w:rsid w:val="00F56AC0"/>
    <w:rsid w:val="00F56F0E"/>
    <w:rsid w:val="00F56F47"/>
    <w:rsid w:val="00F57335"/>
    <w:rsid w:val="00F57A39"/>
    <w:rsid w:val="00F61F72"/>
    <w:rsid w:val="00F62680"/>
    <w:rsid w:val="00F63723"/>
    <w:rsid w:val="00F63BA4"/>
    <w:rsid w:val="00F65233"/>
    <w:rsid w:val="00F65E9E"/>
    <w:rsid w:val="00F7025D"/>
    <w:rsid w:val="00F72085"/>
    <w:rsid w:val="00F73FF5"/>
    <w:rsid w:val="00F74EFB"/>
    <w:rsid w:val="00F76F54"/>
    <w:rsid w:val="00F7712A"/>
    <w:rsid w:val="00F77955"/>
    <w:rsid w:val="00F803F8"/>
    <w:rsid w:val="00F8144D"/>
    <w:rsid w:val="00F82B0E"/>
    <w:rsid w:val="00F8415B"/>
    <w:rsid w:val="00F84424"/>
    <w:rsid w:val="00F869F8"/>
    <w:rsid w:val="00F86B46"/>
    <w:rsid w:val="00F86BE3"/>
    <w:rsid w:val="00F90EFD"/>
    <w:rsid w:val="00F926D8"/>
    <w:rsid w:val="00F93F4C"/>
    <w:rsid w:val="00F9535B"/>
    <w:rsid w:val="00F95DE8"/>
    <w:rsid w:val="00F962C7"/>
    <w:rsid w:val="00F96FD2"/>
    <w:rsid w:val="00F9780A"/>
    <w:rsid w:val="00FA06AC"/>
    <w:rsid w:val="00FA0E40"/>
    <w:rsid w:val="00FA13F8"/>
    <w:rsid w:val="00FA1906"/>
    <w:rsid w:val="00FA1DA5"/>
    <w:rsid w:val="00FA2EC0"/>
    <w:rsid w:val="00FA31AD"/>
    <w:rsid w:val="00FA3F1F"/>
    <w:rsid w:val="00FA47E1"/>
    <w:rsid w:val="00FA4EA3"/>
    <w:rsid w:val="00FB0933"/>
    <w:rsid w:val="00FB13E0"/>
    <w:rsid w:val="00FB38D6"/>
    <w:rsid w:val="00FB4CA8"/>
    <w:rsid w:val="00FB5EBA"/>
    <w:rsid w:val="00FB6B34"/>
    <w:rsid w:val="00FC07C4"/>
    <w:rsid w:val="00FC1619"/>
    <w:rsid w:val="00FC19E8"/>
    <w:rsid w:val="00FC22CF"/>
    <w:rsid w:val="00FC3B31"/>
    <w:rsid w:val="00FC43D1"/>
    <w:rsid w:val="00FC4541"/>
    <w:rsid w:val="00FC5866"/>
    <w:rsid w:val="00FC5B63"/>
    <w:rsid w:val="00FC5E53"/>
    <w:rsid w:val="00FD0BDA"/>
    <w:rsid w:val="00FD3EB9"/>
    <w:rsid w:val="00FD4975"/>
    <w:rsid w:val="00FD4992"/>
    <w:rsid w:val="00FD6559"/>
    <w:rsid w:val="00FD79FF"/>
    <w:rsid w:val="00FE297B"/>
    <w:rsid w:val="00FE3880"/>
    <w:rsid w:val="00FE3F1F"/>
    <w:rsid w:val="00FE47DF"/>
    <w:rsid w:val="00FE4E3F"/>
    <w:rsid w:val="00FE6847"/>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1">
    <w:name w:val="Chapter 1"/>
    <w:link w:val="Chapter1Char1"/>
    <w:rsid w:val="00346BA7"/>
    <w:pPr>
      <w:numPr>
        <w:numId w:val="6"/>
      </w:numPr>
      <w:jc w:val="both"/>
    </w:pPr>
    <w:rPr>
      <w:sz w:val="24"/>
      <w:lang w:eastAsia="en-AU"/>
    </w:rPr>
  </w:style>
  <w:style w:type="character" w:customStyle="1" w:styleId="Chapter1Char1">
    <w:name w:val="Chapter 1 Char1"/>
    <w:basedOn w:val="DefaultParagraphFont"/>
    <w:link w:val="Chapter1"/>
    <w:rsid w:val="00346BA7"/>
    <w:rPr>
      <w:sz w:val="24"/>
      <w:lang w:eastAsia="en-AU"/>
    </w:rPr>
  </w:style>
  <w:style w:type="paragraph" w:customStyle="1" w:styleId="Chapter3">
    <w:name w:val="Chapter 3"/>
    <w:basedOn w:val="Normal"/>
    <w:link w:val="Chapter3Char1"/>
    <w:rsid w:val="000E02AE"/>
    <w:pPr>
      <w:numPr>
        <w:numId w:val="8"/>
      </w:numPr>
      <w:tabs>
        <w:tab w:val="clear" w:pos="1561"/>
        <w:tab w:val="num" w:pos="851"/>
      </w:tabs>
      <w:spacing w:after="0" w:line="240" w:lineRule="auto"/>
      <w:ind w:left="851"/>
      <w:jc w:val="both"/>
    </w:pPr>
    <w:rPr>
      <w:rFonts w:ascii="Times New Roman" w:hAnsi="Times New Roman"/>
      <w:sz w:val="24"/>
      <w:lang w:val="en-NZ" w:eastAsia="en-US"/>
    </w:rPr>
  </w:style>
  <w:style w:type="paragraph" w:customStyle="1" w:styleId="Chapter4">
    <w:name w:val="Chapter 4"/>
    <w:basedOn w:val="Chapter1"/>
    <w:rsid w:val="000E02AE"/>
    <w:pPr>
      <w:numPr>
        <w:numId w:val="9"/>
      </w:numPr>
    </w:pPr>
  </w:style>
  <w:style w:type="character" w:customStyle="1" w:styleId="Chapter3Char1">
    <w:name w:val="Chapter 3 Char1"/>
    <w:basedOn w:val="DefaultParagraphFont"/>
    <w:link w:val="Chapter3"/>
    <w:rsid w:val="000E02AE"/>
    <w:rPr>
      <w:sz w:val="24"/>
      <w:lang w:eastAsia="en-US"/>
    </w:rPr>
  </w:style>
  <w:style w:type="paragraph" w:customStyle="1" w:styleId="Chapter2">
    <w:name w:val="Chapter 2"/>
    <w:basedOn w:val="Chapter1"/>
    <w:link w:val="Chapter2Char"/>
    <w:rsid w:val="0073516C"/>
    <w:pPr>
      <w:numPr>
        <w:numId w:val="12"/>
      </w:numPr>
      <w:tabs>
        <w:tab w:val="clear" w:pos="1702"/>
        <w:tab w:val="num" w:pos="851"/>
      </w:tabs>
      <w:ind w:left="851"/>
    </w:pPr>
    <w:rPr>
      <w:lang w:eastAsia="en-US"/>
    </w:rPr>
  </w:style>
  <w:style w:type="character" w:customStyle="1" w:styleId="Chapter2Char">
    <w:name w:val="Chapter 2 Char"/>
    <w:basedOn w:val="Chapter1Char1"/>
    <w:link w:val="Chapter2"/>
    <w:rsid w:val="0073516C"/>
    <w:rPr>
      <w:sz w:val="24"/>
      <w:lang w:eastAsia="en-US"/>
    </w:rPr>
  </w:style>
  <w:style w:type="paragraph" w:customStyle="1" w:styleId="Default">
    <w:name w:val="Default"/>
    <w:rsid w:val="00A51AE2"/>
    <w:pPr>
      <w:autoSpaceDE w:val="0"/>
      <w:autoSpaceDN w:val="0"/>
      <w:adjustRightInd w:val="0"/>
    </w:pPr>
    <w:rPr>
      <w:color w:val="000000"/>
      <w:sz w:val="24"/>
      <w:szCs w:val="24"/>
    </w:rPr>
  </w:style>
  <w:style w:type="paragraph" w:customStyle="1" w:styleId="TRNormal">
    <w:name w:val="_TRNormal"/>
    <w:rsid w:val="008352F5"/>
    <w:pPr>
      <w:spacing w:line="300" w:lineRule="atLeast"/>
      <w:jc w:val="both"/>
    </w:pPr>
    <w:rPr>
      <w:sz w:val="24"/>
      <w:lang w:eastAsia="en-AU"/>
    </w:rPr>
  </w:style>
  <w:style w:type="paragraph" w:customStyle="1" w:styleId="Numberparagraph">
    <w:name w:val="Number paragraph"/>
    <w:basedOn w:val="Normal"/>
    <w:qFormat/>
    <w:rsid w:val="00CD7F0B"/>
    <w:pPr>
      <w:numPr>
        <w:numId w:val="23"/>
      </w:numPr>
      <w:tabs>
        <w:tab w:val="left" w:pos="567"/>
      </w:tabs>
      <w:spacing w:after="0" w:line="240" w:lineRule="auto"/>
      <w:jc w:val="both"/>
    </w:pPr>
    <w:rPr>
      <w:rFonts w:ascii="Times New Roman" w:hAnsi="Times New Roman"/>
      <w:sz w:val="24"/>
      <w:szCs w:val="24"/>
      <w:lang w:val="en-NZ"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1">
    <w:name w:val="Chapter 1"/>
    <w:link w:val="Chapter1Char1"/>
    <w:rsid w:val="00346BA7"/>
    <w:pPr>
      <w:numPr>
        <w:numId w:val="6"/>
      </w:numPr>
      <w:jc w:val="both"/>
    </w:pPr>
    <w:rPr>
      <w:sz w:val="24"/>
      <w:lang w:eastAsia="en-AU"/>
    </w:rPr>
  </w:style>
  <w:style w:type="character" w:customStyle="1" w:styleId="Chapter1Char1">
    <w:name w:val="Chapter 1 Char1"/>
    <w:basedOn w:val="DefaultParagraphFont"/>
    <w:link w:val="Chapter1"/>
    <w:rsid w:val="00346BA7"/>
    <w:rPr>
      <w:sz w:val="24"/>
      <w:lang w:eastAsia="en-AU"/>
    </w:rPr>
  </w:style>
  <w:style w:type="paragraph" w:customStyle="1" w:styleId="Chapter3">
    <w:name w:val="Chapter 3"/>
    <w:basedOn w:val="Normal"/>
    <w:link w:val="Chapter3Char1"/>
    <w:rsid w:val="000E02AE"/>
    <w:pPr>
      <w:numPr>
        <w:numId w:val="8"/>
      </w:numPr>
      <w:tabs>
        <w:tab w:val="clear" w:pos="1561"/>
        <w:tab w:val="num" w:pos="851"/>
      </w:tabs>
      <w:spacing w:after="0" w:line="240" w:lineRule="auto"/>
      <w:ind w:left="851"/>
      <w:jc w:val="both"/>
    </w:pPr>
    <w:rPr>
      <w:rFonts w:ascii="Times New Roman" w:hAnsi="Times New Roman"/>
      <w:sz w:val="24"/>
      <w:lang w:val="en-NZ" w:eastAsia="en-US"/>
    </w:rPr>
  </w:style>
  <w:style w:type="paragraph" w:customStyle="1" w:styleId="Chapter4">
    <w:name w:val="Chapter 4"/>
    <w:basedOn w:val="Chapter1"/>
    <w:rsid w:val="000E02AE"/>
    <w:pPr>
      <w:numPr>
        <w:numId w:val="9"/>
      </w:numPr>
    </w:pPr>
  </w:style>
  <w:style w:type="character" w:customStyle="1" w:styleId="Chapter3Char1">
    <w:name w:val="Chapter 3 Char1"/>
    <w:basedOn w:val="DefaultParagraphFont"/>
    <w:link w:val="Chapter3"/>
    <w:rsid w:val="000E02AE"/>
    <w:rPr>
      <w:sz w:val="24"/>
      <w:lang w:eastAsia="en-US"/>
    </w:rPr>
  </w:style>
  <w:style w:type="paragraph" w:customStyle="1" w:styleId="Chapter2">
    <w:name w:val="Chapter 2"/>
    <w:basedOn w:val="Chapter1"/>
    <w:link w:val="Chapter2Char"/>
    <w:rsid w:val="0073516C"/>
    <w:pPr>
      <w:numPr>
        <w:numId w:val="12"/>
      </w:numPr>
      <w:tabs>
        <w:tab w:val="clear" w:pos="1702"/>
        <w:tab w:val="num" w:pos="851"/>
      </w:tabs>
      <w:ind w:left="851"/>
    </w:pPr>
    <w:rPr>
      <w:lang w:eastAsia="en-US"/>
    </w:rPr>
  </w:style>
  <w:style w:type="character" w:customStyle="1" w:styleId="Chapter2Char">
    <w:name w:val="Chapter 2 Char"/>
    <w:basedOn w:val="Chapter1Char1"/>
    <w:link w:val="Chapter2"/>
    <w:rsid w:val="0073516C"/>
    <w:rPr>
      <w:sz w:val="24"/>
      <w:lang w:eastAsia="en-US"/>
    </w:rPr>
  </w:style>
  <w:style w:type="paragraph" w:customStyle="1" w:styleId="Default">
    <w:name w:val="Default"/>
    <w:rsid w:val="00A51AE2"/>
    <w:pPr>
      <w:autoSpaceDE w:val="0"/>
      <w:autoSpaceDN w:val="0"/>
      <w:adjustRightInd w:val="0"/>
    </w:pPr>
    <w:rPr>
      <w:color w:val="000000"/>
      <w:sz w:val="24"/>
      <w:szCs w:val="24"/>
    </w:rPr>
  </w:style>
  <w:style w:type="paragraph" w:customStyle="1" w:styleId="TRNormal">
    <w:name w:val="_TRNormal"/>
    <w:rsid w:val="008352F5"/>
    <w:pPr>
      <w:spacing w:line="300" w:lineRule="atLeast"/>
      <w:jc w:val="both"/>
    </w:pPr>
    <w:rPr>
      <w:sz w:val="24"/>
      <w:lang w:eastAsia="en-AU"/>
    </w:rPr>
  </w:style>
  <w:style w:type="paragraph" w:customStyle="1" w:styleId="Numberparagraph">
    <w:name w:val="Number paragraph"/>
    <w:basedOn w:val="Normal"/>
    <w:qFormat/>
    <w:rsid w:val="00CD7F0B"/>
    <w:pPr>
      <w:numPr>
        <w:numId w:val="23"/>
      </w:numPr>
      <w:tabs>
        <w:tab w:val="left" w:pos="567"/>
      </w:tabs>
      <w:spacing w:after="0" w:line="240" w:lineRule="auto"/>
      <w:jc w:val="both"/>
    </w:pPr>
    <w:rPr>
      <w:rFonts w:ascii="Times New Roman" w:hAnsi="Times New Roman"/>
      <w:sz w:val="24"/>
      <w:szCs w:val="24"/>
      <w:lang w:val="en-NZ"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663987">
      <w:bodyDiv w:val="1"/>
      <w:marLeft w:val="0"/>
      <w:marRight w:val="0"/>
      <w:marTop w:val="0"/>
      <w:marBottom w:val="0"/>
      <w:divBdr>
        <w:top w:val="none" w:sz="0" w:space="0" w:color="auto"/>
        <w:left w:val="none" w:sz="0" w:space="0" w:color="auto"/>
        <w:bottom w:val="none" w:sz="0" w:space="0" w:color="auto"/>
        <w:right w:val="none" w:sz="0" w:space="0" w:color="auto"/>
      </w:divBdr>
      <w:divsChild>
        <w:div w:id="2059667738">
          <w:marLeft w:val="0"/>
          <w:marRight w:val="0"/>
          <w:marTop w:val="0"/>
          <w:marBottom w:val="0"/>
          <w:divBdr>
            <w:top w:val="none" w:sz="0" w:space="0" w:color="auto"/>
            <w:left w:val="none" w:sz="0" w:space="0" w:color="auto"/>
            <w:bottom w:val="none" w:sz="0" w:space="0" w:color="auto"/>
            <w:right w:val="none" w:sz="0" w:space="0" w:color="auto"/>
          </w:divBdr>
          <w:divsChild>
            <w:div w:id="237519696">
              <w:marLeft w:val="0"/>
              <w:marRight w:val="0"/>
              <w:marTop w:val="0"/>
              <w:marBottom w:val="0"/>
              <w:divBdr>
                <w:top w:val="none" w:sz="0" w:space="0" w:color="auto"/>
                <w:left w:val="none" w:sz="0" w:space="0" w:color="auto"/>
                <w:bottom w:val="none" w:sz="0" w:space="0" w:color="auto"/>
                <w:right w:val="none" w:sz="0" w:space="0" w:color="auto"/>
              </w:divBdr>
              <w:divsChild>
                <w:div w:id="81529934">
                  <w:marLeft w:val="150"/>
                  <w:marRight w:val="0"/>
                  <w:marTop w:val="0"/>
                  <w:marBottom w:val="0"/>
                  <w:divBdr>
                    <w:top w:val="none" w:sz="0" w:space="0" w:color="auto"/>
                    <w:left w:val="none" w:sz="0" w:space="0" w:color="auto"/>
                    <w:bottom w:val="none" w:sz="0" w:space="0" w:color="auto"/>
                    <w:right w:val="none" w:sz="0" w:space="0" w:color="auto"/>
                  </w:divBdr>
                  <w:divsChild>
                    <w:div w:id="1371539944">
                      <w:marLeft w:val="0"/>
                      <w:marRight w:val="0"/>
                      <w:marTop w:val="0"/>
                      <w:marBottom w:val="0"/>
                      <w:divBdr>
                        <w:top w:val="none" w:sz="0" w:space="0" w:color="auto"/>
                        <w:left w:val="none" w:sz="0" w:space="0" w:color="auto"/>
                        <w:bottom w:val="none" w:sz="0" w:space="0" w:color="auto"/>
                        <w:right w:val="none" w:sz="0" w:space="0" w:color="auto"/>
                      </w:divBdr>
                      <w:divsChild>
                        <w:div w:id="2474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636268">
      <w:bodyDiv w:val="1"/>
      <w:marLeft w:val="0"/>
      <w:marRight w:val="0"/>
      <w:marTop w:val="0"/>
      <w:marBottom w:val="0"/>
      <w:divBdr>
        <w:top w:val="none" w:sz="0" w:space="0" w:color="auto"/>
        <w:left w:val="none" w:sz="0" w:space="0" w:color="auto"/>
        <w:bottom w:val="none" w:sz="0" w:space="0" w:color="auto"/>
        <w:right w:val="none" w:sz="0" w:space="0" w:color="auto"/>
      </w:divBdr>
      <w:divsChild>
        <w:div w:id="735935462">
          <w:marLeft w:val="0"/>
          <w:marRight w:val="0"/>
          <w:marTop w:val="0"/>
          <w:marBottom w:val="0"/>
          <w:divBdr>
            <w:top w:val="none" w:sz="0" w:space="0" w:color="auto"/>
            <w:left w:val="none" w:sz="0" w:space="0" w:color="auto"/>
            <w:bottom w:val="none" w:sz="0" w:space="0" w:color="auto"/>
            <w:right w:val="none" w:sz="0" w:space="0" w:color="auto"/>
          </w:divBdr>
          <w:divsChild>
            <w:div w:id="275136474">
              <w:marLeft w:val="0"/>
              <w:marRight w:val="0"/>
              <w:marTop w:val="0"/>
              <w:marBottom w:val="0"/>
              <w:divBdr>
                <w:top w:val="none" w:sz="0" w:space="0" w:color="auto"/>
                <w:left w:val="none" w:sz="0" w:space="0" w:color="auto"/>
                <w:bottom w:val="none" w:sz="0" w:space="0" w:color="auto"/>
                <w:right w:val="none" w:sz="0" w:space="0" w:color="auto"/>
              </w:divBdr>
              <w:divsChild>
                <w:div w:id="713507248">
                  <w:marLeft w:val="150"/>
                  <w:marRight w:val="0"/>
                  <w:marTop w:val="0"/>
                  <w:marBottom w:val="0"/>
                  <w:divBdr>
                    <w:top w:val="none" w:sz="0" w:space="0" w:color="auto"/>
                    <w:left w:val="none" w:sz="0" w:space="0" w:color="auto"/>
                    <w:bottom w:val="none" w:sz="0" w:space="0" w:color="auto"/>
                    <w:right w:val="none" w:sz="0" w:space="0" w:color="auto"/>
                  </w:divBdr>
                  <w:divsChild>
                    <w:div w:id="1536428828">
                      <w:marLeft w:val="0"/>
                      <w:marRight w:val="0"/>
                      <w:marTop w:val="0"/>
                      <w:marBottom w:val="0"/>
                      <w:divBdr>
                        <w:top w:val="none" w:sz="0" w:space="0" w:color="auto"/>
                        <w:left w:val="none" w:sz="0" w:space="0" w:color="auto"/>
                        <w:bottom w:val="none" w:sz="0" w:space="0" w:color="auto"/>
                        <w:right w:val="none" w:sz="0" w:space="0" w:color="auto"/>
                      </w:divBdr>
                      <w:divsChild>
                        <w:div w:id="13346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01637">
      <w:bodyDiv w:val="1"/>
      <w:marLeft w:val="0"/>
      <w:marRight w:val="0"/>
      <w:marTop w:val="0"/>
      <w:marBottom w:val="0"/>
      <w:divBdr>
        <w:top w:val="none" w:sz="0" w:space="0" w:color="auto"/>
        <w:left w:val="none" w:sz="0" w:space="0" w:color="auto"/>
        <w:bottom w:val="none" w:sz="0" w:space="0" w:color="auto"/>
        <w:right w:val="none" w:sz="0" w:space="0" w:color="auto"/>
      </w:divBdr>
      <w:divsChild>
        <w:div w:id="1218710104">
          <w:marLeft w:val="0"/>
          <w:marRight w:val="0"/>
          <w:marTop w:val="0"/>
          <w:marBottom w:val="0"/>
          <w:divBdr>
            <w:top w:val="none" w:sz="0" w:space="0" w:color="auto"/>
            <w:left w:val="none" w:sz="0" w:space="0" w:color="auto"/>
            <w:bottom w:val="none" w:sz="0" w:space="0" w:color="auto"/>
            <w:right w:val="none" w:sz="0" w:space="0" w:color="auto"/>
          </w:divBdr>
          <w:divsChild>
            <w:div w:id="430128931">
              <w:marLeft w:val="0"/>
              <w:marRight w:val="0"/>
              <w:marTop w:val="0"/>
              <w:marBottom w:val="0"/>
              <w:divBdr>
                <w:top w:val="none" w:sz="0" w:space="0" w:color="auto"/>
                <w:left w:val="none" w:sz="0" w:space="0" w:color="auto"/>
                <w:bottom w:val="none" w:sz="0" w:space="0" w:color="auto"/>
                <w:right w:val="none" w:sz="0" w:space="0" w:color="auto"/>
              </w:divBdr>
              <w:divsChild>
                <w:div w:id="283928364">
                  <w:marLeft w:val="150"/>
                  <w:marRight w:val="0"/>
                  <w:marTop w:val="0"/>
                  <w:marBottom w:val="0"/>
                  <w:divBdr>
                    <w:top w:val="none" w:sz="0" w:space="0" w:color="auto"/>
                    <w:left w:val="none" w:sz="0" w:space="0" w:color="auto"/>
                    <w:bottom w:val="none" w:sz="0" w:space="0" w:color="auto"/>
                    <w:right w:val="none" w:sz="0" w:space="0" w:color="auto"/>
                  </w:divBdr>
                  <w:divsChild>
                    <w:div w:id="615908119">
                      <w:marLeft w:val="0"/>
                      <w:marRight w:val="0"/>
                      <w:marTop w:val="0"/>
                      <w:marBottom w:val="0"/>
                      <w:divBdr>
                        <w:top w:val="none" w:sz="0" w:space="0" w:color="auto"/>
                        <w:left w:val="none" w:sz="0" w:space="0" w:color="auto"/>
                        <w:bottom w:val="none" w:sz="0" w:space="0" w:color="auto"/>
                        <w:right w:val="none" w:sz="0" w:space="0" w:color="auto"/>
                      </w:divBdr>
                      <w:divsChild>
                        <w:div w:id="17850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zvif.co.nz/assets/publications/ESOP-Survey-Report.pdf" TargetMode="External"/><Relationship Id="rId1" Type="http://schemas.openxmlformats.org/officeDocument/2006/relationships/hyperlink" Target="https://assets.kpmg.com/content/dam/kpmg/pdf/2016/02/NZ-Employee-Share-Schemes-Brochure-Feb-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4AD4-7DCF-4BD8-AF49-25C4AAB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7171</Words>
  <Characters>38763</Characters>
  <Application>Microsoft Office Word</Application>
  <DocSecurity>0</DocSecurity>
  <Lines>1292</Lines>
  <Paragraphs>468</Paragraphs>
  <ScaleCrop>false</ScaleCrop>
  <HeadingPairs>
    <vt:vector size="2" baseType="variant">
      <vt:variant>
        <vt:lpstr>Title</vt:lpstr>
      </vt:variant>
      <vt:variant>
        <vt:i4>1</vt:i4>
      </vt:variant>
    </vt:vector>
  </HeadingPairs>
  <TitlesOfParts>
    <vt:vector size="1" baseType="lpstr">
      <vt:lpstr>Regulatory impact statement - Taxation of employee share schemes (28 November 2016)</vt:lpstr>
    </vt:vector>
  </TitlesOfParts>
  <Company>Inland Revenue</Company>
  <LinksUpToDate>false</LinksUpToDate>
  <CharactersWithSpaces>45466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Taxation of employee share schemes (28 November 2016)</dc:title>
  <dc:subject/>
  <dc:creator>Policy and Strategy</dc:creator>
  <cp:keywords/>
  <dc:description>Published April 2017.</dc:description>
  <cp:lastModifiedBy>David Nind</cp:lastModifiedBy>
  <cp:revision>2</cp:revision>
  <dcterms:created xsi:type="dcterms:W3CDTF">2017-04-03T06:09:00Z</dcterms:created>
  <dcterms:modified xsi:type="dcterms:W3CDTF">2017-04-03T06:10:00Z</dcterms:modified>
  <cp:category/>
</cp:coreProperties>
</file>