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D243" w14:textId="77777777" w:rsidR="000545DC" w:rsidRPr="007C737B"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14:paraId="4F725418" w14:textId="77777777" w:rsidR="000545DC" w:rsidRPr="004342F0" w:rsidRDefault="00A1107D" w:rsidP="004342F0">
      <w:pPr>
        <w:pStyle w:val="RISheading"/>
        <w:rPr>
          <w:spacing w:val="0"/>
          <w:w w:val="100"/>
        </w:rPr>
      </w:pPr>
      <w:r>
        <w:rPr>
          <w:spacing w:val="0"/>
          <w:w w:val="100"/>
        </w:rPr>
        <w:t>Insurance businesses and the controlled foreign company rules</w:t>
      </w:r>
    </w:p>
    <w:p w14:paraId="7010EB04" w14:textId="77777777"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14:paraId="5414F189" w14:textId="77777777"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This Regulatory Impact Statement</w:t>
      </w:r>
      <w:r w:rsidR="005A1262">
        <w:rPr>
          <w:rFonts w:ascii="Times New Roman" w:hAnsi="Times New Roman"/>
          <w:sz w:val="24"/>
          <w:szCs w:val="24"/>
        </w:rPr>
        <w:t xml:space="preserve"> (RIS)</w:t>
      </w:r>
      <w:r w:rsidRPr="004342F0">
        <w:rPr>
          <w:rFonts w:ascii="Times New Roman" w:hAnsi="Times New Roman"/>
          <w:sz w:val="24"/>
          <w:szCs w:val="24"/>
        </w:rPr>
        <w:t xml:space="preserve">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14:paraId="428302FD" w14:textId="77777777" w:rsidR="004342F0" w:rsidRPr="004342F0" w:rsidRDefault="004342F0" w:rsidP="009A23EE">
      <w:pPr>
        <w:pStyle w:val="ListParagraph"/>
        <w:ind w:left="0" w:right="170"/>
        <w:contextualSpacing w:val="0"/>
        <w:rPr>
          <w:rFonts w:ascii="Times New Roman" w:hAnsi="Times New Roman"/>
          <w:sz w:val="24"/>
          <w:szCs w:val="24"/>
        </w:rPr>
      </w:pPr>
    </w:p>
    <w:p w14:paraId="3716852B" w14:textId="77777777" w:rsidR="005A1262" w:rsidRDefault="000545DC" w:rsidP="00B168F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w:t>
      </w:r>
      <w:r w:rsidR="005A1262">
        <w:rPr>
          <w:rFonts w:ascii="Times New Roman" w:hAnsi="Times New Roman"/>
          <w:sz w:val="24"/>
          <w:szCs w:val="24"/>
        </w:rPr>
        <w:t xml:space="preserve">to address </w:t>
      </w:r>
      <w:r w:rsidR="00D26C21">
        <w:rPr>
          <w:rFonts w:ascii="Times New Roman" w:hAnsi="Times New Roman"/>
          <w:sz w:val="24"/>
          <w:szCs w:val="24"/>
        </w:rPr>
        <w:t xml:space="preserve">the concern </w:t>
      </w:r>
      <w:r w:rsidR="005A1262">
        <w:rPr>
          <w:rFonts w:ascii="Times New Roman" w:hAnsi="Times New Roman"/>
          <w:sz w:val="24"/>
          <w:szCs w:val="24"/>
        </w:rPr>
        <w:t xml:space="preserve">raised by </w:t>
      </w:r>
      <w:r w:rsidR="00D26C21">
        <w:rPr>
          <w:rFonts w:ascii="Times New Roman" w:hAnsi="Times New Roman"/>
          <w:sz w:val="24"/>
          <w:szCs w:val="24"/>
        </w:rPr>
        <w:t xml:space="preserve">tax practitioners </w:t>
      </w:r>
      <w:r w:rsidR="005A1262">
        <w:rPr>
          <w:rFonts w:ascii="Times New Roman" w:hAnsi="Times New Roman"/>
          <w:sz w:val="24"/>
          <w:szCs w:val="24"/>
        </w:rPr>
        <w:t>in relation to the control</w:t>
      </w:r>
      <w:r w:rsidR="00B168FE">
        <w:rPr>
          <w:rFonts w:ascii="Times New Roman" w:hAnsi="Times New Roman"/>
          <w:sz w:val="24"/>
          <w:szCs w:val="24"/>
        </w:rPr>
        <w:t>led foreign company (CFC) rules and the ability for i</w:t>
      </w:r>
      <w:r w:rsidR="005A1262">
        <w:rPr>
          <w:rFonts w:ascii="Times New Roman" w:hAnsi="Times New Roman"/>
          <w:sz w:val="24"/>
          <w:szCs w:val="24"/>
        </w:rPr>
        <w:t xml:space="preserve">nsurance companies </w:t>
      </w:r>
      <w:r w:rsidR="00B168FE">
        <w:rPr>
          <w:rFonts w:ascii="Times New Roman" w:hAnsi="Times New Roman"/>
          <w:sz w:val="24"/>
          <w:szCs w:val="24"/>
        </w:rPr>
        <w:t xml:space="preserve">to </w:t>
      </w:r>
      <w:r w:rsidR="007672AC">
        <w:rPr>
          <w:rFonts w:ascii="Times New Roman" w:hAnsi="Times New Roman"/>
          <w:sz w:val="24"/>
          <w:szCs w:val="24"/>
        </w:rPr>
        <w:t>qualify for the active income exemption in relation to their offshore insurance businesses.</w:t>
      </w:r>
    </w:p>
    <w:p w14:paraId="75FF939E" w14:textId="77777777" w:rsidR="00193B26" w:rsidRDefault="00193B26" w:rsidP="00713D62">
      <w:pPr>
        <w:pStyle w:val="ListParagraph"/>
        <w:ind w:left="0" w:right="170"/>
        <w:contextualSpacing w:val="0"/>
        <w:rPr>
          <w:rFonts w:ascii="Times New Roman" w:hAnsi="Times New Roman"/>
          <w:sz w:val="24"/>
          <w:szCs w:val="24"/>
        </w:rPr>
      </w:pPr>
    </w:p>
    <w:p w14:paraId="68CEFBCC" w14:textId="6A58D841" w:rsidR="00FF7359" w:rsidRDefault="00D26C21" w:rsidP="00782395">
      <w:pPr>
        <w:pStyle w:val="ListParagraph"/>
        <w:ind w:left="0" w:right="170"/>
        <w:contextualSpacing w:val="0"/>
        <w:rPr>
          <w:rFonts w:ascii="Times New Roman" w:hAnsi="Times New Roman"/>
          <w:sz w:val="24"/>
          <w:szCs w:val="24"/>
        </w:rPr>
      </w:pPr>
      <w:r>
        <w:rPr>
          <w:rFonts w:ascii="Times New Roman" w:hAnsi="Times New Roman"/>
          <w:sz w:val="24"/>
          <w:szCs w:val="24"/>
        </w:rPr>
        <w:t>The</w:t>
      </w:r>
      <w:r w:rsidR="00FF7359">
        <w:rPr>
          <w:rFonts w:ascii="Times New Roman" w:hAnsi="Times New Roman"/>
          <w:sz w:val="24"/>
          <w:szCs w:val="24"/>
        </w:rPr>
        <w:t xml:space="preserve"> concern </w:t>
      </w:r>
      <w:r>
        <w:rPr>
          <w:rFonts w:ascii="Times New Roman" w:hAnsi="Times New Roman"/>
          <w:sz w:val="24"/>
          <w:szCs w:val="24"/>
        </w:rPr>
        <w:t xml:space="preserve">relates to </w:t>
      </w:r>
      <w:r w:rsidR="00FF7359">
        <w:rPr>
          <w:rFonts w:ascii="Times New Roman" w:hAnsi="Times New Roman"/>
          <w:sz w:val="24"/>
          <w:szCs w:val="24"/>
        </w:rPr>
        <w:t>the inability of new offshore active insurance companies acquired</w:t>
      </w:r>
      <w:r w:rsidR="005B1BBA">
        <w:rPr>
          <w:rFonts w:ascii="Times New Roman" w:hAnsi="Times New Roman"/>
          <w:sz w:val="24"/>
          <w:szCs w:val="24"/>
        </w:rPr>
        <w:t xml:space="preserve"> or establish</w:t>
      </w:r>
      <w:r w:rsidR="00227232">
        <w:rPr>
          <w:rFonts w:ascii="Times New Roman" w:hAnsi="Times New Roman"/>
          <w:sz w:val="24"/>
          <w:szCs w:val="24"/>
        </w:rPr>
        <w:t>e</w:t>
      </w:r>
      <w:r w:rsidR="005B1BBA">
        <w:rPr>
          <w:rFonts w:ascii="Times New Roman" w:hAnsi="Times New Roman"/>
          <w:sz w:val="24"/>
          <w:szCs w:val="24"/>
        </w:rPr>
        <w:t>d</w:t>
      </w:r>
      <w:r w:rsidR="00FF7359">
        <w:rPr>
          <w:rFonts w:ascii="Times New Roman" w:hAnsi="Times New Roman"/>
          <w:sz w:val="24"/>
          <w:szCs w:val="24"/>
        </w:rPr>
        <w:t xml:space="preserve"> by New Zealand resident insurers</w:t>
      </w:r>
      <w:r w:rsidR="00EE1BF2">
        <w:rPr>
          <w:rFonts w:ascii="Times New Roman" w:hAnsi="Times New Roman"/>
          <w:sz w:val="24"/>
          <w:szCs w:val="24"/>
        </w:rPr>
        <w:t xml:space="preserve"> after 30 June 2009 </w:t>
      </w:r>
      <w:r w:rsidR="00FF7359">
        <w:rPr>
          <w:rFonts w:ascii="Times New Roman" w:hAnsi="Times New Roman"/>
          <w:sz w:val="24"/>
          <w:szCs w:val="24"/>
        </w:rPr>
        <w:t xml:space="preserve">to pass the active business test in the CFC </w:t>
      </w:r>
      <w:r w:rsidR="00EE1BF2">
        <w:rPr>
          <w:rFonts w:ascii="Times New Roman" w:hAnsi="Times New Roman"/>
          <w:sz w:val="24"/>
          <w:szCs w:val="24"/>
        </w:rPr>
        <w:t xml:space="preserve">rules </w:t>
      </w:r>
      <w:r w:rsidR="00FF7359">
        <w:rPr>
          <w:rFonts w:ascii="Times New Roman" w:hAnsi="Times New Roman"/>
          <w:sz w:val="24"/>
          <w:szCs w:val="24"/>
        </w:rPr>
        <w:t>and their preference for specific active business test rules for insurance companies</w:t>
      </w:r>
      <w:r>
        <w:rPr>
          <w:rFonts w:ascii="Times New Roman" w:hAnsi="Times New Roman"/>
          <w:sz w:val="24"/>
          <w:szCs w:val="24"/>
        </w:rPr>
        <w:t xml:space="preserve">.  However, those who expressed concern </w:t>
      </w:r>
      <w:r w:rsidR="00FF7359">
        <w:rPr>
          <w:rFonts w:ascii="Times New Roman" w:hAnsi="Times New Roman"/>
          <w:sz w:val="24"/>
          <w:szCs w:val="24"/>
        </w:rPr>
        <w:t xml:space="preserve">acknowledged that </w:t>
      </w:r>
      <w:r>
        <w:rPr>
          <w:rFonts w:ascii="Times New Roman" w:hAnsi="Times New Roman"/>
          <w:sz w:val="24"/>
          <w:szCs w:val="24"/>
        </w:rPr>
        <w:t xml:space="preserve">owing </w:t>
      </w:r>
      <w:r w:rsidR="00FF7359">
        <w:rPr>
          <w:rFonts w:ascii="Times New Roman" w:hAnsi="Times New Roman"/>
          <w:sz w:val="24"/>
          <w:szCs w:val="24"/>
        </w:rPr>
        <w:t xml:space="preserve">to competing priorities on the Government’s tax policy work programme and limited </w:t>
      </w:r>
      <w:r>
        <w:rPr>
          <w:rFonts w:ascii="Times New Roman" w:hAnsi="Times New Roman"/>
          <w:sz w:val="24"/>
          <w:szCs w:val="24"/>
        </w:rPr>
        <w:t xml:space="preserve">policy </w:t>
      </w:r>
      <w:r w:rsidR="00FF7359">
        <w:rPr>
          <w:rFonts w:ascii="Times New Roman" w:hAnsi="Times New Roman"/>
          <w:sz w:val="24"/>
          <w:szCs w:val="24"/>
        </w:rPr>
        <w:t xml:space="preserve">resources, a short term fix </w:t>
      </w:r>
      <w:r>
        <w:rPr>
          <w:rFonts w:ascii="Times New Roman" w:hAnsi="Times New Roman"/>
          <w:sz w:val="24"/>
          <w:szCs w:val="24"/>
        </w:rPr>
        <w:t xml:space="preserve">would be </w:t>
      </w:r>
      <w:r w:rsidR="00FF7359">
        <w:rPr>
          <w:rFonts w:ascii="Times New Roman" w:hAnsi="Times New Roman"/>
          <w:sz w:val="24"/>
          <w:szCs w:val="24"/>
        </w:rPr>
        <w:t>better than the status quo.</w:t>
      </w:r>
    </w:p>
    <w:p w14:paraId="679EB46C" w14:textId="77777777" w:rsidR="00DF5446" w:rsidRDefault="00DF5446" w:rsidP="00782395">
      <w:pPr>
        <w:pStyle w:val="ListParagraph"/>
        <w:ind w:left="0" w:right="170"/>
        <w:contextualSpacing w:val="0"/>
        <w:rPr>
          <w:rFonts w:ascii="Times New Roman" w:hAnsi="Times New Roman"/>
          <w:sz w:val="24"/>
          <w:szCs w:val="24"/>
        </w:rPr>
      </w:pPr>
    </w:p>
    <w:p w14:paraId="4E7C81FA" w14:textId="0CCB5D3F" w:rsidR="00DF5446" w:rsidRPr="00782395" w:rsidRDefault="004C3AAE" w:rsidP="00782395">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 preferred option is </w:t>
      </w:r>
      <w:r w:rsidR="00DF5446">
        <w:rPr>
          <w:rFonts w:ascii="Times New Roman" w:hAnsi="Times New Roman"/>
          <w:sz w:val="24"/>
          <w:szCs w:val="24"/>
        </w:rPr>
        <w:t xml:space="preserve">that a short term fix </w:t>
      </w:r>
      <w:r w:rsidR="00D26C21">
        <w:rPr>
          <w:rFonts w:ascii="Times New Roman" w:hAnsi="Times New Roman"/>
          <w:sz w:val="24"/>
          <w:szCs w:val="24"/>
        </w:rPr>
        <w:t xml:space="preserve">should </w:t>
      </w:r>
      <w:r w:rsidR="00DF5446">
        <w:rPr>
          <w:rFonts w:ascii="Times New Roman" w:hAnsi="Times New Roman"/>
          <w:sz w:val="24"/>
          <w:szCs w:val="24"/>
        </w:rPr>
        <w:t>be implemented so that overseas active insurance businesses acquired</w:t>
      </w:r>
      <w:r w:rsidR="005B1BBA">
        <w:rPr>
          <w:rFonts w:ascii="Times New Roman" w:hAnsi="Times New Roman"/>
          <w:sz w:val="24"/>
          <w:szCs w:val="24"/>
        </w:rPr>
        <w:t xml:space="preserve"> or established</w:t>
      </w:r>
      <w:r w:rsidR="00DF5446">
        <w:rPr>
          <w:rFonts w:ascii="Times New Roman" w:hAnsi="Times New Roman"/>
          <w:sz w:val="24"/>
          <w:szCs w:val="24"/>
        </w:rPr>
        <w:t xml:space="preserve"> after 30 June 2009 </w:t>
      </w:r>
      <w:r w:rsidR="00D26C21">
        <w:rPr>
          <w:rFonts w:ascii="Times New Roman" w:hAnsi="Times New Roman"/>
          <w:sz w:val="24"/>
          <w:szCs w:val="24"/>
        </w:rPr>
        <w:t xml:space="preserve">are </w:t>
      </w:r>
      <w:r w:rsidR="00DF5446">
        <w:rPr>
          <w:rFonts w:ascii="Times New Roman" w:hAnsi="Times New Roman"/>
          <w:sz w:val="24"/>
          <w:szCs w:val="24"/>
        </w:rPr>
        <w:t>accorded the same treatment under the CFC rules as those acquired</w:t>
      </w:r>
      <w:r w:rsidR="005B1BBA">
        <w:rPr>
          <w:rFonts w:ascii="Times New Roman" w:hAnsi="Times New Roman"/>
          <w:sz w:val="24"/>
          <w:szCs w:val="24"/>
        </w:rPr>
        <w:t xml:space="preserve"> or </w:t>
      </w:r>
      <w:r w:rsidR="00227232">
        <w:rPr>
          <w:rFonts w:ascii="Times New Roman" w:hAnsi="Times New Roman"/>
          <w:sz w:val="24"/>
          <w:szCs w:val="24"/>
        </w:rPr>
        <w:t>established</w:t>
      </w:r>
      <w:r w:rsidR="00DF5446">
        <w:rPr>
          <w:rFonts w:ascii="Times New Roman" w:hAnsi="Times New Roman"/>
          <w:sz w:val="24"/>
          <w:szCs w:val="24"/>
        </w:rPr>
        <w:t xml:space="preserve"> before 30 June 2009.</w:t>
      </w:r>
    </w:p>
    <w:p w14:paraId="19933F7F" w14:textId="77777777" w:rsidR="00F2363B" w:rsidRDefault="00F2363B" w:rsidP="00B168FE">
      <w:pPr>
        <w:pStyle w:val="ListParagraph"/>
        <w:ind w:left="0" w:right="170"/>
        <w:contextualSpacing w:val="0"/>
        <w:rPr>
          <w:rFonts w:ascii="Times New Roman" w:hAnsi="Times New Roman"/>
          <w:sz w:val="24"/>
          <w:szCs w:val="24"/>
        </w:rPr>
      </w:pPr>
    </w:p>
    <w:p w14:paraId="40F79F49" w14:textId="77777777" w:rsidR="00F2363B" w:rsidRDefault="00FF7359" w:rsidP="00B168FE">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 </w:t>
      </w:r>
      <w:r w:rsidR="004C3AAE">
        <w:rPr>
          <w:rFonts w:ascii="Times New Roman" w:hAnsi="Times New Roman"/>
          <w:sz w:val="24"/>
          <w:szCs w:val="24"/>
        </w:rPr>
        <w:t xml:space="preserve">problem to be addressed </w:t>
      </w:r>
      <w:r>
        <w:rPr>
          <w:rFonts w:ascii="Times New Roman" w:hAnsi="Times New Roman"/>
          <w:sz w:val="24"/>
          <w:szCs w:val="24"/>
        </w:rPr>
        <w:t>is relevant only to a small number of taxpayers</w:t>
      </w:r>
      <w:r w:rsidR="004C3AAE">
        <w:rPr>
          <w:rFonts w:ascii="Times New Roman" w:hAnsi="Times New Roman"/>
          <w:sz w:val="24"/>
          <w:szCs w:val="24"/>
        </w:rPr>
        <w:t>, namely,</w:t>
      </w:r>
      <w:r>
        <w:rPr>
          <w:rFonts w:ascii="Times New Roman" w:hAnsi="Times New Roman"/>
          <w:sz w:val="24"/>
          <w:szCs w:val="24"/>
        </w:rPr>
        <w:t xml:space="preserve"> licensed insurers </w:t>
      </w:r>
      <w:r w:rsidR="004C3AAE">
        <w:rPr>
          <w:rFonts w:ascii="Times New Roman" w:hAnsi="Times New Roman"/>
          <w:sz w:val="24"/>
          <w:szCs w:val="24"/>
        </w:rPr>
        <w:t xml:space="preserve">who are </w:t>
      </w:r>
      <w:r>
        <w:rPr>
          <w:rFonts w:ascii="Times New Roman" w:hAnsi="Times New Roman"/>
          <w:sz w:val="24"/>
          <w:szCs w:val="24"/>
        </w:rPr>
        <w:t xml:space="preserve">required to have financial strength ratings </w:t>
      </w:r>
      <w:r w:rsidR="004C3AAE">
        <w:rPr>
          <w:rFonts w:ascii="Times New Roman" w:hAnsi="Times New Roman"/>
          <w:sz w:val="24"/>
          <w:szCs w:val="24"/>
        </w:rPr>
        <w:t xml:space="preserve">and </w:t>
      </w:r>
      <w:r w:rsidR="00985000">
        <w:rPr>
          <w:rFonts w:ascii="Times New Roman" w:hAnsi="Times New Roman"/>
          <w:sz w:val="24"/>
          <w:szCs w:val="24"/>
        </w:rPr>
        <w:t xml:space="preserve">have interests in active offshore insurance businesses.  We are unable to estimate the number </w:t>
      </w:r>
      <w:r w:rsidR="00A273AB">
        <w:rPr>
          <w:rFonts w:ascii="Times New Roman" w:hAnsi="Times New Roman"/>
          <w:sz w:val="24"/>
          <w:szCs w:val="24"/>
        </w:rPr>
        <w:t xml:space="preserve">of insurers that may set up active insurance businesses in other jurisdictions in the future, so the analysis in this RIS is based on the New Zealand-based insurance companies </w:t>
      </w:r>
      <w:r w:rsidR="009F0F4D">
        <w:rPr>
          <w:rFonts w:ascii="Times New Roman" w:hAnsi="Times New Roman"/>
          <w:sz w:val="24"/>
          <w:szCs w:val="24"/>
        </w:rPr>
        <w:t xml:space="preserve">that are currently attributing income under the CFC rules and </w:t>
      </w:r>
      <w:r w:rsidR="00DF5446">
        <w:rPr>
          <w:rFonts w:ascii="Times New Roman" w:hAnsi="Times New Roman"/>
          <w:sz w:val="24"/>
          <w:szCs w:val="24"/>
        </w:rPr>
        <w:t>the CFC disclosure data</w:t>
      </w:r>
      <w:r w:rsidR="009F0F4D">
        <w:rPr>
          <w:rFonts w:ascii="Times New Roman" w:hAnsi="Times New Roman"/>
          <w:sz w:val="24"/>
          <w:szCs w:val="24"/>
        </w:rPr>
        <w:t xml:space="preserve"> indicates that the CFC income relates </w:t>
      </w:r>
      <w:r w:rsidR="00DF5446">
        <w:rPr>
          <w:rFonts w:ascii="Times New Roman" w:hAnsi="Times New Roman"/>
          <w:sz w:val="24"/>
          <w:szCs w:val="24"/>
        </w:rPr>
        <w:t xml:space="preserve">to an insurance business.  This is a very small subset of the number of licensed insurers, but we have discussed </w:t>
      </w:r>
      <w:r w:rsidR="004C3AAE">
        <w:rPr>
          <w:rFonts w:ascii="Times New Roman" w:hAnsi="Times New Roman"/>
          <w:sz w:val="24"/>
          <w:szCs w:val="24"/>
        </w:rPr>
        <w:t xml:space="preserve">this problem </w:t>
      </w:r>
      <w:r w:rsidR="00DF5446">
        <w:rPr>
          <w:rFonts w:ascii="Times New Roman" w:hAnsi="Times New Roman"/>
          <w:sz w:val="24"/>
          <w:szCs w:val="24"/>
        </w:rPr>
        <w:t xml:space="preserve">with </w:t>
      </w:r>
      <w:r w:rsidR="004C3AAE">
        <w:rPr>
          <w:rFonts w:ascii="Times New Roman" w:hAnsi="Times New Roman"/>
          <w:sz w:val="24"/>
          <w:szCs w:val="24"/>
        </w:rPr>
        <w:t xml:space="preserve">tax </w:t>
      </w:r>
      <w:r w:rsidR="00DF5446">
        <w:rPr>
          <w:rFonts w:ascii="Times New Roman" w:hAnsi="Times New Roman"/>
          <w:sz w:val="24"/>
          <w:szCs w:val="24"/>
        </w:rPr>
        <w:t>practitioners that represent some of these companies.</w:t>
      </w:r>
    </w:p>
    <w:p w14:paraId="76A69D8A" w14:textId="77777777" w:rsidR="00DF5446" w:rsidRDefault="00DF5446" w:rsidP="00B168FE">
      <w:pPr>
        <w:pStyle w:val="ListParagraph"/>
        <w:ind w:left="0" w:right="170"/>
        <w:contextualSpacing w:val="0"/>
        <w:rPr>
          <w:rFonts w:ascii="Times New Roman" w:hAnsi="Times New Roman"/>
          <w:sz w:val="24"/>
          <w:szCs w:val="24"/>
        </w:rPr>
      </w:pPr>
    </w:p>
    <w:p w14:paraId="70F6B828" w14:textId="77777777" w:rsidR="00DF5446" w:rsidRDefault="004C3AAE" w:rsidP="00B168FE">
      <w:pPr>
        <w:pStyle w:val="ListParagraph"/>
        <w:ind w:left="0" w:right="170"/>
        <w:contextualSpacing w:val="0"/>
        <w:rPr>
          <w:rFonts w:ascii="Times New Roman" w:hAnsi="Times New Roman"/>
          <w:sz w:val="24"/>
          <w:szCs w:val="24"/>
        </w:rPr>
      </w:pPr>
      <w:r>
        <w:rPr>
          <w:rFonts w:ascii="Times New Roman" w:hAnsi="Times New Roman"/>
          <w:sz w:val="24"/>
          <w:szCs w:val="24"/>
        </w:rPr>
        <w:t xml:space="preserve">Owing </w:t>
      </w:r>
      <w:r w:rsidR="00DF5446">
        <w:rPr>
          <w:rFonts w:ascii="Times New Roman" w:hAnsi="Times New Roman"/>
          <w:sz w:val="24"/>
          <w:szCs w:val="24"/>
        </w:rPr>
        <w:t xml:space="preserve">to time constraints, we did not consult more widely, for example, by way of an officials’ issues paper.  However, the </w:t>
      </w:r>
      <w:r>
        <w:rPr>
          <w:rFonts w:ascii="Times New Roman" w:hAnsi="Times New Roman"/>
          <w:sz w:val="24"/>
          <w:szCs w:val="24"/>
        </w:rPr>
        <w:t xml:space="preserve">tax practitioners </w:t>
      </w:r>
      <w:r w:rsidR="00DF5446">
        <w:rPr>
          <w:rFonts w:ascii="Times New Roman" w:hAnsi="Times New Roman"/>
          <w:sz w:val="24"/>
          <w:szCs w:val="24"/>
        </w:rPr>
        <w:t xml:space="preserve">we </w:t>
      </w:r>
      <w:r w:rsidR="007B26AA">
        <w:rPr>
          <w:rFonts w:ascii="Times New Roman" w:hAnsi="Times New Roman"/>
          <w:sz w:val="24"/>
          <w:szCs w:val="24"/>
        </w:rPr>
        <w:t xml:space="preserve">did </w:t>
      </w:r>
      <w:r w:rsidR="00DF5446">
        <w:rPr>
          <w:rFonts w:ascii="Times New Roman" w:hAnsi="Times New Roman"/>
          <w:sz w:val="24"/>
          <w:szCs w:val="24"/>
        </w:rPr>
        <w:t xml:space="preserve">consult represent the </w:t>
      </w:r>
      <w:r w:rsidR="000256BD">
        <w:rPr>
          <w:rFonts w:ascii="Times New Roman" w:hAnsi="Times New Roman"/>
          <w:sz w:val="24"/>
          <w:szCs w:val="24"/>
        </w:rPr>
        <w:t xml:space="preserve">majority </w:t>
      </w:r>
      <w:r w:rsidR="00DF5446">
        <w:rPr>
          <w:rFonts w:ascii="Times New Roman" w:hAnsi="Times New Roman"/>
          <w:sz w:val="24"/>
          <w:szCs w:val="24"/>
        </w:rPr>
        <w:t>of those affected.</w:t>
      </w:r>
    </w:p>
    <w:p w14:paraId="4403CEA4" w14:textId="77777777" w:rsidR="004342F0" w:rsidRPr="004342F0" w:rsidRDefault="004342F0" w:rsidP="00782395">
      <w:pPr>
        <w:pStyle w:val="ListParagraph"/>
        <w:ind w:left="0" w:right="170"/>
        <w:contextualSpacing w:val="0"/>
        <w:rPr>
          <w:rFonts w:ascii="Times New Roman" w:hAnsi="Times New Roman"/>
          <w:sz w:val="24"/>
          <w:szCs w:val="24"/>
        </w:rPr>
      </w:pPr>
    </w:p>
    <w:p w14:paraId="611B4A02" w14:textId="77777777" w:rsidR="00085660" w:rsidRDefault="005A1262" w:rsidP="00782395">
      <w:pPr>
        <w:pStyle w:val="ListParagraph"/>
        <w:ind w:left="0" w:right="170"/>
        <w:contextualSpacing w:val="0"/>
        <w:rPr>
          <w:rFonts w:ascii="Times New Roman" w:hAnsi="Times New Roman"/>
          <w:sz w:val="24"/>
          <w:szCs w:val="24"/>
        </w:rPr>
      </w:pPr>
      <w:r>
        <w:rPr>
          <w:rFonts w:ascii="Times New Roman" w:hAnsi="Times New Roman"/>
          <w:sz w:val="24"/>
          <w:szCs w:val="24"/>
        </w:rPr>
        <w:t>None of the policy options would impose additional costs on businesses, impair private property rights, restrict market competition, reduce the incentives for business</w:t>
      </w:r>
      <w:r w:rsidR="00BB4A2E">
        <w:rPr>
          <w:rFonts w:ascii="Times New Roman" w:hAnsi="Times New Roman"/>
          <w:sz w:val="24"/>
          <w:szCs w:val="24"/>
        </w:rPr>
        <w:t>es</w:t>
      </w:r>
      <w:r>
        <w:rPr>
          <w:rFonts w:ascii="Times New Roman" w:hAnsi="Times New Roman"/>
          <w:sz w:val="24"/>
          <w:szCs w:val="24"/>
        </w:rPr>
        <w:t xml:space="preserve"> to innovate and invest, or override fundamental common law principles.</w:t>
      </w:r>
    </w:p>
    <w:p w14:paraId="6EF32629" w14:textId="77777777" w:rsidR="00385EC1" w:rsidRDefault="00385EC1" w:rsidP="009A23EE">
      <w:pPr>
        <w:pStyle w:val="Text"/>
        <w:spacing w:before="0" w:after="0" w:line="240" w:lineRule="auto"/>
        <w:ind w:right="170"/>
        <w:rPr>
          <w:rFonts w:ascii="Times New Roman" w:hAnsi="Times New Roman"/>
          <w:sz w:val="24"/>
          <w:szCs w:val="24"/>
          <w:lang w:val="en-NZ"/>
        </w:rPr>
      </w:pPr>
    </w:p>
    <w:p w14:paraId="010BE145" w14:textId="77777777" w:rsidR="004C3AAE" w:rsidRDefault="004C3AAE" w:rsidP="009A23EE">
      <w:pPr>
        <w:pStyle w:val="Text"/>
        <w:spacing w:before="0" w:after="0" w:line="240" w:lineRule="auto"/>
        <w:ind w:right="170"/>
        <w:rPr>
          <w:rFonts w:ascii="Times New Roman" w:hAnsi="Times New Roman"/>
          <w:sz w:val="24"/>
          <w:szCs w:val="24"/>
          <w:lang w:val="en-NZ"/>
        </w:rPr>
      </w:pPr>
    </w:p>
    <w:p w14:paraId="3FCDB69C" w14:textId="77777777" w:rsidR="004C3AAE" w:rsidRPr="004342F0" w:rsidRDefault="004C3AAE" w:rsidP="009A23EE">
      <w:pPr>
        <w:pStyle w:val="Text"/>
        <w:spacing w:before="0" w:after="0" w:line="240" w:lineRule="auto"/>
        <w:ind w:right="170"/>
        <w:rPr>
          <w:rFonts w:ascii="Times New Roman" w:hAnsi="Times New Roman"/>
          <w:sz w:val="24"/>
          <w:szCs w:val="24"/>
          <w:lang w:val="en-NZ"/>
        </w:rPr>
      </w:pPr>
    </w:p>
    <w:p w14:paraId="51E34E65" w14:textId="77777777" w:rsidR="00085660" w:rsidRPr="004342F0" w:rsidRDefault="00085660" w:rsidP="009A23EE">
      <w:pPr>
        <w:pStyle w:val="Text"/>
        <w:spacing w:before="0" w:after="0" w:line="240" w:lineRule="auto"/>
        <w:ind w:right="170"/>
        <w:rPr>
          <w:rFonts w:ascii="Times New Roman" w:hAnsi="Times New Roman"/>
          <w:sz w:val="24"/>
          <w:szCs w:val="24"/>
          <w:lang w:val="en-NZ"/>
        </w:rPr>
      </w:pPr>
    </w:p>
    <w:p w14:paraId="18436830" w14:textId="77777777" w:rsidR="00085660" w:rsidRPr="004342F0" w:rsidRDefault="005A1262"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Carmel Peters</w:t>
      </w:r>
    </w:p>
    <w:p w14:paraId="6D00B7B3" w14:textId="77777777" w:rsidR="009F7B9A" w:rsidRPr="004342F0" w:rsidRDefault="005A1262"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14:paraId="4F944C0E" w14:textId="77777777"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14:paraId="0736A302" w14:textId="77777777"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p w14:paraId="5618491C" w14:textId="1180C775" w:rsidR="000545DC" w:rsidRPr="004342F0" w:rsidRDefault="00385111"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22 </w:t>
      </w:r>
      <w:r w:rsidR="005A1262">
        <w:rPr>
          <w:rFonts w:ascii="Times New Roman" w:hAnsi="Times New Roman"/>
          <w:sz w:val="24"/>
          <w:szCs w:val="24"/>
          <w:lang w:val="en-NZ"/>
        </w:rPr>
        <w:t>June 2016</w:t>
      </w:r>
    </w:p>
    <w:p w14:paraId="7CB998A6" w14:textId="77777777" w:rsidR="000545DC" w:rsidRDefault="001C6912" w:rsidP="001125C4">
      <w:pPr>
        <w:pStyle w:val="RISheading"/>
        <w:spacing w:before="0" w:after="0" w:line="240" w:lineRule="auto"/>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14:paraId="77222491" w14:textId="77777777" w:rsidR="001125C4" w:rsidRDefault="001125C4" w:rsidP="00782395">
      <w:pPr>
        <w:pStyle w:val="TRNormal"/>
        <w:tabs>
          <w:tab w:val="left" w:pos="0"/>
        </w:tabs>
        <w:spacing w:line="240" w:lineRule="atLeast"/>
      </w:pPr>
    </w:p>
    <w:p w14:paraId="73E1D013" w14:textId="77777777" w:rsidR="005A1262" w:rsidRDefault="005A1262" w:rsidP="001125C4">
      <w:pPr>
        <w:pStyle w:val="RISheading"/>
        <w:spacing w:before="0" w:after="0" w:line="240" w:lineRule="auto"/>
        <w:rPr>
          <w:spacing w:val="0"/>
          <w:w w:val="100"/>
        </w:rPr>
      </w:pPr>
      <w:r>
        <w:rPr>
          <w:spacing w:val="0"/>
          <w:w w:val="100"/>
        </w:rPr>
        <w:t>Controlled foreign company</w:t>
      </w:r>
      <w:r w:rsidR="001125C4">
        <w:rPr>
          <w:spacing w:val="0"/>
          <w:w w:val="100"/>
        </w:rPr>
        <w:t xml:space="preserve"> (CFC)</w:t>
      </w:r>
      <w:r>
        <w:rPr>
          <w:spacing w:val="0"/>
          <w:w w:val="100"/>
        </w:rPr>
        <w:t xml:space="preserve"> rules</w:t>
      </w:r>
    </w:p>
    <w:p w14:paraId="38F85D6B" w14:textId="77777777" w:rsidR="001125C4" w:rsidRPr="004342F0" w:rsidRDefault="001125C4" w:rsidP="00782395">
      <w:pPr>
        <w:pStyle w:val="TRNormal"/>
        <w:tabs>
          <w:tab w:val="left" w:pos="0"/>
        </w:tabs>
        <w:spacing w:line="240" w:lineRule="atLeast"/>
      </w:pPr>
    </w:p>
    <w:p w14:paraId="2B2496BB" w14:textId="77777777" w:rsidR="00E7269B" w:rsidRDefault="00E7269B" w:rsidP="00DF5446">
      <w:pPr>
        <w:pStyle w:val="TRNormal"/>
        <w:numPr>
          <w:ilvl w:val="0"/>
          <w:numId w:val="12"/>
        </w:numPr>
        <w:tabs>
          <w:tab w:val="left" w:pos="0"/>
        </w:tabs>
        <w:spacing w:line="240" w:lineRule="atLeast"/>
        <w:ind w:left="0" w:firstLine="0"/>
      </w:pPr>
      <w:r w:rsidRPr="00E7269B">
        <w:t xml:space="preserve">New Zealand’s international tax rules provide a framework for taxing non-residents who earn New Zealand income and New Zealand residents who earn foreign income.  The </w:t>
      </w:r>
      <w:r w:rsidR="00DF5446">
        <w:t>CFC</w:t>
      </w:r>
      <w:r w:rsidRPr="00E7269B">
        <w:t xml:space="preserve"> and foreign investment fund (FIF) regimes apply to New Zealand residents investing in foreign companies; the CFC regime applies when the foreign company is effectively controlled by New Zealand residents, and the FIF regime applies when it is controlled by non-residents.</w:t>
      </w:r>
      <w:r w:rsidR="00981321">
        <w:t xml:space="preserve">  These regimes attribute overseas income arising from CFCs and FIFs back to the New Zealand </w:t>
      </w:r>
      <w:r w:rsidR="000653FA">
        <w:t>shareholder</w:t>
      </w:r>
      <w:r w:rsidR="00981321">
        <w:t xml:space="preserve">, even if </w:t>
      </w:r>
      <w:r w:rsidR="00BC2E75">
        <w:t>no distributions</w:t>
      </w:r>
      <w:r w:rsidR="00DF5446">
        <w:t xml:space="preserve"> (for example, a payment of a dividend)</w:t>
      </w:r>
      <w:r w:rsidR="00BC2E75">
        <w:t xml:space="preserve"> are made to the </w:t>
      </w:r>
      <w:r w:rsidR="000653FA">
        <w:t>shareholder</w:t>
      </w:r>
      <w:r w:rsidR="00BC2E75">
        <w:t>.</w:t>
      </w:r>
    </w:p>
    <w:p w14:paraId="35B75B00" w14:textId="77777777" w:rsidR="007873F7" w:rsidRDefault="007873F7" w:rsidP="00DF5446">
      <w:pPr>
        <w:pStyle w:val="TRNormal"/>
        <w:tabs>
          <w:tab w:val="left" w:pos="0"/>
        </w:tabs>
        <w:spacing w:line="240" w:lineRule="atLeast"/>
      </w:pPr>
    </w:p>
    <w:p w14:paraId="562AEB63" w14:textId="77777777" w:rsidR="007873F7" w:rsidRPr="00E7269B" w:rsidRDefault="007873F7" w:rsidP="00DF5446">
      <w:pPr>
        <w:pStyle w:val="TRNormal"/>
        <w:numPr>
          <w:ilvl w:val="0"/>
          <w:numId w:val="12"/>
        </w:numPr>
        <w:tabs>
          <w:tab w:val="left" w:pos="0"/>
        </w:tabs>
        <w:spacing w:line="240" w:lineRule="atLeast"/>
        <w:ind w:left="0" w:firstLine="0"/>
      </w:pPr>
      <w:r w:rsidRPr="00BC2E75">
        <w:t xml:space="preserve">Before </w:t>
      </w:r>
      <w:r>
        <w:t>2009</w:t>
      </w:r>
      <w:r w:rsidRPr="00BC2E75">
        <w:t>, taxpayers did not have to return attributed income in respect of their interest in a CF</w:t>
      </w:r>
      <w:r w:rsidR="007A173A">
        <w:t>C if the CFC was resident in a “grey list”</w:t>
      </w:r>
      <w:r w:rsidRPr="00BC2E75">
        <w:t xml:space="preserve"> country. The grey list comprised eight countries that were thought to have broadly comparable tax systems to our own. Income earned in a grey list country was exempt and income earned in other countries was subject to tax.</w:t>
      </w:r>
    </w:p>
    <w:p w14:paraId="47950D61" w14:textId="77777777" w:rsidR="00E7269B" w:rsidRPr="00E7269B" w:rsidRDefault="00E7269B" w:rsidP="00DF5446">
      <w:pPr>
        <w:pStyle w:val="TRNormal"/>
        <w:tabs>
          <w:tab w:val="left" w:pos="0"/>
        </w:tabs>
        <w:spacing w:line="240" w:lineRule="atLeast"/>
      </w:pPr>
    </w:p>
    <w:p w14:paraId="3C2F28F7" w14:textId="77777777" w:rsidR="007873F7" w:rsidRDefault="00EE1BF2" w:rsidP="00DF5446">
      <w:pPr>
        <w:pStyle w:val="TRNormal"/>
        <w:numPr>
          <w:ilvl w:val="0"/>
          <w:numId w:val="12"/>
        </w:numPr>
        <w:tabs>
          <w:tab w:val="left" w:pos="0"/>
        </w:tabs>
        <w:spacing w:line="240" w:lineRule="atLeast"/>
        <w:ind w:left="0" w:firstLine="0"/>
      </w:pPr>
      <w:r>
        <w:t>Following</w:t>
      </w:r>
      <w:r w:rsidR="00E7269B" w:rsidRPr="00E7269B">
        <w:t xml:space="preserve"> extensive public consultation, the Government passed legislation to reform the international tax rules</w:t>
      </w:r>
      <w:r>
        <w:t xml:space="preserve"> in 2009</w:t>
      </w:r>
      <w:r w:rsidR="00E7269B" w:rsidRPr="00E7269B">
        <w:t xml:space="preserve">.  </w:t>
      </w:r>
      <w:r w:rsidR="007A173A">
        <w:t>The main changes</w:t>
      </w:r>
      <w:r w:rsidR="007873F7">
        <w:t xml:space="preserve"> to the CFC regime </w:t>
      </w:r>
      <w:r w:rsidR="007A173A">
        <w:t xml:space="preserve">included the repeal of the grey list and the introduction of an “active business test”. </w:t>
      </w:r>
      <w:r w:rsidR="00C36784">
        <w:t xml:space="preserve"> </w:t>
      </w:r>
      <w:r w:rsidR="007A173A">
        <w:t>Under the active business test, if less</w:t>
      </w:r>
      <w:r w:rsidR="007564E5">
        <w:t xml:space="preserve"> than 5 percent of the CFC’s gross income is passive income</w:t>
      </w:r>
      <w:r w:rsidR="007A173A">
        <w:t>, the active business test is passed and no income is attributed to the New Zealand shareholder.</w:t>
      </w:r>
      <w:r w:rsidR="007A173A" w:rsidRPr="007A173A">
        <w:t xml:space="preserve"> </w:t>
      </w:r>
      <w:r w:rsidR="00C36784">
        <w:t xml:space="preserve"> </w:t>
      </w:r>
      <w:r w:rsidR="007A173A" w:rsidRPr="007A173A">
        <w:t>If the test is failed, only the passive income (</w:t>
      </w:r>
      <w:r w:rsidR="00C36784">
        <w:t>such as</w:t>
      </w:r>
      <w:r w:rsidR="007A173A" w:rsidRPr="007A173A">
        <w:t>, highly mobile income such as interest, rent or royalties) is attributed to the shareholder.</w:t>
      </w:r>
    </w:p>
    <w:p w14:paraId="784366B1" w14:textId="77777777" w:rsidR="00BC2E75" w:rsidRPr="00BC2E75" w:rsidRDefault="00BC2E75" w:rsidP="00DF5446">
      <w:pPr>
        <w:pStyle w:val="TRNormal"/>
        <w:tabs>
          <w:tab w:val="left" w:pos="0"/>
        </w:tabs>
        <w:spacing w:line="240" w:lineRule="atLeast"/>
      </w:pPr>
    </w:p>
    <w:p w14:paraId="4CC781C5" w14:textId="77777777" w:rsidR="00BC2E75" w:rsidRPr="00E7269B" w:rsidRDefault="00BC2E75" w:rsidP="00DF5446">
      <w:pPr>
        <w:pStyle w:val="TRNormal"/>
        <w:numPr>
          <w:ilvl w:val="0"/>
          <w:numId w:val="12"/>
        </w:numPr>
        <w:tabs>
          <w:tab w:val="left" w:pos="0"/>
        </w:tabs>
        <w:spacing w:line="240" w:lineRule="atLeast"/>
        <w:ind w:left="0" w:firstLine="0"/>
      </w:pPr>
      <w:r>
        <w:t>The purpose of the active business</w:t>
      </w:r>
      <w:r w:rsidR="00073EA9">
        <w:t xml:space="preserve"> test</w:t>
      </w:r>
      <w:r>
        <w:t xml:space="preserve"> </w:t>
      </w:r>
      <w:r w:rsidR="007A173A">
        <w:t xml:space="preserve">is </w:t>
      </w:r>
      <w:r w:rsidR="00A563BC" w:rsidRPr="007873F7">
        <w:t>to</w:t>
      </w:r>
      <w:r w:rsidR="007A173A" w:rsidRPr="007A173A">
        <w:t xml:space="preserve"> reduce tax and compliance costs associated with calculating and attributing small amounts of passive income</w:t>
      </w:r>
      <w:r w:rsidR="007A173A">
        <w:t xml:space="preserve"> and</w:t>
      </w:r>
      <w:r w:rsidR="008F122C">
        <w:t xml:space="preserve"> to</w:t>
      </w:r>
      <w:r w:rsidR="00A563BC" w:rsidRPr="007873F7">
        <w:t xml:space="preserve"> ensure that New Zealand businesses that expand offshore by operating subsidiaries in foreign countries can compete on an even footing with foreign competitors operating in the same country. </w:t>
      </w:r>
      <w:r w:rsidR="00C36784">
        <w:t xml:space="preserve"> </w:t>
      </w:r>
      <w:r w:rsidR="00A563BC" w:rsidRPr="007873F7">
        <w:t>This means</w:t>
      </w:r>
      <w:r w:rsidR="00EC1936">
        <w:t>, for example,</w:t>
      </w:r>
      <w:r w:rsidR="00A563BC" w:rsidRPr="007873F7">
        <w:t xml:space="preserve"> that a New Zealand-owned manufacturing plant in China would generally face the same tax rate as other manufacturers operating in China.</w:t>
      </w:r>
    </w:p>
    <w:p w14:paraId="1CCA4AF2" w14:textId="77777777" w:rsidR="001125C4" w:rsidRPr="00E249D0" w:rsidRDefault="001125C4" w:rsidP="00DF5446">
      <w:pPr>
        <w:pStyle w:val="TRNormal"/>
        <w:tabs>
          <w:tab w:val="left" w:pos="0"/>
        </w:tabs>
        <w:spacing w:line="240" w:lineRule="atLeast"/>
      </w:pPr>
    </w:p>
    <w:p w14:paraId="17A9DA5E" w14:textId="7E5B3FAA" w:rsidR="00B168FE" w:rsidRPr="00E249D0" w:rsidRDefault="00C36784" w:rsidP="00DF5446">
      <w:pPr>
        <w:pStyle w:val="TRNormal"/>
        <w:numPr>
          <w:ilvl w:val="0"/>
          <w:numId w:val="12"/>
        </w:numPr>
        <w:tabs>
          <w:tab w:val="left" w:pos="0"/>
        </w:tabs>
        <w:spacing w:line="240" w:lineRule="atLeast"/>
        <w:ind w:left="0" w:firstLine="0"/>
      </w:pPr>
      <w:r>
        <w:t xml:space="preserve">Owing </w:t>
      </w:r>
      <w:r w:rsidR="004C246D" w:rsidRPr="00E249D0">
        <w:t>to the complexity of the</w:t>
      </w:r>
      <w:r w:rsidR="005F4C43" w:rsidRPr="00E249D0">
        <w:t xml:space="preserve"> rules, </w:t>
      </w:r>
      <w:r w:rsidR="007A173A" w:rsidRPr="00E249D0">
        <w:t xml:space="preserve">on-going maintenance is required to ensure that they continue to work as intended. </w:t>
      </w:r>
      <w:r>
        <w:t xml:space="preserve"> </w:t>
      </w:r>
      <w:r w:rsidR="007A173A" w:rsidRPr="00E249D0">
        <w:t xml:space="preserve">Since 2009, the Government has enacted a number of remedial changes </w:t>
      </w:r>
      <w:r w:rsidR="008805A2" w:rsidRPr="00E249D0">
        <w:t>to ensure that the policy intent of the reform continues to be met</w:t>
      </w:r>
      <w:r w:rsidR="00CD59F1" w:rsidRPr="00E249D0">
        <w:t>.</w:t>
      </w:r>
      <w:r w:rsidR="001125C4" w:rsidRPr="00E249D0">
        <w:t xml:space="preserve">  This </w:t>
      </w:r>
      <w:r w:rsidR="008F122C">
        <w:t xml:space="preserve">regulatory impact statement (RIS) </w:t>
      </w:r>
      <w:r w:rsidR="001125C4" w:rsidRPr="00E249D0">
        <w:t xml:space="preserve">considers the </w:t>
      </w:r>
      <w:r w:rsidR="00CD59F1" w:rsidRPr="00E249D0">
        <w:t>mos</w:t>
      </w:r>
      <w:r w:rsidR="008805A2" w:rsidRPr="00E249D0">
        <w:t>t recent issue</w:t>
      </w:r>
      <w:r w:rsidR="00CD59F1" w:rsidRPr="00E249D0">
        <w:t xml:space="preserve"> </w:t>
      </w:r>
      <w:r w:rsidR="001125C4" w:rsidRPr="00E249D0">
        <w:t xml:space="preserve">that </w:t>
      </w:r>
      <w:r w:rsidR="00B168FE" w:rsidRPr="00E249D0">
        <w:t xml:space="preserve">has </w:t>
      </w:r>
      <w:r w:rsidR="001125C4" w:rsidRPr="00E249D0">
        <w:t xml:space="preserve">been raised in discussions between officials and </w:t>
      </w:r>
      <w:r>
        <w:t>tax practitioners who have experience with both the CFC rules and insurance businesses</w:t>
      </w:r>
      <w:r w:rsidR="001125C4" w:rsidRPr="00E249D0">
        <w:t xml:space="preserve">.  </w:t>
      </w:r>
    </w:p>
    <w:p w14:paraId="6A2B0151" w14:textId="77777777" w:rsidR="00B168FE" w:rsidRPr="00E249D0" w:rsidRDefault="00B168FE" w:rsidP="00DF5446">
      <w:pPr>
        <w:pStyle w:val="TRNormal"/>
        <w:tabs>
          <w:tab w:val="left" w:pos="0"/>
        </w:tabs>
        <w:spacing w:line="240" w:lineRule="atLeast"/>
      </w:pPr>
    </w:p>
    <w:p w14:paraId="0EDE70F9" w14:textId="77777777" w:rsidR="008805A2" w:rsidRPr="00E249D0" w:rsidRDefault="000E1ED6" w:rsidP="00DF5446">
      <w:pPr>
        <w:pStyle w:val="TRNormal"/>
        <w:numPr>
          <w:ilvl w:val="0"/>
          <w:numId w:val="12"/>
        </w:numPr>
        <w:tabs>
          <w:tab w:val="left" w:pos="0"/>
        </w:tabs>
        <w:spacing w:line="240" w:lineRule="atLeast"/>
        <w:ind w:left="0" w:firstLine="0"/>
      </w:pPr>
      <w:r w:rsidRPr="00E249D0">
        <w:t>In short</w:t>
      </w:r>
      <w:r w:rsidR="00CD59F1" w:rsidRPr="00E249D0">
        <w:t xml:space="preserve">, the issue </w:t>
      </w:r>
      <w:r w:rsidR="008805A2" w:rsidRPr="00E249D0">
        <w:t xml:space="preserve">concerns the treatment of insurance income as passive income under the CFC rules. </w:t>
      </w:r>
      <w:r w:rsidR="00C36784">
        <w:t xml:space="preserve"> </w:t>
      </w:r>
      <w:r w:rsidR="008805A2" w:rsidRPr="00E249D0">
        <w:t>While this is a necessary feature to protect the integrity of the CFC rules and the active business test, it means that New Zealand insurance companies with active offshore insurance businesses are required to attribute this income under the CFC rules unless they have applied for and are issue</w:t>
      </w:r>
      <w:r w:rsidR="006E27CC" w:rsidRPr="00E249D0">
        <w:t>d a determination by the Commissioner of Inland Revenue</w:t>
      </w:r>
      <w:r w:rsidR="008F122C">
        <w:t xml:space="preserve"> (“the Commissioner”)</w:t>
      </w:r>
      <w:r w:rsidR="00C51FC5" w:rsidRPr="00E249D0">
        <w:t xml:space="preserve"> that deems the CFC to have passed the active business test.</w:t>
      </w:r>
      <w:r w:rsidR="008805A2" w:rsidRPr="00E249D0">
        <w:t xml:space="preserve"> </w:t>
      </w:r>
      <w:r w:rsidR="00C36784">
        <w:t xml:space="preserve"> </w:t>
      </w:r>
      <w:r w:rsidR="00C51FC5" w:rsidRPr="00E249D0">
        <w:t>However, this determination is only available if the CFC was controlled by a New Zealand insurance company and carried out an insurance business in its country of residence before 30 June 2009.</w:t>
      </w:r>
    </w:p>
    <w:p w14:paraId="06A0AD31" w14:textId="77777777" w:rsidR="008805A2" w:rsidRPr="00E249D0" w:rsidRDefault="008805A2" w:rsidP="00782395">
      <w:pPr>
        <w:pStyle w:val="TRNormal"/>
        <w:tabs>
          <w:tab w:val="left" w:pos="0"/>
        </w:tabs>
        <w:spacing w:line="240" w:lineRule="atLeast"/>
      </w:pPr>
    </w:p>
    <w:p w14:paraId="5D20F522" w14:textId="77777777" w:rsidR="002D4A7B" w:rsidRDefault="002D4A7B" w:rsidP="00782395">
      <w:pPr>
        <w:pStyle w:val="Bullet-list"/>
        <w:spacing w:after="0" w:line="240" w:lineRule="auto"/>
        <w:jc w:val="both"/>
        <w:rPr>
          <w:rFonts w:ascii="Times New Roman" w:hAnsi="Times New Roman"/>
          <w:sz w:val="24"/>
          <w:szCs w:val="24"/>
        </w:rPr>
      </w:pPr>
    </w:p>
    <w:p w14:paraId="54690C5E" w14:textId="77777777" w:rsidR="000E1ED6" w:rsidRDefault="000E1ED6" w:rsidP="00FC1D7B">
      <w:pPr>
        <w:pStyle w:val="spacer"/>
        <w:jc w:val="both"/>
        <w:rPr>
          <w:rFonts w:ascii="Times New Roman" w:hAnsi="Times New Roman"/>
          <w:b/>
          <w:sz w:val="24"/>
          <w:szCs w:val="24"/>
          <w:lang w:val="en-AU"/>
        </w:rPr>
      </w:pPr>
      <w:r>
        <w:rPr>
          <w:rFonts w:ascii="Times New Roman" w:hAnsi="Times New Roman"/>
          <w:b/>
          <w:sz w:val="24"/>
          <w:szCs w:val="24"/>
          <w:lang w:val="en-AU"/>
        </w:rPr>
        <w:lastRenderedPageBreak/>
        <w:t>Insurance companies</w:t>
      </w:r>
    </w:p>
    <w:p w14:paraId="5D0C4505" w14:textId="77777777" w:rsidR="000E1ED6" w:rsidRDefault="000E1ED6" w:rsidP="00FC1D7B">
      <w:pPr>
        <w:pStyle w:val="spacer"/>
        <w:jc w:val="both"/>
        <w:rPr>
          <w:rFonts w:ascii="Times New Roman" w:hAnsi="Times New Roman"/>
          <w:b/>
          <w:sz w:val="24"/>
          <w:szCs w:val="24"/>
          <w:lang w:val="en-AU"/>
        </w:rPr>
      </w:pPr>
    </w:p>
    <w:p w14:paraId="3AC0A69C" w14:textId="623F1691" w:rsidR="005C749E" w:rsidRPr="00E249D0" w:rsidRDefault="005C749E" w:rsidP="00131364">
      <w:pPr>
        <w:pStyle w:val="TRNormal"/>
        <w:numPr>
          <w:ilvl w:val="0"/>
          <w:numId w:val="12"/>
        </w:numPr>
        <w:tabs>
          <w:tab w:val="left" w:pos="0"/>
        </w:tabs>
        <w:spacing w:line="240" w:lineRule="atLeast"/>
        <w:ind w:left="0" w:firstLine="0"/>
      </w:pPr>
      <w:r w:rsidRPr="00E249D0">
        <w:t xml:space="preserve">Under the CFC rules, income from insurance is considered to be passive income and therefore must be attributed to the New Zealand shareholder.  As a result, New Zealand insurance companies with foreign subsidiaries operating active insurance businesses in foreign markets do not </w:t>
      </w:r>
      <w:r w:rsidR="001B1961">
        <w:t>pass</w:t>
      </w:r>
      <w:r w:rsidRPr="00E249D0">
        <w:t xml:space="preserve"> the active business test and are required to attribute income back to New Zealand under the CFC rules.</w:t>
      </w:r>
    </w:p>
    <w:p w14:paraId="0BC487B1" w14:textId="77777777" w:rsidR="005C749E" w:rsidRDefault="005C749E" w:rsidP="00131364">
      <w:pPr>
        <w:pStyle w:val="Bullet-list"/>
        <w:spacing w:after="0" w:line="240" w:lineRule="auto"/>
        <w:ind w:left="0" w:firstLine="0"/>
        <w:jc w:val="both"/>
        <w:rPr>
          <w:rFonts w:ascii="Times New Roman" w:hAnsi="Times New Roman"/>
          <w:sz w:val="24"/>
          <w:szCs w:val="24"/>
        </w:rPr>
      </w:pPr>
    </w:p>
    <w:p w14:paraId="0D963CB0" w14:textId="78BAD896" w:rsidR="005C749E" w:rsidRDefault="005C749E" w:rsidP="00131364">
      <w:pPr>
        <w:pStyle w:val="TRNormal"/>
        <w:numPr>
          <w:ilvl w:val="0"/>
          <w:numId w:val="12"/>
        </w:numPr>
        <w:tabs>
          <w:tab w:val="left" w:pos="0"/>
        </w:tabs>
        <w:spacing w:line="240" w:lineRule="atLeast"/>
        <w:ind w:left="0" w:firstLine="0"/>
      </w:pPr>
      <w:r>
        <w:t>Initially, the Government did not intend to introduce special rules for financial institutions</w:t>
      </w:r>
      <w:r w:rsidR="00883F7F">
        <w:t xml:space="preserve"> (including insurance companies)</w:t>
      </w:r>
      <w:r>
        <w:t xml:space="preserve"> as it did not believe that there were CFCs that would use them. However, consultation revealed that there were</w:t>
      </w:r>
      <w:r w:rsidR="00883F7F">
        <w:t xml:space="preserve"> at least </w:t>
      </w:r>
      <w:r w:rsidR="005B1BBA">
        <w:t xml:space="preserve">some </w:t>
      </w:r>
      <w:r w:rsidR="00883F7F">
        <w:t>insurance companies that would</w:t>
      </w:r>
      <w:r>
        <w:t xml:space="preserve">. </w:t>
      </w:r>
    </w:p>
    <w:p w14:paraId="57A2E5EE" w14:textId="77777777" w:rsidR="00E249D0" w:rsidRDefault="00E249D0" w:rsidP="00131364">
      <w:pPr>
        <w:pStyle w:val="TRNormal"/>
        <w:tabs>
          <w:tab w:val="left" w:pos="0"/>
        </w:tabs>
        <w:spacing w:line="240" w:lineRule="atLeast"/>
      </w:pPr>
    </w:p>
    <w:p w14:paraId="1F5BCBEE" w14:textId="77777777" w:rsidR="005C749E" w:rsidRDefault="007B0F3E" w:rsidP="0013136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Because of </w:t>
      </w:r>
      <w:r w:rsidR="005C749E" w:rsidRPr="005C749E">
        <w:rPr>
          <w:rFonts w:ascii="Times New Roman" w:hAnsi="Times New Roman"/>
          <w:sz w:val="24"/>
          <w:szCs w:val="24"/>
        </w:rPr>
        <w:t xml:space="preserve">a number of constraints, including the complexity of the issues involved in drafting special rules for financial institutions </w:t>
      </w:r>
      <w:r w:rsidR="005C749E">
        <w:rPr>
          <w:rFonts w:ascii="Times New Roman" w:hAnsi="Times New Roman"/>
          <w:sz w:val="24"/>
          <w:szCs w:val="24"/>
        </w:rPr>
        <w:t>(including</w:t>
      </w:r>
      <w:r w:rsidR="005C749E" w:rsidRPr="005C749E">
        <w:rPr>
          <w:rFonts w:ascii="Times New Roman" w:hAnsi="Times New Roman"/>
          <w:sz w:val="24"/>
          <w:szCs w:val="24"/>
        </w:rPr>
        <w:t xml:space="preserve"> insurance companies</w:t>
      </w:r>
      <w:r w:rsidR="005C749E">
        <w:rPr>
          <w:rFonts w:ascii="Times New Roman" w:hAnsi="Times New Roman"/>
          <w:sz w:val="24"/>
          <w:szCs w:val="24"/>
        </w:rPr>
        <w:t>)</w:t>
      </w:r>
      <w:r w:rsidR="005C749E" w:rsidRPr="005C749E">
        <w:rPr>
          <w:rFonts w:ascii="Times New Roman" w:hAnsi="Times New Roman"/>
          <w:sz w:val="24"/>
          <w:szCs w:val="24"/>
        </w:rPr>
        <w:t>, it was not possible to do so at the same time the active income exemption was introduced.</w:t>
      </w:r>
    </w:p>
    <w:p w14:paraId="1FAB3597" w14:textId="77777777" w:rsidR="00E249D0" w:rsidRPr="00E249D0" w:rsidRDefault="00E249D0" w:rsidP="00131364">
      <w:pPr>
        <w:pStyle w:val="Bullet-list"/>
        <w:spacing w:after="0" w:line="240" w:lineRule="auto"/>
        <w:ind w:left="0" w:firstLine="0"/>
        <w:jc w:val="both"/>
        <w:rPr>
          <w:rFonts w:ascii="Times New Roman" w:hAnsi="Times New Roman"/>
          <w:sz w:val="24"/>
          <w:szCs w:val="24"/>
        </w:rPr>
      </w:pPr>
    </w:p>
    <w:p w14:paraId="0633AA51" w14:textId="38F756F9" w:rsidR="005C749E" w:rsidRDefault="005C749E" w:rsidP="00131364">
      <w:pPr>
        <w:pStyle w:val="TRNormal"/>
        <w:numPr>
          <w:ilvl w:val="0"/>
          <w:numId w:val="12"/>
        </w:numPr>
        <w:tabs>
          <w:tab w:val="left" w:pos="0"/>
        </w:tabs>
        <w:spacing w:line="240" w:lineRule="atLeast"/>
        <w:ind w:left="0" w:firstLine="0"/>
      </w:pPr>
      <w:r>
        <w:t>As a result, a transitional measure was introduced which allows the Commissioner to issue a determination</w:t>
      </w:r>
      <w:r w:rsidR="00EE15E5">
        <w:t xml:space="preserve"> under section 91AAQ of the Tax Administration Act 1994</w:t>
      </w:r>
      <w:r w:rsidR="00372DD8">
        <w:t xml:space="preserve">.  This measure </w:t>
      </w:r>
      <w:r w:rsidR="00EE15E5">
        <w:t>allows</w:t>
      </w:r>
      <w:r>
        <w:t xml:space="preserve"> </w:t>
      </w:r>
      <w:r w:rsidR="001B1961">
        <w:t>a</w:t>
      </w:r>
      <w:r>
        <w:t xml:space="preserve"> New Zealand insurance company to</w:t>
      </w:r>
      <w:r w:rsidR="00EE15E5">
        <w:t xml:space="preserve"> pass</w:t>
      </w:r>
      <w:r w:rsidR="00E249D0">
        <w:t xml:space="preserve"> the active business test</w:t>
      </w:r>
      <w:r>
        <w:t xml:space="preserve"> in relation to </w:t>
      </w:r>
      <w:r w:rsidR="001B1961">
        <w:t>an</w:t>
      </w:r>
      <w:r>
        <w:t xml:space="preserve"> offshore active insurance business</w:t>
      </w:r>
      <w:r w:rsidR="00EE15E5">
        <w:t xml:space="preserve"> if </w:t>
      </w:r>
      <w:r w:rsidR="00372DD8">
        <w:t xml:space="preserve">it </w:t>
      </w:r>
      <w:r w:rsidR="00EE15E5">
        <w:t>can demonstrate that the offshore insurance business</w:t>
      </w:r>
      <w:r>
        <w:t xml:space="preserve"> is </w:t>
      </w:r>
      <w:r w:rsidR="00EE15E5">
        <w:t>an active</w:t>
      </w:r>
      <w:r w:rsidR="00E249D0">
        <w:t xml:space="preserve"> business</w:t>
      </w:r>
      <w:r>
        <w:t>.</w:t>
      </w:r>
      <w:r w:rsidR="00EE15E5">
        <w:t xml:space="preserve">  </w:t>
      </w:r>
      <w:r w:rsidR="00372DD8">
        <w:t xml:space="preserve">The </w:t>
      </w:r>
      <w:r w:rsidR="00EE15E5">
        <w:t>determination facility was</w:t>
      </w:r>
      <w:r>
        <w:t xml:space="preserve"> not</w:t>
      </w:r>
      <w:r w:rsidR="00EE15E5">
        <w:t xml:space="preserve"> made</w:t>
      </w:r>
      <w:r>
        <w:t xml:space="preserve"> available for other </w:t>
      </w:r>
      <w:r w:rsidR="00EE15E5">
        <w:t xml:space="preserve">types of </w:t>
      </w:r>
      <w:r>
        <w:t>financial institutions because the boundary between active and passive income is less apparent.</w:t>
      </w:r>
    </w:p>
    <w:p w14:paraId="07198B58" w14:textId="77777777" w:rsidR="00E249D0" w:rsidRDefault="00E249D0" w:rsidP="00131364">
      <w:pPr>
        <w:pStyle w:val="ListParagraph"/>
        <w:ind w:left="0"/>
      </w:pPr>
    </w:p>
    <w:p w14:paraId="7A035EFF" w14:textId="78F8CF39" w:rsidR="005C749E" w:rsidRDefault="005C749E" w:rsidP="00131364">
      <w:pPr>
        <w:pStyle w:val="TRNormal"/>
        <w:numPr>
          <w:ilvl w:val="0"/>
          <w:numId w:val="12"/>
        </w:numPr>
        <w:tabs>
          <w:tab w:val="left" w:pos="0"/>
        </w:tabs>
        <w:spacing w:line="240" w:lineRule="atLeast"/>
        <w:ind w:left="0" w:firstLine="0"/>
      </w:pPr>
      <w:r>
        <w:t>One of the requirements that must be met for the Commissioner to be able to issue a determination is that</w:t>
      </w:r>
      <w:r w:rsidR="001B1961">
        <w:t xml:space="preserve"> before 30 June 2009,</w:t>
      </w:r>
      <w:r>
        <w:t xml:space="preserve"> the of</w:t>
      </w:r>
      <w:r w:rsidR="001B1961">
        <w:t>fshore insurance business must have been</w:t>
      </w:r>
      <w:r>
        <w:t xml:space="preserve"> </w:t>
      </w:r>
      <w:r w:rsidR="00E249D0">
        <w:t>controlled</w:t>
      </w:r>
      <w:r>
        <w:t xml:space="preserve"> by a New Zealand resident </w:t>
      </w:r>
      <w:r w:rsidR="00E249D0">
        <w:t xml:space="preserve">and it </w:t>
      </w:r>
      <w:r w:rsidR="00254B74">
        <w:t xml:space="preserve">must have operated </w:t>
      </w:r>
      <w:r w:rsidR="00E249D0">
        <w:t>a business of insurance in its country of residence</w:t>
      </w:r>
      <w:r>
        <w:t xml:space="preserve">.  This date requirement was </w:t>
      </w:r>
      <w:r w:rsidR="007F349D">
        <w:t xml:space="preserve">deemed necessary </w:t>
      </w:r>
      <w:r>
        <w:t xml:space="preserve">as the determination facility was only intended to be a transitional measure until further work could be completed on extending the active </w:t>
      </w:r>
      <w:r w:rsidR="00E249D0">
        <w:t>business test</w:t>
      </w:r>
      <w:r>
        <w:t xml:space="preserve"> to financial institutions more generally.</w:t>
      </w:r>
    </w:p>
    <w:p w14:paraId="6E604708" w14:textId="77777777" w:rsidR="00E249D0" w:rsidRDefault="00E249D0" w:rsidP="00131364">
      <w:pPr>
        <w:pStyle w:val="TRNormal"/>
        <w:tabs>
          <w:tab w:val="left" w:pos="0"/>
        </w:tabs>
        <w:spacing w:line="240" w:lineRule="atLeast"/>
      </w:pPr>
    </w:p>
    <w:p w14:paraId="7E91FB68" w14:textId="77777777" w:rsidR="005C749E" w:rsidRDefault="005C749E" w:rsidP="00131364">
      <w:pPr>
        <w:pStyle w:val="TRNormal"/>
        <w:numPr>
          <w:ilvl w:val="0"/>
          <w:numId w:val="12"/>
        </w:numPr>
        <w:tabs>
          <w:tab w:val="left" w:pos="0"/>
        </w:tabs>
        <w:spacing w:line="240" w:lineRule="atLeast"/>
        <w:ind w:left="0" w:firstLine="0"/>
      </w:pPr>
      <w:r>
        <w:t>The financial institution work was due to be taken forward in the second phase of the international tax review, alongside the work on non-portfolio FIFs</w:t>
      </w:r>
      <w:r w:rsidR="00131364" w:rsidRPr="00EE1BF2">
        <w:rPr>
          <w:rStyle w:val="FootnoteReference"/>
          <w:rFonts w:ascii="Times New Roman" w:hAnsi="Times New Roman"/>
        </w:rPr>
        <w:footnoteReference w:id="1"/>
      </w:r>
      <w:r>
        <w:t>, and offshore branches.  Legislation for the extension of the active income exemption for non-por</w:t>
      </w:r>
      <w:r w:rsidR="00131364">
        <w:t>tfolio FIFs was enacted in 2012 and work</w:t>
      </w:r>
      <w:r>
        <w:t xml:space="preserve"> on the application of the </w:t>
      </w:r>
      <w:r w:rsidR="00E249D0">
        <w:t>active business test</w:t>
      </w:r>
      <w:r>
        <w:t xml:space="preserve"> to financial institutions would have fo</w:t>
      </w:r>
      <w:r w:rsidR="00131364">
        <w:t xml:space="preserve">llowed the work on offshore branches, but </w:t>
      </w:r>
      <w:r w:rsidR="00EC1936">
        <w:t>other priorities took precedent</w:t>
      </w:r>
      <w:r w:rsidR="00131364">
        <w:t>.</w:t>
      </w:r>
    </w:p>
    <w:p w14:paraId="4166CE93" w14:textId="77777777" w:rsidR="007F349D" w:rsidRDefault="007F349D" w:rsidP="00131364">
      <w:pPr>
        <w:pStyle w:val="TRNormal"/>
        <w:tabs>
          <w:tab w:val="left" w:pos="0"/>
        </w:tabs>
        <w:spacing w:line="240" w:lineRule="atLeast"/>
      </w:pPr>
    </w:p>
    <w:p w14:paraId="200FB8BE" w14:textId="00CEB377" w:rsidR="005C01E0" w:rsidRDefault="00466A00" w:rsidP="00131364">
      <w:pPr>
        <w:pStyle w:val="TRNormal"/>
        <w:numPr>
          <w:ilvl w:val="0"/>
          <w:numId w:val="12"/>
        </w:numPr>
        <w:tabs>
          <w:tab w:val="left" w:pos="0"/>
        </w:tabs>
        <w:spacing w:line="240" w:lineRule="atLeast"/>
        <w:ind w:left="0" w:firstLine="0"/>
      </w:pPr>
      <w:r>
        <w:t>The problem with the 30 June 20</w:t>
      </w:r>
      <w:r w:rsidR="005C01E0">
        <w:t>09 requirement is that as the date</w:t>
      </w:r>
      <w:r>
        <w:t xml:space="preserve"> becomes more historical, more CFCs that are active insurance businesses are unable to qualify for the active business test</w:t>
      </w:r>
      <w:r w:rsidR="00C3458A">
        <w:t xml:space="preserve"> determination</w:t>
      </w:r>
      <w:r w:rsidR="0015606C">
        <w:t>.  It creates an uneven playing field between active offshore insurance businesses that were in existence prior to 30 June 2009</w:t>
      </w:r>
      <w:r>
        <w:t xml:space="preserve"> and</w:t>
      </w:r>
      <w:r w:rsidR="005C01E0">
        <w:t xml:space="preserve"> those established since then.  Insurance companies looking to expand offshore face greater tax and compliance costs than those faced by competitors with already-established operations</w:t>
      </w:r>
      <w:r w:rsidR="00073EA9">
        <w:t>.</w:t>
      </w:r>
      <w:r w:rsidR="005C01E0">
        <w:t xml:space="preserve"> </w:t>
      </w:r>
    </w:p>
    <w:p w14:paraId="162F149D" w14:textId="77777777" w:rsidR="004F5252" w:rsidRDefault="004F5252" w:rsidP="00131364">
      <w:pPr>
        <w:pStyle w:val="ListParagraph"/>
        <w:ind w:left="0"/>
      </w:pPr>
    </w:p>
    <w:p w14:paraId="2736785E" w14:textId="77777777" w:rsidR="004F5252" w:rsidRDefault="004F5252" w:rsidP="00131364">
      <w:pPr>
        <w:pStyle w:val="TRNormal"/>
        <w:numPr>
          <w:ilvl w:val="0"/>
          <w:numId w:val="12"/>
        </w:numPr>
        <w:tabs>
          <w:tab w:val="left" w:pos="0"/>
        </w:tabs>
        <w:spacing w:line="240" w:lineRule="atLeast"/>
        <w:ind w:left="0" w:firstLine="0"/>
      </w:pPr>
      <w:r>
        <w:t>This runs counter to the purpose of the active business test, which is to reduce tax and compliance costs associated with calculating and attributing passive income and to ensure that New Z</w:t>
      </w:r>
      <w:r w:rsidR="00287290">
        <w:t>ealand businesses</w:t>
      </w:r>
      <w:r>
        <w:t xml:space="preserve"> </w:t>
      </w:r>
      <w:r w:rsidR="00287290">
        <w:t>(</w:t>
      </w:r>
      <w:r>
        <w:t>in this case insurance businesses</w:t>
      </w:r>
      <w:r w:rsidR="00287290">
        <w:t>)</w:t>
      </w:r>
      <w:r>
        <w:t xml:space="preserve"> that expand</w:t>
      </w:r>
      <w:r w:rsidR="00287290">
        <w:t xml:space="preserve"> into offshore markets</w:t>
      </w:r>
      <w:r>
        <w:t xml:space="preserve"> </w:t>
      </w:r>
      <w:r w:rsidR="00287290">
        <w:t>through foreign subsidiaries</w:t>
      </w:r>
      <w:r>
        <w:t xml:space="preserve"> can compete on an even footing with competitor</w:t>
      </w:r>
      <w:r w:rsidR="00131364">
        <w:t>s (including New Zealand insurers with pre-existing operations) operating in the same country.</w:t>
      </w:r>
    </w:p>
    <w:p w14:paraId="6FB483DD" w14:textId="77777777" w:rsidR="004F5252" w:rsidRDefault="004F5252" w:rsidP="00782395">
      <w:pPr>
        <w:pStyle w:val="ListParagraph"/>
        <w:ind w:left="0"/>
      </w:pPr>
    </w:p>
    <w:p w14:paraId="7B33ADB1" w14:textId="77777777" w:rsidR="005D1956" w:rsidRPr="005D1956" w:rsidRDefault="005D1956" w:rsidP="00FC1D7B">
      <w:pPr>
        <w:pStyle w:val="Bullet-list"/>
        <w:spacing w:after="0" w:line="240" w:lineRule="auto"/>
        <w:ind w:left="0" w:firstLine="0"/>
        <w:jc w:val="both"/>
        <w:rPr>
          <w:rFonts w:ascii="Times New Roman" w:hAnsi="Times New Roman"/>
          <w:b/>
          <w:i/>
          <w:sz w:val="24"/>
          <w:szCs w:val="24"/>
        </w:rPr>
      </w:pPr>
    </w:p>
    <w:p w14:paraId="089B5B9C" w14:textId="77777777" w:rsidR="005D1956" w:rsidRPr="005D1956" w:rsidRDefault="005D1956" w:rsidP="00FC1D7B">
      <w:pPr>
        <w:jc w:val="both"/>
        <w:rPr>
          <w:rFonts w:ascii="Times New Roman" w:hAnsi="Times New Roman"/>
          <w:b/>
          <w:i/>
          <w:sz w:val="24"/>
          <w:szCs w:val="24"/>
        </w:rPr>
      </w:pPr>
      <w:r>
        <w:rPr>
          <w:rFonts w:ascii="Times New Roman" w:hAnsi="Times New Roman"/>
          <w:b/>
          <w:i/>
          <w:sz w:val="24"/>
          <w:szCs w:val="24"/>
        </w:rPr>
        <w:t>Scale of the problem</w:t>
      </w:r>
    </w:p>
    <w:p w14:paraId="4B163056" w14:textId="7EDF315D" w:rsidR="00131364" w:rsidRDefault="00131364" w:rsidP="0013136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scale of the problem is </w:t>
      </w:r>
      <w:r w:rsidR="005B1BBA">
        <w:rPr>
          <w:rFonts w:ascii="Times New Roman" w:hAnsi="Times New Roman"/>
          <w:sz w:val="24"/>
          <w:szCs w:val="24"/>
        </w:rPr>
        <w:t xml:space="preserve">very </w:t>
      </w:r>
      <w:r>
        <w:rPr>
          <w:rFonts w:ascii="Times New Roman" w:hAnsi="Times New Roman"/>
          <w:sz w:val="24"/>
          <w:szCs w:val="24"/>
        </w:rPr>
        <w:t xml:space="preserve">small, as it only affects New Zealand licensed insurance companies that are required to have a current financial strength rating given by an approved rating agency who also happen to have an income interest in an active insurance business overseas.  Further, the problem of not being eligible for the active business test determination is relevant only to those with offshore active insurance </w:t>
      </w:r>
      <w:r w:rsidR="00F50A00">
        <w:rPr>
          <w:rFonts w:ascii="Times New Roman" w:hAnsi="Times New Roman"/>
          <w:sz w:val="24"/>
          <w:szCs w:val="24"/>
        </w:rPr>
        <w:t>subsidiaries acquired</w:t>
      </w:r>
      <w:r w:rsidR="005B1BBA">
        <w:rPr>
          <w:rFonts w:ascii="Times New Roman" w:hAnsi="Times New Roman"/>
          <w:sz w:val="24"/>
          <w:szCs w:val="24"/>
        </w:rPr>
        <w:t xml:space="preserve"> or established</w:t>
      </w:r>
      <w:r>
        <w:rPr>
          <w:rFonts w:ascii="Times New Roman" w:hAnsi="Times New Roman"/>
          <w:sz w:val="24"/>
          <w:szCs w:val="24"/>
        </w:rPr>
        <w:t xml:space="preserve"> after 30 June 2009.</w:t>
      </w:r>
    </w:p>
    <w:p w14:paraId="2D4923B7" w14:textId="77777777" w:rsidR="00131364" w:rsidRDefault="00131364" w:rsidP="00131364">
      <w:pPr>
        <w:pStyle w:val="Bullet-list"/>
        <w:spacing w:after="0" w:line="240" w:lineRule="auto"/>
        <w:ind w:left="0" w:firstLine="0"/>
        <w:jc w:val="both"/>
        <w:rPr>
          <w:rFonts w:ascii="Times New Roman" w:hAnsi="Times New Roman"/>
          <w:sz w:val="24"/>
          <w:szCs w:val="24"/>
        </w:rPr>
      </w:pPr>
    </w:p>
    <w:p w14:paraId="69EC0077" w14:textId="14C77CC1" w:rsidR="00131364" w:rsidRDefault="00131364" w:rsidP="0013136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According to public information on the financial strength ratings of licensed insurers from the Reserve Bank of New Zealand, there are</w:t>
      </w:r>
      <w:r w:rsidR="00C3458A">
        <w:rPr>
          <w:rFonts w:ascii="Times New Roman" w:hAnsi="Times New Roman"/>
          <w:sz w:val="24"/>
          <w:szCs w:val="24"/>
        </w:rPr>
        <w:t xml:space="preserve"> approximately</w:t>
      </w:r>
      <w:r>
        <w:rPr>
          <w:rFonts w:ascii="Times New Roman" w:hAnsi="Times New Roman"/>
          <w:sz w:val="24"/>
          <w:szCs w:val="24"/>
        </w:rPr>
        <w:t xml:space="preserve"> 75 licensed insurers that have a current financial strength rating</w:t>
      </w:r>
      <w:r w:rsidR="00EE1BF2">
        <w:rPr>
          <w:rFonts w:ascii="Times New Roman" w:hAnsi="Times New Roman"/>
          <w:sz w:val="24"/>
          <w:szCs w:val="24"/>
        </w:rPr>
        <w:t>;</w:t>
      </w:r>
      <w:r>
        <w:rPr>
          <w:rFonts w:ascii="Times New Roman" w:hAnsi="Times New Roman"/>
          <w:sz w:val="24"/>
          <w:szCs w:val="24"/>
        </w:rPr>
        <w:t xml:space="preserve"> </w:t>
      </w:r>
      <w:r w:rsidR="00EE1BF2">
        <w:rPr>
          <w:rFonts w:ascii="Times New Roman" w:hAnsi="Times New Roman"/>
          <w:sz w:val="24"/>
          <w:szCs w:val="24"/>
        </w:rPr>
        <w:t>s</w:t>
      </w:r>
      <w:r>
        <w:rPr>
          <w:rFonts w:ascii="Times New Roman" w:hAnsi="Times New Roman"/>
          <w:sz w:val="24"/>
          <w:szCs w:val="24"/>
        </w:rPr>
        <w:t xml:space="preserve">ome of these </w:t>
      </w:r>
      <w:r w:rsidR="00EE1BF2">
        <w:rPr>
          <w:rFonts w:ascii="Times New Roman" w:hAnsi="Times New Roman"/>
          <w:sz w:val="24"/>
          <w:szCs w:val="24"/>
        </w:rPr>
        <w:t xml:space="preserve">insurers </w:t>
      </w:r>
      <w:r>
        <w:rPr>
          <w:rFonts w:ascii="Times New Roman" w:hAnsi="Times New Roman"/>
          <w:sz w:val="24"/>
          <w:szCs w:val="24"/>
        </w:rPr>
        <w:t>will be solely focused on the New Zealand market and will not have offshore operations. It is unknown how many of these purely domestic insurance companies will look to expand offshore in the future.</w:t>
      </w:r>
    </w:p>
    <w:p w14:paraId="1DDABF08" w14:textId="77777777" w:rsidR="00131364" w:rsidRPr="00131364" w:rsidRDefault="00131364" w:rsidP="00131364">
      <w:pPr>
        <w:pStyle w:val="Bullet-list"/>
        <w:spacing w:after="0" w:line="240" w:lineRule="auto"/>
        <w:ind w:left="0" w:firstLine="0"/>
        <w:jc w:val="both"/>
        <w:rPr>
          <w:rFonts w:ascii="Times New Roman" w:hAnsi="Times New Roman"/>
          <w:sz w:val="24"/>
          <w:szCs w:val="24"/>
        </w:rPr>
      </w:pPr>
    </w:p>
    <w:p w14:paraId="6BDF5BAA" w14:textId="77777777" w:rsidR="00131364" w:rsidRDefault="0093239E" w:rsidP="0013136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We are aware that o</w:t>
      </w:r>
      <w:r w:rsidR="00131364">
        <w:rPr>
          <w:rFonts w:ascii="Times New Roman" w:hAnsi="Times New Roman"/>
          <w:sz w:val="24"/>
          <w:szCs w:val="24"/>
        </w:rPr>
        <w:t>nly a very small number of these licensed insurers with financial strength ratings are currently attributing income under the CFC rules</w:t>
      </w:r>
      <w:r>
        <w:rPr>
          <w:rFonts w:ascii="Times New Roman" w:hAnsi="Times New Roman"/>
          <w:sz w:val="24"/>
          <w:szCs w:val="24"/>
        </w:rPr>
        <w:t>.  Of these we</w:t>
      </w:r>
      <w:r w:rsidR="00836D63">
        <w:rPr>
          <w:rFonts w:ascii="Times New Roman" w:hAnsi="Times New Roman"/>
          <w:sz w:val="24"/>
          <w:szCs w:val="24"/>
        </w:rPr>
        <w:t xml:space="preserve"> estimate that only some of </w:t>
      </w:r>
      <w:r>
        <w:rPr>
          <w:rFonts w:ascii="Times New Roman" w:hAnsi="Times New Roman"/>
          <w:sz w:val="24"/>
          <w:szCs w:val="24"/>
        </w:rPr>
        <w:t xml:space="preserve">them </w:t>
      </w:r>
      <w:r w:rsidR="00836D63">
        <w:rPr>
          <w:rFonts w:ascii="Times New Roman" w:hAnsi="Times New Roman"/>
          <w:sz w:val="24"/>
          <w:szCs w:val="24"/>
        </w:rPr>
        <w:t xml:space="preserve">would be eligible for an active business test determination under section 91AAQ, if it were not for the 30 June 2009 ownership requirement.  </w:t>
      </w:r>
      <w:r>
        <w:rPr>
          <w:rFonts w:ascii="Times New Roman" w:hAnsi="Times New Roman"/>
          <w:sz w:val="24"/>
          <w:szCs w:val="24"/>
        </w:rPr>
        <w:t>The reason for t</w:t>
      </w:r>
      <w:r w:rsidR="00836D63">
        <w:rPr>
          <w:rFonts w:ascii="Times New Roman" w:hAnsi="Times New Roman"/>
          <w:sz w:val="24"/>
          <w:szCs w:val="24"/>
        </w:rPr>
        <w:t xml:space="preserve">his is </w:t>
      </w:r>
      <w:r>
        <w:rPr>
          <w:rFonts w:ascii="Times New Roman" w:hAnsi="Times New Roman"/>
          <w:sz w:val="24"/>
          <w:szCs w:val="24"/>
        </w:rPr>
        <w:t xml:space="preserve">that </w:t>
      </w:r>
      <w:r w:rsidR="00836D63">
        <w:rPr>
          <w:rFonts w:ascii="Times New Roman" w:hAnsi="Times New Roman"/>
          <w:sz w:val="24"/>
          <w:szCs w:val="24"/>
        </w:rPr>
        <w:t xml:space="preserve">not all CFCs owned by New Zealand insurers are active insurance businesses and </w:t>
      </w:r>
      <w:r>
        <w:rPr>
          <w:rFonts w:ascii="Times New Roman" w:hAnsi="Times New Roman"/>
          <w:sz w:val="24"/>
          <w:szCs w:val="24"/>
        </w:rPr>
        <w:t xml:space="preserve">so </w:t>
      </w:r>
      <w:r w:rsidR="00836D63">
        <w:rPr>
          <w:rFonts w:ascii="Times New Roman" w:hAnsi="Times New Roman"/>
          <w:sz w:val="24"/>
          <w:szCs w:val="24"/>
        </w:rPr>
        <w:t>income is being attributed in line with the policy intent of the active business test</w:t>
      </w:r>
      <w:r w:rsidR="00976CAD">
        <w:rPr>
          <w:rFonts w:ascii="Times New Roman" w:hAnsi="Times New Roman"/>
          <w:sz w:val="24"/>
          <w:szCs w:val="24"/>
        </w:rPr>
        <w:t>.</w:t>
      </w:r>
    </w:p>
    <w:p w14:paraId="72CC66B7" w14:textId="77777777" w:rsidR="00B31F90" w:rsidRDefault="00B31F90" w:rsidP="00782395">
      <w:pPr>
        <w:pStyle w:val="Bullet-list"/>
        <w:spacing w:after="0" w:line="240" w:lineRule="auto"/>
        <w:ind w:left="0" w:firstLine="0"/>
        <w:jc w:val="both"/>
        <w:rPr>
          <w:rFonts w:ascii="Times New Roman" w:hAnsi="Times New Roman"/>
          <w:sz w:val="24"/>
          <w:szCs w:val="24"/>
        </w:rPr>
      </w:pPr>
    </w:p>
    <w:p w14:paraId="268D724B" w14:textId="66F146E1" w:rsidR="00B31F90" w:rsidRDefault="00B31F90" w:rsidP="0013136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Overall, the amount of New Zealand tax at stake is</w:t>
      </w:r>
      <w:r w:rsidR="005B1BBA">
        <w:rPr>
          <w:rFonts w:ascii="Times New Roman" w:hAnsi="Times New Roman"/>
          <w:sz w:val="24"/>
          <w:szCs w:val="24"/>
        </w:rPr>
        <w:t xml:space="preserve"> also</w:t>
      </w:r>
      <w:r>
        <w:rPr>
          <w:rFonts w:ascii="Times New Roman" w:hAnsi="Times New Roman"/>
          <w:sz w:val="24"/>
          <w:szCs w:val="24"/>
        </w:rPr>
        <w:t xml:space="preserve"> likely to be </w:t>
      </w:r>
      <w:r w:rsidR="005B1BBA">
        <w:rPr>
          <w:rFonts w:ascii="Times New Roman" w:hAnsi="Times New Roman"/>
          <w:sz w:val="24"/>
          <w:szCs w:val="24"/>
        </w:rPr>
        <w:t xml:space="preserve">very </w:t>
      </w:r>
      <w:r>
        <w:rPr>
          <w:rFonts w:ascii="Times New Roman" w:hAnsi="Times New Roman"/>
          <w:sz w:val="24"/>
          <w:szCs w:val="24"/>
        </w:rPr>
        <w:t>small, because under the CFC rules, the taxpayer is provided a foreign tax credit for income tax paid oversea</w:t>
      </w:r>
      <w:r w:rsidR="00FF1B0F">
        <w:rPr>
          <w:rFonts w:ascii="Times New Roman" w:hAnsi="Times New Roman"/>
          <w:sz w:val="24"/>
          <w:szCs w:val="24"/>
        </w:rPr>
        <w:t xml:space="preserve">s in relation to the CFC income against their New Zealand income tax liability.  </w:t>
      </w:r>
      <w:r w:rsidR="0093239E">
        <w:rPr>
          <w:rFonts w:ascii="Times New Roman" w:hAnsi="Times New Roman"/>
          <w:sz w:val="24"/>
          <w:szCs w:val="24"/>
        </w:rPr>
        <w:t xml:space="preserve">If </w:t>
      </w:r>
      <w:r w:rsidR="00FF1B0F">
        <w:rPr>
          <w:rFonts w:ascii="Times New Roman" w:hAnsi="Times New Roman"/>
          <w:sz w:val="24"/>
          <w:szCs w:val="24"/>
        </w:rPr>
        <w:t>the foreign tax credit exceeds or is equal to the New Zealand income tax liability, there is no tax to pay.</w:t>
      </w:r>
    </w:p>
    <w:p w14:paraId="1B666BCF" w14:textId="77777777" w:rsidR="00836D63" w:rsidRDefault="00836D63" w:rsidP="00782395">
      <w:pPr>
        <w:pStyle w:val="Bullet-list"/>
        <w:spacing w:after="0" w:line="240" w:lineRule="auto"/>
        <w:ind w:left="0" w:firstLine="0"/>
        <w:jc w:val="both"/>
        <w:rPr>
          <w:rFonts w:ascii="Times New Roman" w:hAnsi="Times New Roman"/>
          <w:sz w:val="24"/>
          <w:szCs w:val="24"/>
        </w:rPr>
      </w:pPr>
    </w:p>
    <w:p w14:paraId="43429F65" w14:textId="77777777" w:rsidR="00C317C4" w:rsidRDefault="00836D63"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However, </w:t>
      </w:r>
      <w:r w:rsidR="00661852">
        <w:rPr>
          <w:rFonts w:ascii="Times New Roman" w:hAnsi="Times New Roman"/>
          <w:sz w:val="24"/>
          <w:szCs w:val="24"/>
        </w:rPr>
        <w:t xml:space="preserve">owing </w:t>
      </w:r>
      <w:r>
        <w:rPr>
          <w:rFonts w:ascii="Times New Roman" w:hAnsi="Times New Roman"/>
          <w:sz w:val="24"/>
          <w:szCs w:val="24"/>
        </w:rPr>
        <w:t xml:space="preserve">to confidentiality concerns we are unable to </w:t>
      </w:r>
      <w:r w:rsidR="00EE1BF2">
        <w:rPr>
          <w:rFonts w:ascii="Times New Roman" w:hAnsi="Times New Roman"/>
          <w:sz w:val="24"/>
          <w:szCs w:val="24"/>
        </w:rPr>
        <w:t xml:space="preserve">publicly </w:t>
      </w:r>
      <w:r>
        <w:rPr>
          <w:rFonts w:ascii="Times New Roman" w:hAnsi="Times New Roman"/>
          <w:sz w:val="24"/>
          <w:szCs w:val="24"/>
        </w:rPr>
        <w:t>state the number of insurance companies affected by the problem.</w:t>
      </w:r>
    </w:p>
    <w:p w14:paraId="6DE9AC32" w14:textId="77777777" w:rsidR="00466A00" w:rsidRPr="000E1ED6" w:rsidRDefault="00466A00" w:rsidP="00FC1D7B">
      <w:pPr>
        <w:pStyle w:val="Bullet-list"/>
        <w:spacing w:after="0" w:line="240" w:lineRule="auto"/>
        <w:ind w:left="0" w:firstLine="0"/>
        <w:jc w:val="both"/>
        <w:rPr>
          <w:rFonts w:ascii="Times New Roman" w:hAnsi="Times New Roman"/>
          <w:sz w:val="24"/>
          <w:szCs w:val="24"/>
        </w:rPr>
      </w:pPr>
    </w:p>
    <w:p w14:paraId="387FF772" w14:textId="77777777" w:rsidR="000E1ED6" w:rsidRDefault="000E1ED6" w:rsidP="00FC1D7B">
      <w:pPr>
        <w:pStyle w:val="spacer"/>
        <w:jc w:val="both"/>
        <w:rPr>
          <w:rFonts w:ascii="Times New Roman" w:hAnsi="Times New Roman"/>
          <w:b/>
          <w:sz w:val="24"/>
          <w:szCs w:val="24"/>
          <w:lang w:val="en-AU"/>
        </w:rPr>
      </w:pPr>
    </w:p>
    <w:p w14:paraId="20449EDE" w14:textId="77777777" w:rsidR="000545DC" w:rsidRDefault="00D943DD" w:rsidP="00FC1D7B">
      <w:pPr>
        <w:pStyle w:val="RISheading"/>
        <w:spacing w:before="0" w:after="0" w:line="240" w:lineRule="auto"/>
        <w:jc w:val="both"/>
        <w:rPr>
          <w:spacing w:val="0"/>
          <w:w w:val="100"/>
        </w:rPr>
      </w:pPr>
      <w:bookmarkStart w:id="12" w:name="_Toc244580364"/>
      <w:bookmarkStart w:id="13" w:name="_Toc244587040"/>
      <w:bookmarkStart w:id="14" w:name="_Toc244857274"/>
      <w:bookmarkStart w:id="15" w:name="_Toc244912539"/>
      <w:bookmarkStart w:id="16" w:name="_Toc244916996"/>
      <w:r w:rsidRPr="004342F0">
        <w:rPr>
          <w:spacing w:val="0"/>
          <w:w w:val="100"/>
        </w:rPr>
        <w:t>OBJECTIVES</w:t>
      </w:r>
      <w:bookmarkEnd w:id="12"/>
      <w:bookmarkEnd w:id="13"/>
      <w:bookmarkEnd w:id="14"/>
      <w:bookmarkEnd w:id="15"/>
      <w:bookmarkEnd w:id="16"/>
    </w:p>
    <w:p w14:paraId="038F64F2" w14:textId="77777777" w:rsidR="000E1ED6" w:rsidRPr="00883F7F" w:rsidRDefault="000E1ED6" w:rsidP="00782395">
      <w:pPr>
        <w:pStyle w:val="Bullet-list"/>
        <w:spacing w:after="0" w:line="240" w:lineRule="auto"/>
        <w:ind w:left="0" w:firstLine="0"/>
        <w:jc w:val="both"/>
      </w:pPr>
    </w:p>
    <w:p w14:paraId="2F205788" w14:textId="53D56B05" w:rsidR="00D934FF" w:rsidRDefault="002D4A7B"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main objective</w:t>
      </w:r>
      <w:r>
        <w:rPr>
          <w:rFonts w:ascii="Times New Roman" w:hAnsi="Times New Roman"/>
          <w:sz w:val="24"/>
          <w:szCs w:val="24"/>
        </w:rPr>
        <w:t xml:space="preserve"> is to ensure the CFC rules result in the correct amount of income </w:t>
      </w:r>
      <w:r w:rsidR="000E1ED6">
        <w:rPr>
          <w:rFonts w:ascii="Times New Roman" w:hAnsi="Times New Roman"/>
          <w:sz w:val="24"/>
          <w:szCs w:val="24"/>
        </w:rPr>
        <w:t xml:space="preserve">being </w:t>
      </w:r>
      <w:r w:rsidR="00073EA9">
        <w:rPr>
          <w:rFonts w:ascii="Times New Roman" w:hAnsi="Times New Roman"/>
          <w:sz w:val="24"/>
          <w:szCs w:val="24"/>
        </w:rPr>
        <w:t>attributed to</w:t>
      </w:r>
      <w:r w:rsidR="000E1ED6">
        <w:rPr>
          <w:rFonts w:ascii="Times New Roman" w:hAnsi="Times New Roman"/>
          <w:sz w:val="24"/>
          <w:szCs w:val="24"/>
        </w:rPr>
        <w:t xml:space="preserve"> a New Zealand taxpayer </w:t>
      </w:r>
      <w:r w:rsidR="00073EA9">
        <w:rPr>
          <w:rFonts w:ascii="Times New Roman" w:hAnsi="Times New Roman"/>
          <w:sz w:val="24"/>
          <w:szCs w:val="24"/>
        </w:rPr>
        <w:t xml:space="preserve">who </w:t>
      </w:r>
      <w:r w:rsidR="000E1ED6">
        <w:rPr>
          <w:rFonts w:ascii="Times New Roman" w:hAnsi="Times New Roman"/>
          <w:sz w:val="24"/>
          <w:szCs w:val="24"/>
        </w:rPr>
        <w:t xml:space="preserve">has </w:t>
      </w:r>
      <w:r w:rsidR="00C3458A">
        <w:rPr>
          <w:rFonts w:ascii="Times New Roman" w:hAnsi="Times New Roman"/>
          <w:sz w:val="24"/>
          <w:szCs w:val="24"/>
        </w:rPr>
        <w:t>an income</w:t>
      </w:r>
      <w:r w:rsidR="000E1ED6">
        <w:rPr>
          <w:rFonts w:ascii="Times New Roman" w:hAnsi="Times New Roman"/>
          <w:sz w:val="24"/>
          <w:szCs w:val="24"/>
        </w:rPr>
        <w:t xml:space="preserve"> interest in a non-resident</w:t>
      </w:r>
      <w:r w:rsidR="007F349D">
        <w:rPr>
          <w:rFonts w:ascii="Times New Roman" w:hAnsi="Times New Roman"/>
          <w:sz w:val="24"/>
          <w:szCs w:val="24"/>
        </w:rPr>
        <w:t xml:space="preserve"> company</w:t>
      </w:r>
      <w:r w:rsidR="00EF05EB">
        <w:rPr>
          <w:rFonts w:ascii="Times New Roman" w:hAnsi="Times New Roman"/>
          <w:sz w:val="24"/>
          <w:szCs w:val="24"/>
        </w:rPr>
        <w:t>.  I</w:t>
      </w:r>
      <w:r w:rsidR="006F5734">
        <w:rPr>
          <w:rFonts w:ascii="Times New Roman" w:hAnsi="Times New Roman"/>
          <w:sz w:val="24"/>
          <w:szCs w:val="24"/>
        </w:rPr>
        <w:t>n particular,</w:t>
      </w:r>
      <w:r w:rsidR="00637047">
        <w:rPr>
          <w:rFonts w:ascii="Times New Roman" w:hAnsi="Times New Roman"/>
          <w:sz w:val="24"/>
          <w:szCs w:val="24"/>
        </w:rPr>
        <w:t xml:space="preserve"> </w:t>
      </w:r>
      <w:r w:rsidR="00F73758">
        <w:rPr>
          <w:rFonts w:ascii="Times New Roman" w:hAnsi="Times New Roman"/>
          <w:sz w:val="24"/>
          <w:szCs w:val="24"/>
        </w:rPr>
        <w:t xml:space="preserve">this means ensuring that </w:t>
      </w:r>
      <w:r w:rsidR="00A93F37">
        <w:rPr>
          <w:rFonts w:ascii="Times New Roman" w:hAnsi="Times New Roman"/>
          <w:sz w:val="24"/>
          <w:szCs w:val="24"/>
        </w:rPr>
        <w:t>income from an</w:t>
      </w:r>
      <w:r w:rsidR="00F73758">
        <w:rPr>
          <w:rFonts w:ascii="Times New Roman" w:hAnsi="Times New Roman"/>
          <w:sz w:val="24"/>
          <w:szCs w:val="24"/>
        </w:rPr>
        <w:t xml:space="preserve"> active business is not required to </w:t>
      </w:r>
      <w:r w:rsidR="00A93F37">
        <w:rPr>
          <w:rFonts w:ascii="Times New Roman" w:hAnsi="Times New Roman"/>
          <w:sz w:val="24"/>
          <w:szCs w:val="24"/>
        </w:rPr>
        <w:t xml:space="preserve">be attributed under the CFC rules.  The </w:t>
      </w:r>
      <w:r w:rsidR="00B31F90">
        <w:rPr>
          <w:rFonts w:ascii="Times New Roman" w:hAnsi="Times New Roman"/>
          <w:sz w:val="24"/>
          <w:szCs w:val="24"/>
        </w:rPr>
        <w:t>underlying</w:t>
      </w:r>
      <w:r w:rsidR="00D04A6F">
        <w:rPr>
          <w:rFonts w:ascii="Times New Roman" w:hAnsi="Times New Roman"/>
          <w:sz w:val="24"/>
          <w:szCs w:val="24"/>
        </w:rPr>
        <w:t xml:space="preserve"> policy intent of the </w:t>
      </w:r>
      <w:r w:rsidR="00A93F37">
        <w:rPr>
          <w:rFonts w:ascii="Times New Roman" w:hAnsi="Times New Roman"/>
          <w:sz w:val="24"/>
          <w:szCs w:val="24"/>
        </w:rPr>
        <w:t xml:space="preserve">active business test is </w:t>
      </w:r>
      <w:r w:rsidR="00B31F90">
        <w:rPr>
          <w:rFonts w:ascii="Times New Roman" w:hAnsi="Times New Roman"/>
          <w:sz w:val="24"/>
          <w:szCs w:val="24"/>
        </w:rPr>
        <w:t xml:space="preserve">to </w:t>
      </w:r>
      <w:r w:rsidR="00A1107D">
        <w:rPr>
          <w:rFonts w:ascii="Times New Roman" w:hAnsi="Times New Roman"/>
          <w:sz w:val="24"/>
          <w:szCs w:val="24"/>
        </w:rPr>
        <w:t xml:space="preserve">minimise </w:t>
      </w:r>
      <w:r w:rsidR="00B31F90">
        <w:rPr>
          <w:rFonts w:ascii="Times New Roman" w:hAnsi="Times New Roman"/>
          <w:sz w:val="24"/>
          <w:szCs w:val="24"/>
        </w:rPr>
        <w:t>tax and compliance costs associated with attributing income under the CFC rules,</w:t>
      </w:r>
      <w:r w:rsidR="00A93F37">
        <w:rPr>
          <w:rFonts w:ascii="Times New Roman" w:hAnsi="Times New Roman"/>
          <w:sz w:val="24"/>
          <w:szCs w:val="24"/>
        </w:rPr>
        <w:t xml:space="preserve"> so that New Zealand businesses operating in offshore markets through foreign subsidiaries can compete on an even footing with competitors.</w:t>
      </w:r>
    </w:p>
    <w:p w14:paraId="06CAB80E" w14:textId="77777777" w:rsidR="00073EA9" w:rsidRDefault="00073EA9" w:rsidP="00836D63">
      <w:pPr>
        <w:pStyle w:val="Bullet-list"/>
        <w:spacing w:after="0" w:line="240" w:lineRule="auto"/>
        <w:ind w:left="0" w:firstLine="0"/>
        <w:jc w:val="both"/>
        <w:rPr>
          <w:rFonts w:ascii="Times New Roman" w:hAnsi="Times New Roman"/>
          <w:sz w:val="24"/>
          <w:szCs w:val="24"/>
        </w:rPr>
      </w:pPr>
    </w:p>
    <w:p w14:paraId="2A0394AE" w14:textId="77777777" w:rsidR="000E1ED6" w:rsidRDefault="000E1ED6"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 options are assessed against </w:t>
      </w:r>
      <w:r w:rsidR="00B168FE">
        <w:rPr>
          <w:rFonts w:ascii="Times New Roman" w:hAnsi="Times New Roman"/>
          <w:sz w:val="24"/>
          <w:szCs w:val="24"/>
        </w:rPr>
        <w:t xml:space="preserve">the status quo in relation to the main objective and </w:t>
      </w:r>
      <w:r>
        <w:rPr>
          <w:rFonts w:ascii="Times New Roman" w:hAnsi="Times New Roman"/>
          <w:sz w:val="24"/>
          <w:szCs w:val="24"/>
        </w:rPr>
        <w:t>the following criteria:</w:t>
      </w:r>
    </w:p>
    <w:p w14:paraId="666B9566" w14:textId="77777777" w:rsidR="000E1ED6" w:rsidRDefault="000E1ED6" w:rsidP="00836D63">
      <w:pPr>
        <w:pStyle w:val="ListParagraph"/>
        <w:ind w:left="0"/>
        <w:rPr>
          <w:rFonts w:ascii="Times New Roman" w:hAnsi="Times New Roman"/>
          <w:sz w:val="24"/>
          <w:szCs w:val="24"/>
        </w:rPr>
      </w:pPr>
    </w:p>
    <w:p w14:paraId="484F611E" w14:textId="77777777" w:rsidR="000E1ED6" w:rsidRPr="000E1ED6" w:rsidRDefault="000E1ED6" w:rsidP="00775ED6">
      <w:pPr>
        <w:pStyle w:val="ListParagraph"/>
        <w:numPr>
          <w:ilvl w:val="0"/>
          <w:numId w:val="6"/>
        </w:numPr>
        <w:spacing w:line="300" w:lineRule="atLeast"/>
        <w:ind w:left="567" w:firstLine="0"/>
        <w:rPr>
          <w:rFonts w:ascii="Times New Roman" w:hAnsi="Times New Roman"/>
          <w:sz w:val="24"/>
          <w:szCs w:val="24"/>
        </w:rPr>
      </w:pPr>
      <w:r w:rsidRPr="000E1ED6">
        <w:rPr>
          <w:rFonts w:ascii="Times New Roman" w:hAnsi="Times New Roman"/>
          <w:b/>
          <w:sz w:val="24"/>
          <w:szCs w:val="24"/>
        </w:rPr>
        <w:t>Fairness and equity:</w:t>
      </w:r>
      <w:r w:rsidRPr="000E1ED6">
        <w:rPr>
          <w:rFonts w:ascii="Times New Roman" w:hAnsi="Times New Roman"/>
          <w:sz w:val="24"/>
          <w:szCs w:val="24"/>
        </w:rPr>
        <w:t xml:space="preserve"> to support fairness in the tax system, options should, to the extent possible, seek to treat similar taxpayers in similar circumstances in a similar way.</w:t>
      </w:r>
    </w:p>
    <w:p w14:paraId="284D876E" w14:textId="77777777" w:rsidR="000E1ED6" w:rsidRPr="000E1ED6" w:rsidRDefault="000E1ED6" w:rsidP="00775ED6">
      <w:pPr>
        <w:pStyle w:val="ListParagraph"/>
        <w:spacing w:line="300" w:lineRule="atLeast"/>
        <w:ind w:left="567"/>
        <w:rPr>
          <w:rFonts w:ascii="Times New Roman" w:hAnsi="Times New Roman"/>
          <w:sz w:val="24"/>
          <w:szCs w:val="24"/>
        </w:rPr>
      </w:pPr>
    </w:p>
    <w:p w14:paraId="41513E09" w14:textId="77777777" w:rsidR="000E1ED6" w:rsidRPr="000E1ED6" w:rsidRDefault="000E1ED6" w:rsidP="00775ED6">
      <w:pPr>
        <w:pStyle w:val="ListParagraph"/>
        <w:numPr>
          <w:ilvl w:val="0"/>
          <w:numId w:val="6"/>
        </w:numPr>
        <w:spacing w:line="300" w:lineRule="atLeast"/>
        <w:ind w:left="567" w:firstLine="0"/>
        <w:rPr>
          <w:rFonts w:ascii="Times New Roman" w:hAnsi="Times New Roman"/>
          <w:sz w:val="24"/>
          <w:szCs w:val="24"/>
        </w:rPr>
      </w:pPr>
      <w:r w:rsidRPr="000E1ED6">
        <w:rPr>
          <w:rFonts w:ascii="Times New Roman" w:hAnsi="Times New Roman"/>
          <w:b/>
          <w:sz w:val="24"/>
          <w:szCs w:val="24"/>
        </w:rPr>
        <w:t xml:space="preserve">Efficiency of compliance and administration: </w:t>
      </w:r>
      <w:r w:rsidRPr="000E1ED6">
        <w:rPr>
          <w:rFonts w:ascii="Times New Roman" w:hAnsi="Times New Roman"/>
          <w:sz w:val="24"/>
          <w:szCs w:val="24"/>
        </w:rPr>
        <w:t>the compliance cost impacts on taxpayers and the administrative costs to Inland Revenue should be minimised as far as possible.</w:t>
      </w:r>
    </w:p>
    <w:p w14:paraId="64C5A626" w14:textId="77777777" w:rsidR="00B168FE" w:rsidRDefault="00B168FE" w:rsidP="00836D63">
      <w:pPr>
        <w:pStyle w:val="Bullet-list"/>
        <w:spacing w:after="0" w:line="240" w:lineRule="auto"/>
        <w:ind w:left="0" w:firstLine="0"/>
        <w:jc w:val="both"/>
        <w:rPr>
          <w:rFonts w:ascii="Times New Roman" w:hAnsi="Times New Roman"/>
          <w:sz w:val="24"/>
          <w:szCs w:val="24"/>
        </w:rPr>
      </w:pPr>
    </w:p>
    <w:p w14:paraId="0D83F991" w14:textId="77777777" w:rsidR="00D04A6F" w:rsidRDefault="00295786"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Although </w:t>
      </w:r>
      <w:r w:rsidR="00D04A6F">
        <w:rPr>
          <w:rFonts w:ascii="Times New Roman" w:hAnsi="Times New Roman"/>
          <w:sz w:val="24"/>
          <w:szCs w:val="24"/>
        </w:rPr>
        <w:t>both criteria are important, the fairness and equity criterion is more important than the efficiency of compliance and administration, for small movements in the latter.</w:t>
      </w:r>
    </w:p>
    <w:p w14:paraId="1B09E986" w14:textId="77777777" w:rsidR="00D04A6F" w:rsidRDefault="00D04A6F" w:rsidP="00D04A6F">
      <w:pPr>
        <w:pStyle w:val="Bullet-list"/>
        <w:spacing w:after="0" w:line="240" w:lineRule="auto"/>
        <w:ind w:left="0" w:firstLine="0"/>
        <w:jc w:val="both"/>
        <w:rPr>
          <w:rFonts w:ascii="Times New Roman" w:hAnsi="Times New Roman"/>
          <w:sz w:val="24"/>
          <w:szCs w:val="24"/>
        </w:rPr>
      </w:pPr>
    </w:p>
    <w:p w14:paraId="665075D8" w14:textId="77777777" w:rsidR="00B168FE" w:rsidRDefault="00B168FE"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 addition</w:t>
      </w:r>
      <w:r w:rsidR="007F349D">
        <w:rPr>
          <w:rFonts w:ascii="Times New Roman" w:hAnsi="Times New Roman"/>
          <w:sz w:val="24"/>
          <w:szCs w:val="24"/>
        </w:rPr>
        <w:t>,</w:t>
      </w:r>
      <w:r>
        <w:rPr>
          <w:rFonts w:ascii="Times New Roman" w:hAnsi="Times New Roman"/>
          <w:sz w:val="24"/>
          <w:szCs w:val="24"/>
        </w:rPr>
        <w:t xml:space="preserve"> the options must be considered against constraints on the </w:t>
      </w:r>
      <w:r w:rsidR="00295786">
        <w:rPr>
          <w:rFonts w:ascii="Times New Roman" w:hAnsi="Times New Roman"/>
          <w:sz w:val="24"/>
          <w:szCs w:val="24"/>
        </w:rPr>
        <w:t xml:space="preserve">time and </w:t>
      </w:r>
      <w:r>
        <w:rPr>
          <w:rFonts w:ascii="Times New Roman" w:hAnsi="Times New Roman"/>
          <w:sz w:val="24"/>
          <w:szCs w:val="24"/>
        </w:rPr>
        <w:t xml:space="preserve">resources available </w:t>
      </w:r>
      <w:r w:rsidR="00976CAD">
        <w:rPr>
          <w:rFonts w:ascii="Times New Roman" w:hAnsi="Times New Roman"/>
          <w:sz w:val="24"/>
          <w:szCs w:val="24"/>
        </w:rPr>
        <w:t xml:space="preserve">to </w:t>
      </w:r>
      <w:r w:rsidR="0041672C">
        <w:rPr>
          <w:rFonts w:ascii="Times New Roman" w:hAnsi="Times New Roman"/>
          <w:sz w:val="24"/>
          <w:szCs w:val="24"/>
        </w:rPr>
        <w:t>the</w:t>
      </w:r>
      <w:r>
        <w:rPr>
          <w:rFonts w:ascii="Times New Roman" w:hAnsi="Times New Roman"/>
          <w:sz w:val="24"/>
          <w:szCs w:val="24"/>
        </w:rPr>
        <w:t xml:space="preserve"> Government.  These constraints form part of the trade-offs when evaluating the available options.</w:t>
      </w:r>
    </w:p>
    <w:p w14:paraId="37C5DA34" w14:textId="77777777" w:rsidR="000E1ED6" w:rsidRDefault="000E1ED6" w:rsidP="00FC1D7B">
      <w:pPr>
        <w:pStyle w:val="Bullet-list"/>
        <w:spacing w:after="0" w:line="240" w:lineRule="auto"/>
        <w:jc w:val="both"/>
        <w:rPr>
          <w:rFonts w:ascii="Times New Roman" w:hAnsi="Times New Roman"/>
          <w:sz w:val="24"/>
          <w:szCs w:val="24"/>
        </w:rPr>
      </w:pPr>
    </w:p>
    <w:p w14:paraId="3C50C499" w14:textId="77777777" w:rsidR="005D1956" w:rsidRPr="004342F0" w:rsidRDefault="005D1956" w:rsidP="00FC1D7B">
      <w:pPr>
        <w:pStyle w:val="Bullet-list"/>
        <w:spacing w:after="0" w:line="240" w:lineRule="auto"/>
        <w:jc w:val="both"/>
        <w:rPr>
          <w:rFonts w:ascii="Times New Roman" w:hAnsi="Times New Roman"/>
          <w:sz w:val="24"/>
          <w:szCs w:val="24"/>
        </w:rPr>
      </w:pPr>
    </w:p>
    <w:p w14:paraId="0192F4E8" w14:textId="77777777" w:rsidR="00320A3C" w:rsidRDefault="00D943DD" w:rsidP="00FC1D7B">
      <w:pPr>
        <w:pStyle w:val="RISheading"/>
        <w:spacing w:before="0" w:after="0" w:line="240" w:lineRule="auto"/>
        <w:jc w:val="both"/>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14:paraId="7DCA1B27" w14:textId="77777777" w:rsidR="000E1ED6" w:rsidRPr="00883F7F" w:rsidRDefault="000E1ED6" w:rsidP="00782395">
      <w:pPr>
        <w:pStyle w:val="Bullet-list"/>
        <w:spacing w:after="0" w:line="240" w:lineRule="auto"/>
        <w:ind w:left="0" w:firstLine="0"/>
        <w:jc w:val="both"/>
      </w:pPr>
    </w:p>
    <w:p w14:paraId="4D80B42F" w14:textId="77777777" w:rsidR="00FC43D1" w:rsidRDefault="007013AC"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Officials have identified</w:t>
      </w:r>
      <w:r w:rsidR="00975726">
        <w:rPr>
          <w:rFonts w:ascii="Times New Roman" w:hAnsi="Times New Roman"/>
          <w:sz w:val="24"/>
          <w:szCs w:val="24"/>
        </w:rPr>
        <w:t xml:space="preserve"> three options to address the problem:</w:t>
      </w:r>
    </w:p>
    <w:p w14:paraId="5D8D4E9B" w14:textId="77777777" w:rsidR="00975726" w:rsidRDefault="00975726" w:rsidP="00FC1D7B">
      <w:pPr>
        <w:pStyle w:val="Bullet-list"/>
        <w:spacing w:after="0" w:line="240" w:lineRule="auto"/>
        <w:ind w:left="0" w:firstLine="0"/>
        <w:jc w:val="both"/>
        <w:rPr>
          <w:rFonts w:ascii="Times New Roman" w:hAnsi="Times New Roman"/>
          <w:sz w:val="24"/>
          <w:szCs w:val="24"/>
        </w:rPr>
      </w:pPr>
    </w:p>
    <w:p w14:paraId="110D80DB" w14:textId="77777777" w:rsidR="00975726" w:rsidRDefault="00782395"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Option 1: t</w:t>
      </w:r>
      <w:r w:rsidR="00975726">
        <w:rPr>
          <w:rFonts w:ascii="Times New Roman" w:hAnsi="Times New Roman"/>
          <w:sz w:val="24"/>
          <w:szCs w:val="24"/>
        </w:rPr>
        <w:t>he status quo</w:t>
      </w:r>
    </w:p>
    <w:p w14:paraId="4E14FE4A" w14:textId="77777777" w:rsidR="00975726" w:rsidRDefault="00782395"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Option 2: r</w:t>
      </w:r>
      <w:r w:rsidR="00975726">
        <w:rPr>
          <w:rFonts w:ascii="Times New Roman" w:hAnsi="Times New Roman"/>
          <w:sz w:val="24"/>
          <w:szCs w:val="24"/>
        </w:rPr>
        <w:t>emove the 30 June 2009 requirement from the determination provision</w:t>
      </w:r>
    </w:p>
    <w:p w14:paraId="166C4795" w14:textId="77777777" w:rsidR="00975726" w:rsidRDefault="00782395"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Option </w:t>
      </w:r>
      <w:r w:rsidR="007F349D">
        <w:rPr>
          <w:rFonts w:ascii="Times New Roman" w:hAnsi="Times New Roman"/>
          <w:sz w:val="24"/>
          <w:szCs w:val="24"/>
        </w:rPr>
        <w:t>3</w:t>
      </w:r>
      <w:r>
        <w:rPr>
          <w:rFonts w:ascii="Times New Roman" w:hAnsi="Times New Roman"/>
          <w:sz w:val="24"/>
          <w:szCs w:val="24"/>
        </w:rPr>
        <w:t>: i</w:t>
      </w:r>
      <w:r w:rsidR="007F349D">
        <w:rPr>
          <w:rFonts w:ascii="Times New Roman" w:hAnsi="Times New Roman"/>
          <w:sz w:val="24"/>
          <w:szCs w:val="24"/>
        </w:rPr>
        <w:t>ntroduce rules that extend the active business test to</w:t>
      </w:r>
      <w:r w:rsidR="00975726">
        <w:rPr>
          <w:rFonts w:ascii="Times New Roman" w:hAnsi="Times New Roman"/>
          <w:sz w:val="24"/>
          <w:szCs w:val="24"/>
        </w:rPr>
        <w:t xml:space="preserve"> financial institutions</w:t>
      </w:r>
      <w:r w:rsidR="006F5472">
        <w:rPr>
          <w:rFonts w:ascii="Times New Roman" w:hAnsi="Times New Roman"/>
          <w:sz w:val="24"/>
          <w:szCs w:val="24"/>
        </w:rPr>
        <w:t>, including insurance companies</w:t>
      </w:r>
      <w:r w:rsidR="00B552BF">
        <w:rPr>
          <w:rFonts w:ascii="Times New Roman" w:hAnsi="Times New Roman"/>
          <w:sz w:val="24"/>
          <w:szCs w:val="24"/>
        </w:rPr>
        <w:t>.</w:t>
      </w:r>
    </w:p>
    <w:p w14:paraId="5302EBC8" w14:textId="77777777" w:rsidR="00EE15E5" w:rsidRDefault="00EE15E5" w:rsidP="00FC1D7B">
      <w:pPr>
        <w:pStyle w:val="Bullet-list"/>
        <w:spacing w:after="0" w:line="240" w:lineRule="auto"/>
        <w:ind w:left="0" w:firstLine="0"/>
        <w:jc w:val="both"/>
        <w:rPr>
          <w:rFonts w:ascii="Times New Roman" w:hAnsi="Times New Roman"/>
          <w:sz w:val="24"/>
          <w:szCs w:val="24"/>
        </w:rPr>
      </w:pPr>
    </w:p>
    <w:p w14:paraId="321C2A87" w14:textId="77777777" w:rsidR="00EE15E5" w:rsidRDefault="00EE15E5"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There are no social, environmental or cultural impacts associated with</w:t>
      </w:r>
      <w:r w:rsidR="00B00EEB">
        <w:rPr>
          <w:rFonts w:ascii="Times New Roman" w:hAnsi="Times New Roman"/>
          <w:sz w:val="24"/>
          <w:szCs w:val="24"/>
        </w:rPr>
        <w:t xml:space="preserve"> any of the identified options.</w:t>
      </w:r>
    </w:p>
    <w:p w14:paraId="7D9852D5" w14:textId="77777777" w:rsidR="00EE15E5" w:rsidRPr="004342F0" w:rsidRDefault="00EE15E5" w:rsidP="00FC1D7B">
      <w:pPr>
        <w:pStyle w:val="Bullet-list"/>
        <w:spacing w:after="0" w:line="240" w:lineRule="auto"/>
        <w:jc w:val="both"/>
        <w:rPr>
          <w:rFonts w:ascii="Times New Roman" w:hAnsi="Times New Roman"/>
          <w:sz w:val="24"/>
          <w:szCs w:val="24"/>
        </w:rPr>
      </w:pPr>
    </w:p>
    <w:p w14:paraId="57AEB4C2" w14:textId="77777777" w:rsidR="00FC43D1" w:rsidRDefault="00FC43D1" w:rsidP="00FC1D7B">
      <w:pPr>
        <w:pStyle w:val="Bullet-list"/>
        <w:spacing w:after="0" w:line="240" w:lineRule="auto"/>
        <w:ind w:left="0" w:firstLine="0"/>
        <w:jc w:val="both"/>
        <w:rPr>
          <w:rFonts w:ascii="Times New Roman" w:hAnsi="Times New Roman"/>
          <w:sz w:val="24"/>
          <w:szCs w:val="24"/>
        </w:rPr>
      </w:pPr>
    </w:p>
    <w:p w14:paraId="64594839" w14:textId="77777777" w:rsidR="005D1956" w:rsidRPr="00782395" w:rsidRDefault="005D1956" w:rsidP="00FC1D7B">
      <w:pPr>
        <w:pStyle w:val="Bullet-list"/>
        <w:spacing w:after="0" w:line="240" w:lineRule="auto"/>
        <w:ind w:left="0" w:firstLine="0"/>
        <w:jc w:val="both"/>
        <w:rPr>
          <w:rFonts w:ascii="Times New Roman" w:hAnsi="Times New Roman"/>
          <w:b/>
          <w:sz w:val="24"/>
          <w:szCs w:val="24"/>
        </w:rPr>
      </w:pPr>
      <w:r w:rsidRPr="00782395">
        <w:rPr>
          <w:rFonts w:ascii="Times New Roman" w:hAnsi="Times New Roman"/>
          <w:b/>
          <w:sz w:val="24"/>
          <w:szCs w:val="24"/>
        </w:rPr>
        <w:t>Option 1</w:t>
      </w:r>
    </w:p>
    <w:p w14:paraId="50349310" w14:textId="77777777" w:rsidR="005D1956" w:rsidRDefault="005D1956" w:rsidP="00FC1D7B">
      <w:pPr>
        <w:pStyle w:val="Bullet-list"/>
        <w:spacing w:after="0" w:line="240" w:lineRule="auto"/>
        <w:ind w:left="0" w:firstLine="0"/>
        <w:jc w:val="both"/>
        <w:rPr>
          <w:rFonts w:ascii="Times New Roman" w:hAnsi="Times New Roman"/>
          <w:sz w:val="24"/>
          <w:szCs w:val="24"/>
        </w:rPr>
      </w:pPr>
    </w:p>
    <w:p w14:paraId="0BFABD49" w14:textId="3C4D58FA" w:rsidR="005D1956" w:rsidRDefault="005D1956"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would maintain the status quo.  CFCs that were </w:t>
      </w:r>
      <w:r w:rsidR="007F349D">
        <w:rPr>
          <w:rFonts w:ascii="Times New Roman" w:hAnsi="Times New Roman"/>
          <w:sz w:val="24"/>
          <w:szCs w:val="24"/>
        </w:rPr>
        <w:t>controlled by a New Zealan</w:t>
      </w:r>
      <w:r w:rsidR="007013AC">
        <w:rPr>
          <w:rFonts w:ascii="Times New Roman" w:hAnsi="Times New Roman"/>
          <w:sz w:val="24"/>
          <w:szCs w:val="24"/>
        </w:rPr>
        <w:t>d resident and operating</w:t>
      </w:r>
      <w:r w:rsidR="007F349D">
        <w:rPr>
          <w:rFonts w:ascii="Times New Roman" w:hAnsi="Times New Roman"/>
          <w:sz w:val="24"/>
          <w:szCs w:val="24"/>
        </w:rPr>
        <w:t xml:space="preserve"> </w:t>
      </w:r>
      <w:r w:rsidR="00227232">
        <w:rPr>
          <w:rFonts w:ascii="Times New Roman" w:hAnsi="Times New Roman"/>
          <w:sz w:val="24"/>
          <w:szCs w:val="24"/>
        </w:rPr>
        <w:t xml:space="preserve">an </w:t>
      </w:r>
      <w:r w:rsidR="007F349D">
        <w:rPr>
          <w:rFonts w:ascii="Times New Roman" w:hAnsi="Times New Roman"/>
          <w:sz w:val="24"/>
          <w:szCs w:val="24"/>
        </w:rPr>
        <w:t>insurance business in their countr</w:t>
      </w:r>
      <w:r w:rsidR="007B26AA">
        <w:rPr>
          <w:rFonts w:ascii="Times New Roman" w:hAnsi="Times New Roman"/>
          <w:sz w:val="24"/>
          <w:szCs w:val="24"/>
        </w:rPr>
        <w:t>y</w:t>
      </w:r>
      <w:r w:rsidR="007F349D">
        <w:rPr>
          <w:rFonts w:ascii="Times New Roman" w:hAnsi="Times New Roman"/>
          <w:sz w:val="24"/>
          <w:szCs w:val="24"/>
        </w:rPr>
        <w:t xml:space="preserve"> of residence</w:t>
      </w:r>
      <w:r>
        <w:rPr>
          <w:rFonts w:ascii="Times New Roman" w:hAnsi="Times New Roman"/>
          <w:sz w:val="24"/>
          <w:szCs w:val="24"/>
        </w:rPr>
        <w:t xml:space="preserve"> before 30 June 2009 would continue to be </w:t>
      </w:r>
      <w:r w:rsidR="007F349D">
        <w:rPr>
          <w:rFonts w:ascii="Times New Roman" w:hAnsi="Times New Roman"/>
          <w:sz w:val="24"/>
          <w:szCs w:val="24"/>
        </w:rPr>
        <w:t xml:space="preserve">eligible </w:t>
      </w:r>
      <w:r>
        <w:rPr>
          <w:rFonts w:ascii="Times New Roman" w:hAnsi="Times New Roman"/>
          <w:sz w:val="24"/>
          <w:szCs w:val="24"/>
        </w:rPr>
        <w:t>for a determination</w:t>
      </w:r>
      <w:r w:rsidR="007F349D">
        <w:rPr>
          <w:rFonts w:ascii="Times New Roman" w:hAnsi="Times New Roman"/>
          <w:sz w:val="24"/>
          <w:szCs w:val="24"/>
        </w:rPr>
        <w:t>,</w:t>
      </w:r>
      <w:r>
        <w:rPr>
          <w:rFonts w:ascii="Times New Roman" w:hAnsi="Times New Roman"/>
          <w:sz w:val="24"/>
          <w:szCs w:val="24"/>
        </w:rPr>
        <w:t xml:space="preserve"> but no </w:t>
      </w:r>
      <w:r w:rsidR="00466A00">
        <w:rPr>
          <w:rFonts w:ascii="Times New Roman" w:hAnsi="Times New Roman"/>
          <w:sz w:val="24"/>
          <w:szCs w:val="24"/>
        </w:rPr>
        <w:t xml:space="preserve">offshore </w:t>
      </w:r>
      <w:r w:rsidR="007F349D">
        <w:rPr>
          <w:rFonts w:ascii="Times New Roman" w:hAnsi="Times New Roman"/>
          <w:sz w:val="24"/>
          <w:szCs w:val="24"/>
        </w:rPr>
        <w:t xml:space="preserve">insurance businesses </w:t>
      </w:r>
      <w:r>
        <w:rPr>
          <w:rFonts w:ascii="Times New Roman" w:hAnsi="Times New Roman"/>
          <w:sz w:val="24"/>
          <w:szCs w:val="24"/>
        </w:rPr>
        <w:t xml:space="preserve">that commenced or were purchased </w:t>
      </w:r>
      <w:r w:rsidR="00073EA9">
        <w:rPr>
          <w:rFonts w:ascii="Times New Roman" w:hAnsi="Times New Roman"/>
          <w:sz w:val="24"/>
          <w:szCs w:val="24"/>
        </w:rPr>
        <w:t xml:space="preserve">by a New Zealand resident </w:t>
      </w:r>
      <w:r>
        <w:rPr>
          <w:rFonts w:ascii="Times New Roman" w:hAnsi="Times New Roman"/>
          <w:sz w:val="24"/>
          <w:szCs w:val="24"/>
        </w:rPr>
        <w:t>after this date would be eligible to apply.</w:t>
      </w:r>
    </w:p>
    <w:p w14:paraId="2D3C3F49" w14:textId="77777777" w:rsidR="005D1956" w:rsidRDefault="005D1956" w:rsidP="00FC1D7B">
      <w:pPr>
        <w:pStyle w:val="Bullet-list"/>
        <w:spacing w:after="0" w:line="240" w:lineRule="auto"/>
        <w:ind w:left="0" w:firstLine="0"/>
        <w:jc w:val="both"/>
        <w:rPr>
          <w:rFonts w:ascii="Times New Roman" w:hAnsi="Times New Roman"/>
          <w:sz w:val="24"/>
          <w:szCs w:val="24"/>
        </w:rPr>
      </w:pPr>
    </w:p>
    <w:p w14:paraId="7B549BF9" w14:textId="77777777" w:rsidR="005D1956" w:rsidRPr="00782395" w:rsidRDefault="005D1956" w:rsidP="00FC1D7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objective and criteria – option 1</w:t>
      </w:r>
    </w:p>
    <w:p w14:paraId="77F09218"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63219F9F" w14:textId="39B379B0" w:rsidR="005D1956" w:rsidRPr="00B31F90" w:rsidRDefault="00B31F90" w:rsidP="00B31F90">
      <w:pPr>
        <w:pStyle w:val="Bullet-list"/>
        <w:numPr>
          <w:ilvl w:val="0"/>
          <w:numId w:val="12"/>
        </w:numPr>
        <w:spacing w:after="0" w:line="240" w:lineRule="auto"/>
        <w:ind w:left="0" w:firstLine="0"/>
        <w:jc w:val="both"/>
        <w:rPr>
          <w:rFonts w:ascii="Times New Roman" w:hAnsi="Times New Roman"/>
          <w:sz w:val="24"/>
          <w:szCs w:val="24"/>
        </w:rPr>
      </w:pPr>
      <w:r w:rsidRPr="00B31F90">
        <w:rPr>
          <w:rFonts w:ascii="Times New Roman" w:hAnsi="Times New Roman"/>
          <w:sz w:val="24"/>
          <w:szCs w:val="24"/>
        </w:rPr>
        <w:t>The</w:t>
      </w:r>
      <w:r w:rsidR="005D1956" w:rsidRPr="00B31F90">
        <w:rPr>
          <w:rFonts w:ascii="Times New Roman" w:hAnsi="Times New Roman"/>
          <w:sz w:val="24"/>
          <w:szCs w:val="24"/>
        </w:rPr>
        <w:t xml:space="preserve"> status</w:t>
      </w:r>
      <w:r w:rsidR="005D1956">
        <w:rPr>
          <w:rFonts w:ascii="Times New Roman" w:hAnsi="Times New Roman"/>
          <w:sz w:val="24"/>
          <w:szCs w:val="24"/>
        </w:rPr>
        <w:t xml:space="preserve"> quo does not meet the </w:t>
      </w:r>
      <w:r>
        <w:rPr>
          <w:rFonts w:ascii="Times New Roman" w:hAnsi="Times New Roman"/>
          <w:sz w:val="24"/>
          <w:szCs w:val="24"/>
        </w:rPr>
        <w:t xml:space="preserve">main </w:t>
      </w:r>
      <w:r w:rsidR="005D1956">
        <w:rPr>
          <w:rFonts w:ascii="Times New Roman" w:hAnsi="Times New Roman"/>
          <w:sz w:val="24"/>
          <w:szCs w:val="24"/>
        </w:rPr>
        <w:t xml:space="preserve">objective </w:t>
      </w:r>
      <w:r>
        <w:rPr>
          <w:rFonts w:ascii="Times New Roman" w:hAnsi="Times New Roman"/>
          <w:sz w:val="24"/>
          <w:szCs w:val="24"/>
        </w:rPr>
        <w:t xml:space="preserve">because </w:t>
      </w:r>
      <w:r w:rsidR="005D1956">
        <w:rPr>
          <w:rFonts w:ascii="Times New Roman" w:hAnsi="Times New Roman"/>
          <w:sz w:val="24"/>
          <w:szCs w:val="24"/>
        </w:rPr>
        <w:t>the CFC rules</w:t>
      </w:r>
      <w:r w:rsidR="00B00EEB">
        <w:rPr>
          <w:rFonts w:ascii="Times New Roman" w:hAnsi="Times New Roman"/>
          <w:sz w:val="24"/>
          <w:szCs w:val="24"/>
        </w:rPr>
        <w:t xml:space="preserve"> (and in particular, the active business test)</w:t>
      </w:r>
      <w:r w:rsidR="005D1956">
        <w:rPr>
          <w:rFonts w:ascii="Times New Roman" w:hAnsi="Times New Roman"/>
          <w:sz w:val="24"/>
          <w:szCs w:val="24"/>
        </w:rPr>
        <w:t xml:space="preserve"> </w:t>
      </w:r>
      <w:r w:rsidR="007B26AA">
        <w:rPr>
          <w:rFonts w:ascii="Times New Roman" w:hAnsi="Times New Roman"/>
          <w:sz w:val="24"/>
          <w:szCs w:val="24"/>
        </w:rPr>
        <w:t xml:space="preserve">do </w:t>
      </w:r>
      <w:r w:rsidR="005D1956">
        <w:rPr>
          <w:rFonts w:ascii="Times New Roman" w:hAnsi="Times New Roman"/>
          <w:sz w:val="24"/>
          <w:szCs w:val="24"/>
        </w:rPr>
        <w:t>not apply e</w:t>
      </w:r>
      <w:r w:rsidR="00B00EEB">
        <w:rPr>
          <w:rFonts w:ascii="Times New Roman" w:hAnsi="Times New Roman"/>
          <w:sz w:val="24"/>
          <w:szCs w:val="24"/>
        </w:rPr>
        <w:t xml:space="preserve">qually to New Zealand-resident insurance companies </w:t>
      </w:r>
      <w:r w:rsidR="005D1956">
        <w:rPr>
          <w:rFonts w:ascii="Times New Roman" w:hAnsi="Times New Roman"/>
          <w:sz w:val="24"/>
          <w:szCs w:val="24"/>
        </w:rPr>
        <w:t xml:space="preserve">with </w:t>
      </w:r>
      <w:r w:rsidR="00B00EEB">
        <w:rPr>
          <w:rFonts w:ascii="Times New Roman" w:hAnsi="Times New Roman"/>
          <w:sz w:val="24"/>
          <w:szCs w:val="24"/>
        </w:rPr>
        <w:t>interests in offshore insurance businesses.</w:t>
      </w:r>
      <w:r w:rsidR="00A60B98">
        <w:rPr>
          <w:rFonts w:ascii="Times New Roman" w:hAnsi="Times New Roman"/>
          <w:sz w:val="24"/>
          <w:szCs w:val="24"/>
        </w:rPr>
        <w:t xml:space="preserve"> </w:t>
      </w:r>
      <w:r w:rsidR="007B26AA">
        <w:rPr>
          <w:rFonts w:ascii="Times New Roman" w:hAnsi="Times New Roman"/>
          <w:sz w:val="24"/>
          <w:szCs w:val="24"/>
        </w:rPr>
        <w:t xml:space="preserve"> </w:t>
      </w:r>
      <w:r w:rsidR="00A60B98">
        <w:rPr>
          <w:rFonts w:ascii="Times New Roman" w:hAnsi="Times New Roman"/>
          <w:sz w:val="24"/>
          <w:szCs w:val="24"/>
        </w:rPr>
        <w:t xml:space="preserve">The active business test </w:t>
      </w:r>
      <w:r w:rsidR="007B26AA">
        <w:rPr>
          <w:rFonts w:ascii="Times New Roman" w:hAnsi="Times New Roman"/>
          <w:sz w:val="24"/>
          <w:szCs w:val="24"/>
        </w:rPr>
        <w:t xml:space="preserve">does </w:t>
      </w:r>
      <w:r w:rsidR="00A60B98">
        <w:rPr>
          <w:rFonts w:ascii="Times New Roman" w:hAnsi="Times New Roman"/>
          <w:sz w:val="24"/>
          <w:szCs w:val="24"/>
        </w:rPr>
        <w:t>not apply to some insurance businesses solely because of when they were acquired</w:t>
      </w:r>
      <w:r w:rsidR="00227232">
        <w:rPr>
          <w:rFonts w:ascii="Times New Roman" w:hAnsi="Times New Roman"/>
          <w:sz w:val="24"/>
          <w:szCs w:val="24"/>
        </w:rPr>
        <w:t xml:space="preserve"> or established</w:t>
      </w:r>
      <w:r w:rsidR="00A60B98">
        <w:rPr>
          <w:rFonts w:ascii="Times New Roman" w:hAnsi="Times New Roman"/>
          <w:sz w:val="24"/>
          <w:szCs w:val="24"/>
        </w:rPr>
        <w:t xml:space="preserve"> rather than whether or not they are actually active businesses.</w:t>
      </w:r>
      <w:r w:rsidR="005D1956">
        <w:rPr>
          <w:rFonts w:ascii="Times New Roman" w:hAnsi="Times New Roman"/>
          <w:sz w:val="24"/>
          <w:szCs w:val="24"/>
        </w:rPr>
        <w:t xml:space="preserve"> </w:t>
      </w:r>
      <w:r w:rsidR="007B26AA">
        <w:rPr>
          <w:rFonts w:ascii="Times New Roman" w:hAnsi="Times New Roman"/>
          <w:sz w:val="24"/>
          <w:szCs w:val="24"/>
        </w:rPr>
        <w:t xml:space="preserve"> </w:t>
      </w:r>
      <w:r w:rsidR="005D1956">
        <w:rPr>
          <w:rFonts w:ascii="Times New Roman" w:hAnsi="Times New Roman"/>
          <w:sz w:val="24"/>
          <w:szCs w:val="24"/>
        </w:rPr>
        <w:t>This result</w:t>
      </w:r>
      <w:r w:rsidR="007B26AA">
        <w:rPr>
          <w:rFonts w:ascii="Times New Roman" w:hAnsi="Times New Roman"/>
          <w:sz w:val="24"/>
          <w:szCs w:val="24"/>
        </w:rPr>
        <w:t>s</w:t>
      </w:r>
      <w:r w:rsidR="005D1956">
        <w:rPr>
          <w:rFonts w:ascii="Times New Roman" w:hAnsi="Times New Roman"/>
          <w:sz w:val="24"/>
          <w:szCs w:val="24"/>
        </w:rPr>
        <w:t xml:space="preserve"> in some New Zealand </w:t>
      </w:r>
      <w:r w:rsidR="005D1956" w:rsidRPr="00B31F90">
        <w:rPr>
          <w:rFonts w:ascii="Times New Roman" w:hAnsi="Times New Roman"/>
          <w:sz w:val="24"/>
          <w:szCs w:val="24"/>
        </w:rPr>
        <w:t xml:space="preserve">residents with an insurance </w:t>
      </w:r>
      <w:r w:rsidR="006A1097">
        <w:rPr>
          <w:rFonts w:ascii="Times New Roman" w:hAnsi="Times New Roman"/>
          <w:sz w:val="24"/>
          <w:szCs w:val="24"/>
        </w:rPr>
        <w:t>business</w:t>
      </w:r>
      <w:r w:rsidR="005D1956" w:rsidRPr="00B31F90">
        <w:rPr>
          <w:rFonts w:ascii="Times New Roman" w:hAnsi="Times New Roman"/>
          <w:sz w:val="24"/>
          <w:szCs w:val="24"/>
        </w:rPr>
        <w:t xml:space="preserve"> CFC having attributed foreign income while others </w:t>
      </w:r>
      <w:r w:rsidR="00B644F1">
        <w:rPr>
          <w:rFonts w:ascii="Times New Roman" w:hAnsi="Times New Roman"/>
          <w:sz w:val="24"/>
          <w:szCs w:val="24"/>
        </w:rPr>
        <w:t xml:space="preserve">do </w:t>
      </w:r>
      <w:r w:rsidR="005D1956" w:rsidRPr="00B31F90">
        <w:rPr>
          <w:rFonts w:ascii="Times New Roman" w:hAnsi="Times New Roman"/>
          <w:sz w:val="24"/>
          <w:szCs w:val="24"/>
        </w:rPr>
        <w:t>not.</w:t>
      </w:r>
    </w:p>
    <w:p w14:paraId="1BF58F2D" w14:textId="77777777" w:rsidR="00932A1A" w:rsidRPr="00B31F90" w:rsidRDefault="00932A1A" w:rsidP="00B31F90">
      <w:pPr>
        <w:pStyle w:val="Bullet-list"/>
        <w:spacing w:after="0" w:line="240" w:lineRule="auto"/>
        <w:ind w:left="0" w:firstLine="0"/>
        <w:jc w:val="both"/>
        <w:rPr>
          <w:rFonts w:ascii="Times New Roman" w:hAnsi="Times New Roman"/>
          <w:sz w:val="24"/>
          <w:szCs w:val="24"/>
        </w:rPr>
      </w:pPr>
    </w:p>
    <w:p w14:paraId="368260DA" w14:textId="77777777" w:rsidR="00932A1A" w:rsidRPr="00B31F90" w:rsidRDefault="00B31F90" w:rsidP="00B31F90">
      <w:pPr>
        <w:pStyle w:val="Bullet-list"/>
        <w:numPr>
          <w:ilvl w:val="0"/>
          <w:numId w:val="12"/>
        </w:numPr>
        <w:spacing w:after="0" w:line="240" w:lineRule="auto"/>
        <w:ind w:left="0" w:firstLine="0"/>
        <w:jc w:val="both"/>
        <w:rPr>
          <w:rFonts w:ascii="Times New Roman" w:hAnsi="Times New Roman"/>
          <w:sz w:val="24"/>
          <w:szCs w:val="24"/>
        </w:rPr>
      </w:pPr>
      <w:r w:rsidRPr="00B31F90">
        <w:rPr>
          <w:rFonts w:ascii="Times New Roman" w:hAnsi="Times New Roman"/>
          <w:sz w:val="24"/>
          <w:szCs w:val="24"/>
        </w:rPr>
        <w:t>This option</w:t>
      </w:r>
      <w:r w:rsidR="00B00EEB" w:rsidRPr="00B31F90">
        <w:rPr>
          <w:rFonts w:ascii="Times New Roman" w:hAnsi="Times New Roman"/>
          <w:sz w:val="24"/>
          <w:szCs w:val="24"/>
        </w:rPr>
        <w:t xml:space="preserve"> is not fair and equitable</w:t>
      </w:r>
      <w:r w:rsidR="00A60B98" w:rsidRPr="00B31F90">
        <w:rPr>
          <w:rFonts w:ascii="Times New Roman" w:hAnsi="Times New Roman"/>
          <w:sz w:val="24"/>
          <w:szCs w:val="24"/>
        </w:rPr>
        <w:t xml:space="preserve"> as it creates an uneven playing field between two </w:t>
      </w:r>
      <w:r w:rsidR="00D04A6F">
        <w:rPr>
          <w:rFonts w:ascii="Times New Roman" w:hAnsi="Times New Roman"/>
          <w:sz w:val="24"/>
          <w:szCs w:val="24"/>
        </w:rPr>
        <w:t xml:space="preserve">otherwise </w:t>
      </w:r>
      <w:r w:rsidR="00A60B98" w:rsidRPr="00B31F90">
        <w:rPr>
          <w:rFonts w:ascii="Times New Roman" w:hAnsi="Times New Roman"/>
          <w:sz w:val="24"/>
          <w:szCs w:val="24"/>
        </w:rPr>
        <w:t xml:space="preserve">identical insurance businesses where </w:t>
      </w:r>
      <w:r w:rsidR="00ED5639" w:rsidRPr="00B31F90">
        <w:rPr>
          <w:rFonts w:ascii="Times New Roman" w:hAnsi="Times New Roman"/>
          <w:sz w:val="24"/>
          <w:szCs w:val="24"/>
        </w:rPr>
        <w:t xml:space="preserve">the only difference is when the two businesses were acquired.  In the most extreme case, one day could be the difference between </w:t>
      </w:r>
      <w:r w:rsidR="007451F5" w:rsidRPr="00B31F90">
        <w:rPr>
          <w:rFonts w:ascii="Times New Roman" w:hAnsi="Times New Roman"/>
          <w:sz w:val="24"/>
          <w:szCs w:val="24"/>
        </w:rPr>
        <w:t>being eligible for an active business test determination and</w:t>
      </w:r>
      <w:r w:rsidR="00A0238F" w:rsidRPr="00B31F90">
        <w:rPr>
          <w:rFonts w:ascii="Times New Roman" w:hAnsi="Times New Roman"/>
          <w:sz w:val="24"/>
          <w:szCs w:val="24"/>
        </w:rPr>
        <w:t xml:space="preserve"> being required to calculate, attribute, and pay New Zealand tax on CFC income.</w:t>
      </w:r>
      <w:r w:rsidR="00ED5639" w:rsidRPr="00B31F90">
        <w:rPr>
          <w:rFonts w:ascii="Times New Roman" w:hAnsi="Times New Roman"/>
          <w:sz w:val="24"/>
          <w:szCs w:val="24"/>
        </w:rPr>
        <w:t xml:space="preserve"> </w:t>
      </w:r>
    </w:p>
    <w:p w14:paraId="42CA6B2E" w14:textId="77777777" w:rsidR="00932A1A" w:rsidRPr="00B31F90" w:rsidRDefault="00932A1A" w:rsidP="00B31F90">
      <w:pPr>
        <w:pStyle w:val="ListParagraph"/>
        <w:ind w:left="0"/>
        <w:rPr>
          <w:rFonts w:ascii="Times New Roman" w:hAnsi="Times New Roman"/>
          <w:sz w:val="24"/>
          <w:szCs w:val="24"/>
        </w:rPr>
      </w:pPr>
    </w:p>
    <w:p w14:paraId="6A7E9156" w14:textId="76BE3E3F" w:rsidR="00932A1A" w:rsidRDefault="00B31F90" w:rsidP="00B31F90">
      <w:pPr>
        <w:pStyle w:val="Bullet-list"/>
        <w:numPr>
          <w:ilvl w:val="0"/>
          <w:numId w:val="12"/>
        </w:numPr>
        <w:spacing w:after="0" w:line="240" w:lineRule="auto"/>
        <w:ind w:left="0" w:firstLine="0"/>
        <w:jc w:val="both"/>
        <w:rPr>
          <w:rFonts w:ascii="Times New Roman" w:hAnsi="Times New Roman"/>
          <w:sz w:val="24"/>
          <w:szCs w:val="24"/>
        </w:rPr>
      </w:pPr>
      <w:r w:rsidRPr="00B31F90">
        <w:rPr>
          <w:rFonts w:ascii="Times New Roman" w:hAnsi="Times New Roman"/>
          <w:sz w:val="24"/>
          <w:szCs w:val="24"/>
        </w:rPr>
        <w:t>This</w:t>
      </w:r>
      <w:r w:rsidR="00A0238F" w:rsidRPr="00B31F90">
        <w:rPr>
          <w:rFonts w:ascii="Times New Roman" w:hAnsi="Times New Roman"/>
          <w:sz w:val="24"/>
          <w:szCs w:val="24"/>
        </w:rPr>
        <w:t xml:space="preserve"> option does</w:t>
      </w:r>
      <w:r w:rsidR="00A0238F">
        <w:rPr>
          <w:rFonts w:ascii="Times New Roman" w:hAnsi="Times New Roman"/>
          <w:sz w:val="24"/>
          <w:szCs w:val="24"/>
        </w:rPr>
        <w:t xml:space="preserve"> not minimise compliance impacts on taxpayers nor administrative costs borne by Inland Revenue.  This is because this option imposes significant compliance costs on active insurance businesses simply because they were acquired </w:t>
      </w:r>
      <w:r w:rsidR="00227232">
        <w:rPr>
          <w:rFonts w:ascii="Times New Roman" w:hAnsi="Times New Roman"/>
          <w:sz w:val="24"/>
          <w:szCs w:val="24"/>
        </w:rPr>
        <w:t xml:space="preserve">or established </w:t>
      </w:r>
      <w:r w:rsidR="00A0238F">
        <w:rPr>
          <w:rFonts w:ascii="Times New Roman" w:hAnsi="Times New Roman"/>
          <w:sz w:val="24"/>
          <w:szCs w:val="24"/>
        </w:rPr>
        <w:t>after 30 June 2009</w:t>
      </w:r>
      <w:r w:rsidR="00D72028">
        <w:rPr>
          <w:rFonts w:ascii="Times New Roman" w:hAnsi="Times New Roman"/>
          <w:sz w:val="24"/>
          <w:szCs w:val="24"/>
        </w:rPr>
        <w:t>, but there are also administrative costs in considering determination applications for those that were acquired</w:t>
      </w:r>
      <w:r w:rsidR="00227232">
        <w:rPr>
          <w:rFonts w:ascii="Times New Roman" w:hAnsi="Times New Roman"/>
          <w:sz w:val="24"/>
          <w:szCs w:val="24"/>
        </w:rPr>
        <w:t xml:space="preserve"> or established</w:t>
      </w:r>
      <w:r w:rsidR="00D72028">
        <w:rPr>
          <w:rFonts w:ascii="Times New Roman" w:hAnsi="Times New Roman"/>
          <w:sz w:val="24"/>
          <w:szCs w:val="24"/>
        </w:rPr>
        <w:t xml:space="preserve"> </w:t>
      </w:r>
      <w:r w:rsidR="00F155A2">
        <w:rPr>
          <w:rFonts w:ascii="Times New Roman" w:hAnsi="Times New Roman"/>
          <w:sz w:val="24"/>
          <w:szCs w:val="24"/>
        </w:rPr>
        <w:t xml:space="preserve">before </w:t>
      </w:r>
      <w:r w:rsidR="00D72028">
        <w:rPr>
          <w:rFonts w:ascii="Times New Roman" w:hAnsi="Times New Roman"/>
          <w:sz w:val="24"/>
          <w:szCs w:val="24"/>
        </w:rPr>
        <w:t>30 June 2009.</w:t>
      </w:r>
    </w:p>
    <w:p w14:paraId="149A70FA" w14:textId="77777777" w:rsidR="00932A1A" w:rsidRDefault="00932A1A" w:rsidP="00B31F90">
      <w:pPr>
        <w:pStyle w:val="ListParagraph"/>
        <w:ind w:left="0"/>
        <w:rPr>
          <w:rFonts w:ascii="Times New Roman" w:hAnsi="Times New Roman"/>
          <w:sz w:val="24"/>
          <w:szCs w:val="24"/>
        </w:rPr>
      </w:pPr>
    </w:p>
    <w:p w14:paraId="03ECED68" w14:textId="77777777" w:rsidR="00932A1A" w:rsidRDefault="00932A1A" w:rsidP="00782395">
      <w:pPr>
        <w:pStyle w:val="ListParagraph"/>
        <w:ind w:left="0"/>
        <w:rPr>
          <w:rFonts w:ascii="Times New Roman" w:hAnsi="Times New Roman"/>
          <w:sz w:val="24"/>
          <w:szCs w:val="24"/>
        </w:rPr>
      </w:pPr>
    </w:p>
    <w:p w14:paraId="335C664E" w14:textId="77777777" w:rsidR="00932A1A" w:rsidRPr="00782395" w:rsidRDefault="00932A1A" w:rsidP="00FC1D7B">
      <w:pPr>
        <w:pStyle w:val="Bullet-list"/>
        <w:spacing w:after="0" w:line="240" w:lineRule="auto"/>
        <w:jc w:val="both"/>
        <w:rPr>
          <w:rFonts w:ascii="Times New Roman" w:hAnsi="Times New Roman"/>
          <w:b/>
          <w:sz w:val="24"/>
          <w:szCs w:val="24"/>
        </w:rPr>
      </w:pPr>
      <w:r w:rsidRPr="00782395">
        <w:rPr>
          <w:rFonts w:ascii="Times New Roman" w:hAnsi="Times New Roman"/>
          <w:b/>
          <w:sz w:val="24"/>
          <w:szCs w:val="24"/>
        </w:rPr>
        <w:t>Option 2</w:t>
      </w:r>
    </w:p>
    <w:p w14:paraId="7ACD88A9" w14:textId="77777777" w:rsidR="00932A1A" w:rsidRDefault="00932A1A" w:rsidP="00FC1D7B">
      <w:pPr>
        <w:pStyle w:val="Bullet-list"/>
        <w:spacing w:after="0" w:line="240" w:lineRule="auto"/>
        <w:jc w:val="both"/>
        <w:rPr>
          <w:rFonts w:ascii="Times New Roman" w:hAnsi="Times New Roman"/>
          <w:b/>
          <w:i/>
          <w:sz w:val="24"/>
          <w:szCs w:val="24"/>
        </w:rPr>
      </w:pPr>
    </w:p>
    <w:p w14:paraId="3A00C2CA" w14:textId="77777777" w:rsidR="00932A1A" w:rsidRDefault="00932A1A"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would retain the ability for insurance companies to apply for </w:t>
      </w:r>
      <w:r w:rsidR="00D72028">
        <w:rPr>
          <w:rFonts w:ascii="Times New Roman" w:hAnsi="Times New Roman"/>
          <w:sz w:val="24"/>
          <w:szCs w:val="24"/>
        </w:rPr>
        <w:t xml:space="preserve">an active business test determination </w:t>
      </w:r>
      <w:r w:rsidR="00083E06">
        <w:rPr>
          <w:rFonts w:ascii="Times New Roman" w:hAnsi="Times New Roman"/>
          <w:sz w:val="24"/>
          <w:szCs w:val="24"/>
        </w:rPr>
        <w:t xml:space="preserve">in relation to an offshore active insurance CFC </w:t>
      </w:r>
      <w:r w:rsidR="00D72028">
        <w:rPr>
          <w:rFonts w:ascii="Times New Roman" w:hAnsi="Times New Roman"/>
          <w:sz w:val="24"/>
          <w:szCs w:val="24"/>
        </w:rPr>
        <w:t>under section 91AAQ,</w:t>
      </w:r>
      <w:r>
        <w:rPr>
          <w:rFonts w:ascii="Times New Roman" w:hAnsi="Times New Roman"/>
          <w:sz w:val="24"/>
          <w:szCs w:val="24"/>
        </w:rPr>
        <w:t xml:space="preserve"> but would remove the </w:t>
      </w:r>
      <w:r w:rsidR="00D72028">
        <w:rPr>
          <w:rFonts w:ascii="Times New Roman" w:hAnsi="Times New Roman"/>
          <w:sz w:val="24"/>
          <w:szCs w:val="24"/>
        </w:rPr>
        <w:t xml:space="preserve">requirement that the active insurance business </w:t>
      </w:r>
      <w:r w:rsidR="0027018A">
        <w:rPr>
          <w:rFonts w:ascii="Times New Roman" w:hAnsi="Times New Roman"/>
          <w:sz w:val="24"/>
          <w:szCs w:val="24"/>
        </w:rPr>
        <w:t xml:space="preserve">must be owned by a New Zealand resident </w:t>
      </w:r>
      <w:r w:rsidR="00F155A2">
        <w:rPr>
          <w:rFonts w:ascii="Times New Roman" w:hAnsi="Times New Roman"/>
          <w:sz w:val="24"/>
          <w:szCs w:val="24"/>
        </w:rPr>
        <w:t xml:space="preserve">before </w:t>
      </w:r>
      <w:r w:rsidR="0027018A">
        <w:rPr>
          <w:rFonts w:ascii="Times New Roman" w:hAnsi="Times New Roman"/>
          <w:sz w:val="24"/>
          <w:szCs w:val="24"/>
        </w:rPr>
        <w:t>30 June 2009.</w:t>
      </w:r>
    </w:p>
    <w:p w14:paraId="4A3DA1EA"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39796261" w14:textId="77777777" w:rsidR="00932A1A" w:rsidRPr="00782395" w:rsidRDefault="00932A1A" w:rsidP="00FC1D7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objective and criteria – option 2</w:t>
      </w:r>
    </w:p>
    <w:p w14:paraId="00BFEAF3"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5DA5193C" w14:textId="77777777" w:rsidR="00932A1A" w:rsidRDefault="00932A1A"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meets the main objective </w:t>
      </w:r>
      <w:r w:rsidR="00ED5639">
        <w:rPr>
          <w:rFonts w:ascii="Times New Roman" w:hAnsi="Times New Roman"/>
          <w:sz w:val="24"/>
          <w:szCs w:val="24"/>
        </w:rPr>
        <w:t>because the CFC rules would apply equally to New Zealand-resident insurance companies with interests in offshore insurance companies</w:t>
      </w:r>
      <w:r w:rsidR="00BD6538">
        <w:rPr>
          <w:rFonts w:ascii="Times New Roman" w:hAnsi="Times New Roman"/>
          <w:sz w:val="24"/>
          <w:szCs w:val="24"/>
        </w:rPr>
        <w:t>, as long as they meet the requirements for being an active insurance business.  This means that active insurance business</w:t>
      </w:r>
      <w:r w:rsidR="0032463B">
        <w:rPr>
          <w:rFonts w:ascii="Times New Roman" w:hAnsi="Times New Roman"/>
          <w:sz w:val="24"/>
          <w:szCs w:val="24"/>
        </w:rPr>
        <w:t>es</w:t>
      </w:r>
      <w:r w:rsidR="00BD6538">
        <w:rPr>
          <w:rFonts w:ascii="Times New Roman" w:hAnsi="Times New Roman"/>
          <w:sz w:val="24"/>
          <w:szCs w:val="24"/>
        </w:rPr>
        <w:t xml:space="preserve"> </w:t>
      </w:r>
      <w:r w:rsidR="00473301">
        <w:rPr>
          <w:rFonts w:ascii="Times New Roman" w:hAnsi="Times New Roman"/>
          <w:sz w:val="24"/>
          <w:szCs w:val="24"/>
        </w:rPr>
        <w:t xml:space="preserve">would </w:t>
      </w:r>
      <w:r w:rsidR="00BD6538">
        <w:rPr>
          <w:rFonts w:ascii="Times New Roman" w:hAnsi="Times New Roman"/>
          <w:sz w:val="24"/>
          <w:szCs w:val="24"/>
        </w:rPr>
        <w:t xml:space="preserve">be able to pass the active business test and </w:t>
      </w:r>
      <w:r w:rsidR="00473301">
        <w:rPr>
          <w:rFonts w:ascii="Times New Roman" w:hAnsi="Times New Roman"/>
          <w:sz w:val="24"/>
          <w:szCs w:val="24"/>
        </w:rPr>
        <w:t xml:space="preserve">would </w:t>
      </w:r>
      <w:r w:rsidR="00BD6538">
        <w:rPr>
          <w:rFonts w:ascii="Times New Roman" w:hAnsi="Times New Roman"/>
          <w:sz w:val="24"/>
          <w:szCs w:val="24"/>
        </w:rPr>
        <w:t xml:space="preserve">not be required to attribute income under the </w:t>
      </w:r>
      <w:r w:rsidR="0032463B">
        <w:rPr>
          <w:rFonts w:ascii="Times New Roman" w:hAnsi="Times New Roman"/>
          <w:sz w:val="24"/>
          <w:szCs w:val="24"/>
        </w:rPr>
        <w:t>CFC rules, which conceptually is the correct result under the CFC rules.</w:t>
      </w:r>
    </w:p>
    <w:p w14:paraId="21C5EC0A" w14:textId="77777777" w:rsidR="00932A1A" w:rsidRDefault="00932A1A" w:rsidP="00B31F90">
      <w:pPr>
        <w:pStyle w:val="Bullet-list"/>
        <w:spacing w:after="0" w:line="240" w:lineRule="auto"/>
        <w:ind w:left="0" w:firstLine="0"/>
        <w:jc w:val="both"/>
        <w:rPr>
          <w:rFonts w:ascii="Times New Roman" w:hAnsi="Times New Roman"/>
          <w:sz w:val="24"/>
          <w:szCs w:val="24"/>
        </w:rPr>
      </w:pPr>
    </w:p>
    <w:p w14:paraId="40FD0763" w14:textId="35E336CE" w:rsidR="00932A1A" w:rsidRDefault="00B31F90"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terms of fairness and equity, </w:t>
      </w:r>
      <w:r w:rsidR="00174910">
        <w:rPr>
          <w:rFonts w:ascii="Times New Roman" w:hAnsi="Times New Roman"/>
          <w:sz w:val="24"/>
          <w:szCs w:val="24"/>
        </w:rPr>
        <w:t xml:space="preserve">this option is an improvement on the status quo because New Zealand insurers </w:t>
      </w:r>
      <w:r w:rsidR="006A1097">
        <w:rPr>
          <w:rFonts w:ascii="Times New Roman" w:hAnsi="Times New Roman"/>
          <w:sz w:val="24"/>
          <w:szCs w:val="24"/>
        </w:rPr>
        <w:t>that control</w:t>
      </w:r>
      <w:r w:rsidR="00174910">
        <w:rPr>
          <w:rFonts w:ascii="Times New Roman" w:hAnsi="Times New Roman"/>
          <w:sz w:val="24"/>
          <w:szCs w:val="24"/>
        </w:rPr>
        <w:t xml:space="preserve"> off</w:t>
      </w:r>
      <w:r w:rsidR="00607ADB">
        <w:rPr>
          <w:rFonts w:ascii="Times New Roman" w:hAnsi="Times New Roman"/>
          <w:sz w:val="24"/>
          <w:szCs w:val="24"/>
        </w:rPr>
        <w:t xml:space="preserve">shore active insurance companies </w:t>
      </w:r>
      <w:r w:rsidR="00782395">
        <w:rPr>
          <w:rFonts w:ascii="Times New Roman" w:hAnsi="Times New Roman"/>
          <w:sz w:val="24"/>
          <w:szCs w:val="24"/>
        </w:rPr>
        <w:t xml:space="preserve">would </w:t>
      </w:r>
      <w:r w:rsidR="00607ADB">
        <w:rPr>
          <w:rFonts w:ascii="Times New Roman" w:hAnsi="Times New Roman"/>
          <w:sz w:val="24"/>
          <w:szCs w:val="24"/>
        </w:rPr>
        <w:t>be able to pass the active business test (by applying for a determination)</w:t>
      </w:r>
      <w:r w:rsidR="00174910">
        <w:rPr>
          <w:rFonts w:ascii="Times New Roman" w:hAnsi="Times New Roman"/>
          <w:sz w:val="24"/>
          <w:szCs w:val="24"/>
        </w:rPr>
        <w:t xml:space="preserve"> </w:t>
      </w:r>
      <w:r w:rsidR="006A44A2">
        <w:rPr>
          <w:rFonts w:ascii="Times New Roman" w:hAnsi="Times New Roman"/>
          <w:sz w:val="24"/>
          <w:szCs w:val="24"/>
        </w:rPr>
        <w:t>regardless of when those offshore insurance companies were acquired</w:t>
      </w:r>
      <w:r w:rsidR="00227232">
        <w:rPr>
          <w:rFonts w:ascii="Times New Roman" w:hAnsi="Times New Roman"/>
          <w:sz w:val="24"/>
          <w:szCs w:val="24"/>
        </w:rPr>
        <w:t xml:space="preserve"> or established</w:t>
      </w:r>
      <w:r w:rsidR="006A44A2">
        <w:rPr>
          <w:rFonts w:ascii="Times New Roman" w:hAnsi="Times New Roman"/>
          <w:sz w:val="24"/>
          <w:szCs w:val="24"/>
        </w:rPr>
        <w:t>.  This creates a level playing field in terms of compliance c</w:t>
      </w:r>
      <w:r w:rsidR="009A6D30">
        <w:rPr>
          <w:rFonts w:ascii="Times New Roman" w:hAnsi="Times New Roman"/>
          <w:sz w:val="24"/>
          <w:szCs w:val="24"/>
        </w:rPr>
        <w:t>osts and tax costs for</w:t>
      </w:r>
      <w:r w:rsidR="00560AAF">
        <w:rPr>
          <w:rFonts w:ascii="Times New Roman" w:hAnsi="Times New Roman"/>
          <w:sz w:val="24"/>
          <w:szCs w:val="24"/>
        </w:rPr>
        <w:t xml:space="preserve"> New Zealand licensed insurers with active insurance subsidiaries overseas.</w:t>
      </w:r>
      <w:r w:rsidR="00B73E5F">
        <w:rPr>
          <w:rFonts w:ascii="Times New Roman" w:hAnsi="Times New Roman"/>
          <w:sz w:val="24"/>
          <w:szCs w:val="24"/>
        </w:rPr>
        <w:t xml:space="preserve">  It also creates a more level playing field for those with active insurance businesses when compared with more generic active businesses.</w:t>
      </w:r>
    </w:p>
    <w:p w14:paraId="46112CF1" w14:textId="77777777" w:rsidR="00932A1A" w:rsidRDefault="00932A1A" w:rsidP="00B31F90">
      <w:pPr>
        <w:pStyle w:val="ListParagraph"/>
        <w:ind w:left="0"/>
        <w:rPr>
          <w:rFonts w:ascii="Times New Roman" w:hAnsi="Times New Roman"/>
          <w:sz w:val="24"/>
          <w:szCs w:val="24"/>
        </w:rPr>
      </w:pPr>
    </w:p>
    <w:p w14:paraId="1BF5FA70" w14:textId="77777777" w:rsidR="00932A1A" w:rsidRPr="00B31F90" w:rsidRDefault="00D04A6F"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Regarding the efficiency of compliance and administration, t</w:t>
      </w:r>
      <w:r w:rsidR="00B31F90">
        <w:rPr>
          <w:rFonts w:ascii="Times New Roman" w:hAnsi="Times New Roman"/>
          <w:sz w:val="24"/>
          <w:szCs w:val="24"/>
        </w:rPr>
        <w:t xml:space="preserve">his </w:t>
      </w:r>
      <w:r w:rsidR="00ED5639">
        <w:rPr>
          <w:rFonts w:ascii="Times New Roman" w:hAnsi="Times New Roman"/>
          <w:sz w:val="24"/>
          <w:szCs w:val="24"/>
        </w:rPr>
        <w:t xml:space="preserve">option is an improvement on the status quo because it reduces the compliance costs faced by active insurance businesses. </w:t>
      </w:r>
      <w:r w:rsidR="00531B9B">
        <w:rPr>
          <w:rFonts w:ascii="Times New Roman" w:hAnsi="Times New Roman"/>
          <w:sz w:val="24"/>
          <w:szCs w:val="24"/>
        </w:rPr>
        <w:t xml:space="preserve">Although </w:t>
      </w:r>
      <w:r w:rsidR="00ED5639">
        <w:rPr>
          <w:rFonts w:ascii="Times New Roman" w:hAnsi="Times New Roman"/>
          <w:sz w:val="24"/>
          <w:szCs w:val="24"/>
        </w:rPr>
        <w:t>there are some</w:t>
      </w:r>
      <w:r w:rsidR="00777E62">
        <w:rPr>
          <w:rFonts w:ascii="Times New Roman" w:hAnsi="Times New Roman"/>
          <w:sz w:val="24"/>
          <w:szCs w:val="24"/>
        </w:rPr>
        <w:t xml:space="preserve"> additional</w:t>
      </w:r>
      <w:r w:rsidR="00ED5639">
        <w:rPr>
          <w:rFonts w:ascii="Times New Roman" w:hAnsi="Times New Roman"/>
          <w:sz w:val="24"/>
          <w:szCs w:val="24"/>
        </w:rPr>
        <w:t xml:space="preserve"> administrative costs involved in </w:t>
      </w:r>
      <w:r w:rsidR="007451F5">
        <w:rPr>
          <w:rFonts w:ascii="Times New Roman" w:hAnsi="Times New Roman"/>
          <w:sz w:val="24"/>
          <w:szCs w:val="24"/>
        </w:rPr>
        <w:t>considering an application for an active business test determination, offici</w:t>
      </w:r>
      <w:r w:rsidR="00083E06">
        <w:rPr>
          <w:rFonts w:ascii="Times New Roman" w:hAnsi="Times New Roman"/>
          <w:sz w:val="24"/>
          <w:szCs w:val="24"/>
        </w:rPr>
        <w:t>als consider that these are outweighed by the compliance cost benefits</w:t>
      </w:r>
      <w:r w:rsidR="00BD6538">
        <w:rPr>
          <w:rFonts w:ascii="Times New Roman" w:hAnsi="Times New Roman"/>
          <w:sz w:val="24"/>
          <w:szCs w:val="24"/>
        </w:rPr>
        <w:t xml:space="preserve">.  This is because </w:t>
      </w:r>
      <w:r w:rsidR="00777E62">
        <w:rPr>
          <w:rFonts w:ascii="Times New Roman" w:hAnsi="Times New Roman"/>
          <w:sz w:val="24"/>
          <w:szCs w:val="24"/>
        </w:rPr>
        <w:t>a determination is able to be issued for more than one income year at a time and Inland Revenue already has the necessary processes in place to issue these determinations</w:t>
      </w:r>
      <w:r w:rsidR="00E623F2">
        <w:rPr>
          <w:rFonts w:ascii="Times New Roman" w:hAnsi="Times New Roman"/>
          <w:sz w:val="24"/>
          <w:szCs w:val="24"/>
        </w:rPr>
        <w:t xml:space="preserve">, so </w:t>
      </w:r>
      <w:r w:rsidR="00782395">
        <w:rPr>
          <w:rFonts w:ascii="Times New Roman" w:hAnsi="Times New Roman"/>
          <w:sz w:val="24"/>
          <w:szCs w:val="24"/>
        </w:rPr>
        <w:t xml:space="preserve">would </w:t>
      </w:r>
      <w:r w:rsidR="00E623F2">
        <w:rPr>
          <w:rFonts w:ascii="Times New Roman" w:hAnsi="Times New Roman"/>
          <w:sz w:val="24"/>
          <w:szCs w:val="24"/>
        </w:rPr>
        <w:t>be able to capitalise on existing knowledge required to consider applications.</w:t>
      </w:r>
    </w:p>
    <w:p w14:paraId="469548D8" w14:textId="77777777" w:rsidR="00932A1A" w:rsidRDefault="00932A1A" w:rsidP="00B31F90">
      <w:pPr>
        <w:pStyle w:val="Bullet-list"/>
        <w:spacing w:after="0" w:line="240" w:lineRule="auto"/>
        <w:ind w:left="0" w:firstLine="0"/>
        <w:jc w:val="both"/>
        <w:rPr>
          <w:rFonts w:ascii="Times New Roman" w:hAnsi="Times New Roman"/>
          <w:b/>
          <w:i/>
          <w:sz w:val="24"/>
          <w:szCs w:val="24"/>
        </w:rPr>
      </w:pPr>
    </w:p>
    <w:p w14:paraId="68185C1C" w14:textId="77777777" w:rsidR="00CE4D4B" w:rsidRDefault="00B31F90"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Overall, t</w:t>
      </w:r>
      <w:r w:rsidR="00932A1A">
        <w:rPr>
          <w:rFonts w:ascii="Times New Roman" w:hAnsi="Times New Roman"/>
          <w:sz w:val="24"/>
          <w:szCs w:val="24"/>
        </w:rPr>
        <w:t>his option represents an improvement on the status quo.</w:t>
      </w:r>
      <w:r w:rsidR="00B168FE">
        <w:rPr>
          <w:rFonts w:ascii="Times New Roman" w:hAnsi="Times New Roman"/>
          <w:sz w:val="24"/>
          <w:szCs w:val="24"/>
        </w:rPr>
        <w:t xml:space="preserve">  </w:t>
      </w:r>
      <w:r w:rsidR="00531B9B">
        <w:rPr>
          <w:rFonts w:ascii="Times New Roman" w:hAnsi="Times New Roman"/>
          <w:sz w:val="24"/>
          <w:szCs w:val="24"/>
        </w:rPr>
        <w:t xml:space="preserve">Although </w:t>
      </w:r>
      <w:r w:rsidR="00B168FE">
        <w:rPr>
          <w:rFonts w:ascii="Times New Roman" w:hAnsi="Times New Roman"/>
          <w:sz w:val="24"/>
          <w:szCs w:val="24"/>
        </w:rPr>
        <w:t>this option is not necessarily a larger improvement on the status quo than option 3 it is</w:t>
      </w:r>
      <w:r w:rsidR="00E623F2">
        <w:rPr>
          <w:rFonts w:ascii="Times New Roman" w:hAnsi="Times New Roman"/>
          <w:sz w:val="24"/>
          <w:szCs w:val="24"/>
        </w:rPr>
        <w:t xml:space="preserve"> still </w:t>
      </w:r>
      <w:r w:rsidR="00B168FE">
        <w:rPr>
          <w:rFonts w:ascii="Times New Roman" w:hAnsi="Times New Roman"/>
          <w:sz w:val="24"/>
          <w:szCs w:val="24"/>
        </w:rPr>
        <w:t xml:space="preserve">an improvement over the status quo and can be </w:t>
      </w:r>
      <w:r w:rsidR="00531B9B">
        <w:rPr>
          <w:rFonts w:ascii="Times New Roman" w:hAnsi="Times New Roman"/>
          <w:sz w:val="24"/>
          <w:szCs w:val="24"/>
        </w:rPr>
        <w:t xml:space="preserve">executed in the light of current </w:t>
      </w:r>
      <w:r w:rsidR="00B168FE">
        <w:rPr>
          <w:rFonts w:ascii="Times New Roman" w:hAnsi="Times New Roman"/>
          <w:sz w:val="24"/>
          <w:szCs w:val="24"/>
        </w:rPr>
        <w:t xml:space="preserve">resource </w:t>
      </w:r>
      <w:r w:rsidR="00531B9B">
        <w:rPr>
          <w:rFonts w:ascii="Times New Roman" w:hAnsi="Times New Roman"/>
          <w:sz w:val="24"/>
          <w:szCs w:val="24"/>
        </w:rPr>
        <w:t>constraints</w:t>
      </w:r>
      <w:r w:rsidR="00B168FE">
        <w:rPr>
          <w:rFonts w:ascii="Times New Roman" w:hAnsi="Times New Roman"/>
          <w:sz w:val="24"/>
          <w:szCs w:val="24"/>
        </w:rPr>
        <w:t>.  Further</w:t>
      </w:r>
      <w:r w:rsidR="00531B9B">
        <w:rPr>
          <w:rFonts w:ascii="Times New Roman" w:hAnsi="Times New Roman"/>
          <w:sz w:val="24"/>
          <w:szCs w:val="24"/>
        </w:rPr>
        <w:t>more,</w:t>
      </w:r>
      <w:r w:rsidR="00B168FE">
        <w:rPr>
          <w:rFonts w:ascii="Times New Roman" w:hAnsi="Times New Roman"/>
          <w:sz w:val="24"/>
          <w:szCs w:val="24"/>
        </w:rPr>
        <w:t xml:space="preserve"> implementing option 2 </w:t>
      </w:r>
      <w:r w:rsidR="00782395">
        <w:rPr>
          <w:rFonts w:ascii="Times New Roman" w:hAnsi="Times New Roman"/>
          <w:sz w:val="24"/>
          <w:szCs w:val="24"/>
        </w:rPr>
        <w:t xml:space="preserve">would </w:t>
      </w:r>
      <w:r w:rsidR="00B168FE">
        <w:rPr>
          <w:rFonts w:ascii="Times New Roman" w:hAnsi="Times New Roman"/>
          <w:sz w:val="24"/>
          <w:szCs w:val="24"/>
        </w:rPr>
        <w:t xml:space="preserve">not prevent option 3 </w:t>
      </w:r>
      <w:r w:rsidR="00E623F2">
        <w:rPr>
          <w:rFonts w:ascii="Times New Roman" w:hAnsi="Times New Roman"/>
          <w:sz w:val="24"/>
          <w:szCs w:val="24"/>
        </w:rPr>
        <w:t xml:space="preserve">from </w:t>
      </w:r>
      <w:r w:rsidR="00B168FE">
        <w:rPr>
          <w:rFonts w:ascii="Times New Roman" w:hAnsi="Times New Roman"/>
          <w:sz w:val="24"/>
          <w:szCs w:val="24"/>
        </w:rPr>
        <w:t xml:space="preserve">being considered or implemented at a later date if it is found to be necessary and resource constraints </w:t>
      </w:r>
      <w:r w:rsidR="00531B9B">
        <w:rPr>
          <w:rFonts w:ascii="Times New Roman" w:hAnsi="Times New Roman"/>
          <w:sz w:val="24"/>
          <w:szCs w:val="24"/>
        </w:rPr>
        <w:t>permit</w:t>
      </w:r>
      <w:r w:rsidR="00B168FE">
        <w:rPr>
          <w:rFonts w:ascii="Times New Roman" w:hAnsi="Times New Roman"/>
          <w:sz w:val="24"/>
          <w:szCs w:val="24"/>
        </w:rPr>
        <w:t>.</w:t>
      </w:r>
      <w:r w:rsidR="00981B08">
        <w:rPr>
          <w:rFonts w:ascii="Times New Roman" w:hAnsi="Times New Roman"/>
          <w:sz w:val="24"/>
          <w:szCs w:val="24"/>
        </w:rPr>
        <w:t xml:space="preserve"> </w:t>
      </w:r>
    </w:p>
    <w:p w14:paraId="09928F9E" w14:textId="77777777" w:rsidR="00777E62" w:rsidRDefault="00777E62" w:rsidP="00B31F90">
      <w:pPr>
        <w:pStyle w:val="Bullet-list"/>
        <w:spacing w:after="0" w:line="240" w:lineRule="auto"/>
        <w:ind w:left="0" w:firstLine="0"/>
        <w:jc w:val="both"/>
        <w:rPr>
          <w:rFonts w:ascii="Times New Roman" w:hAnsi="Times New Roman"/>
          <w:sz w:val="24"/>
          <w:szCs w:val="24"/>
        </w:rPr>
      </w:pPr>
    </w:p>
    <w:p w14:paraId="569C5406" w14:textId="77777777" w:rsidR="00932A1A" w:rsidRPr="00782395" w:rsidRDefault="00932A1A" w:rsidP="00782395">
      <w:pPr>
        <w:pStyle w:val="Bullet-list"/>
        <w:spacing w:after="0" w:line="240" w:lineRule="auto"/>
        <w:ind w:left="0" w:firstLine="0"/>
        <w:jc w:val="both"/>
        <w:rPr>
          <w:rFonts w:ascii="Times New Roman" w:hAnsi="Times New Roman"/>
          <w:sz w:val="24"/>
          <w:szCs w:val="24"/>
        </w:rPr>
      </w:pPr>
    </w:p>
    <w:p w14:paraId="465049CA" w14:textId="77777777" w:rsidR="00932A1A" w:rsidRPr="00782395" w:rsidRDefault="00932A1A" w:rsidP="00FC1D7B">
      <w:pPr>
        <w:pStyle w:val="Bullet-list"/>
        <w:spacing w:after="0" w:line="240" w:lineRule="auto"/>
        <w:jc w:val="both"/>
        <w:rPr>
          <w:rFonts w:ascii="Times New Roman" w:hAnsi="Times New Roman"/>
          <w:b/>
          <w:sz w:val="24"/>
          <w:szCs w:val="24"/>
        </w:rPr>
      </w:pPr>
      <w:r w:rsidRPr="00782395">
        <w:rPr>
          <w:rFonts w:ascii="Times New Roman" w:hAnsi="Times New Roman"/>
          <w:b/>
          <w:sz w:val="24"/>
          <w:szCs w:val="24"/>
        </w:rPr>
        <w:t>Option 3</w:t>
      </w:r>
    </w:p>
    <w:p w14:paraId="112B9B89" w14:textId="77777777" w:rsidR="00932A1A" w:rsidRDefault="00932A1A" w:rsidP="00FC1D7B">
      <w:pPr>
        <w:pStyle w:val="Bullet-list"/>
        <w:spacing w:after="0" w:line="240" w:lineRule="auto"/>
        <w:jc w:val="both"/>
        <w:rPr>
          <w:rFonts w:ascii="Times New Roman" w:hAnsi="Times New Roman"/>
          <w:b/>
          <w:i/>
          <w:sz w:val="24"/>
          <w:szCs w:val="24"/>
        </w:rPr>
      </w:pPr>
    </w:p>
    <w:p w14:paraId="50FA7F61" w14:textId="68BA45F7" w:rsidR="00932A1A" w:rsidRDefault="00932A1A" w:rsidP="00FF1B0F">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This option would introduce spec</w:t>
      </w:r>
      <w:r w:rsidR="00777E62">
        <w:rPr>
          <w:rFonts w:ascii="Times New Roman" w:hAnsi="Times New Roman"/>
          <w:sz w:val="24"/>
          <w:szCs w:val="24"/>
        </w:rPr>
        <w:t xml:space="preserve">ific </w:t>
      </w:r>
      <w:r>
        <w:rPr>
          <w:rFonts w:ascii="Times New Roman" w:hAnsi="Times New Roman"/>
          <w:sz w:val="24"/>
          <w:szCs w:val="24"/>
        </w:rPr>
        <w:t>rules for financial institutions</w:t>
      </w:r>
      <w:r w:rsidR="00777E62">
        <w:rPr>
          <w:rFonts w:ascii="Times New Roman" w:hAnsi="Times New Roman"/>
          <w:sz w:val="24"/>
          <w:szCs w:val="24"/>
        </w:rPr>
        <w:t xml:space="preserve"> (including insurance companies) to enable them to pass the active business test</w:t>
      </w:r>
      <w:r w:rsidR="00E623F2">
        <w:rPr>
          <w:rFonts w:ascii="Times New Roman" w:hAnsi="Times New Roman"/>
          <w:sz w:val="24"/>
          <w:szCs w:val="24"/>
        </w:rPr>
        <w:t xml:space="preserve"> </w:t>
      </w:r>
      <w:r w:rsidR="00531B9B">
        <w:rPr>
          <w:rFonts w:ascii="Times New Roman" w:hAnsi="Times New Roman"/>
          <w:sz w:val="24"/>
          <w:szCs w:val="24"/>
        </w:rPr>
        <w:t xml:space="preserve">when </w:t>
      </w:r>
      <w:r w:rsidR="00E623F2">
        <w:rPr>
          <w:rFonts w:ascii="Times New Roman" w:hAnsi="Times New Roman"/>
          <w:sz w:val="24"/>
          <w:szCs w:val="24"/>
        </w:rPr>
        <w:t xml:space="preserve">their CFCs are engaged in an active business.  This </w:t>
      </w:r>
      <w:r w:rsidR="00560AAF">
        <w:rPr>
          <w:rFonts w:ascii="Times New Roman" w:hAnsi="Times New Roman"/>
          <w:sz w:val="24"/>
          <w:szCs w:val="24"/>
        </w:rPr>
        <w:t>option would require the significant use of resources to design effective rules that are able to distinguish between active income and passive income for financial institutions</w:t>
      </w:r>
      <w:r w:rsidR="006A1097">
        <w:rPr>
          <w:rFonts w:ascii="Times New Roman" w:hAnsi="Times New Roman"/>
          <w:sz w:val="24"/>
          <w:szCs w:val="24"/>
        </w:rPr>
        <w:t>,</w:t>
      </w:r>
      <w:r w:rsidR="00560AAF">
        <w:rPr>
          <w:rFonts w:ascii="Times New Roman" w:hAnsi="Times New Roman"/>
          <w:sz w:val="24"/>
          <w:szCs w:val="24"/>
        </w:rPr>
        <w:t xml:space="preserve"> which is inherently more difficult than for other types of businesses.</w:t>
      </w:r>
      <w:r w:rsidR="009A6D30">
        <w:rPr>
          <w:rFonts w:ascii="Times New Roman" w:hAnsi="Times New Roman"/>
          <w:sz w:val="24"/>
          <w:szCs w:val="24"/>
        </w:rPr>
        <w:t xml:space="preserve">  In addition, the determinati</w:t>
      </w:r>
      <w:r w:rsidR="00D04A6F">
        <w:rPr>
          <w:rFonts w:ascii="Times New Roman" w:hAnsi="Times New Roman"/>
          <w:sz w:val="24"/>
          <w:szCs w:val="24"/>
        </w:rPr>
        <w:t xml:space="preserve">on facility in section 91AAQ </w:t>
      </w:r>
      <w:r w:rsidR="009A6D30">
        <w:rPr>
          <w:rFonts w:ascii="Times New Roman" w:hAnsi="Times New Roman"/>
          <w:sz w:val="24"/>
          <w:szCs w:val="24"/>
        </w:rPr>
        <w:t>would no longer be required, so would be removed altogether under this option.</w:t>
      </w:r>
      <w:r w:rsidR="00560AAF">
        <w:rPr>
          <w:rFonts w:ascii="Times New Roman" w:hAnsi="Times New Roman"/>
          <w:sz w:val="24"/>
          <w:szCs w:val="24"/>
        </w:rPr>
        <w:t xml:space="preserve"> </w:t>
      </w:r>
    </w:p>
    <w:p w14:paraId="34F59750"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4CBAA131" w14:textId="77777777" w:rsidR="00932A1A" w:rsidRPr="00782395" w:rsidRDefault="00932A1A" w:rsidP="00FC1D7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objective and criteria – option 3</w:t>
      </w:r>
    </w:p>
    <w:p w14:paraId="2EC6B96E"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18C488A1" w14:textId="77777777" w:rsidR="00932A1A" w:rsidRDefault="00932A1A" w:rsidP="00FF1B0F">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This option meets the main objective becaus</w:t>
      </w:r>
      <w:r w:rsidR="00E623F2">
        <w:rPr>
          <w:rFonts w:ascii="Times New Roman" w:hAnsi="Times New Roman"/>
          <w:sz w:val="24"/>
          <w:szCs w:val="24"/>
        </w:rPr>
        <w:t xml:space="preserve">e </w:t>
      </w:r>
      <w:r w:rsidR="00D04A6F">
        <w:rPr>
          <w:rFonts w:ascii="Times New Roman" w:hAnsi="Times New Roman"/>
          <w:sz w:val="24"/>
          <w:szCs w:val="24"/>
        </w:rPr>
        <w:t xml:space="preserve">it </w:t>
      </w:r>
      <w:r w:rsidR="00FF1B0F">
        <w:rPr>
          <w:rFonts w:ascii="Times New Roman" w:hAnsi="Times New Roman"/>
          <w:sz w:val="24"/>
          <w:szCs w:val="24"/>
        </w:rPr>
        <w:t>would enable</w:t>
      </w:r>
      <w:r w:rsidR="009A6D30">
        <w:rPr>
          <w:rFonts w:ascii="Times New Roman" w:hAnsi="Times New Roman"/>
          <w:sz w:val="24"/>
          <w:szCs w:val="24"/>
        </w:rPr>
        <w:t xml:space="preserve"> the CFC rules to correctly attribute income to the New Zealand shareholder </w:t>
      </w:r>
      <w:r w:rsidR="00531B9B">
        <w:rPr>
          <w:rFonts w:ascii="Times New Roman" w:hAnsi="Times New Roman"/>
          <w:sz w:val="24"/>
          <w:szCs w:val="24"/>
        </w:rPr>
        <w:t xml:space="preserve">when </w:t>
      </w:r>
      <w:r w:rsidR="009A6D30">
        <w:rPr>
          <w:rFonts w:ascii="Times New Roman" w:hAnsi="Times New Roman"/>
          <w:sz w:val="24"/>
          <w:szCs w:val="24"/>
        </w:rPr>
        <w:t>the CFC is an</w:t>
      </w:r>
      <w:r w:rsidR="00FF1B0F">
        <w:rPr>
          <w:rFonts w:ascii="Times New Roman" w:hAnsi="Times New Roman"/>
          <w:sz w:val="24"/>
          <w:szCs w:val="24"/>
        </w:rPr>
        <w:t xml:space="preserve"> active</w:t>
      </w:r>
      <w:r w:rsidR="009A6D30">
        <w:rPr>
          <w:rFonts w:ascii="Times New Roman" w:hAnsi="Times New Roman"/>
          <w:sz w:val="24"/>
          <w:szCs w:val="24"/>
        </w:rPr>
        <w:t xml:space="preserve"> insurance company or another type of financial institution. </w:t>
      </w:r>
    </w:p>
    <w:p w14:paraId="46BA4FE5" w14:textId="77777777" w:rsidR="00932A1A" w:rsidRDefault="00932A1A" w:rsidP="00FF1B0F">
      <w:pPr>
        <w:pStyle w:val="Bullet-list"/>
        <w:spacing w:after="0" w:line="240" w:lineRule="auto"/>
        <w:ind w:left="0" w:firstLine="0"/>
        <w:jc w:val="both"/>
        <w:rPr>
          <w:rFonts w:ascii="Times New Roman" w:hAnsi="Times New Roman"/>
          <w:sz w:val="24"/>
          <w:szCs w:val="24"/>
        </w:rPr>
      </w:pPr>
    </w:p>
    <w:p w14:paraId="7497E200" w14:textId="77777777" w:rsidR="00932A1A" w:rsidRDefault="00FF1B0F" w:rsidP="00FF1B0F">
      <w:pPr>
        <w:pStyle w:val="Bullet-list"/>
        <w:numPr>
          <w:ilvl w:val="0"/>
          <w:numId w:val="12"/>
        </w:numPr>
        <w:spacing w:after="0" w:line="240" w:lineRule="auto"/>
        <w:ind w:left="0" w:firstLine="0"/>
        <w:jc w:val="both"/>
        <w:rPr>
          <w:rFonts w:ascii="Times New Roman" w:hAnsi="Times New Roman"/>
          <w:sz w:val="24"/>
          <w:szCs w:val="24"/>
        </w:rPr>
      </w:pPr>
      <w:r w:rsidRPr="00FF1B0F">
        <w:rPr>
          <w:rFonts w:ascii="Times New Roman" w:hAnsi="Times New Roman"/>
          <w:sz w:val="24"/>
          <w:szCs w:val="24"/>
        </w:rPr>
        <w:t>This</w:t>
      </w:r>
      <w:r w:rsidR="009A6D30" w:rsidRPr="00FF1B0F">
        <w:rPr>
          <w:rFonts w:ascii="Times New Roman" w:hAnsi="Times New Roman"/>
          <w:sz w:val="24"/>
          <w:szCs w:val="24"/>
        </w:rPr>
        <w:t xml:space="preserve"> option</w:t>
      </w:r>
      <w:r w:rsidR="009A6D30">
        <w:rPr>
          <w:rFonts w:ascii="Times New Roman" w:hAnsi="Times New Roman"/>
          <w:sz w:val="24"/>
          <w:szCs w:val="24"/>
        </w:rPr>
        <w:t xml:space="preserve"> is a</w:t>
      </w:r>
      <w:r>
        <w:rPr>
          <w:rFonts w:ascii="Times New Roman" w:hAnsi="Times New Roman"/>
          <w:sz w:val="24"/>
          <w:szCs w:val="24"/>
        </w:rPr>
        <w:t xml:space="preserve"> significant</w:t>
      </w:r>
      <w:r w:rsidR="009A6D30">
        <w:rPr>
          <w:rFonts w:ascii="Times New Roman" w:hAnsi="Times New Roman"/>
          <w:sz w:val="24"/>
          <w:szCs w:val="24"/>
        </w:rPr>
        <w:t xml:space="preserve"> improvement on the status quo</w:t>
      </w:r>
      <w:r>
        <w:rPr>
          <w:rFonts w:ascii="Times New Roman" w:hAnsi="Times New Roman"/>
          <w:sz w:val="24"/>
          <w:szCs w:val="24"/>
        </w:rPr>
        <w:t xml:space="preserve"> in terms of fairness and equity.</w:t>
      </w:r>
      <w:r w:rsidR="009A6D30">
        <w:rPr>
          <w:rFonts w:ascii="Times New Roman" w:hAnsi="Times New Roman"/>
          <w:sz w:val="24"/>
          <w:szCs w:val="24"/>
        </w:rPr>
        <w:t xml:space="preserve"> </w:t>
      </w:r>
      <w:r w:rsidR="00531B9B">
        <w:rPr>
          <w:rFonts w:ascii="Times New Roman" w:hAnsi="Times New Roman"/>
          <w:sz w:val="24"/>
          <w:szCs w:val="24"/>
        </w:rPr>
        <w:t xml:space="preserve"> </w:t>
      </w:r>
      <w:r>
        <w:rPr>
          <w:rFonts w:ascii="Times New Roman" w:hAnsi="Times New Roman"/>
          <w:sz w:val="24"/>
          <w:szCs w:val="24"/>
        </w:rPr>
        <w:t>Like</w:t>
      </w:r>
      <w:r w:rsidR="00607ADB">
        <w:rPr>
          <w:rFonts w:ascii="Times New Roman" w:hAnsi="Times New Roman"/>
          <w:sz w:val="24"/>
          <w:szCs w:val="24"/>
        </w:rPr>
        <w:t xml:space="preserve"> option 2,</w:t>
      </w:r>
      <w:r w:rsidR="009A6D30">
        <w:rPr>
          <w:rFonts w:ascii="Times New Roman" w:hAnsi="Times New Roman"/>
          <w:sz w:val="24"/>
          <w:szCs w:val="24"/>
        </w:rPr>
        <w:t xml:space="preserve"> New Zealand insurers with interests in offshore active insurance companies</w:t>
      </w:r>
      <w:r w:rsidR="00607ADB">
        <w:rPr>
          <w:rFonts w:ascii="Times New Roman" w:hAnsi="Times New Roman"/>
          <w:sz w:val="24"/>
          <w:szCs w:val="24"/>
        </w:rPr>
        <w:t xml:space="preserve"> </w:t>
      </w:r>
      <w:r w:rsidR="00782395">
        <w:rPr>
          <w:rFonts w:ascii="Times New Roman" w:hAnsi="Times New Roman"/>
          <w:sz w:val="24"/>
          <w:szCs w:val="24"/>
        </w:rPr>
        <w:t xml:space="preserve">would </w:t>
      </w:r>
      <w:r w:rsidR="00607ADB">
        <w:rPr>
          <w:rFonts w:ascii="Times New Roman" w:hAnsi="Times New Roman"/>
          <w:sz w:val="24"/>
          <w:szCs w:val="24"/>
        </w:rPr>
        <w:t>be able to pass the active business test</w:t>
      </w:r>
      <w:r w:rsidR="009A6D30">
        <w:rPr>
          <w:rFonts w:ascii="Times New Roman" w:hAnsi="Times New Roman"/>
          <w:sz w:val="24"/>
          <w:szCs w:val="24"/>
        </w:rPr>
        <w:t xml:space="preserve"> regardless of when those offshore insurance companies were acquired.</w:t>
      </w:r>
      <w:r w:rsidR="0023149E">
        <w:rPr>
          <w:rFonts w:ascii="Times New Roman" w:hAnsi="Times New Roman"/>
          <w:sz w:val="24"/>
          <w:szCs w:val="24"/>
        </w:rPr>
        <w:t xml:space="preserve">  This creates a level playing field in terms of compliance c</w:t>
      </w:r>
      <w:r w:rsidR="0050603B">
        <w:rPr>
          <w:rFonts w:ascii="Times New Roman" w:hAnsi="Times New Roman"/>
          <w:sz w:val="24"/>
          <w:szCs w:val="24"/>
        </w:rPr>
        <w:t>osts and tax costs borne between</w:t>
      </w:r>
      <w:r w:rsidR="0023149E">
        <w:rPr>
          <w:rFonts w:ascii="Times New Roman" w:hAnsi="Times New Roman"/>
          <w:sz w:val="24"/>
          <w:szCs w:val="24"/>
        </w:rPr>
        <w:t xml:space="preserve"> New Zealand licensed insurers with active insurance subsidiaries overseas.  </w:t>
      </w:r>
      <w:r w:rsidR="008D082A">
        <w:rPr>
          <w:rFonts w:ascii="Times New Roman" w:hAnsi="Times New Roman"/>
          <w:sz w:val="24"/>
          <w:szCs w:val="24"/>
        </w:rPr>
        <w:t>Option 3</w:t>
      </w:r>
      <w:r w:rsidR="00607ADB">
        <w:rPr>
          <w:rFonts w:ascii="Times New Roman" w:hAnsi="Times New Roman"/>
          <w:sz w:val="24"/>
          <w:szCs w:val="24"/>
        </w:rPr>
        <w:t xml:space="preserve"> </w:t>
      </w:r>
      <w:r w:rsidR="0023149E">
        <w:rPr>
          <w:rFonts w:ascii="Times New Roman" w:hAnsi="Times New Roman"/>
          <w:sz w:val="24"/>
          <w:szCs w:val="24"/>
        </w:rPr>
        <w:t xml:space="preserve">is </w:t>
      </w:r>
      <w:r w:rsidR="008D082A">
        <w:rPr>
          <w:rFonts w:ascii="Times New Roman" w:hAnsi="Times New Roman"/>
          <w:sz w:val="24"/>
          <w:szCs w:val="24"/>
        </w:rPr>
        <w:t xml:space="preserve">also </w:t>
      </w:r>
      <w:r w:rsidR="0023149E">
        <w:rPr>
          <w:rFonts w:ascii="Times New Roman" w:hAnsi="Times New Roman"/>
          <w:sz w:val="24"/>
          <w:szCs w:val="24"/>
        </w:rPr>
        <w:t xml:space="preserve">an improvement on the status quo for other types of financial institutions </w:t>
      </w:r>
      <w:r w:rsidR="0050603B">
        <w:rPr>
          <w:rFonts w:ascii="Times New Roman" w:hAnsi="Times New Roman"/>
          <w:sz w:val="24"/>
          <w:szCs w:val="24"/>
        </w:rPr>
        <w:t xml:space="preserve">with active offshore businesses, as it would no longer matter what type of business the active business is </w:t>
      </w:r>
      <w:r w:rsidR="008D082A">
        <w:rPr>
          <w:rFonts w:ascii="Times New Roman" w:hAnsi="Times New Roman"/>
          <w:sz w:val="24"/>
          <w:szCs w:val="24"/>
        </w:rPr>
        <w:t>to</w:t>
      </w:r>
      <w:r w:rsidR="0050603B">
        <w:rPr>
          <w:rFonts w:ascii="Times New Roman" w:hAnsi="Times New Roman"/>
          <w:sz w:val="24"/>
          <w:szCs w:val="24"/>
        </w:rPr>
        <w:t xml:space="preserve"> </w:t>
      </w:r>
      <w:r w:rsidR="008D082A">
        <w:rPr>
          <w:rFonts w:ascii="Times New Roman" w:hAnsi="Times New Roman"/>
          <w:sz w:val="24"/>
          <w:szCs w:val="24"/>
        </w:rPr>
        <w:t>determine</w:t>
      </w:r>
      <w:r w:rsidR="00B73E5F">
        <w:rPr>
          <w:rFonts w:ascii="Times New Roman" w:hAnsi="Times New Roman"/>
          <w:sz w:val="24"/>
          <w:szCs w:val="24"/>
        </w:rPr>
        <w:t xml:space="preserve"> whether income needs to be attributed under the CFC rules.</w:t>
      </w:r>
      <w:r w:rsidR="00607ADB">
        <w:rPr>
          <w:rFonts w:ascii="Times New Roman" w:hAnsi="Times New Roman"/>
          <w:sz w:val="24"/>
          <w:szCs w:val="24"/>
        </w:rPr>
        <w:t xml:space="preserve"> </w:t>
      </w:r>
    </w:p>
    <w:p w14:paraId="01C603BA" w14:textId="77777777" w:rsidR="0023149E" w:rsidRPr="0023149E" w:rsidRDefault="0023149E" w:rsidP="00FF1B0F">
      <w:pPr>
        <w:pStyle w:val="Bullet-list"/>
        <w:spacing w:after="0" w:line="240" w:lineRule="auto"/>
        <w:ind w:left="0" w:firstLine="0"/>
        <w:jc w:val="both"/>
        <w:rPr>
          <w:rFonts w:ascii="Times New Roman" w:hAnsi="Times New Roman"/>
          <w:sz w:val="24"/>
          <w:szCs w:val="24"/>
        </w:rPr>
      </w:pPr>
    </w:p>
    <w:p w14:paraId="2489B570" w14:textId="77777777" w:rsidR="00CE3DED" w:rsidRPr="00CC58D3" w:rsidRDefault="00D04A6F" w:rsidP="008A089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Regarding the efficiency</w:t>
      </w:r>
      <w:r w:rsidR="006624D0">
        <w:rPr>
          <w:rFonts w:ascii="Times New Roman" w:hAnsi="Times New Roman"/>
          <w:sz w:val="24"/>
          <w:szCs w:val="24"/>
        </w:rPr>
        <w:t xml:space="preserve"> </w:t>
      </w:r>
      <w:r>
        <w:rPr>
          <w:rFonts w:ascii="Times New Roman" w:hAnsi="Times New Roman"/>
          <w:sz w:val="24"/>
          <w:szCs w:val="24"/>
        </w:rPr>
        <w:t>of compliance and administration</w:t>
      </w:r>
      <w:r w:rsidR="006624D0">
        <w:rPr>
          <w:rFonts w:ascii="Times New Roman" w:hAnsi="Times New Roman"/>
          <w:sz w:val="24"/>
          <w:szCs w:val="24"/>
        </w:rPr>
        <w:t>,</w:t>
      </w:r>
      <w:r w:rsidR="00F50A00">
        <w:rPr>
          <w:rFonts w:ascii="Times New Roman" w:hAnsi="Times New Roman"/>
          <w:sz w:val="24"/>
          <w:szCs w:val="24"/>
        </w:rPr>
        <w:t xml:space="preserve"> </w:t>
      </w:r>
      <w:r w:rsidR="006624D0">
        <w:rPr>
          <w:rFonts w:ascii="Times New Roman" w:hAnsi="Times New Roman"/>
          <w:sz w:val="24"/>
          <w:szCs w:val="24"/>
        </w:rPr>
        <w:t>the effect of this</w:t>
      </w:r>
      <w:r w:rsidR="00F50A00">
        <w:rPr>
          <w:rFonts w:ascii="Times New Roman" w:hAnsi="Times New Roman"/>
          <w:sz w:val="24"/>
          <w:szCs w:val="24"/>
        </w:rPr>
        <w:t xml:space="preserve"> option is mixed</w:t>
      </w:r>
      <w:r w:rsidR="006624D0">
        <w:rPr>
          <w:rFonts w:ascii="Times New Roman" w:hAnsi="Times New Roman"/>
          <w:sz w:val="24"/>
          <w:szCs w:val="24"/>
        </w:rPr>
        <w:t xml:space="preserve"> and overall, it </w:t>
      </w:r>
      <w:r w:rsidR="00CC58D3">
        <w:rPr>
          <w:rFonts w:ascii="Times New Roman" w:hAnsi="Times New Roman"/>
          <w:sz w:val="24"/>
          <w:szCs w:val="24"/>
        </w:rPr>
        <w:t>is</w:t>
      </w:r>
      <w:r w:rsidR="006624D0">
        <w:rPr>
          <w:rFonts w:ascii="Times New Roman" w:hAnsi="Times New Roman"/>
          <w:sz w:val="24"/>
          <w:szCs w:val="24"/>
        </w:rPr>
        <w:t xml:space="preserve"> a slight improvement on the status quo</w:t>
      </w:r>
      <w:r w:rsidR="00F50A00">
        <w:rPr>
          <w:rFonts w:ascii="Times New Roman" w:hAnsi="Times New Roman"/>
          <w:sz w:val="24"/>
          <w:szCs w:val="24"/>
        </w:rPr>
        <w:t xml:space="preserve">.  In terms of </w:t>
      </w:r>
      <w:r w:rsidR="00CE3DED">
        <w:rPr>
          <w:rFonts w:ascii="Times New Roman" w:hAnsi="Times New Roman"/>
          <w:sz w:val="24"/>
          <w:szCs w:val="24"/>
        </w:rPr>
        <w:t>administration costs, while it would remove the need for Inland Revenue to issue determinations, designing active business test rules for financial institutions would be a complex undertaking</w:t>
      </w:r>
      <w:r w:rsidR="00FA2DB7">
        <w:rPr>
          <w:rFonts w:ascii="Times New Roman" w:hAnsi="Times New Roman"/>
          <w:sz w:val="24"/>
          <w:szCs w:val="24"/>
        </w:rPr>
        <w:t xml:space="preserve"> and would require a significant use of resources.  </w:t>
      </w:r>
      <w:r w:rsidR="00CC58D3">
        <w:rPr>
          <w:rFonts w:ascii="Times New Roman" w:hAnsi="Times New Roman"/>
          <w:sz w:val="24"/>
          <w:szCs w:val="24"/>
        </w:rPr>
        <w:t xml:space="preserve">Specific active business test rules for financial institutions would </w:t>
      </w:r>
      <w:r w:rsidR="00D9247B">
        <w:rPr>
          <w:rFonts w:ascii="Times New Roman" w:hAnsi="Times New Roman"/>
          <w:sz w:val="24"/>
          <w:szCs w:val="24"/>
        </w:rPr>
        <w:t>naturally be complex</w:t>
      </w:r>
      <w:r w:rsidR="00CC58D3">
        <w:rPr>
          <w:rFonts w:ascii="Times New Roman" w:hAnsi="Times New Roman"/>
          <w:sz w:val="24"/>
          <w:szCs w:val="24"/>
        </w:rPr>
        <w:t xml:space="preserve">, which means that taxpayers would incur compliance costs in complying with them and these compliance costs </w:t>
      </w:r>
      <w:r w:rsidR="00E43FF0">
        <w:rPr>
          <w:rFonts w:ascii="Times New Roman" w:hAnsi="Times New Roman"/>
          <w:sz w:val="24"/>
          <w:szCs w:val="24"/>
        </w:rPr>
        <w:t>might</w:t>
      </w:r>
      <w:r w:rsidR="00CC58D3">
        <w:rPr>
          <w:rFonts w:ascii="Times New Roman" w:hAnsi="Times New Roman"/>
          <w:sz w:val="24"/>
          <w:szCs w:val="24"/>
        </w:rPr>
        <w:t xml:space="preserve"> not be substantially less than under the status quo. </w:t>
      </w:r>
    </w:p>
    <w:p w14:paraId="52024C60" w14:textId="77777777" w:rsidR="00B168FE" w:rsidRDefault="00B168FE" w:rsidP="00FF1B0F">
      <w:pPr>
        <w:pStyle w:val="Bullet-list"/>
        <w:spacing w:after="0" w:line="240" w:lineRule="auto"/>
        <w:ind w:left="0" w:firstLine="0"/>
        <w:jc w:val="both"/>
        <w:rPr>
          <w:rFonts w:ascii="Times New Roman" w:hAnsi="Times New Roman"/>
          <w:sz w:val="24"/>
          <w:szCs w:val="24"/>
        </w:rPr>
      </w:pPr>
    </w:p>
    <w:p w14:paraId="3D38E2AE" w14:textId="77777777" w:rsidR="00723702" w:rsidRDefault="00E43FF0" w:rsidP="00FF1B0F">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Although </w:t>
      </w:r>
      <w:r w:rsidR="008D082A">
        <w:rPr>
          <w:rFonts w:ascii="Times New Roman" w:hAnsi="Times New Roman"/>
          <w:sz w:val="24"/>
          <w:szCs w:val="24"/>
        </w:rPr>
        <w:t>overall</w:t>
      </w:r>
      <w:r w:rsidR="00B00EEB">
        <w:rPr>
          <w:rFonts w:ascii="Times New Roman" w:hAnsi="Times New Roman"/>
          <w:sz w:val="24"/>
          <w:szCs w:val="24"/>
        </w:rPr>
        <w:t xml:space="preserve"> this option </w:t>
      </w:r>
      <w:r>
        <w:rPr>
          <w:rFonts w:ascii="Times New Roman" w:hAnsi="Times New Roman"/>
          <w:sz w:val="24"/>
          <w:szCs w:val="24"/>
        </w:rPr>
        <w:t xml:space="preserve">might </w:t>
      </w:r>
      <w:r w:rsidR="00B00EEB">
        <w:rPr>
          <w:rFonts w:ascii="Times New Roman" w:hAnsi="Times New Roman"/>
          <w:sz w:val="24"/>
          <w:szCs w:val="24"/>
        </w:rPr>
        <w:t>be a</w:t>
      </w:r>
      <w:r w:rsidR="00F50A00">
        <w:rPr>
          <w:rFonts w:ascii="Times New Roman" w:hAnsi="Times New Roman"/>
          <w:sz w:val="24"/>
          <w:szCs w:val="24"/>
        </w:rPr>
        <w:t>n</w:t>
      </w:r>
      <w:r w:rsidR="00B00EEB">
        <w:rPr>
          <w:rFonts w:ascii="Times New Roman" w:hAnsi="Times New Roman"/>
          <w:sz w:val="24"/>
          <w:szCs w:val="24"/>
        </w:rPr>
        <w:t xml:space="preserve"> improvement on the status quo, </w:t>
      </w:r>
      <w:r w:rsidR="00723702">
        <w:rPr>
          <w:rFonts w:ascii="Times New Roman" w:hAnsi="Times New Roman"/>
          <w:sz w:val="24"/>
          <w:szCs w:val="24"/>
        </w:rPr>
        <w:t>it</w:t>
      </w:r>
      <w:r w:rsidR="00981B08">
        <w:rPr>
          <w:rFonts w:ascii="Times New Roman" w:hAnsi="Times New Roman"/>
          <w:sz w:val="24"/>
          <w:szCs w:val="24"/>
        </w:rPr>
        <w:t xml:space="preserve"> is not considered desirable at this time.  </w:t>
      </w:r>
      <w:r w:rsidR="00D9247B">
        <w:rPr>
          <w:rFonts w:ascii="Times New Roman" w:hAnsi="Times New Roman"/>
          <w:sz w:val="24"/>
          <w:szCs w:val="24"/>
        </w:rPr>
        <w:t>It</w:t>
      </w:r>
      <w:r w:rsidR="00981B08">
        <w:rPr>
          <w:rFonts w:ascii="Times New Roman" w:hAnsi="Times New Roman"/>
          <w:sz w:val="24"/>
          <w:szCs w:val="24"/>
        </w:rPr>
        <w:t xml:space="preserve"> </w:t>
      </w:r>
      <w:r>
        <w:rPr>
          <w:rFonts w:ascii="Times New Roman" w:hAnsi="Times New Roman"/>
          <w:sz w:val="24"/>
          <w:szCs w:val="24"/>
        </w:rPr>
        <w:t xml:space="preserve">would </w:t>
      </w:r>
      <w:r w:rsidR="00981B08">
        <w:rPr>
          <w:rFonts w:ascii="Times New Roman" w:hAnsi="Times New Roman"/>
          <w:sz w:val="24"/>
          <w:szCs w:val="24"/>
        </w:rPr>
        <w:t xml:space="preserve">meet the main objective and </w:t>
      </w:r>
      <w:r>
        <w:rPr>
          <w:rFonts w:ascii="Times New Roman" w:hAnsi="Times New Roman"/>
          <w:sz w:val="24"/>
          <w:szCs w:val="24"/>
        </w:rPr>
        <w:t xml:space="preserve">would be </w:t>
      </w:r>
      <w:r w:rsidR="00981B08">
        <w:rPr>
          <w:rFonts w:ascii="Times New Roman" w:hAnsi="Times New Roman"/>
          <w:sz w:val="24"/>
          <w:szCs w:val="24"/>
        </w:rPr>
        <w:t xml:space="preserve">an improvement over the status quo in </w:t>
      </w:r>
      <w:r w:rsidR="006624D0">
        <w:rPr>
          <w:rFonts w:ascii="Times New Roman" w:hAnsi="Times New Roman"/>
          <w:sz w:val="24"/>
          <w:szCs w:val="24"/>
        </w:rPr>
        <w:t xml:space="preserve">most </w:t>
      </w:r>
      <w:r w:rsidR="00981B08">
        <w:rPr>
          <w:rFonts w:ascii="Times New Roman" w:hAnsi="Times New Roman"/>
          <w:sz w:val="24"/>
          <w:szCs w:val="24"/>
        </w:rPr>
        <w:t>criteria</w:t>
      </w:r>
      <w:r w:rsidR="00723702">
        <w:rPr>
          <w:rFonts w:ascii="Times New Roman" w:hAnsi="Times New Roman"/>
          <w:sz w:val="24"/>
          <w:szCs w:val="24"/>
        </w:rPr>
        <w:t>,</w:t>
      </w:r>
      <w:r w:rsidR="00981B08">
        <w:rPr>
          <w:rFonts w:ascii="Times New Roman" w:hAnsi="Times New Roman"/>
          <w:sz w:val="24"/>
          <w:szCs w:val="24"/>
        </w:rPr>
        <w:t xml:space="preserve"> </w:t>
      </w:r>
      <w:r w:rsidR="00D9247B">
        <w:rPr>
          <w:rFonts w:ascii="Times New Roman" w:hAnsi="Times New Roman"/>
          <w:sz w:val="24"/>
          <w:szCs w:val="24"/>
        </w:rPr>
        <w:t xml:space="preserve">but </w:t>
      </w:r>
      <w:r w:rsidR="00981B08">
        <w:rPr>
          <w:rFonts w:ascii="Times New Roman" w:hAnsi="Times New Roman"/>
          <w:sz w:val="24"/>
          <w:szCs w:val="24"/>
        </w:rPr>
        <w:t xml:space="preserve">it would also </w:t>
      </w:r>
      <w:r w:rsidR="00723702">
        <w:rPr>
          <w:rFonts w:ascii="Times New Roman" w:hAnsi="Times New Roman"/>
          <w:sz w:val="24"/>
          <w:szCs w:val="24"/>
        </w:rPr>
        <w:t>require significant resources to develop a comprehensive package of amendments to accurately identify the boundary between passive and active income in relation to insurance companies and other financial institutions.</w:t>
      </w:r>
      <w:r w:rsidR="00FA2DB7">
        <w:rPr>
          <w:rFonts w:ascii="Times New Roman" w:hAnsi="Times New Roman"/>
          <w:sz w:val="24"/>
          <w:szCs w:val="24"/>
        </w:rPr>
        <w:t xml:space="preserve">  </w:t>
      </w:r>
      <w:r w:rsidR="00CC58D3">
        <w:rPr>
          <w:rFonts w:ascii="Times New Roman" w:hAnsi="Times New Roman"/>
          <w:sz w:val="24"/>
          <w:szCs w:val="24"/>
        </w:rPr>
        <w:t xml:space="preserve">This option would take much longer to progress than option 2. </w:t>
      </w:r>
      <w:r>
        <w:rPr>
          <w:rFonts w:ascii="Times New Roman" w:hAnsi="Times New Roman"/>
          <w:sz w:val="24"/>
          <w:szCs w:val="24"/>
        </w:rPr>
        <w:t xml:space="preserve"> </w:t>
      </w:r>
      <w:r w:rsidR="00CC58D3">
        <w:rPr>
          <w:rFonts w:ascii="Times New Roman" w:hAnsi="Times New Roman"/>
          <w:sz w:val="24"/>
          <w:szCs w:val="24"/>
        </w:rPr>
        <w:t>In addition to option 3 being a very complex undertaking,</w:t>
      </w:r>
      <w:r w:rsidR="00FA2DB7">
        <w:rPr>
          <w:rFonts w:ascii="Times New Roman" w:hAnsi="Times New Roman"/>
          <w:sz w:val="24"/>
          <w:szCs w:val="24"/>
        </w:rPr>
        <w:t xml:space="preserve"> </w:t>
      </w:r>
      <w:r w:rsidR="00CC58D3">
        <w:rPr>
          <w:rFonts w:ascii="Times New Roman" w:hAnsi="Times New Roman"/>
          <w:sz w:val="24"/>
          <w:szCs w:val="24"/>
        </w:rPr>
        <w:t xml:space="preserve">we believe it would impact very few taxpayers beyond the small number of insurance companies identified for the purposes of option 2. </w:t>
      </w:r>
      <w:r w:rsidR="00723702">
        <w:rPr>
          <w:rFonts w:ascii="Times New Roman" w:hAnsi="Times New Roman"/>
          <w:sz w:val="24"/>
          <w:szCs w:val="24"/>
        </w:rPr>
        <w:t xml:space="preserve"> The tax policy work programme is set by the Government with reference to the Government’s priorities.  </w:t>
      </w:r>
      <w:r w:rsidR="00FF1B0F">
        <w:rPr>
          <w:rFonts w:ascii="Times New Roman" w:hAnsi="Times New Roman"/>
          <w:sz w:val="24"/>
          <w:szCs w:val="24"/>
        </w:rPr>
        <w:t xml:space="preserve">Given </w:t>
      </w:r>
      <w:r w:rsidR="00CE4D4B">
        <w:rPr>
          <w:rFonts w:ascii="Times New Roman" w:hAnsi="Times New Roman"/>
          <w:sz w:val="24"/>
          <w:szCs w:val="24"/>
        </w:rPr>
        <w:t>other work already scheduled on the Governm</w:t>
      </w:r>
      <w:r w:rsidR="00FF1B0F">
        <w:rPr>
          <w:rFonts w:ascii="Times New Roman" w:hAnsi="Times New Roman"/>
          <w:sz w:val="24"/>
          <w:szCs w:val="24"/>
        </w:rPr>
        <w:t xml:space="preserve">ent’s tax policy work programme and </w:t>
      </w:r>
      <w:r w:rsidR="008D082A">
        <w:rPr>
          <w:rFonts w:ascii="Times New Roman" w:hAnsi="Times New Roman"/>
          <w:sz w:val="24"/>
          <w:szCs w:val="24"/>
        </w:rPr>
        <w:t xml:space="preserve">limited </w:t>
      </w:r>
      <w:r>
        <w:rPr>
          <w:rFonts w:ascii="Times New Roman" w:hAnsi="Times New Roman"/>
          <w:sz w:val="24"/>
          <w:szCs w:val="24"/>
        </w:rPr>
        <w:t xml:space="preserve">policy </w:t>
      </w:r>
      <w:r w:rsidR="008D082A">
        <w:rPr>
          <w:rFonts w:ascii="Times New Roman" w:hAnsi="Times New Roman"/>
          <w:sz w:val="24"/>
          <w:szCs w:val="24"/>
        </w:rPr>
        <w:t>resources, trade-offs would need to be made to progress option 3.</w:t>
      </w:r>
    </w:p>
    <w:p w14:paraId="4A5D04F4" w14:textId="77777777" w:rsidR="000865E9" w:rsidRDefault="000865E9" w:rsidP="00FC1D7B">
      <w:pPr>
        <w:pStyle w:val="spacer"/>
        <w:jc w:val="both"/>
        <w:rPr>
          <w:rFonts w:ascii="Times New Roman" w:hAnsi="Times New Roman"/>
          <w:sz w:val="24"/>
          <w:szCs w:val="24"/>
          <w:lang w:val="en-AU"/>
        </w:rPr>
      </w:pPr>
      <w:bookmarkStart w:id="22" w:name="_Toc244580366"/>
      <w:bookmarkStart w:id="23" w:name="_Toc244587042"/>
      <w:bookmarkStart w:id="24" w:name="_Toc244857276"/>
      <w:bookmarkStart w:id="25" w:name="_Toc244912541"/>
      <w:bookmarkStart w:id="26" w:name="_Toc244916998"/>
    </w:p>
    <w:p w14:paraId="6D93D303" w14:textId="77777777" w:rsidR="00981B08" w:rsidRPr="004342F0" w:rsidRDefault="00981B08" w:rsidP="00FC1D7B">
      <w:pPr>
        <w:pStyle w:val="spacer"/>
        <w:jc w:val="both"/>
        <w:rPr>
          <w:rFonts w:ascii="Times New Roman" w:hAnsi="Times New Roman"/>
          <w:sz w:val="24"/>
          <w:szCs w:val="24"/>
          <w:lang w:val="en-AU"/>
        </w:rPr>
      </w:pPr>
    </w:p>
    <w:p w14:paraId="5B131A24" w14:textId="77777777" w:rsidR="000545DC" w:rsidRDefault="00D943DD" w:rsidP="00FC1D7B">
      <w:pPr>
        <w:pStyle w:val="RISheading"/>
        <w:spacing w:before="0" w:after="0"/>
        <w:jc w:val="both"/>
        <w:rPr>
          <w:spacing w:val="0"/>
          <w:w w:val="100"/>
        </w:rPr>
      </w:pPr>
      <w:r w:rsidRPr="004342F0">
        <w:rPr>
          <w:spacing w:val="0"/>
          <w:w w:val="100"/>
        </w:rPr>
        <w:t>CONSULTATION</w:t>
      </w:r>
      <w:bookmarkEnd w:id="22"/>
      <w:bookmarkEnd w:id="23"/>
      <w:bookmarkEnd w:id="24"/>
      <w:bookmarkEnd w:id="25"/>
      <w:bookmarkEnd w:id="26"/>
    </w:p>
    <w:p w14:paraId="06DEC141" w14:textId="77777777" w:rsidR="000865E9" w:rsidRPr="00782395" w:rsidRDefault="000865E9" w:rsidP="00782395">
      <w:pPr>
        <w:pStyle w:val="spacer"/>
        <w:jc w:val="both"/>
        <w:rPr>
          <w:lang w:val="en-AU"/>
        </w:rPr>
      </w:pPr>
    </w:p>
    <w:p w14:paraId="2AA89CDA" w14:textId="77777777" w:rsidR="00CE4D4B" w:rsidRDefault="00723702" w:rsidP="008D082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 problem</w:t>
      </w:r>
      <w:r w:rsidR="00CE4D4B">
        <w:rPr>
          <w:rFonts w:ascii="Times New Roman" w:hAnsi="Times New Roman"/>
          <w:sz w:val="24"/>
          <w:szCs w:val="24"/>
        </w:rPr>
        <w:t xml:space="preserve"> analysed in this RIS was independently raised</w:t>
      </w:r>
      <w:r w:rsidR="00C03BEA">
        <w:rPr>
          <w:rFonts w:ascii="Times New Roman" w:hAnsi="Times New Roman"/>
          <w:sz w:val="24"/>
          <w:szCs w:val="24"/>
        </w:rPr>
        <w:t xml:space="preserve"> by </w:t>
      </w:r>
      <w:r w:rsidR="00E43FF0">
        <w:rPr>
          <w:rFonts w:ascii="Times New Roman" w:hAnsi="Times New Roman"/>
          <w:sz w:val="24"/>
          <w:szCs w:val="24"/>
        </w:rPr>
        <w:t>some tax practitioners</w:t>
      </w:r>
      <w:r w:rsidR="00CE4D4B">
        <w:rPr>
          <w:rFonts w:ascii="Times New Roman" w:hAnsi="Times New Roman"/>
          <w:sz w:val="24"/>
          <w:szCs w:val="24"/>
        </w:rPr>
        <w:t xml:space="preserve">.  These </w:t>
      </w:r>
      <w:r w:rsidR="00E43FF0">
        <w:rPr>
          <w:rFonts w:ascii="Times New Roman" w:hAnsi="Times New Roman"/>
          <w:sz w:val="24"/>
          <w:szCs w:val="24"/>
        </w:rPr>
        <w:t xml:space="preserve">tax practitioners </w:t>
      </w:r>
      <w:r w:rsidR="0073557E">
        <w:rPr>
          <w:rFonts w:ascii="Times New Roman" w:hAnsi="Times New Roman"/>
          <w:sz w:val="24"/>
          <w:szCs w:val="24"/>
        </w:rPr>
        <w:t>have experience with the CFC rules and how they apply to insurance companies.</w:t>
      </w:r>
    </w:p>
    <w:p w14:paraId="2196208D" w14:textId="77777777" w:rsidR="0073557E" w:rsidRDefault="0073557E" w:rsidP="008D082A">
      <w:pPr>
        <w:pStyle w:val="Bullet-list"/>
        <w:spacing w:after="0" w:line="240" w:lineRule="auto"/>
        <w:ind w:left="0" w:firstLine="0"/>
        <w:jc w:val="both"/>
        <w:rPr>
          <w:rFonts w:ascii="Times New Roman" w:hAnsi="Times New Roman"/>
          <w:sz w:val="24"/>
          <w:szCs w:val="24"/>
        </w:rPr>
      </w:pPr>
    </w:p>
    <w:p w14:paraId="176B9465" w14:textId="77777777" w:rsidR="0073557E" w:rsidRDefault="008D082A" w:rsidP="008D082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general, </w:t>
      </w:r>
      <w:r w:rsidR="00E43FF0">
        <w:rPr>
          <w:rFonts w:ascii="Times New Roman" w:hAnsi="Times New Roman"/>
          <w:sz w:val="24"/>
          <w:szCs w:val="24"/>
        </w:rPr>
        <w:t xml:space="preserve">these tax practitioners </w:t>
      </w:r>
      <w:r w:rsidR="0073557E">
        <w:rPr>
          <w:rFonts w:ascii="Times New Roman" w:hAnsi="Times New Roman"/>
          <w:sz w:val="24"/>
          <w:szCs w:val="24"/>
        </w:rPr>
        <w:t xml:space="preserve">noted that option 3 would be </w:t>
      </w:r>
      <w:r w:rsidR="00CB5273">
        <w:rPr>
          <w:rFonts w:ascii="Times New Roman" w:hAnsi="Times New Roman"/>
          <w:sz w:val="24"/>
          <w:szCs w:val="24"/>
        </w:rPr>
        <w:t xml:space="preserve">the preferred </w:t>
      </w:r>
      <w:r>
        <w:rPr>
          <w:rFonts w:ascii="Times New Roman" w:hAnsi="Times New Roman"/>
          <w:sz w:val="24"/>
          <w:szCs w:val="24"/>
        </w:rPr>
        <w:t xml:space="preserve">and </w:t>
      </w:r>
      <w:r w:rsidR="0073557E">
        <w:rPr>
          <w:rFonts w:ascii="Times New Roman" w:hAnsi="Times New Roman"/>
          <w:sz w:val="24"/>
          <w:szCs w:val="24"/>
        </w:rPr>
        <w:t xml:space="preserve">more sustainable solution in the longer term, but also agreed that at least in the interim, option 2 would be preferable to </w:t>
      </w:r>
      <w:r w:rsidR="00CB5273">
        <w:rPr>
          <w:rFonts w:ascii="Times New Roman" w:hAnsi="Times New Roman"/>
          <w:sz w:val="24"/>
          <w:szCs w:val="24"/>
        </w:rPr>
        <w:t>the status quo.  They understood that competing priorities and limited resources mean option 3 is not a feasible option in the short term in the</w:t>
      </w:r>
      <w:r w:rsidR="00560AAF">
        <w:rPr>
          <w:rFonts w:ascii="Times New Roman" w:hAnsi="Times New Roman"/>
          <w:sz w:val="24"/>
          <w:szCs w:val="24"/>
        </w:rPr>
        <w:t xml:space="preserve"> same</w:t>
      </w:r>
      <w:r w:rsidR="00CB5273">
        <w:rPr>
          <w:rFonts w:ascii="Times New Roman" w:hAnsi="Times New Roman"/>
          <w:sz w:val="24"/>
          <w:szCs w:val="24"/>
        </w:rPr>
        <w:t xml:space="preserve"> way that option 2 is.</w:t>
      </w:r>
    </w:p>
    <w:p w14:paraId="1528B1FF" w14:textId="77777777" w:rsidR="00CE4D4B" w:rsidRDefault="00CE4D4B" w:rsidP="008D082A">
      <w:pPr>
        <w:pStyle w:val="Bullet-list"/>
        <w:spacing w:after="0" w:line="240" w:lineRule="auto"/>
        <w:ind w:left="0" w:firstLine="0"/>
        <w:jc w:val="both"/>
        <w:rPr>
          <w:rFonts w:ascii="Times New Roman" w:hAnsi="Times New Roman"/>
          <w:sz w:val="24"/>
          <w:szCs w:val="24"/>
        </w:rPr>
      </w:pPr>
    </w:p>
    <w:p w14:paraId="55414C2B" w14:textId="77777777" w:rsidR="00775ED6" w:rsidRDefault="00E43FF0" w:rsidP="008D082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Owing to </w:t>
      </w:r>
      <w:r w:rsidR="00CE4D4B">
        <w:rPr>
          <w:rFonts w:ascii="Times New Roman" w:hAnsi="Times New Roman"/>
          <w:sz w:val="24"/>
          <w:szCs w:val="24"/>
        </w:rPr>
        <w:t>time constraints</w:t>
      </w:r>
      <w:r w:rsidR="00CB5273">
        <w:rPr>
          <w:rFonts w:ascii="Times New Roman" w:hAnsi="Times New Roman"/>
          <w:sz w:val="24"/>
          <w:szCs w:val="24"/>
        </w:rPr>
        <w:t xml:space="preserve">, no wider consultation </w:t>
      </w:r>
      <w:r w:rsidR="0073557E">
        <w:rPr>
          <w:rFonts w:ascii="Times New Roman" w:hAnsi="Times New Roman"/>
          <w:sz w:val="24"/>
          <w:szCs w:val="24"/>
        </w:rPr>
        <w:t>was undertaken</w:t>
      </w:r>
      <w:r w:rsidR="00CB5273">
        <w:rPr>
          <w:rFonts w:ascii="Times New Roman" w:hAnsi="Times New Roman"/>
          <w:sz w:val="24"/>
          <w:szCs w:val="24"/>
        </w:rPr>
        <w:t>, for example</w:t>
      </w:r>
      <w:r>
        <w:rPr>
          <w:rFonts w:ascii="Times New Roman" w:hAnsi="Times New Roman"/>
          <w:sz w:val="24"/>
          <w:szCs w:val="24"/>
        </w:rPr>
        <w:t>,</w:t>
      </w:r>
      <w:r w:rsidR="00CB5273">
        <w:rPr>
          <w:rFonts w:ascii="Times New Roman" w:hAnsi="Times New Roman"/>
          <w:sz w:val="24"/>
          <w:szCs w:val="24"/>
        </w:rPr>
        <w:t xml:space="preserve"> in the form of an officials’ issues paper</w:t>
      </w:r>
      <w:r w:rsidR="0073557E">
        <w:rPr>
          <w:rFonts w:ascii="Times New Roman" w:hAnsi="Times New Roman"/>
          <w:sz w:val="24"/>
          <w:szCs w:val="24"/>
        </w:rPr>
        <w:t>.</w:t>
      </w:r>
    </w:p>
    <w:p w14:paraId="4513E0DE" w14:textId="77777777" w:rsidR="00775ED6" w:rsidRDefault="00775ED6" w:rsidP="00775ED6">
      <w:pPr>
        <w:pStyle w:val="ListParagraph"/>
        <w:rPr>
          <w:rFonts w:ascii="Times New Roman" w:hAnsi="Times New Roman"/>
          <w:sz w:val="24"/>
          <w:szCs w:val="24"/>
        </w:rPr>
      </w:pPr>
    </w:p>
    <w:p w14:paraId="26A676EC" w14:textId="77777777" w:rsidR="00775ED6" w:rsidRPr="00775ED6" w:rsidRDefault="00775ED6" w:rsidP="00775ED6">
      <w:pPr>
        <w:pStyle w:val="Bullet-list"/>
        <w:numPr>
          <w:ilvl w:val="0"/>
          <w:numId w:val="12"/>
        </w:numPr>
        <w:spacing w:after="0" w:line="240" w:lineRule="auto"/>
        <w:ind w:left="0" w:firstLine="0"/>
        <w:jc w:val="both"/>
        <w:rPr>
          <w:rFonts w:ascii="Times New Roman" w:hAnsi="Times New Roman"/>
          <w:sz w:val="24"/>
          <w:szCs w:val="24"/>
        </w:rPr>
      </w:pPr>
      <w:r w:rsidRPr="00775ED6">
        <w:rPr>
          <w:rFonts w:ascii="Times New Roman" w:hAnsi="Times New Roman"/>
          <w:sz w:val="24"/>
          <w:szCs w:val="24"/>
        </w:rPr>
        <w:t xml:space="preserve">Only a very small number of these licensed insurers with financial strength ratings are currently attributing income under the CFC rules and we estimate that only some of these would be eligible for an active business test determination if it were not for the 30 June 2009 ownership requirement.  Based on the taxpayers we were able to identify in this exercise, we believe the </w:t>
      </w:r>
      <w:r w:rsidR="00E43FF0">
        <w:rPr>
          <w:rFonts w:ascii="Times New Roman" w:hAnsi="Times New Roman"/>
          <w:sz w:val="24"/>
          <w:szCs w:val="24"/>
        </w:rPr>
        <w:t xml:space="preserve">tax practitioners </w:t>
      </w:r>
      <w:r w:rsidRPr="00775ED6">
        <w:rPr>
          <w:rFonts w:ascii="Times New Roman" w:hAnsi="Times New Roman"/>
          <w:sz w:val="24"/>
          <w:szCs w:val="24"/>
        </w:rPr>
        <w:t xml:space="preserve">we </w:t>
      </w:r>
      <w:r w:rsidR="00D04A6F">
        <w:rPr>
          <w:rFonts w:ascii="Times New Roman" w:hAnsi="Times New Roman"/>
          <w:sz w:val="24"/>
          <w:szCs w:val="24"/>
        </w:rPr>
        <w:t>consulted</w:t>
      </w:r>
      <w:r w:rsidRPr="00775ED6">
        <w:rPr>
          <w:rFonts w:ascii="Times New Roman" w:hAnsi="Times New Roman"/>
          <w:sz w:val="24"/>
          <w:szCs w:val="24"/>
        </w:rPr>
        <w:t xml:space="preserve"> </w:t>
      </w:r>
      <w:r>
        <w:rPr>
          <w:rFonts w:ascii="Times New Roman" w:hAnsi="Times New Roman"/>
          <w:sz w:val="24"/>
          <w:szCs w:val="24"/>
        </w:rPr>
        <w:t>represent</w:t>
      </w:r>
      <w:r w:rsidRPr="00775ED6">
        <w:rPr>
          <w:rFonts w:ascii="Times New Roman" w:hAnsi="Times New Roman"/>
          <w:sz w:val="24"/>
          <w:szCs w:val="24"/>
        </w:rPr>
        <w:t xml:space="preserve"> the majority of those most affected by the problem analysed in this RIS.</w:t>
      </w:r>
    </w:p>
    <w:p w14:paraId="5B2D0024" w14:textId="77777777" w:rsidR="00D943DD" w:rsidRDefault="00D943DD" w:rsidP="00FC1D7B">
      <w:pPr>
        <w:pStyle w:val="spacer"/>
        <w:jc w:val="both"/>
        <w:rPr>
          <w:rFonts w:ascii="Times New Roman" w:hAnsi="Times New Roman"/>
          <w:sz w:val="24"/>
          <w:szCs w:val="24"/>
          <w:lang w:val="en-AU"/>
        </w:rPr>
      </w:pPr>
      <w:bookmarkStart w:id="27" w:name="_Preferred_option_[optional]"/>
      <w:bookmarkStart w:id="28" w:name="_Toc244580367"/>
      <w:bookmarkStart w:id="29" w:name="_Toc244587043"/>
      <w:bookmarkStart w:id="30" w:name="_Toc244857277"/>
      <w:bookmarkStart w:id="31" w:name="_Toc244912542"/>
      <w:bookmarkStart w:id="32" w:name="_Toc244916999"/>
      <w:bookmarkEnd w:id="27"/>
    </w:p>
    <w:p w14:paraId="686B5F0F" w14:textId="77777777" w:rsidR="000865E9" w:rsidRPr="004342F0" w:rsidRDefault="000865E9" w:rsidP="00FC1D7B">
      <w:pPr>
        <w:pStyle w:val="spacer"/>
        <w:jc w:val="both"/>
        <w:rPr>
          <w:rFonts w:ascii="Times New Roman" w:hAnsi="Times New Roman"/>
          <w:sz w:val="24"/>
          <w:szCs w:val="24"/>
          <w:lang w:val="en-AU"/>
        </w:rPr>
      </w:pPr>
    </w:p>
    <w:p w14:paraId="7A2AB78F" w14:textId="77777777" w:rsidR="000545DC" w:rsidRDefault="00D943DD" w:rsidP="00FC1D7B">
      <w:pPr>
        <w:pStyle w:val="RISheading"/>
        <w:spacing w:before="0" w:after="0"/>
        <w:jc w:val="both"/>
        <w:rPr>
          <w:spacing w:val="0"/>
          <w:w w:val="100"/>
        </w:rPr>
      </w:pPr>
      <w:r w:rsidRPr="004342F0">
        <w:rPr>
          <w:spacing w:val="0"/>
          <w:w w:val="100"/>
        </w:rPr>
        <w:t>CONCLUSIONS AND RECOMMENDATIONS</w:t>
      </w:r>
      <w:bookmarkEnd w:id="28"/>
      <w:bookmarkEnd w:id="29"/>
      <w:bookmarkEnd w:id="30"/>
      <w:bookmarkEnd w:id="31"/>
      <w:bookmarkEnd w:id="32"/>
    </w:p>
    <w:p w14:paraId="53D0E57B" w14:textId="77777777" w:rsidR="000865E9" w:rsidRPr="00782395" w:rsidRDefault="000865E9" w:rsidP="00782395">
      <w:pPr>
        <w:pStyle w:val="spacer"/>
        <w:jc w:val="both"/>
        <w:rPr>
          <w:lang w:val="en-AU"/>
        </w:rPr>
      </w:pPr>
    </w:p>
    <w:p w14:paraId="10007554" w14:textId="77777777" w:rsidR="008D077E" w:rsidRPr="00782395" w:rsidRDefault="008D077E" w:rsidP="008D082A">
      <w:pPr>
        <w:pStyle w:val="Bullet-list"/>
        <w:numPr>
          <w:ilvl w:val="0"/>
          <w:numId w:val="12"/>
        </w:numPr>
        <w:spacing w:after="0" w:line="240" w:lineRule="auto"/>
        <w:ind w:left="0" w:firstLine="0"/>
        <w:jc w:val="both"/>
      </w:pPr>
      <w:r>
        <w:rPr>
          <w:rFonts w:ascii="Times New Roman" w:hAnsi="Times New Roman"/>
          <w:sz w:val="24"/>
          <w:szCs w:val="24"/>
        </w:rPr>
        <w:t xml:space="preserve">The </w:t>
      </w:r>
      <w:r w:rsidR="00981B08">
        <w:rPr>
          <w:rFonts w:ascii="Times New Roman" w:hAnsi="Times New Roman"/>
          <w:sz w:val="24"/>
          <w:szCs w:val="24"/>
        </w:rPr>
        <w:t xml:space="preserve">table </w:t>
      </w:r>
      <w:r>
        <w:rPr>
          <w:rFonts w:ascii="Times New Roman" w:hAnsi="Times New Roman"/>
          <w:sz w:val="24"/>
          <w:szCs w:val="24"/>
        </w:rPr>
        <w:t xml:space="preserve">below </w:t>
      </w:r>
      <w:r w:rsidR="00981B08">
        <w:rPr>
          <w:rFonts w:ascii="Times New Roman" w:hAnsi="Times New Roman"/>
          <w:sz w:val="24"/>
          <w:szCs w:val="24"/>
        </w:rPr>
        <w:t xml:space="preserve">summarises </w:t>
      </w:r>
      <w:r>
        <w:rPr>
          <w:rFonts w:ascii="Times New Roman" w:hAnsi="Times New Roman"/>
          <w:sz w:val="24"/>
          <w:szCs w:val="24"/>
        </w:rPr>
        <w:t xml:space="preserve">our analysis </w:t>
      </w:r>
      <w:r w:rsidR="00981B08">
        <w:rPr>
          <w:rFonts w:ascii="Times New Roman" w:hAnsi="Times New Roman"/>
          <w:sz w:val="24"/>
          <w:szCs w:val="24"/>
        </w:rPr>
        <w:t>of the options</w:t>
      </w:r>
      <w:r>
        <w:rPr>
          <w:rFonts w:ascii="Times New Roman" w:hAnsi="Times New Roman"/>
          <w:sz w:val="24"/>
          <w:szCs w:val="24"/>
        </w:rPr>
        <w:t>.  Within this table the following symbols are used:</w:t>
      </w:r>
    </w:p>
    <w:p w14:paraId="7CA1E297" w14:textId="77777777" w:rsidR="008D077E" w:rsidRPr="00782395" w:rsidRDefault="008D077E" w:rsidP="00782395">
      <w:pPr>
        <w:pStyle w:val="Bullet-list"/>
        <w:tabs>
          <w:tab w:val="left" w:pos="1418"/>
        </w:tabs>
        <w:spacing w:after="0" w:line="240" w:lineRule="auto"/>
        <w:ind w:left="0" w:firstLine="0"/>
        <w:jc w:val="both"/>
      </w:pPr>
    </w:p>
    <w:p w14:paraId="697EBB35" w14:textId="77777777" w:rsidR="008D077E" w:rsidRPr="008D077E" w:rsidRDefault="008D077E" w:rsidP="00782395">
      <w:pPr>
        <w:pStyle w:val="ListParagraph"/>
        <w:tabs>
          <w:tab w:val="left" w:pos="1418"/>
        </w:tabs>
        <w:rPr>
          <w:rFonts w:ascii="Times New Roman" w:eastAsiaTheme="minorHAnsi" w:hAnsi="Times New Roman"/>
          <w:sz w:val="24"/>
          <w:szCs w:val="24"/>
        </w:rPr>
      </w:pPr>
      <w:r w:rsidRPr="008D077E">
        <w:rPr>
          <w:rFonts w:ascii="Wingdings 2" w:eastAsiaTheme="minorHAnsi" w:hAnsi="Wingdings 2"/>
          <w:sz w:val="24"/>
          <w:szCs w:val="24"/>
        </w:rPr>
        <w:t></w:t>
      </w:r>
      <w:r w:rsidRPr="008D077E">
        <w:rPr>
          <w:rFonts w:ascii="Wingdings 2" w:eastAsiaTheme="minorHAnsi" w:hAnsi="Wingdings 2"/>
          <w:sz w:val="24"/>
          <w:szCs w:val="24"/>
        </w:rPr>
        <w:t></w:t>
      </w:r>
      <w:r>
        <w:rPr>
          <w:rFonts w:ascii="Times New Roman" w:eastAsiaTheme="minorHAnsi" w:hAnsi="Times New Roman"/>
          <w:sz w:val="24"/>
          <w:szCs w:val="24"/>
        </w:rPr>
        <w:tab/>
      </w:r>
      <w:r w:rsidRPr="008D077E">
        <w:rPr>
          <w:rFonts w:ascii="Times New Roman" w:eastAsiaTheme="minorHAnsi" w:hAnsi="Times New Roman"/>
          <w:sz w:val="24"/>
          <w:szCs w:val="24"/>
        </w:rPr>
        <w:t xml:space="preserve">Significantly better than the status quo </w:t>
      </w:r>
    </w:p>
    <w:p w14:paraId="3DE0BFF0" w14:textId="77777777" w:rsidR="008D077E" w:rsidRPr="008D077E" w:rsidRDefault="008D077E" w:rsidP="00782395">
      <w:pPr>
        <w:pStyle w:val="ListParagraph"/>
        <w:numPr>
          <w:ilvl w:val="0"/>
          <w:numId w:val="16"/>
        </w:numPr>
        <w:tabs>
          <w:tab w:val="left" w:pos="1418"/>
        </w:tabs>
        <w:ind w:left="720" w:hanging="11"/>
        <w:rPr>
          <w:rFonts w:ascii="Times New Roman" w:eastAsiaTheme="minorHAnsi" w:hAnsi="Times New Roman"/>
          <w:sz w:val="24"/>
          <w:szCs w:val="24"/>
        </w:rPr>
      </w:pPr>
      <w:r w:rsidRPr="008D077E">
        <w:rPr>
          <w:rFonts w:ascii="Times New Roman" w:eastAsiaTheme="minorHAnsi" w:hAnsi="Times New Roman"/>
          <w:sz w:val="24"/>
          <w:szCs w:val="24"/>
        </w:rPr>
        <w:t xml:space="preserve">Better than the status quo  </w:t>
      </w:r>
    </w:p>
    <w:p w14:paraId="7230324D" w14:textId="77777777" w:rsidR="008D077E" w:rsidRPr="008D077E" w:rsidRDefault="008D077E" w:rsidP="00782395">
      <w:pPr>
        <w:pStyle w:val="ListParagraph"/>
        <w:numPr>
          <w:ilvl w:val="0"/>
          <w:numId w:val="17"/>
        </w:numPr>
        <w:tabs>
          <w:tab w:val="left" w:pos="1418"/>
        </w:tabs>
        <w:ind w:left="720" w:hanging="11"/>
        <w:rPr>
          <w:rFonts w:ascii="Times New Roman" w:eastAsiaTheme="minorHAnsi" w:hAnsi="Times New Roman"/>
          <w:sz w:val="24"/>
          <w:szCs w:val="24"/>
        </w:rPr>
      </w:pPr>
      <w:r w:rsidRPr="008D077E">
        <w:rPr>
          <w:rFonts w:ascii="Times New Roman" w:eastAsiaTheme="minorHAnsi" w:hAnsi="Times New Roman"/>
          <w:sz w:val="24"/>
          <w:szCs w:val="24"/>
        </w:rPr>
        <w:t xml:space="preserve">No better than the status quo </w:t>
      </w:r>
    </w:p>
    <w:p w14:paraId="3E06A531" w14:textId="77777777" w:rsidR="008D077E" w:rsidRPr="008D077E" w:rsidRDefault="008D077E" w:rsidP="00782395">
      <w:pPr>
        <w:pStyle w:val="ListParagraph"/>
        <w:tabs>
          <w:tab w:val="left" w:pos="1418"/>
        </w:tabs>
        <w:rPr>
          <w:rFonts w:ascii="Times New Roman" w:eastAsiaTheme="minorHAnsi" w:hAnsi="Times New Roman"/>
          <w:sz w:val="24"/>
          <w:szCs w:val="24"/>
        </w:rPr>
      </w:pPr>
      <w:r>
        <w:rPr>
          <w:rFonts w:ascii="Wingdings 2" w:eastAsiaTheme="minorHAnsi" w:hAnsi="Wingdings 2"/>
          <w:sz w:val="24"/>
          <w:szCs w:val="24"/>
        </w:rPr>
        <w:t></w:t>
      </w:r>
      <w:r>
        <w:rPr>
          <w:rFonts w:ascii="Wingdings 2" w:eastAsiaTheme="minorHAnsi" w:hAnsi="Wingdings 2"/>
          <w:sz w:val="24"/>
          <w:szCs w:val="24"/>
        </w:rPr>
        <w:t></w:t>
      </w:r>
      <w:r>
        <w:rPr>
          <w:rFonts w:ascii="Wingdings 2" w:eastAsiaTheme="minorHAnsi" w:hAnsi="Wingdings 2"/>
          <w:sz w:val="24"/>
          <w:szCs w:val="24"/>
        </w:rPr>
        <w:tab/>
      </w:r>
      <w:r w:rsidRPr="008D077E">
        <w:rPr>
          <w:rFonts w:ascii="Times New Roman" w:eastAsiaTheme="minorHAnsi" w:hAnsi="Times New Roman"/>
          <w:sz w:val="24"/>
          <w:szCs w:val="24"/>
        </w:rPr>
        <w:t xml:space="preserve">Worse than the status quo </w:t>
      </w:r>
    </w:p>
    <w:p w14:paraId="1FFC0DF6" w14:textId="77777777" w:rsidR="00981B08" w:rsidRPr="000865E9" w:rsidRDefault="00981B08" w:rsidP="00981B08">
      <w:pPr>
        <w:pStyle w:val="TRNormal"/>
        <w:tabs>
          <w:tab w:val="left" w:pos="567"/>
        </w:tabs>
        <w:rPr>
          <w:i/>
          <w:szCs w:val="24"/>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981B08" w:rsidRPr="006E2223" w14:paraId="200F90D8" w14:textId="77777777" w:rsidTr="00073EA9">
        <w:tc>
          <w:tcPr>
            <w:tcW w:w="4643" w:type="dxa"/>
          </w:tcPr>
          <w:p w14:paraId="23B062F2" w14:textId="77777777" w:rsidR="00981B08" w:rsidRPr="00C40759" w:rsidRDefault="00981B08" w:rsidP="00073EA9">
            <w:pPr>
              <w:pStyle w:val="TRNormal"/>
              <w:tabs>
                <w:tab w:val="left" w:pos="567"/>
              </w:tabs>
              <w:spacing w:line="240" w:lineRule="auto"/>
              <w:rPr>
                <w:b/>
                <w:sz w:val="22"/>
              </w:rPr>
            </w:pPr>
            <w:r w:rsidRPr="00C40759">
              <w:rPr>
                <w:b/>
                <w:sz w:val="22"/>
              </w:rPr>
              <w:t>Options</w:t>
            </w:r>
          </w:p>
        </w:tc>
        <w:tc>
          <w:tcPr>
            <w:tcW w:w="4644" w:type="dxa"/>
          </w:tcPr>
          <w:p w14:paraId="40D0A9D1" w14:textId="77777777" w:rsidR="00981B08" w:rsidRPr="00C40759" w:rsidRDefault="00981B08" w:rsidP="00782395">
            <w:pPr>
              <w:pStyle w:val="TRNormal"/>
              <w:tabs>
                <w:tab w:val="left" w:pos="567"/>
              </w:tabs>
              <w:spacing w:line="240" w:lineRule="auto"/>
              <w:jc w:val="left"/>
              <w:rPr>
                <w:rFonts w:ascii="Arial" w:hAnsi="Arial"/>
                <w:b/>
                <w:sz w:val="22"/>
                <w:lang w:val="en-GB"/>
              </w:rPr>
            </w:pPr>
            <w:r w:rsidRPr="00C40759">
              <w:rPr>
                <w:b/>
                <w:sz w:val="22"/>
              </w:rPr>
              <w:t>Analysis against the objective and criteria</w:t>
            </w:r>
          </w:p>
        </w:tc>
      </w:tr>
      <w:tr w:rsidR="00981B08" w:rsidRPr="006E2223" w14:paraId="50C45F40" w14:textId="77777777" w:rsidTr="00073EA9">
        <w:tc>
          <w:tcPr>
            <w:tcW w:w="4643" w:type="dxa"/>
          </w:tcPr>
          <w:p w14:paraId="103460C0" w14:textId="77777777" w:rsidR="00981B08" w:rsidRPr="00C40759" w:rsidRDefault="00782395" w:rsidP="00782395">
            <w:pPr>
              <w:pStyle w:val="TRNormal"/>
              <w:tabs>
                <w:tab w:val="left" w:pos="567"/>
              </w:tabs>
              <w:spacing w:line="240" w:lineRule="auto"/>
              <w:rPr>
                <w:sz w:val="22"/>
              </w:rPr>
            </w:pPr>
            <w:r>
              <w:rPr>
                <w:sz w:val="22"/>
              </w:rPr>
              <w:t>Option 1: s</w:t>
            </w:r>
            <w:r w:rsidR="00981B08">
              <w:rPr>
                <w:sz w:val="22"/>
              </w:rPr>
              <w:t>tatus quo</w:t>
            </w:r>
          </w:p>
        </w:tc>
        <w:tc>
          <w:tcPr>
            <w:tcW w:w="4644" w:type="dxa"/>
          </w:tcPr>
          <w:p w14:paraId="447054A8" w14:textId="77777777" w:rsidR="00981B08" w:rsidRPr="00143DC7" w:rsidRDefault="00B00EEB" w:rsidP="00782395">
            <w:pPr>
              <w:pStyle w:val="TRNormal"/>
              <w:tabs>
                <w:tab w:val="left" w:pos="567"/>
              </w:tabs>
              <w:spacing w:line="240" w:lineRule="auto"/>
              <w:jc w:val="left"/>
              <w:rPr>
                <w:rFonts w:ascii="Arial" w:hAnsi="Arial"/>
                <w:sz w:val="22"/>
                <w:lang w:val="en-GB"/>
              </w:rPr>
            </w:pPr>
            <w:r>
              <w:rPr>
                <w:sz w:val="22"/>
              </w:rPr>
              <w:t>Does not meet the main objective</w:t>
            </w:r>
          </w:p>
          <w:p w14:paraId="246C7FA2" w14:textId="77777777" w:rsidR="00981B08" w:rsidRPr="00143DC7" w:rsidRDefault="00981B08" w:rsidP="00782395">
            <w:pPr>
              <w:pStyle w:val="TRNormal"/>
              <w:tabs>
                <w:tab w:val="left" w:pos="567"/>
              </w:tabs>
              <w:spacing w:line="240" w:lineRule="auto"/>
              <w:jc w:val="left"/>
              <w:rPr>
                <w:rFonts w:ascii="Arial" w:hAnsi="Arial"/>
                <w:sz w:val="22"/>
                <w:lang w:val="en-GB"/>
              </w:rPr>
            </w:pPr>
          </w:p>
          <w:p w14:paraId="71693214"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r w:rsidRPr="00143DC7">
              <w:rPr>
                <w:sz w:val="22"/>
              </w:rPr>
              <w:t>Fairness &amp; equity:</w:t>
            </w:r>
            <w:r w:rsidR="00B00EEB" w:rsidRPr="00143DC7">
              <w:rPr>
                <w:rFonts w:ascii="Wingdings 2" w:hAnsi="Wingdings 2"/>
                <w:sz w:val="22"/>
                <w:szCs w:val="24"/>
              </w:rPr>
              <w:t></w:t>
            </w:r>
            <w:r w:rsidR="00B00EEB" w:rsidRPr="00143DC7">
              <w:rPr>
                <w:rFonts w:ascii="Wingdings 2" w:hAnsi="Wingdings 2"/>
                <w:sz w:val="22"/>
                <w:szCs w:val="24"/>
              </w:rPr>
              <w:t></w:t>
            </w:r>
          </w:p>
          <w:p w14:paraId="6BB32D5D"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r w:rsidRPr="00143DC7">
              <w:rPr>
                <w:sz w:val="22"/>
              </w:rPr>
              <w:t xml:space="preserve">Compliance and administration: </w:t>
            </w:r>
            <w:r w:rsidR="00B00EEB" w:rsidRPr="00143DC7">
              <w:rPr>
                <w:rFonts w:ascii="Wingdings 2" w:hAnsi="Wingdings 2"/>
                <w:sz w:val="22"/>
                <w:szCs w:val="24"/>
              </w:rPr>
              <w:t></w:t>
            </w:r>
          </w:p>
          <w:p w14:paraId="53E02B9D"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p>
          <w:p w14:paraId="59F6165A" w14:textId="77777777" w:rsidR="00981B08" w:rsidRPr="00143DC7" w:rsidRDefault="00981B08" w:rsidP="00782395">
            <w:pPr>
              <w:pStyle w:val="TRNormal"/>
              <w:tabs>
                <w:tab w:val="left" w:pos="567"/>
              </w:tabs>
              <w:spacing w:line="240" w:lineRule="auto"/>
              <w:jc w:val="left"/>
              <w:rPr>
                <w:rFonts w:ascii="Arial" w:hAnsi="Arial"/>
                <w:sz w:val="22"/>
                <w:lang w:val="en-GB"/>
              </w:rPr>
            </w:pPr>
            <w:r w:rsidRPr="00143DC7">
              <w:rPr>
                <w:sz w:val="22"/>
              </w:rPr>
              <w:t xml:space="preserve">Overall comment:  </w:t>
            </w:r>
            <w:r w:rsidR="008D082A">
              <w:rPr>
                <w:sz w:val="22"/>
              </w:rPr>
              <w:t xml:space="preserve">Does not meet </w:t>
            </w:r>
            <w:r w:rsidR="008D077E">
              <w:rPr>
                <w:sz w:val="22"/>
              </w:rPr>
              <w:t xml:space="preserve">the </w:t>
            </w:r>
            <w:r w:rsidR="008D082A">
              <w:rPr>
                <w:sz w:val="22"/>
              </w:rPr>
              <w:t>main objective or criteria</w:t>
            </w:r>
          </w:p>
        </w:tc>
      </w:tr>
      <w:tr w:rsidR="00981B08" w:rsidRPr="006E2223" w14:paraId="65A3591A" w14:textId="77777777" w:rsidTr="00073EA9">
        <w:tc>
          <w:tcPr>
            <w:tcW w:w="4643" w:type="dxa"/>
          </w:tcPr>
          <w:p w14:paraId="1886EAF3" w14:textId="77777777" w:rsidR="00981B08" w:rsidRPr="00C40759" w:rsidRDefault="00782395" w:rsidP="00073EA9">
            <w:pPr>
              <w:pStyle w:val="TRNormal"/>
              <w:tabs>
                <w:tab w:val="left" w:pos="567"/>
              </w:tabs>
              <w:spacing w:line="240" w:lineRule="auto"/>
              <w:rPr>
                <w:sz w:val="22"/>
              </w:rPr>
            </w:pPr>
            <w:r>
              <w:rPr>
                <w:sz w:val="22"/>
              </w:rPr>
              <w:t>Option 2: r</w:t>
            </w:r>
            <w:r w:rsidR="00981B08">
              <w:rPr>
                <w:sz w:val="22"/>
              </w:rPr>
              <w:t>emove 30 June 2009 requirement</w:t>
            </w:r>
          </w:p>
        </w:tc>
        <w:tc>
          <w:tcPr>
            <w:tcW w:w="4644" w:type="dxa"/>
          </w:tcPr>
          <w:p w14:paraId="0AF037CF" w14:textId="77777777" w:rsidR="00981B08" w:rsidRPr="00143DC7" w:rsidRDefault="00B00EEB" w:rsidP="00782395">
            <w:pPr>
              <w:pStyle w:val="TRNormal"/>
              <w:tabs>
                <w:tab w:val="left" w:pos="567"/>
              </w:tabs>
              <w:spacing w:line="240" w:lineRule="auto"/>
              <w:jc w:val="left"/>
              <w:rPr>
                <w:rFonts w:ascii="Arial" w:hAnsi="Arial"/>
                <w:sz w:val="22"/>
                <w:lang w:val="en-GB"/>
              </w:rPr>
            </w:pPr>
            <w:r>
              <w:rPr>
                <w:sz w:val="22"/>
              </w:rPr>
              <w:t>Meets</w:t>
            </w:r>
            <w:r w:rsidR="00981B08" w:rsidRPr="00143DC7">
              <w:rPr>
                <w:sz w:val="22"/>
              </w:rPr>
              <w:t xml:space="preserve"> the main objective</w:t>
            </w:r>
          </w:p>
          <w:p w14:paraId="3C99B746" w14:textId="77777777" w:rsidR="00981B08" w:rsidRPr="00143DC7" w:rsidRDefault="00981B08" w:rsidP="00782395">
            <w:pPr>
              <w:pStyle w:val="TRNormal"/>
              <w:tabs>
                <w:tab w:val="left" w:pos="567"/>
              </w:tabs>
              <w:spacing w:line="240" w:lineRule="auto"/>
              <w:jc w:val="left"/>
              <w:rPr>
                <w:rFonts w:ascii="Arial" w:hAnsi="Arial"/>
                <w:sz w:val="22"/>
                <w:lang w:val="en-GB"/>
              </w:rPr>
            </w:pPr>
          </w:p>
          <w:p w14:paraId="7018BF4F"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r w:rsidRPr="00143DC7">
              <w:rPr>
                <w:sz w:val="22"/>
              </w:rPr>
              <w:t xml:space="preserve">Fairness &amp; equity: </w:t>
            </w:r>
            <w:r w:rsidR="00836D63">
              <w:rPr>
                <w:rFonts w:ascii="Wingdings 2" w:hAnsi="Wingdings 2"/>
                <w:sz w:val="22"/>
                <w:szCs w:val="24"/>
              </w:rPr>
              <w:t></w:t>
            </w:r>
          </w:p>
          <w:p w14:paraId="00703376"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r w:rsidRPr="00143DC7">
              <w:rPr>
                <w:sz w:val="22"/>
              </w:rPr>
              <w:t xml:space="preserve">Compliance and administration: </w:t>
            </w:r>
            <w:r w:rsidR="00836D63">
              <w:rPr>
                <w:rFonts w:ascii="Wingdings 2" w:hAnsi="Wingdings 2"/>
                <w:sz w:val="22"/>
                <w:szCs w:val="24"/>
              </w:rPr>
              <w:t></w:t>
            </w:r>
          </w:p>
          <w:p w14:paraId="6B72EFC9" w14:textId="77777777" w:rsidR="00981B08" w:rsidRPr="00143DC7" w:rsidRDefault="00981B08" w:rsidP="00782395">
            <w:pPr>
              <w:pStyle w:val="TRNormal"/>
              <w:tabs>
                <w:tab w:val="left" w:pos="567"/>
              </w:tabs>
              <w:spacing w:line="240" w:lineRule="auto"/>
              <w:jc w:val="left"/>
              <w:rPr>
                <w:rFonts w:ascii="Wingdings 2" w:hAnsi="Wingdings 2"/>
                <w:sz w:val="22"/>
                <w:szCs w:val="24"/>
                <w:lang w:val="en-GB"/>
              </w:rPr>
            </w:pPr>
          </w:p>
          <w:p w14:paraId="3365DB85" w14:textId="77777777" w:rsidR="00981B08" w:rsidRPr="00143DC7" w:rsidRDefault="00981B08" w:rsidP="00782395">
            <w:pPr>
              <w:pStyle w:val="TRNormal"/>
              <w:tabs>
                <w:tab w:val="left" w:pos="567"/>
              </w:tabs>
              <w:spacing w:line="240" w:lineRule="auto"/>
              <w:jc w:val="left"/>
              <w:rPr>
                <w:rFonts w:ascii="Arial" w:hAnsi="Arial"/>
                <w:sz w:val="22"/>
                <w:lang w:val="en-GB"/>
              </w:rPr>
            </w:pPr>
            <w:r w:rsidRPr="00143DC7">
              <w:rPr>
                <w:sz w:val="22"/>
              </w:rPr>
              <w:t xml:space="preserve">Overall comment:  Improvement on </w:t>
            </w:r>
            <w:r w:rsidR="008D077E">
              <w:rPr>
                <w:sz w:val="22"/>
              </w:rPr>
              <w:t xml:space="preserve">the </w:t>
            </w:r>
            <w:r w:rsidRPr="00143DC7">
              <w:rPr>
                <w:sz w:val="22"/>
              </w:rPr>
              <w:t>status quo</w:t>
            </w:r>
          </w:p>
        </w:tc>
      </w:tr>
      <w:tr w:rsidR="00C03BEA" w:rsidRPr="006E2223" w14:paraId="4CF1FB9A" w14:textId="77777777" w:rsidTr="00073EA9">
        <w:tc>
          <w:tcPr>
            <w:tcW w:w="4643" w:type="dxa"/>
          </w:tcPr>
          <w:p w14:paraId="469E27D7" w14:textId="77777777" w:rsidR="00C03BEA" w:rsidRPr="00C40759" w:rsidRDefault="00782395" w:rsidP="00C03BEA">
            <w:pPr>
              <w:pStyle w:val="TRNormal"/>
              <w:tabs>
                <w:tab w:val="left" w:pos="567"/>
              </w:tabs>
              <w:spacing w:line="240" w:lineRule="auto"/>
              <w:rPr>
                <w:sz w:val="22"/>
              </w:rPr>
            </w:pPr>
            <w:r>
              <w:rPr>
                <w:sz w:val="22"/>
              </w:rPr>
              <w:t>Option 3: i</w:t>
            </w:r>
            <w:r w:rsidR="00C03BEA">
              <w:rPr>
                <w:sz w:val="22"/>
              </w:rPr>
              <w:t>ntroduce an active business test that is specific to financial institutions</w:t>
            </w:r>
          </w:p>
        </w:tc>
        <w:tc>
          <w:tcPr>
            <w:tcW w:w="4644" w:type="dxa"/>
          </w:tcPr>
          <w:p w14:paraId="3C6B4470" w14:textId="77777777" w:rsidR="00C03BEA" w:rsidRPr="00143DC7" w:rsidRDefault="00C03BEA" w:rsidP="00782395">
            <w:pPr>
              <w:pStyle w:val="TRNormal"/>
              <w:tabs>
                <w:tab w:val="left" w:pos="567"/>
              </w:tabs>
              <w:spacing w:line="240" w:lineRule="auto"/>
              <w:jc w:val="left"/>
              <w:rPr>
                <w:rFonts w:ascii="Arial" w:hAnsi="Arial"/>
                <w:sz w:val="22"/>
                <w:lang w:val="en-GB"/>
              </w:rPr>
            </w:pPr>
            <w:r>
              <w:rPr>
                <w:sz w:val="22"/>
              </w:rPr>
              <w:t>Meets</w:t>
            </w:r>
            <w:r w:rsidRPr="00143DC7">
              <w:rPr>
                <w:sz w:val="22"/>
              </w:rPr>
              <w:t xml:space="preserve"> the main objective</w:t>
            </w:r>
          </w:p>
          <w:p w14:paraId="7A2D54A6" w14:textId="77777777" w:rsidR="00C03BEA" w:rsidRPr="00143DC7" w:rsidRDefault="00C03BEA" w:rsidP="00782395">
            <w:pPr>
              <w:pStyle w:val="TRNormal"/>
              <w:tabs>
                <w:tab w:val="left" w:pos="567"/>
              </w:tabs>
              <w:spacing w:line="240" w:lineRule="auto"/>
              <w:jc w:val="left"/>
              <w:rPr>
                <w:rFonts w:ascii="Arial" w:hAnsi="Arial"/>
                <w:sz w:val="22"/>
                <w:lang w:val="en-GB"/>
              </w:rPr>
            </w:pPr>
          </w:p>
          <w:p w14:paraId="38156DF3" w14:textId="77777777" w:rsidR="00C03BEA" w:rsidRPr="00143DC7" w:rsidRDefault="00C03BEA" w:rsidP="00782395">
            <w:pPr>
              <w:pStyle w:val="TRNormal"/>
              <w:tabs>
                <w:tab w:val="left" w:pos="567"/>
              </w:tabs>
              <w:spacing w:line="240" w:lineRule="auto"/>
              <w:jc w:val="left"/>
              <w:rPr>
                <w:rFonts w:ascii="Wingdings 2" w:hAnsi="Wingdings 2"/>
                <w:sz w:val="22"/>
                <w:szCs w:val="24"/>
                <w:lang w:val="en-GB"/>
              </w:rPr>
            </w:pPr>
            <w:r w:rsidRPr="00143DC7">
              <w:rPr>
                <w:sz w:val="22"/>
              </w:rPr>
              <w:t xml:space="preserve">Fairness &amp; equity: </w:t>
            </w:r>
            <w:r w:rsidR="00CB5273">
              <w:rPr>
                <w:rFonts w:ascii="Wingdings 2" w:hAnsi="Wingdings 2"/>
                <w:sz w:val="22"/>
                <w:szCs w:val="24"/>
              </w:rPr>
              <w:t></w:t>
            </w:r>
            <w:r w:rsidR="00CB5273" w:rsidRPr="00143DC7">
              <w:rPr>
                <w:rFonts w:ascii="Wingdings 2" w:hAnsi="Wingdings 2"/>
                <w:sz w:val="22"/>
                <w:szCs w:val="24"/>
              </w:rPr>
              <w:t></w:t>
            </w:r>
          </w:p>
          <w:p w14:paraId="2927D0AE" w14:textId="77777777" w:rsidR="00C03BEA" w:rsidRPr="00143DC7" w:rsidRDefault="00C03BEA" w:rsidP="00782395">
            <w:pPr>
              <w:pStyle w:val="TRNormal"/>
              <w:tabs>
                <w:tab w:val="left" w:pos="567"/>
              </w:tabs>
              <w:spacing w:line="240" w:lineRule="auto"/>
              <w:jc w:val="left"/>
              <w:rPr>
                <w:rFonts w:ascii="Wingdings 2" w:hAnsi="Wingdings 2"/>
                <w:sz w:val="22"/>
                <w:szCs w:val="24"/>
                <w:lang w:val="en-GB"/>
              </w:rPr>
            </w:pPr>
            <w:r w:rsidRPr="00143DC7">
              <w:rPr>
                <w:sz w:val="22"/>
              </w:rPr>
              <w:t xml:space="preserve">Compliance and administration: </w:t>
            </w:r>
            <w:r w:rsidRPr="00143DC7">
              <w:rPr>
                <w:rFonts w:ascii="Wingdings 2" w:hAnsi="Wingdings 2"/>
                <w:sz w:val="22"/>
                <w:szCs w:val="24"/>
              </w:rPr>
              <w:t></w:t>
            </w:r>
          </w:p>
          <w:p w14:paraId="777D6F09" w14:textId="77777777" w:rsidR="00C03BEA" w:rsidRPr="00143DC7" w:rsidRDefault="00C03BEA" w:rsidP="00782395">
            <w:pPr>
              <w:pStyle w:val="TRNormal"/>
              <w:tabs>
                <w:tab w:val="left" w:pos="567"/>
              </w:tabs>
              <w:spacing w:line="240" w:lineRule="auto"/>
              <w:jc w:val="left"/>
              <w:rPr>
                <w:rFonts w:ascii="Wingdings 2" w:hAnsi="Wingdings 2"/>
                <w:sz w:val="22"/>
                <w:szCs w:val="24"/>
                <w:lang w:val="en-GB"/>
              </w:rPr>
            </w:pPr>
          </w:p>
          <w:p w14:paraId="2219A595" w14:textId="77777777" w:rsidR="00C03BEA" w:rsidRPr="00143DC7" w:rsidRDefault="008D082A" w:rsidP="00782395">
            <w:pPr>
              <w:pStyle w:val="TRNormal"/>
              <w:tabs>
                <w:tab w:val="left" w:pos="567"/>
              </w:tabs>
              <w:spacing w:line="240" w:lineRule="auto"/>
              <w:jc w:val="left"/>
              <w:rPr>
                <w:rFonts w:ascii="Arial" w:hAnsi="Arial"/>
                <w:sz w:val="22"/>
                <w:lang w:val="en-GB"/>
              </w:rPr>
            </w:pPr>
            <w:r>
              <w:rPr>
                <w:sz w:val="22"/>
              </w:rPr>
              <w:t xml:space="preserve">Overall comment: </w:t>
            </w:r>
            <w:r w:rsidR="000651AB">
              <w:rPr>
                <w:sz w:val="22"/>
              </w:rPr>
              <w:t>Improvement</w:t>
            </w:r>
            <w:r w:rsidR="00C03BEA" w:rsidRPr="00143DC7">
              <w:rPr>
                <w:sz w:val="22"/>
              </w:rPr>
              <w:t xml:space="preserve"> on </w:t>
            </w:r>
            <w:r w:rsidR="00F92208">
              <w:rPr>
                <w:sz w:val="22"/>
              </w:rPr>
              <w:t xml:space="preserve">the </w:t>
            </w:r>
            <w:r w:rsidR="00C03BEA" w:rsidRPr="00143DC7">
              <w:rPr>
                <w:sz w:val="22"/>
              </w:rPr>
              <w:t>status quo</w:t>
            </w:r>
            <w:r w:rsidR="00CB5273">
              <w:rPr>
                <w:sz w:val="22"/>
              </w:rPr>
              <w:t>, but not feasible in the short</w:t>
            </w:r>
            <w:r w:rsidR="00CC58D3">
              <w:rPr>
                <w:sz w:val="22"/>
              </w:rPr>
              <w:t xml:space="preserve"> to medium</w:t>
            </w:r>
            <w:r w:rsidR="00CB5273">
              <w:rPr>
                <w:sz w:val="22"/>
              </w:rPr>
              <w:t xml:space="preserve"> term </w:t>
            </w:r>
            <w:r w:rsidR="00F92208">
              <w:rPr>
                <w:sz w:val="22"/>
              </w:rPr>
              <w:t xml:space="preserve">owing </w:t>
            </w:r>
            <w:r w:rsidR="00CB5273">
              <w:rPr>
                <w:sz w:val="22"/>
              </w:rPr>
              <w:t>to limited resources and competing priorities on the Government’s tax policy work programme.</w:t>
            </w:r>
          </w:p>
        </w:tc>
      </w:tr>
    </w:tbl>
    <w:p w14:paraId="7A4E1ECE" w14:textId="77777777" w:rsidR="000865E9" w:rsidRDefault="000865E9" w:rsidP="00782395">
      <w:pPr>
        <w:pStyle w:val="spacer"/>
        <w:jc w:val="both"/>
        <w:rPr>
          <w:lang w:val="en-AU"/>
        </w:rPr>
      </w:pPr>
    </w:p>
    <w:p w14:paraId="2200B934" w14:textId="77777777" w:rsidR="00F92208" w:rsidRPr="00782395" w:rsidRDefault="00F92208" w:rsidP="00782395">
      <w:pPr>
        <w:pStyle w:val="spacer"/>
        <w:jc w:val="both"/>
        <w:rPr>
          <w:lang w:val="en-AU"/>
        </w:rPr>
      </w:pPr>
    </w:p>
    <w:p w14:paraId="10CDB6D1" w14:textId="77777777" w:rsidR="000545DC" w:rsidRPr="00FC53CF" w:rsidRDefault="000865E9" w:rsidP="008D082A">
      <w:pPr>
        <w:pStyle w:val="Bullet-list"/>
        <w:numPr>
          <w:ilvl w:val="0"/>
          <w:numId w:val="12"/>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Inland Revenue prefers option 2 which is to remove the 30 June 2009 </w:t>
      </w:r>
      <w:r w:rsidR="00C03BEA">
        <w:rPr>
          <w:rFonts w:ascii="Times New Roman" w:hAnsi="Times New Roman"/>
          <w:sz w:val="24"/>
          <w:szCs w:val="24"/>
        </w:rPr>
        <w:t xml:space="preserve">ownership </w:t>
      </w:r>
      <w:r>
        <w:rPr>
          <w:rFonts w:ascii="Times New Roman" w:hAnsi="Times New Roman"/>
          <w:sz w:val="24"/>
          <w:szCs w:val="24"/>
        </w:rPr>
        <w:t>requirement</w:t>
      </w:r>
      <w:r w:rsidR="00CB5273">
        <w:rPr>
          <w:rFonts w:ascii="Times New Roman" w:hAnsi="Times New Roman"/>
          <w:sz w:val="24"/>
          <w:szCs w:val="24"/>
        </w:rPr>
        <w:t xml:space="preserve"> from the active business test determination provision</w:t>
      </w:r>
      <w:r>
        <w:rPr>
          <w:rFonts w:ascii="Times New Roman" w:hAnsi="Times New Roman"/>
          <w:sz w:val="24"/>
          <w:szCs w:val="24"/>
        </w:rPr>
        <w:t xml:space="preserve"> for the following reasons:</w:t>
      </w:r>
    </w:p>
    <w:p w14:paraId="3EEB28DF" w14:textId="77777777" w:rsidR="00FC53CF" w:rsidRDefault="00FC53CF" w:rsidP="00FC1D7B">
      <w:pPr>
        <w:pStyle w:val="Bullet-list"/>
        <w:spacing w:after="0" w:line="240" w:lineRule="auto"/>
        <w:ind w:left="0" w:firstLine="0"/>
        <w:jc w:val="both"/>
        <w:rPr>
          <w:rFonts w:ascii="Times New Roman" w:hAnsi="Times New Roman"/>
          <w:sz w:val="24"/>
          <w:szCs w:val="24"/>
        </w:rPr>
      </w:pPr>
    </w:p>
    <w:p w14:paraId="5E8BCEA6" w14:textId="77777777" w:rsidR="00FC53CF" w:rsidRPr="00782395" w:rsidRDefault="00C03BEA"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It a</w:t>
      </w:r>
      <w:r w:rsidR="00FC53CF">
        <w:rPr>
          <w:rFonts w:ascii="Times New Roman" w:hAnsi="Times New Roman"/>
          <w:sz w:val="24"/>
          <w:szCs w:val="24"/>
        </w:rPr>
        <w:t>chieves</w:t>
      </w:r>
      <w:r>
        <w:rPr>
          <w:rFonts w:ascii="Times New Roman" w:hAnsi="Times New Roman"/>
          <w:sz w:val="24"/>
          <w:szCs w:val="24"/>
        </w:rPr>
        <w:t xml:space="preserve"> the main</w:t>
      </w:r>
      <w:r w:rsidR="00FC53CF">
        <w:rPr>
          <w:rFonts w:ascii="Times New Roman" w:hAnsi="Times New Roman"/>
          <w:sz w:val="24"/>
          <w:szCs w:val="24"/>
        </w:rPr>
        <w:t xml:space="preserve"> objective to make </w:t>
      </w:r>
      <w:r w:rsidR="00F92208">
        <w:rPr>
          <w:rFonts w:ascii="Times New Roman" w:hAnsi="Times New Roman"/>
          <w:sz w:val="24"/>
          <w:szCs w:val="24"/>
        </w:rPr>
        <w:t xml:space="preserve">the </w:t>
      </w:r>
      <w:r w:rsidR="00FC53CF">
        <w:rPr>
          <w:rFonts w:ascii="Times New Roman" w:hAnsi="Times New Roman"/>
          <w:sz w:val="24"/>
          <w:szCs w:val="24"/>
        </w:rPr>
        <w:t xml:space="preserve">CFC rules apply </w:t>
      </w:r>
      <w:r w:rsidR="00F92208">
        <w:rPr>
          <w:rFonts w:ascii="Times New Roman" w:hAnsi="Times New Roman"/>
          <w:sz w:val="24"/>
          <w:szCs w:val="24"/>
        </w:rPr>
        <w:t xml:space="preserve">on a </w:t>
      </w:r>
      <w:r w:rsidR="00FC53CF">
        <w:rPr>
          <w:rFonts w:ascii="Times New Roman" w:hAnsi="Times New Roman"/>
          <w:sz w:val="24"/>
          <w:szCs w:val="24"/>
        </w:rPr>
        <w:t>consistent</w:t>
      </w:r>
      <w:r w:rsidR="00F92208">
        <w:rPr>
          <w:rFonts w:ascii="Times New Roman" w:hAnsi="Times New Roman"/>
          <w:sz w:val="24"/>
          <w:szCs w:val="24"/>
        </w:rPr>
        <w:t xml:space="preserve"> basis </w:t>
      </w:r>
      <w:r>
        <w:rPr>
          <w:rFonts w:ascii="Times New Roman" w:hAnsi="Times New Roman"/>
          <w:sz w:val="24"/>
          <w:szCs w:val="24"/>
        </w:rPr>
        <w:t>and</w:t>
      </w:r>
      <w:r w:rsidR="00F92208">
        <w:rPr>
          <w:rFonts w:ascii="Times New Roman" w:hAnsi="Times New Roman"/>
          <w:sz w:val="24"/>
          <w:szCs w:val="24"/>
        </w:rPr>
        <w:t>,</w:t>
      </w:r>
      <w:r>
        <w:rPr>
          <w:rFonts w:ascii="Times New Roman" w:hAnsi="Times New Roman"/>
          <w:sz w:val="24"/>
          <w:szCs w:val="24"/>
        </w:rPr>
        <w:t xml:space="preserve"> in particular, </w:t>
      </w:r>
      <w:r w:rsidR="00F92208">
        <w:rPr>
          <w:rFonts w:ascii="Times New Roman" w:hAnsi="Times New Roman"/>
          <w:sz w:val="24"/>
          <w:szCs w:val="24"/>
        </w:rPr>
        <w:t xml:space="preserve">to </w:t>
      </w:r>
      <w:r>
        <w:rPr>
          <w:rFonts w:ascii="Times New Roman" w:hAnsi="Times New Roman"/>
          <w:sz w:val="24"/>
          <w:szCs w:val="24"/>
        </w:rPr>
        <w:t>ensure that active insurance businesses are able to pass the active business test.</w:t>
      </w:r>
    </w:p>
    <w:p w14:paraId="348395C4" w14:textId="77777777" w:rsidR="00FC53CF" w:rsidRPr="00782395" w:rsidRDefault="00FC53CF" w:rsidP="00782395">
      <w:pPr>
        <w:pStyle w:val="Bullet-list"/>
        <w:spacing w:after="0" w:line="240" w:lineRule="auto"/>
        <w:ind w:left="1134" w:firstLine="0"/>
        <w:jc w:val="both"/>
        <w:rPr>
          <w:rFonts w:ascii="Times New Roman" w:hAnsi="Times New Roman"/>
          <w:sz w:val="24"/>
          <w:szCs w:val="24"/>
        </w:rPr>
      </w:pPr>
    </w:p>
    <w:p w14:paraId="3715436A" w14:textId="77777777" w:rsidR="00FC53CF" w:rsidRPr="00782395" w:rsidRDefault="00944544"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Competing priorities mean that there is insufficient space on the Government’s tax policy work programme </w:t>
      </w:r>
      <w:r w:rsidR="00693DC9">
        <w:rPr>
          <w:rFonts w:ascii="Times New Roman" w:hAnsi="Times New Roman"/>
          <w:sz w:val="24"/>
          <w:szCs w:val="24"/>
        </w:rPr>
        <w:t xml:space="preserve">to implement </w:t>
      </w:r>
      <w:r>
        <w:rPr>
          <w:rFonts w:ascii="Times New Roman" w:hAnsi="Times New Roman"/>
          <w:sz w:val="24"/>
          <w:szCs w:val="24"/>
        </w:rPr>
        <w:t>option 3</w:t>
      </w:r>
      <w:r w:rsidR="00693DC9">
        <w:rPr>
          <w:rFonts w:ascii="Times New Roman" w:hAnsi="Times New Roman"/>
          <w:sz w:val="24"/>
          <w:szCs w:val="24"/>
        </w:rPr>
        <w:t xml:space="preserve"> at this time</w:t>
      </w:r>
      <w:r w:rsidR="00F92208">
        <w:rPr>
          <w:rFonts w:ascii="Times New Roman" w:hAnsi="Times New Roman"/>
          <w:sz w:val="24"/>
          <w:szCs w:val="24"/>
        </w:rPr>
        <w:t xml:space="preserve">.  Implementing </w:t>
      </w:r>
      <w:r w:rsidR="00965312">
        <w:rPr>
          <w:rFonts w:ascii="Times New Roman" w:hAnsi="Times New Roman"/>
          <w:sz w:val="24"/>
          <w:szCs w:val="24"/>
        </w:rPr>
        <w:t xml:space="preserve">option 3 would require substantial </w:t>
      </w:r>
      <w:r w:rsidR="00693DC9">
        <w:rPr>
          <w:rFonts w:ascii="Times New Roman" w:hAnsi="Times New Roman"/>
          <w:sz w:val="24"/>
          <w:szCs w:val="24"/>
        </w:rPr>
        <w:t xml:space="preserve">policy </w:t>
      </w:r>
      <w:r w:rsidR="00965312">
        <w:rPr>
          <w:rFonts w:ascii="Times New Roman" w:hAnsi="Times New Roman"/>
          <w:sz w:val="24"/>
          <w:szCs w:val="24"/>
        </w:rPr>
        <w:t>resource</w:t>
      </w:r>
      <w:r w:rsidR="00CB5273">
        <w:rPr>
          <w:rFonts w:ascii="Times New Roman" w:hAnsi="Times New Roman"/>
          <w:sz w:val="24"/>
          <w:szCs w:val="24"/>
        </w:rPr>
        <w:t xml:space="preserve"> </w:t>
      </w:r>
      <w:r w:rsidR="00693DC9">
        <w:rPr>
          <w:rFonts w:ascii="Times New Roman" w:hAnsi="Times New Roman"/>
          <w:sz w:val="24"/>
          <w:szCs w:val="24"/>
        </w:rPr>
        <w:t xml:space="preserve">and time </w:t>
      </w:r>
      <w:r w:rsidR="00F92208">
        <w:rPr>
          <w:rFonts w:ascii="Times New Roman" w:hAnsi="Times New Roman"/>
          <w:sz w:val="24"/>
          <w:szCs w:val="24"/>
        </w:rPr>
        <w:t xml:space="preserve">because of </w:t>
      </w:r>
      <w:r w:rsidR="00CB5273">
        <w:rPr>
          <w:rFonts w:ascii="Times New Roman" w:hAnsi="Times New Roman"/>
          <w:sz w:val="24"/>
          <w:szCs w:val="24"/>
        </w:rPr>
        <w:t xml:space="preserve">the complexities </w:t>
      </w:r>
      <w:r w:rsidR="00782395">
        <w:rPr>
          <w:rFonts w:ascii="Times New Roman" w:hAnsi="Times New Roman"/>
          <w:sz w:val="24"/>
          <w:szCs w:val="24"/>
        </w:rPr>
        <w:t xml:space="preserve">in </w:t>
      </w:r>
      <w:r w:rsidR="00CB5273">
        <w:rPr>
          <w:rFonts w:ascii="Times New Roman" w:hAnsi="Times New Roman"/>
          <w:sz w:val="24"/>
          <w:szCs w:val="24"/>
        </w:rPr>
        <w:t>determining the boundary between active and passive income in relation to financial institutions</w:t>
      </w:r>
      <w:r w:rsidR="00965312">
        <w:rPr>
          <w:rFonts w:ascii="Times New Roman" w:hAnsi="Times New Roman"/>
          <w:sz w:val="24"/>
          <w:szCs w:val="24"/>
        </w:rPr>
        <w:t>.</w:t>
      </w:r>
      <w:r w:rsidR="008D082A">
        <w:rPr>
          <w:rFonts w:ascii="Times New Roman" w:hAnsi="Times New Roman"/>
          <w:sz w:val="24"/>
          <w:szCs w:val="24"/>
        </w:rPr>
        <w:t xml:space="preserve">  Trade-offs would need to be made to progress option 3.</w:t>
      </w:r>
      <w:r w:rsidR="00CC58D3">
        <w:rPr>
          <w:rFonts w:ascii="Times New Roman" w:hAnsi="Times New Roman"/>
          <w:sz w:val="24"/>
          <w:szCs w:val="24"/>
        </w:rPr>
        <w:t xml:space="preserve">  In addition, option 3 would affect a very small number of taxpayers relative to the resources required to implement it.</w:t>
      </w:r>
    </w:p>
    <w:p w14:paraId="45C810B9" w14:textId="77777777" w:rsidR="00FC53CF" w:rsidRPr="00782395" w:rsidRDefault="00FC53CF" w:rsidP="00782395">
      <w:pPr>
        <w:pStyle w:val="Bullet-list"/>
        <w:spacing w:after="0" w:line="240" w:lineRule="auto"/>
        <w:ind w:left="1134" w:firstLine="0"/>
        <w:jc w:val="both"/>
        <w:rPr>
          <w:rFonts w:ascii="Times New Roman" w:hAnsi="Times New Roman"/>
          <w:sz w:val="24"/>
          <w:szCs w:val="24"/>
        </w:rPr>
      </w:pPr>
    </w:p>
    <w:p w14:paraId="27367388" w14:textId="77777777" w:rsidR="000865E9" w:rsidRPr="00981B08" w:rsidRDefault="00965312"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The implementation of option 2 would not preclude option 3 from being considered and</w:t>
      </w:r>
      <w:r w:rsidR="0002098A">
        <w:rPr>
          <w:rFonts w:ascii="Times New Roman" w:hAnsi="Times New Roman"/>
          <w:sz w:val="24"/>
          <w:szCs w:val="24"/>
        </w:rPr>
        <w:t xml:space="preserve">, </w:t>
      </w:r>
      <w:r>
        <w:rPr>
          <w:rFonts w:ascii="Times New Roman" w:hAnsi="Times New Roman"/>
          <w:sz w:val="24"/>
          <w:szCs w:val="24"/>
        </w:rPr>
        <w:t xml:space="preserve">if appropriate, implemented at a later date. </w:t>
      </w:r>
    </w:p>
    <w:p w14:paraId="6EFAF894" w14:textId="77777777" w:rsidR="00FC53CF" w:rsidRPr="00782395" w:rsidRDefault="00FC53CF" w:rsidP="00782395">
      <w:pPr>
        <w:pStyle w:val="spacer"/>
        <w:jc w:val="both"/>
        <w:rPr>
          <w:rFonts w:ascii="Times New Roman" w:hAnsi="Times New Roman"/>
          <w:sz w:val="24"/>
          <w:szCs w:val="24"/>
          <w:lang w:val="en-AU"/>
        </w:rPr>
      </w:pPr>
    </w:p>
    <w:p w14:paraId="2D1F2D3E" w14:textId="77777777" w:rsidR="00D943DD" w:rsidRPr="004342F0" w:rsidRDefault="00D943DD" w:rsidP="00FC1D7B">
      <w:pPr>
        <w:pStyle w:val="spacer"/>
        <w:jc w:val="both"/>
        <w:rPr>
          <w:rFonts w:ascii="Times New Roman" w:hAnsi="Times New Roman"/>
          <w:sz w:val="24"/>
          <w:szCs w:val="24"/>
          <w:lang w:val="en-AU"/>
        </w:rPr>
      </w:pPr>
      <w:bookmarkStart w:id="33" w:name="_Toc244580368"/>
      <w:bookmarkStart w:id="34" w:name="_Toc244587044"/>
      <w:bookmarkStart w:id="35" w:name="_Toc244857278"/>
      <w:bookmarkStart w:id="36" w:name="_Toc244912543"/>
      <w:bookmarkStart w:id="37" w:name="_Toc244917000"/>
    </w:p>
    <w:p w14:paraId="20177785" w14:textId="77777777" w:rsidR="000545DC" w:rsidRDefault="00D943DD" w:rsidP="00FC1D7B">
      <w:pPr>
        <w:pStyle w:val="RISheading"/>
        <w:spacing w:before="0" w:after="0"/>
        <w:jc w:val="both"/>
        <w:rPr>
          <w:spacing w:val="0"/>
          <w:w w:val="100"/>
        </w:rPr>
      </w:pPr>
      <w:r w:rsidRPr="004342F0">
        <w:rPr>
          <w:spacing w:val="0"/>
          <w:w w:val="100"/>
        </w:rPr>
        <w:t>IMPLEMENTATION</w:t>
      </w:r>
      <w:bookmarkEnd w:id="33"/>
      <w:bookmarkEnd w:id="34"/>
      <w:bookmarkEnd w:id="35"/>
      <w:bookmarkEnd w:id="36"/>
      <w:bookmarkEnd w:id="37"/>
      <w:r w:rsidRPr="004342F0">
        <w:rPr>
          <w:spacing w:val="0"/>
          <w:w w:val="100"/>
        </w:rPr>
        <w:t xml:space="preserve"> </w:t>
      </w:r>
    </w:p>
    <w:p w14:paraId="3F50F48B" w14:textId="77777777" w:rsidR="00FC53CF" w:rsidRPr="00782395" w:rsidRDefault="00FC53CF" w:rsidP="00782395">
      <w:pPr>
        <w:pStyle w:val="spacer"/>
        <w:jc w:val="both"/>
        <w:rPr>
          <w:lang w:val="en-AU"/>
        </w:rPr>
      </w:pPr>
    </w:p>
    <w:p w14:paraId="1FC2606D" w14:textId="77777777" w:rsidR="000545DC" w:rsidRPr="004342F0" w:rsidRDefault="00C03BEA" w:rsidP="008D082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Legislative change</w:t>
      </w:r>
      <w:r w:rsidR="00401C51">
        <w:rPr>
          <w:rFonts w:ascii="Times New Roman" w:hAnsi="Times New Roman"/>
          <w:sz w:val="24"/>
          <w:szCs w:val="24"/>
        </w:rPr>
        <w:t>s to the Tax Administration Act 1994</w:t>
      </w:r>
      <w:r>
        <w:rPr>
          <w:rFonts w:ascii="Times New Roman" w:hAnsi="Times New Roman"/>
          <w:sz w:val="24"/>
          <w:szCs w:val="24"/>
        </w:rPr>
        <w:t xml:space="preserve"> would be required to </w:t>
      </w:r>
      <w:r w:rsidR="002D6F42">
        <w:rPr>
          <w:rFonts w:ascii="Times New Roman" w:hAnsi="Times New Roman"/>
          <w:sz w:val="24"/>
          <w:szCs w:val="24"/>
        </w:rPr>
        <w:t xml:space="preserve">implement </w:t>
      </w:r>
      <w:r>
        <w:rPr>
          <w:rFonts w:ascii="Times New Roman" w:hAnsi="Times New Roman"/>
          <w:sz w:val="24"/>
          <w:szCs w:val="24"/>
        </w:rPr>
        <w:t>option 2</w:t>
      </w:r>
      <w:r w:rsidR="00401C51">
        <w:rPr>
          <w:rFonts w:ascii="Times New Roman" w:hAnsi="Times New Roman"/>
          <w:sz w:val="24"/>
          <w:szCs w:val="24"/>
        </w:rPr>
        <w:t>.</w:t>
      </w:r>
      <w:r>
        <w:rPr>
          <w:rFonts w:ascii="Times New Roman" w:hAnsi="Times New Roman"/>
          <w:sz w:val="24"/>
          <w:szCs w:val="24"/>
        </w:rPr>
        <w:t xml:space="preserve"> </w:t>
      </w:r>
      <w:r w:rsidR="00401C51">
        <w:rPr>
          <w:rFonts w:ascii="Times New Roman" w:hAnsi="Times New Roman"/>
          <w:sz w:val="24"/>
          <w:szCs w:val="24"/>
        </w:rPr>
        <w:t xml:space="preserve">  These </w:t>
      </w:r>
      <w:r>
        <w:rPr>
          <w:rFonts w:ascii="Times New Roman" w:hAnsi="Times New Roman"/>
          <w:sz w:val="24"/>
          <w:szCs w:val="24"/>
        </w:rPr>
        <w:t xml:space="preserve">amendments could be included in </w:t>
      </w:r>
      <w:r w:rsidR="00401C51">
        <w:rPr>
          <w:rFonts w:ascii="Times New Roman" w:hAnsi="Times New Roman"/>
          <w:sz w:val="24"/>
          <w:szCs w:val="24"/>
        </w:rPr>
        <w:t xml:space="preserve">the </w:t>
      </w:r>
      <w:r>
        <w:rPr>
          <w:rFonts w:ascii="Times New Roman" w:hAnsi="Times New Roman"/>
          <w:sz w:val="24"/>
          <w:szCs w:val="24"/>
        </w:rPr>
        <w:t xml:space="preserve">bill </w:t>
      </w:r>
      <w:r w:rsidR="00401C51">
        <w:rPr>
          <w:rFonts w:ascii="Times New Roman" w:hAnsi="Times New Roman"/>
          <w:sz w:val="24"/>
          <w:szCs w:val="24"/>
        </w:rPr>
        <w:t xml:space="preserve">which is scheduled to be </w:t>
      </w:r>
      <w:r>
        <w:rPr>
          <w:rFonts w:ascii="Times New Roman" w:hAnsi="Times New Roman"/>
          <w:sz w:val="24"/>
          <w:szCs w:val="24"/>
        </w:rPr>
        <w:t xml:space="preserve">introduced </w:t>
      </w:r>
      <w:r w:rsidR="00401C51">
        <w:rPr>
          <w:rFonts w:ascii="Times New Roman" w:hAnsi="Times New Roman"/>
          <w:sz w:val="24"/>
          <w:szCs w:val="24"/>
        </w:rPr>
        <w:t>later this year</w:t>
      </w:r>
      <w:r>
        <w:rPr>
          <w:rFonts w:ascii="Times New Roman" w:hAnsi="Times New Roman"/>
          <w:sz w:val="24"/>
          <w:szCs w:val="24"/>
        </w:rPr>
        <w:t>.</w:t>
      </w:r>
    </w:p>
    <w:p w14:paraId="7EF9E699" w14:textId="77777777" w:rsidR="009E39BD" w:rsidRPr="004342F0" w:rsidRDefault="009E39BD" w:rsidP="008D082A">
      <w:pPr>
        <w:pStyle w:val="Bullet-list"/>
        <w:spacing w:after="0" w:line="240" w:lineRule="auto"/>
        <w:ind w:left="0" w:firstLine="0"/>
        <w:jc w:val="both"/>
        <w:rPr>
          <w:rFonts w:ascii="Times New Roman" w:hAnsi="Times New Roman"/>
          <w:sz w:val="24"/>
          <w:szCs w:val="24"/>
        </w:rPr>
      </w:pPr>
    </w:p>
    <w:p w14:paraId="541073D7" w14:textId="59182B6F" w:rsidR="000545DC" w:rsidRPr="004342F0" w:rsidRDefault="00C03BEA" w:rsidP="00782395">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No systems changes</w:t>
      </w:r>
      <w:r w:rsidR="00CE4D4B">
        <w:rPr>
          <w:rFonts w:ascii="Times New Roman" w:hAnsi="Times New Roman"/>
          <w:sz w:val="24"/>
          <w:szCs w:val="24"/>
        </w:rPr>
        <w:t xml:space="preserve"> would be required to implement option 2.</w:t>
      </w:r>
      <w:r w:rsidR="00782395">
        <w:rPr>
          <w:rFonts w:ascii="Times New Roman" w:hAnsi="Times New Roman"/>
          <w:sz w:val="24"/>
          <w:szCs w:val="24"/>
        </w:rPr>
        <w:t xml:space="preserve">  </w:t>
      </w:r>
      <w:r w:rsidR="00CE4D4B">
        <w:rPr>
          <w:rFonts w:ascii="Times New Roman" w:hAnsi="Times New Roman"/>
          <w:sz w:val="24"/>
          <w:szCs w:val="24"/>
        </w:rPr>
        <w:t xml:space="preserve">However, it would require the use of </w:t>
      </w:r>
      <w:r w:rsidR="00965312">
        <w:rPr>
          <w:rFonts w:ascii="Times New Roman" w:hAnsi="Times New Roman"/>
          <w:sz w:val="24"/>
          <w:szCs w:val="24"/>
        </w:rPr>
        <w:t>the Commissioner’s resources</w:t>
      </w:r>
      <w:r w:rsidR="00CE4D4B">
        <w:rPr>
          <w:rFonts w:ascii="Times New Roman" w:hAnsi="Times New Roman"/>
          <w:sz w:val="24"/>
          <w:szCs w:val="24"/>
        </w:rPr>
        <w:t xml:space="preserve"> to consider applications for a determination</w:t>
      </w:r>
      <w:r w:rsidR="00965312">
        <w:rPr>
          <w:rFonts w:ascii="Times New Roman" w:hAnsi="Times New Roman"/>
          <w:sz w:val="24"/>
          <w:szCs w:val="24"/>
        </w:rPr>
        <w:t xml:space="preserve">. </w:t>
      </w:r>
      <w:r w:rsidR="00401C51">
        <w:rPr>
          <w:rFonts w:ascii="Times New Roman" w:hAnsi="Times New Roman"/>
          <w:sz w:val="24"/>
          <w:szCs w:val="24"/>
        </w:rPr>
        <w:t xml:space="preserve"> </w:t>
      </w:r>
      <w:r w:rsidR="00965312">
        <w:rPr>
          <w:rFonts w:ascii="Times New Roman" w:hAnsi="Times New Roman"/>
          <w:sz w:val="24"/>
          <w:szCs w:val="24"/>
        </w:rPr>
        <w:t xml:space="preserve">There are processes in place to issue determinations for active insurance businesses already, so the implementation of option 2 would just be an extension of these </w:t>
      </w:r>
      <w:r w:rsidR="00CB5273">
        <w:rPr>
          <w:rFonts w:ascii="Times New Roman" w:hAnsi="Times New Roman"/>
          <w:sz w:val="24"/>
          <w:szCs w:val="24"/>
        </w:rPr>
        <w:t xml:space="preserve">existing </w:t>
      </w:r>
      <w:r w:rsidR="00965312">
        <w:rPr>
          <w:rFonts w:ascii="Times New Roman" w:hAnsi="Times New Roman"/>
          <w:sz w:val="24"/>
          <w:szCs w:val="24"/>
        </w:rPr>
        <w:t xml:space="preserve">processes.  As the relevant group affected by the issue </w:t>
      </w:r>
      <w:r w:rsidR="002F1EB2">
        <w:rPr>
          <w:rFonts w:ascii="Times New Roman" w:hAnsi="Times New Roman"/>
          <w:sz w:val="24"/>
          <w:szCs w:val="24"/>
        </w:rPr>
        <w:t xml:space="preserve">is relatively small (licensed insurers in New Zealand </w:t>
      </w:r>
      <w:r w:rsidR="00CB5273">
        <w:rPr>
          <w:rFonts w:ascii="Times New Roman" w:hAnsi="Times New Roman"/>
          <w:sz w:val="24"/>
          <w:szCs w:val="24"/>
        </w:rPr>
        <w:t xml:space="preserve">that are </w:t>
      </w:r>
      <w:r w:rsidR="002F1EB2">
        <w:rPr>
          <w:rFonts w:ascii="Times New Roman" w:hAnsi="Times New Roman"/>
          <w:sz w:val="24"/>
          <w:szCs w:val="24"/>
        </w:rPr>
        <w:t xml:space="preserve">required to have a current financial strength rating </w:t>
      </w:r>
      <w:r w:rsidR="00CB5273">
        <w:rPr>
          <w:rFonts w:ascii="Times New Roman" w:hAnsi="Times New Roman"/>
          <w:sz w:val="24"/>
          <w:szCs w:val="24"/>
        </w:rPr>
        <w:t>and also have</w:t>
      </w:r>
      <w:r w:rsidR="002F1EB2">
        <w:rPr>
          <w:rFonts w:ascii="Times New Roman" w:hAnsi="Times New Roman"/>
          <w:sz w:val="24"/>
          <w:szCs w:val="24"/>
        </w:rPr>
        <w:t xml:space="preserve"> offshore active insurance businesses), the existing processes should be able to be appropriately managed.</w:t>
      </w:r>
      <w:r w:rsidR="00CB5273">
        <w:rPr>
          <w:rFonts w:ascii="Times New Roman" w:hAnsi="Times New Roman"/>
          <w:sz w:val="24"/>
          <w:szCs w:val="24"/>
        </w:rPr>
        <w:t xml:space="preserve">  </w:t>
      </w:r>
    </w:p>
    <w:p w14:paraId="1638ED7A" w14:textId="77777777" w:rsidR="009E39BD" w:rsidRPr="004342F0" w:rsidRDefault="009E39BD" w:rsidP="008D082A">
      <w:pPr>
        <w:pStyle w:val="Bullet-list"/>
        <w:spacing w:after="0" w:line="240" w:lineRule="auto"/>
        <w:ind w:left="0" w:firstLine="0"/>
        <w:jc w:val="both"/>
        <w:rPr>
          <w:rFonts w:ascii="Times New Roman" w:hAnsi="Times New Roman"/>
          <w:sz w:val="24"/>
          <w:szCs w:val="24"/>
        </w:rPr>
      </w:pPr>
    </w:p>
    <w:p w14:paraId="20FB2A27" w14:textId="77777777" w:rsidR="000545DC" w:rsidRPr="00CB5273" w:rsidRDefault="00CB5273" w:rsidP="008D082A">
      <w:pPr>
        <w:pStyle w:val="Bullet-list"/>
        <w:numPr>
          <w:ilvl w:val="0"/>
          <w:numId w:val="12"/>
        </w:numPr>
        <w:spacing w:after="0" w:line="240" w:lineRule="auto"/>
        <w:ind w:left="0" w:firstLine="0"/>
        <w:jc w:val="both"/>
        <w:rPr>
          <w:rFonts w:ascii="Times New Roman" w:hAnsi="Times New Roman"/>
          <w:sz w:val="24"/>
          <w:szCs w:val="24"/>
        </w:rPr>
      </w:pPr>
      <w:r w:rsidRPr="00CB5273">
        <w:rPr>
          <w:rFonts w:ascii="Times New Roman" w:hAnsi="Times New Roman"/>
          <w:sz w:val="24"/>
          <w:szCs w:val="24"/>
        </w:rPr>
        <w:t>The implementation of option 2 has the effect of reducing compliance costs for affected parties as they would no longer be required to calculate and attribute in</w:t>
      </w:r>
      <w:r w:rsidR="001F6486">
        <w:rPr>
          <w:rFonts w:ascii="Times New Roman" w:hAnsi="Times New Roman"/>
          <w:sz w:val="24"/>
          <w:szCs w:val="24"/>
        </w:rPr>
        <w:t>come under the CFC rules.  Some of these compliance cost benefits would be offset</w:t>
      </w:r>
      <w:r w:rsidRPr="00CB5273">
        <w:rPr>
          <w:rFonts w:ascii="Times New Roman" w:hAnsi="Times New Roman"/>
          <w:sz w:val="24"/>
          <w:szCs w:val="24"/>
        </w:rPr>
        <w:t xml:space="preserve"> </w:t>
      </w:r>
      <w:r w:rsidR="001F6486">
        <w:rPr>
          <w:rFonts w:ascii="Times New Roman" w:hAnsi="Times New Roman"/>
          <w:sz w:val="24"/>
          <w:szCs w:val="24"/>
        </w:rPr>
        <w:t xml:space="preserve">by compliance </w:t>
      </w:r>
      <w:r w:rsidRPr="00CB5273">
        <w:rPr>
          <w:rFonts w:ascii="Times New Roman" w:hAnsi="Times New Roman"/>
          <w:sz w:val="24"/>
          <w:szCs w:val="24"/>
        </w:rPr>
        <w:t>costs</w:t>
      </w:r>
      <w:r w:rsidR="002D6F42">
        <w:rPr>
          <w:rFonts w:ascii="Times New Roman" w:hAnsi="Times New Roman"/>
          <w:sz w:val="24"/>
          <w:szCs w:val="24"/>
        </w:rPr>
        <w:t xml:space="preserve"> associated with</w:t>
      </w:r>
      <w:r w:rsidRPr="00CB5273">
        <w:rPr>
          <w:rFonts w:ascii="Times New Roman" w:hAnsi="Times New Roman"/>
          <w:sz w:val="24"/>
          <w:szCs w:val="24"/>
        </w:rPr>
        <w:t xml:space="preserve"> </w:t>
      </w:r>
      <w:r w:rsidR="00713D62">
        <w:rPr>
          <w:rFonts w:ascii="Times New Roman" w:hAnsi="Times New Roman"/>
          <w:sz w:val="24"/>
          <w:szCs w:val="24"/>
        </w:rPr>
        <w:t>completing</w:t>
      </w:r>
      <w:r w:rsidR="00713D62" w:rsidRPr="00CB5273">
        <w:rPr>
          <w:rFonts w:ascii="Times New Roman" w:hAnsi="Times New Roman"/>
          <w:sz w:val="24"/>
          <w:szCs w:val="24"/>
        </w:rPr>
        <w:t xml:space="preserve"> </w:t>
      </w:r>
      <w:r w:rsidRPr="00CB5273">
        <w:rPr>
          <w:rFonts w:ascii="Times New Roman" w:hAnsi="Times New Roman"/>
          <w:sz w:val="24"/>
          <w:szCs w:val="24"/>
        </w:rPr>
        <w:t xml:space="preserve">an application for </w:t>
      </w:r>
      <w:r w:rsidR="002D6F42">
        <w:rPr>
          <w:rFonts w:ascii="Times New Roman" w:hAnsi="Times New Roman"/>
          <w:sz w:val="24"/>
          <w:szCs w:val="24"/>
        </w:rPr>
        <w:t>a determination under section 91AAQ</w:t>
      </w:r>
      <w:r w:rsidR="001F6486">
        <w:rPr>
          <w:rFonts w:ascii="Times New Roman" w:hAnsi="Times New Roman"/>
          <w:sz w:val="24"/>
          <w:szCs w:val="24"/>
        </w:rPr>
        <w:t xml:space="preserve">.  However, it is important to note that </w:t>
      </w:r>
      <w:r w:rsidRPr="00CB5273">
        <w:rPr>
          <w:rFonts w:ascii="Times New Roman" w:hAnsi="Times New Roman"/>
          <w:sz w:val="24"/>
          <w:szCs w:val="24"/>
        </w:rPr>
        <w:t>the determination</w:t>
      </w:r>
      <w:r w:rsidR="002D6F42">
        <w:rPr>
          <w:rFonts w:ascii="Times New Roman" w:hAnsi="Times New Roman"/>
          <w:sz w:val="24"/>
          <w:szCs w:val="24"/>
        </w:rPr>
        <w:t xml:space="preserve"> is able to be issued for more than one income </w:t>
      </w:r>
      <w:r w:rsidR="00893927">
        <w:rPr>
          <w:rFonts w:ascii="Times New Roman" w:hAnsi="Times New Roman"/>
          <w:sz w:val="24"/>
          <w:szCs w:val="24"/>
        </w:rPr>
        <w:t>year at a time</w:t>
      </w:r>
      <w:r w:rsidR="002D6F42">
        <w:rPr>
          <w:rFonts w:ascii="Times New Roman" w:hAnsi="Times New Roman"/>
          <w:sz w:val="24"/>
          <w:szCs w:val="24"/>
        </w:rPr>
        <w:t xml:space="preserve"> (currently they tend to be issued for two income years)</w:t>
      </w:r>
      <w:r w:rsidR="00893927">
        <w:rPr>
          <w:rFonts w:ascii="Times New Roman" w:hAnsi="Times New Roman"/>
          <w:sz w:val="24"/>
          <w:szCs w:val="24"/>
        </w:rPr>
        <w:t>, so this means that determination-related compliance costs would not need to be borne every year</w:t>
      </w:r>
      <w:r w:rsidR="001F6486">
        <w:rPr>
          <w:rFonts w:ascii="Times New Roman" w:hAnsi="Times New Roman"/>
          <w:sz w:val="24"/>
          <w:szCs w:val="24"/>
        </w:rPr>
        <w:t>.</w:t>
      </w:r>
    </w:p>
    <w:p w14:paraId="5E8CE2EC" w14:textId="77777777" w:rsidR="009E39BD" w:rsidRPr="00DF1915" w:rsidRDefault="009E39BD" w:rsidP="008D082A">
      <w:pPr>
        <w:pStyle w:val="Bullet-list"/>
        <w:spacing w:after="0" w:line="240" w:lineRule="auto"/>
        <w:ind w:left="0" w:firstLine="0"/>
        <w:jc w:val="both"/>
        <w:rPr>
          <w:rFonts w:ascii="Times New Roman" w:hAnsi="Times New Roman"/>
          <w:sz w:val="24"/>
          <w:szCs w:val="24"/>
          <w:highlight w:val="yellow"/>
        </w:rPr>
      </w:pPr>
    </w:p>
    <w:p w14:paraId="5DEA5FE2" w14:textId="77777777" w:rsidR="00D943DD" w:rsidRPr="0050603B" w:rsidRDefault="00FC1D7B" w:rsidP="008D082A">
      <w:pPr>
        <w:pStyle w:val="Bullet-list"/>
        <w:numPr>
          <w:ilvl w:val="0"/>
          <w:numId w:val="12"/>
        </w:numPr>
        <w:spacing w:after="0" w:line="240" w:lineRule="auto"/>
        <w:ind w:left="0" w:firstLine="0"/>
        <w:jc w:val="both"/>
        <w:rPr>
          <w:rFonts w:ascii="Times New Roman" w:hAnsi="Times New Roman"/>
          <w:sz w:val="24"/>
          <w:szCs w:val="24"/>
        </w:rPr>
      </w:pPr>
      <w:r w:rsidRPr="00FC1D7B">
        <w:rPr>
          <w:rFonts w:ascii="Times New Roman" w:hAnsi="Times New Roman"/>
          <w:sz w:val="24"/>
          <w:szCs w:val="24"/>
        </w:rPr>
        <w:t xml:space="preserve">In implementing option 2, Inland Revenue would be required to update forms and communication material to ensure that licensed insurance companies are aware that they may </w:t>
      </w:r>
      <w:r w:rsidR="00713D62">
        <w:rPr>
          <w:rFonts w:ascii="Times New Roman" w:hAnsi="Times New Roman"/>
          <w:sz w:val="24"/>
          <w:szCs w:val="24"/>
        </w:rPr>
        <w:t xml:space="preserve">be </w:t>
      </w:r>
      <w:r w:rsidRPr="00FC1D7B">
        <w:rPr>
          <w:rFonts w:ascii="Times New Roman" w:hAnsi="Times New Roman"/>
          <w:sz w:val="24"/>
          <w:szCs w:val="24"/>
        </w:rPr>
        <w:t>eligible for a determination that deems them to have passed the active business test in the CFC rules in relation to offshore insurance businesses.</w:t>
      </w:r>
      <w:bookmarkStart w:id="38" w:name="_Toc244580369"/>
      <w:bookmarkStart w:id="39" w:name="_Toc244587045"/>
      <w:bookmarkStart w:id="40" w:name="_Toc244857279"/>
      <w:bookmarkStart w:id="41" w:name="_Toc244912544"/>
      <w:bookmarkStart w:id="42" w:name="_Toc244917001"/>
    </w:p>
    <w:p w14:paraId="036D4D61" w14:textId="77777777" w:rsidR="00713D62" w:rsidRPr="004342F0" w:rsidRDefault="00713D62" w:rsidP="00FC1D7B">
      <w:pPr>
        <w:pStyle w:val="spacer"/>
        <w:jc w:val="both"/>
        <w:rPr>
          <w:rFonts w:ascii="Times New Roman" w:hAnsi="Times New Roman"/>
          <w:sz w:val="24"/>
          <w:szCs w:val="24"/>
          <w:lang w:val="en-AU"/>
        </w:rPr>
      </w:pPr>
    </w:p>
    <w:p w14:paraId="133E2169" w14:textId="77777777" w:rsidR="00385E6F" w:rsidRDefault="00385E6F">
      <w:pPr>
        <w:spacing w:after="0" w:line="240" w:lineRule="auto"/>
        <w:rPr>
          <w:rFonts w:ascii="Times New Roman" w:hAnsi="Times New Roman"/>
          <w:b/>
          <w:sz w:val="24"/>
          <w:szCs w:val="24"/>
        </w:rPr>
      </w:pPr>
    </w:p>
    <w:p w14:paraId="51948233" w14:textId="77777777" w:rsidR="000545DC" w:rsidRDefault="00D943DD" w:rsidP="00FC1D7B">
      <w:pPr>
        <w:pStyle w:val="RISheading"/>
        <w:spacing w:before="0" w:after="0"/>
        <w:jc w:val="both"/>
        <w:rPr>
          <w:spacing w:val="0"/>
          <w:w w:val="100"/>
        </w:rPr>
      </w:pPr>
      <w:r w:rsidRPr="004342F0">
        <w:rPr>
          <w:spacing w:val="0"/>
          <w:w w:val="100"/>
        </w:rPr>
        <w:t>MONITORING, EVALUATION AND REVIEW</w:t>
      </w:r>
      <w:bookmarkEnd w:id="38"/>
      <w:bookmarkEnd w:id="39"/>
      <w:bookmarkEnd w:id="40"/>
      <w:bookmarkEnd w:id="41"/>
      <w:bookmarkEnd w:id="42"/>
    </w:p>
    <w:p w14:paraId="4953BC30" w14:textId="77777777" w:rsidR="00FC53CF" w:rsidRPr="00782395" w:rsidRDefault="00FC53CF" w:rsidP="00782395">
      <w:pPr>
        <w:pStyle w:val="spacer"/>
        <w:jc w:val="both"/>
        <w:rPr>
          <w:lang w:val="en-AU"/>
        </w:rPr>
      </w:pPr>
    </w:p>
    <w:p w14:paraId="2C67593A" w14:textId="77777777" w:rsidR="00F84424" w:rsidRPr="004328A1" w:rsidRDefault="00FC53CF" w:rsidP="00FC1D7B">
      <w:pPr>
        <w:pStyle w:val="ListParagraph"/>
        <w:numPr>
          <w:ilvl w:val="0"/>
          <w:numId w:val="12"/>
        </w:numPr>
        <w:ind w:left="0" w:firstLine="0"/>
        <w:rPr>
          <w:rFonts w:ascii="Times New Roman" w:hAnsi="Times New Roman"/>
          <w:sz w:val="24"/>
          <w:szCs w:val="24"/>
          <w:lang w:val="en-AU"/>
        </w:rPr>
      </w:pPr>
      <w:r w:rsidRPr="00FC53CF">
        <w:rPr>
          <w:rFonts w:ascii="Times New Roman" w:hAnsi="Times New Roman"/>
          <w:sz w:val="24"/>
          <w:szCs w:val="24"/>
        </w:rPr>
        <w:t xml:space="preserve">Inland Revenue </w:t>
      </w:r>
      <w:r w:rsidR="00782395" w:rsidRPr="00FC53CF">
        <w:rPr>
          <w:rFonts w:ascii="Times New Roman" w:hAnsi="Times New Roman"/>
          <w:sz w:val="24"/>
          <w:szCs w:val="24"/>
        </w:rPr>
        <w:t>w</w:t>
      </w:r>
      <w:r w:rsidR="00782395">
        <w:rPr>
          <w:rFonts w:ascii="Times New Roman" w:hAnsi="Times New Roman"/>
          <w:sz w:val="24"/>
          <w:szCs w:val="24"/>
        </w:rPr>
        <w:t xml:space="preserve">ould </w:t>
      </w:r>
      <w:r w:rsidRPr="00FC53CF">
        <w:rPr>
          <w:rFonts w:ascii="Times New Roman" w:hAnsi="Times New Roman"/>
          <w:sz w:val="24"/>
          <w:szCs w:val="24"/>
        </w:rPr>
        <w:t xml:space="preserve">monitor the effectiveness of the proposed changes </w:t>
      </w:r>
      <w:r w:rsidRPr="00FC53CF">
        <w:rPr>
          <w:rFonts w:ascii="Times New Roman" w:hAnsi="Times New Roman"/>
          <w:sz w:val="24"/>
          <w:szCs w:val="24"/>
          <w:lang w:val="en-AU"/>
        </w:rPr>
        <w:t xml:space="preserve">in the first 12 months of operation.  In general, Inland Revenue monitoring, evaluation and review of tax changes takes place under the generic tax policy process (GTPP).  The GTPP is a multi-stage policy process that has been used to design tax policy (and subsequently social policy administered by Inland Revenue) in New Zealand since 1995.  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 </w:t>
      </w:r>
    </w:p>
    <w:p w14:paraId="13D6CD1B" w14:textId="479D1E30" w:rsidR="00594805" w:rsidRDefault="00594805" w:rsidP="00FC1D7B">
      <w:pPr>
        <w:spacing w:after="0" w:line="240" w:lineRule="auto"/>
        <w:jc w:val="both"/>
        <w:rPr>
          <w:rFonts w:ascii="Times New Roman" w:hAnsi="Times New Roman"/>
          <w:sz w:val="24"/>
          <w:szCs w:val="24"/>
          <w:lang w:val="en-AU" w:eastAsia="en-US"/>
        </w:rPr>
      </w:pPr>
    </w:p>
    <w:sectPr w:rsidR="00594805" w:rsidSect="006474EE">
      <w:footerReference w:type="even" r:id="rId9"/>
      <w:footerReference w:type="default" r:id="rId10"/>
      <w:pgSz w:w="11907" w:h="16840" w:code="9"/>
      <w:pgMar w:top="1134" w:right="1418" w:bottom="1134" w:left="1418" w:header="567" w:footer="567"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37CA4" w15:done="0"/>
  <w15:commentEx w15:paraId="4AB18B40" w15:done="0"/>
  <w15:commentEx w15:paraId="1837F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AC09" w14:textId="77777777" w:rsidR="00E71755" w:rsidRDefault="00E71755" w:rsidP="00F72085">
      <w:r>
        <w:separator/>
      </w:r>
    </w:p>
  </w:endnote>
  <w:endnote w:type="continuationSeparator" w:id="0">
    <w:p w14:paraId="106C24DF" w14:textId="77777777" w:rsidR="00E71755" w:rsidRDefault="00E71755"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1354" w14:textId="77777777" w:rsidR="00295786" w:rsidRDefault="00295786"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0678D9" w14:textId="77777777" w:rsidR="00295786" w:rsidRPr="00281580" w:rsidRDefault="00295786"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F730" w14:textId="77777777" w:rsidR="00295786" w:rsidRPr="00594805" w:rsidRDefault="00295786"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6A70C7">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2CD8" w14:textId="77777777" w:rsidR="00E71755" w:rsidRDefault="00E71755" w:rsidP="00F72085">
      <w:r>
        <w:separator/>
      </w:r>
    </w:p>
  </w:footnote>
  <w:footnote w:type="continuationSeparator" w:id="0">
    <w:p w14:paraId="6040FC2A" w14:textId="77777777" w:rsidR="00E71755" w:rsidRDefault="00E71755" w:rsidP="00F72085">
      <w:r>
        <w:continuationSeparator/>
      </w:r>
    </w:p>
  </w:footnote>
  <w:footnote w:id="1">
    <w:p w14:paraId="380F0A0A" w14:textId="77777777" w:rsidR="00295786" w:rsidRPr="00EE1BF2" w:rsidRDefault="00295786">
      <w:pPr>
        <w:pStyle w:val="FootnoteText"/>
        <w:rPr>
          <w:rFonts w:ascii="Times New Roman" w:hAnsi="Times New Roman"/>
          <w:lang w:val="en-NZ"/>
        </w:rPr>
      </w:pPr>
      <w:r w:rsidRPr="00EE1BF2">
        <w:rPr>
          <w:rStyle w:val="FootnoteReference"/>
          <w:rFonts w:ascii="Times New Roman" w:hAnsi="Times New Roman"/>
        </w:rPr>
        <w:footnoteRef/>
      </w:r>
      <w:r w:rsidRPr="00EE1BF2">
        <w:rPr>
          <w:rFonts w:ascii="Times New Roman" w:hAnsi="Times New Roman"/>
        </w:rPr>
        <w:t xml:space="preserve"> </w:t>
      </w:r>
      <w:r w:rsidRPr="00EE1BF2">
        <w:rPr>
          <w:rFonts w:ascii="Times New Roman" w:hAnsi="Times New Roman"/>
          <w:lang w:val="en-NZ"/>
        </w:rPr>
        <w:t>A non-portfolio FIF is a FIF where the shareholder’s ownership interest is more than 10% but less than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2EE"/>
    <w:multiLevelType w:val="hybridMultilevel"/>
    <w:tmpl w:val="0FBAA5C0"/>
    <w:lvl w:ilvl="0" w:tplc="C658CCA4">
      <w:start w:val="1"/>
      <w:numFmt w:val="decimal"/>
      <w:lvlText w:val="%1."/>
      <w:lvlJc w:val="left"/>
      <w:pPr>
        <w:ind w:left="720" w:hanging="360"/>
      </w:pPr>
      <w:rPr>
        <w:rFonts w:ascii="Times New Roman" w:hAnsi="Times New Roman" w:cs="Times New Roman"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06FF0"/>
    <w:multiLevelType w:val="hybridMultilevel"/>
    <w:tmpl w:val="21C00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DC2484"/>
    <w:multiLevelType w:val="hybridMultilevel"/>
    <w:tmpl w:val="04662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0033C"/>
    <w:multiLevelType w:val="hybridMultilevel"/>
    <w:tmpl w:val="857C55A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EEC785F"/>
    <w:multiLevelType w:val="hybridMultilevel"/>
    <w:tmpl w:val="5F465DEC"/>
    <w:lvl w:ilvl="0" w:tplc="B4A6DDAC">
      <w:start w:val="1"/>
      <w:numFmt w:val="lowerLetter"/>
      <w:lvlText w:val="(%1)"/>
      <w:lvlJc w:val="left"/>
      <w:pPr>
        <w:ind w:left="927" w:hanging="36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nsid w:val="24CC618E"/>
    <w:multiLevelType w:val="hybridMultilevel"/>
    <w:tmpl w:val="A156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A1F1368"/>
    <w:multiLevelType w:val="hybridMultilevel"/>
    <w:tmpl w:val="A57637FE"/>
    <w:lvl w:ilvl="0" w:tplc="A6E2D610">
      <w:numFmt w:val="bullet"/>
      <w:lvlText w:val=""/>
      <w:lvlJc w:val="left"/>
      <w:pPr>
        <w:ind w:left="1080" w:hanging="360"/>
      </w:pPr>
      <w:rPr>
        <w:rFonts w:ascii="Wingdings 2" w:eastAsiaTheme="minorHAnsi" w:hAnsi="Wingdings 2"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32830211"/>
    <w:multiLevelType w:val="hybridMultilevel"/>
    <w:tmpl w:val="EFAAD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1D426C"/>
    <w:multiLevelType w:val="hybridMultilevel"/>
    <w:tmpl w:val="28BE767A"/>
    <w:lvl w:ilvl="0" w:tplc="C658CCA4">
      <w:start w:val="1"/>
      <w:numFmt w:val="decimal"/>
      <w:lvlText w:val="%1."/>
      <w:lvlJc w:val="left"/>
      <w:pPr>
        <w:ind w:left="720" w:hanging="360"/>
      </w:pPr>
      <w:rPr>
        <w:rFonts w:ascii="Times New Roman" w:hAnsi="Times New Roman" w:cs="Times New Roman"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67770B9C"/>
    <w:multiLevelType w:val="hybridMultilevel"/>
    <w:tmpl w:val="3F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4DC6420"/>
    <w:multiLevelType w:val="hybridMultilevel"/>
    <w:tmpl w:val="D4D6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63E0D35"/>
    <w:multiLevelType w:val="hybridMultilevel"/>
    <w:tmpl w:val="DAD80D3E"/>
    <w:lvl w:ilvl="0" w:tplc="539633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63E7647"/>
    <w:multiLevelType w:val="hybridMultilevel"/>
    <w:tmpl w:val="8E607EA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E9B4E9C"/>
    <w:multiLevelType w:val="hybridMultilevel"/>
    <w:tmpl w:val="800A938E"/>
    <w:lvl w:ilvl="0" w:tplc="3BACC0D6">
      <w:numFmt w:val="bullet"/>
      <w:lvlText w:val=""/>
      <w:lvlJc w:val="left"/>
      <w:pPr>
        <w:ind w:left="1080" w:hanging="360"/>
      </w:pPr>
      <w:rPr>
        <w:rFonts w:ascii="Wingdings 2" w:eastAsiaTheme="minorHAnsi" w:hAnsi="Wingdings 2"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11"/>
  </w:num>
  <w:num w:numId="6">
    <w:abstractNumId w:val="4"/>
  </w:num>
  <w:num w:numId="7">
    <w:abstractNumId w:val="13"/>
  </w:num>
  <w:num w:numId="8">
    <w:abstractNumId w:val="1"/>
  </w:num>
  <w:num w:numId="9">
    <w:abstractNumId w:val="8"/>
  </w:num>
  <w:num w:numId="10">
    <w:abstractNumId w:val="5"/>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5"/>
  </w:num>
  <w:num w:numId="17">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Gan">
    <w15:presenceInfo w15:providerId="None" w15:userId="Matthew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62"/>
    <w:rsid w:val="00001539"/>
    <w:rsid w:val="00002433"/>
    <w:rsid w:val="000037F4"/>
    <w:rsid w:val="00004A8A"/>
    <w:rsid w:val="00005DC9"/>
    <w:rsid w:val="00010986"/>
    <w:rsid w:val="00010F7D"/>
    <w:rsid w:val="00012338"/>
    <w:rsid w:val="00012E4A"/>
    <w:rsid w:val="00013A18"/>
    <w:rsid w:val="00014196"/>
    <w:rsid w:val="000147DC"/>
    <w:rsid w:val="00015072"/>
    <w:rsid w:val="00016722"/>
    <w:rsid w:val="0002068B"/>
    <w:rsid w:val="0002098A"/>
    <w:rsid w:val="000232EB"/>
    <w:rsid w:val="00023BAB"/>
    <w:rsid w:val="00023EA6"/>
    <w:rsid w:val="00024B22"/>
    <w:rsid w:val="0002568E"/>
    <w:rsid w:val="000256BD"/>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1AB"/>
    <w:rsid w:val="000653FA"/>
    <w:rsid w:val="000655B2"/>
    <w:rsid w:val="00067564"/>
    <w:rsid w:val="0006793E"/>
    <w:rsid w:val="00070193"/>
    <w:rsid w:val="00073A19"/>
    <w:rsid w:val="00073EA9"/>
    <w:rsid w:val="00073F31"/>
    <w:rsid w:val="000745D3"/>
    <w:rsid w:val="00074B13"/>
    <w:rsid w:val="00074D02"/>
    <w:rsid w:val="0007562B"/>
    <w:rsid w:val="00080CE0"/>
    <w:rsid w:val="00080DE3"/>
    <w:rsid w:val="00082653"/>
    <w:rsid w:val="00082ABC"/>
    <w:rsid w:val="00083ADB"/>
    <w:rsid w:val="00083E06"/>
    <w:rsid w:val="00085660"/>
    <w:rsid w:val="00086007"/>
    <w:rsid w:val="000863E2"/>
    <w:rsid w:val="000865E9"/>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1ED6"/>
    <w:rsid w:val="000E310A"/>
    <w:rsid w:val="000E3979"/>
    <w:rsid w:val="000E3CE1"/>
    <w:rsid w:val="000E73FF"/>
    <w:rsid w:val="000E7C1C"/>
    <w:rsid w:val="000F03B0"/>
    <w:rsid w:val="000F162C"/>
    <w:rsid w:val="000F3333"/>
    <w:rsid w:val="000F6F99"/>
    <w:rsid w:val="000F7020"/>
    <w:rsid w:val="00101A24"/>
    <w:rsid w:val="001125C4"/>
    <w:rsid w:val="00113146"/>
    <w:rsid w:val="00114F56"/>
    <w:rsid w:val="001158BA"/>
    <w:rsid w:val="00116006"/>
    <w:rsid w:val="00116B51"/>
    <w:rsid w:val="0012410B"/>
    <w:rsid w:val="00125812"/>
    <w:rsid w:val="00125ADD"/>
    <w:rsid w:val="00126CD1"/>
    <w:rsid w:val="00127757"/>
    <w:rsid w:val="00130E8F"/>
    <w:rsid w:val="00131364"/>
    <w:rsid w:val="001336E3"/>
    <w:rsid w:val="001339BB"/>
    <w:rsid w:val="00136EED"/>
    <w:rsid w:val="00141B20"/>
    <w:rsid w:val="00141D39"/>
    <w:rsid w:val="00142051"/>
    <w:rsid w:val="00143437"/>
    <w:rsid w:val="00144369"/>
    <w:rsid w:val="00144ADC"/>
    <w:rsid w:val="00144BBB"/>
    <w:rsid w:val="00146FC1"/>
    <w:rsid w:val="00150932"/>
    <w:rsid w:val="00152D49"/>
    <w:rsid w:val="0015606C"/>
    <w:rsid w:val="00157E18"/>
    <w:rsid w:val="00161022"/>
    <w:rsid w:val="00161358"/>
    <w:rsid w:val="001620EB"/>
    <w:rsid w:val="0016538E"/>
    <w:rsid w:val="00166A7A"/>
    <w:rsid w:val="00166C49"/>
    <w:rsid w:val="001674EB"/>
    <w:rsid w:val="00167EE1"/>
    <w:rsid w:val="001705C4"/>
    <w:rsid w:val="00171281"/>
    <w:rsid w:val="001712D6"/>
    <w:rsid w:val="001726B0"/>
    <w:rsid w:val="00174910"/>
    <w:rsid w:val="00175644"/>
    <w:rsid w:val="001767C7"/>
    <w:rsid w:val="001800AF"/>
    <w:rsid w:val="00180A3B"/>
    <w:rsid w:val="00180BD5"/>
    <w:rsid w:val="00180D17"/>
    <w:rsid w:val="00183D99"/>
    <w:rsid w:val="00183EB1"/>
    <w:rsid w:val="00184219"/>
    <w:rsid w:val="00185884"/>
    <w:rsid w:val="001878C0"/>
    <w:rsid w:val="001901C1"/>
    <w:rsid w:val="00190331"/>
    <w:rsid w:val="0019141D"/>
    <w:rsid w:val="00191B67"/>
    <w:rsid w:val="00191EEC"/>
    <w:rsid w:val="00193B26"/>
    <w:rsid w:val="00194873"/>
    <w:rsid w:val="00194B8A"/>
    <w:rsid w:val="00194CF9"/>
    <w:rsid w:val="00197273"/>
    <w:rsid w:val="001A13C8"/>
    <w:rsid w:val="001A1C61"/>
    <w:rsid w:val="001A1DFB"/>
    <w:rsid w:val="001A5694"/>
    <w:rsid w:val="001A5BEE"/>
    <w:rsid w:val="001B0726"/>
    <w:rsid w:val="001B0A7A"/>
    <w:rsid w:val="001B0DF0"/>
    <w:rsid w:val="001B1961"/>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486"/>
    <w:rsid w:val="001F6750"/>
    <w:rsid w:val="00200311"/>
    <w:rsid w:val="002008D1"/>
    <w:rsid w:val="00202E20"/>
    <w:rsid w:val="002036AA"/>
    <w:rsid w:val="00203789"/>
    <w:rsid w:val="00204A66"/>
    <w:rsid w:val="00205334"/>
    <w:rsid w:val="00205496"/>
    <w:rsid w:val="00213B41"/>
    <w:rsid w:val="00216DB5"/>
    <w:rsid w:val="00216F08"/>
    <w:rsid w:val="00217A19"/>
    <w:rsid w:val="00222CA5"/>
    <w:rsid w:val="00223298"/>
    <w:rsid w:val="00224A1F"/>
    <w:rsid w:val="00224BD6"/>
    <w:rsid w:val="002253E9"/>
    <w:rsid w:val="002258FC"/>
    <w:rsid w:val="00226226"/>
    <w:rsid w:val="00227232"/>
    <w:rsid w:val="00227D78"/>
    <w:rsid w:val="00227FE4"/>
    <w:rsid w:val="0023149E"/>
    <w:rsid w:val="002317B4"/>
    <w:rsid w:val="002331A0"/>
    <w:rsid w:val="00233DC9"/>
    <w:rsid w:val="0023447D"/>
    <w:rsid w:val="0023708B"/>
    <w:rsid w:val="00237318"/>
    <w:rsid w:val="00237FE9"/>
    <w:rsid w:val="0024128C"/>
    <w:rsid w:val="00245DA0"/>
    <w:rsid w:val="00247ADA"/>
    <w:rsid w:val="00251406"/>
    <w:rsid w:val="00254B74"/>
    <w:rsid w:val="00257836"/>
    <w:rsid w:val="00264EEE"/>
    <w:rsid w:val="0026530E"/>
    <w:rsid w:val="00265DED"/>
    <w:rsid w:val="00265E6C"/>
    <w:rsid w:val="00266A30"/>
    <w:rsid w:val="0026794D"/>
    <w:rsid w:val="00267FAB"/>
    <w:rsid w:val="0027018A"/>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7290"/>
    <w:rsid w:val="00287942"/>
    <w:rsid w:val="00292783"/>
    <w:rsid w:val="0029399F"/>
    <w:rsid w:val="00293E21"/>
    <w:rsid w:val="00295264"/>
    <w:rsid w:val="00295786"/>
    <w:rsid w:val="00295DFA"/>
    <w:rsid w:val="00296404"/>
    <w:rsid w:val="0029649F"/>
    <w:rsid w:val="002A05D3"/>
    <w:rsid w:val="002A06C6"/>
    <w:rsid w:val="002A107A"/>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4A38"/>
    <w:rsid w:val="002C65B8"/>
    <w:rsid w:val="002C734D"/>
    <w:rsid w:val="002C744C"/>
    <w:rsid w:val="002D01BF"/>
    <w:rsid w:val="002D0FAA"/>
    <w:rsid w:val="002D3E81"/>
    <w:rsid w:val="002D4A7B"/>
    <w:rsid w:val="002D4AC3"/>
    <w:rsid w:val="002D52A0"/>
    <w:rsid w:val="002D6691"/>
    <w:rsid w:val="002D6F42"/>
    <w:rsid w:val="002E0169"/>
    <w:rsid w:val="002E062E"/>
    <w:rsid w:val="002E1226"/>
    <w:rsid w:val="002E1D30"/>
    <w:rsid w:val="002E2678"/>
    <w:rsid w:val="002E28C6"/>
    <w:rsid w:val="002E4DB3"/>
    <w:rsid w:val="002E68B7"/>
    <w:rsid w:val="002E6D37"/>
    <w:rsid w:val="002E79A6"/>
    <w:rsid w:val="002F10BF"/>
    <w:rsid w:val="002F110D"/>
    <w:rsid w:val="002F1EB2"/>
    <w:rsid w:val="002F32BD"/>
    <w:rsid w:val="002F4407"/>
    <w:rsid w:val="002F5A1A"/>
    <w:rsid w:val="002F6855"/>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A3C"/>
    <w:rsid w:val="003232C2"/>
    <w:rsid w:val="003237B0"/>
    <w:rsid w:val="0032463B"/>
    <w:rsid w:val="00324E2F"/>
    <w:rsid w:val="0032503F"/>
    <w:rsid w:val="0032594D"/>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0558"/>
    <w:rsid w:val="00351EC0"/>
    <w:rsid w:val="00352990"/>
    <w:rsid w:val="00353113"/>
    <w:rsid w:val="00353518"/>
    <w:rsid w:val="00355DAA"/>
    <w:rsid w:val="003613F4"/>
    <w:rsid w:val="00361819"/>
    <w:rsid w:val="00361F3D"/>
    <w:rsid w:val="00362C7C"/>
    <w:rsid w:val="00362E2F"/>
    <w:rsid w:val="00362FE1"/>
    <w:rsid w:val="00363DCE"/>
    <w:rsid w:val="00365680"/>
    <w:rsid w:val="00366A1A"/>
    <w:rsid w:val="00367B6E"/>
    <w:rsid w:val="00370B2E"/>
    <w:rsid w:val="00372D68"/>
    <w:rsid w:val="00372DD8"/>
    <w:rsid w:val="0037447C"/>
    <w:rsid w:val="0037458C"/>
    <w:rsid w:val="00374E9A"/>
    <w:rsid w:val="00375E7C"/>
    <w:rsid w:val="00375FFD"/>
    <w:rsid w:val="00381DB8"/>
    <w:rsid w:val="003826A0"/>
    <w:rsid w:val="00383462"/>
    <w:rsid w:val="00384B58"/>
    <w:rsid w:val="00385111"/>
    <w:rsid w:val="00385683"/>
    <w:rsid w:val="00385E6F"/>
    <w:rsid w:val="00385EC1"/>
    <w:rsid w:val="00386DD1"/>
    <w:rsid w:val="00387CA4"/>
    <w:rsid w:val="00391389"/>
    <w:rsid w:val="00391E64"/>
    <w:rsid w:val="00395750"/>
    <w:rsid w:val="0039581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F14AC"/>
    <w:rsid w:val="003F27A7"/>
    <w:rsid w:val="003F2870"/>
    <w:rsid w:val="003F2D09"/>
    <w:rsid w:val="003F34BF"/>
    <w:rsid w:val="003F37EA"/>
    <w:rsid w:val="003F47F5"/>
    <w:rsid w:val="003F59CC"/>
    <w:rsid w:val="003F5E57"/>
    <w:rsid w:val="003F5F9D"/>
    <w:rsid w:val="003F7652"/>
    <w:rsid w:val="003F7EDA"/>
    <w:rsid w:val="00401C51"/>
    <w:rsid w:val="00401D87"/>
    <w:rsid w:val="00402BF8"/>
    <w:rsid w:val="00403755"/>
    <w:rsid w:val="0040387F"/>
    <w:rsid w:val="00406227"/>
    <w:rsid w:val="00407D3B"/>
    <w:rsid w:val="0041363C"/>
    <w:rsid w:val="00414E9A"/>
    <w:rsid w:val="00415CC4"/>
    <w:rsid w:val="00415FD6"/>
    <w:rsid w:val="0041672C"/>
    <w:rsid w:val="0041696F"/>
    <w:rsid w:val="00420D4C"/>
    <w:rsid w:val="00423B79"/>
    <w:rsid w:val="004240D2"/>
    <w:rsid w:val="00424ADF"/>
    <w:rsid w:val="004303B8"/>
    <w:rsid w:val="00431677"/>
    <w:rsid w:val="004328A1"/>
    <w:rsid w:val="00433183"/>
    <w:rsid w:val="0043324C"/>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1CC"/>
    <w:rsid w:val="00455363"/>
    <w:rsid w:val="00456B8F"/>
    <w:rsid w:val="00457045"/>
    <w:rsid w:val="004574C4"/>
    <w:rsid w:val="00457A91"/>
    <w:rsid w:val="004604E9"/>
    <w:rsid w:val="00460A55"/>
    <w:rsid w:val="004610FB"/>
    <w:rsid w:val="0046180A"/>
    <w:rsid w:val="00462BC6"/>
    <w:rsid w:val="00463FEB"/>
    <w:rsid w:val="004660F2"/>
    <w:rsid w:val="00466A00"/>
    <w:rsid w:val="00470C11"/>
    <w:rsid w:val="00471759"/>
    <w:rsid w:val="0047175C"/>
    <w:rsid w:val="004721E0"/>
    <w:rsid w:val="00472F9C"/>
    <w:rsid w:val="00473301"/>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9727A"/>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46D"/>
    <w:rsid w:val="004C2B29"/>
    <w:rsid w:val="004C3AAE"/>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252"/>
    <w:rsid w:val="004F5E93"/>
    <w:rsid w:val="004F603D"/>
    <w:rsid w:val="004F6545"/>
    <w:rsid w:val="004F6D32"/>
    <w:rsid w:val="004F6FC8"/>
    <w:rsid w:val="0050046F"/>
    <w:rsid w:val="00500EEF"/>
    <w:rsid w:val="005015CE"/>
    <w:rsid w:val="00501BD9"/>
    <w:rsid w:val="005041A7"/>
    <w:rsid w:val="00504E3C"/>
    <w:rsid w:val="0050603B"/>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30417"/>
    <w:rsid w:val="00530B0F"/>
    <w:rsid w:val="00531B9B"/>
    <w:rsid w:val="00532095"/>
    <w:rsid w:val="005321B7"/>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0AAF"/>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262"/>
    <w:rsid w:val="005A13E7"/>
    <w:rsid w:val="005A196E"/>
    <w:rsid w:val="005A3D06"/>
    <w:rsid w:val="005A3DA9"/>
    <w:rsid w:val="005A62E6"/>
    <w:rsid w:val="005A6CC1"/>
    <w:rsid w:val="005A6CCD"/>
    <w:rsid w:val="005A7107"/>
    <w:rsid w:val="005B174D"/>
    <w:rsid w:val="005B1762"/>
    <w:rsid w:val="005B1BBA"/>
    <w:rsid w:val="005B29AF"/>
    <w:rsid w:val="005B39D2"/>
    <w:rsid w:val="005B3B36"/>
    <w:rsid w:val="005B545C"/>
    <w:rsid w:val="005B55F8"/>
    <w:rsid w:val="005B5924"/>
    <w:rsid w:val="005B6561"/>
    <w:rsid w:val="005C01E0"/>
    <w:rsid w:val="005C0312"/>
    <w:rsid w:val="005C0453"/>
    <w:rsid w:val="005C21D1"/>
    <w:rsid w:val="005C24B6"/>
    <w:rsid w:val="005C29FA"/>
    <w:rsid w:val="005C363D"/>
    <w:rsid w:val="005C3E40"/>
    <w:rsid w:val="005C5F92"/>
    <w:rsid w:val="005C6EDB"/>
    <w:rsid w:val="005C749E"/>
    <w:rsid w:val="005D0763"/>
    <w:rsid w:val="005D0FD8"/>
    <w:rsid w:val="005D1956"/>
    <w:rsid w:val="005D3DE0"/>
    <w:rsid w:val="005D4C84"/>
    <w:rsid w:val="005D57F3"/>
    <w:rsid w:val="005D67EA"/>
    <w:rsid w:val="005E0B96"/>
    <w:rsid w:val="005E4156"/>
    <w:rsid w:val="005E6DB6"/>
    <w:rsid w:val="005E7559"/>
    <w:rsid w:val="005F2C40"/>
    <w:rsid w:val="005F4C43"/>
    <w:rsid w:val="005F4DCE"/>
    <w:rsid w:val="005F5FC9"/>
    <w:rsid w:val="0060184B"/>
    <w:rsid w:val="00601A52"/>
    <w:rsid w:val="00602E73"/>
    <w:rsid w:val="00603627"/>
    <w:rsid w:val="006036A6"/>
    <w:rsid w:val="00603E2B"/>
    <w:rsid w:val="00603FA8"/>
    <w:rsid w:val="00604714"/>
    <w:rsid w:val="006050DD"/>
    <w:rsid w:val="006062EF"/>
    <w:rsid w:val="00607ADB"/>
    <w:rsid w:val="0061025C"/>
    <w:rsid w:val="00610DB8"/>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047"/>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1852"/>
    <w:rsid w:val="00662194"/>
    <w:rsid w:val="006624D0"/>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2162"/>
    <w:rsid w:val="00693024"/>
    <w:rsid w:val="00693DC9"/>
    <w:rsid w:val="00694ABE"/>
    <w:rsid w:val="00694E49"/>
    <w:rsid w:val="006A0E74"/>
    <w:rsid w:val="006A0FE1"/>
    <w:rsid w:val="006A1097"/>
    <w:rsid w:val="006A218F"/>
    <w:rsid w:val="006A3F76"/>
    <w:rsid w:val="006A4054"/>
    <w:rsid w:val="006A40A1"/>
    <w:rsid w:val="006A44A2"/>
    <w:rsid w:val="006A5C00"/>
    <w:rsid w:val="006A6165"/>
    <w:rsid w:val="006A6392"/>
    <w:rsid w:val="006A70C7"/>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025"/>
    <w:rsid w:val="006D12A7"/>
    <w:rsid w:val="006D2BD5"/>
    <w:rsid w:val="006D3ECE"/>
    <w:rsid w:val="006D4E45"/>
    <w:rsid w:val="006D5350"/>
    <w:rsid w:val="006E0317"/>
    <w:rsid w:val="006E0511"/>
    <w:rsid w:val="006E12C1"/>
    <w:rsid w:val="006E27CC"/>
    <w:rsid w:val="006E5580"/>
    <w:rsid w:val="006E607F"/>
    <w:rsid w:val="006E7DC2"/>
    <w:rsid w:val="006F0D73"/>
    <w:rsid w:val="006F1342"/>
    <w:rsid w:val="006F3D80"/>
    <w:rsid w:val="006F3EF5"/>
    <w:rsid w:val="006F49F0"/>
    <w:rsid w:val="006F5472"/>
    <w:rsid w:val="006F5734"/>
    <w:rsid w:val="007013AC"/>
    <w:rsid w:val="0070184A"/>
    <w:rsid w:val="00702E8D"/>
    <w:rsid w:val="007033C7"/>
    <w:rsid w:val="0070360B"/>
    <w:rsid w:val="00704726"/>
    <w:rsid w:val="007053E7"/>
    <w:rsid w:val="0070569D"/>
    <w:rsid w:val="00705884"/>
    <w:rsid w:val="00705BD1"/>
    <w:rsid w:val="007063F2"/>
    <w:rsid w:val="00706E77"/>
    <w:rsid w:val="007075B8"/>
    <w:rsid w:val="00707B2E"/>
    <w:rsid w:val="00710B00"/>
    <w:rsid w:val="00711471"/>
    <w:rsid w:val="00712398"/>
    <w:rsid w:val="00713D62"/>
    <w:rsid w:val="00716DEA"/>
    <w:rsid w:val="0072105B"/>
    <w:rsid w:val="0072284E"/>
    <w:rsid w:val="00723508"/>
    <w:rsid w:val="00723702"/>
    <w:rsid w:val="00724F96"/>
    <w:rsid w:val="0073286C"/>
    <w:rsid w:val="007328CC"/>
    <w:rsid w:val="007330DF"/>
    <w:rsid w:val="00733260"/>
    <w:rsid w:val="00735070"/>
    <w:rsid w:val="0073557E"/>
    <w:rsid w:val="00735AD3"/>
    <w:rsid w:val="007364DA"/>
    <w:rsid w:val="00737F37"/>
    <w:rsid w:val="007409D2"/>
    <w:rsid w:val="00742222"/>
    <w:rsid w:val="00743EA9"/>
    <w:rsid w:val="007451F5"/>
    <w:rsid w:val="0074529C"/>
    <w:rsid w:val="00747ECC"/>
    <w:rsid w:val="00750BF8"/>
    <w:rsid w:val="00750E2F"/>
    <w:rsid w:val="007515BC"/>
    <w:rsid w:val="00753328"/>
    <w:rsid w:val="00753433"/>
    <w:rsid w:val="00754E11"/>
    <w:rsid w:val="00756097"/>
    <w:rsid w:val="007564E5"/>
    <w:rsid w:val="00764F3A"/>
    <w:rsid w:val="00765CC1"/>
    <w:rsid w:val="007669BA"/>
    <w:rsid w:val="007672AC"/>
    <w:rsid w:val="00770261"/>
    <w:rsid w:val="007712EA"/>
    <w:rsid w:val="00772439"/>
    <w:rsid w:val="00773ACD"/>
    <w:rsid w:val="00775ED6"/>
    <w:rsid w:val="007768C5"/>
    <w:rsid w:val="0077715B"/>
    <w:rsid w:val="007773BD"/>
    <w:rsid w:val="00777B72"/>
    <w:rsid w:val="00777E62"/>
    <w:rsid w:val="00777EEE"/>
    <w:rsid w:val="007800FC"/>
    <w:rsid w:val="007811C0"/>
    <w:rsid w:val="007819CF"/>
    <w:rsid w:val="00781DF8"/>
    <w:rsid w:val="00782395"/>
    <w:rsid w:val="0078263F"/>
    <w:rsid w:val="00783657"/>
    <w:rsid w:val="00786840"/>
    <w:rsid w:val="007873F7"/>
    <w:rsid w:val="00787595"/>
    <w:rsid w:val="00790852"/>
    <w:rsid w:val="00790EEE"/>
    <w:rsid w:val="00791304"/>
    <w:rsid w:val="00791677"/>
    <w:rsid w:val="00791E8E"/>
    <w:rsid w:val="007931A9"/>
    <w:rsid w:val="00794E52"/>
    <w:rsid w:val="00794E6C"/>
    <w:rsid w:val="007952A7"/>
    <w:rsid w:val="00796982"/>
    <w:rsid w:val="007A02C7"/>
    <w:rsid w:val="007A05C6"/>
    <w:rsid w:val="007A173A"/>
    <w:rsid w:val="007A2C70"/>
    <w:rsid w:val="007A375D"/>
    <w:rsid w:val="007A5826"/>
    <w:rsid w:val="007A657A"/>
    <w:rsid w:val="007B0F3E"/>
    <w:rsid w:val="007B249F"/>
    <w:rsid w:val="007B26AA"/>
    <w:rsid w:val="007B4330"/>
    <w:rsid w:val="007B435A"/>
    <w:rsid w:val="007B5D7E"/>
    <w:rsid w:val="007B788E"/>
    <w:rsid w:val="007C17B1"/>
    <w:rsid w:val="007C43BB"/>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49D"/>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304E8"/>
    <w:rsid w:val="00831ACA"/>
    <w:rsid w:val="00831AD5"/>
    <w:rsid w:val="00831BAA"/>
    <w:rsid w:val="00831E32"/>
    <w:rsid w:val="00834C7B"/>
    <w:rsid w:val="00836367"/>
    <w:rsid w:val="00836D63"/>
    <w:rsid w:val="008375CF"/>
    <w:rsid w:val="008425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6C8F"/>
    <w:rsid w:val="00867E68"/>
    <w:rsid w:val="00872CDA"/>
    <w:rsid w:val="0087340F"/>
    <w:rsid w:val="00873D37"/>
    <w:rsid w:val="00874188"/>
    <w:rsid w:val="00876879"/>
    <w:rsid w:val="008805A2"/>
    <w:rsid w:val="0088302D"/>
    <w:rsid w:val="008830FE"/>
    <w:rsid w:val="00883A51"/>
    <w:rsid w:val="00883F7F"/>
    <w:rsid w:val="008841C7"/>
    <w:rsid w:val="00885271"/>
    <w:rsid w:val="00885C28"/>
    <w:rsid w:val="00885F6B"/>
    <w:rsid w:val="008866E0"/>
    <w:rsid w:val="00887803"/>
    <w:rsid w:val="00887ABA"/>
    <w:rsid w:val="00891481"/>
    <w:rsid w:val="00893927"/>
    <w:rsid w:val="00893A34"/>
    <w:rsid w:val="00893F1F"/>
    <w:rsid w:val="00897964"/>
    <w:rsid w:val="008A0894"/>
    <w:rsid w:val="008A2903"/>
    <w:rsid w:val="008A2ECB"/>
    <w:rsid w:val="008A41D1"/>
    <w:rsid w:val="008A6B32"/>
    <w:rsid w:val="008A6D57"/>
    <w:rsid w:val="008A7DEB"/>
    <w:rsid w:val="008B39F2"/>
    <w:rsid w:val="008B7CC7"/>
    <w:rsid w:val="008C0BAD"/>
    <w:rsid w:val="008C1654"/>
    <w:rsid w:val="008C2E66"/>
    <w:rsid w:val="008C3CF3"/>
    <w:rsid w:val="008C4059"/>
    <w:rsid w:val="008C5061"/>
    <w:rsid w:val="008D077E"/>
    <w:rsid w:val="008D082A"/>
    <w:rsid w:val="008D2219"/>
    <w:rsid w:val="008D321E"/>
    <w:rsid w:val="008D4069"/>
    <w:rsid w:val="008D4C74"/>
    <w:rsid w:val="008D578D"/>
    <w:rsid w:val="008D6F8D"/>
    <w:rsid w:val="008E0799"/>
    <w:rsid w:val="008E144C"/>
    <w:rsid w:val="008E1524"/>
    <w:rsid w:val="008E1751"/>
    <w:rsid w:val="008E35D5"/>
    <w:rsid w:val="008E499D"/>
    <w:rsid w:val="008F122C"/>
    <w:rsid w:val="008F1742"/>
    <w:rsid w:val="008F3401"/>
    <w:rsid w:val="008F45DD"/>
    <w:rsid w:val="008F524F"/>
    <w:rsid w:val="008F546B"/>
    <w:rsid w:val="008F7F16"/>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239E"/>
    <w:rsid w:val="00932A1A"/>
    <w:rsid w:val="009366A0"/>
    <w:rsid w:val="009407EE"/>
    <w:rsid w:val="00943B26"/>
    <w:rsid w:val="00944544"/>
    <w:rsid w:val="00950357"/>
    <w:rsid w:val="0095200D"/>
    <w:rsid w:val="009542D3"/>
    <w:rsid w:val="00956DA6"/>
    <w:rsid w:val="009575E3"/>
    <w:rsid w:val="00957F52"/>
    <w:rsid w:val="00960387"/>
    <w:rsid w:val="00961C3D"/>
    <w:rsid w:val="00961DC0"/>
    <w:rsid w:val="00962484"/>
    <w:rsid w:val="0096278C"/>
    <w:rsid w:val="009643C4"/>
    <w:rsid w:val="00965312"/>
    <w:rsid w:val="00967BAA"/>
    <w:rsid w:val="00970DF3"/>
    <w:rsid w:val="00975726"/>
    <w:rsid w:val="00975870"/>
    <w:rsid w:val="00975CDC"/>
    <w:rsid w:val="009768F2"/>
    <w:rsid w:val="00976CAD"/>
    <w:rsid w:val="00981321"/>
    <w:rsid w:val="00981A56"/>
    <w:rsid w:val="00981B08"/>
    <w:rsid w:val="00983242"/>
    <w:rsid w:val="00983700"/>
    <w:rsid w:val="00984467"/>
    <w:rsid w:val="00985000"/>
    <w:rsid w:val="0098563C"/>
    <w:rsid w:val="0098603E"/>
    <w:rsid w:val="00986F53"/>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A6D30"/>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0F4D"/>
    <w:rsid w:val="009F39B2"/>
    <w:rsid w:val="009F630C"/>
    <w:rsid w:val="009F7B9A"/>
    <w:rsid w:val="009F7F75"/>
    <w:rsid w:val="00A0238F"/>
    <w:rsid w:val="00A0358C"/>
    <w:rsid w:val="00A03704"/>
    <w:rsid w:val="00A05AD3"/>
    <w:rsid w:val="00A067D6"/>
    <w:rsid w:val="00A06AC7"/>
    <w:rsid w:val="00A1107D"/>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3AB"/>
    <w:rsid w:val="00A2777E"/>
    <w:rsid w:val="00A3103A"/>
    <w:rsid w:val="00A31268"/>
    <w:rsid w:val="00A31E8F"/>
    <w:rsid w:val="00A3580A"/>
    <w:rsid w:val="00A40AF3"/>
    <w:rsid w:val="00A41E37"/>
    <w:rsid w:val="00A41FC7"/>
    <w:rsid w:val="00A43758"/>
    <w:rsid w:val="00A44EB9"/>
    <w:rsid w:val="00A458F0"/>
    <w:rsid w:val="00A46A67"/>
    <w:rsid w:val="00A474F8"/>
    <w:rsid w:val="00A51CC9"/>
    <w:rsid w:val="00A51EF6"/>
    <w:rsid w:val="00A52763"/>
    <w:rsid w:val="00A52964"/>
    <w:rsid w:val="00A541BB"/>
    <w:rsid w:val="00A563BC"/>
    <w:rsid w:val="00A60B98"/>
    <w:rsid w:val="00A637DD"/>
    <w:rsid w:val="00A65EA6"/>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E1D"/>
    <w:rsid w:val="00A93F37"/>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B80"/>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2FE8"/>
    <w:rsid w:val="00AE31B0"/>
    <w:rsid w:val="00AE3EC0"/>
    <w:rsid w:val="00AE6FC4"/>
    <w:rsid w:val="00AF0479"/>
    <w:rsid w:val="00AF26A2"/>
    <w:rsid w:val="00AF3DFB"/>
    <w:rsid w:val="00AF411C"/>
    <w:rsid w:val="00AF4B64"/>
    <w:rsid w:val="00AF7EC6"/>
    <w:rsid w:val="00B00EEB"/>
    <w:rsid w:val="00B01B51"/>
    <w:rsid w:val="00B03333"/>
    <w:rsid w:val="00B033B6"/>
    <w:rsid w:val="00B0379D"/>
    <w:rsid w:val="00B0406A"/>
    <w:rsid w:val="00B06841"/>
    <w:rsid w:val="00B06B03"/>
    <w:rsid w:val="00B07DB6"/>
    <w:rsid w:val="00B1128A"/>
    <w:rsid w:val="00B113E5"/>
    <w:rsid w:val="00B1162D"/>
    <w:rsid w:val="00B14C06"/>
    <w:rsid w:val="00B153F0"/>
    <w:rsid w:val="00B15C2E"/>
    <w:rsid w:val="00B162A3"/>
    <w:rsid w:val="00B168FE"/>
    <w:rsid w:val="00B17ECC"/>
    <w:rsid w:val="00B23398"/>
    <w:rsid w:val="00B23A9D"/>
    <w:rsid w:val="00B245B0"/>
    <w:rsid w:val="00B26E56"/>
    <w:rsid w:val="00B31879"/>
    <w:rsid w:val="00B31F90"/>
    <w:rsid w:val="00B3311C"/>
    <w:rsid w:val="00B33125"/>
    <w:rsid w:val="00B34A3B"/>
    <w:rsid w:val="00B355C5"/>
    <w:rsid w:val="00B3673D"/>
    <w:rsid w:val="00B44C6C"/>
    <w:rsid w:val="00B4757F"/>
    <w:rsid w:val="00B5187A"/>
    <w:rsid w:val="00B5229A"/>
    <w:rsid w:val="00B52E33"/>
    <w:rsid w:val="00B552BF"/>
    <w:rsid w:val="00B55CD1"/>
    <w:rsid w:val="00B605F9"/>
    <w:rsid w:val="00B61C67"/>
    <w:rsid w:val="00B6314D"/>
    <w:rsid w:val="00B644F1"/>
    <w:rsid w:val="00B64BD8"/>
    <w:rsid w:val="00B70EFF"/>
    <w:rsid w:val="00B713DA"/>
    <w:rsid w:val="00B71654"/>
    <w:rsid w:val="00B727C2"/>
    <w:rsid w:val="00B738C7"/>
    <w:rsid w:val="00B73E5F"/>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4091"/>
    <w:rsid w:val="00BA4735"/>
    <w:rsid w:val="00BA54D5"/>
    <w:rsid w:val="00BA60AC"/>
    <w:rsid w:val="00BB2DB8"/>
    <w:rsid w:val="00BB3A50"/>
    <w:rsid w:val="00BB4A2E"/>
    <w:rsid w:val="00BB4D9B"/>
    <w:rsid w:val="00BB647C"/>
    <w:rsid w:val="00BC0C83"/>
    <w:rsid w:val="00BC211C"/>
    <w:rsid w:val="00BC2E75"/>
    <w:rsid w:val="00BC33E7"/>
    <w:rsid w:val="00BC5A0A"/>
    <w:rsid w:val="00BC61B1"/>
    <w:rsid w:val="00BC74B2"/>
    <w:rsid w:val="00BD1F16"/>
    <w:rsid w:val="00BD201F"/>
    <w:rsid w:val="00BD27A9"/>
    <w:rsid w:val="00BD55D3"/>
    <w:rsid w:val="00BD6538"/>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3BEA"/>
    <w:rsid w:val="00C04254"/>
    <w:rsid w:val="00C043A7"/>
    <w:rsid w:val="00C044F1"/>
    <w:rsid w:val="00C050D3"/>
    <w:rsid w:val="00C10374"/>
    <w:rsid w:val="00C12840"/>
    <w:rsid w:val="00C13480"/>
    <w:rsid w:val="00C1593D"/>
    <w:rsid w:val="00C172E3"/>
    <w:rsid w:val="00C217D7"/>
    <w:rsid w:val="00C21910"/>
    <w:rsid w:val="00C22372"/>
    <w:rsid w:val="00C22791"/>
    <w:rsid w:val="00C244FF"/>
    <w:rsid w:val="00C268EB"/>
    <w:rsid w:val="00C27FC3"/>
    <w:rsid w:val="00C317C4"/>
    <w:rsid w:val="00C33D51"/>
    <w:rsid w:val="00C34065"/>
    <w:rsid w:val="00C3458A"/>
    <w:rsid w:val="00C35BF3"/>
    <w:rsid w:val="00C3670D"/>
    <w:rsid w:val="00C36784"/>
    <w:rsid w:val="00C41370"/>
    <w:rsid w:val="00C41EED"/>
    <w:rsid w:val="00C442B6"/>
    <w:rsid w:val="00C459A1"/>
    <w:rsid w:val="00C47A2B"/>
    <w:rsid w:val="00C5096F"/>
    <w:rsid w:val="00C50CC6"/>
    <w:rsid w:val="00C51FC5"/>
    <w:rsid w:val="00C5302D"/>
    <w:rsid w:val="00C5403F"/>
    <w:rsid w:val="00C55956"/>
    <w:rsid w:val="00C55CDD"/>
    <w:rsid w:val="00C5787F"/>
    <w:rsid w:val="00C57E44"/>
    <w:rsid w:val="00C60E71"/>
    <w:rsid w:val="00C61A6F"/>
    <w:rsid w:val="00C62F4A"/>
    <w:rsid w:val="00C6318D"/>
    <w:rsid w:val="00C634DB"/>
    <w:rsid w:val="00C63883"/>
    <w:rsid w:val="00C65E4F"/>
    <w:rsid w:val="00C66506"/>
    <w:rsid w:val="00C70641"/>
    <w:rsid w:val="00C72EF0"/>
    <w:rsid w:val="00C7318D"/>
    <w:rsid w:val="00C74CC2"/>
    <w:rsid w:val="00C76487"/>
    <w:rsid w:val="00C77322"/>
    <w:rsid w:val="00C77ACD"/>
    <w:rsid w:val="00C81584"/>
    <w:rsid w:val="00C82FC1"/>
    <w:rsid w:val="00C83726"/>
    <w:rsid w:val="00C84B8C"/>
    <w:rsid w:val="00C85536"/>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5273"/>
    <w:rsid w:val="00CB6BD8"/>
    <w:rsid w:val="00CB74C1"/>
    <w:rsid w:val="00CC0031"/>
    <w:rsid w:val="00CC1B2D"/>
    <w:rsid w:val="00CC2C4F"/>
    <w:rsid w:val="00CC3FDF"/>
    <w:rsid w:val="00CC58D3"/>
    <w:rsid w:val="00CC60B9"/>
    <w:rsid w:val="00CD1628"/>
    <w:rsid w:val="00CD2712"/>
    <w:rsid w:val="00CD35A0"/>
    <w:rsid w:val="00CD41EE"/>
    <w:rsid w:val="00CD476F"/>
    <w:rsid w:val="00CD59F1"/>
    <w:rsid w:val="00CD664F"/>
    <w:rsid w:val="00CD7C95"/>
    <w:rsid w:val="00CE3D5E"/>
    <w:rsid w:val="00CE3DED"/>
    <w:rsid w:val="00CE49E7"/>
    <w:rsid w:val="00CE4D4B"/>
    <w:rsid w:val="00CE642E"/>
    <w:rsid w:val="00CF034B"/>
    <w:rsid w:val="00CF32E9"/>
    <w:rsid w:val="00CF345C"/>
    <w:rsid w:val="00CF4E94"/>
    <w:rsid w:val="00CF56C1"/>
    <w:rsid w:val="00CF75BA"/>
    <w:rsid w:val="00D0100E"/>
    <w:rsid w:val="00D010E3"/>
    <w:rsid w:val="00D01A19"/>
    <w:rsid w:val="00D02E90"/>
    <w:rsid w:val="00D0482D"/>
    <w:rsid w:val="00D04A6F"/>
    <w:rsid w:val="00D05810"/>
    <w:rsid w:val="00D10925"/>
    <w:rsid w:val="00D15ADE"/>
    <w:rsid w:val="00D20416"/>
    <w:rsid w:val="00D20CCF"/>
    <w:rsid w:val="00D21942"/>
    <w:rsid w:val="00D22B65"/>
    <w:rsid w:val="00D23682"/>
    <w:rsid w:val="00D26C21"/>
    <w:rsid w:val="00D30BD9"/>
    <w:rsid w:val="00D30C9F"/>
    <w:rsid w:val="00D31275"/>
    <w:rsid w:val="00D3196B"/>
    <w:rsid w:val="00D324FC"/>
    <w:rsid w:val="00D35F36"/>
    <w:rsid w:val="00D378DF"/>
    <w:rsid w:val="00D4088A"/>
    <w:rsid w:val="00D41322"/>
    <w:rsid w:val="00D42B0C"/>
    <w:rsid w:val="00D46673"/>
    <w:rsid w:val="00D47AC5"/>
    <w:rsid w:val="00D5090D"/>
    <w:rsid w:val="00D5113F"/>
    <w:rsid w:val="00D52351"/>
    <w:rsid w:val="00D56336"/>
    <w:rsid w:val="00D56BA7"/>
    <w:rsid w:val="00D576E9"/>
    <w:rsid w:val="00D5781D"/>
    <w:rsid w:val="00D617EF"/>
    <w:rsid w:val="00D62ECD"/>
    <w:rsid w:val="00D65CF2"/>
    <w:rsid w:val="00D6682C"/>
    <w:rsid w:val="00D66C76"/>
    <w:rsid w:val="00D66CF8"/>
    <w:rsid w:val="00D66DB5"/>
    <w:rsid w:val="00D67F9B"/>
    <w:rsid w:val="00D7008D"/>
    <w:rsid w:val="00D7086E"/>
    <w:rsid w:val="00D70C49"/>
    <w:rsid w:val="00D70F3A"/>
    <w:rsid w:val="00D71EDD"/>
    <w:rsid w:val="00D72028"/>
    <w:rsid w:val="00D72BEF"/>
    <w:rsid w:val="00D72C62"/>
    <w:rsid w:val="00D73886"/>
    <w:rsid w:val="00D76AB8"/>
    <w:rsid w:val="00D772B3"/>
    <w:rsid w:val="00D77A52"/>
    <w:rsid w:val="00D81B58"/>
    <w:rsid w:val="00D81C14"/>
    <w:rsid w:val="00D832D5"/>
    <w:rsid w:val="00D83376"/>
    <w:rsid w:val="00D84B5D"/>
    <w:rsid w:val="00D84D50"/>
    <w:rsid w:val="00D853FF"/>
    <w:rsid w:val="00D8705F"/>
    <w:rsid w:val="00D87A07"/>
    <w:rsid w:val="00D9247B"/>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2A"/>
    <w:rsid w:val="00DE5099"/>
    <w:rsid w:val="00DE58AE"/>
    <w:rsid w:val="00DE7190"/>
    <w:rsid w:val="00DF1157"/>
    <w:rsid w:val="00DF178D"/>
    <w:rsid w:val="00DF1915"/>
    <w:rsid w:val="00DF2711"/>
    <w:rsid w:val="00DF2E2D"/>
    <w:rsid w:val="00DF38C7"/>
    <w:rsid w:val="00DF4392"/>
    <w:rsid w:val="00DF4E1F"/>
    <w:rsid w:val="00DF5446"/>
    <w:rsid w:val="00DF69A1"/>
    <w:rsid w:val="00DF6DE1"/>
    <w:rsid w:val="00DF752E"/>
    <w:rsid w:val="00E000B6"/>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118F"/>
    <w:rsid w:val="00E245F0"/>
    <w:rsid w:val="00E249D0"/>
    <w:rsid w:val="00E2566D"/>
    <w:rsid w:val="00E27820"/>
    <w:rsid w:val="00E304B3"/>
    <w:rsid w:val="00E32827"/>
    <w:rsid w:val="00E329AF"/>
    <w:rsid w:val="00E342B0"/>
    <w:rsid w:val="00E350B7"/>
    <w:rsid w:val="00E356BA"/>
    <w:rsid w:val="00E37D1E"/>
    <w:rsid w:val="00E40979"/>
    <w:rsid w:val="00E435B7"/>
    <w:rsid w:val="00E43A26"/>
    <w:rsid w:val="00E43FF0"/>
    <w:rsid w:val="00E466D8"/>
    <w:rsid w:val="00E46AF2"/>
    <w:rsid w:val="00E47557"/>
    <w:rsid w:val="00E503F7"/>
    <w:rsid w:val="00E5543F"/>
    <w:rsid w:val="00E6140D"/>
    <w:rsid w:val="00E61F52"/>
    <w:rsid w:val="00E623F2"/>
    <w:rsid w:val="00E6414B"/>
    <w:rsid w:val="00E64851"/>
    <w:rsid w:val="00E67C51"/>
    <w:rsid w:val="00E70BD3"/>
    <w:rsid w:val="00E71755"/>
    <w:rsid w:val="00E71783"/>
    <w:rsid w:val="00E71967"/>
    <w:rsid w:val="00E7237E"/>
    <w:rsid w:val="00E7269B"/>
    <w:rsid w:val="00E72A5A"/>
    <w:rsid w:val="00E72D5C"/>
    <w:rsid w:val="00E735B1"/>
    <w:rsid w:val="00E73BE0"/>
    <w:rsid w:val="00E741ED"/>
    <w:rsid w:val="00E770AD"/>
    <w:rsid w:val="00E77FD2"/>
    <w:rsid w:val="00E81DCB"/>
    <w:rsid w:val="00E85206"/>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1936"/>
    <w:rsid w:val="00EC22D7"/>
    <w:rsid w:val="00EC245A"/>
    <w:rsid w:val="00EC4BAE"/>
    <w:rsid w:val="00EC5B7C"/>
    <w:rsid w:val="00EC5D37"/>
    <w:rsid w:val="00EC6A3F"/>
    <w:rsid w:val="00ED2391"/>
    <w:rsid w:val="00ED3DA3"/>
    <w:rsid w:val="00ED5639"/>
    <w:rsid w:val="00EE15E5"/>
    <w:rsid w:val="00EE1BF2"/>
    <w:rsid w:val="00EE3107"/>
    <w:rsid w:val="00EE6411"/>
    <w:rsid w:val="00EE66C7"/>
    <w:rsid w:val="00EE6B2F"/>
    <w:rsid w:val="00EE70C3"/>
    <w:rsid w:val="00EF02F8"/>
    <w:rsid w:val="00EF0400"/>
    <w:rsid w:val="00EF05EB"/>
    <w:rsid w:val="00EF5722"/>
    <w:rsid w:val="00EF5730"/>
    <w:rsid w:val="00EF5C83"/>
    <w:rsid w:val="00EF783D"/>
    <w:rsid w:val="00EF7D7A"/>
    <w:rsid w:val="00F002B2"/>
    <w:rsid w:val="00F00AC2"/>
    <w:rsid w:val="00F01C27"/>
    <w:rsid w:val="00F0204B"/>
    <w:rsid w:val="00F03B3D"/>
    <w:rsid w:val="00F05177"/>
    <w:rsid w:val="00F0601A"/>
    <w:rsid w:val="00F0724E"/>
    <w:rsid w:val="00F12FA2"/>
    <w:rsid w:val="00F14C67"/>
    <w:rsid w:val="00F15518"/>
    <w:rsid w:val="00F155A2"/>
    <w:rsid w:val="00F17616"/>
    <w:rsid w:val="00F22E5F"/>
    <w:rsid w:val="00F233B0"/>
    <w:rsid w:val="00F2363B"/>
    <w:rsid w:val="00F24E5E"/>
    <w:rsid w:val="00F255CA"/>
    <w:rsid w:val="00F25D76"/>
    <w:rsid w:val="00F26DA9"/>
    <w:rsid w:val="00F30E83"/>
    <w:rsid w:val="00F31D64"/>
    <w:rsid w:val="00F33537"/>
    <w:rsid w:val="00F33736"/>
    <w:rsid w:val="00F33B09"/>
    <w:rsid w:val="00F3434E"/>
    <w:rsid w:val="00F358FC"/>
    <w:rsid w:val="00F36D4A"/>
    <w:rsid w:val="00F376EB"/>
    <w:rsid w:val="00F37FE5"/>
    <w:rsid w:val="00F40EC2"/>
    <w:rsid w:val="00F40EFA"/>
    <w:rsid w:val="00F41545"/>
    <w:rsid w:val="00F41EEA"/>
    <w:rsid w:val="00F42002"/>
    <w:rsid w:val="00F4341D"/>
    <w:rsid w:val="00F4545C"/>
    <w:rsid w:val="00F45E80"/>
    <w:rsid w:val="00F50177"/>
    <w:rsid w:val="00F50A00"/>
    <w:rsid w:val="00F51132"/>
    <w:rsid w:val="00F51CC5"/>
    <w:rsid w:val="00F51F90"/>
    <w:rsid w:val="00F567BF"/>
    <w:rsid w:val="00F56AC0"/>
    <w:rsid w:val="00F56F0E"/>
    <w:rsid w:val="00F56F47"/>
    <w:rsid w:val="00F57335"/>
    <w:rsid w:val="00F57A39"/>
    <w:rsid w:val="00F61F72"/>
    <w:rsid w:val="00F62680"/>
    <w:rsid w:val="00F63723"/>
    <w:rsid w:val="00F63BA4"/>
    <w:rsid w:val="00F65E9E"/>
    <w:rsid w:val="00F7025D"/>
    <w:rsid w:val="00F72085"/>
    <w:rsid w:val="00F73758"/>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208"/>
    <w:rsid w:val="00F926D8"/>
    <w:rsid w:val="00F93F4C"/>
    <w:rsid w:val="00F9535B"/>
    <w:rsid w:val="00F95DE8"/>
    <w:rsid w:val="00F962C7"/>
    <w:rsid w:val="00F96FD2"/>
    <w:rsid w:val="00F9780A"/>
    <w:rsid w:val="00FA06AC"/>
    <w:rsid w:val="00FA0E40"/>
    <w:rsid w:val="00FA13F8"/>
    <w:rsid w:val="00FA1906"/>
    <w:rsid w:val="00FA2DB7"/>
    <w:rsid w:val="00FA2EC0"/>
    <w:rsid w:val="00FA31AD"/>
    <w:rsid w:val="00FA3285"/>
    <w:rsid w:val="00FA3F1F"/>
    <w:rsid w:val="00FA427A"/>
    <w:rsid w:val="00FA47E1"/>
    <w:rsid w:val="00FA4EA3"/>
    <w:rsid w:val="00FB0933"/>
    <w:rsid w:val="00FB13E0"/>
    <w:rsid w:val="00FB38D6"/>
    <w:rsid w:val="00FB4CA8"/>
    <w:rsid w:val="00FB5EBA"/>
    <w:rsid w:val="00FB6B34"/>
    <w:rsid w:val="00FC07C4"/>
    <w:rsid w:val="00FC1619"/>
    <w:rsid w:val="00FC19E8"/>
    <w:rsid w:val="00FC1D7B"/>
    <w:rsid w:val="00FC22CF"/>
    <w:rsid w:val="00FC3B31"/>
    <w:rsid w:val="00FC43D1"/>
    <w:rsid w:val="00FC4434"/>
    <w:rsid w:val="00FC4541"/>
    <w:rsid w:val="00FC53CF"/>
    <w:rsid w:val="00FC5866"/>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1B0F"/>
    <w:rsid w:val="00FF253E"/>
    <w:rsid w:val="00FF274C"/>
    <w:rsid w:val="00FF2B67"/>
    <w:rsid w:val="00FF354D"/>
    <w:rsid w:val="00FF61E2"/>
    <w:rsid w:val="00FF6B48"/>
    <w:rsid w:val="00FF7359"/>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o:colormru v:ext="edit" colors="#ddd,#cfcfcf,#cacaca,#66f,blue,#ccd3e1,#002469,#335087"/>
    </o:shapedefaults>
    <o:shapelayout v:ext="edit">
      <o:idmap v:ext="edit" data="1"/>
    </o:shapelayout>
  </w:shapeDefaults>
  <w:decimalSymbol w:val="."/>
  <w:listSeparator w:val=","/>
  <w14:docId w14:val="36A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932A1A"/>
    <w:pPr>
      <w:spacing w:line="300" w:lineRule="atLeast"/>
      <w:jc w:val="both"/>
    </w:pPr>
    <w:rPr>
      <w:sz w:val="24"/>
      <w:lang w:eastAsia="en-AU"/>
    </w:rPr>
  </w:style>
  <w:style w:type="character" w:customStyle="1" w:styleId="apple-converted-space">
    <w:name w:val="apple-converted-space"/>
    <w:basedOn w:val="DefaultParagraphFont"/>
    <w:rsid w:val="00A563BC"/>
  </w:style>
  <w:style w:type="paragraph" w:styleId="Revision">
    <w:name w:val="Revision"/>
    <w:hidden/>
    <w:uiPriority w:val="99"/>
    <w:semiHidden/>
    <w:rsid w:val="00531B9B"/>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932A1A"/>
    <w:pPr>
      <w:spacing w:line="300" w:lineRule="atLeast"/>
      <w:jc w:val="both"/>
    </w:pPr>
    <w:rPr>
      <w:sz w:val="24"/>
      <w:lang w:eastAsia="en-AU"/>
    </w:rPr>
  </w:style>
  <w:style w:type="character" w:customStyle="1" w:styleId="apple-converted-space">
    <w:name w:val="apple-converted-space"/>
    <w:basedOn w:val="DefaultParagraphFont"/>
    <w:rsid w:val="00A563BC"/>
  </w:style>
  <w:style w:type="paragraph" w:styleId="Revision">
    <w:name w:val="Revision"/>
    <w:hidden/>
    <w:uiPriority w:val="99"/>
    <w:semiHidden/>
    <w:rsid w:val="00531B9B"/>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503">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769169">
      <w:bodyDiv w:val="1"/>
      <w:marLeft w:val="0"/>
      <w:marRight w:val="0"/>
      <w:marTop w:val="0"/>
      <w:marBottom w:val="0"/>
      <w:divBdr>
        <w:top w:val="none" w:sz="0" w:space="0" w:color="auto"/>
        <w:left w:val="none" w:sz="0" w:space="0" w:color="auto"/>
        <w:bottom w:val="none" w:sz="0" w:space="0" w:color="auto"/>
        <w:right w:val="none" w:sz="0" w:space="0" w:color="auto"/>
      </w:divBdr>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58216">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3094">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FA4-826A-4798-A5FA-C23E7E4E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4254</Words>
  <Characters>22609</Characters>
  <Application>Microsoft Office Word</Application>
  <DocSecurity>0</DocSecurity>
  <Lines>471</Lines>
  <Paragraphs>129</Paragraphs>
  <ScaleCrop>false</ScaleCrop>
  <HeadingPairs>
    <vt:vector size="2" baseType="variant">
      <vt:variant>
        <vt:lpstr>Title</vt:lpstr>
      </vt:variant>
      <vt:variant>
        <vt:i4>1</vt:i4>
      </vt:variant>
    </vt:vector>
  </HeadingPairs>
  <TitlesOfParts>
    <vt:vector size="1" baseType="lpstr">
      <vt:lpstr>Regulatory impact statement - Insurance businesses and the controlled foreign company rules (22 June 2016)</vt:lpstr>
    </vt:vector>
  </TitlesOfParts>
  <Company>Inland Revenue</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Insurance businesses and the controlled foreign company rules (22 June 2016)</dc:title>
  <dc:creator>Policy and Strategy</dc:creator>
  <dc:description>Published April 2017.</dc:description>
  <cp:lastModifiedBy>David Nind</cp:lastModifiedBy>
  <cp:revision>2</cp:revision>
  <dcterms:created xsi:type="dcterms:W3CDTF">2017-04-03T06:05:00Z</dcterms:created>
  <dcterms:modified xsi:type="dcterms:W3CDTF">2017-04-03T06:06:00Z</dcterms:modified>
  <cp:contentStatus/>
</cp:coreProperties>
</file>