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DD23B8" w:rsidRDefault="002230A3" w:rsidP="007E2640">
      <w:pPr>
        <w:tabs>
          <w:tab w:val="left" w:pos="567"/>
        </w:tabs>
        <w:jc w:val="right"/>
        <w:rPr>
          <w:szCs w:val="24"/>
          <w:lang w:eastAsia="en-AU"/>
        </w:rPr>
      </w:pPr>
      <w:bookmarkStart w:id="0" w:name="_GoBack"/>
      <w:bookmarkEnd w:id="0"/>
      <w:r>
        <w:rPr>
          <w:szCs w:val="24"/>
          <w:lang w:eastAsia="en-AU"/>
        </w:rPr>
        <w:t>In Confidence</w:t>
      </w:r>
    </w:p>
    <w:p w:rsidR="004F6ED4" w:rsidRPr="00DD23B8" w:rsidRDefault="004F6ED4" w:rsidP="007E2640">
      <w:pPr>
        <w:tabs>
          <w:tab w:val="left" w:pos="567"/>
        </w:tabs>
        <w:jc w:val="right"/>
        <w:rPr>
          <w:b/>
          <w:szCs w:val="24"/>
          <w:lang w:eastAsia="en-AU"/>
        </w:rPr>
      </w:pPr>
    </w:p>
    <w:p w:rsidR="009807EF" w:rsidRDefault="009807EF" w:rsidP="007E2640">
      <w:pPr>
        <w:tabs>
          <w:tab w:val="left" w:pos="567"/>
        </w:tabs>
        <w:jc w:val="right"/>
        <w:rPr>
          <w:szCs w:val="24"/>
          <w:lang w:eastAsia="en-AU"/>
        </w:rPr>
      </w:pPr>
      <w:r>
        <w:rPr>
          <w:szCs w:val="24"/>
          <w:lang w:eastAsia="en-AU"/>
        </w:rPr>
        <w:t>Office of the Minister of Finance</w:t>
      </w:r>
    </w:p>
    <w:p w:rsidR="007E2640" w:rsidRPr="00DD23B8" w:rsidRDefault="004F6ED4" w:rsidP="007E2640">
      <w:pPr>
        <w:tabs>
          <w:tab w:val="left" w:pos="567"/>
        </w:tabs>
        <w:jc w:val="right"/>
        <w:rPr>
          <w:szCs w:val="24"/>
          <w:lang w:eastAsia="en-AU"/>
        </w:rPr>
      </w:pPr>
      <w:r w:rsidRPr="00DD23B8">
        <w:rPr>
          <w:szCs w:val="24"/>
          <w:lang w:eastAsia="en-AU"/>
        </w:rPr>
        <w:t xml:space="preserve">Office of the Minister of </w:t>
      </w:r>
      <w:r w:rsidR="002230A3">
        <w:rPr>
          <w:szCs w:val="24"/>
          <w:lang w:eastAsia="en-AU"/>
        </w:rPr>
        <w:t>Revenue</w:t>
      </w:r>
    </w:p>
    <w:p w:rsidR="007E2640" w:rsidRPr="00DD23B8" w:rsidRDefault="007E2640" w:rsidP="007E2640">
      <w:pPr>
        <w:tabs>
          <w:tab w:val="left" w:pos="567"/>
        </w:tabs>
        <w:rPr>
          <w:szCs w:val="24"/>
          <w:lang w:eastAsia="en-AU"/>
        </w:rPr>
      </w:pPr>
    </w:p>
    <w:p w:rsidR="007E2640" w:rsidRPr="00DD23B8" w:rsidRDefault="007E2640" w:rsidP="007E2640">
      <w:pPr>
        <w:tabs>
          <w:tab w:val="left" w:pos="567"/>
        </w:tabs>
        <w:rPr>
          <w:szCs w:val="24"/>
          <w:lang w:eastAsia="en-AU"/>
        </w:rPr>
      </w:pPr>
    </w:p>
    <w:p w:rsidR="007E2640" w:rsidRPr="00DD23B8" w:rsidRDefault="008970BB" w:rsidP="00550856">
      <w:pPr>
        <w:tabs>
          <w:tab w:val="left" w:pos="567"/>
        </w:tabs>
        <w:jc w:val="right"/>
        <w:rPr>
          <w:szCs w:val="24"/>
          <w:lang w:eastAsia="en-AU"/>
        </w:rPr>
      </w:pPr>
      <w:r>
        <w:rPr>
          <w:szCs w:val="24"/>
          <w:lang w:eastAsia="en-AU"/>
        </w:rPr>
        <w:t xml:space="preserve">Cabinet </w:t>
      </w:r>
      <w:r w:rsidR="002230A3">
        <w:rPr>
          <w:szCs w:val="24"/>
          <w:lang w:eastAsia="en-AU"/>
        </w:rPr>
        <w:t>Economic Growth and Infrastructure Committee</w:t>
      </w:r>
    </w:p>
    <w:p w:rsidR="007E2640" w:rsidRPr="00DD23B8" w:rsidRDefault="007E2640" w:rsidP="007E2640">
      <w:pPr>
        <w:tabs>
          <w:tab w:val="left" w:pos="567"/>
        </w:tabs>
        <w:rPr>
          <w:szCs w:val="24"/>
          <w:lang w:eastAsia="en-AU"/>
        </w:rPr>
      </w:pPr>
    </w:p>
    <w:p w:rsidR="00094E89" w:rsidRPr="00DD23B8" w:rsidRDefault="00094E89" w:rsidP="007E2640">
      <w:pPr>
        <w:tabs>
          <w:tab w:val="left" w:pos="567"/>
        </w:tabs>
        <w:rPr>
          <w:szCs w:val="24"/>
          <w:lang w:eastAsia="en-AU"/>
        </w:rPr>
      </w:pPr>
    </w:p>
    <w:p w:rsidR="007E2640" w:rsidRPr="00DD23B8" w:rsidRDefault="00AA11EC" w:rsidP="00550856">
      <w:pPr>
        <w:tabs>
          <w:tab w:val="left" w:pos="567"/>
        </w:tabs>
        <w:rPr>
          <w:b/>
          <w:szCs w:val="24"/>
          <w:lang w:eastAsia="en-AU"/>
        </w:rPr>
      </w:pPr>
      <w:r>
        <w:rPr>
          <w:b/>
          <w:bCs/>
          <w:sz w:val="26"/>
          <w:szCs w:val="26"/>
          <w:lang w:eastAsia="en-AU"/>
        </w:rPr>
        <w:t xml:space="preserve">BEPS – </w:t>
      </w:r>
      <w:r w:rsidR="00FA5F79">
        <w:rPr>
          <w:b/>
          <w:bCs/>
          <w:sz w:val="26"/>
          <w:szCs w:val="26"/>
          <w:lang w:eastAsia="en-AU"/>
        </w:rPr>
        <w:t>t</w:t>
      </w:r>
      <w:r>
        <w:rPr>
          <w:b/>
          <w:bCs/>
          <w:sz w:val="26"/>
          <w:szCs w:val="26"/>
          <w:lang w:eastAsia="en-AU"/>
        </w:rPr>
        <w:t xml:space="preserve">ransfer pricing and </w:t>
      </w:r>
      <w:r w:rsidR="00FA5F79">
        <w:rPr>
          <w:b/>
          <w:bCs/>
          <w:sz w:val="26"/>
          <w:szCs w:val="26"/>
          <w:lang w:eastAsia="en-AU"/>
        </w:rPr>
        <w:t>permanent establishment a</w:t>
      </w:r>
      <w:r>
        <w:rPr>
          <w:b/>
          <w:bCs/>
          <w:sz w:val="26"/>
          <w:szCs w:val="26"/>
          <w:lang w:eastAsia="en-AU"/>
        </w:rPr>
        <w:t>voidance</w:t>
      </w:r>
    </w:p>
    <w:p w:rsidR="007E2640" w:rsidRDefault="0089190F" w:rsidP="0089190F">
      <w:pPr>
        <w:tabs>
          <w:tab w:val="left" w:pos="4245"/>
        </w:tabs>
        <w:jc w:val="both"/>
        <w:rPr>
          <w:szCs w:val="24"/>
          <w:lang w:eastAsia="en-AU"/>
        </w:rPr>
      </w:pPr>
      <w:r>
        <w:rPr>
          <w:szCs w:val="24"/>
          <w:lang w:eastAsia="en-AU"/>
        </w:rPr>
        <w:tab/>
      </w:r>
    </w:p>
    <w:p w:rsidR="00763BDD" w:rsidRPr="00DD23B8" w:rsidRDefault="00763BDD" w:rsidP="00094E89">
      <w:pPr>
        <w:tabs>
          <w:tab w:val="left" w:pos="567"/>
        </w:tabs>
        <w:jc w:val="both"/>
        <w:rPr>
          <w:szCs w:val="24"/>
          <w:lang w:eastAsia="en-AU"/>
        </w:rPr>
      </w:pPr>
    </w:p>
    <w:p w:rsidR="007E2640" w:rsidRPr="00DD23B8" w:rsidRDefault="004F6ED4" w:rsidP="007E2640">
      <w:pPr>
        <w:tabs>
          <w:tab w:val="left" w:pos="567"/>
        </w:tabs>
        <w:rPr>
          <w:szCs w:val="24"/>
          <w:lang w:eastAsia="en-AU"/>
        </w:rPr>
      </w:pPr>
      <w:r w:rsidRPr="00DD23B8">
        <w:rPr>
          <w:b/>
          <w:bCs/>
          <w:szCs w:val="24"/>
          <w:lang w:eastAsia="en-AU"/>
        </w:rPr>
        <w:t>Proposal</w:t>
      </w:r>
    </w:p>
    <w:p w:rsidR="007E2640" w:rsidRPr="00DD23B8" w:rsidRDefault="007E2640" w:rsidP="007E2640">
      <w:pPr>
        <w:tabs>
          <w:tab w:val="left" w:pos="567"/>
        </w:tabs>
        <w:jc w:val="both"/>
        <w:rPr>
          <w:szCs w:val="24"/>
          <w:lang w:eastAsia="en-AU"/>
        </w:rPr>
      </w:pPr>
    </w:p>
    <w:p w:rsidR="008214F0" w:rsidRPr="00351FA1" w:rsidRDefault="003873CB" w:rsidP="00FD6F7D">
      <w:pPr>
        <w:pStyle w:val="Numberparagraph"/>
        <w:ind w:left="0" w:firstLine="0"/>
      </w:pPr>
      <w:r w:rsidRPr="00351FA1">
        <w:t>This paper seeks</w:t>
      </w:r>
      <w:r>
        <w:t xml:space="preserve"> Cabinet approval </w:t>
      </w:r>
      <w:r w:rsidR="00FD6F7D" w:rsidRPr="00FD6F7D">
        <w:t xml:space="preserve">to introduce new tax rules </w:t>
      </w:r>
      <w:r>
        <w:t>to prevent</w:t>
      </w:r>
      <w:r w:rsidRPr="00351FA1">
        <w:t xml:space="preserve"> permanent establishment</w:t>
      </w:r>
      <w:r>
        <w:t xml:space="preserve"> avoidance, strengthen</w:t>
      </w:r>
      <w:r w:rsidRPr="00351FA1">
        <w:t xml:space="preserve"> </w:t>
      </w:r>
      <w:r>
        <w:t>our</w:t>
      </w:r>
      <w:r w:rsidRPr="00351FA1">
        <w:t xml:space="preserve"> transfer pricing</w:t>
      </w:r>
      <w:r>
        <w:t xml:space="preserve"> rules, and help Inland Revenue </w:t>
      </w:r>
      <w:r w:rsidR="004610A5">
        <w:t xml:space="preserve">investigate </w:t>
      </w:r>
      <w:r>
        <w:t>uncooperative multinationals</w:t>
      </w:r>
      <w:r w:rsidR="00A918C7">
        <w:t xml:space="preserve">.  </w:t>
      </w:r>
      <w:r w:rsidR="00225901">
        <w:t xml:space="preserve">This </w:t>
      </w:r>
      <w:r>
        <w:t>paper is</w:t>
      </w:r>
      <w:r w:rsidR="00351FA1">
        <w:t xml:space="preserve"> </w:t>
      </w:r>
      <w:r w:rsidR="009F2C0A">
        <w:t>part of</w:t>
      </w:r>
      <w:r>
        <w:t xml:space="preserve"> </w:t>
      </w:r>
      <w:r w:rsidR="00EF751B">
        <w:t>a comprehensive package of measures to</w:t>
      </w:r>
      <w:r w:rsidR="00351FA1">
        <w:t xml:space="preserve"> </w:t>
      </w:r>
      <w:r w:rsidR="00A361C1">
        <w:t>address base erosion and profit</w:t>
      </w:r>
      <w:r w:rsidR="00225901">
        <w:t xml:space="preserve"> shifting (BEPS)</w:t>
      </w:r>
      <w:r w:rsidR="00A918C7">
        <w:t xml:space="preserve">.  </w:t>
      </w:r>
    </w:p>
    <w:p w:rsidR="0076683F" w:rsidRDefault="0076683F" w:rsidP="00351FA1">
      <w:pPr>
        <w:pStyle w:val="Numberparagraph"/>
        <w:numPr>
          <w:ilvl w:val="0"/>
          <w:numId w:val="0"/>
        </w:numPr>
      </w:pPr>
    </w:p>
    <w:p w:rsidR="00FD6F7D" w:rsidRPr="00351FA1" w:rsidRDefault="00FD6F7D" w:rsidP="00351FA1">
      <w:pPr>
        <w:pStyle w:val="Numberparagraph"/>
        <w:numPr>
          <w:ilvl w:val="0"/>
          <w:numId w:val="0"/>
        </w:numPr>
      </w:pPr>
    </w:p>
    <w:p w:rsidR="007E2640" w:rsidRDefault="004F6ED4" w:rsidP="007E2640">
      <w:pPr>
        <w:tabs>
          <w:tab w:val="left" w:pos="567"/>
        </w:tabs>
        <w:jc w:val="both"/>
        <w:rPr>
          <w:b/>
          <w:bCs/>
          <w:szCs w:val="24"/>
          <w:lang w:eastAsia="en-AU"/>
        </w:rPr>
      </w:pPr>
      <w:r w:rsidRPr="00DD23B8">
        <w:rPr>
          <w:b/>
          <w:bCs/>
          <w:szCs w:val="24"/>
          <w:lang w:eastAsia="en-AU"/>
        </w:rPr>
        <w:t>Executive summary</w:t>
      </w:r>
    </w:p>
    <w:p w:rsidR="003D2F23" w:rsidRPr="00DD23B8" w:rsidRDefault="003D2F23" w:rsidP="007E2640">
      <w:pPr>
        <w:tabs>
          <w:tab w:val="left" w:pos="567"/>
        </w:tabs>
        <w:jc w:val="both"/>
        <w:rPr>
          <w:szCs w:val="24"/>
          <w:lang w:eastAsia="en-AU"/>
        </w:rPr>
      </w:pPr>
    </w:p>
    <w:p w:rsidR="001E6A50" w:rsidRDefault="003D2F23" w:rsidP="003D2F23">
      <w:pPr>
        <w:pStyle w:val="Numberparagraph"/>
        <w:ind w:left="0" w:firstLine="0"/>
      </w:pPr>
      <w:r w:rsidRPr="003D2F23">
        <w:t>Some large multinationals are currently using</w:t>
      </w:r>
      <w:r>
        <w:t xml:space="preserve"> </w:t>
      </w:r>
      <w:r w:rsidRPr="003D2F23">
        <w:t>tax arrangements</w:t>
      </w:r>
      <w:r>
        <w:t xml:space="preserve"> which allow them to</w:t>
      </w:r>
      <w:r w:rsidRPr="003D2F23">
        <w:t xml:space="preserve"> report low taxable profits in New Zealand despite carrying on significant economic activity here</w:t>
      </w:r>
      <w:r w:rsidR="00A918C7">
        <w:t xml:space="preserve">.  </w:t>
      </w:r>
    </w:p>
    <w:p w:rsidR="001E6A50" w:rsidRDefault="001E6A50" w:rsidP="001E6A50">
      <w:pPr>
        <w:pStyle w:val="Numberparagraph"/>
        <w:numPr>
          <w:ilvl w:val="0"/>
          <w:numId w:val="0"/>
        </w:numPr>
      </w:pPr>
    </w:p>
    <w:p w:rsidR="00525887" w:rsidRPr="00525887" w:rsidRDefault="003D2F23" w:rsidP="003D2F23">
      <w:pPr>
        <w:pStyle w:val="Numberparagraph"/>
        <w:ind w:left="0" w:firstLine="0"/>
      </w:pPr>
      <w:r>
        <w:t>In March this year, the Government released a</w:t>
      </w:r>
      <w:r w:rsidRPr="009D5547">
        <w:t xml:space="preserve"> discussion document </w:t>
      </w:r>
      <w:r>
        <w:t xml:space="preserve">called </w:t>
      </w:r>
      <w:r w:rsidRPr="002741A0">
        <w:rPr>
          <w:i/>
        </w:rPr>
        <w:t>BEPS –</w:t>
      </w:r>
      <w:r w:rsidRPr="009D5547">
        <w:t xml:space="preserve"> </w:t>
      </w:r>
      <w:r w:rsidRPr="002741A0">
        <w:rPr>
          <w:i/>
        </w:rPr>
        <w:t>Transfer pricing and permanent establishment avoidance</w:t>
      </w:r>
      <w:r>
        <w:rPr>
          <w:i/>
        </w:rPr>
        <w:t xml:space="preserve"> </w:t>
      </w:r>
      <w:r>
        <w:t>to consult on proposals to combat these arrangements</w:t>
      </w:r>
      <w:r w:rsidR="00A918C7">
        <w:t xml:space="preserve">.  </w:t>
      </w:r>
      <w:r w:rsidR="0076683F">
        <w:t xml:space="preserve">Many of these proposals </w:t>
      </w:r>
      <w:r w:rsidR="00525887">
        <w:t xml:space="preserve">are </w:t>
      </w:r>
      <w:r w:rsidR="0076683F">
        <w:t xml:space="preserve">similar </w:t>
      </w:r>
      <w:r w:rsidR="00175659">
        <w:t xml:space="preserve">to </w:t>
      </w:r>
      <w:r w:rsidR="0076683F">
        <w:t>tax reforms that Australia has introduced in recent years</w:t>
      </w:r>
      <w:r w:rsidR="00A918C7">
        <w:t xml:space="preserve">.  </w:t>
      </w:r>
      <w:r w:rsidR="00525887">
        <w:t xml:space="preserve">They are also broadly consistent with the OECD’s </w:t>
      </w:r>
      <w:r w:rsidR="0054666B">
        <w:rPr>
          <w:i/>
        </w:rPr>
        <w:t xml:space="preserve">Action Plan on Base Erosion and Profit Shifting </w:t>
      </w:r>
      <w:r w:rsidR="0054666B" w:rsidRPr="0054666B">
        <w:t>(</w:t>
      </w:r>
      <w:r w:rsidR="00525887" w:rsidRPr="0054666B">
        <w:t xml:space="preserve">BEPS </w:t>
      </w:r>
      <w:r w:rsidR="00E06FF4" w:rsidRPr="0054666B">
        <w:t>A</w:t>
      </w:r>
      <w:r w:rsidR="00525887" w:rsidRPr="0054666B">
        <w:t xml:space="preserve">ction </w:t>
      </w:r>
      <w:r w:rsidR="00E06FF4" w:rsidRPr="0054666B">
        <w:t>P</w:t>
      </w:r>
      <w:r w:rsidR="00525887" w:rsidRPr="0054666B">
        <w:t>lan</w:t>
      </w:r>
      <w:r w:rsidR="0054666B" w:rsidRPr="0054666B">
        <w:t>)</w:t>
      </w:r>
      <w:r w:rsidR="00A918C7" w:rsidRPr="0054666B">
        <w:t>.</w:t>
      </w:r>
      <w:r w:rsidR="00A918C7">
        <w:t xml:space="preserve">  </w:t>
      </w:r>
    </w:p>
    <w:p w:rsidR="0076683F" w:rsidRDefault="0076683F" w:rsidP="0076683F">
      <w:pPr>
        <w:pStyle w:val="Numberparagraph"/>
        <w:numPr>
          <w:ilvl w:val="0"/>
          <w:numId w:val="0"/>
        </w:numPr>
      </w:pPr>
    </w:p>
    <w:p w:rsidR="0076683F" w:rsidRDefault="0076683F" w:rsidP="0076683F">
      <w:pPr>
        <w:pStyle w:val="Numberparagraph"/>
        <w:ind w:left="0" w:firstLine="0"/>
      </w:pPr>
      <w:r w:rsidRPr="0076683F">
        <w:t>Submissions and workshops with the private sector were used to refine the proposals and better target them at the BEPS a</w:t>
      </w:r>
      <w:r w:rsidR="003873CB">
        <w:t>ctivities we are concerned about</w:t>
      </w:r>
      <w:r w:rsidRPr="0076683F">
        <w:t>, whilst reducing the compliance costs and other unintended impacts on taxpayers engaging in ordinary, commercial dealings</w:t>
      </w:r>
      <w:r w:rsidR="00A918C7">
        <w:rPr>
          <w:rFonts w:hint="eastAsia"/>
        </w:rPr>
        <w:t xml:space="preserve">.  </w:t>
      </w:r>
    </w:p>
    <w:p w:rsidR="00E86209" w:rsidRDefault="00E86209" w:rsidP="00B223B6">
      <w:pPr>
        <w:pStyle w:val="ListParagraph"/>
      </w:pPr>
    </w:p>
    <w:p w:rsidR="00E86209" w:rsidRDefault="00E86209" w:rsidP="0076683F">
      <w:pPr>
        <w:pStyle w:val="Numberparagraph"/>
        <w:ind w:left="0" w:firstLine="0"/>
      </w:pPr>
      <w:r>
        <w:t xml:space="preserve">We recommend that </w:t>
      </w:r>
      <w:r w:rsidR="00175659">
        <w:t xml:space="preserve">nearly all of the </w:t>
      </w:r>
      <w:r w:rsidR="009F2C0A">
        <w:t>proposals</w:t>
      </w:r>
      <w:r>
        <w:t xml:space="preserve"> in the discussion document proceed, subject to some changes following consultation</w:t>
      </w:r>
      <w:r w:rsidR="00A918C7">
        <w:t xml:space="preserve">.  </w:t>
      </w:r>
      <w:r>
        <w:t>The most significant changes</w:t>
      </w:r>
      <w:r w:rsidR="00EE15B1">
        <w:t xml:space="preserve"> made to the original proposals as a result of consultation</w:t>
      </w:r>
      <w:r>
        <w:t xml:space="preserve"> </w:t>
      </w:r>
      <w:r w:rsidR="00EE15B1">
        <w:t>we</w:t>
      </w:r>
      <w:r>
        <w:t>re:</w:t>
      </w:r>
    </w:p>
    <w:p w:rsidR="00772239" w:rsidRDefault="00772239" w:rsidP="00772239">
      <w:pPr>
        <w:pStyle w:val="ListParagraph"/>
      </w:pPr>
    </w:p>
    <w:p w:rsidR="00772239" w:rsidRDefault="00175659" w:rsidP="006F0BE9">
      <w:pPr>
        <w:pStyle w:val="Numberparagraph"/>
        <w:numPr>
          <w:ilvl w:val="0"/>
          <w:numId w:val="9"/>
        </w:numPr>
        <w:ind w:left="1134" w:hanging="567"/>
      </w:pPr>
      <w:r>
        <w:t>T</w:t>
      </w:r>
      <w:r w:rsidR="00772239">
        <w:t xml:space="preserve">he proposed </w:t>
      </w:r>
      <w:r w:rsidR="00E06FF4">
        <w:t>permanent establishment (</w:t>
      </w:r>
      <w:r w:rsidR="00772239">
        <w:t>PE</w:t>
      </w:r>
      <w:r w:rsidR="00E06FF4">
        <w:t>)</w:t>
      </w:r>
      <w:r w:rsidR="00772239">
        <w:t xml:space="preserve"> avoidance rule should be more narrowly targeted at avoidance arrangements</w:t>
      </w:r>
      <w:r w:rsidR="00A918C7">
        <w:t xml:space="preserve">.  </w:t>
      </w:r>
      <w:r w:rsidR="00772239">
        <w:t xml:space="preserve">We would like to consult further as to </w:t>
      </w:r>
      <w:r w:rsidR="00A918C7">
        <w:t xml:space="preserve">how best to achieve this.  </w:t>
      </w:r>
    </w:p>
    <w:p w:rsidR="00772239" w:rsidRDefault="00772239" w:rsidP="006F0BE9">
      <w:pPr>
        <w:pStyle w:val="ListParagraph"/>
        <w:ind w:left="1134" w:hanging="567"/>
      </w:pPr>
    </w:p>
    <w:p w:rsidR="00772239" w:rsidRDefault="00175659" w:rsidP="006F0BE9">
      <w:pPr>
        <w:pStyle w:val="Numberparagraph"/>
        <w:numPr>
          <w:ilvl w:val="0"/>
          <w:numId w:val="9"/>
        </w:numPr>
        <w:ind w:left="1134" w:hanging="567"/>
      </w:pPr>
      <w:r>
        <w:t>C</w:t>
      </w:r>
      <w:r w:rsidR="00E86209">
        <w:t>larification of</w:t>
      </w:r>
      <w:r w:rsidR="00772239">
        <w:t xml:space="preserve"> the circumstances in which Inland Revenue would be able to reconstruct a taxpayer’s transfer pricing position</w:t>
      </w:r>
      <w:r w:rsidR="00A918C7">
        <w:t xml:space="preserve">.  </w:t>
      </w:r>
      <w:r w:rsidR="00772239">
        <w:t xml:space="preserve">We recommend clarifying that the </w:t>
      </w:r>
      <w:r w:rsidR="00772239" w:rsidRPr="005A3F7A">
        <w:t xml:space="preserve">test for </w:t>
      </w:r>
      <w:r w:rsidR="00772239">
        <w:t>reconstructing an arrangement w</w:t>
      </w:r>
      <w:r w:rsidR="00772239" w:rsidRPr="005A3F7A">
        <w:t>ould be based on the corresponding test in the OECD’s transfer pricing guidelines.</w:t>
      </w:r>
    </w:p>
    <w:p w:rsidR="00E86209" w:rsidRDefault="00E86209" w:rsidP="006F0BE9">
      <w:pPr>
        <w:pStyle w:val="ListParagraph"/>
        <w:ind w:left="1134" w:hanging="567"/>
      </w:pPr>
    </w:p>
    <w:p w:rsidR="00E86209" w:rsidRPr="00DE6D9F" w:rsidRDefault="00E86209" w:rsidP="006F0BE9">
      <w:pPr>
        <w:pStyle w:val="Numberparagraph"/>
        <w:numPr>
          <w:ilvl w:val="0"/>
          <w:numId w:val="9"/>
        </w:numPr>
        <w:ind w:left="1134" w:hanging="567"/>
      </w:pPr>
      <w:r w:rsidRPr="00DE6D9F">
        <w:t>The proposal to require disputed tax to be paid earlier should not proceed</w:t>
      </w:r>
      <w:r w:rsidR="00A918C7">
        <w:t xml:space="preserve">.  </w:t>
      </w:r>
      <w:r w:rsidRPr="00DE6D9F">
        <w:t xml:space="preserve">This is because we consider it to be unnecessary in light of the current </w:t>
      </w:r>
      <w:r w:rsidR="00175659">
        <w:t>“</w:t>
      </w:r>
      <w:r w:rsidRPr="00DE6D9F">
        <w:t>use of money</w:t>
      </w:r>
      <w:r w:rsidR="00175659">
        <w:t>”</w:t>
      </w:r>
      <w:r w:rsidRPr="00DE6D9F">
        <w:t xml:space="preserve"> interest rate regime.</w:t>
      </w:r>
    </w:p>
    <w:p w:rsidR="001E6A50" w:rsidRDefault="001E6A50" w:rsidP="001E6A50">
      <w:pPr>
        <w:pStyle w:val="Numberparagraph"/>
        <w:numPr>
          <w:ilvl w:val="0"/>
          <w:numId w:val="0"/>
        </w:numPr>
      </w:pPr>
    </w:p>
    <w:p w:rsidR="00A23094" w:rsidRDefault="001E6A50" w:rsidP="001E6A50">
      <w:pPr>
        <w:pStyle w:val="Numberparagraph"/>
        <w:ind w:left="0" w:firstLine="0"/>
      </w:pPr>
      <w:r>
        <w:t>These changes</w:t>
      </w:r>
      <w:r w:rsidRPr="001E6A50">
        <w:t xml:space="preserve"> </w:t>
      </w:r>
      <w:r>
        <w:t>are</w:t>
      </w:r>
      <w:r w:rsidRPr="001E6A50">
        <w:t xml:space="preserve"> likel</w:t>
      </w:r>
      <w:r>
        <w:t xml:space="preserve">y to be welcomed by submitters and do not </w:t>
      </w:r>
      <w:r w:rsidRPr="00C26B6D">
        <w:t>reduc</w:t>
      </w:r>
      <w:r>
        <w:t>e</w:t>
      </w:r>
      <w:r w:rsidRPr="00C26B6D">
        <w:t xml:space="preserve"> the overall effectiveness of the proposed reforms.</w:t>
      </w:r>
    </w:p>
    <w:p w:rsidR="00AD5C56" w:rsidRPr="00DE6D9F" w:rsidRDefault="00AD5C56" w:rsidP="0004297B">
      <w:pPr>
        <w:pStyle w:val="Numberparagraph"/>
        <w:numPr>
          <w:ilvl w:val="0"/>
          <w:numId w:val="0"/>
        </w:numPr>
      </w:pPr>
    </w:p>
    <w:p w:rsidR="00E86209" w:rsidRPr="00A60481" w:rsidRDefault="00E86209" w:rsidP="00E86209">
      <w:pPr>
        <w:pStyle w:val="Numberparagraph"/>
        <w:ind w:left="0" w:firstLine="0"/>
      </w:pPr>
      <w:r w:rsidRPr="00A60481">
        <w:lastRenderedPageBreak/>
        <w:t>We recommend Cabinet delegate authority to the Minister</w:t>
      </w:r>
      <w:r w:rsidR="00DE6D9F" w:rsidRPr="00A60481">
        <w:t>s</w:t>
      </w:r>
      <w:r w:rsidRPr="00A60481">
        <w:t xml:space="preserve"> of Finance and Revenue to make final decision</w:t>
      </w:r>
      <w:r w:rsidR="00775F2D" w:rsidRPr="00A60481">
        <w:t>s on the detailed design of the</w:t>
      </w:r>
      <w:r w:rsidRPr="00A60481">
        <w:t xml:space="preserve"> proposed rules</w:t>
      </w:r>
      <w:r w:rsidR="00A918C7">
        <w:t xml:space="preserve">.  </w:t>
      </w:r>
      <w:r w:rsidR="00DE6D9F" w:rsidRPr="00A60481">
        <w:t>As we continue to design the detail of the proposals there will be further targeted consultation with interested parties</w:t>
      </w:r>
      <w:r w:rsidR="00A918C7">
        <w:t xml:space="preserve">.  </w:t>
      </w:r>
    </w:p>
    <w:p w:rsidR="00E86209" w:rsidRPr="00A60481" w:rsidRDefault="00E86209" w:rsidP="006069B2">
      <w:pPr>
        <w:pStyle w:val="ListParagraph"/>
      </w:pPr>
    </w:p>
    <w:p w:rsidR="00E86209" w:rsidRPr="00A60481" w:rsidRDefault="00123A4D" w:rsidP="00E86209">
      <w:pPr>
        <w:pStyle w:val="Numberparagraph"/>
        <w:ind w:left="0" w:firstLine="0"/>
      </w:pPr>
      <w:r w:rsidRPr="00A60481">
        <w:t>The forecast tax revenue from implementing the transfer pricing and PE avoidance measures is $25m in 2018/19 and $50m per annum from 2019/20</w:t>
      </w:r>
      <w:r w:rsidR="00A918C7">
        <w:t xml:space="preserve">.  </w:t>
      </w:r>
      <w:r w:rsidR="00522340">
        <w:t xml:space="preserve">Some of this </w:t>
      </w:r>
      <w:r w:rsidR="006763BA">
        <w:t xml:space="preserve">revenue </w:t>
      </w:r>
      <w:r w:rsidR="00522340">
        <w:t>has already been included in the Budget 2017 forecasts</w:t>
      </w:r>
      <w:r w:rsidR="00A918C7">
        <w:t xml:space="preserve">.  </w:t>
      </w:r>
    </w:p>
    <w:p w:rsidR="00FE7A86" w:rsidRDefault="00FE7A86" w:rsidP="00525887">
      <w:pPr>
        <w:pStyle w:val="ListParagraph"/>
      </w:pPr>
    </w:p>
    <w:p w:rsidR="00514F2A" w:rsidRDefault="00514F2A" w:rsidP="00525887">
      <w:pPr>
        <w:pStyle w:val="ListParagraph"/>
      </w:pPr>
    </w:p>
    <w:p w:rsidR="00C64DC6" w:rsidRDefault="00FE7A86" w:rsidP="00C64DC6">
      <w:pPr>
        <w:rPr>
          <w:b/>
        </w:rPr>
      </w:pPr>
      <w:r>
        <w:rPr>
          <w:b/>
        </w:rPr>
        <w:t>Background</w:t>
      </w:r>
    </w:p>
    <w:p w:rsidR="002741A0" w:rsidRPr="00C55D19" w:rsidRDefault="002741A0" w:rsidP="00C64DC6">
      <w:pPr>
        <w:rPr>
          <w:b/>
        </w:rPr>
      </w:pPr>
    </w:p>
    <w:p w:rsidR="002741A0" w:rsidRDefault="002741A0" w:rsidP="002741A0">
      <w:pPr>
        <w:pStyle w:val="Numberparagraph"/>
        <w:ind w:left="0" w:firstLine="0"/>
      </w:pPr>
      <w:r>
        <w:t xml:space="preserve">In </w:t>
      </w:r>
      <w:r w:rsidRPr="009D5547">
        <w:t xml:space="preserve">February this year, Cabinet agreed to release the Government discussion document </w:t>
      </w:r>
      <w:r w:rsidRPr="002741A0">
        <w:rPr>
          <w:i/>
        </w:rPr>
        <w:t>BEPS –</w:t>
      </w:r>
      <w:r w:rsidRPr="009D5547">
        <w:t xml:space="preserve"> </w:t>
      </w:r>
      <w:r w:rsidRPr="002741A0">
        <w:rPr>
          <w:i/>
        </w:rPr>
        <w:t>Transfer pricing and permanent establishment avoidance</w:t>
      </w:r>
      <w:r w:rsidRPr="009D5547">
        <w:t xml:space="preserve"> (CAB-17-MIN-0041 refers)</w:t>
      </w:r>
      <w:r w:rsidR="00A918C7">
        <w:t xml:space="preserve">.  </w:t>
      </w:r>
    </w:p>
    <w:p w:rsidR="0076683F" w:rsidRDefault="0076683F" w:rsidP="0076683F">
      <w:pPr>
        <w:pStyle w:val="Numberparagraph"/>
        <w:numPr>
          <w:ilvl w:val="0"/>
          <w:numId w:val="0"/>
        </w:numPr>
      </w:pPr>
    </w:p>
    <w:p w:rsidR="002741A0" w:rsidRDefault="0076683F" w:rsidP="003D2F23">
      <w:pPr>
        <w:pStyle w:val="Numberparagraph"/>
        <w:ind w:left="0" w:firstLine="0"/>
      </w:pPr>
      <w:r>
        <w:t>The</w:t>
      </w:r>
      <w:r w:rsidR="003260C4">
        <w:t xml:space="preserve"> </w:t>
      </w:r>
      <w:r w:rsidR="005B069E">
        <w:t xml:space="preserve">discussion </w:t>
      </w:r>
      <w:r w:rsidR="002741A0">
        <w:t>document, which was released in March</w:t>
      </w:r>
      <w:r w:rsidR="00917A7C">
        <w:t xml:space="preserve"> 2017</w:t>
      </w:r>
      <w:r w:rsidR="002741A0">
        <w:t xml:space="preserve">, consulted on </w:t>
      </w:r>
      <w:r w:rsidR="005B069E">
        <w:t>propos</w:t>
      </w:r>
      <w:r w:rsidR="003C7D90">
        <w:t xml:space="preserve">als </w:t>
      </w:r>
      <w:r w:rsidR="005B069E">
        <w:t>t</w:t>
      </w:r>
      <w:r w:rsidR="002741A0">
        <w:t>o co</w:t>
      </w:r>
      <w:r w:rsidR="003D2F23">
        <w:t>mbat</w:t>
      </w:r>
      <w:r w:rsidR="001E6A50">
        <w:t xml:space="preserve"> aggressive</w:t>
      </w:r>
      <w:r w:rsidR="003D2F23">
        <w:t xml:space="preserve"> </w:t>
      </w:r>
      <w:r w:rsidR="003D2F23" w:rsidRPr="003D2F23">
        <w:t xml:space="preserve">tax </w:t>
      </w:r>
      <w:r w:rsidR="00522340">
        <w:t>strategies</w:t>
      </w:r>
      <w:r w:rsidR="00522340" w:rsidRPr="003D2F23">
        <w:t xml:space="preserve"> </w:t>
      </w:r>
      <w:r w:rsidR="003D2F23" w:rsidRPr="003D2F23">
        <w:t>which allow</w:t>
      </w:r>
      <w:r w:rsidR="003D2F23">
        <w:t xml:space="preserve"> some multinationals</w:t>
      </w:r>
      <w:r w:rsidR="003D2F23" w:rsidRPr="003D2F23">
        <w:t xml:space="preserve"> to report low taxable profits in New Zealand despite carrying on significant economic activity here</w:t>
      </w:r>
      <w:r w:rsidR="00A918C7">
        <w:t xml:space="preserve">.  </w:t>
      </w:r>
      <w:r w:rsidR="00FD6F7D">
        <w:t>These strategies</w:t>
      </w:r>
      <w:r w:rsidR="00FD6F7D" w:rsidRPr="005300CF">
        <w:t xml:space="preserve"> </w:t>
      </w:r>
      <w:r w:rsidR="002741A0">
        <w:t>involve</w:t>
      </w:r>
      <w:r w:rsidR="002741A0" w:rsidRPr="005300CF">
        <w:t>:</w:t>
      </w:r>
    </w:p>
    <w:p w:rsidR="002741A0" w:rsidRDefault="002741A0" w:rsidP="002741A0">
      <w:pPr>
        <w:pStyle w:val="ListParagraph"/>
      </w:pPr>
    </w:p>
    <w:p w:rsidR="002741A0" w:rsidRPr="00B00E50" w:rsidRDefault="002741A0" w:rsidP="006F0BE9">
      <w:pPr>
        <w:pStyle w:val="ListParagraph"/>
        <w:numPr>
          <w:ilvl w:val="0"/>
          <w:numId w:val="6"/>
        </w:numPr>
        <w:ind w:left="1134" w:hanging="567"/>
        <w:jc w:val="both"/>
        <w:rPr>
          <w:rFonts w:eastAsiaTheme="minorEastAsia"/>
        </w:rPr>
      </w:pPr>
      <w:r w:rsidRPr="00B00E50">
        <w:rPr>
          <w:rFonts w:eastAsiaTheme="minorEastAsia"/>
          <w:b/>
          <w:i/>
        </w:rPr>
        <w:t>Tax structuring</w:t>
      </w:r>
      <w:r w:rsidRPr="00B00E50">
        <w:rPr>
          <w:rFonts w:eastAsiaTheme="minorEastAsia"/>
        </w:rPr>
        <w:t>:  In order for New Zealand to tax a non-resident on its sales here, the non-resident must have a taxable presence (a</w:t>
      </w:r>
      <w:r w:rsidR="00522340">
        <w:rPr>
          <w:rFonts w:eastAsiaTheme="minorEastAsia"/>
        </w:rPr>
        <w:t xml:space="preserve"> permanent establishment or</w:t>
      </w:r>
      <w:r w:rsidRPr="00B00E50">
        <w:rPr>
          <w:rFonts w:eastAsiaTheme="minorEastAsia"/>
        </w:rPr>
        <w:t xml:space="preserve"> </w:t>
      </w:r>
      <w:r w:rsidR="00522340">
        <w:rPr>
          <w:rFonts w:eastAsiaTheme="minorEastAsia"/>
        </w:rPr>
        <w:t>“</w:t>
      </w:r>
      <w:r w:rsidRPr="00B00E50">
        <w:rPr>
          <w:rFonts w:eastAsiaTheme="minorEastAsia"/>
        </w:rPr>
        <w:t>PE</w:t>
      </w:r>
      <w:r w:rsidR="00522340">
        <w:rPr>
          <w:rFonts w:eastAsiaTheme="minorEastAsia"/>
        </w:rPr>
        <w:t>”</w:t>
      </w:r>
      <w:r w:rsidRPr="00B00E50">
        <w:rPr>
          <w:rFonts w:eastAsiaTheme="minorEastAsia"/>
        </w:rPr>
        <w:t>) in New Zealand</w:t>
      </w:r>
      <w:r w:rsidR="00A918C7">
        <w:rPr>
          <w:rFonts w:eastAsiaTheme="minorEastAsia"/>
        </w:rPr>
        <w:t xml:space="preserve">.  </w:t>
      </w:r>
      <w:r w:rsidRPr="00B00E50">
        <w:rPr>
          <w:rFonts w:eastAsiaTheme="minorEastAsia"/>
        </w:rPr>
        <w:t>However</w:t>
      </w:r>
      <w:r w:rsidR="00E06FF4">
        <w:rPr>
          <w:rFonts w:eastAsiaTheme="minorEastAsia"/>
        </w:rPr>
        <w:t>,</w:t>
      </w:r>
      <w:r w:rsidRPr="00B00E50">
        <w:rPr>
          <w:rFonts w:eastAsiaTheme="minorEastAsia"/>
        </w:rPr>
        <w:t xml:space="preserve"> non-residents can structure their affairs to avoid such a taxable presence, even when they are involved in significant economic activity here (PE avoidance)</w:t>
      </w:r>
      <w:r w:rsidR="00A918C7">
        <w:rPr>
          <w:rFonts w:eastAsiaTheme="minorEastAsia"/>
        </w:rPr>
        <w:t xml:space="preserve">.  </w:t>
      </w:r>
      <w:r w:rsidRPr="00B00E50">
        <w:rPr>
          <w:rFonts w:eastAsiaTheme="minorEastAsia"/>
        </w:rPr>
        <w:t>Non-residents can also enter into arrangements with related parties that reduce their taxable profits in New Zealand, but lack economic substance (transfer pricing avoidance).</w:t>
      </w:r>
    </w:p>
    <w:p w:rsidR="002741A0" w:rsidRPr="00B00E50" w:rsidRDefault="002741A0" w:rsidP="006F0BE9">
      <w:pPr>
        <w:pStyle w:val="ListParagraph"/>
        <w:ind w:left="1134" w:hanging="567"/>
        <w:jc w:val="both"/>
        <w:rPr>
          <w:rFonts w:eastAsiaTheme="minorEastAsia"/>
        </w:rPr>
      </w:pPr>
    </w:p>
    <w:p w:rsidR="002741A0" w:rsidRPr="00B00E50" w:rsidRDefault="002741A0" w:rsidP="006F0BE9">
      <w:pPr>
        <w:pStyle w:val="ListParagraph"/>
        <w:numPr>
          <w:ilvl w:val="0"/>
          <w:numId w:val="6"/>
        </w:numPr>
        <w:ind w:left="1134" w:hanging="567"/>
        <w:jc w:val="both"/>
        <w:rPr>
          <w:rFonts w:eastAsiaTheme="minorEastAsia"/>
        </w:rPr>
      </w:pPr>
      <w:r w:rsidRPr="00B00E50">
        <w:rPr>
          <w:rFonts w:eastAsiaTheme="minorEastAsia"/>
          <w:b/>
          <w:i/>
        </w:rPr>
        <w:t>Creating enforcement barriers:</w:t>
      </w:r>
      <w:r w:rsidRPr="00B00E50">
        <w:rPr>
          <w:rFonts w:eastAsiaTheme="minorEastAsia"/>
        </w:rPr>
        <w:t xml:space="preserve"> It is difficult and resource intensive to assess and engage in disputes with multinationals in practice</w:t>
      </w:r>
      <w:r w:rsidR="00A918C7">
        <w:rPr>
          <w:rFonts w:eastAsiaTheme="minorEastAsia"/>
        </w:rPr>
        <w:t xml:space="preserve">.  </w:t>
      </w:r>
      <w:r w:rsidRPr="00B00E50">
        <w:rPr>
          <w:rFonts w:eastAsiaTheme="minorEastAsia"/>
        </w:rPr>
        <w:t>This is due to the highly factual nature of the issues and the difficulties Inland Revenue faces in obtaining the relevant information.</w:t>
      </w:r>
    </w:p>
    <w:p w:rsidR="002741A0" w:rsidRDefault="002741A0" w:rsidP="002741A0">
      <w:pPr>
        <w:pStyle w:val="ListParagraph"/>
      </w:pPr>
    </w:p>
    <w:p w:rsidR="00952311" w:rsidRDefault="00522340" w:rsidP="00522340">
      <w:pPr>
        <w:pStyle w:val="Numberparagraph"/>
        <w:ind w:left="0" w:firstLine="0"/>
      </w:pPr>
      <w:r>
        <w:t>The OECD</w:t>
      </w:r>
      <w:r w:rsidR="00835A4A">
        <w:t xml:space="preserve"> and the G20 are</w:t>
      </w:r>
      <w:r>
        <w:t xml:space="preserve"> also concerned </w:t>
      </w:r>
      <w:r w:rsidR="00835A4A">
        <w:t>about</w:t>
      </w:r>
      <w:r>
        <w:t xml:space="preserve"> these k</w:t>
      </w:r>
      <w:r w:rsidR="00835A4A">
        <w:t>inds of BEPS strategies, and have</w:t>
      </w:r>
      <w:r>
        <w:t xml:space="preserve"> recommended measures to address them in </w:t>
      </w:r>
      <w:r w:rsidR="00835A4A">
        <w:t>their</w:t>
      </w:r>
      <w:r>
        <w:t xml:space="preserve"> 15 point BEPS Action Plan</w:t>
      </w:r>
      <w:r w:rsidR="00A918C7">
        <w:t xml:space="preserve">.  </w:t>
      </w:r>
      <w:r w:rsidR="00952311">
        <w:t>These include:</w:t>
      </w:r>
    </w:p>
    <w:p w:rsidR="00952311" w:rsidRDefault="00952311" w:rsidP="0004297B">
      <w:pPr>
        <w:pStyle w:val="Numberparagraph"/>
        <w:numPr>
          <w:ilvl w:val="0"/>
          <w:numId w:val="0"/>
        </w:numPr>
      </w:pPr>
    </w:p>
    <w:p w:rsidR="00952311" w:rsidRDefault="00952311" w:rsidP="0004297B">
      <w:pPr>
        <w:pStyle w:val="Numberparagraph"/>
        <w:numPr>
          <w:ilvl w:val="0"/>
          <w:numId w:val="21"/>
        </w:numPr>
      </w:pPr>
      <w:r>
        <w:t xml:space="preserve">a widened </w:t>
      </w:r>
      <w:r w:rsidR="000633C8">
        <w:t>definition</w:t>
      </w:r>
      <w:r>
        <w:t xml:space="preserve"> of </w:t>
      </w:r>
      <w:r w:rsidR="00B85BF8">
        <w:t>“</w:t>
      </w:r>
      <w:r w:rsidR="000633C8">
        <w:t>permanent</w:t>
      </w:r>
      <w:r>
        <w:t xml:space="preserve"> establishment</w:t>
      </w:r>
      <w:r w:rsidR="00B85BF8">
        <w:t>”</w:t>
      </w:r>
      <w:r w:rsidR="00B538F6">
        <w:t xml:space="preserve"> for double tax agreements (DTAs)</w:t>
      </w:r>
      <w:r>
        <w:t xml:space="preserve">, to counter PE avoidance (however this will only be included in a </w:t>
      </w:r>
      <w:r w:rsidR="00B538F6">
        <w:t>DTA</w:t>
      </w:r>
      <w:r>
        <w:t xml:space="preserve"> if both countries </w:t>
      </w:r>
      <w:r w:rsidR="00835A4A">
        <w:t>agree</w:t>
      </w:r>
      <w:r>
        <w:t xml:space="preserve">); and </w:t>
      </w:r>
    </w:p>
    <w:p w:rsidR="00952311" w:rsidRDefault="00952311" w:rsidP="0004297B">
      <w:pPr>
        <w:pStyle w:val="Numberparagraph"/>
        <w:numPr>
          <w:ilvl w:val="0"/>
          <w:numId w:val="0"/>
        </w:numPr>
        <w:ind w:left="1345"/>
      </w:pPr>
      <w:r>
        <w:t xml:space="preserve"> </w:t>
      </w:r>
    </w:p>
    <w:p w:rsidR="00522340" w:rsidRDefault="00952311" w:rsidP="0004297B">
      <w:pPr>
        <w:pStyle w:val="Numberparagraph"/>
        <w:numPr>
          <w:ilvl w:val="0"/>
          <w:numId w:val="21"/>
        </w:numPr>
      </w:pPr>
      <w:r>
        <w:t>updated transfer pricing guidelines, to counter profit shifting.</w:t>
      </w:r>
    </w:p>
    <w:p w:rsidR="00522340" w:rsidRDefault="00522340" w:rsidP="002741A0">
      <w:pPr>
        <w:pStyle w:val="ListParagraph"/>
      </w:pPr>
    </w:p>
    <w:p w:rsidR="001E6A50" w:rsidRDefault="001E6A50" w:rsidP="002741A0">
      <w:pPr>
        <w:pStyle w:val="ListParagraph"/>
      </w:pPr>
    </w:p>
    <w:p w:rsidR="00FE7A86" w:rsidRPr="00525887" w:rsidRDefault="00FE7A86" w:rsidP="00525887">
      <w:pPr>
        <w:rPr>
          <w:b/>
        </w:rPr>
      </w:pPr>
      <w:r w:rsidRPr="00525887">
        <w:rPr>
          <w:b/>
        </w:rPr>
        <w:t>Comment</w:t>
      </w:r>
    </w:p>
    <w:p w:rsidR="00FE7A86" w:rsidRDefault="00FE7A86" w:rsidP="002741A0">
      <w:pPr>
        <w:pStyle w:val="ListParagraph"/>
      </w:pPr>
    </w:p>
    <w:p w:rsidR="003C7D90" w:rsidRDefault="00FD6F7D" w:rsidP="0076683F">
      <w:pPr>
        <w:pStyle w:val="Numberparagraph"/>
        <w:ind w:left="0" w:firstLine="0"/>
      </w:pPr>
      <w:r>
        <w:t xml:space="preserve">We have developed a package of proposed tax law changes to combat transfer pricing and </w:t>
      </w:r>
      <w:r w:rsidR="00E06FF4">
        <w:t>PE</w:t>
      </w:r>
      <w:r>
        <w:t xml:space="preserve"> avoidance</w:t>
      </w:r>
      <w:r w:rsidR="00A918C7">
        <w:t xml:space="preserve">.  </w:t>
      </w:r>
      <w:r w:rsidR="002741A0">
        <w:t>The main elements of the proposed reform</w:t>
      </w:r>
      <w:r w:rsidR="003C7D90">
        <w:t xml:space="preserve"> package are:</w:t>
      </w:r>
    </w:p>
    <w:p w:rsidR="003C7D90" w:rsidRDefault="003C7D90" w:rsidP="0076683F">
      <w:pPr>
        <w:pStyle w:val="ListParagraph"/>
        <w:jc w:val="both"/>
      </w:pPr>
    </w:p>
    <w:p w:rsidR="0076683F" w:rsidRPr="0076683F" w:rsidRDefault="0076683F" w:rsidP="006F0BE9">
      <w:pPr>
        <w:pStyle w:val="ListParagraph"/>
        <w:numPr>
          <w:ilvl w:val="0"/>
          <w:numId w:val="6"/>
        </w:numPr>
        <w:ind w:left="1134" w:hanging="567"/>
        <w:jc w:val="both"/>
        <w:rPr>
          <w:rFonts w:eastAsiaTheme="minorEastAsia"/>
        </w:rPr>
      </w:pPr>
      <w:r w:rsidRPr="0076683F">
        <w:rPr>
          <w:rFonts w:eastAsiaTheme="minorEastAsia"/>
        </w:rPr>
        <w:t xml:space="preserve">The introduction of a new PE avoidance rule that will prevent multinationals from structuring their operations to avoid having a </w:t>
      </w:r>
      <w:r w:rsidR="00E06FF4">
        <w:rPr>
          <w:rFonts w:eastAsiaTheme="minorEastAsia"/>
        </w:rPr>
        <w:t>PE</w:t>
      </w:r>
      <w:r w:rsidRPr="0076683F">
        <w:rPr>
          <w:rFonts w:eastAsiaTheme="minorEastAsia"/>
        </w:rPr>
        <w:t xml:space="preserve"> in New Zealand where one exists in substance</w:t>
      </w:r>
      <w:r w:rsidR="00A918C7">
        <w:rPr>
          <w:rFonts w:eastAsiaTheme="minorEastAsia"/>
        </w:rPr>
        <w:t xml:space="preserve">.  </w:t>
      </w:r>
    </w:p>
    <w:p w:rsidR="0076683F" w:rsidRPr="0076683F" w:rsidRDefault="0076683F" w:rsidP="006F0BE9">
      <w:pPr>
        <w:pStyle w:val="ListParagraph"/>
        <w:ind w:left="1134" w:hanging="567"/>
        <w:jc w:val="both"/>
        <w:rPr>
          <w:rFonts w:eastAsiaTheme="minorEastAsia"/>
        </w:rPr>
      </w:pPr>
    </w:p>
    <w:p w:rsidR="001C5023" w:rsidRPr="003501CE" w:rsidRDefault="001C5023" w:rsidP="006F0BE9">
      <w:pPr>
        <w:pStyle w:val="ListParagraph"/>
        <w:numPr>
          <w:ilvl w:val="0"/>
          <w:numId w:val="6"/>
        </w:numPr>
        <w:ind w:left="1134" w:hanging="567"/>
        <w:jc w:val="both"/>
        <w:rPr>
          <w:rFonts w:eastAsiaTheme="minorEastAsia"/>
        </w:rPr>
      </w:pPr>
      <w:r w:rsidRPr="003501CE">
        <w:rPr>
          <w:rFonts w:eastAsiaTheme="minorEastAsia"/>
        </w:rPr>
        <w:t xml:space="preserve">Stronger </w:t>
      </w:r>
      <w:r w:rsidR="003D6890" w:rsidRPr="003501CE">
        <w:rPr>
          <w:rFonts w:eastAsiaTheme="minorEastAsia"/>
        </w:rPr>
        <w:t>“</w:t>
      </w:r>
      <w:r w:rsidRPr="003501CE">
        <w:rPr>
          <w:rFonts w:eastAsiaTheme="minorEastAsia"/>
        </w:rPr>
        <w:t>source rules</w:t>
      </w:r>
      <w:r w:rsidR="003D6890" w:rsidRPr="003501CE">
        <w:rPr>
          <w:rFonts w:eastAsiaTheme="minorEastAsia"/>
        </w:rPr>
        <w:t>”</w:t>
      </w:r>
      <w:r w:rsidRPr="003501CE">
        <w:rPr>
          <w:rFonts w:eastAsiaTheme="minorEastAsia"/>
        </w:rPr>
        <w:t xml:space="preserve"> so New Zealand has a greater ability to tax New Zealand-sourced income.</w:t>
      </w:r>
    </w:p>
    <w:p w:rsidR="003C7D90" w:rsidRPr="003501CE" w:rsidRDefault="003C7D90" w:rsidP="006F0BE9">
      <w:pPr>
        <w:pStyle w:val="ListParagraph"/>
        <w:ind w:left="1134" w:hanging="567"/>
        <w:jc w:val="both"/>
        <w:rPr>
          <w:rFonts w:eastAsiaTheme="minorEastAsia"/>
        </w:rPr>
      </w:pPr>
    </w:p>
    <w:p w:rsidR="003C7D90" w:rsidRPr="003501CE" w:rsidRDefault="003C7D90" w:rsidP="006F0BE9">
      <w:pPr>
        <w:pStyle w:val="ListParagraph"/>
        <w:numPr>
          <w:ilvl w:val="0"/>
          <w:numId w:val="6"/>
        </w:numPr>
        <w:ind w:left="1134" w:hanging="567"/>
        <w:jc w:val="both"/>
        <w:rPr>
          <w:rFonts w:eastAsiaTheme="minorEastAsia"/>
        </w:rPr>
      </w:pPr>
      <w:r w:rsidRPr="003501CE">
        <w:rPr>
          <w:rFonts w:eastAsiaTheme="minorEastAsia"/>
        </w:rPr>
        <w:t>Stronger tr</w:t>
      </w:r>
      <w:r w:rsidR="001C5023" w:rsidRPr="003501CE">
        <w:rPr>
          <w:rFonts w:eastAsiaTheme="minorEastAsia"/>
        </w:rPr>
        <w:t xml:space="preserve">ansfer pricing rules which will adjust related party transactions if they </w:t>
      </w:r>
      <w:r w:rsidR="00E06FF4">
        <w:rPr>
          <w:rFonts w:eastAsiaTheme="minorEastAsia"/>
        </w:rPr>
        <w:t>do not</w:t>
      </w:r>
      <w:r w:rsidR="00E06FF4" w:rsidRPr="003501CE">
        <w:rPr>
          <w:rFonts w:eastAsiaTheme="minorEastAsia"/>
        </w:rPr>
        <w:t xml:space="preserve"> </w:t>
      </w:r>
      <w:r w:rsidR="001C5023" w:rsidRPr="003501CE">
        <w:rPr>
          <w:rFonts w:eastAsiaTheme="minorEastAsia"/>
        </w:rPr>
        <w:t>align with the actual substance of the multinational’s economic activities</w:t>
      </w:r>
      <w:r w:rsidR="00A918C7">
        <w:rPr>
          <w:rFonts w:eastAsiaTheme="minorEastAsia"/>
        </w:rPr>
        <w:t xml:space="preserve">.  </w:t>
      </w:r>
      <w:r w:rsidR="00FD6F7D">
        <w:rPr>
          <w:rFonts w:eastAsiaTheme="minorEastAsia"/>
        </w:rPr>
        <w:t xml:space="preserve">We also </w:t>
      </w:r>
      <w:r w:rsidR="00FD6F7D">
        <w:rPr>
          <w:rFonts w:eastAsiaTheme="minorEastAsia"/>
        </w:rPr>
        <w:lastRenderedPageBreak/>
        <w:t>propose</w:t>
      </w:r>
      <w:r w:rsidR="001C5023" w:rsidRPr="003501CE">
        <w:rPr>
          <w:rFonts w:eastAsiaTheme="minorEastAsia"/>
        </w:rPr>
        <w:t xml:space="preserve"> shift</w:t>
      </w:r>
      <w:r w:rsidR="00A23094">
        <w:rPr>
          <w:rFonts w:eastAsiaTheme="minorEastAsia"/>
        </w:rPr>
        <w:t>ing</w:t>
      </w:r>
      <w:r w:rsidR="001C5023" w:rsidRPr="003501CE">
        <w:rPr>
          <w:rFonts w:eastAsiaTheme="minorEastAsia"/>
        </w:rPr>
        <w:t xml:space="preserve"> the burden of proof onto the taxpayer (rather than Inland Revenue) for proving that their related party dealings are consistent with those that would be agreed by third parties operating at arm</w:t>
      </w:r>
      <w:r w:rsidR="00FA0156">
        <w:rPr>
          <w:rFonts w:eastAsiaTheme="minorEastAsia"/>
        </w:rPr>
        <w:t>’</w:t>
      </w:r>
      <w:r w:rsidR="001C5023" w:rsidRPr="003501CE">
        <w:rPr>
          <w:rFonts w:eastAsiaTheme="minorEastAsia"/>
        </w:rPr>
        <w:t>s</w:t>
      </w:r>
      <w:r w:rsidR="00FA0156">
        <w:rPr>
          <w:rFonts w:eastAsiaTheme="minorEastAsia"/>
        </w:rPr>
        <w:t xml:space="preserve"> </w:t>
      </w:r>
      <w:r w:rsidR="001C5023" w:rsidRPr="003501CE">
        <w:rPr>
          <w:rFonts w:eastAsiaTheme="minorEastAsia"/>
        </w:rPr>
        <w:t>length</w:t>
      </w:r>
      <w:r w:rsidR="006763BA">
        <w:rPr>
          <w:rFonts w:eastAsiaTheme="minorEastAsia"/>
        </w:rPr>
        <w:t>,</w:t>
      </w:r>
      <w:r w:rsidR="00A23094">
        <w:rPr>
          <w:rFonts w:eastAsiaTheme="minorEastAsia"/>
        </w:rPr>
        <w:t xml:space="preserve"> and extending the time bar (the period of time which Inland Revenue has to reassess a taxpayer) from </w:t>
      </w:r>
      <w:r w:rsidR="000633C8">
        <w:rPr>
          <w:rFonts w:eastAsiaTheme="minorEastAsia"/>
        </w:rPr>
        <w:t xml:space="preserve">four </w:t>
      </w:r>
      <w:r w:rsidR="00A23094">
        <w:rPr>
          <w:rFonts w:eastAsiaTheme="minorEastAsia"/>
        </w:rPr>
        <w:t xml:space="preserve">years </w:t>
      </w:r>
      <w:r w:rsidR="005F0CBF">
        <w:rPr>
          <w:rFonts w:eastAsiaTheme="minorEastAsia"/>
        </w:rPr>
        <w:t xml:space="preserve">to </w:t>
      </w:r>
      <w:r w:rsidR="000633C8">
        <w:rPr>
          <w:rFonts w:eastAsiaTheme="minorEastAsia"/>
        </w:rPr>
        <w:t xml:space="preserve">seven </w:t>
      </w:r>
      <w:r w:rsidR="005F0CBF">
        <w:rPr>
          <w:rFonts w:eastAsiaTheme="minorEastAsia"/>
        </w:rPr>
        <w:t>years for transfer pricing</w:t>
      </w:r>
      <w:r w:rsidR="00A918C7">
        <w:rPr>
          <w:rFonts w:eastAsiaTheme="minorEastAsia"/>
        </w:rPr>
        <w:t xml:space="preserve">.  </w:t>
      </w:r>
    </w:p>
    <w:p w:rsidR="00764EAA" w:rsidRPr="003501CE" w:rsidRDefault="00764EAA" w:rsidP="006F0BE9">
      <w:pPr>
        <w:pStyle w:val="ListParagraph"/>
        <w:ind w:left="1134" w:hanging="567"/>
        <w:jc w:val="both"/>
        <w:rPr>
          <w:rFonts w:eastAsiaTheme="minorEastAsia"/>
        </w:rPr>
      </w:pPr>
    </w:p>
    <w:p w:rsidR="00764EAA" w:rsidRPr="003501CE" w:rsidRDefault="00764EAA" w:rsidP="006F0BE9">
      <w:pPr>
        <w:pStyle w:val="ListParagraph"/>
        <w:numPr>
          <w:ilvl w:val="0"/>
          <w:numId w:val="6"/>
        </w:numPr>
        <w:ind w:left="1134" w:hanging="567"/>
        <w:jc w:val="both"/>
        <w:rPr>
          <w:rFonts w:eastAsiaTheme="minorEastAsia"/>
        </w:rPr>
      </w:pPr>
      <w:r w:rsidRPr="003501CE">
        <w:rPr>
          <w:rFonts w:eastAsiaTheme="minorEastAsia"/>
        </w:rPr>
        <w:t xml:space="preserve">A range of administrative measures that will strengthen Inland Revenue’s powers to </w:t>
      </w:r>
      <w:r w:rsidR="004610A5">
        <w:rPr>
          <w:rFonts w:eastAsiaTheme="minorEastAsia"/>
        </w:rPr>
        <w:t xml:space="preserve">investigate </w:t>
      </w:r>
      <w:r w:rsidRPr="003501CE">
        <w:rPr>
          <w:rFonts w:eastAsiaTheme="minorEastAsia"/>
        </w:rPr>
        <w:t>large multinationals (with at least EUR €750m of global revenues).</w:t>
      </w:r>
      <w:r w:rsidR="00D67341">
        <w:rPr>
          <w:rFonts w:eastAsiaTheme="minorEastAsia"/>
        </w:rPr>
        <w:t xml:space="preserve">  </w:t>
      </w:r>
      <w:r w:rsidR="00762A13">
        <w:rPr>
          <w:rFonts w:eastAsiaTheme="minorEastAsia"/>
        </w:rPr>
        <w:t xml:space="preserve">These are similar to some of the </w:t>
      </w:r>
      <w:r w:rsidR="00762A13" w:rsidRPr="00762A13">
        <w:rPr>
          <w:rFonts w:eastAsiaTheme="minorEastAsia"/>
        </w:rPr>
        <w:t xml:space="preserve">administrative powers provided under the UK and Australia’s Diverted Profit Taxes </w:t>
      </w:r>
      <w:r w:rsidR="00762A13">
        <w:rPr>
          <w:rFonts w:eastAsiaTheme="minorEastAsia"/>
        </w:rPr>
        <w:t>but</w:t>
      </w:r>
      <w:r w:rsidR="00762A13" w:rsidRPr="00762A13">
        <w:rPr>
          <w:rFonts w:eastAsiaTheme="minorEastAsia"/>
        </w:rPr>
        <w:t xml:space="preserve"> N</w:t>
      </w:r>
      <w:r w:rsidR="00762A13">
        <w:rPr>
          <w:rFonts w:eastAsiaTheme="minorEastAsia"/>
        </w:rPr>
        <w:t xml:space="preserve">ew </w:t>
      </w:r>
      <w:r w:rsidR="00762A13" w:rsidRPr="00762A13">
        <w:rPr>
          <w:rFonts w:eastAsiaTheme="minorEastAsia"/>
        </w:rPr>
        <w:t>Z</w:t>
      </w:r>
      <w:r w:rsidR="00762A13">
        <w:rPr>
          <w:rFonts w:eastAsiaTheme="minorEastAsia"/>
        </w:rPr>
        <w:t>ealand’s</w:t>
      </w:r>
      <w:r w:rsidR="00AF6902">
        <w:rPr>
          <w:rFonts w:eastAsiaTheme="minorEastAsia"/>
        </w:rPr>
        <w:t xml:space="preserve"> administrative measures</w:t>
      </w:r>
      <w:r w:rsidR="00762A13">
        <w:rPr>
          <w:rFonts w:eastAsiaTheme="minorEastAsia"/>
        </w:rPr>
        <w:t xml:space="preserve"> ar</w:t>
      </w:r>
      <w:r w:rsidR="00762A13" w:rsidRPr="00762A13">
        <w:rPr>
          <w:rFonts w:eastAsiaTheme="minorEastAsia"/>
        </w:rPr>
        <w:t>e</w:t>
      </w:r>
      <w:r w:rsidR="009030E0">
        <w:rPr>
          <w:rFonts w:eastAsiaTheme="minorEastAsia"/>
        </w:rPr>
        <w:t xml:space="preserve"> more</w:t>
      </w:r>
      <w:r w:rsidR="00B85BF8">
        <w:rPr>
          <w:rFonts w:eastAsiaTheme="minorEastAsia"/>
        </w:rPr>
        <w:t xml:space="preserve"> targeted at the practical barriers faced by tax investigators</w:t>
      </w:r>
      <w:r w:rsidR="00762A13">
        <w:rPr>
          <w:rFonts w:eastAsiaTheme="minorEastAsia"/>
        </w:rPr>
        <w:t xml:space="preserve"> as</w:t>
      </w:r>
      <w:r w:rsidR="00762A13" w:rsidRPr="00762A13">
        <w:rPr>
          <w:rFonts w:eastAsiaTheme="minorEastAsia"/>
        </w:rPr>
        <w:t xml:space="preserve"> they </w:t>
      </w:r>
      <w:r w:rsidR="00B85BF8">
        <w:rPr>
          <w:rFonts w:eastAsiaTheme="minorEastAsia"/>
        </w:rPr>
        <w:t xml:space="preserve">will </w:t>
      </w:r>
      <w:r w:rsidR="00762A13" w:rsidRPr="00762A13">
        <w:rPr>
          <w:rFonts w:eastAsiaTheme="minorEastAsia"/>
        </w:rPr>
        <w:t xml:space="preserve">only apply </w:t>
      </w:r>
      <w:r w:rsidR="00B85BF8">
        <w:rPr>
          <w:rFonts w:eastAsiaTheme="minorEastAsia"/>
        </w:rPr>
        <w:t>when a</w:t>
      </w:r>
      <w:r w:rsidR="00762A13" w:rsidRPr="00762A13">
        <w:rPr>
          <w:rFonts w:eastAsiaTheme="minorEastAsia"/>
        </w:rPr>
        <w:t xml:space="preserve"> </w:t>
      </w:r>
      <w:r w:rsidR="00B85BF8">
        <w:rPr>
          <w:rFonts w:eastAsiaTheme="minorEastAsia"/>
        </w:rPr>
        <w:t>multinational</w:t>
      </w:r>
      <w:r w:rsidR="00B85BF8" w:rsidRPr="00B85BF8">
        <w:rPr>
          <w:rFonts w:eastAsiaTheme="minorEastAsia"/>
        </w:rPr>
        <w:t xml:space="preserve"> do</w:t>
      </w:r>
      <w:r w:rsidR="00B85BF8">
        <w:rPr>
          <w:rFonts w:eastAsiaTheme="minorEastAsia"/>
        </w:rPr>
        <w:t>es</w:t>
      </w:r>
      <w:r w:rsidR="00B85BF8" w:rsidRPr="00B85BF8">
        <w:rPr>
          <w:rFonts w:eastAsiaTheme="minorEastAsia"/>
        </w:rPr>
        <w:t xml:space="preserve"> not cooperate with a tax investigation</w:t>
      </w:r>
      <w:r w:rsidR="00762A13">
        <w:rPr>
          <w:rFonts w:eastAsiaTheme="minorEastAsia"/>
        </w:rPr>
        <w:t>.</w:t>
      </w:r>
    </w:p>
    <w:p w:rsidR="00764EAA" w:rsidRDefault="00764EAA" w:rsidP="0076683F">
      <w:pPr>
        <w:pStyle w:val="ListParagraph"/>
        <w:jc w:val="both"/>
      </w:pPr>
    </w:p>
    <w:p w:rsidR="0076683F" w:rsidRPr="00A10B71" w:rsidRDefault="00711A00" w:rsidP="00904EA1">
      <w:pPr>
        <w:pStyle w:val="Numberparagraph"/>
        <w:ind w:left="0" w:firstLine="0"/>
        <w:rPr>
          <w:b/>
        </w:rPr>
      </w:pPr>
      <w:r>
        <w:t>Many of these proposals are similar</w:t>
      </w:r>
      <w:r w:rsidR="00175659">
        <w:t xml:space="preserve"> to</w:t>
      </w:r>
      <w:r>
        <w:t xml:space="preserve"> tax reforms that Australia has introduced in recent years</w:t>
      </w:r>
      <w:r w:rsidR="00A918C7">
        <w:t xml:space="preserve">.  </w:t>
      </w:r>
      <w:r w:rsidR="00525887">
        <w:t>They are also broadly consistent wi</w:t>
      </w:r>
      <w:r w:rsidR="00AA11EC">
        <w:t xml:space="preserve">th the OECD’s BEPS </w:t>
      </w:r>
      <w:r w:rsidR="00FA0156">
        <w:t>A</w:t>
      </w:r>
      <w:r w:rsidR="00AA11EC">
        <w:t xml:space="preserve">ction </w:t>
      </w:r>
      <w:r w:rsidR="00FA0156">
        <w:t>P</w:t>
      </w:r>
      <w:r w:rsidR="00AA11EC">
        <w:t>lan, although the specific proposals are tailored for the New Zealand environment to address issues that Inland Revenue has identified when investigating multinationals.</w:t>
      </w:r>
    </w:p>
    <w:p w:rsidR="00FD6F7D" w:rsidRDefault="00FD6F7D" w:rsidP="007E2640">
      <w:pPr>
        <w:tabs>
          <w:tab w:val="left" w:pos="567"/>
        </w:tabs>
        <w:jc w:val="both"/>
        <w:rPr>
          <w:b/>
          <w:szCs w:val="24"/>
          <w:lang w:eastAsia="en-AU"/>
        </w:rPr>
      </w:pPr>
    </w:p>
    <w:p w:rsidR="00525D17" w:rsidRDefault="00525D17" w:rsidP="007E2640">
      <w:pPr>
        <w:tabs>
          <w:tab w:val="left" w:pos="567"/>
        </w:tabs>
        <w:jc w:val="both"/>
        <w:rPr>
          <w:b/>
          <w:szCs w:val="24"/>
          <w:lang w:eastAsia="en-AU"/>
        </w:rPr>
      </w:pPr>
    </w:p>
    <w:p w:rsidR="00196CBF" w:rsidRDefault="001E6A50" w:rsidP="007E2640">
      <w:pPr>
        <w:tabs>
          <w:tab w:val="left" w:pos="567"/>
        </w:tabs>
        <w:jc w:val="both"/>
        <w:rPr>
          <w:b/>
          <w:szCs w:val="24"/>
          <w:lang w:eastAsia="en-AU"/>
        </w:rPr>
      </w:pPr>
      <w:r>
        <w:rPr>
          <w:b/>
          <w:szCs w:val="24"/>
          <w:lang w:eastAsia="en-AU"/>
        </w:rPr>
        <w:t>P</w:t>
      </w:r>
      <w:r w:rsidR="00286732">
        <w:rPr>
          <w:b/>
          <w:szCs w:val="24"/>
          <w:lang w:eastAsia="en-AU"/>
        </w:rPr>
        <w:t>rivate sector consultation</w:t>
      </w:r>
    </w:p>
    <w:p w:rsidR="00286732" w:rsidRDefault="00286732" w:rsidP="007E2640">
      <w:pPr>
        <w:tabs>
          <w:tab w:val="left" w:pos="567"/>
        </w:tabs>
        <w:jc w:val="both"/>
        <w:rPr>
          <w:szCs w:val="24"/>
          <w:lang w:eastAsia="en-AU"/>
        </w:rPr>
      </w:pPr>
    </w:p>
    <w:p w:rsidR="0076683F" w:rsidRPr="0076683F" w:rsidRDefault="00175659" w:rsidP="0076683F">
      <w:pPr>
        <w:pStyle w:val="Numberparagraph"/>
        <w:ind w:left="0" w:firstLine="0"/>
      </w:pPr>
      <w:r>
        <w:t>15 submitters provided written submissions</w:t>
      </w:r>
      <w:r w:rsidR="0076683F" w:rsidRPr="0076683F">
        <w:t xml:space="preserve"> </w:t>
      </w:r>
      <w:r>
        <w:t>on the discussion document</w:t>
      </w:r>
      <w:r w:rsidR="00A918C7">
        <w:t xml:space="preserve">.  </w:t>
      </w:r>
      <w:r>
        <w:t xml:space="preserve">The Treasury and Inland Revenue also met with </w:t>
      </w:r>
      <w:r w:rsidR="00FA0156">
        <w:t xml:space="preserve">six </w:t>
      </w:r>
      <w:r>
        <w:t>of these submitters to discuss their submissions</w:t>
      </w:r>
      <w:r w:rsidR="00A918C7">
        <w:t xml:space="preserve">.  </w:t>
      </w:r>
    </w:p>
    <w:p w:rsidR="0076683F" w:rsidRDefault="0076683F" w:rsidP="007E2640">
      <w:pPr>
        <w:tabs>
          <w:tab w:val="left" w:pos="567"/>
        </w:tabs>
        <w:jc w:val="both"/>
        <w:rPr>
          <w:szCs w:val="24"/>
          <w:lang w:eastAsia="en-AU"/>
        </w:rPr>
      </w:pPr>
    </w:p>
    <w:p w:rsidR="00FD4022" w:rsidRPr="00FD4022" w:rsidRDefault="00FD4022" w:rsidP="00FD4022">
      <w:pPr>
        <w:pStyle w:val="Numberparagraph"/>
        <w:numPr>
          <w:ilvl w:val="0"/>
          <w:numId w:val="0"/>
        </w:numPr>
        <w:rPr>
          <w:b/>
          <w:i/>
        </w:rPr>
      </w:pPr>
      <w:r>
        <w:rPr>
          <w:b/>
          <w:i/>
        </w:rPr>
        <w:t>General reaction</w:t>
      </w:r>
    </w:p>
    <w:p w:rsidR="00FD4022" w:rsidRDefault="00FD4022" w:rsidP="00FD4022">
      <w:pPr>
        <w:pStyle w:val="Numberparagraph"/>
        <w:numPr>
          <w:ilvl w:val="0"/>
          <w:numId w:val="0"/>
        </w:numPr>
      </w:pPr>
    </w:p>
    <w:p w:rsidR="006763BA" w:rsidRPr="009A2436" w:rsidRDefault="006763BA" w:rsidP="006763BA">
      <w:pPr>
        <w:pStyle w:val="Numberparagraph"/>
        <w:ind w:left="0" w:firstLine="0"/>
      </w:pPr>
      <w:r w:rsidRPr="00514F2A">
        <w:t>Overall, most submitters accepted in principle the need for measures to address the transfer pricing and PE avoidance issues identified in the discussion document</w:t>
      </w:r>
      <w:r w:rsidR="00A918C7">
        <w:t xml:space="preserve">.  </w:t>
      </w:r>
      <w:r w:rsidRPr="00514F2A">
        <w:t>However, they did raise issues with certain features of the proposed measures and made suggestions to make them more certain and better targeted</w:t>
      </w:r>
      <w:r w:rsidR="00A918C7">
        <w:t xml:space="preserve">.  </w:t>
      </w:r>
      <w:r w:rsidRPr="00514F2A">
        <w:t xml:space="preserve"> </w:t>
      </w:r>
    </w:p>
    <w:p w:rsidR="006763BA" w:rsidRDefault="006763BA" w:rsidP="0004297B">
      <w:pPr>
        <w:pStyle w:val="Numberparagraph"/>
        <w:numPr>
          <w:ilvl w:val="0"/>
          <w:numId w:val="0"/>
        </w:numPr>
      </w:pPr>
    </w:p>
    <w:p w:rsidR="00FD4022" w:rsidRPr="00514F2A" w:rsidRDefault="009B0006" w:rsidP="009B0006">
      <w:pPr>
        <w:pStyle w:val="Numberparagraph"/>
        <w:ind w:left="0" w:firstLine="0"/>
      </w:pPr>
      <w:r w:rsidRPr="00514F2A">
        <w:t>Two</w:t>
      </w:r>
      <w:r w:rsidR="00FD4022" w:rsidRPr="00514F2A">
        <w:t xml:space="preserve"> </w:t>
      </w:r>
      <w:r w:rsidRPr="00514F2A">
        <w:t>of the 15 submitters welcomed the</w:t>
      </w:r>
      <w:r w:rsidR="00FD4022" w:rsidRPr="00514F2A">
        <w:t xml:space="preserve"> proposals as a positive step by the Government to ensure that all large multinationals are paying their fair share of tax.</w:t>
      </w:r>
    </w:p>
    <w:p w:rsidR="00143A4B" w:rsidRPr="00514F2A" w:rsidRDefault="00143A4B" w:rsidP="00143A4B">
      <w:pPr>
        <w:pStyle w:val="Numberparagraph"/>
        <w:numPr>
          <w:ilvl w:val="0"/>
          <w:numId w:val="0"/>
        </w:numPr>
      </w:pPr>
    </w:p>
    <w:p w:rsidR="008560D3" w:rsidRPr="00514F2A" w:rsidRDefault="009B0006" w:rsidP="008560D3">
      <w:pPr>
        <w:pStyle w:val="Numberparagraph"/>
        <w:ind w:left="0" w:firstLine="0"/>
      </w:pPr>
      <w:r w:rsidRPr="00514F2A">
        <w:t xml:space="preserve">The other 13 submitters were tax advisors or represent </w:t>
      </w:r>
      <w:r w:rsidR="00A73A3B">
        <w:t>multinationals</w:t>
      </w:r>
      <w:r w:rsidRPr="00514F2A">
        <w:t xml:space="preserve"> that could be negatively affected by the proposals</w:t>
      </w:r>
      <w:r w:rsidR="00A918C7">
        <w:t>.  T</w:t>
      </w:r>
      <w:r w:rsidRPr="00514F2A">
        <w:t>heir submissions were critical of some of the measures</w:t>
      </w:r>
      <w:r w:rsidR="00A918C7">
        <w:t xml:space="preserve">.  </w:t>
      </w:r>
      <w:r w:rsidR="008560D3" w:rsidRPr="00514F2A">
        <w:t xml:space="preserve"> </w:t>
      </w:r>
    </w:p>
    <w:p w:rsidR="00FD4022" w:rsidRDefault="00FD4022" w:rsidP="00FD4022">
      <w:pPr>
        <w:pStyle w:val="Numberparagraph"/>
        <w:numPr>
          <w:ilvl w:val="0"/>
          <w:numId w:val="0"/>
        </w:numPr>
        <w:rPr>
          <w:i/>
          <w:iCs/>
        </w:rPr>
      </w:pPr>
    </w:p>
    <w:p w:rsidR="00775F2D" w:rsidRPr="000E04E1" w:rsidRDefault="009B0006" w:rsidP="00775F2D">
      <w:pPr>
        <w:pStyle w:val="Numberparagraph"/>
        <w:ind w:left="0" w:firstLine="0"/>
      </w:pPr>
      <w:r>
        <w:t xml:space="preserve">Some </w:t>
      </w:r>
      <w:r w:rsidR="00FD4022">
        <w:t xml:space="preserve">submitters argued that the proposals </w:t>
      </w:r>
      <w:r w:rsidR="00890137">
        <w:t>could</w:t>
      </w:r>
      <w:r w:rsidR="00FD4022">
        <w:t xml:space="preserve"> have a detrimental effect on</w:t>
      </w:r>
      <w:r w:rsidR="00890137">
        <w:t xml:space="preserve"> </w:t>
      </w:r>
      <w:r w:rsidR="00FD4022">
        <w:t>New Zealand being an attractive investment destination and should not be implemented</w:t>
      </w:r>
      <w:r w:rsidR="00A918C7">
        <w:t xml:space="preserve">.  </w:t>
      </w:r>
      <w:r w:rsidR="00753655">
        <w:t>As noted in the accompanying cover</w:t>
      </w:r>
      <w:r w:rsidR="00995683">
        <w:t>ing Cabinet Paper (</w:t>
      </w:r>
      <w:r w:rsidR="00995683" w:rsidRPr="000E04E1">
        <w:rPr>
          <w:i/>
        </w:rPr>
        <w:t>Tax measures to prevent base erosion and profit shifting</w:t>
      </w:r>
      <w:r w:rsidR="00995683">
        <w:t>),</w:t>
      </w:r>
      <w:r w:rsidR="00753655">
        <w:t xml:space="preserve"> </w:t>
      </w:r>
      <w:r w:rsidR="000E04E1" w:rsidRPr="000233B6">
        <w:t>the</w:t>
      </w:r>
      <w:r w:rsidR="000E04E1">
        <w:t>re</w:t>
      </w:r>
      <w:r w:rsidR="000E04E1" w:rsidRPr="00CD0416">
        <w:t xml:space="preserve"> will be</w:t>
      </w:r>
      <w:r w:rsidR="000E04E1">
        <w:t xml:space="preserve"> additional tax and compliance</w:t>
      </w:r>
      <w:r w:rsidR="000E04E1" w:rsidRPr="00CD0416">
        <w:t xml:space="preserve"> costs</w:t>
      </w:r>
      <w:r w:rsidR="000E04E1">
        <w:t xml:space="preserve"> for some investors</w:t>
      </w:r>
      <w:r w:rsidR="000E04E1" w:rsidRPr="00CD0416">
        <w:t xml:space="preserve"> but </w:t>
      </w:r>
      <w:r w:rsidR="000E04E1">
        <w:t xml:space="preserve">these additional costs </w:t>
      </w:r>
      <w:r w:rsidR="000E04E1" w:rsidRPr="002154B1">
        <w:t xml:space="preserve">will mostly be borne by </w:t>
      </w:r>
      <w:r w:rsidR="000E04E1">
        <w:t>taxpayers engaging in BEPS activities</w:t>
      </w:r>
      <w:r w:rsidR="000E04E1" w:rsidRPr="002154B1">
        <w:t xml:space="preserve"> and the overall benefits to New Zealand of addressing BEPS outweigh these costs</w:t>
      </w:r>
      <w:r w:rsidR="00A918C7">
        <w:t xml:space="preserve">.  </w:t>
      </w:r>
    </w:p>
    <w:p w:rsidR="000E04E1" w:rsidRPr="000E04E1" w:rsidRDefault="000E04E1" w:rsidP="000E04E1">
      <w:pPr>
        <w:pStyle w:val="Numberparagraph"/>
        <w:numPr>
          <w:ilvl w:val="0"/>
          <w:numId w:val="0"/>
        </w:numPr>
        <w:rPr>
          <w:i/>
          <w:iCs/>
        </w:rPr>
      </w:pPr>
    </w:p>
    <w:p w:rsidR="00775F2D" w:rsidRPr="00514F2A" w:rsidRDefault="00775F2D" w:rsidP="00775F2D">
      <w:pPr>
        <w:pStyle w:val="Numberparagraph"/>
        <w:ind w:left="0" w:firstLine="0"/>
      </w:pPr>
      <w:r w:rsidRPr="00514F2A">
        <w:t>As expected,</w:t>
      </w:r>
      <w:r w:rsidR="009B0006" w:rsidRPr="00514F2A">
        <w:t xml:space="preserve"> most of the submitters</w:t>
      </w:r>
      <w:r w:rsidRPr="00514F2A">
        <w:t xml:space="preserve"> opposed the administrative proposals to increase Inland Revenue's powers to investigate multinationals</w:t>
      </w:r>
      <w:r w:rsidR="00A918C7">
        <w:t xml:space="preserve">.  </w:t>
      </w:r>
      <w:r w:rsidR="00143A4B" w:rsidRPr="00514F2A">
        <w:t>However, we consider these new powers are necessary to ensure Inland Revenue can effectively enforce the new rules</w:t>
      </w:r>
      <w:r w:rsidR="00A918C7">
        <w:t xml:space="preserve">.  </w:t>
      </w:r>
      <w:r w:rsidRPr="00514F2A">
        <w:t>These new powers include:</w:t>
      </w:r>
    </w:p>
    <w:p w:rsidR="00775F2D" w:rsidRPr="00514F2A" w:rsidRDefault="00775F2D" w:rsidP="00775F2D">
      <w:pPr>
        <w:pStyle w:val="Numberparagraph"/>
        <w:numPr>
          <w:ilvl w:val="0"/>
          <w:numId w:val="0"/>
        </w:numPr>
        <w:ind w:left="360"/>
      </w:pPr>
    </w:p>
    <w:p w:rsidR="00775F2D" w:rsidRPr="00514F2A" w:rsidRDefault="00FA6AE9" w:rsidP="006F0BE9">
      <w:pPr>
        <w:pStyle w:val="Numberparagraph"/>
        <w:numPr>
          <w:ilvl w:val="0"/>
          <w:numId w:val="12"/>
        </w:numPr>
        <w:ind w:left="1134" w:hanging="567"/>
      </w:pPr>
      <w:r>
        <w:t>E</w:t>
      </w:r>
      <w:r w:rsidR="00775F2D" w:rsidRPr="00514F2A">
        <w:t xml:space="preserve">xpanding </w:t>
      </w:r>
      <w:r w:rsidR="00FA0156">
        <w:t>I</w:t>
      </w:r>
      <w:r w:rsidR="00775F2D" w:rsidRPr="00514F2A">
        <w:t xml:space="preserve">nland </w:t>
      </w:r>
      <w:r w:rsidR="00FA0156">
        <w:t>R</w:t>
      </w:r>
      <w:r w:rsidR="00775F2D" w:rsidRPr="00514F2A">
        <w:t xml:space="preserve">evenue's ability to request information that is held </w:t>
      </w:r>
      <w:r w:rsidR="00486953">
        <w:t xml:space="preserve">by a related group member </w:t>
      </w:r>
      <w:r w:rsidR="00775F2D" w:rsidRPr="00514F2A">
        <w:t>offshore</w:t>
      </w:r>
      <w:r w:rsidR="00486953">
        <w:t>. Submitters considered this proposal could unfairly penalise a New Zealand entity that may not be able to get the information from their multinational group members.  However, we consider it is unacceptable for Inland Revenue’s investigations to be frustrated because a multinational group fails to provide information that is under its control.</w:t>
      </w:r>
      <w:r w:rsidR="00775F2D" w:rsidRPr="00514F2A">
        <w:t xml:space="preserve"> </w:t>
      </w:r>
    </w:p>
    <w:p w:rsidR="001C7282" w:rsidRPr="00514F2A" w:rsidRDefault="001C7282" w:rsidP="006F0BE9">
      <w:pPr>
        <w:pStyle w:val="Numberparagraph"/>
        <w:numPr>
          <w:ilvl w:val="0"/>
          <w:numId w:val="0"/>
        </w:numPr>
        <w:ind w:left="1134" w:hanging="567"/>
      </w:pPr>
      <w:r w:rsidRPr="00514F2A">
        <w:t xml:space="preserve"> </w:t>
      </w:r>
    </w:p>
    <w:p w:rsidR="00486953" w:rsidRPr="00514F2A" w:rsidRDefault="00FA6AE9" w:rsidP="006F0BE9">
      <w:pPr>
        <w:pStyle w:val="Numberparagraph"/>
        <w:numPr>
          <w:ilvl w:val="0"/>
          <w:numId w:val="12"/>
        </w:numPr>
        <w:ind w:left="1134" w:hanging="567"/>
      </w:pPr>
      <w:r>
        <w:t>S</w:t>
      </w:r>
      <w:r w:rsidR="00775F2D" w:rsidRPr="00514F2A">
        <w:t>hifting the burden of proof for transfer pricing onto the taxpayer (rather than Inland Revenue) for proving that their related party dealings are consistent with those that would be agreed by third parties operating at arm</w:t>
      </w:r>
      <w:r w:rsidR="00FA0156">
        <w:t>’</w:t>
      </w:r>
      <w:r w:rsidR="00775F2D" w:rsidRPr="00514F2A">
        <w:t>s</w:t>
      </w:r>
      <w:r w:rsidR="00FA0156">
        <w:t xml:space="preserve"> </w:t>
      </w:r>
      <w:r w:rsidR="00775F2D" w:rsidRPr="00514F2A">
        <w:t>length</w:t>
      </w:r>
      <w:r w:rsidR="00486953">
        <w:t>.</w:t>
      </w:r>
      <w:r w:rsidR="00C22861">
        <w:t xml:space="preserve"> Submitters considered Inland Revenue had information regarding comparable transactions and s</w:t>
      </w:r>
      <w:r w:rsidR="00D67341">
        <w:t xml:space="preserve">hould bear the burden of proof.  </w:t>
      </w:r>
      <w:r w:rsidR="00C22861">
        <w:t xml:space="preserve">However, shifting the burden of proof </w:t>
      </w:r>
      <w:bookmarkStart w:id="1" w:name="_Ref485024446"/>
      <w:r w:rsidR="00486953">
        <w:t xml:space="preserve">is consistent with the fact </w:t>
      </w:r>
      <w:r w:rsidR="008B2D83">
        <w:t xml:space="preserve">that </w:t>
      </w:r>
      <w:r w:rsidR="00486953">
        <w:t>the</w:t>
      </w:r>
      <w:r w:rsidR="008B2D83">
        <w:t xml:space="preserve"> taxpayer holds the relevant information on</w:t>
      </w:r>
      <w:r w:rsidR="00525D17">
        <w:t xml:space="preserve"> their </w:t>
      </w:r>
      <w:r w:rsidR="00D67341">
        <w:t xml:space="preserve">own transfer pricing practices.  </w:t>
      </w:r>
      <w:r w:rsidR="008B2D83">
        <w:t>The</w:t>
      </w:r>
      <w:r w:rsidR="00486953" w:rsidRPr="00486953">
        <w:t xml:space="preserve"> burden of proof is already on the taxpayer for other</w:t>
      </w:r>
      <w:r w:rsidR="00486953">
        <w:t xml:space="preserve"> </w:t>
      </w:r>
      <w:r w:rsidR="008B2D83">
        <w:t xml:space="preserve">tax </w:t>
      </w:r>
      <w:r w:rsidR="00486953" w:rsidRPr="00486953">
        <w:t>matters</w:t>
      </w:r>
      <w:r w:rsidR="008B2D83">
        <w:t xml:space="preserve"> and is</w:t>
      </w:r>
      <w:r w:rsidR="00486953" w:rsidRPr="00102338">
        <w:t xml:space="preserve"> </w:t>
      </w:r>
      <w:r w:rsidR="00486953">
        <w:t xml:space="preserve">also </w:t>
      </w:r>
      <w:r w:rsidR="00486953" w:rsidRPr="00102338">
        <w:t xml:space="preserve">on the taxpayer for transfer pricing matters in most </w:t>
      </w:r>
      <w:r w:rsidR="00486953">
        <w:t xml:space="preserve">other </w:t>
      </w:r>
      <w:r w:rsidR="00486953" w:rsidRPr="00102338">
        <w:t xml:space="preserve">OECD and G20 countries, including Australia. </w:t>
      </w:r>
      <w:r w:rsidR="008B2D83">
        <w:t>Because m</w:t>
      </w:r>
      <w:r w:rsidR="00486953" w:rsidRPr="00102338">
        <w:t>ost multinationals already prepare transfer pricing documentation that satisfies the burden of proof for other countries</w:t>
      </w:r>
      <w:r w:rsidR="00317B46">
        <w:t>,</w:t>
      </w:r>
      <w:r w:rsidR="00486953" w:rsidRPr="00102338">
        <w:t xml:space="preserve"> the additional compliance costs </w:t>
      </w:r>
      <w:r w:rsidR="008B2D83">
        <w:t>from this change are</w:t>
      </w:r>
      <w:r w:rsidR="00486953" w:rsidRPr="00102338">
        <w:t xml:space="preserve"> not expected to be substantial.</w:t>
      </w:r>
      <w:bookmarkEnd w:id="1"/>
      <w:r w:rsidR="00486953">
        <w:t xml:space="preserve"> </w:t>
      </w:r>
    </w:p>
    <w:p w:rsidR="00775F2D" w:rsidRPr="00514F2A" w:rsidRDefault="00775F2D" w:rsidP="006F0BE9">
      <w:pPr>
        <w:pStyle w:val="Numberparagraph"/>
        <w:numPr>
          <w:ilvl w:val="0"/>
          <w:numId w:val="0"/>
        </w:numPr>
        <w:ind w:left="1134" w:hanging="567"/>
      </w:pPr>
      <w:r w:rsidRPr="00514F2A">
        <w:t xml:space="preserve"> </w:t>
      </w:r>
    </w:p>
    <w:p w:rsidR="00486953" w:rsidRPr="00486953" w:rsidRDefault="00FA6AE9" w:rsidP="006F0BE9">
      <w:pPr>
        <w:pStyle w:val="ListParagraph"/>
        <w:numPr>
          <w:ilvl w:val="0"/>
          <w:numId w:val="12"/>
        </w:numPr>
        <w:ind w:left="1134" w:hanging="567"/>
        <w:jc w:val="both"/>
        <w:rPr>
          <w:szCs w:val="24"/>
          <w:lang w:eastAsia="en-AU"/>
        </w:rPr>
      </w:pPr>
      <w:r>
        <w:t>E</w:t>
      </w:r>
      <w:r w:rsidR="00775F2D" w:rsidRPr="00514F2A">
        <w:t xml:space="preserve">xtending the time bar (the period of time which Inland Revenue has to </w:t>
      </w:r>
      <w:r w:rsidR="00143A4B" w:rsidRPr="00514F2A">
        <w:t>adjust a taxpayer’s transfer pricing position</w:t>
      </w:r>
      <w:r w:rsidR="00775F2D" w:rsidRPr="00514F2A">
        <w:t xml:space="preserve">) from </w:t>
      </w:r>
      <w:r w:rsidR="005B0E59">
        <w:t>four</w:t>
      </w:r>
      <w:r w:rsidR="005B0E59" w:rsidRPr="00514F2A">
        <w:t xml:space="preserve"> </w:t>
      </w:r>
      <w:r w:rsidR="00775F2D" w:rsidRPr="00514F2A">
        <w:t xml:space="preserve">years to </w:t>
      </w:r>
      <w:r w:rsidR="005B0E59">
        <w:t>seven</w:t>
      </w:r>
      <w:r w:rsidR="00775F2D" w:rsidRPr="00514F2A">
        <w:t xml:space="preserve"> years for transfer pricing.</w:t>
      </w:r>
      <w:r w:rsidR="00486953">
        <w:t xml:space="preserve"> Submitters opposed this extension on the basis that it increased uncertainty and was out of step with the general time bar, which applies to other areas of tax.  However, we are continuing to recommend the seven year rule.  Having a longer time bar for transfer pricing cases is consistent with both Australia and Canada (who also have </w:t>
      </w:r>
      <w:r w:rsidR="00C22861">
        <w:t>a special seven year time bar for transfer pricing</w:t>
      </w:r>
      <w:r w:rsidR="00486953">
        <w:t>) and reflects the information asymmetry that exists in transfer pricing cases (especially where taxpayers may hold relevant information offshore).</w:t>
      </w:r>
      <w:r w:rsidR="00486953" w:rsidRPr="00486953">
        <w:rPr>
          <w:szCs w:val="24"/>
          <w:lang w:eastAsia="en-AU"/>
        </w:rPr>
        <w:t xml:space="preserve"> </w:t>
      </w:r>
    </w:p>
    <w:p w:rsidR="00775F2D" w:rsidRPr="00514F2A" w:rsidRDefault="00775F2D" w:rsidP="00486953">
      <w:pPr>
        <w:pStyle w:val="Numberparagraph"/>
        <w:numPr>
          <w:ilvl w:val="0"/>
          <w:numId w:val="0"/>
        </w:numPr>
        <w:ind w:left="1080"/>
      </w:pPr>
    </w:p>
    <w:p w:rsidR="00FD4022" w:rsidRDefault="00351FA1" w:rsidP="00FD4022">
      <w:pPr>
        <w:pStyle w:val="Numberparagraph"/>
        <w:numPr>
          <w:ilvl w:val="0"/>
          <w:numId w:val="0"/>
        </w:numPr>
        <w:rPr>
          <w:b/>
          <w:i/>
        </w:rPr>
      </w:pPr>
      <w:r>
        <w:rPr>
          <w:b/>
          <w:i/>
        </w:rPr>
        <w:t>C</w:t>
      </w:r>
      <w:r w:rsidR="00FD4022" w:rsidRPr="00FD4022">
        <w:rPr>
          <w:b/>
          <w:i/>
        </w:rPr>
        <w:t>hanges made as a result of consultation</w:t>
      </w:r>
    </w:p>
    <w:p w:rsidR="00486953" w:rsidRDefault="00486953" w:rsidP="00FD4022">
      <w:pPr>
        <w:pStyle w:val="Numberparagraph"/>
        <w:numPr>
          <w:ilvl w:val="0"/>
          <w:numId w:val="0"/>
        </w:numPr>
        <w:rPr>
          <w:i/>
        </w:rPr>
      </w:pPr>
    </w:p>
    <w:p w:rsidR="00486953" w:rsidRPr="00176CE7" w:rsidRDefault="00486953" w:rsidP="00486953">
      <w:pPr>
        <w:pStyle w:val="Numberparagraph"/>
        <w:ind w:left="0" w:firstLine="0"/>
        <w:rPr>
          <w:b/>
          <w:i/>
          <w:iCs/>
        </w:rPr>
      </w:pPr>
      <w:r>
        <w:t xml:space="preserve">In response to submissions, we have updated the proposals to address many of the submitters’ concerns while ensuring the measures are just as effective at combatting BEPS.  </w:t>
      </w:r>
    </w:p>
    <w:p w:rsidR="00FD4022" w:rsidRPr="006C6207" w:rsidRDefault="00FD4022" w:rsidP="00FD4022">
      <w:pPr>
        <w:pStyle w:val="Numberparagraph"/>
        <w:numPr>
          <w:ilvl w:val="0"/>
          <w:numId w:val="0"/>
        </w:numPr>
        <w:rPr>
          <w:i/>
        </w:rPr>
      </w:pPr>
    </w:p>
    <w:p w:rsidR="00FD4022" w:rsidRDefault="005A3F7A" w:rsidP="00B223B6">
      <w:pPr>
        <w:pStyle w:val="Numberparagraph"/>
        <w:ind w:left="0" w:firstLine="0"/>
      </w:pPr>
      <w:r>
        <w:t>Many submissions focused on when the PE avoidance rule would apply</w:t>
      </w:r>
      <w:r w:rsidR="00A918C7">
        <w:t xml:space="preserve">.  </w:t>
      </w:r>
      <w:r w:rsidR="00FA0156">
        <w:t xml:space="preserve">Submitters </w:t>
      </w:r>
      <w:r>
        <w:t>considered the proposal outlined in the discussion document applied too broadly and could have unintended impacts on compliant taxpayers engaging in ordinary, commercial dealings</w:t>
      </w:r>
      <w:r w:rsidRPr="00821370">
        <w:rPr>
          <w:rFonts w:hint="eastAsia"/>
        </w:rPr>
        <w:t>.</w:t>
      </w:r>
      <w:r w:rsidR="00C44C9E">
        <w:t xml:space="preserve"> </w:t>
      </w:r>
    </w:p>
    <w:p w:rsidR="005A3F7A" w:rsidRDefault="005A3F7A" w:rsidP="005A3F7A">
      <w:pPr>
        <w:pStyle w:val="Numberparagraph"/>
        <w:numPr>
          <w:ilvl w:val="0"/>
          <w:numId w:val="0"/>
        </w:numPr>
      </w:pPr>
    </w:p>
    <w:p w:rsidR="005A3F7A" w:rsidRDefault="005A3F7A" w:rsidP="007E2640">
      <w:pPr>
        <w:pStyle w:val="Numberparagraph"/>
        <w:ind w:left="0" w:firstLine="0"/>
      </w:pPr>
      <w:r>
        <w:t>We consider the PE avoidance rule should be more narrowly targeted at avoidance arrangements</w:t>
      </w:r>
      <w:r w:rsidR="00A918C7">
        <w:t xml:space="preserve">.  </w:t>
      </w:r>
      <w:r>
        <w:t>We would like to consult further as to</w:t>
      </w:r>
      <w:r w:rsidR="00176CE7">
        <w:t xml:space="preserve"> </w:t>
      </w:r>
      <w:r w:rsidR="00A918C7">
        <w:t>how best to achieve this</w:t>
      </w:r>
      <w:r w:rsidR="00176CE7">
        <w:t>.</w:t>
      </w:r>
      <w:r w:rsidR="00C44C9E">
        <w:t xml:space="preserve"> </w:t>
      </w:r>
    </w:p>
    <w:p w:rsidR="005A3F7A" w:rsidRDefault="005A3F7A" w:rsidP="005A3F7A">
      <w:pPr>
        <w:pStyle w:val="ListParagraph"/>
      </w:pPr>
    </w:p>
    <w:p w:rsidR="00C44C9E" w:rsidRDefault="00C44C9E" w:rsidP="007E2640">
      <w:pPr>
        <w:pStyle w:val="Numberparagraph"/>
        <w:ind w:left="0" w:firstLine="0"/>
      </w:pPr>
      <w:r>
        <w:t xml:space="preserve">Submitters also pointed out that the OECD has updated their model </w:t>
      </w:r>
      <w:r w:rsidR="009A0A89">
        <w:t>DTA</w:t>
      </w:r>
      <w:r>
        <w:t xml:space="preserve"> to address PE avoidance and New Zealand is currently in the process of adopting this into </w:t>
      </w:r>
      <w:r w:rsidR="005673D3">
        <w:t xml:space="preserve">some </w:t>
      </w:r>
      <w:r>
        <w:t xml:space="preserve">of our tax treaties by signing the OECD’s </w:t>
      </w:r>
      <w:r w:rsidR="00B85BF8">
        <w:rPr>
          <w:i/>
        </w:rPr>
        <w:t>Multilateral Convention to Implement Tax Treaty Related Measures to Prevent Base Erosion and Profit Shifting</w:t>
      </w:r>
      <w:r w:rsidR="00B85BF8">
        <w:t xml:space="preserve"> </w:t>
      </w:r>
      <w:r>
        <w:t xml:space="preserve">and through negotiating new tax treaties. We agree that the domestic law PE avoidance rule will only be necessary when the relevant tax treaty does not yet include the OECD’s new recommendation and </w:t>
      </w:r>
      <w:r w:rsidR="00C22861">
        <w:t>propose narrowing</w:t>
      </w:r>
      <w:r>
        <w:t xml:space="preserve"> the application of rule accordingly.  </w:t>
      </w:r>
    </w:p>
    <w:p w:rsidR="00A10B71" w:rsidRDefault="00A10B71" w:rsidP="00A10B71">
      <w:pPr>
        <w:pStyle w:val="ListParagraph"/>
      </w:pPr>
    </w:p>
    <w:p w:rsidR="00A10B71" w:rsidRPr="00A10B71" w:rsidRDefault="009A0A89" w:rsidP="00A10B71">
      <w:pPr>
        <w:pStyle w:val="Numberparagraph"/>
        <w:ind w:left="0" w:firstLine="0"/>
      </w:pPr>
      <w:r>
        <w:t>T</w:t>
      </w:r>
      <w:r w:rsidR="00A10B71" w:rsidRPr="00A10B71">
        <w:t xml:space="preserve">he </w:t>
      </w:r>
      <w:r w:rsidR="00A10B71">
        <w:t xml:space="preserve">PE avoidance rule </w:t>
      </w:r>
      <w:r>
        <w:t>would</w:t>
      </w:r>
      <w:r w:rsidR="00A10B71" w:rsidRPr="00A10B71">
        <w:t xml:space="preserve"> </w:t>
      </w:r>
      <w:r w:rsidR="00656782">
        <w:t xml:space="preserve">apply notwithstanding </w:t>
      </w:r>
      <w:r w:rsidR="00A10B71" w:rsidRPr="00A10B71">
        <w:t xml:space="preserve">the relevant </w:t>
      </w:r>
      <w:r w:rsidR="00A10B71">
        <w:t xml:space="preserve">DTAs </w:t>
      </w:r>
      <w:r w:rsidR="00A10B71" w:rsidRPr="00A10B71">
        <w:t>(that don’t yet include the OECD’s new mo</w:t>
      </w:r>
      <w:r w:rsidR="00656782">
        <w:t xml:space="preserve">del PE rule). We consider that </w:t>
      </w:r>
      <w:r w:rsidR="00A10B71" w:rsidRPr="00A10B71">
        <w:t xml:space="preserve">this </w:t>
      </w:r>
      <w:r w:rsidR="00656782">
        <w:t>i</w:t>
      </w:r>
      <w:r w:rsidR="00A10B71" w:rsidRPr="00A10B71">
        <w:t>s acceptable for two reasons:</w:t>
      </w:r>
    </w:p>
    <w:p w:rsidR="00A10B71" w:rsidRDefault="00A10B71" w:rsidP="00A10B71">
      <w:pPr>
        <w:rPr>
          <w:rFonts w:ascii="Verdana" w:hAnsi="Verdana"/>
          <w:color w:val="1F497D"/>
          <w:sz w:val="20"/>
        </w:rPr>
      </w:pPr>
    </w:p>
    <w:p w:rsidR="00A10B71" w:rsidRPr="00A10B71" w:rsidRDefault="00A10B71" w:rsidP="006F0BE9">
      <w:pPr>
        <w:pStyle w:val="ListParagraph"/>
        <w:numPr>
          <w:ilvl w:val="0"/>
          <w:numId w:val="6"/>
        </w:numPr>
        <w:ind w:left="1134" w:hanging="567"/>
        <w:jc w:val="both"/>
        <w:rPr>
          <w:rFonts w:eastAsiaTheme="minorEastAsia"/>
        </w:rPr>
      </w:pPr>
      <w:r w:rsidRPr="00A10B71">
        <w:rPr>
          <w:rFonts w:eastAsiaTheme="minorEastAsia"/>
        </w:rPr>
        <w:t xml:space="preserve">The </w:t>
      </w:r>
      <w:r>
        <w:rPr>
          <w:rFonts w:eastAsiaTheme="minorEastAsia"/>
        </w:rPr>
        <w:t>OECD</w:t>
      </w:r>
      <w:r w:rsidR="00D67341">
        <w:rPr>
          <w:rFonts w:eastAsiaTheme="minorEastAsia"/>
        </w:rPr>
        <w:t>’s</w:t>
      </w:r>
      <w:r>
        <w:rPr>
          <w:rFonts w:eastAsiaTheme="minorEastAsia"/>
        </w:rPr>
        <w:t xml:space="preserve"> commentary to their model DTA </w:t>
      </w:r>
      <w:r w:rsidRPr="00A10B71">
        <w:rPr>
          <w:rFonts w:eastAsiaTheme="minorEastAsia"/>
        </w:rPr>
        <w:t xml:space="preserve">contemplates that countries can </w:t>
      </w:r>
      <w:r w:rsidR="00760953">
        <w:rPr>
          <w:rFonts w:eastAsiaTheme="minorEastAsia"/>
        </w:rPr>
        <w:t xml:space="preserve">adopt anti-avoidance rules and states </w:t>
      </w:r>
      <w:r w:rsidR="00760953" w:rsidRPr="00760953">
        <w:rPr>
          <w:rFonts w:eastAsiaTheme="minorEastAsia"/>
        </w:rPr>
        <w:t>that, as a general rule, there will be no conflict between such anti-avoidance provisions and the provisions of a DTA.</w:t>
      </w:r>
      <w:r w:rsidRPr="00A10B71">
        <w:rPr>
          <w:rFonts w:eastAsiaTheme="minorEastAsia"/>
        </w:rPr>
        <w:t xml:space="preserve"> </w:t>
      </w:r>
      <w:r w:rsidR="00D67341">
        <w:rPr>
          <w:rFonts w:eastAsiaTheme="minorEastAsia"/>
        </w:rPr>
        <w:t xml:space="preserve"> </w:t>
      </w:r>
      <w:r w:rsidRPr="00A10B71">
        <w:rPr>
          <w:rFonts w:eastAsiaTheme="minorEastAsia"/>
        </w:rPr>
        <w:t xml:space="preserve">An existing example of this is New Zealand’s General Anti-Avoidance Rule which explicitly overrides our DTAs to allow New Zealand to combat tax avoidance arrangements. </w:t>
      </w:r>
      <w:r w:rsidR="00D67341">
        <w:rPr>
          <w:rFonts w:eastAsiaTheme="minorEastAsia"/>
        </w:rPr>
        <w:t xml:space="preserve"> </w:t>
      </w:r>
      <w:r w:rsidRPr="00A10B71">
        <w:rPr>
          <w:rFonts w:eastAsiaTheme="minorEastAsia"/>
        </w:rPr>
        <w:t xml:space="preserve">The PE avoidance rule </w:t>
      </w:r>
      <w:r w:rsidR="009A0A89">
        <w:rPr>
          <w:rFonts w:eastAsiaTheme="minorEastAsia"/>
        </w:rPr>
        <w:t>would be</w:t>
      </w:r>
      <w:r w:rsidR="00D67341">
        <w:rPr>
          <w:rFonts w:eastAsiaTheme="minorEastAsia"/>
        </w:rPr>
        <w:t xml:space="preserve"> a specific anti-avoidance rule, which would also be consistent with the principle in the OECD’s commentary.</w:t>
      </w:r>
    </w:p>
    <w:p w:rsidR="00A10B71" w:rsidRPr="00A10B71" w:rsidRDefault="00A10B71" w:rsidP="006F0BE9">
      <w:pPr>
        <w:pStyle w:val="ListParagraph"/>
        <w:ind w:left="1134" w:hanging="567"/>
        <w:jc w:val="both"/>
        <w:rPr>
          <w:rFonts w:eastAsiaTheme="minorEastAsia"/>
        </w:rPr>
      </w:pPr>
    </w:p>
    <w:p w:rsidR="00A10B71" w:rsidRPr="00A10B71" w:rsidRDefault="00A10B71" w:rsidP="006F0BE9">
      <w:pPr>
        <w:pStyle w:val="ListParagraph"/>
        <w:numPr>
          <w:ilvl w:val="0"/>
          <w:numId w:val="6"/>
        </w:numPr>
        <w:ind w:left="1134" w:hanging="567"/>
        <w:jc w:val="both"/>
        <w:rPr>
          <w:rFonts w:eastAsiaTheme="minorEastAsia"/>
        </w:rPr>
      </w:pPr>
      <w:r w:rsidRPr="00A10B71">
        <w:rPr>
          <w:rFonts w:eastAsiaTheme="minorEastAsia"/>
        </w:rPr>
        <w:t xml:space="preserve">The UK and Australia have already implemented similar PE avoidance rules in their domestic laws which override their DTAs and </w:t>
      </w:r>
      <w:r w:rsidR="009A0A89">
        <w:rPr>
          <w:rFonts w:eastAsiaTheme="minorEastAsia"/>
        </w:rPr>
        <w:t>their treaty partners</w:t>
      </w:r>
      <w:r w:rsidRPr="00A10B71">
        <w:rPr>
          <w:rFonts w:eastAsiaTheme="minorEastAsia"/>
        </w:rPr>
        <w:t xml:space="preserve"> have </w:t>
      </w:r>
      <w:r w:rsidR="0020473E">
        <w:rPr>
          <w:rFonts w:eastAsiaTheme="minorEastAsia"/>
        </w:rPr>
        <w:t>not challenged this</w:t>
      </w:r>
      <w:r w:rsidRPr="00A10B71">
        <w:rPr>
          <w:rFonts w:eastAsiaTheme="minorEastAsia"/>
        </w:rPr>
        <w:t>.</w:t>
      </w:r>
    </w:p>
    <w:p w:rsidR="00A10B71" w:rsidRDefault="00A10B71" w:rsidP="00A10B71">
      <w:pPr>
        <w:pStyle w:val="Numberparagraph"/>
        <w:numPr>
          <w:ilvl w:val="0"/>
          <w:numId w:val="0"/>
        </w:numPr>
      </w:pPr>
    </w:p>
    <w:p w:rsidR="00196CBF" w:rsidRDefault="005A3F7A" w:rsidP="007E2640">
      <w:pPr>
        <w:pStyle w:val="Numberparagraph"/>
        <w:ind w:left="0" w:firstLine="0"/>
      </w:pPr>
      <w:r>
        <w:t>Another major point raised by submitters was the need to clarify the circumstances in which Inland Revenue would be able to reconstruct a taxpayer’s transfer pricing position</w:t>
      </w:r>
      <w:r w:rsidR="00A918C7">
        <w:t xml:space="preserve">.  </w:t>
      </w:r>
      <w:r>
        <w:t xml:space="preserve">We recommend clarifying that </w:t>
      </w:r>
      <w:r w:rsidR="0013140F">
        <w:t xml:space="preserve">the </w:t>
      </w:r>
      <w:r w:rsidRPr="005A3F7A">
        <w:t xml:space="preserve">test for </w:t>
      </w:r>
      <w:r>
        <w:t>reconstructing an arrangement w</w:t>
      </w:r>
      <w:r w:rsidRPr="005A3F7A">
        <w:t>ould be based on the corresponding test in the OECD’s transfer pricing guidelines.</w:t>
      </w:r>
    </w:p>
    <w:p w:rsidR="001B5CBB" w:rsidRDefault="001B5CBB" w:rsidP="001B5CBB">
      <w:pPr>
        <w:pStyle w:val="ListParagraph"/>
      </w:pPr>
    </w:p>
    <w:p w:rsidR="001B5CBB" w:rsidRDefault="001B5CBB" w:rsidP="007E2640">
      <w:pPr>
        <w:pStyle w:val="Numberparagraph"/>
        <w:ind w:left="0" w:firstLine="0"/>
      </w:pPr>
      <w:r>
        <w:t xml:space="preserve">Other </w:t>
      </w:r>
      <w:r w:rsidR="00E3751A">
        <w:t xml:space="preserve">significant </w:t>
      </w:r>
      <w:r>
        <w:t>changes made as a result of consultation were:</w:t>
      </w:r>
    </w:p>
    <w:p w:rsidR="002F29CC" w:rsidRDefault="002F29CC" w:rsidP="002F29CC">
      <w:pPr>
        <w:pStyle w:val="ListParagraph"/>
      </w:pPr>
    </w:p>
    <w:p w:rsidR="00FA7D0C" w:rsidRDefault="00FA7D0C" w:rsidP="006F0BE9">
      <w:pPr>
        <w:pStyle w:val="ListParagraph"/>
        <w:numPr>
          <w:ilvl w:val="0"/>
          <w:numId w:val="7"/>
        </w:numPr>
        <w:ind w:left="1134" w:hanging="567"/>
      </w:pPr>
      <w:r>
        <w:t>The anti-avoidance source rule will be more narrowly targeted at the existing issues Inland Revenue has identified with the source rules</w:t>
      </w:r>
      <w:r w:rsidR="00A918C7">
        <w:t xml:space="preserve">.  </w:t>
      </w:r>
    </w:p>
    <w:p w:rsidR="002F29CC" w:rsidRDefault="002F29CC" w:rsidP="006F0BE9">
      <w:pPr>
        <w:pStyle w:val="Numberparagraph"/>
        <w:numPr>
          <w:ilvl w:val="0"/>
          <w:numId w:val="0"/>
        </w:numPr>
        <w:ind w:left="1134" w:hanging="567"/>
      </w:pPr>
    </w:p>
    <w:p w:rsidR="002F29CC" w:rsidRDefault="002F29CC" w:rsidP="006F0BE9">
      <w:pPr>
        <w:pStyle w:val="Numberparagraph"/>
        <w:numPr>
          <w:ilvl w:val="0"/>
          <w:numId w:val="7"/>
        </w:numPr>
        <w:ind w:left="1134" w:hanging="567"/>
      </w:pPr>
      <w:r>
        <w:t xml:space="preserve">We have decided </w:t>
      </w:r>
      <w:r w:rsidRPr="00FA7D0C">
        <w:t xml:space="preserve">not </w:t>
      </w:r>
      <w:r w:rsidR="001F5733">
        <w:t xml:space="preserve">to </w:t>
      </w:r>
      <w:r>
        <w:t>proceed with the proposal to require multinationals to pay disputed tax upfront as we agree with submitters that the existing “use of money</w:t>
      </w:r>
      <w:r w:rsidR="001F5733">
        <w:t>”</w:t>
      </w:r>
      <w:r>
        <w:t xml:space="preserve"> interest rates that Inland Revenue charges on unpaid tax provide a sufficient incentive </w:t>
      </w:r>
      <w:r w:rsidR="00526F51">
        <w:t xml:space="preserve">to </w:t>
      </w:r>
      <w:r w:rsidR="00123A4D">
        <w:t>pay tax that is in dispute.</w:t>
      </w:r>
    </w:p>
    <w:p w:rsidR="002F29CC" w:rsidRDefault="002F29CC" w:rsidP="002F29CC">
      <w:pPr>
        <w:pStyle w:val="Numberparagraph"/>
        <w:numPr>
          <w:ilvl w:val="0"/>
          <w:numId w:val="0"/>
        </w:numPr>
        <w:ind w:left="720"/>
      </w:pPr>
      <w:r>
        <w:t xml:space="preserve"> </w:t>
      </w:r>
    </w:p>
    <w:p w:rsidR="00075973" w:rsidRDefault="00152375" w:rsidP="001E6A50">
      <w:pPr>
        <w:pStyle w:val="Numberparagraph"/>
        <w:ind w:left="0" w:firstLine="0"/>
      </w:pPr>
      <w:r>
        <w:t>The above changes</w:t>
      </w:r>
      <w:r w:rsidR="001B39AC">
        <w:t xml:space="preserve"> </w:t>
      </w:r>
      <w:r w:rsidR="001E6A50">
        <w:t>will make the rules more certain and better targeted and are likely to be welcomed by submitters.</w:t>
      </w:r>
    </w:p>
    <w:p w:rsidR="00075973" w:rsidRDefault="00075973" w:rsidP="00075973">
      <w:pPr>
        <w:pStyle w:val="Numberparagraph"/>
        <w:numPr>
          <w:ilvl w:val="0"/>
          <w:numId w:val="0"/>
        </w:numPr>
      </w:pPr>
    </w:p>
    <w:p w:rsidR="00FA7D0C" w:rsidRDefault="00FA7D0C" w:rsidP="00FA7D0C">
      <w:pPr>
        <w:pStyle w:val="Numberparagraph"/>
        <w:ind w:left="0" w:firstLine="0"/>
      </w:pPr>
      <w:r>
        <w:t>We also recommend widening the scope of the original proposal to deem an amount of income to have a New Zealand source under our domestic legislation if we have a right to tax the income under a DTA</w:t>
      </w:r>
      <w:r w:rsidR="00A918C7">
        <w:t xml:space="preserve">.  </w:t>
      </w:r>
      <w:r>
        <w:t>The rule proposed in the discussion document was limited to income covered by the PE and royalty articles of our DTAs</w:t>
      </w:r>
      <w:r w:rsidR="00A918C7">
        <w:t xml:space="preserve">.  </w:t>
      </w:r>
      <w:r>
        <w:t>We should extend the rule to all types of income that we can tax under a DTA – as Australia does</w:t>
      </w:r>
      <w:r w:rsidR="00A918C7">
        <w:t xml:space="preserve">.  </w:t>
      </w:r>
      <w:r>
        <w:t>This ensures we can exercise a taxing right that we have negotiated under a DTA</w:t>
      </w:r>
      <w:r w:rsidR="00A918C7">
        <w:t xml:space="preserve">.  </w:t>
      </w:r>
      <w:r>
        <w:t>We will consult further on this wider proposal in the next round of consultation</w:t>
      </w:r>
      <w:r w:rsidR="00A918C7">
        <w:t xml:space="preserve">.  </w:t>
      </w:r>
    </w:p>
    <w:p w:rsidR="00A23094" w:rsidRPr="00514F2A" w:rsidRDefault="00A23094" w:rsidP="00B223B6">
      <w:pPr>
        <w:pStyle w:val="ListParagraph"/>
        <w:rPr>
          <w:szCs w:val="24"/>
          <w:lang w:eastAsia="en-AU"/>
        </w:rPr>
      </w:pPr>
    </w:p>
    <w:p w:rsidR="00A23094" w:rsidRPr="00514F2A" w:rsidRDefault="00DE6D9F" w:rsidP="00123A4D">
      <w:pPr>
        <w:pStyle w:val="Numberparagraph"/>
        <w:ind w:left="0" w:firstLine="0"/>
      </w:pPr>
      <w:r w:rsidRPr="00514F2A">
        <w:t xml:space="preserve">These recommended </w:t>
      </w:r>
      <w:r w:rsidR="00A23094" w:rsidRPr="00514F2A">
        <w:t xml:space="preserve">changes </w:t>
      </w:r>
      <w:r w:rsidR="00123A4D">
        <w:t>will</w:t>
      </w:r>
      <w:r w:rsidRPr="00514F2A">
        <w:t xml:space="preserve"> not </w:t>
      </w:r>
      <w:r w:rsidR="00A23094" w:rsidRPr="00514F2A">
        <w:t xml:space="preserve">affect </w:t>
      </w:r>
      <w:r w:rsidRPr="00514F2A">
        <w:t xml:space="preserve">the </w:t>
      </w:r>
      <w:r w:rsidR="00A23094" w:rsidRPr="00514F2A">
        <w:t xml:space="preserve">originally forecast revenue </w:t>
      </w:r>
      <w:r w:rsidR="00123A4D" w:rsidRPr="00123A4D">
        <w:t>from implementing the transfer pricing and PE avoidance measures</w:t>
      </w:r>
      <w:r w:rsidR="00123A4D">
        <w:t>, which</w:t>
      </w:r>
      <w:r w:rsidR="00123A4D" w:rsidRPr="00123A4D">
        <w:t xml:space="preserve"> is $25m in 2018/19 and $50m per annum from 2019/20</w:t>
      </w:r>
      <w:r w:rsidR="006763BA">
        <w:t xml:space="preserve"> (some of this revenue has already been included in the Budget 2017 forecasts)</w:t>
      </w:r>
      <w:r w:rsidR="00A918C7">
        <w:t xml:space="preserve">.  </w:t>
      </w:r>
    </w:p>
    <w:p w:rsidR="005A3F7A" w:rsidRPr="00514F2A" w:rsidRDefault="005A3F7A" w:rsidP="005A3F7A">
      <w:pPr>
        <w:pStyle w:val="Numberparagraph"/>
        <w:numPr>
          <w:ilvl w:val="0"/>
          <w:numId w:val="0"/>
        </w:numPr>
      </w:pPr>
    </w:p>
    <w:p w:rsidR="00176CE7" w:rsidRPr="00514F2A" w:rsidRDefault="00176CE7" w:rsidP="00176CE7">
      <w:pPr>
        <w:pStyle w:val="Numberparagraph"/>
        <w:ind w:left="0" w:firstLine="0"/>
      </w:pPr>
      <w:r w:rsidRPr="00514F2A">
        <w:t>We recommend Cabinet delegate authority to the Minister</w:t>
      </w:r>
      <w:r w:rsidR="00DE6D9F" w:rsidRPr="00514F2A">
        <w:t>s</w:t>
      </w:r>
      <w:r w:rsidRPr="00514F2A">
        <w:t xml:space="preserve"> of Finance and Revenue to make final decisions on the detailed design</w:t>
      </w:r>
      <w:r w:rsidR="00DE6D9F" w:rsidRPr="00514F2A">
        <w:t xml:space="preserve"> of</w:t>
      </w:r>
      <w:r w:rsidRPr="00514F2A">
        <w:t xml:space="preserve"> </w:t>
      </w:r>
      <w:r w:rsidR="00DE6D9F" w:rsidRPr="00514F2A">
        <w:t xml:space="preserve">the proposed </w:t>
      </w:r>
      <w:r w:rsidRPr="00514F2A">
        <w:t>rules</w:t>
      </w:r>
      <w:r w:rsidR="00A918C7">
        <w:t xml:space="preserve">.  </w:t>
      </w:r>
      <w:r w:rsidRPr="00514F2A">
        <w:t>As we continue to design the detail of the proposals there will be further targeted consultation with interested parties.</w:t>
      </w:r>
    </w:p>
    <w:p w:rsidR="00F93BB7" w:rsidRDefault="00F93BB7" w:rsidP="005A3F7A">
      <w:pPr>
        <w:pStyle w:val="Numberparagraph"/>
        <w:numPr>
          <w:ilvl w:val="0"/>
          <w:numId w:val="0"/>
        </w:numPr>
      </w:pPr>
    </w:p>
    <w:p w:rsidR="00AD5C56" w:rsidRDefault="00AD5C56" w:rsidP="00E95466">
      <w:pPr>
        <w:pStyle w:val="Numberparagraph"/>
        <w:numPr>
          <w:ilvl w:val="0"/>
          <w:numId w:val="0"/>
        </w:numPr>
        <w:rPr>
          <w:b/>
          <w:bCs/>
        </w:rPr>
      </w:pPr>
    </w:p>
    <w:p w:rsidR="009F73C2" w:rsidRDefault="003467CB" w:rsidP="00E95466">
      <w:pPr>
        <w:pStyle w:val="Numberparagraph"/>
        <w:numPr>
          <w:ilvl w:val="0"/>
          <w:numId w:val="0"/>
        </w:numPr>
        <w:rPr>
          <w:b/>
          <w:bCs/>
        </w:rPr>
      </w:pPr>
      <w:r>
        <w:rPr>
          <w:b/>
          <w:bCs/>
        </w:rPr>
        <w:t>Agency c</w:t>
      </w:r>
      <w:r w:rsidR="00127527">
        <w:rPr>
          <w:b/>
          <w:bCs/>
        </w:rPr>
        <w:t>onsultation</w:t>
      </w:r>
    </w:p>
    <w:p w:rsidR="009F73C2" w:rsidRDefault="009F73C2" w:rsidP="00E95466">
      <w:pPr>
        <w:pStyle w:val="Numberparagraph"/>
        <w:numPr>
          <w:ilvl w:val="0"/>
          <w:numId w:val="0"/>
        </w:numPr>
        <w:rPr>
          <w:b/>
          <w:bCs/>
        </w:rPr>
      </w:pPr>
    </w:p>
    <w:p w:rsidR="009F73C2" w:rsidRPr="009F73C2" w:rsidRDefault="009F73C2" w:rsidP="009F73C2">
      <w:pPr>
        <w:numPr>
          <w:ilvl w:val="0"/>
          <w:numId w:val="1"/>
        </w:numPr>
        <w:tabs>
          <w:tab w:val="left" w:pos="567"/>
        </w:tabs>
        <w:ind w:left="0" w:firstLine="0"/>
        <w:jc w:val="both"/>
        <w:rPr>
          <w:szCs w:val="24"/>
          <w:lang w:eastAsia="en-AU"/>
        </w:rPr>
      </w:pPr>
      <w:r w:rsidRPr="009F73C2">
        <w:rPr>
          <w:szCs w:val="24"/>
          <w:lang w:eastAsia="en-AU"/>
        </w:rPr>
        <w:t xml:space="preserve"> Inland Revenue and Treasury officials have consulted with the Ministry of Foreign Affairs and Trade and the Ministry of Business, Innovation and Employment</w:t>
      </w:r>
      <w:r>
        <w:rPr>
          <w:szCs w:val="24"/>
          <w:lang w:eastAsia="en-AU"/>
        </w:rPr>
        <w:t xml:space="preserve"> on this Cabinet paper</w:t>
      </w:r>
      <w:r w:rsidRPr="009F73C2">
        <w:rPr>
          <w:szCs w:val="24"/>
          <w:lang w:eastAsia="en-AU"/>
        </w:rPr>
        <w:t xml:space="preserve">.  </w:t>
      </w:r>
    </w:p>
    <w:p w:rsidR="009F73C2" w:rsidRDefault="009F73C2" w:rsidP="00E95466">
      <w:pPr>
        <w:pStyle w:val="Numberparagraph"/>
        <w:numPr>
          <w:ilvl w:val="0"/>
          <w:numId w:val="0"/>
        </w:numPr>
        <w:rPr>
          <w:b/>
          <w:bCs/>
        </w:rPr>
      </w:pPr>
    </w:p>
    <w:p w:rsidR="00760953" w:rsidRDefault="00760953" w:rsidP="00E95466">
      <w:pPr>
        <w:pStyle w:val="Numberparagraph"/>
        <w:numPr>
          <w:ilvl w:val="0"/>
          <w:numId w:val="0"/>
        </w:numPr>
        <w:rPr>
          <w:b/>
          <w:bCs/>
        </w:rPr>
      </w:pPr>
    </w:p>
    <w:p w:rsidR="007E2640" w:rsidRPr="00E95466" w:rsidRDefault="009F73C2" w:rsidP="00E95466">
      <w:pPr>
        <w:pStyle w:val="Numberparagraph"/>
        <w:numPr>
          <w:ilvl w:val="0"/>
          <w:numId w:val="0"/>
        </w:numPr>
      </w:pPr>
      <w:r>
        <w:rPr>
          <w:b/>
          <w:bCs/>
        </w:rPr>
        <w:t>F</w:t>
      </w:r>
      <w:r w:rsidR="004F6ED4" w:rsidRPr="00E95466">
        <w:rPr>
          <w:b/>
          <w:bCs/>
        </w:rPr>
        <w:t>inancial implications</w:t>
      </w:r>
      <w:r w:rsidR="00526F51">
        <w:rPr>
          <w:b/>
          <w:bCs/>
        </w:rPr>
        <w:t xml:space="preserve">, </w:t>
      </w:r>
      <w:r w:rsidR="00904EA1">
        <w:rPr>
          <w:b/>
          <w:bCs/>
        </w:rPr>
        <w:t>h</w:t>
      </w:r>
      <w:r w:rsidR="00526F51">
        <w:rPr>
          <w:b/>
          <w:bCs/>
        </w:rPr>
        <w:t xml:space="preserve">uman rights, </w:t>
      </w:r>
      <w:r w:rsidR="00904EA1">
        <w:rPr>
          <w:b/>
          <w:bCs/>
        </w:rPr>
        <w:t>a</w:t>
      </w:r>
      <w:r w:rsidR="00DD51D3">
        <w:rPr>
          <w:b/>
          <w:bCs/>
        </w:rPr>
        <w:t>dministrative impacts, l</w:t>
      </w:r>
      <w:r w:rsidR="00526F51">
        <w:rPr>
          <w:b/>
          <w:bCs/>
        </w:rPr>
        <w:t>egislative implications, publicity</w:t>
      </w:r>
    </w:p>
    <w:p w:rsidR="00D23100" w:rsidRPr="00DD23B8" w:rsidRDefault="00D23100" w:rsidP="007E2640">
      <w:pPr>
        <w:tabs>
          <w:tab w:val="left" w:pos="567"/>
        </w:tabs>
        <w:jc w:val="both"/>
        <w:rPr>
          <w:szCs w:val="24"/>
          <w:lang w:eastAsia="en-AU"/>
        </w:rPr>
      </w:pPr>
    </w:p>
    <w:p w:rsidR="00286732" w:rsidRDefault="00526F51" w:rsidP="00772239">
      <w:pPr>
        <w:pStyle w:val="Numberparagraph"/>
        <w:ind w:left="0" w:firstLine="0"/>
      </w:pPr>
      <w:r>
        <w:t>These are set out in the accompanying cover</w:t>
      </w:r>
      <w:r w:rsidR="00AA11EC">
        <w:t>ing</w:t>
      </w:r>
      <w:r>
        <w:t xml:space="preserve"> Cabinet pa</w:t>
      </w:r>
      <w:r w:rsidR="00904EA1">
        <w:t>p</w:t>
      </w:r>
      <w:r>
        <w:t>er</w:t>
      </w:r>
      <w:r w:rsidR="00904EA1">
        <w:t xml:space="preserve"> for the overall BEPS package</w:t>
      </w:r>
      <w:r w:rsidR="00AA11EC">
        <w:t xml:space="preserve"> (</w:t>
      </w:r>
      <w:r w:rsidR="00AA11EC" w:rsidRPr="00AA11EC">
        <w:rPr>
          <w:i/>
        </w:rPr>
        <w:t>Tax measures to prevent base erosion and profit shifting</w:t>
      </w:r>
      <w:r w:rsidR="00AA11EC">
        <w:t>)</w:t>
      </w:r>
      <w:r w:rsidR="00A918C7">
        <w:t xml:space="preserve">.  </w:t>
      </w:r>
    </w:p>
    <w:p w:rsidR="00904EA1" w:rsidRDefault="00904EA1" w:rsidP="00525887">
      <w:pPr>
        <w:pStyle w:val="Numberparagraph"/>
        <w:numPr>
          <w:ilvl w:val="0"/>
          <w:numId w:val="0"/>
        </w:numPr>
      </w:pPr>
    </w:p>
    <w:p w:rsidR="00286732" w:rsidRDefault="00286732" w:rsidP="007E2640">
      <w:pPr>
        <w:tabs>
          <w:tab w:val="left" w:pos="567"/>
        </w:tabs>
        <w:jc w:val="both"/>
        <w:rPr>
          <w:b/>
          <w:szCs w:val="24"/>
          <w:lang w:eastAsia="en-AU"/>
        </w:rPr>
      </w:pPr>
    </w:p>
    <w:p w:rsidR="00D67341" w:rsidRDefault="00D67341" w:rsidP="007E2640">
      <w:pPr>
        <w:tabs>
          <w:tab w:val="left" w:pos="567"/>
        </w:tabs>
        <w:jc w:val="both"/>
        <w:rPr>
          <w:b/>
          <w:szCs w:val="24"/>
          <w:lang w:eastAsia="en-AU"/>
        </w:rPr>
      </w:pPr>
    </w:p>
    <w:p w:rsidR="00D67341" w:rsidRDefault="00D67341" w:rsidP="007E2640">
      <w:pPr>
        <w:tabs>
          <w:tab w:val="left" w:pos="567"/>
        </w:tabs>
        <w:jc w:val="both"/>
        <w:rPr>
          <w:b/>
          <w:szCs w:val="24"/>
          <w:lang w:eastAsia="en-AU"/>
        </w:rPr>
      </w:pPr>
    </w:p>
    <w:p w:rsidR="007E2640" w:rsidRPr="00DD23B8" w:rsidRDefault="003B423C" w:rsidP="007E2640">
      <w:pPr>
        <w:tabs>
          <w:tab w:val="left" w:pos="567"/>
        </w:tabs>
        <w:jc w:val="both"/>
        <w:rPr>
          <w:b/>
          <w:szCs w:val="24"/>
          <w:lang w:eastAsia="en-AU"/>
        </w:rPr>
      </w:pPr>
      <w:r>
        <w:rPr>
          <w:b/>
          <w:szCs w:val="24"/>
          <w:lang w:eastAsia="en-AU"/>
        </w:rPr>
        <w:t>Impact Analysis Requirements</w:t>
      </w:r>
    </w:p>
    <w:p w:rsidR="00763BDD" w:rsidRDefault="00763BDD" w:rsidP="00A0224A">
      <w:pPr>
        <w:tabs>
          <w:tab w:val="left" w:pos="567"/>
        </w:tabs>
        <w:jc w:val="both"/>
        <w:rPr>
          <w:szCs w:val="24"/>
          <w:lang w:eastAsia="en-AU"/>
        </w:rPr>
      </w:pPr>
    </w:p>
    <w:p w:rsidR="003B423C" w:rsidRDefault="003B423C" w:rsidP="00E95466">
      <w:pPr>
        <w:pStyle w:val="Numberparagraph"/>
        <w:ind w:left="0" w:firstLine="0"/>
      </w:pPr>
      <w:r w:rsidRPr="003B423C">
        <w:t>Cabinet's Impact Analysis Requirements apply</w:t>
      </w:r>
      <w:r>
        <w:t xml:space="preserve"> to these proposals</w:t>
      </w:r>
      <w:r w:rsidR="000E24F0">
        <w:t xml:space="preserve"> and a</w:t>
      </w:r>
      <w:r w:rsidRPr="003B423C">
        <w:t xml:space="preserve"> Regulator</w:t>
      </w:r>
      <w:r>
        <w:t xml:space="preserve">y Impact Assessment </w:t>
      </w:r>
      <w:r w:rsidR="000E24F0">
        <w:t xml:space="preserve">is required. </w:t>
      </w:r>
      <w:r w:rsidR="00525D17">
        <w:t xml:space="preserve"> </w:t>
      </w:r>
      <w:r w:rsidR="000E24F0">
        <w:t xml:space="preserve">This has been </w:t>
      </w:r>
      <w:r w:rsidR="00A5615A">
        <w:rPr>
          <w:lang w:val="en-GB"/>
        </w:rPr>
        <w:t xml:space="preserve">prepared by Inland Revenue </w:t>
      </w:r>
      <w:r w:rsidR="000E24F0">
        <w:t>and is</w:t>
      </w:r>
      <w:r>
        <w:t xml:space="preserve"> </w:t>
      </w:r>
      <w:r w:rsidRPr="003B423C">
        <w:t>attached</w:t>
      </w:r>
      <w:r>
        <w:t xml:space="preserve">. </w:t>
      </w:r>
    </w:p>
    <w:p w:rsidR="003B423C" w:rsidRDefault="003B423C" w:rsidP="003B423C">
      <w:pPr>
        <w:pStyle w:val="Numberparagraph"/>
        <w:numPr>
          <w:ilvl w:val="0"/>
          <w:numId w:val="0"/>
        </w:numPr>
      </w:pPr>
    </w:p>
    <w:p w:rsidR="00287E88" w:rsidRDefault="003B423C" w:rsidP="00E95466">
      <w:pPr>
        <w:pStyle w:val="Numberparagraph"/>
        <w:ind w:left="0" w:firstLine="0"/>
      </w:pPr>
      <w:r>
        <w:rPr>
          <w:lang w:val="en-GB"/>
        </w:rPr>
        <w:t>The Quality Assurance reviewer at Inland Revenue has reviewed the Regulatory Impact Assessment and considers that the information and analysis summarised in the Regulatory Impact Assessment meets the Quality Assurance criteria.</w:t>
      </w:r>
    </w:p>
    <w:p w:rsidR="00763BDD" w:rsidRDefault="00763BDD" w:rsidP="00287E88">
      <w:pPr>
        <w:pStyle w:val="Numberparagraph"/>
        <w:numPr>
          <w:ilvl w:val="0"/>
          <w:numId w:val="0"/>
        </w:numPr>
        <w:ind w:left="360" w:hanging="360"/>
      </w:pPr>
    </w:p>
    <w:p w:rsidR="00942DA8" w:rsidRDefault="00942DA8" w:rsidP="007E2640">
      <w:pPr>
        <w:tabs>
          <w:tab w:val="left" w:pos="567"/>
        </w:tabs>
        <w:jc w:val="both"/>
        <w:rPr>
          <w:b/>
          <w:bCs/>
          <w:szCs w:val="24"/>
          <w:lang w:eastAsia="en-AU"/>
        </w:rPr>
      </w:pPr>
    </w:p>
    <w:p w:rsidR="007E2640" w:rsidRDefault="004F6ED4" w:rsidP="007E2640">
      <w:pPr>
        <w:tabs>
          <w:tab w:val="left" w:pos="567"/>
        </w:tabs>
        <w:jc w:val="both"/>
        <w:rPr>
          <w:b/>
          <w:bCs/>
          <w:szCs w:val="24"/>
          <w:lang w:eastAsia="en-AU"/>
        </w:rPr>
      </w:pPr>
      <w:r w:rsidRPr="00DD23B8">
        <w:rPr>
          <w:b/>
          <w:bCs/>
          <w:szCs w:val="24"/>
          <w:lang w:eastAsia="en-AU"/>
        </w:rPr>
        <w:t>Recommendations</w:t>
      </w:r>
    </w:p>
    <w:p w:rsidR="00D23100" w:rsidRPr="00DD23B8" w:rsidRDefault="00AE00CD" w:rsidP="00AE00CD">
      <w:pPr>
        <w:rPr>
          <w:lang w:eastAsia="en-AU"/>
        </w:rPr>
      </w:pPr>
      <w:r>
        <w:rPr>
          <w:lang w:eastAsia="en-AU"/>
        </w:rPr>
        <w:t xml:space="preserve">   </w:t>
      </w:r>
    </w:p>
    <w:p w:rsidR="00287E88" w:rsidRPr="00DD23B8" w:rsidRDefault="007B0595" w:rsidP="00287E88">
      <w:pPr>
        <w:pStyle w:val="Numberparagraph"/>
        <w:ind w:left="0" w:firstLine="0"/>
      </w:pPr>
      <w:r>
        <w:t>We</w:t>
      </w:r>
      <w:r w:rsidR="00287E88">
        <w:t xml:space="preserve"> recommend that the Cabinet Economic Growth and Infrastructure Committee:</w:t>
      </w:r>
    </w:p>
    <w:p w:rsidR="00287E88" w:rsidRDefault="00287E88" w:rsidP="00287E88">
      <w:pPr>
        <w:rPr>
          <w:lang w:eastAsia="en-AU"/>
        </w:rPr>
      </w:pPr>
      <w:r>
        <w:rPr>
          <w:lang w:eastAsia="en-AU"/>
        </w:rPr>
        <w:t xml:space="preserve">   </w:t>
      </w:r>
    </w:p>
    <w:p w:rsidR="00220098" w:rsidRDefault="00220098" w:rsidP="007C53D9">
      <w:pPr>
        <w:pStyle w:val="Recommendationfirstlevel"/>
        <w:numPr>
          <w:ilvl w:val="0"/>
          <w:numId w:val="0"/>
        </w:numPr>
        <w:ind w:left="1134" w:hanging="567"/>
      </w:pPr>
      <w:r>
        <w:t>1</w:t>
      </w:r>
      <w:r w:rsidR="00A918C7">
        <w:t xml:space="preserve">.  </w:t>
      </w:r>
      <w:r w:rsidR="007C53D9">
        <w:tab/>
      </w:r>
      <w:r w:rsidRPr="00220098">
        <w:rPr>
          <w:b/>
        </w:rPr>
        <w:t>Note</w:t>
      </w:r>
      <w:r>
        <w:t xml:space="preserve"> that</w:t>
      </w:r>
      <w:r w:rsidRPr="00220098">
        <w:t xml:space="preserve"> in March this year the Government released a discussion document called </w:t>
      </w:r>
      <w:r w:rsidRPr="00245528">
        <w:rPr>
          <w:i/>
        </w:rPr>
        <w:t xml:space="preserve">BEPS – transfer pricing and permanent establishment avoidance </w:t>
      </w:r>
      <w:r w:rsidRPr="00220098">
        <w:t xml:space="preserve">which proposed some detailed measures to </w:t>
      </w:r>
      <w:r w:rsidR="00245528">
        <w:t>improve our ability to</w:t>
      </w:r>
      <w:r w:rsidRPr="00220098">
        <w:t xml:space="preserve"> tax multinationals </w:t>
      </w:r>
      <w:r w:rsidR="00A75380" w:rsidRPr="00220098">
        <w:t>that</w:t>
      </w:r>
      <w:r w:rsidRPr="00220098">
        <w:t xml:space="preserve"> operate in New Zealand.</w:t>
      </w:r>
    </w:p>
    <w:p w:rsidR="00220098" w:rsidRDefault="00220098" w:rsidP="007C53D9">
      <w:pPr>
        <w:pStyle w:val="Recommendationfirstlevel"/>
        <w:numPr>
          <w:ilvl w:val="0"/>
          <w:numId w:val="0"/>
        </w:numPr>
        <w:ind w:left="1134" w:hanging="567"/>
      </w:pPr>
    </w:p>
    <w:p w:rsidR="00220098" w:rsidRDefault="00220098" w:rsidP="00220098">
      <w:pPr>
        <w:pStyle w:val="Recommendationfirstlevel"/>
        <w:numPr>
          <w:ilvl w:val="0"/>
          <w:numId w:val="0"/>
        </w:numPr>
        <w:ind w:left="1134" w:hanging="774"/>
      </w:pPr>
      <w:r>
        <w:tab/>
        <w:t>2.</w:t>
      </w:r>
      <w:r>
        <w:tab/>
      </w:r>
      <w:r w:rsidRPr="00220098">
        <w:rPr>
          <w:b/>
        </w:rPr>
        <w:t xml:space="preserve">Note </w:t>
      </w:r>
      <w:r w:rsidRPr="00220098">
        <w:t xml:space="preserve">that </w:t>
      </w:r>
      <w:r>
        <w:t>in response to submissions we have made the proposed measures better targeted</w:t>
      </w:r>
      <w:r w:rsidR="00245528">
        <w:t xml:space="preserve"> at </w:t>
      </w:r>
      <w:r w:rsidR="00A75380">
        <w:t xml:space="preserve">the </w:t>
      </w:r>
      <w:r w:rsidR="00245528">
        <w:t>BEPS concerns</w:t>
      </w:r>
      <w:r>
        <w:t xml:space="preserve"> </w:t>
      </w:r>
      <w:r w:rsidRPr="00C26B6D">
        <w:t>without reducing the overall effectiveness of the proposed reforms.</w:t>
      </w:r>
    </w:p>
    <w:p w:rsidR="00220098" w:rsidRPr="00220098" w:rsidRDefault="00220098" w:rsidP="007C53D9">
      <w:pPr>
        <w:pStyle w:val="Recommendationfirstlevel"/>
        <w:numPr>
          <w:ilvl w:val="0"/>
          <w:numId w:val="0"/>
        </w:numPr>
        <w:ind w:left="1134" w:hanging="567"/>
      </w:pPr>
    </w:p>
    <w:p w:rsidR="007C53D9" w:rsidRPr="00514F2A" w:rsidRDefault="00220098" w:rsidP="007C53D9">
      <w:pPr>
        <w:pStyle w:val="Recommendationfirstlevel"/>
        <w:numPr>
          <w:ilvl w:val="0"/>
          <w:numId w:val="0"/>
        </w:numPr>
        <w:ind w:left="1134" w:hanging="567"/>
      </w:pPr>
      <w:r w:rsidRPr="00220098">
        <w:t>3.</w:t>
      </w:r>
      <w:r>
        <w:rPr>
          <w:b/>
        </w:rPr>
        <w:tab/>
      </w:r>
      <w:r w:rsidR="00C26B6D" w:rsidRPr="007C53D9">
        <w:rPr>
          <w:b/>
        </w:rPr>
        <w:t>Agree</w:t>
      </w:r>
      <w:r w:rsidR="00C26B6D" w:rsidRPr="007C53D9">
        <w:t xml:space="preserve"> </w:t>
      </w:r>
      <w:r w:rsidR="007C53D9">
        <w:t>to introduce a new PE</w:t>
      </w:r>
      <w:r w:rsidR="00C26B6D" w:rsidRPr="00C26B6D">
        <w:t xml:space="preserve"> avoidance rule that will apply to large multinationals that structure</w:t>
      </w:r>
      <w:r w:rsidR="00A23094">
        <w:t xml:space="preserve"> their businesses</w:t>
      </w:r>
      <w:r w:rsidR="00C26B6D" w:rsidRPr="00C26B6D">
        <w:t xml:space="preserve"> to avoid having a </w:t>
      </w:r>
      <w:r w:rsidR="001F5733">
        <w:t>PE</w:t>
      </w:r>
      <w:r w:rsidR="00C26B6D" w:rsidRPr="00C26B6D">
        <w:t xml:space="preserve"> (taxable presence) </w:t>
      </w:r>
      <w:r w:rsidR="00C26B6D" w:rsidRPr="00514F2A">
        <w:t>in New Zealand</w:t>
      </w:r>
      <w:r w:rsidR="00A918C7">
        <w:t xml:space="preserve">.  </w:t>
      </w:r>
    </w:p>
    <w:p w:rsidR="005F0CBF" w:rsidRPr="00514F2A" w:rsidRDefault="005F0CBF" w:rsidP="007C53D9">
      <w:pPr>
        <w:pStyle w:val="Recommendationfirstlevel"/>
        <w:numPr>
          <w:ilvl w:val="0"/>
          <w:numId w:val="0"/>
        </w:numPr>
        <w:ind w:left="1134" w:hanging="567"/>
      </w:pPr>
    </w:p>
    <w:p w:rsidR="005F0CBF" w:rsidRPr="00514F2A" w:rsidRDefault="005F0CBF" w:rsidP="007C53D9">
      <w:pPr>
        <w:pStyle w:val="Recommendationfirstlevel"/>
        <w:numPr>
          <w:ilvl w:val="0"/>
          <w:numId w:val="0"/>
        </w:numPr>
        <w:ind w:left="1134" w:hanging="567"/>
      </w:pPr>
      <w:r w:rsidRPr="00514F2A">
        <w:t>4.</w:t>
      </w:r>
      <w:r w:rsidRPr="00514F2A">
        <w:tab/>
      </w:r>
      <w:r w:rsidRPr="00514F2A">
        <w:rPr>
          <w:b/>
        </w:rPr>
        <w:t>Agree</w:t>
      </w:r>
      <w:r w:rsidRPr="00514F2A">
        <w:t xml:space="preserve"> to expand and strengthen the rules for taxing New Zealand-sourced income by:</w:t>
      </w:r>
    </w:p>
    <w:p w:rsidR="005F0CBF" w:rsidRPr="00514F2A" w:rsidRDefault="005F0CBF" w:rsidP="007C53D9">
      <w:pPr>
        <w:pStyle w:val="Recommendationfirstlevel"/>
        <w:numPr>
          <w:ilvl w:val="0"/>
          <w:numId w:val="0"/>
        </w:numPr>
        <w:ind w:left="1134" w:hanging="567"/>
      </w:pPr>
    </w:p>
    <w:p w:rsidR="005F0CBF" w:rsidRPr="00514F2A" w:rsidRDefault="001F5733" w:rsidP="000A33F5">
      <w:pPr>
        <w:pStyle w:val="Recommendationfirstlevel"/>
        <w:numPr>
          <w:ilvl w:val="0"/>
          <w:numId w:val="10"/>
        </w:numPr>
        <w:ind w:left="1701" w:hanging="567"/>
      </w:pPr>
      <w:r>
        <w:t>d</w:t>
      </w:r>
      <w:r w:rsidR="005F0CBF" w:rsidRPr="00514F2A">
        <w:t xml:space="preserve">eeming </w:t>
      </w:r>
      <w:r w:rsidR="00C44E01" w:rsidRPr="00514F2A">
        <w:t xml:space="preserve">certain </w:t>
      </w:r>
      <w:r w:rsidR="005F0CBF" w:rsidRPr="00514F2A">
        <w:t>amount</w:t>
      </w:r>
      <w:r w:rsidR="00C44E01" w:rsidRPr="00514F2A">
        <w:t>s</w:t>
      </w:r>
      <w:r w:rsidR="005F0CBF" w:rsidRPr="00514F2A">
        <w:t xml:space="preserve"> of income to have a source in New Zealand if New Zealand has a right to tax that income under any applicable DTA;</w:t>
      </w:r>
    </w:p>
    <w:p w:rsidR="005F0CBF" w:rsidRPr="00514F2A" w:rsidRDefault="005F0CBF" w:rsidP="000A33F5">
      <w:pPr>
        <w:pStyle w:val="Recommendationfirstlevel"/>
        <w:numPr>
          <w:ilvl w:val="0"/>
          <w:numId w:val="0"/>
        </w:numPr>
        <w:ind w:left="1701" w:hanging="567"/>
      </w:pPr>
    </w:p>
    <w:p w:rsidR="005F0CBF" w:rsidRPr="00514F2A" w:rsidRDefault="005F0CBF" w:rsidP="000A33F5">
      <w:pPr>
        <w:pStyle w:val="Recommendationfirstlevel"/>
        <w:numPr>
          <w:ilvl w:val="0"/>
          <w:numId w:val="10"/>
        </w:numPr>
        <w:ind w:left="1701" w:hanging="567"/>
      </w:pPr>
      <w:r w:rsidRPr="00514F2A">
        <w:t xml:space="preserve">introducing an anti-avoidance source rule which will broadly provide that, where another group member carries on a non-resident’s business in New Zealand, the non-resident will be deemed to carry on that business itself for the purpose of determining whether its income from New Zealand customers has a New Zealand source; and  </w:t>
      </w:r>
    </w:p>
    <w:p w:rsidR="005F0CBF" w:rsidRPr="00514F2A" w:rsidRDefault="005F0CBF" w:rsidP="000A33F5">
      <w:pPr>
        <w:pStyle w:val="ListParagraph"/>
        <w:ind w:left="1701" w:hanging="567"/>
      </w:pPr>
    </w:p>
    <w:p w:rsidR="005F0CBF" w:rsidRPr="00514F2A" w:rsidRDefault="005F0CBF" w:rsidP="000A33F5">
      <w:pPr>
        <w:pStyle w:val="Recommendationfirstlevel"/>
        <w:numPr>
          <w:ilvl w:val="0"/>
          <w:numId w:val="10"/>
        </w:numPr>
        <w:ind w:left="1701" w:hanging="567"/>
      </w:pPr>
      <w:r w:rsidRPr="00514F2A">
        <w:t xml:space="preserve">addressing a potential weakness of the life insurance source rules by </w:t>
      </w:r>
      <w:r w:rsidR="00E47B40">
        <w:t xml:space="preserve">ensuring that </w:t>
      </w:r>
      <w:r w:rsidRPr="00514F2A">
        <w:t xml:space="preserve"> no deductions are available for the reinsurance of life policies if the premium income on that policy is not taxable in New Zealand</w:t>
      </w:r>
      <w:r w:rsidR="006763BA">
        <w:t>,</w:t>
      </w:r>
      <w:r w:rsidRPr="00514F2A">
        <w:t xml:space="preserve"> including where the income is not subject to New Zealand tax by operation of a DTA.</w:t>
      </w:r>
    </w:p>
    <w:p w:rsidR="00245528" w:rsidRPr="00514F2A" w:rsidRDefault="00245528" w:rsidP="00245528">
      <w:pPr>
        <w:pStyle w:val="Recommendationfirstlevel"/>
        <w:numPr>
          <w:ilvl w:val="0"/>
          <w:numId w:val="0"/>
        </w:numPr>
        <w:ind w:left="1134" w:hanging="567"/>
      </w:pPr>
    </w:p>
    <w:p w:rsidR="003B2F1C" w:rsidRPr="00514F2A" w:rsidRDefault="005F0CBF" w:rsidP="003B2F1C">
      <w:pPr>
        <w:pStyle w:val="Recommendationfirstlevel"/>
        <w:numPr>
          <w:ilvl w:val="0"/>
          <w:numId w:val="0"/>
        </w:numPr>
        <w:ind w:left="1134" w:hanging="567"/>
      </w:pPr>
      <w:r w:rsidRPr="00514F2A">
        <w:t>5</w:t>
      </w:r>
      <w:r w:rsidR="00513F4A" w:rsidRPr="00514F2A">
        <w:t>.</w:t>
      </w:r>
      <w:r w:rsidR="00513F4A" w:rsidRPr="00514F2A">
        <w:tab/>
      </w:r>
      <w:r w:rsidR="00513F4A" w:rsidRPr="00514F2A">
        <w:rPr>
          <w:b/>
        </w:rPr>
        <w:t xml:space="preserve">Agree </w:t>
      </w:r>
      <w:r w:rsidR="00513F4A" w:rsidRPr="00514F2A">
        <w:t>to strengthen the transfer pricing rules so they align with the OECD’s transfer pricing guidelines and Australia’s transfer pricing rules</w:t>
      </w:r>
      <w:r w:rsidR="00A918C7">
        <w:t xml:space="preserve">.  </w:t>
      </w:r>
      <w:r w:rsidR="003B2F1C" w:rsidRPr="00514F2A">
        <w:t xml:space="preserve">This involves amending New Zealand’s transfer pricing rules so that: </w:t>
      </w:r>
    </w:p>
    <w:p w:rsidR="003B2F1C" w:rsidRPr="00514F2A" w:rsidRDefault="003B2F1C" w:rsidP="003B2F1C">
      <w:pPr>
        <w:pStyle w:val="Recommendationfirstlevel"/>
        <w:numPr>
          <w:ilvl w:val="0"/>
          <w:numId w:val="0"/>
        </w:numPr>
        <w:ind w:left="1134"/>
      </w:pPr>
    </w:p>
    <w:p w:rsidR="003B2F1C" w:rsidRPr="00514F2A" w:rsidRDefault="003B2F1C" w:rsidP="000A33F5">
      <w:pPr>
        <w:pStyle w:val="Recommendationfirstlevel"/>
        <w:numPr>
          <w:ilvl w:val="0"/>
          <w:numId w:val="8"/>
        </w:numPr>
        <w:ind w:left="1701" w:hanging="567"/>
      </w:pPr>
      <w:r w:rsidRPr="00514F2A">
        <w:t>they disregard legal form if it does not align with the actual economic substance of the transaction;</w:t>
      </w:r>
    </w:p>
    <w:p w:rsidR="003B2F1C" w:rsidRPr="00514F2A" w:rsidRDefault="003B2F1C" w:rsidP="000A33F5">
      <w:pPr>
        <w:pStyle w:val="Recommendationfirstlevel"/>
        <w:numPr>
          <w:ilvl w:val="0"/>
          <w:numId w:val="0"/>
        </w:numPr>
        <w:ind w:left="1701" w:hanging="567"/>
      </w:pPr>
    </w:p>
    <w:p w:rsidR="003B2F1C" w:rsidRPr="00514F2A" w:rsidRDefault="003B2F1C" w:rsidP="000A33F5">
      <w:pPr>
        <w:pStyle w:val="Recommendationfirstlevel"/>
        <w:numPr>
          <w:ilvl w:val="0"/>
          <w:numId w:val="8"/>
        </w:numPr>
        <w:ind w:left="1701" w:hanging="567"/>
      </w:pPr>
      <w:r w:rsidRPr="00514F2A">
        <w:t xml:space="preserve">they provide Inland Revenue with a power to reconstruct transfer pricing arrangements which are not commercially rational because they include unrealistic terms that third parties would not be willing to agree to; </w:t>
      </w:r>
    </w:p>
    <w:p w:rsidR="003B2F1C" w:rsidRPr="00514F2A" w:rsidRDefault="003B2F1C" w:rsidP="000A33F5">
      <w:pPr>
        <w:pStyle w:val="Recommendationfirstlevel"/>
        <w:numPr>
          <w:ilvl w:val="0"/>
          <w:numId w:val="0"/>
        </w:numPr>
        <w:ind w:left="1701" w:hanging="567"/>
      </w:pPr>
    </w:p>
    <w:p w:rsidR="00C44E01" w:rsidRPr="00514F2A" w:rsidRDefault="003B2F1C" w:rsidP="000A33F5">
      <w:pPr>
        <w:pStyle w:val="Recommendationfirstlevel"/>
        <w:numPr>
          <w:ilvl w:val="0"/>
          <w:numId w:val="8"/>
        </w:numPr>
        <w:ind w:left="1701" w:hanging="567"/>
      </w:pPr>
      <w:r w:rsidRPr="00514F2A">
        <w:t>the legislation specifically refers to arm’s length conditions</w:t>
      </w:r>
      <w:r w:rsidR="00C44E01" w:rsidRPr="00514F2A">
        <w:t>;</w:t>
      </w:r>
    </w:p>
    <w:p w:rsidR="00C44E01" w:rsidRPr="00514F2A" w:rsidRDefault="00C44E01" w:rsidP="000A33F5">
      <w:pPr>
        <w:pStyle w:val="ListParagraph"/>
        <w:ind w:left="1701" w:hanging="567"/>
      </w:pPr>
    </w:p>
    <w:p w:rsidR="003B2F1C" w:rsidRPr="00514F2A" w:rsidRDefault="00C44E01" w:rsidP="000A33F5">
      <w:pPr>
        <w:pStyle w:val="Recommendationfirstlevel"/>
        <w:numPr>
          <w:ilvl w:val="0"/>
          <w:numId w:val="8"/>
        </w:numPr>
        <w:ind w:left="1701" w:hanging="567"/>
      </w:pPr>
      <w:r w:rsidRPr="00514F2A">
        <w:t>they refer to</w:t>
      </w:r>
      <w:r w:rsidR="003B2F1C" w:rsidRPr="00514F2A">
        <w:t xml:space="preserve"> the latest OECD transfer pricing guidelines as guidance for how the rules are applied;</w:t>
      </w:r>
    </w:p>
    <w:p w:rsidR="003B2F1C" w:rsidRPr="00514F2A" w:rsidRDefault="003B2F1C" w:rsidP="000A33F5">
      <w:pPr>
        <w:pStyle w:val="Recommendationfirstlevel"/>
        <w:numPr>
          <w:ilvl w:val="0"/>
          <w:numId w:val="0"/>
        </w:numPr>
        <w:ind w:left="1701" w:hanging="567"/>
      </w:pPr>
    </w:p>
    <w:p w:rsidR="005F0CBF" w:rsidRPr="00514F2A" w:rsidRDefault="003B2F1C" w:rsidP="000A33F5">
      <w:pPr>
        <w:pStyle w:val="Recommendationfirstlevel"/>
        <w:numPr>
          <w:ilvl w:val="0"/>
          <w:numId w:val="8"/>
        </w:numPr>
        <w:ind w:left="1701" w:hanging="567"/>
      </w:pPr>
      <w:r w:rsidRPr="00514F2A">
        <w:t>the new legislation codifies the requirement for large multinationals to provide Inland Revenue with the information required to comply with the OECD’s country-by-country reporting initiative</w:t>
      </w:r>
      <w:r w:rsidR="005F0CBF" w:rsidRPr="00514F2A">
        <w:t>;</w:t>
      </w:r>
    </w:p>
    <w:p w:rsidR="005F0CBF" w:rsidRPr="00514F2A" w:rsidRDefault="005F0CBF" w:rsidP="000A33F5">
      <w:pPr>
        <w:pStyle w:val="ListParagraph"/>
        <w:ind w:left="1701" w:hanging="567"/>
      </w:pPr>
    </w:p>
    <w:p w:rsidR="003B2F1C" w:rsidRPr="00514F2A" w:rsidRDefault="005F0CBF" w:rsidP="000A33F5">
      <w:pPr>
        <w:pStyle w:val="Recommendationfirstlevel"/>
        <w:numPr>
          <w:ilvl w:val="0"/>
          <w:numId w:val="8"/>
        </w:numPr>
        <w:ind w:left="1701" w:hanging="567"/>
      </w:pPr>
      <w:r w:rsidRPr="00514F2A">
        <w:t xml:space="preserve">the time bar that limits Inland Revenue’s ability to adjust a taxpayer’s transfer pricing position is increased to </w:t>
      </w:r>
      <w:r w:rsidR="00E47B40">
        <w:t>seven</w:t>
      </w:r>
      <w:r w:rsidRPr="00514F2A">
        <w:t xml:space="preserve"> years (in line with Australia);</w:t>
      </w:r>
    </w:p>
    <w:p w:rsidR="005F0CBF" w:rsidRPr="00514F2A" w:rsidRDefault="005F0CBF" w:rsidP="000A33F5">
      <w:pPr>
        <w:pStyle w:val="ListParagraph"/>
        <w:ind w:left="1701" w:hanging="567"/>
      </w:pPr>
    </w:p>
    <w:p w:rsidR="005F0CBF" w:rsidRPr="00514F2A" w:rsidRDefault="005F0CBF" w:rsidP="000A33F5">
      <w:pPr>
        <w:pStyle w:val="Recommendationfirstlevel"/>
        <w:numPr>
          <w:ilvl w:val="0"/>
          <w:numId w:val="8"/>
        </w:numPr>
        <w:ind w:left="1701" w:hanging="567"/>
      </w:pPr>
      <w:r w:rsidRPr="00514F2A">
        <w:t xml:space="preserve">the burden of proof for demonstrating that a taxpayer’s transfer pricing position aligns with arm’s length conditions </w:t>
      </w:r>
      <w:r w:rsidR="00C44E01" w:rsidRPr="00514F2A">
        <w:t>is</w:t>
      </w:r>
      <w:r w:rsidRPr="00514F2A">
        <w:t xml:space="preserve"> shifted from Inland Revenue to the taxpayer (consistent with the burden of proof being on the taxpayer for other tax matters); and</w:t>
      </w:r>
    </w:p>
    <w:p w:rsidR="005F0CBF" w:rsidRPr="00514F2A" w:rsidRDefault="005F0CBF" w:rsidP="000A33F5">
      <w:pPr>
        <w:pStyle w:val="ListParagraph"/>
        <w:ind w:left="1701" w:hanging="567"/>
      </w:pPr>
    </w:p>
    <w:p w:rsidR="005F0CBF" w:rsidRPr="00514F2A" w:rsidRDefault="005F0CBF" w:rsidP="000A33F5">
      <w:pPr>
        <w:pStyle w:val="Recommendationfirstlevel"/>
        <w:numPr>
          <w:ilvl w:val="0"/>
          <w:numId w:val="8"/>
        </w:numPr>
        <w:ind w:left="1701" w:hanging="567"/>
      </w:pPr>
      <w:r w:rsidRPr="00514F2A">
        <w:t>in addition to applying to transactions between related parties, the transfer pricing rules will also apply when non-resident investors “act in concert” to effectively control a New Zealand entity, such as through a private equity manager.</w:t>
      </w:r>
    </w:p>
    <w:p w:rsidR="003B2F1C" w:rsidRPr="00514F2A" w:rsidRDefault="003B2F1C" w:rsidP="007C53D9">
      <w:pPr>
        <w:pStyle w:val="Recommendationfirstlevel"/>
        <w:numPr>
          <w:ilvl w:val="0"/>
          <w:numId w:val="0"/>
        </w:numPr>
        <w:ind w:left="1134" w:hanging="567"/>
      </w:pPr>
    </w:p>
    <w:p w:rsidR="005F0CBF" w:rsidRPr="00514F2A" w:rsidRDefault="00FA6AE9" w:rsidP="005F0CBF">
      <w:pPr>
        <w:pStyle w:val="Recommendationfirstlevel"/>
        <w:numPr>
          <w:ilvl w:val="0"/>
          <w:numId w:val="0"/>
        </w:numPr>
        <w:ind w:left="1134" w:hanging="567"/>
      </w:pPr>
      <w:r>
        <w:t>6</w:t>
      </w:r>
      <w:r w:rsidR="005F0CBF" w:rsidRPr="00514F2A">
        <w:t>.</w:t>
      </w:r>
      <w:r w:rsidR="005F0CBF" w:rsidRPr="00514F2A">
        <w:tab/>
      </w:r>
      <w:r w:rsidR="005F0CBF" w:rsidRPr="00514F2A">
        <w:rPr>
          <w:b/>
        </w:rPr>
        <w:t xml:space="preserve">Agree </w:t>
      </w:r>
      <w:r w:rsidR="005F0CBF" w:rsidRPr="00514F2A">
        <w:t xml:space="preserve">to strengthen Inland Revenue’s powers to </w:t>
      </w:r>
      <w:r w:rsidR="004610A5">
        <w:t>investigate</w:t>
      </w:r>
      <w:r w:rsidR="005F0CBF" w:rsidRPr="00514F2A">
        <w:t xml:space="preserve"> large multinationals (with at least EUR €750m of global revenues) that do not cooperate with a tax investigation by </w:t>
      </w:r>
      <w:r w:rsidR="00BD5BC7" w:rsidRPr="00514F2A">
        <w:t xml:space="preserve">amending the Tax Administration Act 1994 </w:t>
      </w:r>
      <w:r w:rsidR="006763BA">
        <w:t>to allow</w:t>
      </w:r>
      <w:r w:rsidR="00C44E01" w:rsidRPr="00514F2A">
        <w:t xml:space="preserve"> Inland Revenue to</w:t>
      </w:r>
      <w:r w:rsidR="005F0CBF" w:rsidRPr="00514F2A">
        <w:t>:</w:t>
      </w:r>
    </w:p>
    <w:p w:rsidR="005F0CBF" w:rsidRPr="00514F2A" w:rsidRDefault="005F0CBF" w:rsidP="005F0CBF">
      <w:pPr>
        <w:jc w:val="both"/>
        <w:rPr>
          <w:rFonts w:eastAsiaTheme="minorEastAsia"/>
        </w:rPr>
      </w:pPr>
    </w:p>
    <w:p w:rsidR="005F0CBF" w:rsidRPr="00514F2A" w:rsidRDefault="00D3761F" w:rsidP="000A33F5">
      <w:pPr>
        <w:pStyle w:val="Recommendationfirstlevel"/>
        <w:numPr>
          <w:ilvl w:val="0"/>
          <w:numId w:val="11"/>
        </w:numPr>
        <w:ind w:left="1701" w:hanging="567"/>
      </w:pPr>
      <w:r>
        <w:t>m</w:t>
      </w:r>
      <w:r w:rsidR="003B2F1C" w:rsidRPr="00514F2A">
        <w:t xml:space="preserve">ore readily </w:t>
      </w:r>
      <w:r w:rsidR="00BD5BC7" w:rsidRPr="00514F2A">
        <w:t xml:space="preserve">assess </w:t>
      </w:r>
      <w:r w:rsidR="003B2F1C" w:rsidRPr="00514F2A">
        <w:t>the multinational’s tax position based on the information available to Inland R</w:t>
      </w:r>
      <w:r w:rsidR="005F0CBF" w:rsidRPr="00514F2A">
        <w:t>evenue at the time;</w:t>
      </w:r>
    </w:p>
    <w:p w:rsidR="005F0CBF" w:rsidRPr="00514F2A" w:rsidRDefault="005F0CBF" w:rsidP="000A33F5">
      <w:pPr>
        <w:pStyle w:val="Recommendationfirstlevel"/>
        <w:numPr>
          <w:ilvl w:val="0"/>
          <w:numId w:val="0"/>
        </w:numPr>
        <w:ind w:left="1701" w:hanging="567"/>
      </w:pPr>
    </w:p>
    <w:p w:rsidR="003B2F1C" w:rsidRPr="00514F2A" w:rsidRDefault="00D3761F" w:rsidP="000A33F5">
      <w:pPr>
        <w:pStyle w:val="Recommendationfirstlevel"/>
        <w:numPr>
          <w:ilvl w:val="0"/>
          <w:numId w:val="11"/>
        </w:numPr>
        <w:ind w:left="1701" w:hanging="567"/>
      </w:pPr>
      <w:r>
        <w:t>c</w:t>
      </w:r>
      <w:r w:rsidR="00BD5BC7" w:rsidRPr="00514F2A">
        <w:t>ollect any</w:t>
      </w:r>
      <w:r w:rsidR="003B2F1C" w:rsidRPr="00514F2A">
        <w:t xml:space="preserve"> </w:t>
      </w:r>
      <w:r w:rsidR="00BD5BC7" w:rsidRPr="00514F2A">
        <w:t>tax owed by a</w:t>
      </w:r>
      <w:r w:rsidR="005F0CBF" w:rsidRPr="00514F2A">
        <w:t xml:space="preserve"> member of a large multinational group from any wholly</w:t>
      </w:r>
      <w:r>
        <w:t>-</w:t>
      </w:r>
      <w:r w:rsidR="005F0CBF" w:rsidRPr="00514F2A">
        <w:t>owned group member</w:t>
      </w:r>
      <w:r w:rsidR="00BD5BC7" w:rsidRPr="00514F2A">
        <w:t>,</w:t>
      </w:r>
      <w:r w:rsidR="005F0CBF" w:rsidRPr="00514F2A">
        <w:t xml:space="preserve"> provided the non-resid</w:t>
      </w:r>
      <w:r w:rsidR="00BD5BC7" w:rsidRPr="00514F2A">
        <w:t>ent fails to pay the tax itself;</w:t>
      </w:r>
    </w:p>
    <w:p w:rsidR="00BD5BC7" w:rsidRPr="00514F2A" w:rsidRDefault="00BD5BC7" w:rsidP="000A33F5">
      <w:pPr>
        <w:pStyle w:val="ListParagraph"/>
        <w:ind w:left="1701" w:hanging="567"/>
      </w:pPr>
    </w:p>
    <w:p w:rsidR="00BD5BC7" w:rsidRPr="00514F2A" w:rsidRDefault="00D3761F" w:rsidP="000A33F5">
      <w:pPr>
        <w:pStyle w:val="Recommendationfirstlevel"/>
        <w:numPr>
          <w:ilvl w:val="0"/>
          <w:numId w:val="11"/>
        </w:numPr>
        <w:ind w:left="1701" w:hanging="567"/>
      </w:pPr>
      <w:r>
        <w:t>u</w:t>
      </w:r>
      <w:r w:rsidR="00BD5BC7" w:rsidRPr="00514F2A">
        <w:t>se section 17 of the Tax Administration Act 1994 to request information that is held offshore by a</w:t>
      </w:r>
      <w:r w:rsidR="00C44E01" w:rsidRPr="00514F2A">
        <w:t>nother</w:t>
      </w:r>
      <w:r w:rsidR="00BD5BC7" w:rsidRPr="00514F2A">
        <w:t xml:space="preserve"> group member of the large multinational group;</w:t>
      </w:r>
    </w:p>
    <w:p w:rsidR="00BD5BC7" w:rsidRPr="00514F2A" w:rsidRDefault="00BD5BC7" w:rsidP="000A33F5">
      <w:pPr>
        <w:pStyle w:val="ListParagraph"/>
        <w:ind w:left="1701" w:hanging="567"/>
      </w:pPr>
    </w:p>
    <w:p w:rsidR="00BD5BC7" w:rsidRPr="00514F2A" w:rsidRDefault="00D3761F" w:rsidP="000A33F5">
      <w:pPr>
        <w:pStyle w:val="Recommendationfirstlevel"/>
        <w:numPr>
          <w:ilvl w:val="0"/>
          <w:numId w:val="11"/>
        </w:numPr>
        <w:ind w:left="1701" w:hanging="567"/>
      </w:pPr>
      <w:r>
        <w:t>u</w:t>
      </w:r>
      <w:r w:rsidR="00BD5BC7" w:rsidRPr="00514F2A">
        <w:t>se section 21 of the Tax Administration Act 1994 to deem an amount of income to be allocated to a New Zealand group member or PE of a large multinational group in cases where they have failed to adequately respond to an information request in relation to New Zealand sourced income</w:t>
      </w:r>
      <w:r w:rsidR="00A918C7">
        <w:t xml:space="preserve">  </w:t>
      </w:r>
      <w:r w:rsidR="00BD5BC7" w:rsidRPr="00514F2A">
        <w:t>(</w:t>
      </w:r>
      <w:r w:rsidR="006763BA">
        <w:t>c</w:t>
      </w:r>
      <w:r w:rsidR="00BD5BC7" w:rsidRPr="00514F2A">
        <w:t>urrently the existing power only applies in respect of deductible payments); and</w:t>
      </w:r>
    </w:p>
    <w:p w:rsidR="00BD5BC7" w:rsidRPr="00514F2A" w:rsidRDefault="00BD5BC7" w:rsidP="000A33F5">
      <w:pPr>
        <w:pStyle w:val="ListParagraph"/>
        <w:ind w:left="1701" w:hanging="567"/>
      </w:pPr>
    </w:p>
    <w:p w:rsidR="00BD5BC7" w:rsidRPr="00514F2A" w:rsidRDefault="00D3761F" w:rsidP="000A33F5">
      <w:pPr>
        <w:pStyle w:val="Recommendationfirstlevel"/>
        <w:numPr>
          <w:ilvl w:val="0"/>
          <w:numId w:val="11"/>
        </w:numPr>
        <w:ind w:left="1701" w:hanging="567"/>
      </w:pPr>
      <w:r>
        <w:t>i</w:t>
      </w:r>
      <w:r w:rsidR="00BD5BC7" w:rsidRPr="00514F2A">
        <w:t>mpose a new civil penalty of up to $100,000 for large multinational groups which fail to provide requested information (which replaces the current $12,000 maximum criminal penalty).</w:t>
      </w:r>
    </w:p>
    <w:p w:rsidR="003B2F1C" w:rsidRDefault="003B2F1C" w:rsidP="003B2F1C">
      <w:pPr>
        <w:tabs>
          <w:tab w:val="left" w:pos="567"/>
        </w:tabs>
        <w:ind w:left="1125" w:hanging="1125"/>
        <w:jc w:val="both"/>
        <w:rPr>
          <w:szCs w:val="24"/>
          <w:lang w:eastAsia="en-AU"/>
        </w:rPr>
      </w:pPr>
      <w:r w:rsidRPr="003B2F1C">
        <w:rPr>
          <w:szCs w:val="24"/>
          <w:lang w:eastAsia="en-AU"/>
        </w:rPr>
        <w:t> </w:t>
      </w:r>
    </w:p>
    <w:p w:rsidR="00B67DD8" w:rsidRDefault="00FA6AE9" w:rsidP="003B2F1C">
      <w:pPr>
        <w:pStyle w:val="Recommendationfirstlevel"/>
        <w:numPr>
          <w:ilvl w:val="0"/>
          <w:numId w:val="0"/>
        </w:numPr>
        <w:ind w:left="1134" w:hanging="567"/>
      </w:pPr>
      <w:r>
        <w:t>7</w:t>
      </w:r>
      <w:r w:rsidR="00A918C7">
        <w:t xml:space="preserve">.  </w:t>
      </w:r>
      <w:r w:rsidR="00E3751A">
        <w:tab/>
      </w:r>
      <w:r w:rsidR="00B67DD8" w:rsidRPr="001C05B1">
        <w:rPr>
          <w:b/>
        </w:rPr>
        <w:t>Note</w:t>
      </w:r>
      <w:r w:rsidR="00B67DD8" w:rsidRPr="001C05B1">
        <w:t xml:space="preserve"> that the fiscal consequences of the above measures are set out in the covering Cabinet paper for the overall BEPS package (</w:t>
      </w:r>
      <w:r w:rsidR="00B67DD8" w:rsidRPr="001C05B1">
        <w:rPr>
          <w:i/>
        </w:rPr>
        <w:t>Tax measures to prevent base erosion and profit shifting</w:t>
      </w:r>
      <w:r w:rsidR="00B67DD8" w:rsidRPr="001C05B1">
        <w:t>).</w:t>
      </w:r>
    </w:p>
    <w:p w:rsidR="00B67DD8" w:rsidRDefault="00B67DD8" w:rsidP="003B2F1C">
      <w:pPr>
        <w:pStyle w:val="Recommendationfirstlevel"/>
        <w:numPr>
          <w:ilvl w:val="0"/>
          <w:numId w:val="0"/>
        </w:numPr>
        <w:ind w:left="1134" w:hanging="567"/>
      </w:pPr>
    </w:p>
    <w:p w:rsidR="00B67DD8" w:rsidRDefault="009E3DAC" w:rsidP="00B67DD8">
      <w:pPr>
        <w:pStyle w:val="Recommendationfirstlevel"/>
        <w:numPr>
          <w:ilvl w:val="0"/>
          <w:numId w:val="0"/>
        </w:numPr>
        <w:ind w:left="1134" w:hanging="567"/>
      </w:pPr>
      <w:r>
        <w:t xml:space="preserve">8.  </w:t>
      </w:r>
      <w:r>
        <w:tab/>
      </w:r>
      <w:r w:rsidR="00B67DD8" w:rsidRPr="00E3751A">
        <w:rPr>
          <w:b/>
        </w:rPr>
        <w:t xml:space="preserve">Delegate </w:t>
      </w:r>
      <w:r w:rsidR="00B67DD8">
        <w:t xml:space="preserve">authority to the Minister of Finance and the Minister of Revenue to make </w:t>
      </w:r>
      <w:r w:rsidR="00B67DD8" w:rsidRPr="00E3751A">
        <w:t>final decisions</w:t>
      </w:r>
      <w:r w:rsidR="00B67DD8">
        <w:t xml:space="preserve"> on the</w:t>
      </w:r>
      <w:r w:rsidR="00B67DD8" w:rsidRPr="00E3751A">
        <w:t xml:space="preserve"> </w:t>
      </w:r>
      <w:r w:rsidR="00B67DD8">
        <w:t xml:space="preserve">detailed design of the above </w:t>
      </w:r>
      <w:r w:rsidR="00B67DD8" w:rsidRPr="007C53D9">
        <w:t>measures</w:t>
      </w:r>
      <w:r w:rsidR="00B67DD8">
        <w:t>.</w:t>
      </w:r>
    </w:p>
    <w:p w:rsidR="00136652" w:rsidRDefault="00136652" w:rsidP="003B2F1C">
      <w:pPr>
        <w:pStyle w:val="Recommendationfirstlevel"/>
        <w:numPr>
          <w:ilvl w:val="0"/>
          <w:numId w:val="0"/>
        </w:numPr>
        <w:ind w:left="1134" w:hanging="567"/>
      </w:pPr>
    </w:p>
    <w:p w:rsidR="009E3DAC" w:rsidRPr="009E3DAC" w:rsidRDefault="009E3DAC" w:rsidP="009E3DAC">
      <w:pPr>
        <w:pStyle w:val="Recommendationfirstlevel"/>
        <w:numPr>
          <w:ilvl w:val="0"/>
          <w:numId w:val="0"/>
        </w:numPr>
        <w:ind w:left="1134" w:hanging="567"/>
      </w:pPr>
      <w:r w:rsidRPr="001C05B1">
        <w:t>9</w:t>
      </w:r>
      <w:r w:rsidR="00E50FCC" w:rsidRPr="001C05B1">
        <w:t xml:space="preserve">.  </w:t>
      </w:r>
      <w:r w:rsidR="00E50FCC" w:rsidRPr="001C05B1">
        <w:tab/>
      </w:r>
      <w:r w:rsidR="00B67DD8" w:rsidRPr="002F1BF9">
        <w:rPr>
          <w:b/>
        </w:rPr>
        <w:t>Agree</w:t>
      </w:r>
      <w:r w:rsidR="00B67DD8">
        <w:t xml:space="preserve"> that the results of the decisions in recommendations 3-</w:t>
      </w:r>
      <w:r w:rsidR="00760953">
        <w:t>6 and 8</w:t>
      </w:r>
      <w:r w:rsidR="00B67DD8">
        <w:t xml:space="preserve"> be included in a BEPS taxation bill to be introduced to Parliament before the end of 2017.</w:t>
      </w:r>
    </w:p>
    <w:p w:rsidR="00810BA4" w:rsidRDefault="00810BA4" w:rsidP="007E2640">
      <w:pPr>
        <w:tabs>
          <w:tab w:val="left" w:pos="567"/>
        </w:tabs>
        <w:jc w:val="both"/>
        <w:rPr>
          <w:szCs w:val="24"/>
          <w:lang w:eastAsia="en-AU"/>
        </w:rPr>
      </w:pPr>
    </w:p>
    <w:p w:rsidR="008476BD" w:rsidRDefault="008476BD" w:rsidP="007E2640">
      <w:pPr>
        <w:tabs>
          <w:tab w:val="left" w:pos="567"/>
        </w:tabs>
        <w:jc w:val="both"/>
        <w:rPr>
          <w:szCs w:val="24"/>
          <w:lang w:eastAsia="en-AU"/>
        </w:rPr>
      </w:pPr>
    </w:p>
    <w:p w:rsidR="00D67341" w:rsidRDefault="00D67341" w:rsidP="007E2640">
      <w:pPr>
        <w:tabs>
          <w:tab w:val="left" w:pos="567"/>
        </w:tabs>
        <w:jc w:val="both"/>
        <w:rPr>
          <w:szCs w:val="24"/>
          <w:lang w:eastAsia="en-AU"/>
        </w:rPr>
      </w:pPr>
    </w:p>
    <w:p w:rsidR="00D67341" w:rsidRDefault="00D67341" w:rsidP="007E2640">
      <w:pPr>
        <w:tabs>
          <w:tab w:val="left" w:pos="567"/>
        </w:tabs>
        <w:jc w:val="both"/>
        <w:rPr>
          <w:szCs w:val="24"/>
          <w:lang w:eastAsia="en-AU"/>
        </w:rPr>
      </w:pPr>
    </w:p>
    <w:p w:rsidR="0004297B" w:rsidRDefault="0004297B" w:rsidP="0004297B">
      <w:pPr>
        <w:tabs>
          <w:tab w:val="left" w:pos="567"/>
        </w:tabs>
        <w:jc w:val="both"/>
        <w:rPr>
          <w:szCs w:val="24"/>
          <w:lang w:eastAsia="en-AU"/>
        </w:rPr>
      </w:pPr>
      <w:r>
        <w:rPr>
          <w:szCs w:val="24"/>
          <w:lang w:eastAsia="en-AU"/>
        </w:rPr>
        <w:t>Au</w:t>
      </w:r>
      <w:r w:rsidRPr="0021392A">
        <w:rPr>
          <w:szCs w:val="24"/>
          <w:lang w:eastAsia="en-AU"/>
        </w:rPr>
        <w:t>thorised for lodgement</w:t>
      </w:r>
    </w:p>
    <w:p w:rsidR="00A32389" w:rsidRDefault="00A32389" w:rsidP="0004297B">
      <w:pPr>
        <w:tabs>
          <w:tab w:val="left" w:pos="567"/>
        </w:tabs>
        <w:jc w:val="both"/>
        <w:rPr>
          <w:szCs w:val="24"/>
          <w:lang w:eastAsia="en-AU"/>
        </w:rPr>
      </w:pPr>
    </w:p>
    <w:p w:rsidR="007924D0" w:rsidRDefault="007924D0" w:rsidP="0004297B">
      <w:pPr>
        <w:tabs>
          <w:tab w:val="left" w:pos="567"/>
        </w:tabs>
        <w:jc w:val="both"/>
        <w:rPr>
          <w:szCs w:val="24"/>
          <w:lang w:eastAsia="en-AU"/>
        </w:rPr>
      </w:pPr>
    </w:p>
    <w:p w:rsidR="000A33F5" w:rsidRDefault="000A33F5" w:rsidP="0004297B">
      <w:pPr>
        <w:tabs>
          <w:tab w:val="left" w:pos="567"/>
        </w:tabs>
        <w:jc w:val="both"/>
        <w:rPr>
          <w:szCs w:val="24"/>
          <w:lang w:eastAsia="en-AU"/>
        </w:rPr>
      </w:pPr>
    </w:p>
    <w:p w:rsidR="000A33F5" w:rsidRDefault="000A33F5" w:rsidP="0004297B">
      <w:pPr>
        <w:tabs>
          <w:tab w:val="left" w:pos="567"/>
        </w:tabs>
        <w:jc w:val="both"/>
        <w:rPr>
          <w:szCs w:val="24"/>
          <w:lang w:eastAsia="en-AU"/>
        </w:rPr>
      </w:pPr>
    </w:p>
    <w:p w:rsidR="000A33F5" w:rsidRDefault="000A33F5" w:rsidP="0004297B">
      <w:pPr>
        <w:tabs>
          <w:tab w:val="left" w:pos="567"/>
        </w:tabs>
        <w:jc w:val="both"/>
        <w:rPr>
          <w:szCs w:val="24"/>
          <w:lang w:eastAsia="en-AU"/>
        </w:rPr>
      </w:pPr>
    </w:p>
    <w:p w:rsidR="000A33F5" w:rsidRPr="00DD23B8" w:rsidRDefault="000A33F5" w:rsidP="0004297B">
      <w:pPr>
        <w:tabs>
          <w:tab w:val="left" w:pos="567"/>
        </w:tabs>
        <w:jc w:val="both"/>
        <w:rPr>
          <w:szCs w:val="24"/>
          <w:lang w:eastAsia="en-AU"/>
        </w:rPr>
      </w:pPr>
    </w:p>
    <w:p w:rsidR="0004297B" w:rsidRPr="00DD23B8" w:rsidRDefault="0004297B" w:rsidP="0004297B">
      <w:pPr>
        <w:tabs>
          <w:tab w:val="left" w:pos="567"/>
          <w:tab w:val="left" w:pos="5100"/>
        </w:tabs>
        <w:jc w:val="both"/>
        <w:rPr>
          <w:b/>
          <w:szCs w:val="24"/>
          <w:lang w:eastAsia="en-AU"/>
        </w:rPr>
      </w:pPr>
      <w:r>
        <w:rPr>
          <w:b/>
          <w:szCs w:val="24"/>
          <w:lang w:eastAsia="en-AU"/>
        </w:rPr>
        <w:t>Hon Steven Joyce</w:t>
      </w:r>
    </w:p>
    <w:p w:rsidR="0004297B" w:rsidRPr="00DD23B8" w:rsidRDefault="0004297B" w:rsidP="0004297B">
      <w:pPr>
        <w:tabs>
          <w:tab w:val="left" w:pos="567"/>
          <w:tab w:val="left" w:pos="5100"/>
        </w:tabs>
        <w:jc w:val="both"/>
        <w:rPr>
          <w:szCs w:val="24"/>
          <w:lang w:eastAsia="en-AU"/>
        </w:rPr>
      </w:pPr>
      <w:r>
        <w:rPr>
          <w:szCs w:val="24"/>
          <w:lang w:eastAsia="en-AU"/>
        </w:rPr>
        <w:t>Minister of Finance</w:t>
      </w:r>
    </w:p>
    <w:p w:rsidR="0004297B" w:rsidRDefault="0004297B" w:rsidP="0004297B">
      <w:pPr>
        <w:tabs>
          <w:tab w:val="center" w:pos="924"/>
          <w:tab w:val="center" w:pos="6005"/>
        </w:tabs>
        <w:rPr>
          <w:sz w:val="22"/>
          <w:szCs w:val="22"/>
        </w:rPr>
      </w:pPr>
    </w:p>
    <w:p w:rsidR="000A33F5" w:rsidRDefault="000A33F5" w:rsidP="0004297B">
      <w:pPr>
        <w:tabs>
          <w:tab w:val="center" w:pos="924"/>
          <w:tab w:val="center" w:pos="6005"/>
        </w:tabs>
        <w:rPr>
          <w:sz w:val="22"/>
          <w:szCs w:val="22"/>
        </w:rPr>
      </w:pPr>
    </w:p>
    <w:p w:rsidR="000A33F5" w:rsidRDefault="000A33F5" w:rsidP="0004297B">
      <w:pPr>
        <w:tabs>
          <w:tab w:val="center" w:pos="924"/>
          <w:tab w:val="center" w:pos="6005"/>
        </w:tabs>
        <w:rPr>
          <w:sz w:val="22"/>
          <w:szCs w:val="22"/>
        </w:rPr>
      </w:pPr>
    </w:p>
    <w:p w:rsidR="000A33F5" w:rsidRDefault="000A33F5" w:rsidP="0004297B">
      <w:pPr>
        <w:tabs>
          <w:tab w:val="center" w:pos="924"/>
          <w:tab w:val="center" w:pos="6005"/>
        </w:tabs>
        <w:rPr>
          <w:sz w:val="22"/>
          <w:szCs w:val="22"/>
        </w:rPr>
      </w:pPr>
    </w:p>
    <w:p w:rsidR="0004297B" w:rsidRDefault="0004297B" w:rsidP="0004297B">
      <w:pPr>
        <w:tabs>
          <w:tab w:val="center" w:pos="924"/>
          <w:tab w:val="center" w:pos="6005"/>
        </w:tabs>
        <w:rPr>
          <w:sz w:val="22"/>
          <w:szCs w:val="22"/>
        </w:rPr>
      </w:pPr>
    </w:p>
    <w:p w:rsidR="000A33F5" w:rsidRDefault="000A33F5" w:rsidP="0004297B">
      <w:pPr>
        <w:tabs>
          <w:tab w:val="center" w:pos="924"/>
          <w:tab w:val="center" w:pos="6005"/>
        </w:tabs>
        <w:rPr>
          <w:sz w:val="22"/>
          <w:szCs w:val="22"/>
        </w:rPr>
      </w:pPr>
    </w:p>
    <w:p w:rsidR="0004297B" w:rsidRPr="00DD23B8" w:rsidRDefault="0004297B" w:rsidP="00A85CDD">
      <w:pPr>
        <w:tabs>
          <w:tab w:val="center" w:pos="924"/>
          <w:tab w:val="center" w:pos="6005"/>
        </w:tabs>
        <w:rPr>
          <w:b/>
          <w:szCs w:val="24"/>
          <w:lang w:eastAsia="en-AU"/>
        </w:rPr>
      </w:pPr>
      <w:r w:rsidRPr="00DD23B8">
        <w:rPr>
          <w:sz w:val="22"/>
          <w:szCs w:val="22"/>
        </w:rPr>
        <w:tab/>
      </w:r>
      <w:r>
        <w:rPr>
          <w:b/>
          <w:szCs w:val="24"/>
          <w:lang w:eastAsia="en-AU"/>
        </w:rPr>
        <w:t>Hon Judith Collins</w:t>
      </w:r>
    </w:p>
    <w:p w:rsidR="00D8134D" w:rsidRPr="00DD23B8" w:rsidRDefault="0004297B">
      <w:pPr>
        <w:tabs>
          <w:tab w:val="center" w:pos="924"/>
          <w:tab w:val="center" w:pos="6005"/>
        </w:tabs>
      </w:pPr>
      <w:r>
        <w:rPr>
          <w:szCs w:val="24"/>
          <w:lang w:eastAsia="en-AU"/>
        </w:rPr>
        <w:t>Minister of Revenue</w:t>
      </w:r>
    </w:p>
    <w:sectPr w:rsidR="00D8134D" w:rsidRPr="00DD23B8" w:rsidSect="00277CDB">
      <w:headerReference w:type="default" r:id="rId9"/>
      <w:headerReference w:type="first" r:id="rId10"/>
      <w:pgSz w:w="11907" w:h="16840" w:code="9"/>
      <w:pgMar w:top="567" w:right="1134" w:bottom="567" w:left="1134" w:header="397" w:footer="397" w:gutter="0"/>
      <w:cols w:space="720"/>
      <w:noEndnote/>
      <w:titlePg/>
      <w:docGrid w:linePitch="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22" w:rsidRDefault="00AE6C22">
      <w:r>
        <w:separator/>
      </w:r>
    </w:p>
  </w:endnote>
  <w:endnote w:type="continuationSeparator" w:id="0">
    <w:p w:rsidR="00AE6C22" w:rsidRDefault="00A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22" w:rsidRDefault="00AE6C22">
      <w:r>
        <w:separator/>
      </w:r>
    </w:p>
  </w:footnote>
  <w:footnote w:type="continuationSeparator" w:id="0">
    <w:p w:rsidR="00AE6C22" w:rsidRDefault="00AE6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98" w:rsidRPr="006808E1" w:rsidRDefault="00457698" w:rsidP="00457698">
    <w:pPr>
      <w:pStyle w:val="Header"/>
      <w:jc w:val="center"/>
      <w:rPr>
        <w:sz w:val="22"/>
        <w:szCs w:val="22"/>
      </w:rPr>
    </w:pPr>
    <w:r w:rsidRPr="006808E1">
      <w:rPr>
        <w:rStyle w:val="PageNumber"/>
        <w:sz w:val="22"/>
        <w:szCs w:val="22"/>
      </w:rPr>
      <w:fldChar w:fldCharType="begin"/>
    </w:r>
    <w:r w:rsidRPr="006808E1">
      <w:rPr>
        <w:rStyle w:val="PageNumber"/>
        <w:sz w:val="22"/>
        <w:szCs w:val="22"/>
      </w:rPr>
      <w:instrText xml:space="preserve"> PAGE </w:instrText>
    </w:r>
    <w:r w:rsidRPr="006808E1">
      <w:rPr>
        <w:rStyle w:val="PageNumber"/>
        <w:sz w:val="22"/>
        <w:szCs w:val="22"/>
      </w:rPr>
      <w:fldChar w:fldCharType="separate"/>
    </w:r>
    <w:r w:rsidR="00480147">
      <w:rPr>
        <w:rStyle w:val="PageNumber"/>
        <w:noProof/>
        <w:sz w:val="22"/>
        <w:szCs w:val="22"/>
      </w:rPr>
      <w:t>8</w:t>
    </w:r>
    <w:r w:rsidRPr="006808E1">
      <w:rPr>
        <w:rStyle w:val="PageNumber"/>
        <w:sz w:val="22"/>
        <w:szCs w:val="22"/>
      </w:rPr>
      <w:fldChar w:fldCharType="end"/>
    </w:r>
  </w:p>
  <w:p w:rsidR="0016102F" w:rsidRDefault="0016102F" w:rsidP="00F10F27">
    <w:pPr>
      <w:pStyle w:val="Header"/>
      <w:jc w:val="cent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2F" w:rsidRPr="00D8134D" w:rsidRDefault="0016102F" w:rsidP="002230A3">
    <w:pPr>
      <w:pStyle w:val="Header"/>
      <w:jc w:val="center"/>
      <w:rPr>
        <w:rFonts w:ascii="Arial" w:hAnsi="Arial" w:cs="Arial"/>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0BC7"/>
    <w:multiLevelType w:val="hybridMultilevel"/>
    <w:tmpl w:val="2166ACD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
    <w:nsid w:val="1B141510"/>
    <w:multiLevelType w:val="hybridMultilevel"/>
    <w:tmpl w:val="C2D86740"/>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nsid w:val="1DE21F64"/>
    <w:multiLevelType w:val="hybridMultilevel"/>
    <w:tmpl w:val="F424CE04"/>
    <w:lvl w:ilvl="0" w:tplc="14090001">
      <w:start w:val="1"/>
      <w:numFmt w:val="bullet"/>
      <w:lvlText w:val=""/>
      <w:lvlJc w:val="left"/>
      <w:pPr>
        <w:ind w:left="1494" w:hanging="360"/>
      </w:pPr>
      <w:rPr>
        <w:rFonts w:ascii="Symbol" w:hAnsi="Symbol"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3">
    <w:nsid w:val="335F0215"/>
    <w:multiLevelType w:val="hybridMultilevel"/>
    <w:tmpl w:val="CE867744"/>
    <w:lvl w:ilvl="0" w:tplc="C518B336">
      <w:start w:val="1"/>
      <w:numFmt w:val="decimal"/>
      <w:pStyle w:val="Numberparagraph"/>
      <w:lvlText w:val="%1."/>
      <w:lvlJc w:val="left"/>
      <w:pPr>
        <w:ind w:left="360" w:hanging="360"/>
      </w:pPr>
      <w:rPr>
        <w:b w:val="0"/>
        <w:i w:val="0"/>
      </w:rPr>
    </w:lvl>
    <w:lvl w:ilvl="1" w:tplc="14090019">
      <w:start w:val="1"/>
      <w:numFmt w:val="lowerLetter"/>
      <w:lvlText w:val="%2."/>
      <w:lvlJc w:val="left"/>
      <w:pPr>
        <w:ind w:left="36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5">
    <w:nsid w:val="35D61C93"/>
    <w:multiLevelType w:val="hybridMultilevel"/>
    <w:tmpl w:val="B9B4E68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
    <w:nsid w:val="38085C71"/>
    <w:multiLevelType w:val="hybridMultilevel"/>
    <w:tmpl w:val="1846B16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8">
    <w:nsid w:val="478D223B"/>
    <w:multiLevelType w:val="hybridMultilevel"/>
    <w:tmpl w:val="BAEEC942"/>
    <w:lvl w:ilvl="0" w:tplc="14090001">
      <w:start w:val="1"/>
      <w:numFmt w:val="bullet"/>
      <w:lvlText w:val=""/>
      <w:lvlJc w:val="left"/>
      <w:pPr>
        <w:ind w:left="1494" w:hanging="360"/>
      </w:pPr>
      <w:rPr>
        <w:rFonts w:ascii="Symbol" w:hAnsi="Symbol"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9">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0">
    <w:nsid w:val="60A275AB"/>
    <w:multiLevelType w:val="hybridMultilevel"/>
    <w:tmpl w:val="13AC28E0"/>
    <w:lvl w:ilvl="0" w:tplc="14090001">
      <w:start w:val="1"/>
      <w:numFmt w:val="bullet"/>
      <w:lvlText w:val=""/>
      <w:lvlJc w:val="left"/>
      <w:pPr>
        <w:ind w:left="927" w:hanging="360"/>
      </w:pPr>
      <w:rPr>
        <w:rFonts w:ascii="Symbol" w:hAnsi="Symbol" w:hint="default"/>
      </w:rPr>
    </w:lvl>
    <w:lvl w:ilvl="1" w:tplc="9EA237B2">
      <w:numFmt w:val="bullet"/>
      <w:lvlText w:val="•"/>
      <w:lvlJc w:val="left"/>
      <w:pPr>
        <w:ind w:left="2412" w:hanging="1125"/>
      </w:pPr>
      <w:rPr>
        <w:rFonts w:ascii="Times New Roman" w:eastAsia="Times New Roman" w:hAnsi="Times New Roman" w:cs="Times New Roman"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1">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7B163E98"/>
    <w:multiLevelType w:val="hybridMultilevel"/>
    <w:tmpl w:val="0EA4F56A"/>
    <w:lvl w:ilvl="0" w:tplc="14090001">
      <w:start w:val="1"/>
      <w:numFmt w:val="bullet"/>
      <w:lvlText w:val=""/>
      <w:lvlJc w:val="left"/>
      <w:pPr>
        <w:ind w:left="1485" w:hanging="360"/>
      </w:pPr>
      <w:rPr>
        <w:rFonts w:ascii="Symbol" w:hAnsi="Symbol" w:hint="default"/>
      </w:rPr>
    </w:lvl>
    <w:lvl w:ilvl="1" w:tplc="14090003" w:tentative="1">
      <w:start w:val="1"/>
      <w:numFmt w:val="bullet"/>
      <w:lvlText w:val="o"/>
      <w:lvlJc w:val="left"/>
      <w:pPr>
        <w:ind w:left="2205" w:hanging="360"/>
      </w:pPr>
      <w:rPr>
        <w:rFonts w:ascii="Courier New" w:hAnsi="Courier New" w:cs="Courier New" w:hint="default"/>
      </w:rPr>
    </w:lvl>
    <w:lvl w:ilvl="2" w:tplc="14090005" w:tentative="1">
      <w:start w:val="1"/>
      <w:numFmt w:val="bullet"/>
      <w:lvlText w:val=""/>
      <w:lvlJc w:val="left"/>
      <w:pPr>
        <w:ind w:left="2925" w:hanging="360"/>
      </w:pPr>
      <w:rPr>
        <w:rFonts w:ascii="Wingdings" w:hAnsi="Wingdings" w:hint="default"/>
      </w:rPr>
    </w:lvl>
    <w:lvl w:ilvl="3" w:tplc="14090001" w:tentative="1">
      <w:start w:val="1"/>
      <w:numFmt w:val="bullet"/>
      <w:lvlText w:val=""/>
      <w:lvlJc w:val="left"/>
      <w:pPr>
        <w:ind w:left="3645" w:hanging="360"/>
      </w:pPr>
      <w:rPr>
        <w:rFonts w:ascii="Symbol" w:hAnsi="Symbol" w:hint="default"/>
      </w:rPr>
    </w:lvl>
    <w:lvl w:ilvl="4" w:tplc="14090003" w:tentative="1">
      <w:start w:val="1"/>
      <w:numFmt w:val="bullet"/>
      <w:lvlText w:val="o"/>
      <w:lvlJc w:val="left"/>
      <w:pPr>
        <w:ind w:left="4365" w:hanging="360"/>
      </w:pPr>
      <w:rPr>
        <w:rFonts w:ascii="Courier New" w:hAnsi="Courier New" w:cs="Courier New" w:hint="default"/>
      </w:rPr>
    </w:lvl>
    <w:lvl w:ilvl="5" w:tplc="14090005" w:tentative="1">
      <w:start w:val="1"/>
      <w:numFmt w:val="bullet"/>
      <w:lvlText w:val=""/>
      <w:lvlJc w:val="left"/>
      <w:pPr>
        <w:ind w:left="5085" w:hanging="360"/>
      </w:pPr>
      <w:rPr>
        <w:rFonts w:ascii="Wingdings" w:hAnsi="Wingdings" w:hint="default"/>
      </w:rPr>
    </w:lvl>
    <w:lvl w:ilvl="6" w:tplc="14090001" w:tentative="1">
      <w:start w:val="1"/>
      <w:numFmt w:val="bullet"/>
      <w:lvlText w:val=""/>
      <w:lvlJc w:val="left"/>
      <w:pPr>
        <w:ind w:left="5805" w:hanging="360"/>
      </w:pPr>
      <w:rPr>
        <w:rFonts w:ascii="Symbol" w:hAnsi="Symbol" w:hint="default"/>
      </w:rPr>
    </w:lvl>
    <w:lvl w:ilvl="7" w:tplc="14090003" w:tentative="1">
      <w:start w:val="1"/>
      <w:numFmt w:val="bullet"/>
      <w:lvlText w:val="o"/>
      <w:lvlJc w:val="left"/>
      <w:pPr>
        <w:ind w:left="6525" w:hanging="360"/>
      </w:pPr>
      <w:rPr>
        <w:rFonts w:ascii="Courier New" w:hAnsi="Courier New" w:cs="Courier New" w:hint="default"/>
      </w:rPr>
    </w:lvl>
    <w:lvl w:ilvl="8" w:tplc="14090005" w:tentative="1">
      <w:start w:val="1"/>
      <w:numFmt w:val="bullet"/>
      <w:lvlText w:val=""/>
      <w:lvlJc w:val="left"/>
      <w:pPr>
        <w:ind w:left="7245" w:hanging="360"/>
      </w:pPr>
      <w:rPr>
        <w:rFonts w:ascii="Wingdings" w:hAnsi="Wingdings" w:hint="default"/>
      </w:rPr>
    </w:lvl>
  </w:abstractNum>
  <w:abstractNum w:abstractNumId="13">
    <w:nsid w:val="7BDC7355"/>
    <w:multiLevelType w:val="hybridMultilevel"/>
    <w:tmpl w:val="96084348"/>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num w:numId="1">
    <w:abstractNumId w:val="3"/>
  </w:num>
  <w:num w:numId="2">
    <w:abstractNumId w:val="11"/>
  </w:num>
  <w:num w:numId="3">
    <w:abstractNumId w:val="4"/>
  </w:num>
  <w:num w:numId="4">
    <w:abstractNumId w:val="9"/>
  </w:num>
  <w:num w:numId="5">
    <w:abstractNumId w:val="6"/>
  </w:num>
  <w:num w:numId="6">
    <w:abstractNumId w:val="0"/>
  </w:num>
  <w:num w:numId="7">
    <w:abstractNumId w:val="10"/>
  </w:num>
  <w:num w:numId="8">
    <w:abstractNumId w:val="2"/>
  </w:num>
  <w:num w:numId="9">
    <w:abstractNumId w:val="7"/>
  </w:num>
  <w:num w:numId="10">
    <w:abstractNumId w:val="8"/>
  </w:num>
  <w:num w:numId="11">
    <w:abstractNumId w:val="12"/>
  </w:num>
  <w:num w:numId="12">
    <w:abstractNumId w:val="5"/>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
  </w:num>
  <w:num w:numId="25">
    <w:abstractNumId w:val="3"/>
  </w:num>
  <w:num w:numId="26">
    <w:abstractNumId w:val="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A3"/>
    <w:rsid w:val="000045F4"/>
    <w:rsid w:val="00010F25"/>
    <w:rsid w:val="000126A2"/>
    <w:rsid w:val="00017290"/>
    <w:rsid w:val="00017295"/>
    <w:rsid w:val="00024DBB"/>
    <w:rsid w:val="000303BA"/>
    <w:rsid w:val="00032BF5"/>
    <w:rsid w:val="000421D3"/>
    <w:rsid w:val="0004297B"/>
    <w:rsid w:val="00050643"/>
    <w:rsid w:val="00051A31"/>
    <w:rsid w:val="0005688A"/>
    <w:rsid w:val="000633C8"/>
    <w:rsid w:val="000671F7"/>
    <w:rsid w:val="000676F5"/>
    <w:rsid w:val="0007086E"/>
    <w:rsid w:val="00071039"/>
    <w:rsid w:val="00074DFA"/>
    <w:rsid w:val="000751E2"/>
    <w:rsid w:val="00075973"/>
    <w:rsid w:val="000770F3"/>
    <w:rsid w:val="00082A37"/>
    <w:rsid w:val="00084F09"/>
    <w:rsid w:val="00085638"/>
    <w:rsid w:val="00091C64"/>
    <w:rsid w:val="00093433"/>
    <w:rsid w:val="0009382A"/>
    <w:rsid w:val="00094E89"/>
    <w:rsid w:val="000A33F5"/>
    <w:rsid w:val="000A3859"/>
    <w:rsid w:val="000A38E6"/>
    <w:rsid w:val="000B309F"/>
    <w:rsid w:val="000C026F"/>
    <w:rsid w:val="000C44F5"/>
    <w:rsid w:val="000C6DD8"/>
    <w:rsid w:val="000E04E1"/>
    <w:rsid w:val="000E08DC"/>
    <w:rsid w:val="000E24F0"/>
    <w:rsid w:val="000E3622"/>
    <w:rsid w:val="000E3A99"/>
    <w:rsid w:val="000F04E8"/>
    <w:rsid w:val="00101FC1"/>
    <w:rsid w:val="00106574"/>
    <w:rsid w:val="00110EEB"/>
    <w:rsid w:val="00114CA4"/>
    <w:rsid w:val="00123A4D"/>
    <w:rsid w:val="00126600"/>
    <w:rsid w:val="00127527"/>
    <w:rsid w:val="001313AF"/>
    <w:rsid w:val="0013140F"/>
    <w:rsid w:val="00134370"/>
    <w:rsid w:val="00136652"/>
    <w:rsid w:val="00142119"/>
    <w:rsid w:val="00143A4B"/>
    <w:rsid w:val="00152375"/>
    <w:rsid w:val="0015394F"/>
    <w:rsid w:val="00160616"/>
    <w:rsid w:val="0016102F"/>
    <w:rsid w:val="001619C0"/>
    <w:rsid w:val="00163753"/>
    <w:rsid w:val="001664F2"/>
    <w:rsid w:val="00173CFC"/>
    <w:rsid w:val="00175659"/>
    <w:rsid w:val="00176CE7"/>
    <w:rsid w:val="001824AA"/>
    <w:rsid w:val="00196CBF"/>
    <w:rsid w:val="001A193D"/>
    <w:rsid w:val="001B18B2"/>
    <w:rsid w:val="001B39AC"/>
    <w:rsid w:val="001B5CBB"/>
    <w:rsid w:val="001C05B1"/>
    <w:rsid w:val="001C5023"/>
    <w:rsid w:val="001C5174"/>
    <w:rsid w:val="001C7282"/>
    <w:rsid w:val="001D04D7"/>
    <w:rsid w:val="001D307B"/>
    <w:rsid w:val="001E0451"/>
    <w:rsid w:val="001E6A50"/>
    <w:rsid w:val="001F5733"/>
    <w:rsid w:val="002028A5"/>
    <w:rsid w:val="0020473E"/>
    <w:rsid w:val="002057DE"/>
    <w:rsid w:val="00205B90"/>
    <w:rsid w:val="00220098"/>
    <w:rsid w:val="002230A3"/>
    <w:rsid w:val="00225901"/>
    <w:rsid w:val="00231A8B"/>
    <w:rsid w:val="00237E63"/>
    <w:rsid w:val="00245528"/>
    <w:rsid w:val="00254CD4"/>
    <w:rsid w:val="00254E15"/>
    <w:rsid w:val="00255C03"/>
    <w:rsid w:val="00263719"/>
    <w:rsid w:val="00271177"/>
    <w:rsid w:val="00273345"/>
    <w:rsid w:val="00273979"/>
    <w:rsid w:val="002741A0"/>
    <w:rsid w:val="00277CDB"/>
    <w:rsid w:val="00286732"/>
    <w:rsid w:val="00287300"/>
    <w:rsid w:val="00287E88"/>
    <w:rsid w:val="002931BD"/>
    <w:rsid w:val="002A210D"/>
    <w:rsid w:val="002A2D70"/>
    <w:rsid w:val="002A4548"/>
    <w:rsid w:val="002A5653"/>
    <w:rsid w:val="002B20CE"/>
    <w:rsid w:val="002B65CB"/>
    <w:rsid w:val="002C40E1"/>
    <w:rsid w:val="002E25E6"/>
    <w:rsid w:val="002F04F3"/>
    <w:rsid w:val="002F1059"/>
    <w:rsid w:val="002F1BF9"/>
    <w:rsid w:val="002F29CC"/>
    <w:rsid w:val="0031010E"/>
    <w:rsid w:val="003126C2"/>
    <w:rsid w:val="0031285E"/>
    <w:rsid w:val="00317236"/>
    <w:rsid w:val="00317B46"/>
    <w:rsid w:val="003204AE"/>
    <w:rsid w:val="003204D3"/>
    <w:rsid w:val="00323148"/>
    <w:rsid w:val="003260C4"/>
    <w:rsid w:val="00327006"/>
    <w:rsid w:val="003358A8"/>
    <w:rsid w:val="003373E7"/>
    <w:rsid w:val="003467CB"/>
    <w:rsid w:val="003501CE"/>
    <w:rsid w:val="00351FA1"/>
    <w:rsid w:val="003552C2"/>
    <w:rsid w:val="00361E3B"/>
    <w:rsid w:val="003625A3"/>
    <w:rsid w:val="00371F74"/>
    <w:rsid w:val="00380443"/>
    <w:rsid w:val="00381DDC"/>
    <w:rsid w:val="00386663"/>
    <w:rsid w:val="003873CB"/>
    <w:rsid w:val="00393081"/>
    <w:rsid w:val="003B2F1C"/>
    <w:rsid w:val="003B3DA4"/>
    <w:rsid w:val="003B423C"/>
    <w:rsid w:val="003B59D5"/>
    <w:rsid w:val="003C37BF"/>
    <w:rsid w:val="003C5117"/>
    <w:rsid w:val="003C7111"/>
    <w:rsid w:val="003C7D90"/>
    <w:rsid w:val="003D2F23"/>
    <w:rsid w:val="003D5F22"/>
    <w:rsid w:val="003D6890"/>
    <w:rsid w:val="003E4589"/>
    <w:rsid w:val="003F19D1"/>
    <w:rsid w:val="003F3B34"/>
    <w:rsid w:val="00400713"/>
    <w:rsid w:val="0040146E"/>
    <w:rsid w:val="00404833"/>
    <w:rsid w:val="00414F05"/>
    <w:rsid w:val="00415C5B"/>
    <w:rsid w:val="00415E35"/>
    <w:rsid w:val="00416335"/>
    <w:rsid w:val="0042106E"/>
    <w:rsid w:val="004216B8"/>
    <w:rsid w:val="00421BA6"/>
    <w:rsid w:val="0043008E"/>
    <w:rsid w:val="0043663C"/>
    <w:rsid w:val="004468AE"/>
    <w:rsid w:val="00455D40"/>
    <w:rsid w:val="00457698"/>
    <w:rsid w:val="0046104D"/>
    <w:rsid w:val="004610A5"/>
    <w:rsid w:val="00462B7A"/>
    <w:rsid w:val="00472266"/>
    <w:rsid w:val="00473A17"/>
    <w:rsid w:val="00474523"/>
    <w:rsid w:val="0047697B"/>
    <w:rsid w:val="00480147"/>
    <w:rsid w:val="00486953"/>
    <w:rsid w:val="0049067B"/>
    <w:rsid w:val="00490E7A"/>
    <w:rsid w:val="004A5B39"/>
    <w:rsid w:val="004B1DB5"/>
    <w:rsid w:val="004C19B7"/>
    <w:rsid w:val="004E13F5"/>
    <w:rsid w:val="004E4136"/>
    <w:rsid w:val="004E43A2"/>
    <w:rsid w:val="004F6ED4"/>
    <w:rsid w:val="00512BD8"/>
    <w:rsid w:val="00513F4A"/>
    <w:rsid w:val="00514F2A"/>
    <w:rsid w:val="00521B79"/>
    <w:rsid w:val="00522340"/>
    <w:rsid w:val="00525887"/>
    <w:rsid w:val="00525D17"/>
    <w:rsid w:val="00526F51"/>
    <w:rsid w:val="00531FEC"/>
    <w:rsid w:val="0054616C"/>
    <w:rsid w:val="005461E1"/>
    <w:rsid w:val="0054666B"/>
    <w:rsid w:val="00547522"/>
    <w:rsid w:val="00550856"/>
    <w:rsid w:val="005530BD"/>
    <w:rsid w:val="0055457F"/>
    <w:rsid w:val="005608B3"/>
    <w:rsid w:val="005643C7"/>
    <w:rsid w:val="005658BD"/>
    <w:rsid w:val="005673D3"/>
    <w:rsid w:val="00571218"/>
    <w:rsid w:val="00573EB4"/>
    <w:rsid w:val="00585502"/>
    <w:rsid w:val="00592A53"/>
    <w:rsid w:val="00594F7C"/>
    <w:rsid w:val="005A20D4"/>
    <w:rsid w:val="005A2A86"/>
    <w:rsid w:val="005A38C8"/>
    <w:rsid w:val="005A3F7A"/>
    <w:rsid w:val="005A5973"/>
    <w:rsid w:val="005A6C1F"/>
    <w:rsid w:val="005B069E"/>
    <w:rsid w:val="005B0E59"/>
    <w:rsid w:val="005B7CCA"/>
    <w:rsid w:val="005C12F0"/>
    <w:rsid w:val="005C4548"/>
    <w:rsid w:val="005D5722"/>
    <w:rsid w:val="005E07D2"/>
    <w:rsid w:val="005E78FA"/>
    <w:rsid w:val="005F0CBF"/>
    <w:rsid w:val="005F2E81"/>
    <w:rsid w:val="005F4935"/>
    <w:rsid w:val="005F54CC"/>
    <w:rsid w:val="00602004"/>
    <w:rsid w:val="00606973"/>
    <w:rsid w:val="006069B2"/>
    <w:rsid w:val="00617537"/>
    <w:rsid w:val="00621CBB"/>
    <w:rsid w:val="00622B40"/>
    <w:rsid w:val="00624563"/>
    <w:rsid w:val="00644B60"/>
    <w:rsid w:val="00647634"/>
    <w:rsid w:val="00656782"/>
    <w:rsid w:val="0066134D"/>
    <w:rsid w:val="006619CB"/>
    <w:rsid w:val="00663913"/>
    <w:rsid w:val="006763BA"/>
    <w:rsid w:val="006808E1"/>
    <w:rsid w:val="006823BB"/>
    <w:rsid w:val="00684EB9"/>
    <w:rsid w:val="00690DEA"/>
    <w:rsid w:val="00693D26"/>
    <w:rsid w:val="00693EA1"/>
    <w:rsid w:val="00694060"/>
    <w:rsid w:val="006951E7"/>
    <w:rsid w:val="00695878"/>
    <w:rsid w:val="006A14EB"/>
    <w:rsid w:val="006A39FB"/>
    <w:rsid w:val="006A5A77"/>
    <w:rsid w:val="006B301C"/>
    <w:rsid w:val="006B5490"/>
    <w:rsid w:val="006B577F"/>
    <w:rsid w:val="006B7DE5"/>
    <w:rsid w:val="006C1552"/>
    <w:rsid w:val="006D0AC0"/>
    <w:rsid w:val="006E11C1"/>
    <w:rsid w:val="006E29A6"/>
    <w:rsid w:val="006E399D"/>
    <w:rsid w:val="006F0BE9"/>
    <w:rsid w:val="006F2E02"/>
    <w:rsid w:val="006F54CA"/>
    <w:rsid w:val="00703F6B"/>
    <w:rsid w:val="00707F47"/>
    <w:rsid w:val="00711A00"/>
    <w:rsid w:val="00716565"/>
    <w:rsid w:val="00721842"/>
    <w:rsid w:val="00726754"/>
    <w:rsid w:val="007319B0"/>
    <w:rsid w:val="007425E7"/>
    <w:rsid w:val="00744423"/>
    <w:rsid w:val="007516EF"/>
    <w:rsid w:val="00753655"/>
    <w:rsid w:val="0075704C"/>
    <w:rsid w:val="007602AF"/>
    <w:rsid w:val="00760953"/>
    <w:rsid w:val="00760BB3"/>
    <w:rsid w:val="00762A13"/>
    <w:rsid w:val="00763BDD"/>
    <w:rsid w:val="00764EAA"/>
    <w:rsid w:val="0076554C"/>
    <w:rsid w:val="0076683F"/>
    <w:rsid w:val="00772239"/>
    <w:rsid w:val="00775F2D"/>
    <w:rsid w:val="00781602"/>
    <w:rsid w:val="007852BA"/>
    <w:rsid w:val="00786980"/>
    <w:rsid w:val="0078755F"/>
    <w:rsid w:val="007924D0"/>
    <w:rsid w:val="007A0484"/>
    <w:rsid w:val="007A37A0"/>
    <w:rsid w:val="007A3C22"/>
    <w:rsid w:val="007A58EB"/>
    <w:rsid w:val="007B0595"/>
    <w:rsid w:val="007B0C15"/>
    <w:rsid w:val="007B5A03"/>
    <w:rsid w:val="007C53D9"/>
    <w:rsid w:val="007D602A"/>
    <w:rsid w:val="007D6F0C"/>
    <w:rsid w:val="007E2640"/>
    <w:rsid w:val="007E6F80"/>
    <w:rsid w:val="007E787A"/>
    <w:rsid w:val="007F0705"/>
    <w:rsid w:val="00801E57"/>
    <w:rsid w:val="00810BA4"/>
    <w:rsid w:val="00813502"/>
    <w:rsid w:val="00821370"/>
    <w:rsid w:val="008214F0"/>
    <w:rsid w:val="0082249C"/>
    <w:rsid w:val="008352D5"/>
    <w:rsid w:val="00835A4A"/>
    <w:rsid w:val="008440CC"/>
    <w:rsid w:val="00845E77"/>
    <w:rsid w:val="008476BD"/>
    <w:rsid w:val="00851C07"/>
    <w:rsid w:val="008560D3"/>
    <w:rsid w:val="00856F8E"/>
    <w:rsid w:val="008571D2"/>
    <w:rsid w:val="00857B49"/>
    <w:rsid w:val="0087236B"/>
    <w:rsid w:val="00875734"/>
    <w:rsid w:val="00877B60"/>
    <w:rsid w:val="00883BDE"/>
    <w:rsid w:val="0088609B"/>
    <w:rsid w:val="00887866"/>
    <w:rsid w:val="00890007"/>
    <w:rsid w:val="00890137"/>
    <w:rsid w:val="0089190F"/>
    <w:rsid w:val="008970BB"/>
    <w:rsid w:val="008A4D5C"/>
    <w:rsid w:val="008A553D"/>
    <w:rsid w:val="008A7E2E"/>
    <w:rsid w:val="008B2D83"/>
    <w:rsid w:val="008B5D54"/>
    <w:rsid w:val="008C13BE"/>
    <w:rsid w:val="008C1A1B"/>
    <w:rsid w:val="008C3EE0"/>
    <w:rsid w:val="008C5086"/>
    <w:rsid w:val="008D1C90"/>
    <w:rsid w:val="008E0F80"/>
    <w:rsid w:val="008E7B8D"/>
    <w:rsid w:val="008F1C75"/>
    <w:rsid w:val="009030E0"/>
    <w:rsid w:val="00904EA1"/>
    <w:rsid w:val="0091000A"/>
    <w:rsid w:val="009176EC"/>
    <w:rsid w:val="00917A7C"/>
    <w:rsid w:val="00917C58"/>
    <w:rsid w:val="00921189"/>
    <w:rsid w:val="009230CA"/>
    <w:rsid w:val="0092417F"/>
    <w:rsid w:val="00927C94"/>
    <w:rsid w:val="00934451"/>
    <w:rsid w:val="0093539B"/>
    <w:rsid w:val="00936919"/>
    <w:rsid w:val="009423E6"/>
    <w:rsid w:val="009428FA"/>
    <w:rsid w:val="00942DA8"/>
    <w:rsid w:val="00947E24"/>
    <w:rsid w:val="00952311"/>
    <w:rsid w:val="0096332B"/>
    <w:rsid w:val="00963FB4"/>
    <w:rsid w:val="00964D90"/>
    <w:rsid w:val="0096657B"/>
    <w:rsid w:val="00967859"/>
    <w:rsid w:val="009701CD"/>
    <w:rsid w:val="00973F5D"/>
    <w:rsid w:val="00975DBE"/>
    <w:rsid w:val="009807EF"/>
    <w:rsid w:val="00983939"/>
    <w:rsid w:val="00995683"/>
    <w:rsid w:val="00995E39"/>
    <w:rsid w:val="009A0A89"/>
    <w:rsid w:val="009A205F"/>
    <w:rsid w:val="009A2436"/>
    <w:rsid w:val="009A327F"/>
    <w:rsid w:val="009B0006"/>
    <w:rsid w:val="009B1E5C"/>
    <w:rsid w:val="009B2C2C"/>
    <w:rsid w:val="009B2C6C"/>
    <w:rsid w:val="009B3096"/>
    <w:rsid w:val="009B310D"/>
    <w:rsid w:val="009C1EAB"/>
    <w:rsid w:val="009C6A6D"/>
    <w:rsid w:val="009C73F9"/>
    <w:rsid w:val="009D2758"/>
    <w:rsid w:val="009D3B83"/>
    <w:rsid w:val="009D5547"/>
    <w:rsid w:val="009D5FCD"/>
    <w:rsid w:val="009D6598"/>
    <w:rsid w:val="009E0CC8"/>
    <w:rsid w:val="009E3DAC"/>
    <w:rsid w:val="009F2C0A"/>
    <w:rsid w:val="009F4AC3"/>
    <w:rsid w:val="009F73C2"/>
    <w:rsid w:val="00A008DD"/>
    <w:rsid w:val="00A0224A"/>
    <w:rsid w:val="00A10B71"/>
    <w:rsid w:val="00A11746"/>
    <w:rsid w:val="00A156D5"/>
    <w:rsid w:val="00A15BB1"/>
    <w:rsid w:val="00A20F01"/>
    <w:rsid w:val="00A23094"/>
    <w:rsid w:val="00A268BF"/>
    <w:rsid w:val="00A30795"/>
    <w:rsid w:val="00A32389"/>
    <w:rsid w:val="00A361C1"/>
    <w:rsid w:val="00A51793"/>
    <w:rsid w:val="00A51836"/>
    <w:rsid w:val="00A520B5"/>
    <w:rsid w:val="00A5615A"/>
    <w:rsid w:val="00A60481"/>
    <w:rsid w:val="00A64634"/>
    <w:rsid w:val="00A673C5"/>
    <w:rsid w:val="00A73A3B"/>
    <w:rsid w:val="00A75380"/>
    <w:rsid w:val="00A85CDD"/>
    <w:rsid w:val="00A918C7"/>
    <w:rsid w:val="00AA11EC"/>
    <w:rsid w:val="00AA46DD"/>
    <w:rsid w:val="00AA5C8F"/>
    <w:rsid w:val="00AA64D7"/>
    <w:rsid w:val="00AA69B2"/>
    <w:rsid w:val="00AB1974"/>
    <w:rsid w:val="00AB4BCD"/>
    <w:rsid w:val="00AC1298"/>
    <w:rsid w:val="00AC2310"/>
    <w:rsid w:val="00AC7D8B"/>
    <w:rsid w:val="00AD5C56"/>
    <w:rsid w:val="00AD5F96"/>
    <w:rsid w:val="00AE00CD"/>
    <w:rsid w:val="00AE2251"/>
    <w:rsid w:val="00AE24D6"/>
    <w:rsid w:val="00AE42BA"/>
    <w:rsid w:val="00AE6AB9"/>
    <w:rsid w:val="00AE6C22"/>
    <w:rsid w:val="00AF41AF"/>
    <w:rsid w:val="00AF6902"/>
    <w:rsid w:val="00B00B76"/>
    <w:rsid w:val="00B00E50"/>
    <w:rsid w:val="00B07C30"/>
    <w:rsid w:val="00B223B6"/>
    <w:rsid w:val="00B25283"/>
    <w:rsid w:val="00B27F84"/>
    <w:rsid w:val="00B317F9"/>
    <w:rsid w:val="00B330F5"/>
    <w:rsid w:val="00B3697F"/>
    <w:rsid w:val="00B470A8"/>
    <w:rsid w:val="00B538F6"/>
    <w:rsid w:val="00B56566"/>
    <w:rsid w:val="00B57BCD"/>
    <w:rsid w:val="00B57DE8"/>
    <w:rsid w:val="00B664A5"/>
    <w:rsid w:val="00B67DD8"/>
    <w:rsid w:val="00B71567"/>
    <w:rsid w:val="00B718D9"/>
    <w:rsid w:val="00B71EE3"/>
    <w:rsid w:val="00B74AC8"/>
    <w:rsid w:val="00B82A88"/>
    <w:rsid w:val="00B83497"/>
    <w:rsid w:val="00B85BF8"/>
    <w:rsid w:val="00B94810"/>
    <w:rsid w:val="00B95C17"/>
    <w:rsid w:val="00BA5A9A"/>
    <w:rsid w:val="00BB1CEF"/>
    <w:rsid w:val="00BB42D3"/>
    <w:rsid w:val="00BB67E5"/>
    <w:rsid w:val="00BD1737"/>
    <w:rsid w:val="00BD5BC7"/>
    <w:rsid w:val="00BE0872"/>
    <w:rsid w:val="00BE694C"/>
    <w:rsid w:val="00BF69F0"/>
    <w:rsid w:val="00C05D01"/>
    <w:rsid w:val="00C11738"/>
    <w:rsid w:val="00C15C3B"/>
    <w:rsid w:val="00C16F3D"/>
    <w:rsid w:val="00C212C6"/>
    <w:rsid w:val="00C22861"/>
    <w:rsid w:val="00C22E0B"/>
    <w:rsid w:val="00C26B6D"/>
    <w:rsid w:val="00C303CC"/>
    <w:rsid w:val="00C40149"/>
    <w:rsid w:val="00C422F3"/>
    <w:rsid w:val="00C44C9E"/>
    <w:rsid w:val="00C44E01"/>
    <w:rsid w:val="00C50221"/>
    <w:rsid w:val="00C55D19"/>
    <w:rsid w:val="00C561A8"/>
    <w:rsid w:val="00C60D32"/>
    <w:rsid w:val="00C64DC6"/>
    <w:rsid w:val="00C6521D"/>
    <w:rsid w:val="00C66750"/>
    <w:rsid w:val="00C71015"/>
    <w:rsid w:val="00C766AA"/>
    <w:rsid w:val="00CA57C1"/>
    <w:rsid w:val="00CB1F02"/>
    <w:rsid w:val="00CC394D"/>
    <w:rsid w:val="00CD5A5B"/>
    <w:rsid w:val="00CE4177"/>
    <w:rsid w:val="00CE6629"/>
    <w:rsid w:val="00CF6414"/>
    <w:rsid w:val="00D15595"/>
    <w:rsid w:val="00D16223"/>
    <w:rsid w:val="00D23100"/>
    <w:rsid w:val="00D25C3A"/>
    <w:rsid w:val="00D31E35"/>
    <w:rsid w:val="00D3403A"/>
    <w:rsid w:val="00D34747"/>
    <w:rsid w:val="00D370FC"/>
    <w:rsid w:val="00D3761F"/>
    <w:rsid w:val="00D439B4"/>
    <w:rsid w:val="00D64428"/>
    <w:rsid w:val="00D67341"/>
    <w:rsid w:val="00D758C0"/>
    <w:rsid w:val="00D8134D"/>
    <w:rsid w:val="00D82AE1"/>
    <w:rsid w:val="00D83927"/>
    <w:rsid w:val="00D84A92"/>
    <w:rsid w:val="00D9206E"/>
    <w:rsid w:val="00D94504"/>
    <w:rsid w:val="00DA1741"/>
    <w:rsid w:val="00DA4779"/>
    <w:rsid w:val="00DA497F"/>
    <w:rsid w:val="00DB6116"/>
    <w:rsid w:val="00DC26C8"/>
    <w:rsid w:val="00DC56FA"/>
    <w:rsid w:val="00DD23B8"/>
    <w:rsid w:val="00DD2F06"/>
    <w:rsid w:val="00DD51D3"/>
    <w:rsid w:val="00DE1099"/>
    <w:rsid w:val="00DE111B"/>
    <w:rsid w:val="00DE3CE2"/>
    <w:rsid w:val="00DE4FCB"/>
    <w:rsid w:val="00DE6D9F"/>
    <w:rsid w:val="00DF159B"/>
    <w:rsid w:val="00DF30F1"/>
    <w:rsid w:val="00E0270D"/>
    <w:rsid w:val="00E06FF4"/>
    <w:rsid w:val="00E12DB3"/>
    <w:rsid w:val="00E1752C"/>
    <w:rsid w:val="00E207D7"/>
    <w:rsid w:val="00E21EA8"/>
    <w:rsid w:val="00E22257"/>
    <w:rsid w:val="00E23321"/>
    <w:rsid w:val="00E23B55"/>
    <w:rsid w:val="00E2621E"/>
    <w:rsid w:val="00E26E65"/>
    <w:rsid w:val="00E3238E"/>
    <w:rsid w:val="00E3751A"/>
    <w:rsid w:val="00E4232F"/>
    <w:rsid w:val="00E43110"/>
    <w:rsid w:val="00E439B9"/>
    <w:rsid w:val="00E47B40"/>
    <w:rsid w:val="00E50FCC"/>
    <w:rsid w:val="00E510E3"/>
    <w:rsid w:val="00E51244"/>
    <w:rsid w:val="00E542B9"/>
    <w:rsid w:val="00E54E8F"/>
    <w:rsid w:val="00E6359F"/>
    <w:rsid w:val="00E77928"/>
    <w:rsid w:val="00E82392"/>
    <w:rsid w:val="00E836D0"/>
    <w:rsid w:val="00E86209"/>
    <w:rsid w:val="00E864C1"/>
    <w:rsid w:val="00E92C07"/>
    <w:rsid w:val="00E95466"/>
    <w:rsid w:val="00EA1634"/>
    <w:rsid w:val="00EA1ADF"/>
    <w:rsid w:val="00EA3484"/>
    <w:rsid w:val="00EA367E"/>
    <w:rsid w:val="00EA5271"/>
    <w:rsid w:val="00EB0DDB"/>
    <w:rsid w:val="00EB52AD"/>
    <w:rsid w:val="00EB695F"/>
    <w:rsid w:val="00EB7878"/>
    <w:rsid w:val="00EC0A8D"/>
    <w:rsid w:val="00ED231F"/>
    <w:rsid w:val="00ED4E1B"/>
    <w:rsid w:val="00ED6CE3"/>
    <w:rsid w:val="00EE109F"/>
    <w:rsid w:val="00EE15B1"/>
    <w:rsid w:val="00EF0530"/>
    <w:rsid w:val="00EF7493"/>
    <w:rsid w:val="00EF751B"/>
    <w:rsid w:val="00F10A14"/>
    <w:rsid w:val="00F10F27"/>
    <w:rsid w:val="00F13D33"/>
    <w:rsid w:val="00F22D5F"/>
    <w:rsid w:val="00F22E3E"/>
    <w:rsid w:val="00F231DA"/>
    <w:rsid w:val="00F2676E"/>
    <w:rsid w:val="00F35F3D"/>
    <w:rsid w:val="00F444B7"/>
    <w:rsid w:val="00F4508C"/>
    <w:rsid w:val="00F5389C"/>
    <w:rsid w:val="00F541AB"/>
    <w:rsid w:val="00F64802"/>
    <w:rsid w:val="00F90259"/>
    <w:rsid w:val="00F90D70"/>
    <w:rsid w:val="00F9361A"/>
    <w:rsid w:val="00F93BB7"/>
    <w:rsid w:val="00FA0156"/>
    <w:rsid w:val="00FA0253"/>
    <w:rsid w:val="00FA1CA1"/>
    <w:rsid w:val="00FA1E52"/>
    <w:rsid w:val="00FA5F79"/>
    <w:rsid w:val="00FA6AE9"/>
    <w:rsid w:val="00FA7D0C"/>
    <w:rsid w:val="00FB1AD2"/>
    <w:rsid w:val="00FB57EA"/>
    <w:rsid w:val="00FD4022"/>
    <w:rsid w:val="00FD6F7D"/>
    <w:rsid w:val="00FE593A"/>
    <w:rsid w:val="00FE7A86"/>
    <w:rsid w:val="00FF1E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uiPriority w:val="99"/>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customStyle="1" w:styleId="TRNormal">
    <w:name w:val="_TRNormal"/>
    <w:rsid w:val="00225901"/>
    <w:pPr>
      <w:spacing w:line="300" w:lineRule="atLeast"/>
      <w:jc w:val="both"/>
    </w:pPr>
    <w:rPr>
      <w:sz w:val="24"/>
      <w:lang w:eastAsia="en-AU"/>
    </w:rPr>
  </w:style>
  <w:style w:type="paragraph" w:styleId="FootnoteText">
    <w:name w:val="footnote text"/>
    <w:basedOn w:val="Normal"/>
    <w:link w:val="FootnoteTextChar"/>
    <w:semiHidden/>
    <w:rsid w:val="00F35F3D"/>
    <w:pPr>
      <w:jc w:val="both"/>
    </w:pPr>
    <w:rPr>
      <w:sz w:val="16"/>
      <w:lang w:eastAsia="en-AU"/>
    </w:rPr>
  </w:style>
  <w:style w:type="character" w:customStyle="1" w:styleId="FootnoteTextChar">
    <w:name w:val="Footnote Text Char"/>
    <w:basedOn w:val="DefaultParagraphFont"/>
    <w:link w:val="FootnoteText"/>
    <w:semiHidden/>
    <w:rsid w:val="00F35F3D"/>
    <w:rPr>
      <w:sz w:val="16"/>
      <w:lang w:eastAsia="en-AU"/>
    </w:rPr>
  </w:style>
  <w:style w:type="character" w:styleId="FootnoteReference">
    <w:name w:val="footnote reference"/>
    <w:basedOn w:val="DefaultParagraphFont"/>
    <w:uiPriority w:val="99"/>
    <w:semiHidden/>
    <w:unhideWhenUsed/>
    <w:rsid w:val="00F35F3D"/>
    <w:rPr>
      <w:vertAlign w:val="superscript"/>
    </w:rPr>
  </w:style>
  <w:style w:type="paragraph" w:customStyle="1" w:styleId="TRBodyTextChar">
    <w:name w:val="_TRBody Text Char"/>
    <w:link w:val="TRBodyTextCharChar"/>
    <w:rsid w:val="00287E88"/>
    <w:pPr>
      <w:spacing w:line="300" w:lineRule="atLeast"/>
      <w:jc w:val="both"/>
    </w:pPr>
    <w:rPr>
      <w:sz w:val="24"/>
      <w:lang w:eastAsia="en-AU"/>
    </w:rPr>
  </w:style>
  <w:style w:type="character" w:customStyle="1" w:styleId="TRBodyTextCharChar">
    <w:name w:val="_TRBody Text Char Char"/>
    <w:basedOn w:val="DefaultParagraphFont"/>
    <w:link w:val="TRBodyTextChar"/>
    <w:rsid w:val="00287E88"/>
    <w:rPr>
      <w:sz w:val="24"/>
      <w:lang w:eastAsia="en-AU"/>
    </w:rPr>
  </w:style>
  <w:style w:type="paragraph" w:customStyle="1" w:styleId="TRHeading1">
    <w:name w:val="_TRHeading 1"/>
    <w:next w:val="TRNormal"/>
    <w:rsid w:val="00D94504"/>
    <w:pPr>
      <w:keepNext/>
      <w:widowControl w:val="0"/>
      <w:pBdr>
        <w:bottom w:val="single" w:sz="4" w:space="1" w:color="auto"/>
      </w:pBdr>
      <w:spacing w:before="720" w:after="360"/>
    </w:pPr>
    <w:rPr>
      <w:b/>
      <w:sz w:val="28"/>
      <w:lang w:eastAsia="en-AU"/>
    </w:rPr>
  </w:style>
  <w:style w:type="character" w:styleId="CommentReference">
    <w:name w:val="annotation reference"/>
    <w:basedOn w:val="DefaultParagraphFont"/>
    <w:uiPriority w:val="99"/>
    <w:semiHidden/>
    <w:unhideWhenUsed/>
    <w:rsid w:val="00FE593A"/>
    <w:rPr>
      <w:sz w:val="16"/>
      <w:szCs w:val="16"/>
    </w:rPr>
  </w:style>
  <w:style w:type="paragraph" w:styleId="CommentText">
    <w:name w:val="annotation text"/>
    <w:basedOn w:val="Normal"/>
    <w:link w:val="CommentTextChar"/>
    <w:uiPriority w:val="99"/>
    <w:semiHidden/>
    <w:unhideWhenUsed/>
    <w:rsid w:val="00FE593A"/>
    <w:rPr>
      <w:sz w:val="20"/>
    </w:rPr>
  </w:style>
  <w:style w:type="character" w:customStyle="1" w:styleId="CommentTextChar">
    <w:name w:val="Comment Text Char"/>
    <w:basedOn w:val="DefaultParagraphFont"/>
    <w:link w:val="CommentText"/>
    <w:uiPriority w:val="99"/>
    <w:semiHidden/>
    <w:rsid w:val="00FE593A"/>
    <w:rPr>
      <w:lang w:eastAsia="en-US"/>
    </w:rPr>
  </w:style>
  <w:style w:type="paragraph" w:styleId="CommentSubject">
    <w:name w:val="annotation subject"/>
    <w:basedOn w:val="CommentText"/>
    <w:next w:val="CommentText"/>
    <w:link w:val="CommentSubjectChar"/>
    <w:uiPriority w:val="99"/>
    <w:semiHidden/>
    <w:unhideWhenUsed/>
    <w:rsid w:val="00FE593A"/>
    <w:rPr>
      <w:b/>
      <w:bCs/>
    </w:rPr>
  </w:style>
  <w:style w:type="character" w:customStyle="1" w:styleId="CommentSubjectChar">
    <w:name w:val="Comment Subject Char"/>
    <w:basedOn w:val="CommentTextChar"/>
    <w:link w:val="CommentSubject"/>
    <w:uiPriority w:val="99"/>
    <w:semiHidden/>
    <w:rsid w:val="00FE593A"/>
    <w:rPr>
      <w:b/>
      <w:bCs/>
      <w:lang w:eastAsia="en-US"/>
    </w:rPr>
  </w:style>
  <w:style w:type="paragraph" w:styleId="Revision">
    <w:name w:val="Revision"/>
    <w:hidden/>
    <w:uiPriority w:val="99"/>
    <w:semiHidden/>
    <w:rsid w:val="00FE593A"/>
    <w:rPr>
      <w:sz w:val="24"/>
      <w:lang w:eastAsia="en-US"/>
    </w:rPr>
  </w:style>
  <w:style w:type="paragraph" w:styleId="BalloonText">
    <w:name w:val="Balloon Text"/>
    <w:basedOn w:val="Normal"/>
    <w:link w:val="BalloonTextChar"/>
    <w:uiPriority w:val="99"/>
    <w:semiHidden/>
    <w:unhideWhenUsed/>
    <w:rsid w:val="00FE593A"/>
    <w:rPr>
      <w:rFonts w:ascii="Tahoma" w:hAnsi="Tahoma" w:cs="Tahoma"/>
      <w:sz w:val="16"/>
      <w:szCs w:val="16"/>
    </w:rPr>
  </w:style>
  <w:style w:type="character" w:customStyle="1" w:styleId="BalloonTextChar">
    <w:name w:val="Balloon Text Char"/>
    <w:basedOn w:val="DefaultParagraphFont"/>
    <w:link w:val="BalloonText"/>
    <w:uiPriority w:val="99"/>
    <w:semiHidden/>
    <w:rsid w:val="00FE593A"/>
    <w:rPr>
      <w:rFonts w:ascii="Tahoma" w:hAnsi="Tahoma" w:cs="Tahoma"/>
      <w:sz w:val="16"/>
      <w:szCs w:val="16"/>
      <w:lang w:eastAsia="en-US"/>
    </w:rPr>
  </w:style>
  <w:style w:type="paragraph" w:customStyle="1" w:styleId="TRBodyText">
    <w:name w:val="_TRBody Text"/>
    <w:rsid w:val="00C26B6D"/>
    <w:pPr>
      <w:spacing w:line="300" w:lineRule="atLeast"/>
      <w:jc w:val="both"/>
    </w:pPr>
    <w:rPr>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uiPriority w:val="99"/>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1"/>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2"/>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3"/>
      </w:numPr>
      <w:contextualSpacing/>
    </w:pPr>
  </w:style>
  <w:style w:type="paragraph" w:customStyle="1" w:styleId="Recommendation11">
    <w:name w:val="Recommendation 1.1"/>
    <w:basedOn w:val="Recommendationfirstlevel"/>
    <w:qFormat/>
    <w:rsid w:val="0016102F"/>
    <w:pPr>
      <w:numPr>
        <w:numId w:val="4"/>
      </w:numPr>
      <w:tabs>
        <w:tab w:val="clear" w:pos="567"/>
      </w:tabs>
      <w:ind w:left="1134" w:firstLine="0"/>
    </w:pPr>
  </w:style>
  <w:style w:type="paragraph" w:customStyle="1" w:styleId="Recommendationlevel21">
    <w:name w:val="Recommendation level 2.1"/>
    <w:basedOn w:val="Recommendationfirstlevel"/>
    <w:qFormat/>
    <w:rsid w:val="00415C5B"/>
    <w:pPr>
      <w:numPr>
        <w:numId w:val="5"/>
      </w:numPr>
    </w:pPr>
  </w:style>
  <w:style w:type="paragraph" w:customStyle="1" w:styleId="TRNormal">
    <w:name w:val="_TRNormal"/>
    <w:rsid w:val="00225901"/>
    <w:pPr>
      <w:spacing w:line="300" w:lineRule="atLeast"/>
      <w:jc w:val="both"/>
    </w:pPr>
    <w:rPr>
      <w:sz w:val="24"/>
      <w:lang w:eastAsia="en-AU"/>
    </w:rPr>
  </w:style>
  <w:style w:type="paragraph" w:styleId="FootnoteText">
    <w:name w:val="footnote text"/>
    <w:basedOn w:val="Normal"/>
    <w:link w:val="FootnoteTextChar"/>
    <w:semiHidden/>
    <w:rsid w:val="00F35F3D"/>
    <w:pPr>
      <w:jc w:val="both"/>
    </w:pPr>
    <w:rPr>
      <w:sz w:val="16"/>
      <w:lang w:eastAsia="en-AU"/>
    </w:rPr>
  </w:style>
  <w:style w:type="character" w:customStyle="1" w:styleId="FootnoteTextChar">
    <w:name w:val="Footnote Text Char"/>
    <w:basedOn w:val="DefaultParagraphFont"/>
    <w:link w:val="FootnoteText"/>
    <w:semiHidden/>
    <w:rsid w:val="00F35F3D"/>
    <w:rPr>
      <w:sz w:val="16"/>
      <w:lang w:eastAsia="en-AU"/>
    </w:rPr>
  </w:style>
  <w:style w:type="character" w:styleId="FootnoteReference">
    <w:name w:val="footnote reference"/>
    <w:basedOn w:val="DefaultParagraphFont"/>
    <w:uiPriority w:val="99"/>
    <w:semiHidden/>
    <w:unhideWhenUsed/>
    <w:rsid w:val="00F35F3D"/>
    <w:rPr>
      <w:vertAlign w:val="superscript"/>
    </w:rPr>
  </w:style>
  <w:style w:type="paragraph" w:customStyle="1" w:styleId="TRBodyTextChar">
    <w:name w:val="_TRBody Text Char"/>
    <w:link w:val="TRBodyTextCharChar"/>
    <w:rsid w:val="00287E88"/>
    <w:pPr>
      <w:spacing w:line="300" w:lineRule="atLeast"/>
      <w:jc w:val="both"/>
    </w:pPr>
    <w:rPr>
      <w:sz w:val="24"/>
      <w:lang w:eastAsia="en-AU"/>
    </w:rPr>
  </w:style>
  <w:style w:type="character" w:customStyle="1" w:styleId="TRBodyTextCharChar">
    <w:name w:val="_TRBody Text Char Char"/>
    <w:basedOn w:val="DefaultParagraphFont"/>
    <w:link w:val="TRBodyTextChar"/>
    <w:rsid w:val="00287E88"/>
    <w:rPr>
      <w:sz w:val="24"/>
      <w:lang w:eastAsia="en-AU"/>
    </w:rPr>
  </w:style>
  <w:style w:type="paragraph" w:customStyle="1" w:styleId="TRHeading1">
    <w:name w:val="_TRHeading 1"/>
    <w:next w:val="TRNormal"/>
    <w:rsid w:val="00D94504"/>
    <w:pPr>
      <w:keepNext/>
      <w:widowControl w:val="0"/>
      <w:pBdr>
        <w:bottom w:val="single" w:sz="4" w:space="1" w:color="auto"/>
      </w:pBdr>
      <w:spacing w:before="720" w:after="360"/>
    </w:pPr>
    <w:rPr>
      <w:b/>
      <w:sz w:val="28"/>
      <w:lang w:eastAsia="en-AU"/>
    </w:rPr>
  </w:style>
  <w:style w:type="character" w:styleId="CommentReference">
    <w:name w:val="annotation reference"/>
    <w:basedOn w:val="DefaultParagraphFont"/>
    <w:uiPriority w:val="99"/>
    <w:semiHidden/>
    <w:unhideWhenUsed/>
    <w:rsid w:val="00FE593A"/>
    <w:rPr>
      <w:sz w:val="16"/>
      <w:szCs w:val="16"/>
    </w:rPr>
  </w:style>
  <w:style w:type="paragraph" w:styleId="CommentText">
    <w:name w:val="annotation text"/>
    <w:basedOn w:val="Normal"/>
    <w:link w:val="CommentTextChar"/>
    <w:uiPriority w:val="99"/>
    <w:semiHidden/>
    <w:unhideWhenUsed/>
    <w:rsid w:val="00FE593A"/>
    <w:rPr>
      <w:sz w:val="20"/>
    </w:rPr>
  </w:style>
  <w:style w:type="character" w:customStyle="1" w:styleId="CommentTextChar">
    <w:name w:val="Comment Text Char"/>
    <w:basedOn w:val="DefaultParagraphFont"/>
    <w:link w:val="CommentText"/>
    <w:uiPriority w:val="99"/>
    <w:semiHidden/>
    <w:rsid w:val="00FE593A"/>
    <w:rPr>
      <w:lang w:eastAsia="en-US"/>
    </w:rPr>
  </w:style>
  <w:style w:type="paragraph" w:styleId="CommentSubject">
    <w:name w:val="annotation subject"/>
    <w:basedOn w:val="CommentText"/>
    <w:next w:val="CommentText"/>
    <w:link w:val="CommentSubjectChar"/>
    <w:uiPriority w:val="99"/>
    <w:semiHidden/>
    <w:unhideWhenUsed/>
    <w:rsid w:val="00FE593A"/>
    <w:rPr>
      <w:b/>
      <w:bCs/>
    </w:rPr>
  </w:style>
  <w:style w:type="character" w:customStyle="1" w:styleId="CommentSubjectChar">
    <w:name w:val="Comment Subject Char"/>
    <w:basedOn w:val="CommentTextChar"/>
    <w:link w:val="CommentSubject"/>
    <w:uiPriority w:val="99"/>
    <w:semiHidden/>
    <w:rsid w:val="00FE593A"/>
    <w:rPr>
      <w:b/>
      <w:bCs/>
      <w:lang w:eastAsia="en-US"/>
    </w:rPr>
  </w:style>
  <w:style w:type="paragraph" w:styleId="Revision">
    <w:name w:val="Revision"/>
    <w:hidden/>
    <w:uiPriority w:val="99"/>
    <w:semiHidden/>
    <w:rsid w:val="00FE593A"/>
    <w:rPr>
      <w:sz w:val="24"/>
      <w:lang w:eastAsia="en-US"/>
    </w:rPr>
  </w:style>
  <w:style w:type="paragraph" w:styleId="BalloonText">
    <w:name w:val="Balloon Text"/>
    <w:basedOn w:val="Normal"/>
    <w:link w:val="BalloonTextChar"/>
    <w:uiPriority w:val="99"/>
    <w:semiHidden/>
    <w:unhideWhenUsed/>
    <w:rsid w:val="00FE593A"/>
    <w:rPr>
      <w:rFonts w:ascii="Tahoma" w:hAnsi="Tahoma" w:cs="Tahoma"/>
      <w:sz w:val="16"/>
      <w:szCs w:val="16"/>
    </w:rPr>
  </w:style>
  <w:style w:type="character" w:customStyle="1" w:styleId="BalloonTextChar">
    <w:name w:val="Balloon Text Char"/>
    <w:basedOn w:val="DefaultParagraphFont"/>
    <w:link w:val="BalloonText"/>
    <w:uiPriority w:val="99"/>
    <w:semiHidden/>
    <w:rsid w:val="00FE593A"/>
    <w:rPr>
      <w:rFonts w:ascii="Tahoma" w:hAnsi="Tahoma" w:cs="Tahoma"/>
      <w:sz w:val="16"/>
      <w:szCs w:val="16"/>
      <w:lang w:eastAsia="en-US"/>
    </w:rPr>
  </w:style>
  <w:style w:type="paragraph" w:customStyle="1" w:styleId="TRBodyText">
    <w:name w:val="_TRBody Text"/>
    <w:rsid w:val="00C26B6D"/>
    <w:pPr>
      <w:spacing w:line="300" w:lineRule="atLeast"/>
      <w:jc w:val="both"/>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835">
      <w:bodyDiv w:val="1"/>
      <w:marLeft w:val="0"/>
      <w:marRight w:val="0"/>
      <w:marTop w:val="0"/>
      <w:marBottom w:val="0"/>
      <w:divBdr>
        <w:top w:val="none" w:sz="0" w:space="0" w:color="auto"/>
        <w:left w:val="none" w:sz="0" w:space="0" w:color="auto"/>
        <w:bottom w:val="none" w:sz="0" w:space="0" w:color="auto"/>
        <w:right w:val="none" w:sz="0" w:space="0" w:color="auto"/>
      </w:divBdr>
    </w:div>
    <w:div w:id="33581778">
      <w:bodyDiv w:val="1"/>
      <w:marLeft w:val="0"/>
      <w:marRight w:val="0"/>
      <w:marTop w:val="0"/>
      <w:marBottom w:val="0"/>
      <w:divBdr>
        <w:top w:val="none" w:sz="0" w:space="0" w:color="auto"/>
        <w:left w:val="none" w:sz="0" w:space="0" w:color="auto"/>
        <w:bottom w:val="none" w:sz="0" w:space="0" w:color="auto"/>
        <w:right w:val="none" w:sz="0" w:space="0" w:color="auto"/>
      </w:divBdr>
    </w:div>
    <w:div w:id="393628427">
      <w:bodyDiv w:val="1"/>
      <w:marLeft w:val="0"/>
      <w:marRight w:val="0"/>
      <w:marTop w:val="0"/>
      <w:marBottom w:val="0"/>
      <w:divBdr>
        <w:top w:val="none" w:sz="0" w:space="0" w:color="auto"/>
        <w:left w:val="none" w:sz="0" w:space="0" w:color="auto"/>
        <w:bottom w:val="none" w:sz="0" w:space="0" w:color="auto"/>
        <w:right w:val="none" w:sz="0" w:space="0" w:color="auto"/>
      </w:divBdr>
    </w:div>
    <w:div w:id="424346238">
      <w:bodyDiv w:val="1"/>
      <w:marLeft w:val="0"/>
      <w:marRight w:val="0"/>
      <w:marTop w:val="0"/>
      <w:marBottom w:val="0"/>
      <w:divBdr>
        <w:top w:val="none" w:sz="0" w:space="0" w:color="auto"/>
        <w:left w:val="none" w:sz="0" w:space="0" w:color="auto"/>
        <w:bottom w:val="none" w:sz="0" w:space="0" w:color="auto"/>
        <w:right w:val="none" w:sz="0" w:space="0" w:color="auto"/>
      </w:divBdr>
    </w:div>
    <w:div w:id="450514637">
      <w:bodyDiv w:val="1"/>
      <w:marLeft w:val="0"/>
      <w:marRight w:val="0"/>
      <w:marTop w:val="0"/>
      <w:marBottom w:val="0"/>
      <w:divBdr>
        <w:top w:val="none" w:sz="0" w:space="0" w:color="auto"/>
        <w:left w:val="none" w:sz="0" w:space="0" w:color="auto"/>
        <w:bottom w:val="none" w:sz="0" w:space="0" w:color="auto"/>
        <w:right w:val="none" w:sz="0" w:space="0" w:color="auto"/>
      </w:divBdr>
      <w:divsChild>
        <w:div w:id="1176001276">
          <w:marLeft w:val="0"/>
          <w:marRight w:val="0"/>
          <w:marTop w:val="0"/>
          <w:marBottom w:val="0"/>
          <w:divBdr>
            <w:top w:val="none" w:sz="0" w:space="0" w:color="auto"/>
            <w:left w:val="none" w:sz="0" w:space="0" w:color="auto"/>
            <w:bottom w:val="none" w:sz="0" w:space="0" w:color="auto"/>
            <w:right w:val="none" w:sz="0" w:space="0" w:color="auto"/>
          </w:divBdr>
          <w:divsChild>
            <w:div w:id="294912669">
              <w:marLeft w:val="0"/>
              <w:marRight w:val="0"/>
              <w:marTop w:val="0"/>
              <w:marBottom w:val="0"/>
              <w:divBdr>
                <w:top w:val="none" w:sz="0" w:space="0" w:color="auto"/>
                <w:left w:val="none" w:sz="0" w:space="0" w:color="auto"/>
                <w:bottom w:val="none" w:sz="0" w:space="0" w:color="auto"/>
                <w:right w:val="none" w:sz="0" w:space="0" w:color="auto"/>
              </w:divBdr>
              <w:divsChild>
                <w:div w:id="1488862353">
                  <w:marLeft w:val="150"/>
                  <w:marRight w:val="0"/>
                  <w:marTop w:val="0"/>
                  <w:marBottom w:val="0"/>
                  <w:divBdr>
                    <w:top w:val="none" w:sz="0" w:space="0" w:color="auto"/>
                    <w:left w:val="none" w:sz="0" w:space="0" w:color="auto"/>
                    <w:bottom w:val="none" w:sz="0" w:space="0" w:color="auto"/>
                    <w:right w:val="none" w:sz="0" w:space="0" w:color="auto"/>
                  </w:divBdr>
                  <w:divsChild>
                    <w:div w:id="2060351011">
                      <w:marLeft w:val="0"/>
                      <w:marRight w:val="0"/>
                      <w:marTop w:val="0"/>
                      <w:marBottom w:val="0"/>
                      <w:divBdr>
                        <w:top w:val="none" w:sz="0" w:space="0" w:color="auto"/>
                        <w:left w:val="none" w:sz="0" w:space="0" w:color="auto"/>
                        <w:bottom w:val="none" w:sz="0" w:space="0" w:color="auto"/>
                        <w:right w:val="none" w:sz="0" w:space="0" w:color="auto"/>
                      </w:divBdr>
                      <w:divsChild>
                        <w:div w:id="15005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292534">
      <w:bodyDiv w:val="1"/>
      <w:marLeft w:val="0"/>
      <w:marRight w:val="0"/>
      <w:marTop w:val="0"/>
      <w:marBottom w:val="0"/>
      <w:divBdr>
        <w:top w:val="none" w:sz="0" w:space="0" w:color="auto"/>
        <w:left w:val="none" w:sz="0" w:space="0" w:color="auto"/>
        <w:bottom w:val="none" w:sz="0" w:space="0" w:color="auto"/>
        <w:right w:val="none" w:sz="0" w:space="0" w:color="auto"/>
      </w:divBdr>
    </w:div>
    <w:div w:id="473252493">
      <w:bodyDiv w:val="1"/>
      <w:marLeft w:val="0"/>
      <w:marRight w:val="0"/>
      <w:marTop w:val="0"/>
      <w:marBottom w:val="0"/>
      <w:divBdr>
        <w:top w:val="none" w:sz="0" w:space="0" w:color="auto"/>
        <w:left w:val="none" w:sz="0" w:space="0" w:color="auto"/>
        <w:bottom w:val="none" w:sz="0" w:space="0" w:color="auto"/>
        <w:right w:val="none" w:sz="0" w:space="0" w:color="auto"/>
      </w:divBdr>
    </w:div>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0108">
      <w:bodyDiv w:val="1"/>
      <w:marLeft w:val="0"/>
      <w:marRight w:val="0"/>
      <w:marTop w:val="0"/>
      <w:marBottom w:val="0"/>
      <w:divBdr>
        <w:top w:val="none" w:sz="0" w:space="0" w:color="auto"/>
        <w:left w:val="none" w:sz="0" w:space="0" w:color="auto"/>
        <w:bottom w:val="none" w:sz="0" w:space="0" w:color="auto"/>
        <w:right w:val="none" w:sz="0" w:space="0" w:color="auto"/>
      </w:divBdr>
    </w:div>
    <w:div w:id="1037047542">
      <w:bodyDiv w:val="1"/>
      <w:marLeft w:val="0"/>
      <w:marRight w:val="0"/>
      <w:marTop w:val="0"/>
      <w:marBottom w:val="0"/>
      <w:divBdr>
        <w:top w:val="none" w:sz="0" w:space="0" w:color="auto"/>
        <w:left w:val="none" w:sz="0" w:space="0" w:color="auto"/>
        <w:bottom w:val="none" w:sz="0" w:space="0" w:color="auto"/>
        <w:right w:val="none" w:sz="0" w:space="0" w:color="auto"/>
      </w:divBdr>
    </w:div>
    <w:div w:id="1174615576">
      <w:bodyDiv w:val="1"/>
      <w:marLeft w:val="0"/>
      <w:marRight w:val="0"/>
      <w:marTop w:val="0"/>
      <w:marBottom w:val="0"/>
      <w:divBdr>
        <w:top w:val="none" w:sz="0" w:space="0" w:color="auto"/>
        <w:left w:val="none" w:sz="0" w:space="0" w:color="auto"/>
        <w:bottom w:val="none" w:sz="0" w:space="0" w:color="auto"/>
        <w:right w:val="none" w:sz="0" w:space="0" w:color="auto"/>
      </w:divBdr>
    </w:div>
    <w:div w:id="1780174870">
      <w:bodyDiv w:val="1"/>
      <w:marLeft w:val="0"/>
      <w:marRight w:val="0"/>
      <w:marTop w:val="0"/>
      <w:marBottom w:val="0"/>
      <w:divBdr>
        <w:top w:val="none" w:sz="0" w:space="0" w:color="auto"/>
        <w:left w:val="none" w:sz="0" w:space="0" w:color="auto"/>
        <w:bottom w:val="none" w:sz="0" w:space="0" w:color="auto"/>
        <w:right w:val="none" w:sz="0" w:space="0" w:color="auto"/>
      </w:divBdr>
    </w:div>
    <w:div w:id="1899899794">
      <w:bodyDiv w:val="1"/>
      <w:marLeft w:val="0"/>
      <w:marRight w:val="0"/>
      <w:marTop w:val="0"/>
      <w:marBottom w:val="0"/>
      <w:divBdr>
        <w:top w:val="none" w:sz="0" w:space="0" w:color="auto"/>
        <w:left w:val="none" w:sz="0" w:space="0" w:color="auto"/>
        <w:bottom w:val="none" w:sz="0" w:space="0" w:color="auto"/>
        <w:right w:val="none" w:sz="0" w:space="0" w:color="auto"/>
      </w:divBdr>
      <w:divsChild>
        <w:div w:id="594823463">
          <w:marLeft w:val="0"/>
          <w:marRight w:val="0"/>
          <w:marTop w:val="0"/>
          <w:marBottom w:val="0"/>
          <w:divBdr>
            <w:top w:val="none" w:sz="0" w:space="0" w:color="auto"/>
            <w:left w:val="none" w:sz="0" w:space="0" w:color="auto"/>
            <w:bottom w:val="none" w:sz="0" w:space="0" w:color="auto"/>
            <w:right w:val="none" w:sz="0" w:space="0" w:color="auto"/>
          </w:divBdr>
          <w:divsChild>
            <w:div w:id="1772362147">
              <w:marLeft w:val="0"/>
              <w:marRight w:val="0"/>
              <w:marTop w:val="0"/>
              <w:marBottom w:val="0"/>
              <w:divBdr>
                <w:top w:val="none" w:sz="0" w:space="0" w:color="auto"/>
                <w:left w:val="none" w:sz="0" w:space="0" w:color="auto"/>
                <w:bottom w:val="none" w:sz="0" w:space="0" w:color="auto"/>
                <w:right w:val="none" w:sz="0" w:space="0" w:color="auto"/>
              </w:divBdr>
              <w:divsChild>
                <w:div w:id="1011100481">
                  <w:marLeft w:val="150"/>
                  <w:marRight w:val="0"/>
                  <w:marTop w:val="0"/>
                  <w:marBottom w:val="0"/>
                  <w:divBdr>
                    <w:top w:val="none" w:sz="0" w:space="0" w:color="auto"/>
                    <w:left w:val="none" w:sz="0" w:space="0" w:color="auto"/>
                    <w:bottom w:val="none" w:sz="0" w:space="0" w:color="auto"/>
                    <w:right w:val="none" w:sz="0" w:space="0" w:color="auto"/>
                  </w:divBdr>
                  <w:divsChild>
                    <w:div w:id="1759014921">
                      <w:marLeft w:val="0"/>
                      <w:marRight w:val="0"/>
                      <w:marTop w:val="0"/>
                      <w:marBottom w:val="0"/>
                      <w:divBdr>
                        <w:top w:val="none" w:sz="0" w:space="0" w:color="auto"/>
                        <w:left w:val="none" w:sz="0" w:space="0" w:color="auto"/>
                        <w:bottom w:val="none" w:sz="0" w:space="0" w:color="auto"/>
                        <w:right w:val="none" w:sz="0" w:space="0" w:color="auto"/>
                      </w:divBdr>
                      <w:divsChild>
                        <w:div w:id="15481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20941">
      <w:bodyDiv w:val="1"/>
      <w:marLeft w:val="0"/>
      <w:marRight w:val="0"/>
      <w:marTop w:val="0"/>
      <w:marBottom w:val="0"/>
      <w:divBdr>
        <w:top w:val="none" w:sz="0" w:space="0" w:color="auto"/>
        <w:left w:val="none" w:sz="0" w:space="0" w:color="auto"/>
        <w:bottom w:val="none" w:sz="0" w:space="0" w:color="auto"/>
        <w:right w:val="none" w:sz="0" w:space="0" w:color="auto"/>
      </w:divBdr>
    </w:div>
    <w:div w:id="21409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141E1-8156-4A2D-B41B-DD8128D6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3142</Words>
  <Characters>17143</Characters>
  <Application>Microsoft Office Word</Application>
  <DocSecurity>0</DocSecurity>
  <Lines>408</Lines>
  <Paragraphs>118</Paragraphs>
  <ScaleCrop>false</ScaleCrop>
  <Company/>
  <LinksUpToDate>false</LinksUpToDate>
  <CharactersWithSpaces>20167</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2017-08-10T01:46:00Z</dcterms:created>
  <dcterms:modified xsi:type="dcterms:W3CDTF">2017-08-10T01:46:00Z</dcterms:modified>
</cp:coreProperties>
</file>