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A0F" w:rsidRPr="00DD23B8" w:rsidRDefault="00560A0F" w:rsidP="00560A0F">
      <w:pPr>
        <w:tabs>
          <w:tab w:val="left" w:pos="567"/>
        </w:tabs>
        <w:jc w:val="right"/>
        <w:rPr>
          <w:szCs w:val="24"/>
          <w:lang w:eastAsia="en-AU"/>
        </w:rPr>
      </w:pPr>
      <w:bookmarkStart w:id="0" w:name="_GoBack"/>
      <w:bookmarkEnd w:id="0"/>
      <w:r>
        <w:rPr>
          <w:szCs w:val="24"/>
          <w:lang w:eastAsia="en-AU"/>
        </w:rPr>
        <w:t>In Confidence</w:t>
      </w:r>
    </w:p>
    <w:p w:rsidR="00560A0F" w:rsidRPr="00DD23B8" w:rsidRDefault="00560A0F" w:rsidP="00560A0F">
      <w:pPr>
        <w:tabs>
          <w:tab w:val="left" w:pos="567"/>
        </w:tabs>
        <w:jc w:val="right"/>
        <w:rPr>
          <w:b/>
          <w:szCs w:val="24"/>
          <w:lang w:eastAsia="en-AU"/>
        </w:rPr>
      </w:pPr>
    </w:p>
    <w:p w:rsidR="00560A0F" w:rsidRDefault="00560A0F" w:rsidP="00560A0F">
      <w:pPr>
        <w:tabs>
          <w:tab w:val="left" w:pos="567"/>
        </w:tabs>
        <w:jc w:val="right"/>
        <w:rPr>
          <w:szCs w:val="24"/>
          <w:lang w:eastAsia="en-AU"/>
        </w:rPr>
      </w:pPr>
      <w:r>
        <w:rPr>
          <w:szCs w:val="24"/>
          <w:lang w:eastAsia="en-AU"/>
        </w:rPr>
        <w:t>Office of the Minister of Finance</w:t>
      </w:r>
    </w:p>
    <w:p w:rsidR="00560A0F" w:rsidRPr="00DD23B8" w:rsidRDefault="00560A0F" w:rsidP="00560A0F">
      <w:pPr>
        <w:tabs>
          <w:tab w:val="left" w:pos="567"/>
        </w:tabs>
        <w:jc w:val="right"/>
        <w:rPr>
          <w:szCs w:val="24"/>
          <w:lang w:eastAsia="en-AU"/>
        </w:rPr>
      </w:pPr>
      <w:r w:rsidRPr="00DD23B8">
        <w:rPr>
          <w:szCs w:val="24"/>
          <w:lang w:eastAsia="en-AU"/>
        </w:rPr>
        <w:t xml:space="preserve">Office of the Minister of </w:t>
      </w:r>
      <w:r>
        <w:rPr>
          <w:szCs w:val="24"/>
          <w:lang w:eastAsia="en-AU"/>
        </w:rPr>
        <w:t>Revenue</w:t>
      </w:r>
    </w:p>
    <w:p w:rsidR="00560A0F" w:rsidRPr="00DD23B8" w:rsidRDefault="00560A0F" w:rsidP="00560A0F">
      <w:pPr>
        <w:tabs>
          <w:tab w:val="left" w:pos="567"/>
        </w:tabs>
        <w:rPr>
          <w:szCs w:val="24"/>
          <w:lang w:eastAsia="en-AU"/>
        </w:rPr>
      </w:pPr>
    </w:p>
    <w:p w:rsidR="00560A0F" w:rsidRPr="00DD23B8" w:rsidRDefault="00560A0F" w:rsidP="00560A0F">
      <w:pPr>
        <w:tabs>
          <w:tab w:val="left" w:pos="567"/>
        </w:tabs>
        <w:rPr>
          <w:szCs w:val="24"/>
          <w:lang w:eastAsia="en-AU"/>
        </w:rPr>
      </w:pPr>
    </w:p>
    <w:p w:rsidR="00560A0F" w:rsidRPr="00DD23B8" w:rsidRDefault="00560A0F" w:rsidP="00560A0F">
      <w:pPr>
        <w:tabs>
          <w:tab w:val="left" w:pos="567"/>
        </w:tabs>
        <w:jc w:val="right"/>
        <w:rPr>
          <w:szCs w:val="24"/>
          <w:lang w:eastAsia="en-AU"/>
        </w:rPr>
      </w:pPr>
      <w:r>
        <w:rPr>
          <w:szCs w:val="24"/>
          <w:lang w:eastAsia="en-AU"/>
        </w:rPr>
        <w:t>Economic Growth and Infrastructure Committee</w:t>
      </w:r>
    </w:p>
    <w:p w:rsidR="00560A0F" w:rsidRPr="00DD23B8" w:rsidRDefault="00560A0F" w:rsidP="00560A0F">
      <w:pPr>
        <w:tabs>
          <w:tab w:val="left" w:pos="567"/>
        </w:tabs>
        <w:rPr>
          <w:szCs w:val="24"/>
          <w:lang w:eastAsia="en-AU"/>
        </w:rPr>
      </w:pPr>
    </w:p>
    <w:p w:rsidR="00560A0F" w:rsidRPr="00DD23B8" w:rsidRDefault="00560A0F" w:rsidP="00560A0F">
      <w:pPr>
        <w:tabs>
          <w:tab w:val="left" w:pos="567"/>
        </w:tabs>
        <w:rPr>
          <w:szCs w:val="24"/>
          <w:lang w:eastAsia="en-AU"/>
        </w:rPr>
      </w:pPr>
    </w:p>
    <w:p w:rsidR="00560A0F" w:rsidRPr="00DD23B8" w:rsidRDefault="00560A0F" w:rsidP="00560A0F">
      <w:pPr>
        <w:tabs>
          <w:tab w:val="left" w:pos="567"/>
        </w:tabs>
        <w:rPr>
          <w:b/>
          <w:szCs w:val="24"/>
          <w:lang w:eastAsia="en-AU"/>
        </w:rPr>
      </w:pPr>
      <w:r>
        <w:rPr>
          <w:b/>
          <w:bCs/>
          <w:sz w:val="26"/>
          <w:szCs w:val="26"/>
          <w:lang w:eastAsia="en-AU"/>
        </w:rPr>
        <w:t xml:space="preserve">TAX MEASURES TO PREVENT BASE EROSION AND PROFIT SHIFTING </w:t>
      </w:r>
    </w:p>
    <w:p w:rsidR="007E2640" w:rsidRDefault="007E2640" w:rsidP="00094E89">
      <w:pPr>
        <w:tabs>
          <w:tab w:val="left" w:pos="567"/>
        </w:tabs>
        <w:jc w:val="both"/>
        <w:rPr>
          <w:szCs w:val="24"/>
          <w:lang w:eastAsia="en-AU"/>
        </w:rPr>
      </w:pPr>
    </w:p>
    <w:p w:rsidR="00763BDD" w:rsidRPr="00DD23B8" w:rsidRDefault="00763BDD" w:rsidP="00094E89">
      <w:pPr>
        <w:tabs>
          <w:tab w:val="left" w:pos="567"/>
        </w:tabs>
        <w:jc w:val="both"/>
        <w:rPr>
          <w:szCs w:val="24"/>
          <w:lang w:eastAsia="en-AU"/>
        </w:rPr>
      </w:pPr>
    </w:p>
    <w:p w:rsidR="007E2640" w:rsidRPr="00DD23B8" w:rsidRDefault="004F6ED4" w:rsidP="007E2640">
      <w:pPr>
        <w:tabs>
          <w:tab w:val="left" w:pos="567"/>
        </w:tabs>
        <w:rPr>
          <w:szCs w:val="24"/>
          <w:lang w:eastAsia="en-AU"/>
        </w:rPr>
      </w:pPr>
      <w:r w:rsidRPr="00DD23B8">
        <w:rPr>
          <w:b/>
          <w:bCs/>
          <w:szCs w:val="24"/>
          <w:lang w:eastAsia="en-AU"/>
        </w:rPr>
        <w:t>Proposal</w:t>
      </w:r>
    </w:p>
    <w:p w:rsidR="007E2640" w:rsidRPr="00DD23B8" w:rsidRDefault="007E2640" w:rsidP="007E2640">
      <w:pPr>
        <w:tabs>
          <w:tab w:val="left" w:pos="567"/>
        </w:tabs>
        <w:jc w:val="both"/>
        <w:rPr>
          <w:szCs w:val="24"/>
          <w:lang w:eastAsia="en-AU"/>
        </w:rPr>
      </w:pPr>
    </w:p>
    <w:p w:rsidR="00E07A11" w:rsidRDefault="00A63A66" w:rsidP="00D74265">
      <w:pPr>
        <w:pStyle w:val="Numberparagraph"/>
        <w:numPr>
          <w:ilvl w:val="0"/>
          <w:numId w:val="6"/>
        </w:numPr>
        <w:ind w:left="0" w:firstLine="0"/>
      </w:pPr>
      <w:r w:rsidRPr="00162298">
        <w:t xml:space="preserve">This </w:t>
      </w:r>
      <w:r w:rsidR="00E07A11" w:rsidRPr="00162298">
        <w:t xml:space="preserve">paper </w:t>
      </w:r>
      <w:r w:rsidR="007971AA" w:rsidRPr="00162298">
        <w:t>provides an overview of</w:t>
      </w:r>
      <w:r w:rsidR="00E07A11" w:rsidRPr="00162298">
        <w:t xml:space="preserve"> </w:t>
      </w:r>
      <w:r w:rsidR="00004752" w:rsidRPr="00162298">
        <w:t>three</w:t>
      </w:r>
      <w:r w:rsidR="00E07A11" w:rsidRPr="00162298">
        <w:t xml:space="preserve"> </w:t>
      </w:r>
      <w:r w:rsidR="007971AA" w:rsidRPr="00162298">
        <w:t>attached</w:t>
      </w:r>
      <w:r w:rsidR="00E07A11" w:rsidRPr="00162298">
        <w:t xml:space="preserve"> </w:t>
      </w:r>
      <w:r w:rsidR="0096387B" w:rsidRPr="00162298">
        <w:t>C</w:t>
      </w:r>
      <w:r w:rsidR="00E07A11" w:rsidRPr="00162298">
        <w:t xml:space="preserve">abinet papers </w:t>
      </w:r>
      <w:r w:rsidR="007971AA" w:rsidRPr="00162298">
        <w:t>seek</w:t>
      </w:r>
      <w:r w:rsidR="002A5972" w:rsidRPr="00162298">
        <w:t>ing</w:t>
      </w:r>
      <w:r w:rsidR="00E07A11" w:rsidRPr="00162298">
        <w:t xml:space="preserve"> approval for </w:t>
      </w:r>
      <w:r w:rsidR="007971AA" w:rsidRPr="00162298">
        <w:t>measures</w:t>
      </w:r>
      <w:r w:rsidR="00E07A11" w:rsidRPr="00162298">
        <w:t xml:space="preserve"> to address</w:t>
      </w:r>
      <w:r w:rsidR="00E47261" w:rsidRPr="00162298">
        <w:t xml:space="preserve"> base erosion and profit shifting</w:t>
      </w:r>
      <w:r w:rsidR="00E07A11" w:rsidRPr="00162298">
        <w:t xml:space="preserve"> </w:t>
      </w:r>
      <w:r w:rsidR="002A5972" w:rsidRPr="00162298">
        <w:t>in New Zealand</w:t>
      </w:r>
      <w:r w:rsidR="002A0C19">
        <w:t xml:space="preserve">. </w:t>
      </w:r>
      <w:r w:rsidR="007971AA" w:rsidRPr="00162298">
        <w:t xml:space="preserve">This paper </w:t>
      </w:r>
      <w:r w:rsidR="00004752" w:rsidRPr="00162298">
        <w:t xml:space="preserve">also </w:t>
      </w:r>
      <w:r w:rsidR="007971AA" w:rsidRPr="00162298">
        <w:t xml:space="preserve">summarises the background to the </w:t>
      </w:r>
      <w:r w:rsidR="0096387B" w:rsidRPr="00162298">
        <w:t xml:space="preserve">attached </w:t>
      </w:r>
      <w:r w:rsidR="007971AA" w:rsidRPr="00162298">
        <w:t>papers</w:t>
      </w:r>
      <w:r w:rsidR="001B56A9" w:rsidRPr="00162298">
        <w:t>,</w:t>
      </w:r>
      <w:r w:rsidR="007971AA" w:rsidRPr="00162298">
        <w:t xml:space="preserve"> </w:t>
      </w:r>
      <w:r w:rsidR="001B56A9" w:rsidRPr="00162298">
        <w:t xml:space="preserve">highlights the most important aspects of the proposals, and </w:t>
      </w:r>
      <w:r w:rsidR="007971AA" w:rsidRPr="00162298">
        <w:t xml:space="preserve">discusses matters common to all </w:t>
      </w:r>
      <w:r w:rsidR="00004752" w:rsidRPr="00162298">
        <w:t>three</w:t>
      </w:r>
      <w:r w:rsidR="001B56A9" w:rsidRPr="00162298">
        <w:t xml:space="preserve"> papers</w:t>
      </w:r>
      <w:r w:rsidR="007971AA" w:rsidRPr="00162298">
        <w:t xml:space="preserve"> </w:t>
      </w:r>
      <w:r w:rsidR="001B56A9" w:rsidRPr="00162298">
        <w:t>(</w:t>
      </w:r>
      <w:r w:rsidR="007971AA" w:rsidRPr="00162298">
        <w:t xml:space="preserve">including </w:t>
      </w:r>
      <w:r w:rsidR="007E43FA" w:rsidRPr="00162298">
        <w:t>application dates</w:t>
      </w:r>
      <w:r w:rsidR="007971AA" w:rsidRPr="00162298">
        <w:t xml:space="preserve">, </w:t>
      </w:r>
      <w:r w:rsidR="00564468" w:rsidRPr="00162298">
        <w:t>publicity</w:t>
      </w:r>
      <w:r w:rsidR="001B56A9" w:rsidRPr="00162298">
        <w:t>,</w:t>
      </w:r>
      <w:r w:rsidR="007971AA" w:rsidRPr="00162298">
        <w:t xml:space="preserve"> and financial </w:t>
      </w:r>
      <w:r w:rsidR="00564468" w:rsidRPr="00162298">
        <w:t>implications</w:t>
      </w:r>
      <w:r w:rsidR="001B56A9" w:rsidRPr="00162298">
        <w:t>)</w:t>
      </w:r>
      <w:r w:rsidR="0050105F" w:rsidRPr="00162298">
        <w:t xml:space="preserve">.  </w:t>
      </w:r>
      <w:r w:rsidR="00E07A11" w:rsidRPr="00162298">
        <w:t xml:space="preserve">The </w:t>
      </w:r>
      <w:r w:rsidR="002A5972" w:rsidRPr="00162298">
        <w:t>attached</w:t>
      </w:r>
      <w:r w:rsidR="00234035" w:rsidRPr="00162298">
        <w:t xml:space="preserve"> papers</w:t>
      </w:r>
      <w:r w:rsidR="00E07A11" w:rsidRPr="00162298">
        <w:t xml:space="preserve"> are:</w:t>
      </w:r>
      <w:r w:rsidR="007971AA" w:rsidRPr="00162298">
        <w:t xml:space="preserve"> </w:t>
      </w:r>
    </w:p>
    <w:p w:rsidR="00162298" w:rsidRPr="00162298" w:rsidRDefault="00162298" w:rsidP="00162298">
      <w:pPr>
        <w:pStyle w:val="Numberparagraph"/>
        <w:ind w:left="360"/>
      </w:pPr>
    </w:p>
    <w:p w:rsidR="0082086C" w:rsidRPr="00D162C2" w:rsidRDefault="0082086C" w:rsidP="0082086C">
      <w:pPr>
        <w:pStyle w:val="TRBodyText"/>
        <w:numPr>
          <w:ilvl w:val="0"/>
          <w:numId w:val="16"/>
        </w:numPr>
      </w:pPr>
      <w:r w:rsidRPr="00D162C2">
        <w:t xml:space="preserve">BEPS – </w:t>
      </w:r>
      <w:r w:rsidR="00144E6D">
        <w:t>strengthening our interest limitation rules</w:t>
      </w:r>
      <w:r w:rsidRPr="00D162C2">
        <w:t>;</w:t>
      </w:r>
      <w:r>
        <w:t xml:space="preserve"> </w:t>
      </w:r>
    </w:p>
    <w:p w:rsidR="00E07A11" w:rsidRDefault="00E07A11" w:rsidP="00E07A11">
      <w:pPr>
        <w:pStyle w:val="TRBodyText"/>
        <w:numPr>
          <w:ilvl w:val="0"/>
          <w:numId w:val="16"/>
        </w:numPr>
      </w:pPr>
      <w:r w:rsidRPr="00D162C2">
        <w:t xml:space="preserve">BEPS – transfer pricing and permanent establishment avoidance; </w:t>
      </w:r>
      <w:r w:rsidR="001A0BB0">
        <w:t>and</w:t>
      </w:r>
    </w:p>
    <w:p w:rsidR="00E07A11" w:rsidRDefault="00E07A11" w:rsidP="00E07A11">
      <w:pPr>
        <w:pStyle w:val="TRBodyText"/>
        <w:numPr>
          <w:ilvl w:val="0"/>
          <w:numId w:val="16"/>
        </w:numPr>
      </w:pPr>
      <w:r w:rsidRPr="00D162C2">
        <w:t>BEPS –</w:t>
      </w:r>
      <w:r w:rsidR="00373642">
        <w:t xml:space="preserve"> </w:t>
      </w:r>
      <w:r w:rsidRPr="00D162C2">
        <w:t>addressing hybrid mismatch arrangements</w:t>
      </w:r>
      <w:r w:rsidR="00C36073" w:rsidRPr="00D162C2">
        <w:t>.</w:t>
      </w:r>
    </w:p>
    <w:p w:rsidR="007E2640" w:rsidRDefault="007E2640" w:rsidP="007E2640">
      <w:pPr>
        <w:tabs>
          <w:tab w:val="left" w:pos="567"/>
        </w:tabs>
        <w:jc w:val="both"/>
        <w:rPr>
          <w:b/>
          <w:bCs/>
          <w:szCs w:val="24"/>
          <w:lang w:eastAsia="en-AU"/>
        </w:rPr>
      </w:pPr>
    </w:p>
    <w:p w:rsidR="00763BDD" w:rsidRPr="00DD23B8" w:rsidRDefault="00763BDD" w:rsidP="007E2640">
      <w:pPr>
        <w:tabs>
          <w:tab w:val="left" w:pos="567"/>
        </w:tabs>
        <w:jc w:val="both"/>
        <w:rPr>
          <w:szCs w:val="24"/>
          <w:lang w:eastAsia="en-AU"/>
        </w:rPr>
      </w:pPr>
    </w:p>
    <w:p w:rsidR="007E2640" w:rsidRPr="00DD23B8" w:rsidRDefault="004F6ED4" w:rsidP="007E2640">
      <w:pPr>
        <w:tabs>
          <w:tab w:val="left" w:pos="567"/>
        </w:tabs>
        <w:jc w:val="both"/>
        <w:rPr>
          <w:szCs w:val="24"/>
          <w:lang w:eastAsia="en-AU"/>
        </w:rPr>
      </w:pPr>
      <w:r w:rsidRPr="00DD23B8">
        <w:rPr>
          <w:b/>
          <w:bCs/>
          <w:szCs w:val="24"/>
          <w:lang w:eastAsia="en-AU"/>
        </w:rPr>
        <w:t>Background</w:t>
      </w:r>
    </w:p>
    <w:p w:rsidR="00D23100" w:rsidRPr="00DD23B8" w:rsidRDefault="00D23100" w:rsidP="007E2640">
      <w:pPr>
        <w:tabs>
          <w:tab w:val="left" w:pos="567"/>
        </w:tabs>
        <w:jc w:val="both"/>
        <w:rPr>
          <w:szCs w:val="24"/>
          <w:lang w:eastAsia="en-AU"/>
        </w:rPr>
      </w:pPr>
    </w:p>
    <w:p w:rsidR="002D7F4B" w:rsidRDefault="005959BE" w:rsidP="005C46BB">
      <w:pPr>
        <w:pStyle w:val="Numberparagraph"/>
        <w:numPr>
          <w:ilvl w:val="0"/>
          <w:numId w:val="6"/>
        </w:numPr>
        <w:ind w:left="0" w:firstLine="0"/>
      </w:pPr>
      <w:r w:rsidRPr="005959BE">
        <w:t xml:space="preserve">Since late 2012, there has been significant global media and political concern about evidence suggesting that some multinationals pay little or no tax anywhere in the world. </w:t>
      </w:r>
      <w:r>
        <w:t xml:space="preserve"> </w:t>
      </w:r>
      <w:r w:rsidR="002D7F4B">
        <w:t>Initially matters surfaced in the context of Parliamentary and Senate inquiries</w:t>
      </w:r>
      <w:r w:rsidR="00F82A10">
        <w:t xml:space="preserve"> in the UK, US</w:t>
      </w:r>
      <w:r w:rsidR="002D7F4B">
        <w:t xml:space="preserve"> and elsewhere into the tax avoidance strategies used by multinationals.  </w:t>
      </w:r>
      <w:r w:rsidR="00467439">
        <w:t xml:space="preserve">In 2013 </w:t>
      </w:r>
      <w:r w:rsidR="002D7F4B">
        <w:t xml:space="preserve">the issue </w:t>
      </w:r>
      <w:r w:rsidR="005064A9">
        <w:t xml:space="preserve">formed part of </w:t>
      </w:r>
      <w:r w:rsidR="002D7F4B">
        <w:t>the G20 agenda who asked the OECD to report back to it on global strategies to address countries’ concerns.</w:t>
      </w:r>
      <w:r w:rsidR="0048572A">
        <w:t xml:space="preserve">  </w:t>
      </w:r>
    </w:p>
    <w:p w:rsidR="002D7F4B" w:rsidRDefault="002D7F4B" w:rsidP="005C46BB">
      <w:pPr>
        <w:pStyle w:val="Numberparagraph"/>
      </w:pPr>
    </w:p>
    <w:p w:rsidR="006B0C6B" w:rsidRDefault="0048572A" w:rsidP="005C46BB">
      <w:pPr>
        <w:pStyle w:val="Numberparagraph"/>
        <w:numPr>
          <w:ilvl w:val="0"/>
          <w:numId w:val="6"/>
        </w:numPr>
        <w:ind w:left="0" w:firstLine="0"/>
      </w:pPr>
      <w:r>
        <w:t>The OECD report</w:t>
      </w:r>
      <w:r w:rsidR="005064A9">
        <w:t>ed back</w:t>
      </w:r>
      <w:r>
        <w:t xml:space="preserve"> to the G20 </w:t>
      </w:r>
      <w:r w:rsidR="005064A9">
        <w:t xml:space="preserve">in </w:t>
      </w:r>
      <w:r w:rsidR="00F82A10">
        <w:t>July 201</w:t>
      </w:r>
      <w:r w:rsidR="005D501D">
        <w:t>3</w:t>
      </w:r>
      <w:r w:rsidR="00F82A10">
        <w:t xml:space="preserve"> </w:t>
      </w:r>
      <w:r>
        <w:t>highlight</w:t>
      </w:r>
      <w:r w:rsidR="005064A9">
        <w:t>ing</w:t>
      </w:r>
      <w:r>
        <w:t xml:space="preserve"> the </w:t>
      </w:r>
      <w:r w:rsidR="005959BE">
        <w:t>aggressive tax practices</w:t>
      </w:r>
      <w:r>
        <w:t xml:space="preserve"> used by multinationals to</w:t>
      </w:r>
      <w:r w:rsidR="005959BE">
        <w:t xml:space="preserve"> exploit gaps and mismatches in countries’ domestic tax rules to avoid tax, </w:t>
      </w:r>
      <w:r>
        <w:t>now</w:t>
      </w:r>
      <w:r w:rsidR="005959BE">
        <w:t xml:space="preserve"> known as </w:t>
      </w:r>
      <w:r>
        <w:t>“</w:t>
      </w:r>
      <w:r w:rsidR="005959BE">
        <w:t>b</w:t>
      </w:r>
      <w:r w:rsidR="007971AA">
        <w:t>ase erosion and profit shifting</w:t>
      </w:r>
      <w:r>
        <w:t>”</w:t>
      </w:r>
      <w:r w:rsidR="007971AA">
        <w:t xml:space="preserve"> (BEPS)</w:t>
      </w:r>
      <w:r w:rsidR="0050105F">
        <w:t xml:space="preserve">.  </w:t>
      </w:r>
      <w:r w:rsidR="005064A9">
        <w:t xml:space="preserve">They found that </w:t>
      </w:r>
      <w:r w:rsidR="007971AA">
        <w:t>BEPS strategies distort investment decisions, allow multinationals to benefit from unintended competitive advantages over more compliant or domestic companies, and result in the loss of substantial corporate tax revenue</w:t>
      </w:r>
      <w:r w:rsidR="0050105F">
        <w:t xml:space="preserve">.  </w:t>
      </w:r>
      <w:r w:rsidR="007971AA">
        <w:t>More fundamentally, the perceived unfairness resulting from BEPS jeopardises citizens’ trust in the integrity of the tax system as a whole.</w:t>
      </w:r>
      <w:r>
        <w:t xml:space="preserve">  </w:t>
      </w:r>
    </w:p>
    <w:p w:rsidR="006B0C6B" w:rsidRDefault="006B0C6B" w:rsidP="005C46BB">
      <w:pPr>
        <w:pStyle w:val="Numberparagraph"/>
      </w:pPr>
    </w:p>
    <w:p w:rsidR="006B0C6B" w:rsidRDefault="0048572A" w:rsidP="005C46BB">
      <w:pPr>
        <w:pStyle w:val="Numberparagraph"/>
        <w:numPr>
          <w:ilvl w:val="0"/>
          <w:numId w:val="6"/>
        </w:numPr>
        <w:ind w:left="0" w:firstLine="0"/>
      </w:pPr>
      <w:r>
        <w:t xml:space="preserve">The end result was the adoption of a G20/OECD 15 point Action </w:t>
      </w:r>
      <w:r w:rsidR="005C1632">
        <w:t>P</w:t>
      </w:r>
      <w:r>
        <w:t xml:space="preserve">lan recommending a combination of domestic reforms, </w:t>
      </w:r>
      <w:r w:rsidR="00F82A10">
        <w:t xml:space="preserve">tax </w:t>
      </w:r>
      <w:r>
        <w:t xml:space="preserve">treaty </w:t>
      </w:r>
      <w:r w:rsidR="00F82A10">
        <w:t>changes</w:t>
      </w:r>
      <w:r>
        <w:t xml:space="preserve">, and administrative measures that would allow countries to strengthen </w:t>
      </w:r>
      <w:r w:rsidR="006B0C6B">
        <w:t xml:space="preserve">their </w:t>
      </w:r>
      <w:r>
        <w:t>laws</w:t>
      </w:r>
      <w:r w:rsidR="006B0C6B">
        <w:t xml:space="preserve"> in a consistent manner</w:t>
      </w:r>
      <w:r>
        <w:t xml:space="preserve"> and work together in combatting BEPS</w:t>
      </w:r>
      <w:r w:rsidR="006B0C6B">
        <w:t xml:space="preserve">. </w:t>
      </w:r>
      <w:r w:rsidR="00622E0D">
        <w:t>Recognising our own vulnerability to BEPS</w:t>
      </w:r>
      <w:r w:rsidR="00A562D8">
        <w:t xml:space="preserve"> and </w:t>
      </w:r>
      <w:r w:rsidR="006B0C6B">
        <w:t>the value of working cooperatively</w:t>
      </w:r>
      <w:r w:rsidR="005D501D">
        <w:t>,</w:t>
      </w:r>
      <w:r w:rsidR="006B0C6B">
        <w:t xml:space="preserve"> </w:t>
      </w:r>
      <w:r w:rsidR="00622E0D">
        <w:t xml:space="preserve">New Zealand </w:t>
      </w:r>
      <w:r w:rsidR="006B0C6B">
        <w:t>actively participated in the OECD</w:t>
      </w:r>
      <w:r w:rsidR="00622E0D">
        <w:t>/G20 project</w:t>
      </w:r>
      <w:r w:rsidR="005D501D">
        <w:t>,</w:t>
      </w:r>
      <w:r w:rsidR="00622E0D">
        <w:t xml:space="preserve"> w</w:t>
      </w:r>
      <w:r w:rsidR="006B0C6B">
        <w:t xml:space="preserve">hich </w:t>
      </w:r>
      <w:r w:rsidR="005064A9">
        <w:t xml:space="preserve">was </w:t>
      </w:r>
      <w:r w:rsidR="006B0C6B">
        <w:t xml:space="preserve">finalised </w:t>
      </w:r>
      <w:r w:rsidR="00F82A10">
        <w:t xml:space="preserve">at the end of </w:t>
      </w:r>
      <w:r w:rsidR="006B0C6B">
        <w:t>2015.</w:t>
      </w:r>
      <w:r w:rsidR="00CB5354">
        <w:t xml:space="preserve">  </w:t>
      </w:r>
    </w:p>
    <w:p w:rsidR="006B0C6B" w:rsidRDefault="006B0C6B" w:rsidP="00162298">
      <w:pPr>
        <w:pStyle w:val="Numberparagraph"/>
        <w:ind w:left="502"/>
      </w:pPr>
    </w:p>
    <w:p w:rsidR="00E0305C" w:rsidRPr="00506CA8" w:rsidRDefault="00E0305C" w:rsidP="00540354">
      <w:pPr>
        <w:pStyle w:val="Numberparagraph"/>
        <w:keepNext/>
        <w:rPr>
          <w:b/>
        </w:rPr>
      </w:pPr>
      <w:r w:rsidRPr="00506CA8">
        <w:rPr>
          <w:b/>
        </w:rPr>
        <w:lastRenderedPageBreak/>
        <w:t>New Zealand’s response to BEPS</w:t>
      </w:r>
    </w:p>
    <w:p w:rsidR="00E0305C" w:rsidRDefault="00E0305C" w:rsidP="00540354">
      <w:pPr>
        <w:pStyle w:val="Numberparagraph"/>
        <w:keepNext/>
        <w:ind w:left="502"/>
      </w:pPr>
    </w:p>
    <w:p w:rsidR="00E0305C" w:rsidRDefault="00E0305C" w:rsidP="005C46BB">
      <w:pPr>
        <w:pStyle w:val="Numberparagraph"/>
        <w:numPr>
          <w:ilvl w:val="0"/>
          <w:numId w:val="6"/>
        </w:numPr>
        <w:ind w:left="0" w:firstLine="0"/>
      </w:pPr>
      <w:r>
        <w:t>On the whole</w:t>
      </w:r>
      <w:r w:rsidR="000E26E4">
        <w:t>,</w:t>
      </w:r>
      <w:r>
        <w:t xml:space="preserve"> New Zealand is fairly well placed when we assess our tax system against the OECD/G20 recommendations. However, while the majority of multination</w:t>
      </w:r>
      <w:r w:rsidR="00506CA8">
        <w:t>al</w:t>
      </w:r>
      <w:r>
        <w:t>s operating in New Zealand are compliant, there are some that adopt BEPS strategies to minimise</w:t>
      </w:r>
      <w:r w:rsidR="00506CA8">
        <w:t xml:space="preserve"> or eliminate</w:t>
      </w:r>
      <w:r>
        <w:t xml:space="preserve"> their New Zealand </w:t>
      </w:r>
      <w:r w:rsidR="00506CA8">
        <w:t>tax obligations.  It is important to address the</w:t>
      </w:r>
      <w:r w:rsidR="00DA3CE5">
        <w:t>se</w:t>
      </w:r>
      <w:r w:rsidR="00506CA8">
        <w:t xml:space="preserve"> BEPS activities without reducing the general attractiveness of New Zealand as an investment destination.</w:t>
      </w:r>
    </w:p>
    <w:p w:rsidR="00E0305C" w:rsidRDefault="00E0305C" w:rsidP="005C46BB">
      <w:pPr>
        <w:pStyle w:val="Numberparagraph"/>
      </w:pPr>
    </w:p>
    <w:p w:rsidR="00506CA8" w:rsidRDefault="003D7B18" w:rsidP="005C46BB">
      <w:pPr>
        <w:pStyle w:val="Numberparagraph"/>
        <w:numPr>
          <w:ilvl w:val="0"/>
          <w:numId w:val="6"/>
        </w:numPr>
        <w:ind w:left="0" w:firstLine="0"/>
      </w:pPr>
      <w:r>
        <w:t xml:space="preserve">In </w:t>
      </w:r>
      <w:r w:rsidR="00F82A10">
        <w:t>June</w:t>
      </w:r>
      <w:r>
        <w:t xml:space="preserve"> last year the Government released its own </w:t>
      </w:r>
      <w:r w:rsidR="00226C04">
        <w:t>program</w:t>
      </w:r>
      <w:r w:rsidR="005D501D">
        <w:t>me</w:t>
      </w:r>
      <w:r w:rsidR="00226C04">
        <w:t xml:space="preserve"> </w:t>
      </w:r>
      <w:r>
        <w:t xml:space="preserve">to address BEPS issues in </w:t>
      </w:r>
      <w:r w:rsidR="009E0969">
        <w:t>New Zealand</w:t>
      </w:r>
      <w:bookmarkStart w:id="1" w:name="_Ref485979568"/>
      <w:r w:rsidR="00F9488B">
        <w:t xml:space="preserve"> (</w:t>
      </w:r>
      <w:r w:rsidR="00BD356D" w:rsidRPr="00BD356D">
        <w:t>CAB-16-MIN-0218</w:t>
      </w:r>
      <w:r w:rsidR="00BD356D">
        <w:t xml:space="preserve"> refers</w:t>
      </w:r>
      <w:r w:rsidR="00F9488B">
        <w:t>)</w:t>
      </w:r>
      <w:r w:rsidR="00506CA8">
        <w:t>.  This program</w:t>
      </w:r>
      <w:r w:rsidR="005D501D">
        <w:t>me</w:t>
      </w:r>
      <w:r w:rsidR="00506CA8">
        <w:t xml:space="preserve"> presented</w:t>
      </w:r>
      <w:r w:rsidR="00382B6C">
        <w:t xml:space="preserve"> a measured approach that prioritises the </w:t>
      </w:r>
      <w:r w:rsidR="00506CA8">
        <w:t>problems observed in relat</w:t>
      </w:r>
      <w:r w:rsidR="00382B6C">
        <w:t xml:space="preserve">ion to New Zealand’s laws.  At the same time, </w:t>
      </w:r>
      <w:r w:rsidR="005F1EAB">
        <w:t>it is</w:t>
      </w:r>
      <w:r w:rsidR="00382B6C">
        <w:t xml:space="preserve"> </w:t>
      </w:r>
      <w:r w:rsidR="008321D3">
        <w:t xml:space="preserve">a </w:t>
      </w:r>
      <w:r w:rsidR="00382B6C">
        <w:t>coherent package</w:t>
      </w:r>
      <w:r w:rsidR="005F1EAB">
        <w:t xml:space="preserve"> </w:t>
      </w:r>
      <w:r w:rsidR="00382B6C">
        <w:t>of measures.  Stripping the tax benefits from one type of arrangement is ineffective if multinationals can get the same benefit from switching to a different type of arrangement.</w:t>
      </w:r>
      <w:r w:rsidR="00F82A10">
        <w:t xml:space="preserve"> </w:t>
      </w:r>
    </w:p>
    <w:p w:rsidR="00506CA8" w:rsidRDefault="00506CA8" w:rsidP="005C46BB">
      <w:pPr>
        <w:pStyle w:val="Numberparagraph"/>
      </w:pPr>
    </w:p>
    <w:p w:rsidR="00382B6C" w:rsidRDefault="00F82A10" w:rsidP="005C46BB">
      <w:pPr>
        <w:pStyle w:val="Numberparagraph"/>
        <w:numPr>
          <w:ilvl w:val="0"/>
          <w:numId w:val="6"/>
        </w:numPr>
        <w:ind w:left="0" w:firstLine="0"/>
      </w:pPr>
      <w:r>
        <w:t>In summary the</w:t>
      </w:r>
      <w:r w:rsidR="00506CA8">
        <w:t xml:space="preserve"> Government’s</w:t>
      </w:r>
      <w:r>
        <w:t xml:space="preserve"> package of </w:t>
      </w:r>
      <w:r w:rsidR="00506CA8">
        <w:t xml:space="preserve">New Zealand </w:t>
      </w:r>
      <w:r>
        <w:t>domestic law measures:</w:t>
      </w:r>
    </w:p>
    <w:p w:rsidR="00F82A10" w:rsidRDefault="00F82A10" w:rsidP="00F82A10">
      <w:pPr>
        <w:pStyle w:val="Recommendationfirstlevel"/>
        <w:ind w:left="1494"/>
      </w:pPr>
    </w:p>
    <w:p w:rsidR="00506CA8" w:rsidRDefault="00506CA8" w:rsidP="00506CA8">
      <w:pPr>
        <w:pStyle w:val="Recommendationfirstlevel"/>
        <w:numPr>
          <w:ilvl w:val="0"/>
          <w:numId w:val="35"/>
        </w:numPr>
      </w:pPr>
      <w:r>
        <w:t xml:space="preserve">prevent multinationals from using artificially high interest rates on </w:t>
      </w:r>
      <w:r w:rsidR="002A0C81">
        <w:t xml:space="preserve">loans </w:t>
      </w:r>
      <w:r>
        <w:t>from related parties (interest limitation)</w:t>
      </w:r>
      <w:r w:rsidR="005D501D">
        <w:t>;</w:t>
      </w:r>
      <w:r>
        <w:t xml:space="preserve">  </w:t>
      </w:r>
    </w:p>
    <w:p w:rsidR="00506CA8" w:rsidRDefault="00506CA8" w:rsidP="00506CA8">
      <w:pPr>
        <w:pStyle w:val="Recommendationfirstlevel"/>
        <w:ind w:left="1494"/>
      </w:pPr>
    </w:p>
    <w:p w:rsidR="00F82A10" w:rsidRDefault="00F82A10" w:rsidP="00F82A10">
      <w:pPr>
        <w:pStyle w:val="Recommendationfirstlevel"/>
        <w:numPr>
          <w:ilvl w:val="0"/>
          <w:numId w:val="35"/>
        </w:numPr>
      </w:pPr>
      <w:r>
        <w:t>prevent multinationals from using artificial arrangements to avoid having a taxable presence (a permanent establishment) in New Zealand;</w:t>
      </w:r>
    </w:p>
    <w:p w:rsidR="00F82A10" w:rsidRDefault="00F82A10" w:rsidP="00F82A10">
      <w:pPr>
        <w:pStyle w:val="Recommendationfirstlevel"/>
        <w:ind w:left="1134"/>
      </w:pPr>
    </w:p>
    <w:p w:rsidR="00F82A10" w:rsidRDefault="00F82A10" w:rsidP="00F82A10">
      <w:pPr>
        <w:pStyle w:val="Recommendationfirstlevel"/>
        <w:numPr>
          <w:ilvl w:val="0"/>
          <w:numId w:val="35"/>
        </w:numPr>
      </w:pPr>
      <w:r>
        <w:t>prevent multinationals from using transfer pricing payments to shift profits to their offshore group members in a manner that does not reflect the actual economic activities undertaken in New Zealand and offshore;</w:t>
      </w:r>
      <w:r w:rsidR="006F6756">
        <w:t xml:space="preserve"> and</w:t>
      </w:r>
    </w:p>
    <w:p w:rsidR="00F82A10" w:rsidRDefault="00F82A10" w:rsidP="00F82A10">
      <w:pPr>
        <w:pStyle w:val="Recommendationfirstlevel"/>
        <w:ind w:left="1494"/>
      </w:pPr>
    </w:p>
    <w:p w:rsidR="00F82A10" w:rsidRDefault="00F82A10" w:rsidP="000D3FAA">
      <w:pPr>
        <w:pStyle w:val="Recommendationfirstlevel"/>
        <w:numPr>
          <w:ilvl w:val="0"/>
          <w:numId w:val="35"/>
        </w:numPr>
      </w:pPr>
      <w:r>
        <w:t xml:space="preserve">remove the tax advantages of exploiting hybrid mismatches between different </w:t>
      </w:r>
      <w:r w:rsidR="000D3FAA" w:rsidRPr="000D3FAA">
        <w:t>countries’</w:t>
      </w:r>
      <w:r>
        <w:t xml:space="preserve"> tax rules</w:t>
      </w:r>
      <w:r w:rsidR="001C3954">
        <w:t>.</w:t>
      </w:r>
      <w:r>
        <w:t xml:space="preserve"> </w:t>
      </w:r>
    </w:p>
    <w:p w:rsidR="00F82A10" w:rsidRDefault="00F82A10" w:rsidP="00F82A10">
      <w:pPr>
        <w:pStyle w:val="Numberparagraph"/>
        <w:ind w:left="502" w:hanging="360"/>
      </w:pPr>
    </w:p>
    <w:p w:rsidR="008321D3" w:rsidRPr="00525887" w:rsidRDefault="008321D3" w:rsidP="00E8635D">
      <w:pPr>
        <w:pStyle w:val="Numberparagraph"/>
        <w:numPr>
          <w:ilvl w:val="0"/>
          <w:numId w:val="6"/>
        </w:numPr>
        <w:ind w:left="0" w:firstLine="0"/>
      </w:pPr>
      <w:bookmarkStart w:id="2" w:name="_Ref486942509"/>
      <w:r>
        <w:t xml:space="preserve">New Zealand’s response to BEPS is </w:t>
      </w:r>
      <w:r w:rsidR="00E8635D">
        <w:t xml:space="preserve">generally aligned </w:t>
      </w:r>
      <w:r>
        <w:t xml:space="preserve">with Australia’s response. It is also broadly consistent with the OECD’s BEPS </w:t>
      </w:r>
      <w:r w:rsidR="005C1632">
        <w:t>A</w:t>
      </w:r>
      <w:r>
        <w:t xml:space="preserve">ction </w:t>
      </w:r>
      <w:r w:rsidR="005C1632">
        <w:t>P</w:t>
      </w:r>
      <w:r>
        <w:t xml:space="preserve">lan, </w:t>
      </w:r>
      <w:r w:rsidR="00E8635D" w:rsidRPr="00E8635D">
        <w:t>although the specific proposals are tailored for the New Zealand environment.</w:t>
      </w:r>
      <w:r w:rsidR="00FF3845">
        <w:t xml:space="preserve"> Appendix </w:t>
      </w:r>
      <w:r w:rsidR="000E26E4">
        <w:t>O</w:t>
      </w:r>
      <w:r w:rsidR="00FF3845">
        <w:t>ne</w:t>
      </w:r>
      <w:r w:rsidR="00E8635D">
        <w:t xml:space="preserve"> provides a table that compares New Zealand’s and Australia’s response to the OECD’s BEPS Action Plan.</w:t>
      </w:r>
    </w:p>
    <w:p w:rsidR="008321D3" w:rsidRDefault="008321D3" w:rsidP="008321D3">
      <w:pPr>
        <w:pStyle w:val="Numberparagraph"/>
      </w:pPr>
    </w:p>
    <w:p w:rsidR="004945D3" w:rsidRDefault="005F1EAB" w:rsidP="005C46BB">
      <w:pPr>
        <w:pStyle w:val="Numberparagraph"/>
        <w:numPr>
          <w:ilvl w:val="0"/>
          <w:numId w:val="6"/>
        </w:numPr>
        <w:ind w:left="0" w:firstLine="0"/>
      </w:pPr>
      <w:r>
        <w:t xml:space="preserve">The detail of the BEPS proposals was </w:t>
      </w:r>
      <w:r w:rsidR="00382B6C">
        <w:t>subsequently</w:t>
      </w:r>
      <w:r w:rsidR="002A5972">
        <w:t xml:space="preserve"> set out</w:t>
      </w:r>
      <w:r w:rsidR="005A4D99">
        <w:t xml:space="preserve"> in </w:t>
      </w:r>
      <w:r w:rsidR="001A0BB0">
        <w:t>three</w:t>
      </w:r>
      <w:r w:rsidR="004945D3">
        <w:t xml:space="preserve"> </w:t>
      </w:r>
      <w:r>
        <w:t xml:space="preserve">Government </w:t>
      </w:r>
      <w:r w:rsidR="004945D3">
        <w:t>discussion documents</w:t>
      </w:r>
      <w:r w:rsidR="005A4D99">
        <w:t>, which were released for</w:t>
      </w:r>
      <w:r w:rsidR="00CE0272">
        <w:t xml:space="preserve"> public consultation</w:t>
      </w:r>
      <w:bookmarkEnd w:id="1"/>
      <w:r w:rsidR="00F9488B">
        <w:t xml:space="preserve"> in September 2016 and March 2017</w:t>
      </w:r>
      <w:r w:rsidR="00506CA8">
        <w:t>:</w:t>
      </w:r>
      <w:bookmarkEnd w:id="2"/>
      <w:r w:rsidR="00506CA8">
        <w:t xml:space="preserve"> </w:t>
      </w:r>
    </w:p>
    <w:p w:rsidR="004945D3" w:rsidRDefault="004945D3" w:rsidP="004945D3">
      <w:pPr>
        <w:pStyle w:val="TRBodyText"/>
        <w:tabs>
          <w:tab w:val="left" w:pos="567"/>
        </w:tabs>
      </w:pPr>
    </w:p>
    <w:p w:rsidR="004945D3" w:rsidRPr="0092039E" w:rsidRDefault="004945D3" w:rsidP="004945D3">
      <w:pPr>
        <w:pStyle w:val="TRBodyText"/>
        <w:numPr>
          <w:ilvl w:val="0"/>
          <w:numId w:val="16"/>
        </w:numPr>
      </w:pPr>
      <w:r w:rsidRPr="0092039E">
        <w:rPr>
          <w:i/>
        </w:rPr>
        <w:t>BEPS – Strengthening our interest limitation rules</w:t>
      </w:r>
      <w:r w:rsidR="00F9488B">
        <w:rPr>
          <w:i/>
        </w:rPr>
        <w:t>;</w:t>
      </w:r>
      <w:r>
        <w:t xml:space="preserve"> </w:t>
      </w:r>
    </w:p>
    <w:p w:rsidR="00F9488B" w:rsidRDefault="004945D3" w:rsidP="00F9488B">
      <w:pPr>
        <w:pStyle w:val="TRBodyText"/>
        <w:numPr>
          <w:ilvl w:val="0"/>
          <w:numId w:val="16"/>
        </w:numPr>
      </w:pPr>
      <w:r w:rsidRPr="00F9488B">
        <w:rPr>
          <w:i/>
        </w:rPr>
        <w:t>BEPS – Transfer pricing and permanent establishment avoidance</w:t>
      </w:r>
      <w:r w:rsidR="00F9488B">
        <w:rPr>
          <w:i/>
        </w:rPr>
        <w:t>;</w:t>
      </w:r>
      <w:r>
        <w:t xml:space="preserve"> </w:t>
      </w:r>
      <w:r w:rsidR="001C3954">
        <w:t>and</w:t>
      </w:r>
    </w:p>
    <w:p w:rsidR="00F9488B" w:rsidRPr="00F9488B" w:rsidRDefault="00506CA8" w:rsidP="00F9488B">
      <w:pPr>
        <w:pStyle w:val="TRBodyText"/>
        <w:numPr>
          <w:ilvl w:val="0"/>
          <w:numId w:val="16"/>
        </w:numPr>
      </w:pPr>
      <w:r w:rsidRPr="00F9488B">
        <w:rPr>
          <w:i/>
        </w:rPr>
        <w:t>Addressing hybrid mismatch arrangements</w:t>
      </w:r>
      <w:r w:rsidR="000D3FAA">
        <w:rPr>
          <w:i/>
        </w:rPr>
        <w:t>.</w:t>
      </w:r>
    </w:p>
    <w:p w:rsidR="00382B6C" w:rsidRPr="00F9488B" w:rsidRDefault="00506CA8" w:rsidP="00F9488B">
      <w:pPr>
        <w:pStyle w:val="TRBodyText"/>
        <w:ind w:left="1134"/>
      </w:pPr>
      <w:r w:rsidRPr="00F9488B">
        <w:rPr>
          <w:i/>
        </w:rPr>
        <w:t xml:space="preserve"> </w:t>
      </w:r>
    </w:p>
    <w:p w:rsidR="00A562D8" w:rsidRDefault="00CE0272" w:rsidP="005C46BB">
      <w:pPr>
        <w:pStyle w:val="Numberparagraph"/>
        <w:numPr>
          <w:ilvl w:val="0"/>
          <w:numId w:val="6"/>
        </w:numPr>
        <w:ind w:left="0" w:firstLine="0"/>
      </w:pPr>
      <w:r>
        <w:t>O</w:t>
      </w:r>
      <w:r w:rsidR="00DF2C46">
        <w:t>ur o</w:t>
      </w:r>
      <w:r>
        <w:t xml:space="preserve">fficials have since </w:t>
      </w:r>
      <w:r w:rsidR="00564468">
        <w:t>received</w:t>
      </w:r>
      <w:r w:rsidR="00F32C97">
        <w:t xml:space="preserve"> </w:t>
      </w:r>
      <w:r w:rsidR="00E81F13">
        <w:t xml:space="preserve">a </w:t>
      </w:r>
      <w:r w:rsidR="00564468">
        <w:t>significant</w:t>
      </w:r>
      <w:r w:rsidR="00E81F13">
        <w:t xml:space="preserve"> amount of feedback on the </w:t>
      </w:r>
      <w:r w:rsidR="00F82A10">
        <w:t>discussion documents</w:t>
      </w:r>
      <w:r w:rsidR="0050105F">
        <w:t xml:space="preserve">.  </w:t>
      </w:r>
      <w:r w:rsidR="002154B1">
        <w:t xml:space="preserve">Most of the submissions were from tax advisors to the affected businesses and raised concerns about uncertainty and compliance costs. We consider that these additional costs </w:t>
      </w:r>
      <w:r w:rsidR="002154B1" w:rsidRPr="002154B1">
        <w:t>will mostly be borne by those who the measures are designed to address</w:t>
      </w:r>
      <w:r w:rsidR="004E69CD">
        <w:t xml:space="preserve"> (</w:t>
      </w:r>
      <w:r w:rsidR="00277D49">
        <w:t>taxpayers engaging in BEPS activities)</w:t>
      </w:r>
      <w:r w:rsidR="002154B1" w:rsidRPr="002154B1">
        <w:t xml:space="preserve"> and that the overall benefits to New Zealand of addressing BEPS outweigh these costs.</w:t>
      </w:r>
      <w:r w:rsidR="002154B1">
        <w:rPr>
          <w:rFonts w:ascii="Verdana" w:hAnsi="Verdana"/>
          <w:color w:val="1F497D"/>
          <w:sz w:val="20"/>
          <w:szCs w:val="20"/>
        </w:rPr>
        <w:t xml:space="preserve"> </w:t>
      </w:r>
      <w:r w:rsidR="00D10DF3">
        <w:t xml:space="preserve">We have used this feedback to refine the </w:t>
      </w:r>
      <w:r w:rsidR="005A4D99">
        <w:t>measures</w:t>
      </w:r>
      <w:r w:rsidR="00D10DF3">
        <w:t>, so they are more</w:t>
      </w:r>
      <w:r w:rsidR="00D10DF3" w:rsidRPr="009901EA">
        <w:t xml:space="preserve"> certain for taxpayers and better targeted</w:t>
      </w:r>
      <w:r w:rsidR="00BE782B">
        <w:t xml:space="preserve">. </w:t>
      </w:r>
      <w:r w:rsidR="00D10DF3">
        <w:t xml:space="preserve">These refinements should not reduce the overall effectiveness of the proposed </w:t>
      </w:r>
      <w:r w:rsidR="002A5972">
        <w:t>measures</w:t>
      </w:r>
      <w:r w:rsidR="00BE782B">
        <w:t xml:space="preserve">. </w:t>
      </w:r>
      <w:r w:rsidR="005D5A1F">
        <w:t>We consider the measures will address the BEPS issues we are concerned about</w:t>
      </w:r>
      <w:r w:rsidR="0050105F">
        <w:t xml:space="preserve">.  </w:t>
      </w:r>
    </w:p>
    <w:p w:rsidR="00FA4A54" w:rsidRDefault="00FA4A54" w:rsidP="005C46BB">
      <w:pPr>
        <w:pStyle w:val="Numberparagraph"/>
        <w:numPr>
          <w:ilvl w:val="0"/>
          <w:numId w:val="6"/>
        </w:numPr>
        <w:ind w:left="0" w:firstLine="0"/>
      </w:pPr>
      <w:r>
        <w:lastRenderedPageBreak/>
        <w:t>The following are</w:t>
      </w:r>
      <w:r w:rsidRPr="001B56A9">
        <w:t xml:space="preserve"> what we consider </w:t>
      </w:r>
      <w:r>
        <w:t>to be the</w:t>
      </w:r>
      <w:r w:rsidRPr="001B56A9">
        <w:t xml:space="preserve"> most important matters </w:t>
      </w:r>
      <w:r>
        <w:t>coming out of consultation</w:t>
      </w:r>
      <w:r w:rsidRPr="001B56A9">
        <w:t xml:space="preserve">. </w:t>
      </w:r>
      <w:r>
        <w:t>This is not an exhaustive list.  The individual Cabinet papers accompanying this paper also discuss other significant issues raised by submitters.</w:t>
      </w:r>
    </w:p>
    <w:p w:rsidR="00F9488B" w:rsidRDefault="00F9488B" w:rsidP="005C46BB">
      <w:pPr>
        <w:pStyle w:val="Numberparagraph"/>
      </w:pPr>
    </w:p>
    <w:p w:rsidR="00F9488B" w:rsidRDefault="00F9488B" w:rsidP="005C46BB">
      <w:pPr>
        <w:pStyle w:val="Numberparagraph"/>
        <w:numPr>
          <w:ilvl w:val="0"/>
          <w:numId w:val="6"/>
        </w:numPr>
        <w:ind w:left="0" w:firstLine="0"/>
      </w:pPr>
      <w:r>
        <w:t xml:space="preserve">Finally we note the progress in relation to </w:t>
      </w:r>
      <w:r w:rsidRPr="00F35F3D">
        <w:t>the OECD’s</w:t>
      </w:r>
      <w:r w:rsidRPr="00381DDC">
        <w:t xml:space="preserve"> </w:t>
      </w:r>
      <w:r w:rsidRPr="005C46BB">
        <w:rPr>
          <w:i/>
        </w:rPr>
        <w:t xml:space="preserve">Multilateral Convention to Implement Tax Treaty Related Measures to Prevent BEPS </w:t>
      </w:r>
      <w:r>
        <w:t xml:space="preserve">(also known as the multilateral instrument or MLI) signed by the Minister of Revenue on behalf of New Zealand </w:t>
      </w:r>
      <w:r w:rsidR="000E26E4">
        <w:t>in June</w:t>
      </w:r>
      <w:r>
        <w:t xml:space="preserve">.  The MLI is intended to prevent our double tax agreements from being used to facilitate BEPS. </w:t>
      </w:r>
    </w:p>
    <w:p w:rsidR="002E007A" w:rsidRDefault="002E007A" w:rsidP="00CE0DD3">
      <w:pPr>
        <w:tabs>
          <w:tab w:val="left" w:pos="567"/>
        </w:tabs>
        <w:jc w:val="both"/>
        <w:rPr>
          <w:b/>
          <w:i/>
          <w:szCs w:val="24"/>
          <w:lang w:eastAsia="en-AU"/>
        </w:rPr>
      </w:pPr>
    </w:p>
    <w:p w:rsidR="005B0556" w:rsidRPr="00F9488B" w:rsidRDefault="001B56A9" w:rsidP="00CE0DD3">
      <w:pPr>
        <w:tabs>
          <w:tab w:val="left" w:pos="567"/>
        </w:tabs>
        <w:jc w:val="both"/>
        <w:rPr>
          <w:b/>
          <w:i/>
          <w:szCs w:val="24"/>
          <w:lang w:eastAsia="en-AU"/>
        </w:rPr>
      </w:pPr>
      <w:r>
        <w:rPr>
          <w:b/>
          <w:i/>
          <w:szCs w:val="24"/>
          <w:lang w:eastAsia="en-AU"/>
        </w:rPr>
        <w:t>Main issues</w:t>
      </w:r>
      <w:r w:rsidR="009E0969">
        <w:rPr>
          <w:b/>
          <w:i/>
          <w:szCs w:val="24"/>
          <w:lang w:eastAsia="en-AU"/>
        </w:rPr>
        <w:t xml:space="preserve"> on </w:t>
      </w:r>
      <w:r w:rsidR="00F9488B" w:rsidRPr="00F9488B">
        <w:rPr>
          <w:b/>
          <w:i/>
        </w:rPr>
        <w:t>BEPS – Strengthening our interest limitation rules</w:t>
      </w:r>
      <w:r w:rsidR="00F9488B" w:rsidRPr="00F9488B">
        <w:rPr>
          <w:b/>
        </w:rPr>
        <w:t xml:space="preserve"> </w:t>
      </w:r>
    </w:p>
    <w:p w:rsidR="00F9488B" w:rsidRPr="00F9488B" w:rsidRDefault="00F9488B" w:rsidP="00CE0DD3">
      <w:pPr>
        <w:tabs>
          <w:tab w:val="left" w:pos="567"/>
        </w:tabs>
        <w:jc w:val="both"/>
        <w:rPr>
          <w:b/>
          <w:szCs w:val="24"/>
          <w:lang w:eastAsia="en-AU"/>
        </w:rPr>
      </w:pPr>
    </w:p>
    <w:p w:rsidR="00DF2C46" w:rsidRDefault="00AF68DE" w:rsidP="005C46BB">
      <w:pPr>
        <w:pStyle w:val="Numberparagraph"/>
        <w:numPr>
          <w:ilvl w:val="0"/>
          <w:numId w:val="6"/>
        </w:numPr>
        <w:ind w:left="0" w:firstLine="0"/>
      </w:pPr>
      <w:r>
        <w:t>One of the easiest way</w:t>
      </w:r>
      <w:r w:rsidR="0091436D">
        <w:t>s</w:t>
      </w:r>
      <w:r>
        <w:t xml:space="preserve"> to shift profits</w:t>
      </w:r>
      <w:r w:rsidR="00FA4A54">
        <w:t xml:space="preserve"> out of New Zealand</w:t>
      </w:r>
      <w:r>
        <w:t xml:space="preserve"> is for a foreign parent</w:t>
      </w:r>
      <w:r w:rsidR="00FA4A54">
        <w:t xml:space="preserve"> of a New Zealand subsidiary to </w:t>
      </w:r>
      <w:r>
        <w:t>fund the subsidiary with a loan rather than equity.  This is b</w:t>
      </w:r>
      <w:r w:rsidR="00FA4A54">
        <w:t xml:space="preserve">ecause </w:t>
      </w:r>
      <w:r w:rsidR="00AC48F8">
        <w:t xml:space="preserve">the </w:t>
      </w:r>
      <w:r w:rsidR="00FA4A54">
        <w:t>interest paid to the parent</w:t>
      </w:r>
      <w:r>
        <w:t xml:space="preserve"> </w:t>
      </w:r>
      <w:r w:rsidR="00AC48F8">
        <w:t xml:space="preserve">is </w:t>
      </w:r>
      <w:r>
        <w:t>deductible to the subsidiary thereb</w:t>
      </w:r>
      <w:r w:rsidR="00BE782B">
        <w:t xml:space="preserve">y reducing its taxable income. </w:t>
      </w:r>
      <w:r>
        <w:t xml:space="preserve">The </w:t>
      </w:r>
      <w:r w:rsidR="00AC48F8">
        <w:t xml:space="preserve">specific </w:t>
      </w:r>
      <w:r>
        <w:t xml:space="preserve">problem </w:t>
      </w:r>
      <w:r w:rsidR="00AC48F8">
        <w:t xml:space="preserve">we have identified </w:t>
      </w:r>
      <w:r>
        <w:t>is that transfer pricing rules are not effective in limiting the rate of interest that can be charged on that loan.</w:t>
      </w:r>
      <w:r w:rsidR="00DF4EE6" w:rsidRPr="00DF4EE6">
        <w:t xml:space="preserve"> </w:t>
      </w:r>
    </w:p>
    <w:p w:rsidR="00DF2C46" w:rsidRDefault="00DF2C46" w:rsidP="00DF2C46">
      <w:pPr>
        <w:pStyle w:val="Numberparagraph"/>
      </w:pPr>
    </w:p>
    <w:p w:rsidR="003F4B5B" w:rsidRPr="003F4B5B" w:rsidRDefault="003F4B5B" w:rsidP="004A6C66">
      <w:pPr>
        <w:pStyle w:val="Numberparagraph"/>
        <w:rPr>
          <w:i/>
        </w:rPr>
      </w:pPr>
      <w:r w:rsidRPr="003F4B5B">
        <w:rPr>
          <w:i/>
        </w:rPr>
        <w:t xml:space="preserve">Proposal </w:t>
      </w:r>
      <w:r w:rsidR="00973C76">
        <w:rPr>
          <w:i/>
        </w:rPr>
        <w:t>on pricing related-party debt</w:t>
      </w:r>
    </w:p>
    <w:p w:rsidR="003F4B5B" w:rsidRDefault="003F4B5B" w:rsidP="003F4B5B">
      <w:pPr>
        <w:pStyle w:val="Numberparagraph"/>
        <w:ind w:left="502"/>
      </w:pPr>
    </w:p>
    <w:p w:rsidR="0081343F" w:rsidRDefault="0081343F" w:rsidP="005C46BB">
      <w:pPr>
        <w:pStyle w:val="Numberparagraph"/>
        <w:numPr>
          <w:ilvl w:val="0"/>
          <w:numId w:val="6"/>
        </w:numPr>
        <w:ind w:left="0" w:firstLine="0"/>
      </w:pPr>
      <w:r>
        <w:t xml:space="preserve">The </w:t>
      </w:r>
      <w:r w:rsidR="005B0556">
        <w:t>discussion document</w:t>
      </w:r>
      <w:r>
        <w:t xml:space="preserve"> proposed</w:t>
      </w:r>
      <w:r w:rsidR="00DF4EE6">
        <w:t xml:space="preserve"> a hard rule</w:t>
      </w:r>
      <w:r>
        <w:t xml:space="preserve"> to limit the interest rate</w:t>
      </w:r>
      <w:r w:rsidR="00C8793C">
        <w:t xml:space="preserve"> on related-party debt</w:t>
      </w:r>
      <w:r>
        <w:t xml:space="preserve"> to an amount close to the parent’s cost of external borrowing</w:t>
      </w:r>
      <w:r w:rsidR="00DF4EE6">
        <w:t xml:space="preserve"> - specifically</w:t>
      </w:r>
      <w:r>
        <w:t xml:space="preserve"> </w:t>
      </w:r>
      <w:r w:rsidR="005B0556">
        <w:t>an interest rate cap, based on the credit rating of the offshore parent plus a small margin.  Submitters argued that this proposal could affect the interest rates of companies with only small amounts of debt (so not seen as a risk</w:t>
      </w:r>
      <w:r w:rsidR="002A0C81">
        <w:t xml:space="preserve"> to the tax base</w:t>
      </w:r>
      <w:r w:rsidR="005B0556">
        <w:t xml:space="preserve">) and could be difficult to apply if the parent has no credit rating.  </w:t>
      </w:r>
      <w:r>
        <w:t>They were also concerned that it could produce results that were inconsistent with our tax treaties</w:t>
      </w:r>
      <w:r w:rsidR="000D3FAA">
        <w:t>,</w:t>
      </w:r>
      <w:r>
        <w:t xml:space="preserve"> leading to double taxation.</w:t>
      </w:r>
    </w:p>
    <w:p w:rsidR="00AC48F8" w:rsidRDefault="00AC48F8" w:rsidP="005C46BB">
      <w:pPr>
        <w:pStyle w:val="Numberparagraph"/>
      </w:pPr>
    </w:p>
    <w:p w:rsidR="001E64CA" w:rsidRDefault="001E64CA" w:rsidP="001E64CA">
      <w:pPr>
        <w:pStyle w:val="Numberparagraph"/>
        <w:numPr>
          <w:ilvl w:val="0"/>
          <w:numId w:val="6"/>
        </w:numPr>
        <w:ind w:left="0" w:firstLine="0"/>
      </w:pPr>
      <w:r>
        <w:t xml:space="preserve">In light of these concerns we recommend using what we have termed a </w:t>
      </w:r>
      <w:r w:rsidR="000E26E4">
        <w:t>“</w:t>
      </w:r>
      <w:r>
        <w:t>restricted transfer pricing approach</w:t>
      </w:r>
      <w:r w:rsidR="000E26E4">
        <w:t>”</w:t>
      </w:r>
      <w:r>
        <w:t xml:space="preserve"> for debt. </w:t>
      </w:r>
      <w:r w:rsidRPr="001E64CA">
        <w:t>We expect that this approach will generally result in the interest rate on related-party debt being in line with that facing the foreign parent. This is because the debt</w:t>
      </w:r>
      <w:r>
        <w:t xml:space="preserve"> </w:t>
      </w:r>
      <w:r w:rsidRPr="001E64CA">
        <w:t>would be priced under a transfer pricing methodology but (i) be carried out with a rebuttable presumption that the borrower could be expected to be supported by its foreign parent</w:t>
      </w:r>
      <w:r>
        <w:t>; and (ii) disregard any commercially unattractive terms used to justify an excessive interest rate.  We also intend that taxpayers be able to challenge the rate using the dispute resolution process in tax treaties. The Australian Taxation Office has recently released administrative guidelines which outline a similar approach for limiting related party interest rates (albeit Australia is implementing this approach as an operational policy, rather than a law change).</w:t>
      </w:r>
    </w:p>
    <w:p w:rsidR="00370F88" w:rsidRDefault="00370F88" w:rsidP="005B0556">
      <w:pPr>
        <w:tabs>
          <w:tab w:val="left" w:pos="567"/>
        </w:tabs>
        <w:jc w:val="both"/>
        <w:rPr>
          <w:szCs w:val="24"/>
          <w:lang w:eastAsia="en-AU"/>
        </w:rPr>
      </w:pPr>
    </w:p>
    <w:p w:rsidR="003F4B5B" w:rsidRPr="003F4B5B" w:rsidRDefault="003F4B5B" w:rsidP="005B0556">
      <w:pPr>
        <w:tabs>
          <w:tab w:val="left" w:pos="567"/>
        </w:tabs>
        <w:jc w:val="both"/>
        <w:rPr>
          <w:i/>
          <w:szCs w:val="24"/>
          <w:lang w:eastAsia="en-AU"/>
        </w:rPr>
      </w:pPr>
      <w:r w:rsidRPr="003F4B5B">
        <w:rPr>
          <w:i/>
          <w:szCs w:val="24"/>
          <w:lang w:eastAsia="en-AU"/>
        </w:rPr>
        <w:t xml:space="preserve">Proposal </w:t>
      </w:r>
      <w:r w:rsidR="00973C76">
        <w:rPr>
          <w:i/>
          <w:szCs w:val="24"/>
          <w:lang w:eastAsia="en-AU"/>
        </w:rPr>
        <w:t>on allowable debt levels</w:t>
      </w:r>
    </w:p>
    <w:p w:rsidR="003F4B5B" w:rsidRDefault="003F4B5B" w:rsidP="005B0556">
      <w:pPr>
        <w:tabs>
          <w:tab w:val="left" w:pos="567"/>
        </w:tabs>
        <w:jc w:val="both"/>
        <w:rPr>
          <w:szCs w:val="24"/>
          <w:lang w:eastAsia="en-AU"/>
        </w:rPr>
      </w:pPr>
    </w:p>
    <w:p w:rsidR="00992C2A" w:rsidRDefault="009E0969" w:rsidP="005C46BB">
      <w:pPr>
        <w:pStyle w:val="Numberparagraph"/>
        <w:numPr>
          <w:ilvl w:val="0"/>
          <w:numId w:val="6"/>
        </w:numPr>
        <w:ind w:left="0" w:firstLine="0"/>
      </w:pPr>
      <w:r>
        <w:t>The second interest limitation issue relates to</w:t>
      </w:r>
      <w:r w:rsidR="00973C76">
        <w:t xml:space="preserve"> allowable debt levels under</w:t>
      </w:r>
      <w:r>
        <w:t xml:space="preserve"> our</w:t>
      </w:r>
      <w:r w:rsidR="00370F88">
        <w:t xml:space="preserve"> thin capitalisation rules</w:t>
      </w:r>
      <w:r>
        <w:t>.  These rules</w:t>
      </w:r>
      <w:r w:rsidR="00EA269A">
        <w:t xml:space="preserve"> limit</w:t>
      </w:r>
      <w:r w:rsidR="00370F88">
        <w:t xml:space="preserve"> </w:t>
      </w:r>
      <w:r w:rsidR="00992C2A">
        <w:t>the quantity</w:t>
      </w:r>
      <w:r w:rsidR="000F2E78">
        <w:t xml:space="preserve"> of de</w:t>
      </w:r>
      <w:r w:rsidR="00992C2A">
        <w:t xml:space="preserve">bt </w:t>
      </w:r>
      <w:r w:rsidR="00973C76">
        <w:t xml:space="preserve">a </w:t>
      </w:r>
      <w:r w:rsidR="0046142E">
        <w:t>foreign-owned subsidiary</w:t>
      </w:r>
      <w:r w:rsidR="00973C76">
        <w:t xml:space="preserve"> can have (generally to 60 percent of the</w:t>
      </w:r>
      <w:r w:rsidR="0046142E">
        <w:t xml:space="preserve"> subsidiary’s</w:t>
      </w:r>
      <w:r w:rsidR="00973C76">
        <w:t xml:space="preserve"> assets). </w:t>
      </w:r>
      <w:r w:rsidR="00EA269A">
        <w:t xml:space="preserve">We propose </w:t>
      </w:r>
      <w:r w:rsidR="000F2E78">
        <w:t xml:space="preserve">to </w:t>
      </w:r>
      <w:r w:rsidR="00EA269A">
        <w:t>adjust</w:t>
      </w:r>
      <w:r w:rsidR="000F2E78">
        <w:t xml:space="preserve"> </w:t>
      </w:r>
      <w:r w:rsidR="00EA269A">
        <w:t xml:space="preserve">what counts as </w:t>
      </w:r>
      <w:r w:rsidR="000F2E78">
        <w:t xml:space="preserve">“assets” </w:t>
      </w:r>
      <w:r w:rsidR="002A0C81">
        <w:t>by reducing them by “non-debt liabilities” (liabilities other than interest-bearing debt).</w:t>
      </w:r>
    </w:p>
    <w:p w:rsidR="00992C2A" w:rsidRDefault="00992C2A" w:rsidP="005C46BB">
      <w:pPr>
        <w:pStyle w:val="Numberparagraph"/>
      </w:pPr>
    </w:p>
    <w:p w:rsidR="00370F88" w:rsidRDefault="00992C2A" w:rsidP="005C46BB">
      <w:pPr>
        <w:pStyle w:val="Numberparagraph"/>
        <w:numPr>
          <w:ilvl w:val="0"/>
          <w:numId w:val="6"/>
        </w:numPr>
        <w:ind w:left="0" w:firstLine="0"/>
      </w:pPr>
      <w:r>
        <w:t>While there was</w:t>
      </w:r>
      <w:r w:rsidR="00973C76">
        <w:t xml:space="preserve"> some</w:t>
      </w:r>
      <w:r>
        <w:t xml:space="preserve"> support for the broad proposal, submitters</w:t>
      </w:r>
      <w:r w:rsidR="00370F88">
        <w:t xml:space="preserve"> were </w:t>
      </w:r>
      <w:r w:rsidR="00EA269A">
        <w:t xml:space="preserve">very </w:t>
      </w:r>
      <w:r w:rsidR="00370F88">
        <w:t>concerned</w:t>
      </w:r>
      <w:r>
        <w:t xml:space="preserve"> about one aspect: </w:t>
      </w:r>
      <w:r w:rsidR="00866CF0">
        <w:t xml:space="preserve"> that the </w:t>
      </w:r>
      <w:r w:rsidR="00EA269A">
        <w:t>proposed change</w:t>
      </w:r>
      <w:r w:rsidR="00370F88">
        <w:t xml:space="preserve"> </w:t>
      </w:r>
      <w:r w:rsidR="00866CF0">
        <w:t>would</w:t>
      </w:r>
      <w:r w:rsidR="00370F88">
        <w:t xml:space="preserve"> include what are known as </w:t>
      </w:r>
      <w:r w:rsidR="002A0C81">
        <w:t>“</w:t>
      </w:r>
      <w:r w:rsidR="00370F88">
        <w:t>deferred tax liabilities</w:t>
      </w:r>
      <w:r w:rsidR="00866CF0">
        <w:t>.</w:t>
      </w:r>
      <w:r w:rsidR="002A0C81">
        <w:t>”</w:t>
      </w:r>
      <w:r w:rsidR="00370F88">
        <w:t xml:space="preserve"> </w:t>
      </w:r>
      <w:r w:rsidR="00973C76">
        <w:t xml:space="preserve">Accounting standards require deferred tax to be recognised in certain situations – broadly, where profits for tax and accounting purposes differ. </w:t>
      </w:r>
      <w:r w:rsidR="00370F88">
        <w:t>This is a complicated issue, with some types of deferred tax liabilities having a stronger case for exclusion t</w:t>
      </w:r>
      <w:r>
        <w:t>han others.  We recommend that</w:t>
      </w:r>
      <w:r w:rsidR="00370F88">
        <w:t xml:space="preserve"> officials </w:t>
      </w:r>
      <w:r w:rsidR="00811AA9">
        <w:t xml:space="preserve">consider this matter further </w:t>
      </w:r>
      <w:r w:rsidR="00370F88">
        <w:t xml:space="preserve">as part of </w:t>
      </w:r>
      <w:r w:rsidR="00811AA9">
        <w:t xml:space="preserve">future </w:t>
      </w:r>
      <w:r w:rsidR="00370F88">
        <w:t>consultation on the detailed design of the interest limitation proposals</w:t>
      </w:r>
      <w:r w:rsidR="002A0C81">
        <w:t>, with Cabinet delegating us the power to make a decision</w:t>
      </w:r>
      <w:r w:rsidR="00370F88">
        <w:t>.</w:t>
      </w:r>
    </w:p>
    <w:p w:rsidR="00370F88" w:rsidRDefault="00370F88" w:rsidP="005B0556">
      <w:pPr>
        <w:tabs>
          <w:tab w:val="left" w:pos="567"/>
        </w:tabs>
        <w:jc w:val="both"/>
        <w:rPr>
          <w:szCs w:val="24"/>
          <w:lang w:eastAsia="en-AU"/>
        </w:rPr>
      </w:pPr>
    </w:p>
    <w:p w:rsidR="00F9488B" w:rsidRDefault="006817E7" w:rsidP="00277D49">
      <w:r>
        <w:rPr>
          <w:b/>
          <w:i/>
          <w:szCs w:val="24"/>
        </w:rPr>
        <w:t>Main</w:t>
      </w:r>
      <w:r w:rsidR="009E0969">
        <w:rPr>
          <w:b/>
          <w:i/>
          <w:szCs w:val="24"/>
        </w:rPr>
        <w:t xml:space="preserve"> </w:t>
      </w:r>
      <w:r w:rsidR="009E0969" w:rsidRPr="00467439">
        <w:rPr>
          <w:b/>
          <w:i/>
          <w:szCs w:val="24"/>
        </w:rPr>
        <w:t xml:space="preserve">issues on </w:t>
      </w:r>
      <w:r w:rsidR="00F9488B" w:rsidRPr="00F9488B">
        <w:rPr>
          <w:b/>
          <w:i/>
        </w:rPr>
        <w:t>BEPS – Transfer pricing and permanent establishment avoidance</w:t>
      </w:r>
      <w:r w:rsidR="00F9488B" w:rsidRPr="00F9488B">
        <w:rPr>
          <w:b/>
        </w:rPr>
        <w:t xml:space="preserve"> </w:t>
      </w:r>
    </w:p>
    <w:p w:rsidR="00370F88" w:rsidRDefault="00370F88" w:rsidP="005B0556">
      <w:pPr>
        <w:tabs>
          <w:tab w:val="left" w:pos="567"/>
        </w:tabs>
        <w:jc w:val="both"/>
        <w:rPr>
          <w:szCs w:val="24"/>
          <w:lang w:eastAsia="en-AU"/>
        </w:rPr>
      </w:pPr>
    </w:p>
    <w:p w:rsidR="00EA269A" w:rsidRDefault="00EA269A" w:rsidP="005C46BB">
      <w:pPr>
        <w:pStyle w:val="Numberparagraph"/>
        <w:numPr>
          <w:ilvl w:val="0"/>
          <w:numId w:val="6"/>
        </w:numPr>
        <w:ind w:left="0" w:firstLine="0"/>
      </w:pPr>
      <w:r>
        <w:t xml:space="preserve">The </w:t>
      </w:r>
      <w:r w:rsidRPr="005C46BB">
        <w:rPr>
          <w:i/>
        </w:rPr>
        <w:t>BEPS – transfer pricing and permanent establishment avoidance</w:t>
      </w:r>
      <w:r>
        <w:t xml:space="preserve"> Cabinet paper contains measures to</w:t>
      </w:r>
      <w:r w:rsidRPr="000E59E0">
        <w:t xml:space="preserve"> strengthen our transfer pricing rules, </w:t>
      </w:r>
      <w:r w:rsidR="009E0969" w:rsidRPr="000E59E0">
        <w:t>counter pe</w:t>
      </w:r>
      <w:r w:rsidR="00992C2A">
        <w:t xml:space="preserve">rmanent establishment avoidance </w:t>
      </w:r>
      <w:r w:rsidRPr="000E59E0">
        <w:t>and help Inland Revenue deal with uncooperative multinationals</w:t>
      </w:r>
      <w:r>
        <w:t xml:space="preserve">.  </w:t>
      </w:r>
    </w:p>
    <w:p w:rsidR="009E0969" w:rsidRDefault="009E0969" w:rsidP="00162298">
      <w:pPr>
        <w:pStyle w:val="Numberparagraph"/>
        <w:ind w:left="360"/>
      </w:pPr>
    </w:p>
    <w:p w:rsidR="00992C2A" w:rsidRPr="00992C2A" w:rsidRDefault="006817E7" w:rsidP="004A6C66">
      <w:pPr>
        <w:pStyle w:val="Numberparagraph"/>
      </w:pPr>
      <w:r w:rsidRPr="00992C2A">
        <w:rPr>
          <w:i/>
        </w:rPr>
        <w:t>Proposal on Transfer Pricing Time Bar</w:t>
      </w:r>
      <w:r w:rsidR="00992C2A">
        <w:rPr>
          <w:i/>
        </w:rPr>
        <w:t xml:space="preserve">  </w:t>
      </w:r>
    </w:p>
    <w:p w:rsidR="00992C2A" w:rsidRPr="00992C2A" w:rsidRDefault="00992C2A" w:rsidP="00162298">
      <w:pPr>
        <w:pStyle w:val="Numberparagraph"/>
        <w:ind w:left="360"/>
      </w:pPr>
    </w:p>
    <w:p w:rsidR="00370F88" w:rsidRDefault="00370F88" w:rsidP="008968CB">
      <w:pPr>
        <w:pStyle w:val="Numberparagraph"/>
        <w:numPr>
          <w:ilvl w:val="0"/>
          <w:numId w:val="6"/>
        </w:numPr>
        <w:ind w:left="0" w:firstLine="0"/>
      </w:pPr>
      <w:r>
        <w:t xml:space="preserve">The discussion document proposed extending Inland Revenue’s time bar for adjusting a taxpayer’s transfer pricing position from four to seven years.  Submitters opposed this extension on the basis that </w:t>
      </w:r>
      <w:r w:rsidR="00811AA9">
        <w:t xml:space="preserve">it </w:t>
      </w:r>
      <w:r>
        <w:t>increased uncertainty and was out of step with the general time bar, which applies to other areas of tax.  However, we are continuing to recommend the seven year rule.  Having a longer time bar for transfer pricing cases is consistent with both Australia and Canada (who also have shorter time bars for other tax disputes) and reflects the information asymmetry that exists in</w:t>
      </w:r>
      <w:r w:rsidR="00BD356D">
        <w:t xml:space="preserve"> transfer pricing</w:t>
      </w:r>
      <w:r>
        <w:t xml:space="preserve"> cases </w:t>
      </w:r>
      <w:r w:rsidR="00BD356D">
        <w:t xml:space="preserve">(especially </w:t>
      </w:r>
      <w:r>
        <w:t xml:space="preserve">where taxpayers </w:t>
      </w:r>
      <w:r w:rsidR="00130663">
        <w:t>may hold relevant information offshore</w:t>
      </w:r>
      <w:r w:rsidR="00BD356D">
        <w:t>)</w:t>
      </w:r>
      <w:r w:rsidR="00130663">
        <w:t>.</w:t>
      </w:r>
    </w:p>
    <w:p w:rsidR="00130663" w:rsidRDefault="00130663" w:rsidP="005B0556">
      <w:pPr>
        <w:tabs>
          <w:tab w:val="left" w:pos="567"/>
        </w:tabs>
        <w:jc w:val="both"/>
        <w:rPr>
          <w:szCs w:val="24"/>
          <w:lang w:eastAsia="en-AU"/>
        </w:rPr>
      </w:pPr>
    </w:p>
    <w:p w:rsidR="00992C2A" w:rsidRPr="00992C2A" w:rsidRDefault="006817E7" w:rsidP="004A6C66">
      <w:pPr>
        <w:pStyle w:val="Numberparagraph"/>
      </w:pPr>
      <w:r w:rsidRPr="00992C2A">
        <w:rPr>
          <w:i/>
        </w:rPr>
        <w:t xml:space="preserve">Proposal on </w:t>
      </w:r>
      <w:r w:rsidR="00992C2A" w:rsidRPr="00992C2A">
        <w:rPr>
          <w:i/>
        </w:rPr>
        <w:t>p</w:t>
      </w:r>
      <w:r w:rsidR="009E0969" w:rsidRPr="00992C2A">
        <w:rPr>
          <w:i/>
        </w:rPr>
        <w:t>ermanent establishment avoidance</w:t>
      </w:r>
    </w:p>
    <w:p w:rsidR="00992C2A" w:rsidRDefault="00992C2A" w:rsidP="00992C2A">
      <w:pPr>
        <w:pStyle w:val="ListParagraph"/>
        <w:rPr>
          <w:i/>
        </w:rPr>
      </w:pPr>
    </w:p>
    <w:p w:rsidR="00130663" w:rsidRPr="00130663" w:rsidRDefault="00992C2A" w:rsidP="008968CB">
      <w:pPr>
        <w:pStyle w:val="Numberparagraph"/>
        <w:numPr>
          <w:ilvl w:val="0"/>
          <w:numId w:val="6"/>
        </w:numPr>
        <w:ind w:left="0" w:firstLine="0"/>
      </w:pPr>
      <w:r>
        <w:t xml:space="preserve">This </w:t>
      </w:r>
      <w:r w:rsidR="00130663">
        <w:t>proposal is aimed a</w:t>
      </w:r>
      <w:r w:rsidR="00811AA9">
        <w:t>t</w:t>
      </w:r>
      <w:r w:rsidR="00130663">
        <w:t xml:space="preserve"> preventing taxpayers from structuring their affairs to avoid a taxable presence in New Zealand where one exists in substance. </w:t>
      </w:r>
      <w:r w:rsidR="006424EA">
        <w:t>The</w:t>
      </w:r>
      <w:r w:rsidR="00E8635D">
        <w:t xml:space="preserve"> OECD has </w:t>
      </w:r>
      <w:r w:rsidR="006424EA">
        <w:t>updated</w:t>
      </w:r>
      <w:r w:rsidR="00E8635D">
        <w:t xml:space="preserve"> their model</w:t>
      </w:r>
      <w:r w:rsidR="006424EA">
        <w:t xml:space="preserve"> tax treaty to</w:t>
      </w:r>
      <w:r w:rsidR="00E8635D">
        <w:t xml:space="preserve"> </w:t>
      </w:r>
      <w:r w:rsidR="006424EA">
        <w:t xml:space="preserve">address this issue and </w:t>
      </w:r>
      <w:r w:rsidR="00E8635D">
        <w:t>New Zealand</w:t>
      </w:r>
      <w:r w:rsidR="006424EA">
        <w:t xml:space="preserve"> is adopting this into our </w:t>
      </w:r>
      <w:r w:rsidR="00F942DC">
        <w:t xml:space="preserve">tax treaties </w:t>
      </w:r>
      <w:r w:rsidR="006424EA">
        <w:t xml:space="preserve">by signing the OECD’s </w:t>
      </w:r>
      <w:r w:rsidR="00606591">
        <w:t>multi</w:t>
      </w:r>
      <w:r w:rsidR="006424EA">
        <w:t>lateral instrument.</w:t>
      </w:r>
      <w:r w:rsidR="00E8635D">
        <w:t xml:space="preserve"> </w:t>
      </w:r>
      <w:r w:rsidR="00C613A7">
        <w:t>In addition to this, l</w:t>
      </w:r>
      <w:r w:rsidR="006424EA">
        <w:t xml:space="preserve">ike Australia and the UK, we are </w:t>
      </w:r>
      <w:r w:rsidR="00606591">
        <w:t xml:space="preserve">also </w:t>
      </w:r>
      <w:r w:rsidR="001E64CA">
        <w:t xml:space="preserve">introducing </w:t>
      </w:r>
      <w:r w:rsidR="00F942DC">
        <w:t>a permanent establishment</w:t>
      </w:r>
      <w:r w:rsidR="006424EA">
        <w:t xml:space="preserve"> avoidance rule into our domestic law</w:t>
      </w:r>
      <w:r w:rsidR="00C613A7">
        <w:t>.</w:t>
      </w:r>
      <w:r w:rsidR="006424EA">
        <w:t xml:space="preserve"> </w:t>
      </w:r>
      <w:r w:rsidR="00C613A7">
        <w:t>The domestic law change is</w:t>
      </w:r>
      <w:r w:rsidR="006424EA">
        <w:t xml:space="preserve"> necessary to cover cases where the relevant tax treaty does not yet include the OECD’s new recommendation.</w:t>
      </w:r>
      <w:r w:rsidR="00E8635D">
        <w:t xml:space="preserve"> </w:t>
      </w:r>
      <w:r w:rsidR="00130663">
        <w:t xml:space="preserve"> Submitters were of the view that the proposed rule was too broad and would catch ordinary commercial arrangements that were not its intended target.  We agree that any rule should be</w:t>
      </w:r>
      <w:r w:rsidR="00BD356D">
        <w:t xml:space="preserve"> more</w:t>
      </w:r>
      <w:r w:rsidR="00130663">
        <w:t xml:space="preserve"> narrowly targeted at avoidance arrangements and therefore recommend that officials consult further with submitters to achieve this result.</w:t>
      </w:r>
    </w:p>
    <w:p w:rsidR="00370F88" w:rsidRDefault="00370F88" w:rsidP="005B0556">
      <w:pPr>
        <w:tabs>
          <w:tab w:val="left" w:pos="567"/>
        </w:tabs>
        <w:jc w:val="both"/>
        <w:rPr>
          <w:szCs w:val="24"/>
          <w:lang w:eastAsia="en-AU"/>
        </w:rPr>
      </w:pPr>
    </w:p>
    <w:p w:rsidR="00F9488B" w:rsidRPr="00F9488B" w:rsidRDefault="00DA597B" w:rsidP="00F9488B">
      <w:pPr>
        <w:pStyle w:val="TRBodyText"/>
        <w:rPr>
          <w:b/>
        </w:rPr>
      </w:pPr>
      <w:r w:rsidRPr="003F4B5B">
        <w:rPr>
          <w:b/>
          <w:i/>
          <w:szCs w:val="24"/>
        </w:rPr>
        <w:t>Main Issues on</w:t>
      </w:r>
      <w:r w:rsidR="00144E6D">
        <w:rPr>
          <w:b/>
          <w:i/>
          <w:szCs w:val="24"/>
        </w:rPr>
        <w:t xml:space="preserve"> BEPS </w:t>
      </w:r>
      <w:r w:rsidR="00144E6D" w:rsidRPr="00F9488B">
        <w:rPr>
          <w:b/>
          <w:i/>
        </w:rPr>
        <w:t>–</w:t>
      </w:r>
      <w:r w:rsidRPr="003F4B5B">
        <w:rPr>
          <w:b/>
          <w:i/>
          <w:szCs w:val="24"/>
        </w:rPr>
        <w:t xml:space="preserve"> </w:t>
      </w:r>
      <w:r w:rsidR="00F9488B" w:rsidRPr="00F9488B">
        <w:rPr>
          <w:b/>
          <w:i/>
        </w:rPr>
        <w:t>Addressing hybrid mismatch arrangements</w:t>
      </w:r>
    </w:p>
    <w:p w:rsidR="00370F88" w:rsidRPr="00F9488B" w:rsidRDefault="00370F88" w:rsidP="005B0556">
      <w:pPr>
        <w:tabs>
          <w:tab w:val="left" w:pos="567"/>
        </w:tabs>
        <w:jc w:val="both"/>
        <w:rPr>
          <w:b/>
          <w:szCs w:val="24"/>
          <w:lang w:eastAsia="en-AU"/>
        </w:rPr>
      </w:pPr>
    </w:p>
    <w:p w:rsidR="00DA597B" w:rsidRDefault="00DA597B" w:rsidP="008968CB">
      <w:pPr>
        <w:pStyle w:val="Numberparagraph"/>
        <w:numPr>
          <w:ilvl w:val="0"/>
          <w:numId w:val="6"/>
        </w:numPr>
        <w:ind w:left="0" w:firstLine="0"/>
      </w:pPr>
      <w:r>
        <w:t xml:space="preserve">The </w:t>
      </w:r>
      <w:r w:rsidR="00C36073">
        <w:rPr>
          <w:i/>
        </w:rPr>
        <w:t xml:space="preserve">BEPS – </w:t>
      </w:r>
      <w:r w:rsidR="00144E6D">
        <w:rPr>
          <w:i/>
        </w:rPr>
        <w:t xml:space="preserve">addressing </w:t>
      </w:r>
      <w:r w:rsidR="00C36073">
        <w:rPr>
          <w:i/>
        </w:rPr>
        <w:t>h</w:t>
      </w:r>
      <w:r w:rsidR="008968CB">
        <w:rPr>
          <w:i/>
        </w:rPr>
        <w:t>ybrid mismatch arrangements</w:t>
      </w:r>
      <w:r w:rsidR="00C36073">
        <w:rPr>
          <w:i/>
        </w:rPr>
        <w:t xml:space="preserve"> </w:t>
      </w:r>
      <w:r>
        <w:t>Cabinet paper proposes measures to remove the tax advantages of hybrid mismatch arrangements.  Hybrid mismatch arrangements</w:t>
      </w:r>
      <w:r w:rsidRPr="00042181">
        <w:t xml:space="preserve"> </w:t>
      </w:r>
      <w:r>
        <w:t>arise when</w:t>
      </w:r>
      <w:r w:rsidRPr="00042181">
        <w:t xml:space="preserve"> countries classify transactions and entities differently from each other under their domestic</w:t>
      </w:r>
      <w:r>
        <w:t xml:space="preserve"> tax</w:t>
      </w:r>
      <w:r w:rsidRPr="00042181">
        <w:t xml:space="preserve"> laws</w:t>
      </w:r>
      <w:r>
        <w:t xml:space="preserve">.  </w:t>
      </w:r>
      <w:r w:rsidRPr="00042181">
        <w:t xml:space="preserve">For example, fixed rate shares may be treated as debt in one country and </w:t>
      </w:r>
      <w:r>
        <w:t xml:space="preserve">shares in another, thus allowing the payment of an amount that is deductible in the payer’s country but non-assessable in the payee’s.  </w:t>
      </w:r>
      <w:r w:rsidR="00905FDB">
        <w:t xml:space="preserve">Australia, the UK and </w:t>
      </w:r>
      <w:r w:rsidR="006913B2" w:rsidRPr="006913B2">
        <w:t xml:space="preserve">EU member countries </w:t>
      </w:r>
      <w:r w:rsidR="00905FDB">
        <w:t>are taking similar actions to address BEPS from hybrid mismatches</w:t>
      </w:r>
      <w:r w:rsidR="001E64CA">
        <w:t>.</w:t>
      </w:r>
    </w:p>
    <w:p w:rsidR="00130663" w:rsidRDefault="00130663" w:rsidP="005B0556">
      <w:pPr>
        <w:tabs>
          <w:tab w:val="left" w:pos="567"/>
        </w:tabs>
        <w:jc w:val="both"/>
        <w:rPr>
          <w:szCs w:val="24"/>
          <w:lang w:eastAsia="en-AU"/>
        </w:rPr>
      </w:pPr>
    </w:p>
    <w:p w:rsidR="00992C2A" w:rsidRPr="00992C2A" w:rsidRDefault="006817E7" w:rsidP="00162298">
      <w:pPr>
        <w:pStyle w:val="Numberparagraph"/>
        <w:ind w:left="360" w:hanging="360"/>
      </w:pPr>
      <w:r w:rsidRPr="00992C2A">
        <w:rPr>
          <w:i/>
        </w:rPr>
        <w:t>Scope of the rules</w:t>
      </w:r>
      <w:r w:rsidRPr="00467439">
        <w:rPr>
          <w:b/>
        </w:rPr>
        <w:t xml:space="preserve"> </w:t>
      </w:r>
    </w:p>
    <w:p w:rsidR="00992C2A" w:rsidRPr="00992C2A" w:rsidRDefault="00992C2A" w:rsidP="00162298">
      <w:pPr>
        <w:pStyle w:val="Numberparagraph"/>
        <w:ind w:left="360"/>
      </w:pPr>
    </w:p>
    <w:p w:rsidR="002F4879" w:rsidRDefault="00130663" w:rsidP="008968CB">
      <w:pPr>
        <w:pStyle w:val="Numberparagraph"/>
        <w:numPr>
          <w:ilvl w:val="0"/>
          <w:numId w:val="6"/>
        </w:numPr>
        <w:ind w:left="0" w:firstLine="0"/>
      </w:pPr>
      <w:r>
        <w:t xml:space="preserve">The hybrids proposals </w:t>
      </w:r>
      <w:r w:rsidR="002A0C81">
        <w:t xml:space="preserve">in the discussion document </w:t>
      </w:r>
      <w:r>
        <w:t>cover</w:t>
      </w:r>
      <w:r w:rsidR="002A0C81">
        <w:t>ed</w:t>
      </w:r>
      <w:r>
        <w:t xml:space="preserve"> </w:t>
      </w:r>
      <w:r w:rsidR="00BD356D">
        <w:t xml:space="preserve">the </w:t>
      </w:r>
      <w:r>
        <w:t xml:space="preserve">full suite of OECD recommendations in this area, even though there </w:t>
      </w:r>
      <w:r w:rsidR="002A0C81">
        <w:t xml:space="preserve">is </w:t>
      </w:r>
      <w:r>
        <w:t xml:space="preserve">limited evidence of some of the structures being used in New Zealand. Submitters therefore suggested that our rules should concentrate on the known mischief.  On balance, we recommend a comprehensive </w:t>
      </w:r>
      <w:r w:rsidR="00C36073">
        <w:t>adoption of the OECD recommendations on hybrid mismatch arrangements with suitable modifications for the New Zealand context</w:t>
      </w:r>
      <w:r>
        <w:t xml:space="preserve">.  Tackling only the known structures might </w:t>
      </w:r>
      <w:r w:rsidR="002A0C81">
        <w:t xml:space="preserve">leave a loophole to use </w:t>
      </w:r>
      <w:r>
        <w:t xml:space="preserve">those that are not covered, encouraging taxpayers to move into different tax-efficient hybrids rather than converting to more conventional funding structures. </w:t>
      </w:r>
      <w:r w:rsidR="002F4879">
        <w:t xml:space="preserve"> A partial response also </w:t>
      </w:r>
      <w:r>
        <w:t>ignore</w:t>
      </w:r>
      <w:r w:rsidR="002F4879">
        <w:t>s</w:t>
      </w:r>
      <w:r>
        <w:t xml:space="preserve"> the fact that some of the other </w:t>
      </w:r>
      <w:r w:rsidR="002F4879">
        <w:t>structures</w:t>
      </w:r>
      <w:r>
        <w:t xml:space="preserve"> might</w:t>
      </w:r>
      <w:r w:rsidR="002F4879">
        <w:t xml:space="preserve"> actually be in use, </w:t>
      </w:r>
      <w:r>
        <w:t>but hav</w:t>
      </w:r>
      <w:r w:rsidR="002F4879">
        <w:t>e not been picked up by Inland Revenue audit</w:t>
      </w:r>
      <w:r>
        <w:t xml:space="preserve">.  </w:t>
      </w:r>
    </w:p>
    <w:p w:rsidR="002F4879" w:rsidRDefault="002F4879" w:rsidP="005B0556">
      <w:pPr>
        <w:tabs>
          <w:tab w:val="left" w:pos="567"/>
        </w:tabs>
        <w:jc w:val="both"/>
        <w:rPr>
          <w:szCs w:val="24"/>
          <w:lang w:eastAsia="en-AU"/>
        </w:rPr>
      </w:pPr>
    </w:p>
    <w:p w:rsidR="00992C2A" w:rsidRDefault="006817E7" w:rsidP="00162298">
      <w:pPr>
        <w:pStyle w:val="Numberparagraph"/>
        <w:ind w:left="360" w:hanging="360"/>
      </w:pPr>
      <w:r w:rsidRPr="00992C2A">
        <w:rPr>
          <w:i/>
        </w:rPr>
        <w:t>Foreign Trusts</w:t>
      </w:r>
    </w:p>
    <w:p w:rsidR="00992C2A" w:rsidRDefault="00992C2A" w:rsidP="00162298">
      <w:pPr>
        <w:pStyle w:val="Numberparagraph"/>
        <w:ind w:left="360"/>
      </w:pPr>
    </w:p>
    <w:p w:rsidR="002F3A1B" w:rsidRDefault="002F4879" w:rsidP="005C46BB">
      <w:pPr>
        <w:pStyle w:val="Numberparagraph"/>
        <w:numPr>
          <w:ilvl w:val="0"/>
          <w:numId w:val="6"/>
        </w:numPr>
        <w:ind w:left="0" w:firstLine="0"/>
      </w:pPr>
      <w:r>
        <w:t>Foreign trusts are, simply put, trusts that have a New Zealand trustee, but are set up</w:t>
      </w:r>
      <w:r w:rsidR="001C3954">
        <w:t xml:space="preserve"> by</w:t>
      </w:r>
      <w:r>
        <w:t xml:space="preserve"> a non-resident </w:t>
      </w:r>
      <w:r w:rsidR="002F3A1B">
        <w:t xml:space="preserve">(the settlor) </w:t>
      </w:r>
      <w:r>
        <w:t xml:space="preserve">and </w:t>
      </w:r>
      <w:r w:rsidR="008968CB">
        <w:t xml:space="preserve">generally </w:t>
      </w:r>
      <w:r>
        <w:t>derive only foreign-sourced income.  Under current settings, foreign trusts are not taxed in New Zealand</w:t>
      </w:r>
      <w:r w:rsidR="008968CB">
        <w:t>, except on any New Zealand sourced income</w:t>
      </w:r>
      <w:r>
        <w:t xml:space="preserve">.  This was confirmed as appropriate by the </w:t>
      </w:r>
      <w:r w:rsidR="00C36073">
        <w:t xml:space="preserve">2016 </w:t>
      </w:r>
      <w:r w:rsidR="00C36073" w:rsidRPr="004516E9">
        <w:t>Government Inquiry into Foreign Trust Disclosure Rules</w:t>
      </w:r>
      <w:r w:rsidR="00C36073">
        <w:t xml:space="preserve"> (the </w:t>
      </w:r>
      <w:r>
        <w:t>Shewan Inquiry</w:t>
      </w:r>
      <w:r w:rsidR="00C36073">
        <w:t>)</w:t>
      </w:r>
      <w:r>
        <w:t xml:space="preserve">.  However, </w:t>
      </w:r>
      <w:r w:rsidR="00C36073">
        <w:t>the</w:t>
      </w:r>
      <w:r w:rsidR="00811AA9">
        <w:t xml:space="preserve"> Shewan</w:t>
      </w:r>
      <w:r w:rsidR="00C36073">
        <w:t xml:space="preserve"> Inquiry</w:t>
      </w:r>
      <w:r w:rsidR="00811AA9">
        <w:t xml:space="preserve">’s conclusion was based on the existing tax settings and </w:t>
      </w:r>
      <w:r>
        <w:t xml:space="preserve">the hybrids project has the potential to </w:t>
      </w:r>
      <w:r w:rsidR="00811AA9">
        <w:t xml:space="preserve">change these settings </w:t>
      </w:r>
      <w:r>
        <w:t xml:space="preserve">in </w:t>
      </w:r>
      <w:r w:rsidR="002F3A1B">
        <w:t xml:space="preserve">certain </w:t>
      </w:r>
      <w:r>
        <w:t>circumstances</w:t>
      </w:r>
      <w:r w:rsidR="002F3A1B">
        <w:t xml:space="preserve">.  </w:t>
      </w:r>
      <w:r>
        <w:t xml:space="preserve"> </w:t>
      </w:r>
    </w:p>
    <w:p w:rsidR="002F3A1B" w:rsidRDefault="002F3A1B" w:rsidP="005C46BB">
      <w:pPr>
        <w:pStyle w:val="Numberparagraph"/>
      </w:pPr>
    </w:p>
    <w:p w:rsidR="002F4879" w:rsidRDefault="002F3A1B" w:rsidP="005C46BB">
      <w:pPr>
        <w:pStyle w:val="Numberparagraph"/>
        <w:numPr>
          <w:ilvl w:val="0"/>
          <w:numId w:val="6"/>
        </w:numPr>
        <w:ind w:left="0" w:firstLine="0"/>
      </w:pPr>
      <w:r>
        <w:t xml:space="preserve">From a </w:t>
      </w:r>
      <w:r w:rsidR="008968CB">
        <w:t xml:space="preserve">tax policy </w:t>
      </w:r>
      <w:r>
        <w:t xml:space="preserve">perspective, </w:t>
      </w:r>
      <w:r w:rsidR="00BD356D">
        <w:t xml:space="preserve">foreign </w:t>
      </w:r>
      <w:r>
        <w:t xml:space="preserve">trusts are </w:t>
      </w:r>
      <w:r w:rsidR="00F35105">
        <w:t xml:space="preserve">treated as </w:t>
      </w:r>
      <w:r>
        <w:t xml:space="preserve">transparent </w:t>
      </w:r>
      <w:r w:rsidR="00F35105">
        <w:t xml:space="preserve">in </w:t>
      </w:r>
      <w:r>
        <w:t xml:space="preserve">New Zealand.  </w:t>
      </w:r>
      <w:r w:rsidR="008968CB">
        <w:t xml:space="preserve">New Zealand takes the view that, to the extent the income is not paid to beneficiaries more or less as earned, it should be taxed to </w:t>
      </w:r>
      <w:r>
        <w:t xml:space="preserve">the settlor in their home jurisdiction.  By contrast, the jurisdiction of the settlor may see the trust as a separate entity and not tax the income on the mistaken assumption that the trustee is being taxed in New Zealand.  When </w:t>
      </w:r>
      <w:r w:rsidR="002F4879">
        <w:t xml:space="preserve">the income of the trust is not taxed anywhere in the world because of </w:t>
      </w:r>
      <w:r>
        <w:t xml:space="preserve">the </w:t>
      </w:r>
      <w:r w:rsidR="002F4879">
        <w:t xml:space="preserve">different </w:t>
      </w:r>
      <w:r w:rsidR="008968CB">
        <w:t xml:space="preserve">tax treatment </w:t>
      </w:r>
      <w:r w:rsidR="002F4879">
        <w:t xml:space="preserve">the </w:t>
      </w:r>
      <w:r>
        <w:t>relevant</w:t>
      </w:r>
      <w:r w:rsidR="002F4879">
        <w:t xml:space="preserve"> countries place on the trust structure</w:t>
      </w:r>
      <w:r>
        <w:t>, we recommend the New Zealand trustee be subject to tax</w:t>
      </w:r>
      <w:r w:rsidR="002F4879">
        <w:t xml:space="preserve">. </w:t>
      </w:r>
      <w:r w:rsidR="00523EC6">
        <w:t xml:space="preserve"> </w:t>
      </w:r>
      <w:r w:rsidR="00D735AF">
        <w:t xml:space="preserve">This measure would not result in double taxation of </w:t>
      </w:r>
      <w:r w:rsidR="00523EC6">
        <w:t>current year</w:t>
      </w:r>
      <w:r w:rsidR="00D735AF">
        <w:t xml:space="preserve"> trust income.  </w:t>
      </w:r>
    </w:p>
    <w:p w:rsidR="002F3A1B" w:rsidRDefault="002F3A1B" w:rsidP="005C46BB">
      <w:pPr>
        <w:pStyle w:val="Numberparagraph"/>
      </w:pPr>
    </w:p>
    <w:p w:rsidR="002F3A1B" w:rsidRPr="002F4879" w:rsidRDefault="002F3A1B" w:rsidP="005C46BB">
      <w:pPr>
        <w:pStyle w:val="Numberparagraph"/>
        <w:numPr>
          <w:ilvl w:val="0"/>
          <w:numId w:val="6"/>
        </w:numPr>
        <w:ind w:left="0" w:firstLine="0"/>
      </w:pPr>
      <w:r>
        <w:t>We anticipate this meaning that most foreign trusts will be taxed</w:t>
      </w:r>
      <w:r w:rsidR="001C3954">
        <w:t xml:space="preserve"> </w:t>
      </w:r>
      <w:r w:rsidR="008968CB">
        <w:t>in New Zealand on their foreign sourced income</w:t>
      </w:r>
      <w:r>
        <w:t xml:space="preserve">.  However, it is important to note that this does not mean that they all will be.  The relevant enquiry is “would the income be included in the tax calculation of the settlor in their own country if they had earned that income directly?”  If the answer is “no” </w:t>
      </w:r>
      <w:r w:rsidR="008968CB">
        <w:t>(</w:t>
      </w:r>
      <w:r>
        <w:t xml:space="preserve">and there might be numerous reasons why this would be the case, </w:t>
      </w:r>
      <w:r w:rsidR="008968CB">
        <w:t xml:space="preserve">such as if the settlor is tax exempt, or in a country that does not tax residents on their worldwide income) </w:t>
      </w:r>
      <w:r>
        <w:t xml:space="preserve">then no New Zealand tax would be imposed.  </w:t>
      </w:r>
      <w:r w:rsidR="008968CB">
        <w:t xml:space="preserve">If the answer is “yes” then New Zealand tax should be imposed unless </w:t>
      </w:r>
      <w:r w:rsidR="008968CB" w:rsidRPr="00412B0F">
        <w:t>the income is included in the tax calculation of any person in the same control group (for example, the settlor or a beneficiary) in their own country in the corresponding income year</w:t>
      </w:r>
      <w:r w:rsidR="008968CB">
        <w:t>.</w:t>
      </w:r>
    </w:p>
    <w:p w:rsidR="005B0556" w:rsidRDefault="005B0556" w:rsidP="005C46BB">
      <w:pPr>
        <w:pStyle w:val="Numberparagraph"/>
      </w:pPr>
    </w:p>
    <w:p w:rsidR="005B0556" w:rsidRPr="005B0556" w:rsidRDefault="006E47FA" w:rsidP="006E47FA">
      <w:pPr>
        <w:pStyle w:val="Numberparagraph"/>
        <w:numPr>
          <w:ilvl w:val="0"/>
          <w:numId w:val="6"/>
        </w:numPr>
        <w:ind w:left="0" w:firstLine="0"/>
      </w:pPr>
      <w:r w:rsidRPr="006E47FA">
        <w:t>Finally, we note that taxing foreign trusts in this way was signalled when the hybrids consultation paper was released in September 2016.  However, because this rule has the potential to apply to both foreign trusts and limited partnerships, and because the foreign trust industry has very recently incurred significant compliance costs associated with the recommendations of the Shewan Inquiry, we are recommending a delayed effective date to give these structur</w:t>
      </w:r>
      <w:r>
        <w:t>es time to assess their options</w:t>
      </w:r>
      <w:r w:rsidRPr="006E47FA">
        <w:t>.</w:t>
      </w:r>
    </w:p>
    <w:p w:rsidR="001B56A9" w:rsidRPr="001B56A9" w:rsidRDefault="001B56A9" w:rsidP="00CE0DD3">
      <w:pPr>
        <w:tabs>
          <w:tab w:val="left" w:pos="567"/>
        </w:tabs>
        <w:jc w:val="both"/>
        <w:rPr>
          <w:szCs w:val="24"/>
          <w:lang w:eastAsia="en-AU"/>
        </w:rPr>
      </w:pPr>
    </w:p>
    <w:p w:rsidR="00CE0DD3" w:rsidRPr="00162298" w:rsidRDefault="00CE0DD3" w:rsidP="00162298">
      <w:pPr>
        <w:pStyle w:val="TRBodyText"/>
        <w:rPr>
          <w:b/>
          <w:i/>
          <w:szCs w:val="24"/>
        </w:rPr>
      </w:pPr>
      <w:r w:rsidRPr="00162298">
        <w:rPr>
          <w:b/>
          <w:i/>
          <w:szCs w:val="24"/>
        </w:rPr>
        <w:t>Application dates</w:t>
      </w:r>
      <w:r w:rsidR="00C71E77" w:rsidRPr="00162298">
        <w:rPr>
          <w:b/>
          <w:i/>
          <w:szCs w:val="24"/>
        </w:rPr>
        <w:t xml:space="preserve"> and transitional measures</w:t>
      </w:r>
    </w:p>
    <w:p w:rsidR="00CE0DD3" w:rsidRPr="00467439" w:rsidRDefault="00CE0DD3" w:rsidP="00CE0DD3">
      <w:pPr>
        <w:pStyle w:val="Numberparagraph"/>
        <w:rPr>
          <w:sz w:val="28"/>
          <w:szCs w:val="28"/>
        </w:rPr>
      </w:pPr>
    </w:p>
    <w:p w:rsidR="00CE0DD3" w:rsidRDefault="001176AA" w:rsidP="005C46BB">
      <w:pPr>
        <w:pStyle w:val="Numberparagraph"/>
        <w:numPr>
          <w:ilvl w:val="0"/>
          <w:numId w:val="6"/>
        </w:numPr>
        <w:ind w:left="0" w:firstLine="0"/>
      </w:pPr>
      <w:r>
        <w:t xml:space="preserve">The measures should </w:t>
      </w:r>
      <w:r w:rsidR="00DA766E">
        <w:t xml:space="preserve">generally </w:t>
      </w:r>
      <w:r>
        <w:t>apply from</w:t>
      </w:r>
      <w:r w:rsidR="00882CB9">
        <w:t xml:space="preserve"> income years </w:t>
      </w:r>
      <w:r>
        <w:t xml:space="preserve">beginning on or after 1 July 2018. </w:t>
      </w:r>
      <w:r w:rsidR="00CE0DD3" w:rsidRPr="00102338">
        <w:t xml:space="preserve">Cabinet has already noted that the reforms are expected to </w:t>
      </w:r>
      <w:r w:rsidR="00CE0DD3">
        <w:t>apply</w:t>
      </w:r>
      <w:r w:rsidR="00CE0DD3" w:rsidRPr="00102338">
        <w:t xml:space="preserve"> from </w:t>
      </w:r>
      <w:r>
        <w:t>this date</w:t>
      </w:r>
      <w:r w:rsidR="00CE0DD3" w:rsidRPr="00102338">
        <w:t xml:space="preserve"> (CAB-17-MIN-0164 refers)</w:t>
      </w:r>
      <w:r w:rsidR="0050105F">
        <w:t xml:space="preserve">.  </w:t>
      </w:r>
      <w:r w:rsidR="00CE0DD3" w:rsidRPr="00102338">
        <w:t>This is based on the expectation that the legislation will be progresse</w:t>
      </w:r>
      <w:r w:rsidR="00CE0DD3">
        <w:t>d to enactment before this date</w:t>
      </w:r>
      <w:r w:rsidR="0050105F">
        <w:t xml:space="preserve">.  </w:t>
      </w:r>
    </w:p>
    <w:p w:rsidR="00CE0DD3" w:rsidRDefault="00CE0DD3" w:rsidP="005C46BB">
      <w:pPr>
        <w:pStyle w:val="Numberparagraph"/>
      </w:pPr>
    </w:p>
    <w:p w:rsidR="00CE0DD3" w:rsidRDefault="00DA766E" w:rsidP="00DA766E">
      <w:pPr>
        <w:pStyle w:val="Numberparagraph"/>
        <w:numPr>
          <w:ilvl w:val="0"/>
          <w:numId w:val="6"/>
        </w:numPr>
        <w:ind w:left="0" w:firstLine="0"/>
      </w:pPr>
      <w:r>
        <w:t>T</w:t>
      </w:r>
      <w:r w:rsidRPr="00DA766E">
        <w:t xml:space="preserve">he new administrative powers for Inland Revenue to deal with uncooperative multinationals should apply from the </w:t>
      </w:r>
      <w:r>
        <w:t xml:space="preserve">date the legislation is enacted. We also propose different </w:t>
      </w:r>
      <w:r w:rsidR="00EC0FE1">
        <w:t xml:space="preserve"> </w:t>
      </w:r>
      <w:r w:rsidR="00CE0DD3">
        <w:t>application date</w:t>
      </w:r>
      <w:r>
        <w:t>s</w:t>
      </w:r>
      <w:r w:rsidR="00CE0DD3">
        <w:t xml:space="preserve"> for two </w:t>
      </w:r>
      <w:r>
        <w:t xml:space="preserve">of the </w:t>
      </w:r>
      <w:r w:rsidR="00EC0FE1">
        <w:t>specific hybrid</w:t>
      </w:r>
      <w:r w:rsidR="00CE0DD3">
        <w:t xml:space="preserve"> mismatch proposals</w:t>
      </w:r>
      <w:r w:rsidR="0050105F">
        <w:t xml:space="preserve">.  </w:t>
      </w:r>
      <w:r w:rsidR="00CE0DD3">
        <w:t xml:space="preserve">We recommend </w:t>
      </w:r>
      <w:r w:rsidR="00CE0DD3" w:rsidRPr="007C6A35">
        <w:t>the unstructured imported mismatch</w:t>
      </w:r>
      <w:r w:rsidR="00CE0DD3">
        <w:t xml:space="preserve"> rule </w:t>
      </w:r>
      <w:r w:rsidR="008968CB">
        <w:t xml:space="preserve">(explained more fully in the attached </w:t>
      </w:r>
      <w:r w:rsidR="008968CB" w:rsidRPr="00DA766E">
        <w:t xml:space="preserve">BEPS – </w:t>
      </w:r>
      <w:r w:rsidR="00144E6D">
        <w:t>addressing h</w:t>
      </w:r>
      <w:r w:rsidR="008968CB" w:rsidRPr="00DA766E">
        <w:t>ybrid mismatch arrangements Cabinet paper</w:t>
      </w:r>
      <w:r w:rsidR="008968CB" w:rsidRPr="00243C08">
        <w:t>)</w:t>
      </w:r>
      <w:r w:rsidR="008968CB" w:rsidRPr="00DA766E">
        <w:t xml:space="preserve"> </w:t>
      </w:r>
      <w:r w:rsidR="00CE0DD3">
        <w:t xml:space="preserve">apply from </w:t>
      </w:r>
      <w:r w:rsidR="00CE0DD3" w:rsidRPr="007C6A35">
        <w:t xml:space="preserve">1 January 2020 </w:t>
      </w:r>
      <w:r w:rsidR="00CE0DD3">
        <w:t xml:space="preserve">and the reverse hybrid </w:t>
      </w:r>
      <w:r w:rsidR="00564468">
        <w:t>measures</w:t>
      </w:r>
      <w:r w:rsidR="00CE0DD3">
        <w:t xml:space="preserve"> </w:t>
      </w:r>
      <w:r w:rsidR="0082086C">
        <w:t xml:space="preserve">(generally expected to apply to </w:t>
      </w:r>
      <w:r w:rsidR="00CE0DD3">
        <w:t>limited partnerships and foreign trusts</w:t>
      </w:r>
      <w:r w:rsidR="0082086C">
        <w:t>)</w:t>
      </w:r>
      <w:r w:rsidR="00CE0DD3">
        <w:t xml:space="preserve"> apply for income years beginning on or after 1 April 2019</w:t>
      </w:r>
      <w:r w:rsidR="0050105F">
        <w:t xml:space="preserve">.  </w:t>
      </w:r>
      <w:r w:rsidR="00CE0DD3">
        <w:t xml:space="preserve"> </w:t>
      </w:r>
      <w:r w:rsidR="0050105F">
        <w:t xml:space="preserve">  </w:t>
      </w:r>
    </w:p>
    <w:p w:rsidR="00CE0DD3" w:rsidRDefault="00CE0DD3" w:rsidP="005C46BB">
      <w:pPr>
        <w:pStyle w:val="Numberparagraph"/>
      </w:pPr>
    </w:p>
    <w:p w:rsidR="00CE0DD3" w:rsidRDefault="00CE0DD3" w:rsidP="005C46BB">
      <w:pPr>
        <w:pStyle w:val="Numberparagraph"/>
        <w:numPr>
          <w:ilvl w:val="0"/>
          <w:numId w:val="6"/>
        </w:numPr>
        <w:ind w:left="0" w:firstLine="0"/>
      </w:pPr>
      <w:r>
        <w:t xml:space="preserve">We do not recommend any </w:t>
      </w:r>
      <w:r w:rsidR="00AA457A">
        <w:t xml:space="preserve">additional </w:t>
      </w:r>
      <w:r>
        <w:t>transitional relief from the measures, except:</w:t>
      </w:r>
    </w:p>
    <w:p w:rsidR="00CE0DD3" w:rsidRDefault="00CE0DD3" w:rsidP="00CE0DD3">
      <w:pPr>
        <w:pStyle w:val="ListParagraph"/>
      </w:pPr>
    </w:p>
    <w:p w:rsidR="00811AA9" w:rsidRDefault="00EC0FE1" w:rsidP="00CE0DD3">
      <w:pPr>
        <w:pStyle w:val="Numberparagraph"/>
        <w:numPr>
          <w:ilvl w:val="0"/>
          <w:numId w:val="19"/>
        </w:numPr>
      </w:pPr>
      <w:r>
        <w:t>r</w:t>
      </w:r>
      <w:r w:rsidR="00CE0DD3">
        <w:t>elief from the hybrids measures for certain</w:t>
      </w:r>
      <w:r w:rsidR="00C36073" w:rsidRPr="00C36073">
        <w:t xml:space="preserve"> </w:t>
      </w:r>
      <w:r w:rsidR="00C36073">
        <w:t xml:space="preserve">hybrid financial instruments </w:t>
      </w:r>
      <w:r w:rsidR="00CE0DD3">
        <w:t xml:space="preserve">issued </w:t>
      </w:r>
      <w:r w:rsidR="00882CB9">
        <w:t xml:space="preserve">to the public </w:t>
      </w:r>
      <w:r w:rsidR="00CE0DD3">
        <w:t xml:space="preserve">before </w:t>
      </w:r>
      <w:r w:rsidR="002A0C81">
        <w:t>6</w:t>
      </w:r>
      <w:r w:rsidR="00CE0DD3" w:rsidRPr="00E42A93">
        <w:t xml:space="preserve"> September 2016</w:t>
      </w:r>
      <w:r w:rsidR="00CE0DD3">
        <w:t xml:space="preserve"> (the date on which the hybrids discussion document was released)</w:t>
      </w:r>
      <w:r>
        <w:t xml:space="preserve">; </w:t>
      </w:r>
      <w:r w:rsidR="00DD540B">
        <w:t>and</w:t>
      </w:r>
    </w:p>
    <w:p w:rsidR="00811AA9" w:rsidRDefault="00811AA9" w:rsidP="00811AA9">
      <w:pPr>
        <w:pStyle w:val="Numberparagraph"/>
        <w:ind w:left="927"/>
      </w:pPr>
    </w:p>
    <w:p w:rsidR="00CE0DD3" w:rsidRPr="007C6A35" w:rsidRDefault="00EC0FE1" w:rsidP="00CE0DD3">
      <w:pPr>
        <w:pStyle w:val="Numberparagraph"/>
        <w:numPr>
          <w:ilvl w:val="0"/>
          <w:numId w:val="19"/>
        </w:numPr>
      </w:pPr>
      <w:r>
        <w:t>r</w:t>
      </w:r>
      <w:r w:rsidR="00CE0DD3">
        <w:t>elief from the transfer pricing and interest limitation measures for arrangements subject to an advance pricing agreement entered into before 1 July 2018</w:t>
      </w:r>
      <w:r>
        <w:t>.</w:t>
      </w:r>
      <w:r w:rsidR="001C3954">
        <w:t xml:space="preserve"> (An advance pricing agreement </w:t>
      </w:r>
      <w:r w:rsidR="001C3954" w:rsidRPr="00102338">
        <w:t>is a binding ruling</w:t>
      </w:r>
      <w:r w:rsidR="001C3954">
        <w:t xml:space="preserve"> from Inland Revenue</w:t>
      </w:r>
      <w:r w:rsidR="001C3954" w:rsidRPr="00102338">
        <w:t xml:space="preserve"> </w:t>
      </w:r>
      <w:r w:rsidR="001C3954">
        <w:t>that</w:t>
      </w:r>
      <w:r w:rsidR="001C3954" w:rsidRPr="00102338">
        <w:t xml:space="preserve"> </w:t>
      </w:r>
      <w:r w:rsidR="001C3954">
        <w:t>confirms that the</w:t>
      </w:r>
      <w:r w:rsidR="001C3954" w:rsidRPr="00102338">
        <w:t xml:space="preserve"> taxpayer’s plann</w:t>
      </w:r>
      <w:r w:rsidR="00905FDB">
        <w:t>ed transfer pricing positions are</w:t>
      </w:r>
      <w:r w:rsidR="001C3954" w:rsidRPr="00102338">
        <w:t xml:space="preserve"> compliant with the transfer pricing rules for up to five year</w:t>
      </w:r>
      <w:r w:rsidR="001C3954">
        <w:t>s.)</w:t>
      </w:r>
    </w:p>
    <w:p w:rsidR="00CF4B35" w:rsidRDefault="00CF4B35" w:rsidP="007E2640">
      <w:pPr>
        <w:tabs>
          <w:tab w:val="left" w:pos="567"/>
        </w:tabs>
        <w:jc w:val="both"/>
        <w:rPr>
          <w:b/>
          <w:i/>
          <w:szCs w:val="24"/>
          <w:lang w:eastAsia="en-AU"/>
        </w:rPr>
      </w:pPr>
    </w:p>
    <w:p w:rsidR="00CF4B35" w:rsidRDefault="00CF4B35" w:rsidP="007E2640">
      <w:pPr>
        <w:tabs>
          <w:tab w:val="left" w:pos="567"/>
        </w:tabs>
        <w:jc w:val="both"/>
        <w:rPr>
          <w:b/>
          <w:i/>
          <w:szCs w:val="24"/>
          <w:lang w:eastAsia="en-AU"/>
        </w:rPr>
      </w:pPr>
    </w:p>
    <w:p w:rsidR="007E2640" w:rsidRPr="00DD23B8" w:rsidRDefault="004F6ED4" w:rsidP="007E2640">
      <w:pPr>
        <w:tabs>
          <w:tab w:val="left" w:pos="567"/>
        </w:tabs>
        <w:jc w:val="both"/>
        <w:rPr>
          <w:szCs w:val="24"/>
          <w:lang w:eastAsia="en-AU"/>
        </w:rPr>
      </w:pPr>
      <w:r w:rsidRPr="00DD23B8">
        <w:rPr>
          <w:b/>
          <w:bCs/>
          <w:szCs w:val="24"/>
          <w:lang w:eastAsia="en-AU"/>
        </w:rPr>
        <w:t>Consultation</w:t>
      </w:r>
    </w:p>
    <w:p w:rsidR="00763BDD" w:rsidRDefault="00763BDD" w:rsidP="007E2640">
      <w:pPr>
        <w:tabs>
          <w:tab w:val="left" w:pos="567"/>
        </w:tabs>
        <w:jc w:val="both"/>
        <w:rPr>
          <w:szCs w:val="24"/>
          <w:lang w:eastAsia="en-AU"/>
        </w:rPr>
      </w:pPr>
    </w:p>
    <w:p w:rsidR="00E4232F" w:rsidRDefault="0082086C" w:rsidP="008968CB">
      <w:pPr>
        <w:pStyle w:val="Numberparagraph"/>
        <w:numPr>
          <w:ilvl w:val="0"/>
          <w:numId w:val="6"/>
        </w:numPr>
        <w:ind w:left="0" w:firstLine="0"/>
      </w:pPr>
      <w:r>
        <w:t xml:space="preserve">Officials </w:t>
      </w:r>
      <w:r w:rsidR="00A85ED0">
        <w:t>consulted widely on the measures in the attached papers</w:t>
      </w:r>
      <w:r w:rsidR="0050105F">
        <w:t xml:space="preserve">.  </w:t>
      </w:r>
      <w:r>
        <w:t>D</w:t>
      </w:r>
      <w:r w:rsidR="003D4417">
        <w:t xml:space="preserve">iscussion documents </w:t>
      </w:r>
      <w:r>
        <w:t xml:space="preserve">were released for public feedback </w:t>
      </w:r>
      <w:r w:rsidR="00882CB9">
        <w:t xml:space="preserve">on the </w:t>
      </w:r>
      <w:r>
        <w:t xml:space="preserve">relevant topics </w:t>
      </w:r>
      <w:r w:rsidR="003D4417">
        <w:t xml:space="preserve">(referred to in paragraph </w:t>
      </w:r>
      <w:r w:rsidR="00BD356D">
        <w:fldChar w:fldCharType="begin"/>
      </w:r>
      <w:r w:rsidR="00BD356D">
        <w:instrText xml:space="preserve"> REF _Ref486942509 \r \h </w:instrText>
      </w:r>
      <w:r w:rsidR="005C46BB">
        <w:instrText xml:space="preserve"> \* MERGEFORMAT </w:instrText>
      </w:r>
      <w:r w:rsidR="00BD356D">
        <w:fldChar w:fldCharType="separate"/>
      </w:r>
      <w:r w:rsidR="00F258F8">
        <w:t>8</w:t>
      </w:r>
      <w:r w:rsidR="00BD356D">
        <w:fldChar w:fldCharType="end"/>
      </w:r>
      <w:r w:rsidR="003D4417">
        <w:t xml:space="preserve"> above)</w:t>
      </w:r>
      <w:r w:rsidR="0050105F">
        <w:t xml:space="preserve">.  </w:t>
      </w:r>
      <w:r>
        <w:t xml:space="preserve">For the hybrids proposals, given the earlier release of that discussion document, officials have undertaken a further round of consultation on the details of the proposals with interested stakeholders.  </w:t>
      </w:r>
      <w:r w:rsidR="00882CB9">
        <w:t xml:space="preserve">Inland Revenue </w:t>
      </w:r>
      <w:r w:rsidR="004F6461">
        <w:t>and</w:t>
      </w:r>
      <w:r w:rsidR="000204C4">
        <w:t xml:space="preserve"> Treasury</w:t>
      </w:r>
      <w:r w:rsidR="004F6461">
        <w:t xml:space="preserve"> officials have </w:t>
      </w:r>
      <w:r w:rsidR="002A0C81">
        <w:t xml:space="preserve">also </w:t>
      </w:r>
      <w:r w:rsidR="004F6461">
        <w:t>consulted with</w:t>
      </w:r>
      <w:r w:rsidR="00A85ED0">
        <w:t xml:space="preserve"> the Ministry of Foreign Affairs and Trade and the </w:t>
      </w:r>
      <w:r w:rsidR="00564468">
        <w:t>Ministry</w:t>
      </w:r>
      <w:r w:rsidR="00A85ED0">
        <w:t xml:space="preserve"> of Business, Innovation and Employment</w:t>
      </w:r>
      <w:r w:rsidR="0050105F">
        <w:t xml:space="preserve">.  </w:t>
      </w:r>
      <w:r w:rsidR="004F6461">
        <w:t>In addition, officials have</w:t>
      </w:r>
      <w:r w:rsidR="000204C4">
        <w:t xml:space="preserve"> </w:t>
      </w:r>
      <w:r w:rsidR="00882CB9">
        <w:t>discussed some of the measures</w:t>
      </w:r>
      <w:r w:rsidR="000204C4">
        <w:t xml:space="preserve"> with </w:t>
      </w:r>
      <w:r w:rsidR="004F6461">
        <w:t xml:space="preserve">their counterparts in </w:t>
      </w:r>
      <w:r w:rsidR="000204C4">
        <w:t>the Australian Taxation Office, the Australian Treasury and</w:t>
      </w:r>
      <w:r w:rsidR="001C3954">
        <w:t xml:space="preserve"> the</w:t>
      </w:r>
      <w:r w:rsidR="000204C4">
        <w:t xml:space="preserve"> OECD </w:t>
      </w:r>
      <w:r w:rsidR="004F6461">
        <w:t>secretariat</w:t>
      </w:r>
      <w:r w:rsidR="0050105F">
        <w:t xml:space="preserve">.  </w:t>
      </w:r>
    </w:p>
    <w:p w:rsidR="001C3954" w:rsidRDefault="001C3954" w:rsidP="001C3954">
      <w:pPr>
        <w:pStyle w:val="Numberparagraph"/>
        <w:ind w:left="360"/>
      </w:pPr>
    </w:p>
    <w:p w:rsidR="00C942BD" w:rsidRDefault="00C942BD" w:rsidP="008132B3">
      <w:pPr>
        <w:pStyle w:val="Numberparagraph"/>
        <w:rPr>
          <w:b/>
          <w:i/>
        </w:rPr>
      </w:pPr>
      <w:r>
        <w:rPr>
          <w:b/>
          <w:i/>
        </w:rPr>
        <w:t xml:space="preserve">General </w:t>
      </w:r>
      <w:r w:rsidR="001C3954">
        <w:rPr>
          <w:b/>
          <w:i/>
        </w:rPr>
        <w:t>f</w:t>
      </w:r>
      <w:r>
        <w:rPr>
          <w:b/>
          <w:i/>
        </w:rPr>
        <w:t>eedback on measures</w:t>
      </w:r>
    </w:p>
    <w:p w:rsidR="00C942BD" w:rsidRDefault="00C942BD" w:rsidP="00C942BD">
      <w:pPr>
        <w:tabs>
          <w:tab w:val="left" w:pos="567"/>
        </w:tabs>
        <w:jc w:val="both"/>
        <w:rPr>
          <w:b/>
          <w:i/>
          <w:szCs w:val="24"/>
          <w:lang w:eastAsia="en-AU"/>
        </w:rPr>
      </w:pPr>
    </w:p>
    <w:p w:rsidR="00C942BD" w:rsidRDefault="00C942BD" w:rsidP="008968CB">
      <w:pPr>
        <w:pStyle w:val="Numberparagraph"/>
        <w:numPr>
          <w:ilvl w:val="0"/>
          <w:numId w:val="6"/>
        </w:numPr>
        <w:ind w:left="0" w:firstLine="0"/>
      </w:pPr>
      <w:r w:rsidRPr="000233B6">
        <w:t xml:space="preserve">Submitters generally acknowledged </w:t>
      </w:r>
      <w:r w:rsidR="00882CB9">
        <w:t>the importance of</w:t>
      </w:r>
      <w:r w:rsidRPr="000233B6">
        <w:t xml:space="preserve"> address</w:t>
      </w:r>
      <w:r w:rsidR="00882CB9">
        <w:t>ing</w:t>
      </w:r>
      <w:r w:rsidRPr="000233B6">
        <w:t xml:space="preserve"> BEPS risks facing New Zealand and agreed in principle that change is needed to strengthen </w:t>
      </w:r>
      <w:r w:rsidR="00882CB9">
        <w:t>the current rules</w:t>
      </w:r>
      <w:r w:rsidR="0050105F">
        <w:t xml:space="preserve">.  </w:t>
      </w:r>
      <w:r w:rsidRPr="000233B6">
        <w:t>However, they did raise issues with certain features of the proposed measures and made suggestions to make them more workable and better targeted</w:t>
      </w:r>
      <w:r w:rsidR="0050105F">
        <w:t xml:space="preserve">.  </w:t>
      </w:r>
      <w:r w:rsidRPr="000233B6">
        <w:t>We have incorporated many of these suggestions</w:t>
      </w:r>
      <w:r w:rsidR="005B78FE">
        <w:t xml:space="preserve"> into the measures on which we </w:t>
      </w:r>
      <w:r>
        <w:t>now seek Cabinet approval</w:t>
      </w:r>
      <w:r w:rsidR="0050105F">
        <w:t xml:space="preserve">.  </w:t>
      </w:r>
    </w:p>
    <w:p w:rsidR="00C942BD" w:rsidRDefault="00C942BD" w:rsidP="00C942BD">
      <w:pPr>
        <w:pStyle w:val="Numberparagraph"/>
      </w:pPr>
    </w:p>
    <w:p w:rsidR="00C942BD" w:rsidRPr="00164375" w:rsidRDefault="00C942BD" w:rsidP="00C942BD">
      <w:pPr>
        <w:pStyle w:val="Numberparagraph"/>
        <w:rPr>
          <w:b/>
          <w:i/>
        </w:rPr>
      </w:pPr>
      <w:r>
        <w:rPr>
          <w:b/>
          <w:i/>
        </w:rPr>
        <w:t>Feedback on economic impact</w:t>
      </w:r>
    </w:p>
    <w:p w:rsidR="00C942BD" w:rsidRPr="000233B6" w:rsidRDefault="00C942BD" w:rsidP="00C942BD"/>
    <w:p w:rsidR="00C942BD" w:rsidRDefault="00C942BD" w:rsidP="008968CB">
      <w:pPr>
        <w:pStyle w:val="Numberparagraph"/>
        <w:numPr>
          <w:ilvl w:val="0"/>
          <w:numId w:val="6"/>
        </w:numPr>
        <w:ind w:left="0" w:firstLine="0"/>
      </w:pPr>
      <w:r w:rsidRPr="000233B6">
        <w:t>Some submitters argued that the proposals will have a detrimental effect on New Zealand being an attractive investment destination and should not be implemented</w:t>
      </w:r>
      <w:r w:rsidR="0050105F">
        <w:t xml:space="preserve">.  </w:t>
      </w:r>
      <w:r w:rsidRPr="000233B6">
        <w:t>They also argued that the proposed measures were complex and onerous, and may induce foreign companies to remove their existing personnel from New Zealand</w:t>
      </w:r>
      <w:r w:rsidR="0050105F">
        <w:t xml:space="preserve">.  </w:t>
      </w:r>
    </w:p>
    <w:p w:rsidR="00C942BD" w:rsidRPr="000233B6" w:rsidRDefault="00C942BD" w:rsidP="008968CB">
      <w:pPr>
        <w:pStyle w:val="Numberparagraph"/>
      </w:pPr>
    </w:p>
    <w:p w:rsidR="00C942BD" w:rsidRPr="00B63CBF" w:rsidRDefault="00C942BD" w:rsidP="00175F30">
      <w:pPr>
        <w:pStyle w:val="Numberparagraph"/>
        <w:numPr>
          <w:ilvl w:val="0"/>
          <w:numId w:val="6"/>
        </w:numPr>
        <w:ind w:left="0" w:firstLine="0"/>
      </w:pPr>
      <w:r w:rsidRPr="000233B6">
        <w:t>It is true that the</w:t>
      </w:r>
      <w:r w:rsidR="00CD0416">
        <w:t>re</w:t>
      </w:r>
      <w:r w:rsidR="00CD0416" w:rsidRPr="00CD0416">
        <w:t xml:space="preserve"> will be</w:t>
      </w:r>
      <w:r w:rsidR="00CD0416">
        <w:t xml:space="preserve"> additional tax and compliance</w:t>
      </w:r>
      <w:r w:rsidR="00CD0416" w:rsidRPr="00CD0416">
        <w:t xml:space="preserve"> costs</w:t>
      </w:r>
      <w:r w:rsidR="00CD0416">
        <w:t xml:space="preserve"> for some investors</w:t>
      </w:r>
      <w:r w:rsidR="00CD0416" w:rsidRPr="00CD0416">
        <w:t xml:space="preserve"> but these are necessary to address the issues</w:t>
      </w:r>
      <w:r w:rsidR="00CD0416">
        <w:t xml:space="preserve">. </w:t>
      </w:r>
      <w:r w:rsidR="00175F30">
        <w:t>We have used consultation to</w:t>
      </w:r>
      <w:r w:rsidR="00A8617B">
        <w:t xml:space="preserve"> refine the proposals</w:t>
      </w:r>
      <w:r w:rsidR="00175F30">
        <w:t>,</w:t>
      </w:r>
      <w:r w:rsidR="00A8617B">
        <w:t xml:space="preserve"> </w:t>
      </w:r>
      <w:r w:rsidR="00CD0416">
        <w:t xml:space="preserve">minimise unintended impacts and better target the BEPS concerns. </w:t>
      </w:r>
      <w:r w:rsidR="00277D49">
        <w:t xml:space="preserve">This should reduce the additional compliance costs, although it will not eliminate them. </w:t>
      </w:r>
      <w:r w:rsidR="00CD0416">
        <w:t xml:space="preserve">The </w:t>
      </w:r>
      <w:r w:rsidRPr="000233B6">
        <w:t>higher tax payments resulting from these measures will inevitably make New Zealand a less attractive investment location for multinationals engaged in BEPS arrangements</w:t>
      </w:r>
      <w:r w:rsidR="0050105F">
        <w:t>.</w:t>
      </w:r>
      <w:r w:rsidR="00175F30">
        <w:t xml:space="preserve"> </w:t>
      </w:r>
      <w:r w:rsidRPr="000233B6">
        <w:t xml:space="preserve">At the same time, these </w:t>
      </w:r>
      <w:r w:rsidRPr="00B63CBF">
        <w:t>multinationals should not be allowed to exploit weaknesses in our tax rules to achieve a competitive advantage over more compliant multinationals or domestic firms</w:t>
      </w:r>
      <w:r w:rsidR="0050105F" w:rsidRPr="00B63CBF">
        <w:t xml:space="preserve">.  </w:t>
      </w:r>
      <w:r w:rsidRPr="00B63CBF">
        <w:t xml:space="preserve">Furthermore, </w:t>
      </w:r>
      <w:r w:rsidR="001A0BB0" w:rsidRPr="00B63CBF">
        <w:t>arbitrary</w:t>
      </w:r>
      <w:r w:rsidRPr="00B63CBF">
        <w:t xml:space="preserve"> reductions in tax, depending upon the opportunism of taxpayers, are likely to distort the allocation of investment into New Zealand</w:t>
      </w:r>
      <w:r w:rsidR="0050105F" w:rsidRPr="00B63CBF">
        <w:t xml:space="preserve">.  </w:t>
      </w:r>
      <w:r w:rsidR="00B63CBF" w:rsidRPr="00B63CBF">
        <w:t xml:space="preserve">New Zealand is also undertaking these </w:t>
      </w:r>
      <w:r w:rsidR="00DE15BB">
        <w:t>BEPS measures</w:t>
      </w:r>
      <w:r w:rsidR="00DE15BB" w:rsidRPr="00B63CBF">
        <w:t xml:space="preserve"> </w:t>
      </w:r>
      <w:r w:rsidR="00B63CBF" w:rsidRPr="00B63CBF">
        <w:t xml:space="preserve">in line with a number of like-minded partners throughout the OECD and </w:t>
      </w:r>
      <w:r w:rsidR="00B63CBF">
        <w:t xml:space="preserve">the </w:t>
      </w:r>
      <w:r w:rsidR="00B63CBF" w:rsidRPr="00B63CBF">
        <w:t xml:space="preserve">expected </w:t>
      </w:r>
      <w:r w:rsidR="00B63CBF">
        <w:t xml:space="preserve">tax </w:t>
      </w:r>
      <w:r w:rsidR="00B63CBF" w:rsidRPr="00B63CBF">
        <w:t xml:space="preserve">revenue increase is expected to be relatively small. </w:t>
      </w:r>
      <w:r w:rsidRPr="00B63CBF">
        <w:t xml:space="preserve">Given this, we believe </w:t>
      </w:r>
      <w:r w:rsidR="00B63CBF" w:rsidRPr="00B63CBF">
        <w:t xml:space="preserve">any impacts on foreign direct investment into New Zealand will not be material and </w:t>
      </w:r>
      <w:r w:rsidRPr="00B63CBF">
        <w:t>implementing these measures remains in New Zealand’s best economic interests</w:t>
      </w:r>
      <w:r w:rsidR="0050105F" w:rsidRPr="00B63CBF">
        <w:t xml:space="preserve">.  </w:t>
      </w:r>
    </w:p>
    <w:p w:rsidR="00606591" w:rsidRDefault="00606591" w:rsidP="00C942BD">
      <w:pPr>
        <w:pStyle w:val="Numberparagraph"/>
        <w:rPr>
          <w:b/>
          <w:i/>
        </w:rPr>
      </w:pPr>
    </w:p>
    <w:p w:rsidR="00C942BD" w:rsidRPr="00164375" w:rsidRDefault="00C942BD" w:rsidP="00C942BD">
      <w:pPr>
        <w:pStyle w:val="Numberparagraph"/>
        <w:rPr>
          <w:b/>
          <w:i/>
        </w:rPr>
      </w:pPr>
      <w:r>
        <w:rPr>
          <w:b/>
          <w:i/>
        </w:rPr>
        <w:t>Feedback on application date</w:t>
      </w:r>
    </w:p>
    <w:p w:rsidR="00C942BD" w:rsidRPr="00BD54AE" w:rsidRDefault="00C942BD" w:rsidP="00C942BD">
      <w:pPr>
        <w:rPr>
          <w:szCs w:val="24"/>
          <w:lang w:eastAsia="en-AU"/>
        </w:rPr>
      </w:pPr>
    </w:p>
    <w:p w:rsidR="00C942BD" w:rsidRPr="00102338" w:rsidRDefault="00C942BD" w:rsidP="008968CB">
      <w:pPr>
        <w:pStyle w:val="Numberparagraph"/>
        <w:numPr>
          <w:ilvl w:val="0"/>
          <w:numId w:val="6"/>
        </w:numPr>
        <w:ind w:left="0" w:firstLine="0"/>
      </w:pPr>
      <w:r>
        <w:t>The discussion documents did not indicate a likely application date</w:t>
      </w:r>
      <w:r w:rsidR="0050105F">
        <w:t xml:space="preserve">.  </w:t>
      </w:r>
      <w:r w:rsidRPr="00BD54AE">
        <w:t xml:space="preserve"> </w:t>
      </w:r>
      <w:r w:rsidRPr="00102338">
        <w:t xml:space="preserve">However, some submitters expected the Government to seek an early </w:t>
      </w:r>
      <w:r>
        <w:t>application</w:t>
      </w:r>
      <w:r w:rsidRPr="00102338">
        <w:t xml:space="preserve"> date and argued that it would be better to allow taxpayers time to consider the proposals and rearrange their affairs if necessary</w:t>
      </w:r>
      <w:r w:rsidR="004F6461">
        <w:t>.</w:t>
      </w:r>
      <w:r w:rsidRPr="00102338">
        <w:t xml:space="preserve"> </w:t>
      </w:r>
    </w:p>
    <w:p w:rsidR="00C942BD" w:rsidRDefault="00C942BD" w:rsidP="008968CB">
      <w:pPr>
        <w:pStyle w:val="Numberparagraph"/>
      </w:pPr>
    </w:p>
    <w:p w:rsidR="00C942BD" w:rsidRDefault="00C942BD" w:rsidP="008968CB">
      <w:pPr>
        <w:pStyle w:val="Numberparagraph"/>
        <w:numPr>
          <w:ilvl w:val="0"/>
          <w:numId w:val="6"/>
        </w:numPr>
        <w:ind w:left="0" w:firstLine="0"/>
      </w:pPr>
      <w:r w:rsidRPr="00102338">
        <w:t xml:space="preserve">We expect to receive more submissions on, and opposition to, the </w:t>
      </w:r>
      <w:r w:rsidR="00882CB9">
        <w:t>application</w:t>
      </w:r>
      <w:r w:rsidRPr="00102338">
        <w:t xml:space="preserve"> date once </w:t>
      </w:r>
      <w:r w:rsidR="001A0BB0">
        <w:t>affected parties become</w:t>
      </w:r>
      <w:r w:rsidRPr="00102338">
        <w:t xml:space="preserve"> aware it is proposed to be 1 July 2018</w:t>
      </w:r>
      <w:r>
        <w:t>.</w:t>
      </w:r>
    </w:p>
    <w:p w:rsidR="00C942BD" w:rsidRDefault="00C942BD" w:rsidP="00C942BD">
      <w:pPr>
        <w:pStyle w:val="ListParagraph"/>
      </w:pPr>
    </w:p>
    <w:p w:rsidR="00C942BD" w:rsidRPr="00C942BD" w:rsidRDefault="00C942BD" w:rsidP="00C942BD">
      <w:pPr>
        <w:pStyle w:val="Numberparagraph"/>
        <w:spacing w:line="300" w:lineRule="atLeast"/>
        <w:rPr>
          <w:b/>
          <w:i/>
        </w:rPr>
      </w:pPr>
      <w:r>
        <w:rPr>
          <w:b/>
          <w:i/>
        </w:rPr>
        <w:t>Further consultation</w:t>
      </w:r>
    </w:p>
    <w:p w:rsidR="0005420C" w:rsidRDefault="0005420C" w:rsidP="0005420C">
      <w:pPr>
        <w:pStyle w:val="ListParagraph"/>
      </w:pPr>
    </w:p>
    <w:p w:rsidR="0005420C" w:rsidRDefault="0005420C" w:rsidP="008968CB">
      <w:pPr>
        <w:pStyle w:val="Numberparagraph"/>
        <w:numPr>
          <w:ilvl w:val="0"/>
          <w:numId w:val="6"/>
        </w:numPr>
        <w:ind w:left="0" w:firstLine="0"/>
      </w:pPr>
      <w:r>
        <w:t xml:space="preserve">Following </w:t>
      </w:r>
      <w:r w:rsidRPr="007215B3">
        <w:t>Cabinet decisions</w:t>
      </w:r>
      <w:r>
        <w:t xml:space="preserve"> on these papers, we </w:t>
      </w:r>
      <w:r w:rsidR="004F6461">
        <w:t>recommend</w:t>
      </w:r>
      <w:r w:rsidR="0046142E">
        <w:t xml:space="preserve"> Inland Revenue and Treasury</w:t>
      </w:r>
      <w:r w:rsidR="004F6461">
        <w:t xml:space="preserve"> officials </w:t>
      </w:r>
      <w:r w:rsidRPr="00C61943">
        <w:t xml:space="preserve">engage in further </w:t>
      </w:r>
      <w:r w:rsidR="00564468" w:rsidRPr="00C61943">
        <w:t>targeted</w:t>
      </w:r>
      <w:r w:rsidRPr="00C61943">
        <w:t xml:space="preserve"> consultation on outstanding policy issues and technical design details relating to the measures</w:t>
      </w:r>
      <w:r w:rsidR="0050105F">
        <w:t xml:space="preserve">.  </w:t>
      </w:r>
      <w:r w:rsidRPr="00E95DB3">
        <w:t xml:space="preserve">Due </w:t>
      </w:r>
      <w:r w:rsidR="00882CB9">
        <w:t xml:space="preserve">the </w:t>
      </w:r>
      <w:r w:rsidRPr="00E95DB3">
        <w:t>timing constraint</w:t>
      </w:r>
      <w:r w:rsidR="00882CB9">
        <w:t>s necessary for a 1 July 2018 application date</w:t>
      </w:r>
      <w:r w:rsidRPr="00E95DB3">
        <w:t>, we are not proposing that submitters be consulted on an exposure draft of the entire bill</w:t>
      </w:r>
      <w:r w:rsidR="009B6F04">
        <w:t xml:space="preserve"> before the bill is introduced to Parliament</w:t>
      </w:r>
      <w:r w:rsidR="0050105F">
        <w:t xml:space="preserve">.  </w:t>
      </w:r>
      <w:r w:rsidRPr="00E95DB3">
        <w:t xml:space="preserve">However, </w:t>
      </w:r>
      <w:r w:rsidR="004F6461">
        <w:t xml:space="preserve">we recommend </w:t>
      </w:r>
      <w:r w:rsidRPr="00E95DB3">
        <w:t xml:space="preserve">targeted </w:t>
      </w:r>
      <w:r w:rsidR="004F6461">
        <w:t>consultation</w:t>
      </w:r>
      <w:r w:rsidR="004F6461" w:rsidRPr="00E95DB3">
        <w:t xml:space="preserve"> </w:t>
      </w:r>
      <w:r w:rsidRPr="00E95DB3">
        <w:t xml:space="preserve">of specific sections where </w:t>
      </w:r>
      <w:r w:rsidR="009B6F04">
        <w:t xml:space="preserve">additional </w:t>
      </w:r>
      <w:r w:rsidRPr="00E95DB3">
        <w:t xml:space="preserve">consultation will provide the most value </w:t>
      </w:r>
      <w:r w:rsidR="009B6F04">
        <w:t xml:space="preserve">ahead of the bill’s introduction. </w:t>
      </w:r>
    </w:p>
    <w:p w:rsidR="008968CB" w:rsidRDefault="008968CB" w:rsidP="007E2640">
      <w:pPr>
        <w:tabs>
          <w:tab w:val="left" w:pos="567"/>
        </w:tabs>
        <w:jc w:val="both"/>
        <w:rPr>
          <w:b/>
          <w:bCs/>
          <w:szCs w:val="24"/>
          <w:lang w:eastAsia="en-AU"/>
        </w:rPr>
      </w:pPr>
    </w:p>
    <w:p w:rsidR="00CF4B35" w:rsidRDefault="00CF4B35" w:rsidP="007E2640">
      <w:pPr>
        <w:tabs>
          <w:tab w:val="left" w:pos="567"/>
        </w:tabs>
        <w:jc w:val="both"/>
        <w:rPr>
          <w:b/>
          <w:bCs/>
          <w:szCs w:val="24"/>
          <w:lang w:eastAsia="en-AU"/>
        </w:rPr>
      </w:pPr>
    </w:p>
    <w:p w:rsidR="007E2640" w:rsidRPr="00DD23B8" w:rsidRDefault="004F6ED4" w:rsidP="007E2640">
      <w:pPr>
        <w:tabs>
          <w:tab w:val="left" w:pos="567"/>
        </w:tabs>
        <w:jc w:val="both"/>
        <w:rPr>
          <w:szCs w:val="24"/>
          <w:lang w:eastAsia="en-AU"/>
        </w:rPr>
      </w:pPr>
      <w:r w:rsidRPr="00DD23B8">
        <w:rPr>
          <w:b/>
          <w:bCs/>
          <w:szCs w:val="24"/>
          <w:lang w:eastAsia="en-AU"/>
        </w:rPr>
        <w:t>Financial implications</w:t>
      </w:r>
    </w:p>
    <w:p w:rsidR="00D23100" w:rsidRPr="00DD23B8" w:rsidRDefault="00D23100" w:rsidP="007E2640">
      <w:pPr>
        <w:tabs>
          <w:tab w:val="left" w:pos="567"/>
        </w:tabs>
        <w:jc w:val="both"/>
        <w:rPr>
          <w:szCs w:val="24"/>
          <w:lang w:eastAsia="en-AU"/>
        </w:rPr>
      </w:pPr>
    </w:p>
    <w:p w:rsidR="004F31C2" w:rsidRDefault="007215B3" w:rsidP="008968CB">
      <w:pPr>
        <w:pStyle w:val="Numberparagraph"/>
        <w:numPr>
          <w:ilvl w:val="0"/>
          <w:numId w:val="6"/>
        </w:numPr>
        <w:ind w:left="0" w:firstLine="0"/>
      </w:pPr>
      <w:r>
        <w:t>Some of the revenue for these proposals has already been included in Budget 2017 forecasts</w:t>
      </w:r>
      <w:r w:rsidR="0050105F">
        <w:t xml:space="preserve">.  </w:t>
      </w:r>
      <w:r>
        <w:t>These are:</w:t>
      </w:r>
      <w:r w:rsidR="004F31C2" w:rsidRPr="004F31C2">
        <w:t xml:space="preserve"> </w:t>
      </w:r>
    </w:p>
    <w:p w:rsidR="00342FF7" w:rsidRDefault="00342FF7" w:rsidP="00890A2E">
      <w:pPr>
        <w:pStyle w:val="Numberparagrap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194"/>
        <w:gridCol w:w="1195"/>
        <w:gridCol w:w="1195"/>
        <w:gridCol w:w="1195"/>
        <w:gridCol w:w="1195"/>
        <w:gridCol w:w="1195"/>
        <w:gridCol w:w="1195"/>
      </w:tblGrid>
      <w:tr w:rsidR="00DA4A0A" w:rsidTr="002A41DD">
        <w:tc>
          <w:tcPr>
            <w:tcW w:w="1667" w:type="dxa"/>
            <w:tcBorders>
              <w:top w:val="nil"/>
              <w:left w:val="nil"/>
              <w:bottom w:val="single" w:sz="4" w:space="0" w:color="auto"/>
              <w:right w:val="single" w:sz="4" w:space="0" w:color="auto"/>
            </w:tcBorders>
          </w:tcPr>
          <w:p w:rsidR="00DA4A0A" w:rsidRDefault="00DA4A0A" w:rsidP="002A41DD">
            <w:pPr>
              <w:rPr>
                <w:sz w:val="20"/>
                <w:szCs w:val="18"/>
                <w:lang w:val="en-AU"/>
              </w:rPr>
            </w:pPr>
          </w:p>
        </w:tc>
        <w:tc>
          <w:tcPr>
            <w:tcW w:w="8364" w:type="dxa"/>
            <w:gridSpan w:val="7"/>
            <w:tcBorders>
              <w:top w:val="single" w:sz="4" w:space="0" w:color="auto"/>
              <w:left w:val="single" w:sz="4" w:space="0" w:color="auto"/>
              <w:bottom w:val="single" w:sz="4" w:space="0" w:color="auto"/>
              <w:right w:val="single" w:sz="4" w:space="0" w:color="auto"/>
            </w:tcBorders>
          </w:tcPr>
          <w:p w:rsidR="00DA4A0A" w:rsidRDefault="00DA4A0A" w:rsidP="002A41DD">
            <w:pPr>
              <w:jc w:val="center"/>
              <w:rPr>
                <w:sz w:val="20"/>
                <w:szCs w:val="18"/>
                <w:lang w:val="en-AU"/>
              </w:rPr>
            </w:pPr>
            <w:r>
              <w:rPr>
                <w:sz w:val="20"/>
                <w:lang w:val="en-AU"/>
              </w:rPr>
              <w:t>$m – increase/(decrease)</w:t>
            </w:r>
          </w:p>
        </w:tc>
      </w:tr>
      <w:tr w:rsidR="00DA4A0A" w:rsidTr="002A41DD">
        <w:tc>
          <w:tcPr>
            <w:tcW w:w="1667" w:type="dxa"/>
            <w:tcBorders>
              <w:top w:val="single" w:sz="4" w:space="0" w:color="auto"/>
              <w:left w:val="single" w:sz="4" w:space="0" w:color="auto"/>
              <w:bottom w:val="single" w:sz="4" w:space="0" w:color="auto"/>
              <w:right w:val="single" w:sz="4" w:space="0" w:color="auto"/>
            </w:tcBorders>
            <w:hideMark/>
          </w:tcPr>
          <w:p w:rsidR="00DA4A0A" w:rsidRDefault="00DA4A0A" w:rsidP="002A41DD">
            <w:pPr>
              <w:rPr>
                <w:b/>
                <w:bCs/>
                <w:iCs/>
                <w:sz w:val="20"/>
                <w:szCs w:val="18"/>
                <w:lang w:val="en-AU"/>
              </w:rPr>
            </w:pPr>
            <w:r>
              <w:rPr>
                <w:b/>
                <w:bCs/>
                <w:iCs/>
                <w:sz w:val="20"/>
                <w:szCs w:val="18"/>
                <w:lang w:val="en-AU"/>
              </w:rPr>
              <w:t>Vote Revenue</w:t>
            </w:r>
          </w:p>
          <w:p w:rsidR="00DA4A0A" w:rsidRDefault="00DA4A0A" w:rsidP="002A41DD">
            <w:pPr>
              <w:rPr>
                <w:b/>
                <w:bCs/>
                <w:i/>
                <w:iCs/>
                <w:sz w:val="20"/>
                <w:szCs w:val="18"/>
                <w:lang w:val="en-AU"/>
              </w:rPr>
            </w:pPr>
          </w:p>
        </w:tc>
        <w:tc>
          <w:tcPr>
            <w:tcW w:w="1194" w:type="dxa"/>
            <w:tcBorders>
              <w:top w:val="single" w:sz="4" w:space="0" w:color="auto"/>
              <w:left w:val="single" w:sz="4" w:space="0" w:color="auto"/>
              <w:bottom w:val="single" w:sz="4" w:space="0" w:color="auto"/>
              <w:right w:val="single" w:sz="4" w:space="0" w:color="auto"/>
            </w:tcBorders>
          </w:tcPr>
          <w:p w:rsidR="00DA4A0A" w:rsidRDefault="00DA4A0A" w:rsidP="002A41DD">
            <w:pPr>
              <w:jc w:val="right"/>
              <w:rPr>
                <w:b/>
                <w:bCs/>
                <w:sz w:val="20"/>
                <w:szCs w:val="18"/>
              </w:rPr>
            </w:pPr>
            <w:r>
              <w:rPr>
                <w:b/>
                <w:bCs/>
                <w:sz w:val="20"/>
                <w:szCs w:val="18"/>
              </w:rPr>
              <w:t>2016/17</w:t>
            </w:r>
          </w:p>
        </w:tc>
        <w:tc>
          <w:tcPr>
            <w:tcW w:w="1195" w:type="dxa"/>
            <w:tcBorders>
              <w:top w:val="single" w:sz="4" w:space="0" w:color="auto"/>
              <w:left w:val="single" w:sz="4" w:space="0" w:color="auto"/>
              <w:bottom w:val="single" w:sz="4" w:space="0" w:color="auto"/>
              <w:right w:val="single" w:sz="4" w:space="0" w:color="auto"/>
            </w:tcBorders>
          </w:tcPr>
          <w:p w:rsidR="00DA4A0A" w:rsidRDefault="00DA4A0A" w:rsidP="002A41DD">
            <w:pPr>
              <w:jc w:val="right"/>
              <w:rPr>
                <w:b/>
                <w:bCs/>
                <w:sz w:val="20"/>
                <w:szCs w:val="18"/>
              </w:rPr>
            </w:pPr>
            <w:r>
              <w:rPr>
                <w:b/>
                <w:bCs/>
                <w:sz w:val="20"/>
                <w:szCs w:val="18"/>
              </w:rPr>
              <w:t>2017/18</w:t>
            </w:r>
          </w:p>
        </w:tc>
        <w:tc>
          <w:tcPr>
            <w:tcW w:w="1195" w:type="dxa"/>
            <w:tcBorders>
              <w:top w:val="single" w:sz="4" w:space="0" w:color="auto"/>
              <w:left w:val="single" w:sz="4" w:space="0" w:color="auto"/>
              <w:bottom w:val="single" w:sz="4" w:space="0" w:color="auto"/>
              <w:right w:val="single" w:sz="4" w:space="0" w:color="auto"/>
            </w:tcBorders>
            <w:hideMark/>
          </w:tcPr>
          <w:p w:rsidR="00DA4A0A" w:rsidRDefault="00DA4A0A" w:rsidP="002A41DD">
            <w:pPr>
              <w:jc w:val="right"/>
              <w:rPr>
                <w:b/>
                <w:bCs/>
                <w:sz w:val="20"/>
                <w:szCs w:val="18"/>
                <w:lang w:val="en-AU"/>
              </w:rPr>
            </w:pPr>
            <w:r>
              <w:rPr>
                <w:b/>
                <w:bCs/>
                <w:sz w:val="20"/>
                <w:szCs w:val="18"/>
              </w:rPr>
              <w:t>2018/19</w:t>
            </w:r>
          </w:p>
        </w:tc>
        <w:tc>
          <w:tcPr>
            <w:tcW w:w="1195" w:type="dxa"/>
            <w:tcBorders>
              <w:top w:val="single" w:sz="4" w:space="0" w:color="auto"/>
              <w:left w:val="single" w:sz="4" w:space="0" w:color="auto"/>
              <w:bottom w:val="single" w:sz="4" w:space="0" w:color="auto"/>
              <w:right w:val="single" w:sz="4" w:space="0" w:color="auto"/>
            </w:tcBorders>
            <w:hideMark/>
          </w:tcPr>
          <w:p w:rsidR="00DA4A0A" w:rsidRDefault="00DA4A0A" w:rsidP="002A41DD">
            <w:pPr>
              <w:jc w:val="right"/>
              <w:rPr>
                <w:b/>
                <w:bCs/>
                <w:sz w:val="20"/>
                <w:szCs w:val="18"/>
                <w:lang w:val="en-AU"/>
              </w:rPr>
            </w:pPr>
            <w:r>
              <w:rPr>
                <w:b/>
                <w:bCs/>
                <w:sz w:val="20"/>
                <w:szCs w:val="18"/>
              </w:rPr>
              <w:t>2019/20</w:t>
            </w:r>
          </w:p>
        </w:tc>
        <w:tc>
          <w:tcPr>
            <w:tcW w:w="1195" w:type="dxa"/>
            <w:tcBorders>
              <w:top w:val="single" w:sz="4" w:space="0" w:color="auto"/>
              <w:left w:val="single" w:sz="4" w:space="0" w:color="auto"/>
              <w:bottom w:val="single" w:sz="4" w:space="0" w:color="auto"/>
              <w:right w:val="single" w:sz="4" w:space="0" w:color="auto"/>
            </w:tcBorders>
            <w:hideMark/>
          </w:tcPr>
          <w:p w:rsidR="00DA4A0A" w:rsidRDefault="00DA4A0A" w:rsidP="002A41DD">
            <w:pPr>
              <w:jc w:val="right"/>
              <w:rPr>
                <w:b/>
                <w:bCs/>
                <w:sz w:val="20"/>
                <w:szCs w:val="18"/>
                <w:lang w:val="en-AU"/>
              </w:rPr>
            </w:pPr>
            <w:r>
              <w:rPr>
                <w:b/>
                <w:bCs/>
                <w:sz w:val="20"/>
                <w:szCs w:val="18"/>
              </w:rPr>
              <w:t>2020/21</w:t>
            </w:r>
          </w:p>
        </w:tc>
        <w:tc>
          <w:tcPr>
            <w:tcW w:w="1195" w:type="dxa"/>
            <w:tcBorders>
              <w:top w:val="single" w:sz="4" w:space="0" w:color="auto"/>
              <w:left w:val="single" w:sz="4" w:space="0" w:color="auto"/>
              <w:bottom w:val="single" w:sz="4" w:space="0" w:color="auto"/>
              <w:right w:val="single" w:sz="4" w:space="0" w:color="auto"/>
            </w:tcBorders>
            <w:hideMark/>
          </w:tcPr>
          <w:p w:rsidR="00DA4A0A" w:rsidRDefault="00DA4A0A" w:rsidP="002A41DD">
            <w:pPr>
              <w:jc w:val="right"/>
              <w:rPr>
                <w:b/>
                <w:bCs/>
                <w:sz w:val="20"/>
                <w:szCs w:val="18"/>
                <w:lang w:val="en-AU"/>
              </w:rPr>
            </w:pPr>
            <w:r>
              <w:rPr>
                <w:b/>
                <w:bCs/>
                <w:sz w:val="20"/>
                <w:szCs w:val="18"/>
              </w:rPr>
              <w:t xml:space="preserve">2021/22 </w:t>
            </w:r>
          </w:p>
        </w:tc>
        <w:tc>
          <w:tcPr>
            <w:tcW w:w="1195" w:type="dxa"/>
            <w:tcBorders>
              <w:top w:val="single" w:sz="4" w:space="0" w:color="auto"/>
              <w:left w:val="single" w:sz="4" w:space="0" w:color="auto"/>
              <w:bottom w:val="single" w:sz="4" w:space="0" w:color="auto"/>
              <w:right w:val="single" w:sz="4" w:space="0" w:color="auto"/>
            </w:tcBorders>
            <w:hideMark/>
          </w:tcPr>
          <w:p w:rsidR="00DA4A0A" w:rsidRDefault="00DA4A0A" w:rsidP="002A41DD">
            <w:pPr>
              <w:jc w:val="right"/>
              <w:rPr>
                <w:b/>
                <w:bCs/>
                <w:sz w:val="20"/>
                <w:szCs w:val="18"/>
                <w:lang w:val="en-AU"/>
              </w:rPr>
            </w:pPr>
            <w:r>
              <w:rPr>
                <w:b/>
                <w:bCs/>
                <w:sz w:val="20"/>
                <w:szCs w:val="18"/>
              </w:rPr>
              <w:t>2022/23 &amp; Outyears</w:t>
            </w:r>
          </w:p>
        </w:tc>
      </w:tr>
      <w:tr w:rsidR="00DA4A0A" w:rsidTr="002A41DD">
        <w:tc>
          <w:tcPr>
            <w:tcW w:w="1667" w:type="dxa"/>
            <w:tcBorders>
              <w:top w:val="single" w:sz="4" w:space="0" w:color="auto"/>
              <w:left w:val="single" w:sz="4" w:space="0" w:color="auto"/>
              <w:bottom w:val="nil"/>
              <w:right w:val="single" w:sz="4" w:space="0" w:color="auto"/>
            </w:tcBorders>
            <w:hideMark/>
          </w:tcPr>
          <w:p w:rsidR="00DA4A0A" w:rsidRDefault="00DA4A0A" w:rsidP="002A41DD">
            <w:pPr>
              <w:rPr>
                <w:sz w:val="20"/>
                <w:szCs w:val="18"/>
                <w:lang w:val="en-AU"/>
              </w:rPr>
            </w:pPr>
            <w:r>
              <w:rPr>
                <w:sz w:val="20"/>
                <w:szCs w:val="18"/>
                <w:lang w:val="en-AU"/>
              </w:rPr>
              <w:t>Foreign hybrid entity double deductions</w:t>
            </w:r>
          </w:p>
        </w:tc>
        <w:tc>
          <w:tcPr>
            <w:tcW w:w="1194" w:type="dxa"/>
            <w:tcBorders>
              <w:top w:val="single" w:sz="4" w:space="0" w:color="auto"/>
              <w:left w:val="single" w:sz="4" w:space="0" w:color="auto"/>
              <w:bottom w:val="nil"/>
              <w:right w:val="single" w:sz="4" w:space="0" w:color="auto"/>
            </w:tcBorders>
          </w:tcPr>
          <w:p w:rsidR="00DA4A0A" w:rsidRDefault="00DA4A0A" w:rsidP="002A41DD">
            <w:pPr>
              <w:jc w:val="right"/>
              <w:rPr>
                <w:sz w:val="20"/>
                <w:szCs w:val="18"/>
                <w:lang w:val="en-AU"/>
              </w:rPr>
            </w:pPr>
            <w:r>
              <w:rPr>
                <w:sz w:val="20"/>
                <w:szCs w:val="18"/>
                <w:lang w:val="en-AU"/>
              </w:rPr>
              <w:t>-</w:t>
            </w:r>
          </w:p>
        </w:tc>
        <w:tc>
          <w:tcPr>
            <w:tcW w:w="1195" w:type="dxa"/>
            <w:tcBorders>
              <w:top w:val="single" w:sz="4" w:space="0" w:color="auto"/>
              <w:left w:val="single" w:sz="4" w:space="0" w:color="auto"/>
              <w:bottom w:val="nil"/>
              <w:right w:val="single" w:sz="4" w:space="0" w:color="auto"/>
            </w:tcBorders>
          </w:tcPr>
          <w:p w:rsidR="00DA4A0A" w:rsidRDefault="00DA4A0A" w:rsidP="002A41DD">
            <w:pPr>
              <w:jc w:val="right"/>
              <w:rPr>
                <w:sz w:val="20"/>
                <w:szCs w:val="18"/>
                <w:lang w:val="en-AU"/>
              </w:rPr>
            </w:pPr>
            <w:r>
              <w:rPr>
                <w:sz w:val="20"/>
                <w:szCs w:val="18"/>
                <w:lang w:val="en-AU"/>
              </w:rPr>
              <w:t>-</w:t>
            </w:r>
          </w:p>
        </w:tc>
        <w:tc>
          <w:tcPr>
            <w:tcW w:w="1195" w:type="dxa"/>
            <w:tcBorders>
              <w:top w:val="single" w:sz="4" w:space="0" w:color="auto"/>
              <w:left w:val="single" w:sz="4" w:space="0" w:color="auto"/>
              <w:bottom w:val="nil"/>
              <w:right w:val="single" w:sz="4" w:space="0" w:color="auto"/>
            </w:tcBorders>
          </w:tcPr>
          <w:p w:rsidR="00DA4A0A" w:rsidRDefault="00DA4A0A" w:rsidP="002A41DD">
            <w:pPr>
              <w:jc w:val="right"/>
              <w:rPr>
                <w:sz w:val="20"/>
                <w:szCs w:val="18"/>
                <w:lang w:val="en-AU"/>
              </w:rPr>
            </w:pPr>
            <w:r>
              <w:rPr>
                <w:sz w:val="20"/>
                <w:szCs w:val="18"/>
                <w:lang w:val="en-AU"/>
              </w:rPr>
              <w:t>25.000</w:t>
            </w:r>
          </w:p>
        </w:tc>
        <w:tc>
          <w:tcPr>
            <w:tcW w:w="1195" w:type="dxa"/>
            <w:tcBorders>
              <w:top w:val="single" w:sz="4" w:space="0" w:color="auto"/>
              <w:left w:val="single" w:sz="4" w:space="0" w:color="auto"/>
              <w:bottom w:val="nil"/>
              <w:right w:val="single" w:sz="4" w:space="0" w:color="auto"/>
            </w:tcBorders>
          </w:tcPr>
          <w:p w:rsidR="00DA4A0A" w:rsidRDefault="00DA4A0A" w:rsidP="002A41DD">
            <w:pPr>
              <w:jc w:val="right"/>
              <w:rPr>
                <w:sz w:val="20"/>
                <w:szCs w:val="18"/>
                <w:lang w:val="en-AU"/>
              </w:rPr>
            </w:pPr>
            <w:r>
              <w:rPr>
                <w:sz w:val="20"/>
                <w:szCs w:val="18"/>
                <w:lang w:val="en-AU"/>
              </w:rPr>
              <w:t>50.000</w:t>
            </w:r>
          </w:p>
        </w:tc>
        <w:tc>
          <w:tcPr>
            <w:tcW w:w="1195" w:type="dxa"/>
            <w:tcBorders>
              <w:top w:val="single" w:sz="4" w:space="0" w:color="auto"/>
              <w:left w:val="single" w:sz="4" w:space="0" w:color="auto"/>
              <w:bottom w:val="nil"/>
              <w:right w:val="single" w:sz="4" w:space="0" w:color="auto"/>
            </w:tcBorders>
          </w:tcPr>
          <w:p w:rsidR="00DA4A0A" w:rsidRDefault="00DA4A0A" w:rsidP="002A41DD">
            <w:pPr>
              <w:jc w:val="right"/>
              <w:rPr>
                <w:sz w:val="20"/>
                <w:szCs w:val="18"/>
                <w:lang w:val="en-AU"/>
              </w:rPr>
            </w:pPr>
            <w:r>
              <w:rPr>
                <w:sz w:val="20"/>
                <w:szCs w:val="18"/>
                <w:lang w:val="en-AU"/>
              </w:rPr>
              <w:t>50.000</w:t>
            </w:r>
          </w:p>
        </w:tc>
        <w:tc>
          <w:tcPr>
            <w:tcW w:w="1195" w:type="dxa"/>
            <w:tcBorders>
              <w:top w:val="single" w:sz="4" w:space="0" w:color="auto"/>
              <w:left w:val="single" w:sz="4" w:space="0" w:color="auto"/>
              <w:bottom w:val="nil"/>
              <w:right w:val="single" w:sz="4" w:space="0" w:color="auto"/>
            </w:tcBorders>
          </w:tcPr>
          <w:p w:rsidR="00DA4A0A" w:rsidRDefault="00DA4A0A" w:rsidP="002A41DD">
            <w:pPr>
              <w:jc w:val="right"/>
              <w:rPr>
                <w:sz w:val="20"/>
                <w:szCs w:val="18"/>
                <w:lang w:val="en-AU"/>
              </w:rPr>
            </w:pPr>
            <w:r>
              <w:rPr>
                <w:sz w:val="20"/>
                <w:szCs w:val="18"/>
                <w:lang w:val="en-AU"/>
              </w:rPr>
              <w:t>50.000</w:t>
            </w:r>
          </w:p>
        </w:tc>
        <w:tc>
          <w:tcPr>
            <w:tcW w:w="1195" w:type="dxa"/>
            <w:tcBorders>
              <w:top w:val="single" w:sz="4" w:space="0" w:color="auto"/>
              <w:left w:val="single" w:sz="4" w:space="0" w:color="auto"/>
              <w:bottom w:val="nil"/>
              <w:right w:val="single" w:sz="4" w:space="0" w:color="auto"/>
            </w:tcBorders>
          </w:tcPr>
          <w:p w:rsidR="00DA4A0A" w:rsidRDefault="00DA4A0A" w:rsidP="002A41DD">
            <w:pPr>
              <w:jc w:val="right"/>
              <w:rPr>
                <w:sz w:val="20"/>
                <w:szCs w:val="18"/>
                <w:lang w:val="en-AU"/>
              </w:rPr>
            </w:pPr>
            <w:r>
              <w:rPr>
                <w:sz w:val="20"/>
                <w:szCs w:val="18"/>
                <w:lang w:val="en-AU"/>
              </w:rPr>
              <w:t>50.000</w:t>
            </w:r>
          </w:p>
        </w:tc>
      </w:tr>
      <w:tr w:rsidR="00DA4A0A" w:rsidTr="002A41DD">
        <w:tc>
          <w:tcPr>
            <w:tcW w:w="1667" w:type="dxa"/>
            <w:tcBorders>
              <w:top w:val="nil"/>
              <w:left w:val="single" w:sz="4" w:space="0" w:color="auto"/>
              <w:bottom w:val="nil"/>
              <w:right w:val="single" w:sz="4" w:space="0" w:color="auto"/>
            </w:tcBorders>
            <w:hideMark/>
          </w:tcPr>
          <w:p w:rsidR="00DA4A0A" w:rsidRDefault="00DA4A0A" w:rsidP="002A41DD">
            <w:pPr>
              <w:rPr>
                <w:sz w:val="20"/>
                <w:szCs w:val="18"/>
                <w:lang w:val="en-AU"/>
              </w:rPr>
            </w:pPr>
            <w:r>
              <w:rPr>
                <w:sz w:val="20"/>
                <w:szCs w:val="18"/>
                <w:lang w:val="en-AU"/>
              </w:rPr>
              <w:t>BEPS taxation bill</w:t>
            </w:r>
          </w:p>
        </w:tc>
        <w:tc>
          <w:tcPr>
            <w:tcW w:w="1194" w:type="dxa"/>
            <w:tcBorders>
              <w:top w:val="nil"/>
              <w:left w:val="single" w:sz="4" w:space="0" w:color="auto"/>
              <w:bottom w:val="nil"/>
              <w:right w:val="single" w:sz="4" w:space="0" w:color="auto"/>
            </w:tcBorders>
          </w:tcPr>
          <w:p w:rsidR="00DA4A0A" w:rsidRDefault="00DA4A0A" w:rsidP="002A41DD">
            <w:pPr>
              <w:jc w:val="right"/>
              <w:rPr>
                <w:rFonts w:eastAsia="Calibri"/>
                <w:szCs w:val="24"/>
                <w:lang w:eastAsia="en-NZ"/>
              </w:rPr>
            </w:pPr>
            <w:r>
              <w:rPr>
                <w:rFonts w:eastAsia="Calibri"/>
                <w:szCs w:val="24"/>
                <w:lang w:eastAsia="en-NZ"/>
              </w:rPr>
              <w:t>-</w:t>
            </w:r>
          </w:p>
        </w:tc>
        <w:tc>
          <w:tcPr>
            <w:tcW w:w="1195" w:type="dxa"/>
            <w:tcBorders>
              <w:top w:val="nil"/>
              <w:left w:val="single" w:sz="4" w:space="0" w:color="auto"/>
              <w:bottom w:val="nil"/>
              <w:right w:val="single" w:sz="4" w:space="0" w:color="auto"/>
            </w:tcBorders>
          </w:tcPr>
          <w:p w:rsidR="00DA4A0A" w:rsidRDefault="00DA4A0A" w:rsidP="002A41DD">
            <w:pPr>
              <w:jc w:val="right"/>
              <w:rPr>
                <w:rFonts w:eastAsia="Calibri"/>
                <w:szCs w:val="24"/>
                <w:lang w:eastAsia="en-NZ"/>
              </w:rPr>
            </w:pPr>
            <w:r>
              <w:rPr>
                <w:rFonts w:eastAsia="Calibri"/>
                <w:szCs w:val="24"/>
                <w:lang w:eastAsia="en-NZ"/>
              </w:rPr>
              <w:t>-</w:t>
            </w:r>
          </w:p>
        </w:tc>
        <w:tc>
          <w:tcPr>
            <w:tcW w:w="1195" w:type="dxa"/>
            <w:tcBorders>
              <w:top w:val="nil"/>
              <w:left w:val="single" w:sz="4" w:space="0" w:color="auto"/>
              <w:bottom w:val="nil"/>
              <w:right w:val="single" w:sz="4" w:space="0" w:color="auto"/>
            </w:tcBorders>
          </w:tcPr>
          <w:p w:rsidR="00DA4A0A" w:rsidRDefault="00DA4A0A" w:rsidP="002A41DD">
            <w:pPr>
              <w:jc w:val="right"/>
              <w:rPr>
                <w:sz w:val="20"/>
                <w:szCs w:val="18"/>
                <w:lang w:val="en-AU"/>
              </w:rPr>
            </w:pPr>
            <w:r>
              <w:rPr>
                <w:sz w:val="20"/>
                <w:szCs w:val="18"/>
                <w:lang w:val="en-AU"/>
              </w:rPr>
              <w:t>25.000</w:t>
            </w:r>
          </w:p>
        </w:tc>
        <w:tc>
          <w:tcPr>
            <w:tcW w:w="1195" w:type="dxa"/>
            <w:tcBorders>
              <w:top w:val="nil"/>
              <w:left w:val="single" w:sz="4" w:space="0" w:color="auto"/>
              <w:bottom w:val="nil"/>
              <w:right w:val="single" w:sz="4" w:space="0" w:color="auto"/>
            </w:tcBorders>
          </w:tcPr>
          <w:p w:rsidR="00DA4A0A" w:rsidRDefault="00DA4A0A" w:rsidP="002A41DD">
            <w:pPr>
              <w:jc w:val="right"/>
              <w:rPr>
                <w:sz w:val="20"/>
                <w:szCs w:val="18"/>
                <w:lang w:val="en-AU"/>
              </w:rPr>
            </w:pPr>
            <w:r>
              <w:rPr>
                <w:sz w:val="20"/>
                <w:szCs w:val="18"/>
                <w:lang w:val="en-AU"/>
              </w:rPr>
              <w:t>50.000</w:t>
            </w:r>
          </w:p>
        </w:tc>
        <w:tc>
          <w:tcPr>
            <w:tcW w:w="1195" w:type="dxa"/>
            <w:tcBorders>
              <w:top w:val="nil"/>
              <w:left w:val="single" w:sz="4" w:space="0" w:color="auto"/>
              <w:bottom w:val="nil"/>
              <w:right w:val="single" w:sz="4" w:space="0" w:color="auto"/>
            </w:tcBorders>
          </w:tcPr>
          <w:p w:rsidR="00DA4A0A" w:rsidRDefault="00DA4A0A" w:rsidP="002A41DD">
            <w:pPr>
              <w:jc w:val="right"/>
              <w:rPr>
                <w:sz w:val="20"/>
                <w:szCs w:val="18"/>
                <w:lang w:val="en-AU"/>
              </w:rPr>
            </w:pPr>
            <w:r>
              <w:rPr>
                <w:sz w:val="20"/>
                <w:szCs w:val="18"/>
                <w:lang w:val="en-AU"/>
              </w:rPr>
              <w:t>50.000</w:t>
            </w:r>
          </w:p>
        </w:tc>
        <w:tc>
          <w:tcPr>
            <w:tcW w:w="1195" w:type="dxa"/>
            <w:tcBorders>
              <w:top w:val="nil"/>
              <w:left w:val="single" w:sz="4" w:space="0" w:color="auto"/>
              <w:bottom w:val="nil"/>
              <w:right w:val="single" w:sz="4" w:space="0" w:color="auto"/>
            </w:tcBorders>
          </w:tcPr>
          <w:p w:rsidR="00DA4A0A" w:rsidRDefault="00DA4A0A" w:rsidP="002A41DD">
            <w:pPr>
              <w:jc w:val="right"/>
              <w:rPr>
                <w:sz w:val="20"/>
                <w:szCs w:val="18"/>
                <w:lang w:val="en-AU"/>
              </w:rPr>
            </w:pPr>
            <w:r>
              <w:rPr>
                <w:sz w:val="20"/>
                <w:szCs w:val="18"/>
                <w:lang w:val="en-AU"/>
              </w:rPr>
              <w:t>50.000</w:t>
            </w:r>
          </w:p>
        </w:tc>
        <w:tc>
          <w:tcPr>
            <w:tcW w:w="1195" w:type="dxa"/>
            <w:tcBorders>
              <w:top w:val="nil"/>
              <w:left w:val="single" w:sz="4" w:space="0" w:color="auto"/>
              <w:bottom w:val="nil"/>
              <w:right w:val="single" w:sz="4" w:space="0" w:color="auto"/>
            </w:tcBorders>
          </w:tcPr>
          <w:p w:rsidR="00DA4A0A" w:rsidRDefault="00DA4A0A" w:rsidP="002A41DD">
            <w:pPr>
              <w:jc w:val="right"/>
              <w:rPr>
                <w:sz w:val="20"/>
                <w:szCs w:val="18"/>
                <w:lang w:val="en-AU"/>
              </w:rPr>
            </w:pPr>
            <w:r>
              <w:rPr>
                <w:sz w:val="20"/>
                <w:szCs w:val="18"/>
                <w:lang w:val="en-AU"/>
              </w:rPr>
              <w:t>50.000</w:t>
            </w:r>
          </w:p>
        </w:tc>
      </w:tr>
      <w:tr w:rsidR="00DA4A0A" w:rsidTr="002A41DD">
        <w:tc>
          <w:tcPr>
            <w:tcW w:w="1667" w:type="dxa"/>
            <w:tcBorders>
              <w:top w:val="single" w:sz="4" w:space="0" w:color="auto"/>
              <w:left w:val="single" w:sz="4" w:space="0" w:color="auto"/>
              <w:bottom w:val="single" w:sz="4" w:space="0" w:color="auto"/>
              <w:right w:val="single" w:sz="4" w:space="0" w:color="auto"/>
            </w:tcBorders>
            <w:hideMark/>
          </w:tcPr>
          <w:p w:rsidR="00DA4A0A" w:rsidRDefault="00DA4A0A" w:rsidP="002A41DD">
            <w:pPr>
              <w:rPr>
                <w:b/>
                <w:bCs/>
                <w:sz w:val="20"/>
                <w:szCs w:val="18"/>
                <w:lang w:val="en-AU"/>
              </w:rPr>
            </w:pPr>
            <w:r>
              <w:rPr>
                <w:b/>
                <w:bCs/>
                <w:sz w:val="20"/>
                <w:szCs w:val="18"/>
                <w:lang w:val="en-AU"/>
              </w:rPr>
              <w:t>Total Revenue effect</w:t>
            </w:r>
          </w:p>
        </w:tc>
        <w:tc>
          <w:tcPr>
            <w:tcW w:w="1194" w:type="dxa"/>
            <w:tcBorders>
              <w:top w:val="single" w:sz="4" w:space="0" w:color="auto"/>
              <w:left w:val="single" w:sz="4" w:space="0" w:color="auto"/>
              <w:bottom w:val="single" w:sz="4" w:space="0" w:color="auto"/>
              <w:right w:val="single" w:sz="4" w:space="0" w:color="auto"/>
            </w:tcBorders>
          </w:tcPr>
          <w:p w:rsidR="00DA4A0A" w:rsidRDefault="00DA4A0A" w:rsidP="002A41DD">
            <w:pPr>
              <w:jc w:val="right"/>
              <w:rPr>
                <w:rFonts w:eastAsia="Calibri"/>
                <w:szCs w:val="24"/>
                <w:lang w:eastAsia="en-NZ"/>
              </w:rPr>
            </w:pPr>
            <w:r>
              <w:rPr>
                <w:rFonts w:eastAsia="Calibri"/>
                <w:szCs w:val="24"/>
                <w:lang w:eastAsia="en-NZ"/>
              </w:rPr>
              <w:t>-</w:t>
            </w:r>
          </w:p>
        </w:tc>
        <w:tc>
          <w:tcPr>
            <w:tcW w:w="1195" w:type="dxa"/>
            <w:tcBorders>
              <w:top w:val="single" w:sz="4" w:space="0" w:color="auto"/>
              <w:left w:val="single" w:sz="4" w:space="0" w:color="auto"/>
              <w:bottom w:val="single" w:sz="4" w:space="0" w:color="auto"/>
              <w:right w:val="single" w:sz="4" w:space="0" w:color="auto"/>
            </w:tcBorders>
          </w:tcPr>
          <w:p w:rsidR="00DA4A0A" w:rsidRDefault="00DA4A0A" w:rsidP="002A41DD">
            <w:pPr>
              <w:jc w:val="right"/>
              <w:rPr>
                <w:rFonts w:eastAsia="Calibri"/>
                <w:szCs w:val="24"/>
                <w:lang w:eastAsia="en-NZ"/>
              </w:rPr>
            </w:pPr>
            <w:r>
              <w:rPr>
                <w:rFonts w:eastAsia="Calibri"/>
                <w:szCs w:val="24"/>
                <w:lang w:eastAsia="en-NZ"/>
              </w:rPr>
              <w:t>-</w:t>
            </w:r>
          </w:p>
        </w:tc>
        <w:tc>
          <w:tcPr>
            <w:tcW w:w="1195" w:type="dxa"/>
            <w:tcBorders>
              <w:top w:val="single" w:sz="4" w:space="0" w:color="auto"/>
              <w:left w:val="single" w:sz="4" w:space="0" w:color="auto"/>
              <w:bottom w:val="single" w:sz="4" w:space="0" w:color="auto"/>
              <w:right w:val="single" w:sz="4" w:space="0" w:color="auto"/>
            </w:tcBorders>
          </w:tcPr>
          <w:p w:rsidR="00DA4A0A" w:rsidRDefault="00DA4A0A" w:rsidP="002A41DD">
            <w:pPr>
              <w:jc w:val="right"/>
              <w:rPr>
                <w:sz w:val="20"/>
                <w:szCs w:val="18"/>
                <w:lang w:val="en-AU"/>
              </w:rPr>
            </w:pPr>
            <w:r>
              <w:rPr>
                <w:sz w:val="20"/>
                <w:szCs w:val="18"/>
                <w:lang w:val="en-AU"/>
              </w:rPr>
              <w:t>5</w:t>
            </w:r>
            <w:r w:rsidR="00AA457A">
              <w:rPr>
                <w:sz w:val="20"/>
                <w:szCs w:val="18"/>
                <w:lang w:val="en-AU"/>
              </w:rPr>
              <w:t>0</w:t>
            </w:r>
            <w:r>
              <w:rPr>
                <w:sz w:val="20"/>
                <w:szCs w:val="18"/>
                <w:lang w:val="en-AU"/>
              </w:rPr>
              <w:t>.000</w:t>
            </w:r>
          </w:p>
        </w:tc>
        <w:tc>
          <w:tcPr>
            <w:tcW w:w="1195" w:type="dxa"/>
            <w:tcBorders>
              <w:top w:val="single" w:sz="4" w:space="0" w:color="auto"/>
              <w:left w:val="single" w:sz="4" w:space="0" w:color="auto"/>
              <w:bottom w:val="single" w:sz="4" w:space="0" w:color="auto"/>
              <w:right w:val="single" w:sz="4" w:space="0" w:color="auto"/>
            </w:tcBorders>
          </w:tcPr>
          <w:p w:rsidR="00DA4A0A" w:rsidRDefault="00DA4A0A" w:rsidP="002A41DD">
            <w:pPr>
              <w:jc w:val="right"/>
              <w:rPr>
                <w:sz w:val="20"/>
                <w:szCs w:val="18"/>
                <w:lang w:val="en-AU"/>
              </w:rPr>
            </w:pPr>
            <w:r>
              <w:rPr>
                <w:sz w:val="20"/>
                <w:szCs w:val="18"/>
                <w:lang w:val="en-AU"/>
              </w:rPr>
              <w:t>100.000</w:t>
            </w:r>
          </w:p>
        </w:tc>
        <w:tc>
          <w:tcPr>
            <w:tcW w:w="1195" w:type="dxa"/>
            <w:tcBorders>
              <w:top w:val="single" w:sz="4" w:space="0" w:color="auto"/>
              <w:left w:val="single" w:sz="4" w:space="0" w:color="auto"/>
              <w:bottom w:val="single" w:sz="4" w:space="0" w:color="auto"/>
              <w:right w:val="single" w:sz="4" w:space="0" w:color="auto"/>
            </w:tcBorders>
          </w:tcPr>
          <w:p w:rsidR="00DA4A0A" w:rsidRDefault="00DA4A0A" w:rsidP="002A41DD">
            <w:pPr>
              <w:jc w:val="right"/>
              <w:rPr>
                <w:sz w:val="20"/>
                <w:szCs w:val="18"/>
                <w:lang w:val="en-AU"/>
              </w:rPr>
            </w:pPr>
            <w:r>
              <w:rPr>
                <w:sz w:val="20"/>
                <w:szCs w:val="18"/>
                <w:lang w:val="en-AU"/>
              </w:rPr>
              <w:t>100.000</w:t>
            </w:r>
          </w:p>
        </w:tc>
        <w:tc>
          <w:tcPr>
            <w:tcW w:w="1195" w:type="dxa"/>
            <w:tcBorders>
              <w:top w:val="single" w:sz="4" w:space="0" w:color="auto"/>
              <w:left w:val="single" w:sz="4" w:space="0" w:color="auto"/>
              <w:bottom w:val="single" w:sz="4" w:space="0" w:color="auto"/>
              <w:right w:val="single" w:sz="4" w:space="0" w:color="auto"/>
            </w:tcBorders>
          </w:tcPr>
          <w:p w:rsidR="00DA4A0A" w:rsidRDefault="00DA4A0A" w:rsidP="002A41DD">
            <w:pPr>
              <w:jc w:val="right"/>
              <w:rPr>
                <w:sz w:val="20"/>
                <w:szCs w:val="18"/>
                <w:lang w:val="en-AU"/>
              </w:rPr>
            </w:pPr>
            <w:r>
              <w:rPr>
                <w:sz w:val="20"/>
                <w:szCs w:val="18"/>
                <w:lang w:val="en-AU"/>
              </w:rPr>
              <w:t>100.000</w:t>
            </w:r>
          </w:p>
        </w:tc>
        <w:tc>
          <w:tcPr>
            <w:tcW w:w="1195" w:type="dxa"/>
            <w:tcBorders>
              <w:top w:val="single" w:sz="4" w:space="0" w:color="auto"/>
              <w:left w:val="single" w:sz="4" w:space="0" w:color="auto"/>
              <w:bottom w:val="single" w:sz="4" w:space="0" w:color="auto"/>
              <w:right w:val="single" w:sz="4" w:space="0" w:color="auto"/>
            </w:tcBorders>
          </w:tcPr>
          <w:p w:rsidR="00DA4A0A" w:rsidRDefault="00DA4A0A" w:rsidP="002A41DD">
            <w:pPr>
              <w:jc w:val="right"/>
              <w:rPr>
                <w:sz w:val="20"/>
                <w:szCs w:val="18"/>
                <w:lang w:val="en-AU"/>
              </w:rPr>
            </w:pPr>
            <w:r>
              <w:rPr>
                <w:sz w:val="20"/>
                <w:szCs w:val="18"/>
                <w:lang w:val="en-AU"/>
              </w:rPr>
              <w:t>100.000</w:t>
            </w:r>
          </w:p>
        </w:tc>
      </w:tr>
    </w:tbl>
    <w:p w:rsidR="007215B3" w:rsidRDefault="007215B3" w:rsidP="007215B3">
      <w:pPr>
        <w:pStyle w:val="TRBodyText"/>
        <w:tabs>
          <w:tab w:val="left" w:pos="567"/>
        </w:tabs>
      </w:pPr>
    </w:p>
    <w:p w:rsidR="004F31C2" w:rsidRDefault="007215B3" w:rsidP="003C390C">
      <w:pPr>
        <w:pStyle w:val="Numberparagraph"/>
        <w:numPr>
          <w:ilvl w:val="0"/>
          <w:numId w:val="6"/>
        </w:numPr>
        <w:ind w:left="0" w:firstLine="0"/>
      </w:pPr>
      <w:r>
        <w:t>If our</w:t>
      </w:r>
      <w:r w:rsidR="00C449D9">
        <w:t xml:space="preserve"> recommendations in these Cabinet </w:t>
      </w:r>
      <w:r w:rsidR="00D23EA9">
        <w:t>papers</w:t>
      </w:r>
      <w:r>
        <w:t xml:space="preserve"> are agreed and adopted by the </w:t>
      </w:r>
      <w:r w:rsidR="008132B3">
        <w:t>Government, then the forecasts w</w:t>
      </w:r>
      <w:r>
        <w:t>ould be adjusted</w:t>
      </w:r>
      <w:r w:rsidR="008132B3">
        <w:t xml:space="preserve"> upward</w:t>
      </w:r>
      <w:r>
        <w:t xml:space="preserve"> by these </w:t>
      </w:r>
      <w:r w:rsidR="008132B3">
        <w:t xml:space="preserve">additional </w:t>
      </w:r>
      <w:r>
        <w:t>amounts:</w:t>
      </w:r>
      <w:r w:rsidR="004F31C2" w:rsidRPr="004F31C2">
        <w:t xml:space="preserve"> </w:t>
      </w:r>
    </w:p>
    <w:p w:rsidR="007215B3" w:rsidRDefault="007215B3" w:rsidP="007215B3">
      <w:pPr>
        <w:pStyle w:val="TRBodyText"/>
        <w:tabs>
          <w:tab w:val="left" w:pos="567"/>
        </w:tabs>
      </w:pPr>
    </w:p>
    <w:p w:rsidR="002C5FA5" w:rsidRDefault="002C5FA5" w:rsidP="007215B3">
      <w:pPr>
        <w:pStyle w:val="TRBodyText"/>
        <w:tabs>
          <w:tab w:val="left" w:pos="567"/>
        </w:tabs>
      </w:pPr>
    </w:p>
    <w:p w:rsidR="002C5FA5" w:rsidRDefault="002C5FA5" w:rsidP="007215B3">
      <w:pPr>
        <w:pStyle w:val="TRBodyText"/>
        <w:tabs>
          <w:tab w:val="left" w:pos="567"/>
        </w:tabs>
      </w:pPr>
    </w:p>
    <w:p w:rsidR="002C5FA5" w:rsidRDefault="002C5FA5" w:rsidP="007215B3">
      <w:pPr>
        <w:pStyle w:val="TRBodyText"/>
        <w:tabs>
          <w:tab w:val="left" w:pos="567"/>
        </w:tabs>
      </w:pPr>
    </w:p>
    <w:p w:rsidR="002C5FA5" w:rsidRDefault="002C5FA5" w:rsidP="007215B3">
      <w:pPr>
        <w:pStyle w:val="TRBodyText"/>
        <w:tabs>
          <w:tab w:val="left" w:pos="567"/>
        </w:tabs>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346"/>
        <w:gridCol w:w="1347"/>
        <w:gridCol w:w="1347"/>
        <w:gridCol w:w="1346"/>
        <w:gridCol w:w="1347"/>
        <w:gridCol w:w="1347"/>
      </w:tblGrid>
      <w:tr w:rsidR="00DA4A0A" w:rsidTr="00DD540B">
        <w:tc>
          <w:tcPr>
            <w:tcW w:w="1701" w:type="dxa"/>
            <w:tcBorders>
              <w:top w:val="nil"/>
              <w:left w:val="nil"/>
              <w:bottom w:val="single" w:sz="4" w:space="0" w:color="auto"/>
              <w:right w:val="single" w:sz="4" w:space="0" w:color="auto"/>
            </w:tcBorders>
          </w:tcPr>
          <w:p w:rsidR="00DA4A0A" w:rsidRDefault="00DA4A0A" w:rsidP="002A41DD">
            <w:pPr>
              <w:rPr>
                <w:sz w:val="20"/>
                <w:szCs w:val="18"/>
                <w:lang w:val="en-AU"/>
              </w:rPr>
            </w:pPr>
          </w:p>
        </w:tc>
        <w:tc>
          <w:tcPr>
            <w:tcW w:w="8080" w:type="dxa"/>
            <w:gridSpan w:val="6"/>
            <w:tcBorders>
              <w:top w:val="single" w:sz="4" w:space="0" w:color="auto"/>
              <w:left w:val="single" w:sz="4" w:space="0" w:color="auto"/>
              <w:bottom w:val="single" w:sz="4" w:space="0" w:color="auto"/>
              <w:right w:val="single" w:sz="4" w:space="0" w:color="auto"/>
            </w:tcBorders>
          </w:tcPr>
          <w:p w:rsidR="00DA4A0A" w:rsidRDefault="00DA4A0A" w:rsidP="002A41DD">
            <w:pPr>
              <w:jc w:val="center"/>
              <w:rPr>
                <w:sz w:val="20"/>
                <w:szCs w:val="18"/>
                <w:lang w:val="en-AU"/>
              </w:rPr>
            </w:pPr>
            <w:r>
              <w:rPr>
                <w:sz w:val="20"/>
                <w:lang w:val="en-AU"/>
              </w:rPr>
              <w:t>$m – increase/(decrease)</w:t>
            </w:r>
          </w:p>
        </w:tc>
      </w:tr>
      <w:tr w:rsidR="00DA4A0A" w:rsidTr="00C54EBA">
        <w:tc>
          <w:tcPr>
            <w:tcW w:w="1701" w:type="dxa"/>
            <w:tcBorders>
              <w:top w:val="single" w:sz="4" w:space="0" w:color="auto"/>
              <w:left w:val="single" w:sz="4" w:space="0" w:color="auto"/>
              <w:bottom w:val="single" w:sz="4" w:space="0" w:color="auto"/>
              <w:right w:val="single" w:sz="4" w:space="0" w:color="auto"/>
            </w:tcBorders>
            <w:hideMark/>
          </w:tcPr>
          <w:p w:rsidR="00DA4A0A" w:rsidRDefault="00DA4A0A" w:rsidP="002A41DD">
            <w:pPr>
              <w:rPr>
                <w:b/>
                <w:bCs/>
                <w:iCs/>
                <w:sz w:val="20"/>
                <w:szCs w:val="18"/>
                <w:lang w:val="en-AU"/>
              </w:rPr>
            </w:pPr>
            <w:r>
              <w:rPr>
                <w:b/>
                <w:bCs/>
                <w:iCs/>
                <w:sz w:val="20"/>
                <w:szCs w:val="18"/>
                <w:lang w:val="en-AU"/>
              </w:rPr>
              <w:t>Vote Revenue</w:t>
            </w:r>
          </w:p>
          <w:p w:rsidR="00DA4A0A" w:rsidRDefault="00DA4A0A" w:rsidP="002A41DD">
            <w:pPr>
              <w:rPr>
                <w:b/>
                <w:bCs/>
                <w:i/>
                <w:iCs/>
                <w:sz w:val="20"/>
                <w:szCs w:val="18"/>
                <w:lang w:val="en-AU"/>
              </w:rPr>
            </w:pPr>
            <w:r>
              <w:rPr>
                <w:b/>
                <w:bCs/>
                <w:iCs/>
                <w:sz w:val="20"/>
                <w:szCs w:val="18"/>
                <w:lang w:val="en-AU"/>
              </w:rPr>
              <w:t>Minister of Revenue</w:t>
            </w:r>
          </w:p>
        </w:tc>
        <w:tc>
          <w:tcPr>
            <w:tcW w:w="1346" w:type="dxa"/>
            <w:tcBorders>
              <w:top w:val="single" w:sz="4" w:space="0" w:color="auto"/>
              <w:left w:val="single" w:sz="4" w:space="0" w:color="auto"/>
              <w:bottom w:val="single" w:sz="4" w:space="0" w:color="auto"/>
              <w:right w:val="single" w:sz="4" w:space="0" w:color="auto"/>
            </w:tcBorders>
          </w:tcPr>
          <w:p w:rsidR="00DA4A0A" w:rsidRDefault="00DA4A0A" w:rsidP="002A41DD">
            <w:pPr>
              <w:jc w:val="right"/>
              <w:rPr>
                <w:b/>
                <w:bCs/>
                <w:sz w:val="20"/>
                <w:szCs w:val="18"/>
              </w:rPr>
            </w:pPr>
            <w:r>
              <w:rPr>
                <w:b/>
                <w:bCs/>
                <w:sz w:val="20"/>
                <w:szCs w:val="18"/>
              </w:rPr>
              <w:t>2017/18</w:t>
            </w:r>
          </w:p>
        </w:tc>
        <w:tc>
          <w:tcPr>
            <w:tcW w:w="1347" w:type="dxa"/>
            <w:tcBorders>
              <w:top w:val="single" w:sz="4" w:space="0" w:color="auto"/>
              <w:left w:val="single" w:sz="4" w:space="0" w:color="auto"/>
              <w:bottom w:val="single" w:sz="4" w:space="0" w:color="auto"/>
              <w:right w:val="single" w:sz="4" w:space="0" w:color="auto"/>
            </w:tcBorders>
            <w:hideMark/>
          </w:tcPr>
          <w:p w:rsidR="00DA4A0A" w:rsidRDefault="00DA4A0A" w:rsidP="002A41DD">
            <w:pPr>
              <w:jc w:val="right"/>
              <w:rPr>
                <w:b/>
                <w:bCs/>
                <w:sz w:val="20"/>
                <w:szCs w:val="18"/>
                <w:lang w:val="en-AU"/>
              </w:rPr>
            </w:pPr>
            <w:r>
              <w:rPr>
                <w:b/>
                <w:bCs/>
                <w:sz w:val="20"/>
                <w:szCs w:val="18"/>
              </w:rPr>
              <w:t>2018/19</w:t>
            </w:r>
          </w:p>
        </w:tc>
        <w:tc>
          <w:tcPr>
            <w:tcW w:w="1347" w:type="dxa"/>
            <w:tcBorders>
              <w:top w:val="single" w:sz="4" w:space="0" w:color="auto"/>
              <w:left w:val="single" w:sz="4" w:space="0" w:color="auto"/>
              <w:bottom w:val="single" w:sz="4" w:space="0" w:color="auto"/>
              <w:right w:val="single" w:sz="4" w:space="0" w:color="auto"/>
            </w:tcBorders>
            <w:hideMark/>
          </w:tcPr>
          <w:p w:rsidR="00DA4A0A" w:rsidRDefault="00DA4A0A" w:rsidP="002A41DD">
            <w:pPr>
              <w:jc w:val="right"/>
              <w:rPr>
                <w:b/>
                <w:bCs/>
                <w:sz w:val="20"/>
                <w:szCs w:val="18"/>
                <w:lang w:val="en-AU"/>
              </w:rPr>
            </w:pPr>
            <w:r>
              <w:rPr>
                <w:b/>
                <w:bCs/>
                <w:sz w:val="20"/>
                <w:szCs w:val="18"/>
              </w:rPr>
              <w:t>2019/20</w:t>
            </w:r>
          </w:p>
        </w:tc>
        <w:tc>
          <w:tcPr>
            <w:tcW w:w="1346" w:type="dxa"/>
            <w:tcBorders>
              <w:top w:val="single" w:sz="4" w:space="0" w:color="auto"/>
              <w:left w:val="single" w:sz="4" w:space="0" w:color="auto"/>
              <w:bottom w:val="single" w:sz="4" w:space="0" w:color="auto"/>
              <w:right w:val="single" w:sz="4" w:space="0" w:color="auto"/>
            </w:tcBorders>
            <w:hideMark/>
          </w:tcPr>
          <w:p w:rsidR="00DA4A0A" w:rsidRDefault="00DA4A0A" w:rsidP="002A41DD">
            <w:pPr>
              <w:jc w:val="right"/>
              <w:rPr>
                <w:b/>
                <w:bCs/>
                <w:sz w:val="20"/>
                <w:szCs w:val="18"/>
                <w:lang w:val="en-AU"/>
              </w:rPr>
            </w:pPr>
            <w:r>
              <w:rPr>
                <w:b/>
                <w:bCs/>
                <w:sz w:val="20"/>
                <w:szCs w:val="18"/>
              </w:rPr>
              <w:t>2020/21</w:t>
            </w:r>
          </w:p>
        </w:tc>
        <w:tc>
          <w:tcPr>
            <w:tcW w:w="1347" w:type="dxa"/>
            <w:tcBorders>
              <w:top w:val="single" w:sz="4" w:space="0" w:color="auto"/>
              <w:left w:val="single" w:sz="4" w:space="0" w:color="auto"/>
              <w:bottom w:val="single" w:sz="4" w:space="0" w:color="auto"/>
              <w:right w:val="single" w:sz="4" w:space="0" w:color="auto"/>
            </w:tcBorders>
            <w:hideMark/>
          </w:tcPr>
          <w:p w:rsidR="00DA4A0A" w:rsidRDefault="00DA4A0A" w:rsidP="002A41DD">
            <w:pPr>
              <w:jc w:val="right"/>
              <w:rPr>
                <w:b/>
                <w:bCs/>
                <w:sz w:val="20"/>
                <w:szCs w:val="18"/>
                <w:lang w:val="en-AU"/>
              </w:rPr>
            </w:pPr>
            <w:r>
              <w:rPr>
                <w:b/>
                <w:bCs/>
                <w:sz w:val="20"/>
                <w:szCs w:val="18"/>
              </w:rPr>
              <w:t xml:space="preserve">2021/22 </w:t>
            </w:r>
          </w:p>
        </w:tc>
        <w:tc>
          <w:tcPr>
            <w:tcW w:w="1347" w:type="dxa"/>
            <w:tcBorders>
              <w:top w:val="single" w:sz="4" w:space="0" w:color="auto"/>
              <w:left w:val="single" w:sz="4" w:space="0" w:color="auto"/>
              <w:bottom w:val="single" w:sz="4" w:space="0" w:color="auto"/>
              <w:right w:val="single" w:sz="4" w:space="0" w:color="auto"/>
            </w:tcBorders>
            <w:hideMark/>
          </w:tcPr>
          <w:p w:rsidR="00DA4A0A" w:rsidRDefault="00DA4A0A" w:rsidP="002A41DD">
            <w:pPr>
              <w:jc w:val="right"/>
              <w:rPr>
                <w:b/>
                <w:bCs/>
                <w:sz w:val="20"/>
                <w:szCs w:val="18"/>
                <w:lang w:val="en-AU"/>
              </w:rPr>
            </w:pPr>
            <w:r>
              <w:rPr>
                <w:b/>
                <w:bCs/>
                <w:sz w:val="20"/>
                <w:szCs w:val="18"/>
              </w:rPr>
              <w:t>2022/23 &amp; Outyears</w:t>
            </w:r>
          </w:p>
        </w:tc>
      </w:tr>
      <w:tr w:rsidR="00BE6D0C" w:rsidTr="00C54EBA">
        <w:tc>
          <w:tcPr>
            <w:tcW w:w="1701" w:type="dxa"/>
            <w:tcBorders>
              <w:top w:val="single" w:sz="4" w:space="0" w:color="auto"/>
              <w:left w:val="single" w:sz="4" w:space="0" w:color="auto"/>
              <w:bottom w:val="nil"/>
              <w:right w:val="single" w:sz="4" w:space="0" w:color="auto"/>
            </w:tcBorders>
          </w:tcPr>
          <w:p w:rsidR="00BE6D0C" w:rsidRPr="00BE6D0C" w:rsidRDefault="00BE6D0C" w:rsidP="002A41DD">
            <w:pPr>
              <w:rPr>
                <w:bCs/>
                <w:iCs/>
                <w:sz w:val="20"/>
                <w:szCs w:val="18"/>
                <w:lang w:val="en-AU"/>
              </w:rPr>
            </w:pPr>
            <w:r w:rsidRPr="00BE6D0C">
              <w:rPr>
                <w:bCs/>
                <w:iCs/>
                <w:sz w:val="20"/>
                <w:szCs w:val="18"/>
                <w:lang w:val="en-AU"/>
              </w:rPr>
              <w:t>Grand</w:t>
            </w:r>
            <w:r w:rsidR="000D3FAA">
              <w:rPr>
                <w:bCs/>
                <w:iCs/>
                <w:sz w:val="20"/>
                <w:szCs w:val="18"/>
                <w:lang w:val="en-AU"/>
              </w:rPr>
              <w:t>-</w:t>
            </w:r>
            <w:r w:rsidRPr="00BE6D0C">
              <w:rPr>
                <w:bCs/>
                <w:iCs/>
                <w:sz w:val="20"/>
                <w:szCs w:val="18"/>
                <w:lang w:val="en-AU"/>
              </w:rPr>
              <w:t>parenting</w:t>
            </w:r>
            <w:r>
              <w:rPr>
                <w:bCs/>
                <w:iCs/>
                <w:sz w:val="20"/>
                <w:szCs w:val="18"/>
                <w:lang w:val="en-AU"/>
              </w:rPr>
              <w:t xml:space="preserve"> of certain hybrids issued to the public</w:t>
            </w:r>
          </w:p>
        </w:tc>
        <w:tc>
          <w:tcPr>
            <w:tcW w:w="1346" w:type="dxa"/>
            <w:tcBorders>
              <w:top w:val="single" w:sz="4" w:space="0" w:color="auto"/>
              <w:left w:val="single" w:sz="4" w:space="0" w:color="auto"/>
              <w:bottom w:val="nil"/>
              <w:right w:val="single" w:sz="4" w:space="0" w:color="auto"/>
            </w:tcBorders>
          </w:tcPr>
          <w:p w:rsidR="00BE6D0C" w:rsidRDefault="00BE6D0C" w:rsidP="002A41DD">
            <w:pPr>
              <w:jc w:val="right"/>
              <w:rPr>
                <w:b/>
                <w:bCs/>
                <w:sz w:val="20"/>
                <w:szCs w:val="18"/>
              </w:rPr>
            </w:pPr>
            <w:r>
              <w:rPr>
                <w:b/>
                <w:bCs/>
                <w:sz w:val="20"/>
                <w:szCs w:val="18"/>
              </w:rPr>
              <w:t>-</w:t>
            </w:r>
          </w:p>
        </w:tc>
        <w:tc>
          <w:tcPr>
            <w:tcW w:w="1347" w:type="dxa"/>
            <w:tcBorders>
              <w:top w:val="single" w:sz="4" w:space="0" w:color="auto"/>
              <w:left w:val="single" w:sz="4" w:space="0" w:color="auto"/>
              <w:bottom w:val="nil"/>
              <w:right w:val="single" w:sz="4" w:space="0" w:color="auto"/>
            </w:tcBorders>
          </w:tcPr>
          <w:p w:rsidR="00BE6D0C" w:rsidRDefault="00BE6D0C" w:rsidP="002A41DD">
            <w:pPr>
              <w:jc w:val="right"/>
              <w:rPr>
                <w:b/>
                <w:bCs/>
                <w:sz w:val="20"/>
                <w:szCs w:val="18"/>
              </w:rPr>
            </w:pPr>
            <w:r w:rsidRPr="00BE6D0C">
              <w:rPr>
                <w:bCs/>
                <w:sz w:val="20"/>
                <w:szCs w:val="18"/>
              </w:rPr>
              <w:t>19.000</w:t>
            </w:r>
          </w:p>
        </w:tc>
        <w:tc>
          <w:tcPr>
            <w:tcW w:w="1347" w:type="dxa"/>
            <w:tcBorders>
              <w:top w:val="single" w:sz="4" w:space="0" w:color="auto"/>
              <w:left w:val="single" w:sz="4" w:space="0" w:color="auto"/>
              <w:bottom w:val="nil"/>
              <w:right w:val="single" w:sz="4" w:space="0" w:color="auto"/>
            </w:tcBorders>
          </w:tcPr>
          <w:p w:rsidR="00BE6D0C" w:rsidRPr="00BE6D0C" w:rsidRDefault="00BE6D0C" w:rsidP="002A41DD">
            <w:pPr>
              <w:jc w:val="right"/>
              <w:rPr>
                <w:bCs/>
                <w:sz w:val="20"/>
                <w:szCs w:val="18"/>
              </w:rPr>
            </w:pPr>
            <w:r w:rsidRPr="00BE6D0C">
              <w:rPr>
                <w:bCs/>
                <w:sz w:val="20"/>
                <w:szCs w:val="18"/>
              </w:rPr>
              <w:t>19.000</w:t>
            </w:r>
          </w:p>
        </w:tc>
        <w:tc>
          <w:tcPr>
            <w:tcW w:w="1346" w:type="dxa"/>
            <w:tcBorders>
              <w:top w:val="single" w:sz="4" w:space="0" w:color="auto"/>
              <w:left w:val="single" w:sz="4" w:space="0" w:color="auto"/>
              <w:bottom w:val="nil"/>
              <w:right w:val="single" w:sz="4" w:space="0" w:color="auto"/>
            </w:tcBorders>
          </w:tcPr>
          <w:p w:rsidR="00BE6D0C" w:rsidRPr="00BE6D0C" w:rsidRDefault="00BE6D0C" w:rsidP="002A41DD">
            <w:pPr>
              <w:jc w:val="right"/>
              <w:rPr>
                <w:bCs/>
                <w:sz w:val="20"/>
                <w:szCs w:val="18"/>
              </w:rPr>
            </w:pPr>
            <w:r w:rsidRPr="00BE6D0C">
              <w:rPr>
                <w:bCs/>
                <w:sz w:val="20"/>
                <w:szCs w:val="18"/>
              </w:rPr>
              <w:t>19.000</w:t>
            </w:r>
          </w:p>
        </w:tc>
        <w:tc>
          <w:tcPr>
            <w:tcW w:w="1347" w:type="dxa"/>
            <w:tcBorders>
              <w:top w:val="single" w:sz="4" w:space="0" w:color="auto"/>
              <w:left w:val="single" w:sz="4" w:space="0" w:color="auto"/>
              <w:bottom w:val="nil"/>
              <w:right w:val="single" w:sz="4" w:space="0" w:color="auto"/>
            </w:tcBorders>
          </w:tcPr>
          <w:p w:rsidR="00BE6D0C" w:rsidRPr="00BE6D0C" w:rsidRDefault="00BE6D0C" w:rsidP="002A41DD">
            <w:pPr>
              <w:jc w:val="right"/>
              <w:rPr>
                <w:bCs/>
                <w:sz w:val="20"/>
                <w:szCs w:val="18"/>
              </w:rPr>
            </w:pPr>
            <w:r w:rsidRPr="00BE6D0C">
              <w:rPr>
                <w:bCs/>
                <w:sz w:val="20"/>
                <w:szCs w:val="18"/>
              </w:rPr>
              <w:t>14.000</w:t>
            </w:r>
          </w:p>
        </w:tc>
        <w:tc>
          <w:tcPr>
            <w:tcW w:w="1347" w:type="dxa"/>
            <w:tcBorders>
              <w:top w:val="single" w:sz="4" w:space="0" w:color="auto"/>
              <w:left w:val="single" w:sz="4" w:space="0" w:color="auto"/>
              <w:bottom w:val="nil"/>
              <w:right w:val="single" w:sz="4" w:space="0" w:color="auto"/>
            </w:tcBorders>
          </w:tcPr>
          <w:p w:rsidR="00BE6D0C" w:rsidRDefault="00BE6D0C" w:rsidP="002A41DD">
            <w:pPr>
              <w:jc w:val="right"/>
              <w:rPr>
                <w:b/>
                <w:bCs/>
                <w:sz w:val="20"/>
                <w:szCs w:val="18"/>
              </w:rPr>
            </w:pPr>
            <w:r>
              <w:rPr>
                <w:b/>
                <w:bCs/>
                <w:sz w:val="20"/>
                <w:szCs w:val="18"/>
              </w:rPr>
              <w:t>-</w:t>
            </w:r>
          </w:p>
        </w:tc>
      </w:tr>
      <w:tr w:rsidR="00BE6D0C" w:rsidTr="00C54EBA">
        <w:trPr>
          <w:trHeight w:val="70"/>
        </w:trPr>
        <w:tc>
          <w:tcPr>
            <w:tcW w:w="1701" w:type="dxa"/>
            <w:tcBorders>
              <w:top w:val="nil"/>
              <w:left w:val="single" w:sz="4" w:space="0" w:color="auto"/>
              <w:bottom w:val="single" w:sz="4" w:space="0" w:color="auto"/>
              <w:right w:val="single" w:sz="4" w:space="0" w:color="auto"/>
            </w:tcBorders>
            <w:hideMark/>
          </w:tcPr>
          <w:p w:rsidR="00BE6D0C" w:rsidRDefault="00BE6D0C" w:rsidP="002A41DD">
            <w:pPr>
              <w:rPr>
                <w:sz w:val="20"/>
                <w:szCs w:val="18"/>
                <w:lang w:val="en-AU"/>
              </w:rPr>
            </w:pPr>
            <w:r>
              <w:rPr>
                <w:sz w:val="20"/>
                <w:szCs w:val="18"/>
                <w:lang w:val="en-AU"/>
              </w:rPr>
              <w:t xml:space="preserve">Other BEPS measures </w:t>
            </w:r>
          </w:p>
        </w:tc>
        <w:tc>
          <w:tcPr>
            <w:tcW w:w="1346" w:type="dxa"/>
            <w:tcBorders>
              <w:top w:val="nil"/>
              <w:left w:val="single" w:sz="4" w:space="0" w:color="auto"/>
              <w:bottom w:val="single" w:sz="4" w:space="0" w:color="auto"/>
              <w:right w:val="single" w:sz="4" w:space="0" w:color="auto"/>
            </w:tcBorders>
          </w:tcPr>
          <w:p w:rsidR="00BE6D0C" w:rsidRDefault="00BE6D0C" w:rsidP="002A41DD">
            <w:pPr>
              <w:jc w:val="right"/>
              <w:rPr>
                <w:sz w:val="20"/>
                <w:szCs w:val="18"/>
                <w:lang w:val="en-AU"/>
              </w:rPr>
            </w:pPr>
            <w:r>
              <w:rPr>
                <w:rFonts w:eastAsia="Calibri"/>
                <w:szCs w:val="24"/>
                <w:lang w:eastAsia="en-NZ"/>
              </w:rPr>
              <w:t>-</w:t>
            </w:r>
          </w:p>
        </w:tc>
        <w:tc>
          <w:tcPr>
            <w:tcW w:w="1347" w:type="dxa"/>
            <w:tcBorders>
              <w:top w:val="nil"/>
              <w:left w:val="single" w:sz="4" w:space="0" w:color="auto"/>
              <w:bottom w:val="single" w:sz="4" w:space="0" w:color="auto"/>
              <w:right w:val="single" w:sz="4" w:space="0" w:color="auto"/>
            </w:tcBorders>
          </w:tcPr>
          <w:p w:rsidR="00BE6D0C" w:rsidRDefault="00BE6D0C" w:rsidP="002A41DD">
            <w:pPr>
              <w:jc w:val="right"/>
              <w:rPr>
                <w:sz w:val="20"/>
                <w:szCs w:val="18"/>
                <w:lang w:val="en-AU"/>
              </w:rPr>
            </w:pPr>
            <w:r>
              <w:rPr>
                <w:sz w:val="20"/>
                <w:szCs w:val="18"/>
                <w:lang w:val="en-AU"/>
              </w:rPr>
              <w:t>45.000</w:t>
            </w:r>
          </w:p>
        </w:tc>
        <w:tc>
          <w:tcPr>
            <w:tcW w:w="1347" w:type="dxa"/>
            <w:tcBorders>
              <w:top w:val="nil"/>
              <w:left w:val="single" w:sz="4" w:space="0" w:color="auto"/>
              <w:bottom w:val="single" w:sz="4" w:space="0" w:color="auto"/>
              <w:right w:val="single" w:sz="4" w:space="0" w:color="auto"/>
            </w:tcBorders>
          </w:tcPr>
          <w:p w:rsidR="00BE6D0C" w:rsidRDefault="00BE6D0C" w:rsidP="002A41DD">
            <w:pPr>
              <w:jc w:val="right"/>
              <w:rPr>
                <w:sz w:val="20"/>
                <w:szCs w:val="18"/>
                <w:lang w:val="en-AU"/>
              </w:rPr>
            </w:pPr>
            <w:r>
              <w:rPr>
                <w:sz w:val="20"/>
                <w:szCs w:val="18"/>
                <w:lang w:val="en-AU"/>
              </w:rPr>
              <w:t>90.000</w:t>
            </w:r>
          </w:p>
        </w:tc>
        <w:tc>
          <w:tcPr>
            <w:tcW w:w="1346" w:type="dxa"/>
            <w:tcBorders>
              <w:top w:val="nil"/>
              <w:left w:val="single" w:sz="4" w:space="0" w:color="auto"/>
              <w:bottom w:val="single" w:sz="4" w:space="0" w:color="auto"/>
              <w:right w:val="single" w:sz="4" w:space="0" w:color="auto"/>
            </w:tcBorders>
          </w:tcPr>
          <w:p w:rsidR="00BE6D0C" w:rsidRDefault="00BE6D0C" w:rsidP="002A41DD">
            <w:pPr>
              <w:jc w:val="right"/>
              <w:rPr>
                <w:sz w:val="20"/>
                <w:szCs w:val="18"/>
                <w:lang w:val="en-AU"/>
              </w:rPr>
            </w:pPr>
            <w:r>
              <w:rPr>
                <w:sz w:val="20"/>
                <w:szCs w:val="18"/>
                <w:lang w:val="en-AU"/>
              </w:rPr>
              <w:t>90.000</w:t>
            </w:r>
          </w:p>
        </w:tc>
        <w:tc>
          <w:tcPr>
            <w:tcW w:w="1347" w:type="dxa"/>
            <w:tcBorders>
              <w:top w:val="nil"/>
              <w:left w:val="single" w:sz="4" w:space="0" w:color="auto"/>
              <w:bottom w:val="single" w:sz="4" w:space="0" w:color="auto"/>
              <w:right w:val="single" w:sz="4" w:space="0" w:color="auto"/>
            </w:tcBorders>
          </w:tcPr>
          <w:p w:rsidR="00BE6D0C" w:rsidRDefault="00BE6D0C" w:rsidP="002A41DD">
            <w:pPr>
              <w:jc w:val="right"/>
              <w:rPr>
                <w:sz w:val="20"/>
                <w:szCs w:val="18"/>
                <w:lang w:val="en-AU"/>
              </w:rPr>
            </w:pPr>
            <w:r>
              <w:rPr>
                <w:sz w:val="20"/>
                <w:szCs w:val="18"/>
                <w:lang w:val="en-AU"/>
              </w:rPr>
              <w:t>90.000</w:t>
            </w:r>
          </w:p>
        </w:tc>
        <w:tc>
          <w:tcPr>
            <w:tcW w:w="1347" w:type="dxa"/>
            <w:tcBorders>
              <w:top w:val="nil"/>
              <w:left w:val="single" w:sz="4" w:space="0" w:color="auto"/>
              <w:bottom w:val="single" w:sz="4" w:space="0" w:color="auto"/>
              <w:right w:val="single" w:sz="4" w:space="0" w:color="auto"/>
            </w:tcBorders>
          </w:tcPr>
          <w:p w:rsidR="00BE6D0C" w:rsidRDefault="00BE6D0C" w:rsidP="002A41DD">
            <w:pPr>
              <w:jc w:val="right"/>
              <w:rPr>
                <w:sz w:val="20"/>
                <w:szCs w:val="18"/>
                <w:lang w:val="en-AU"/>
              </w:rPr>
            </w:pPr>
            <w:r>
              <w:rPr>
                <w:sz w:val="20"/>
                <w:szCs w:val="18"/>
                <w:lang w:val="en-AU"/>
              </w:rPr>
              <w:t>90.000</w:t>
            </w:r>
          </w:p>
        </w:tc>
      </w:tr>
      <w:tr w:rsidR="00BE6D0C" w:rsidTr="00C54EBA">
        <w:tc>
          <w:tcPr>
            <w:tcW w:w="1701" w:type="dxa"/>
            <w:tcBorders>
              <w:top w:val="single" w:sz="4" w:space="0" w:color="auto"/>
              <w:left w:val="single" w:sz="4" w:space="0" w:color="auto"/>
              <w:bottom w:val="single" w:sz="4" w:space="0" w:color="auto"/>
              <w:right w:val="single" w:sz="4" w:space="0" w:color="auto"/>
            </w:tcBorders>
            <w:hideMark/>
          </w:tcPr>
          <w:p w:rsidR="00BE6D0C" w:rsidRDefault="00BE6D0C" w:rsidP="00C54EBA">
            <w:pPr>
              <w:rPr>
                <w:b/>
                <w:bCs/>
                <w:sz w:val="20"/>
                <w:szCs w:val="18"/>
                <w:lang w:val="en-AU"/>
              </w:rPr>
            </w:pPr>
            <w:r>
              <w:rPr>
                <w:b/>
                <w:bCs/>
                <w:sz w:val="20"/>
                <w:szCs w:val="18"/>
                <w:lang w:val="en-AU"/>
              </w:rPr>
              <w:t xml:space="preserve">Total </w:t>
            </w:r>
            <w:r w:rsidR="00C54EBA">
              <w:rPr>
                <w:b/>
                <w:bCs/>
                <w:sz w:val="20"/>
                <w:szCs w:val="18"/>
                <w:lang w:val="en-AU"/>
              </w:rPr>
              <w:t>Revenue effect</w:t>
            </w:r>
          </w:p>
        </w:tc>
        <w:tc>
          <w:tcPr>
            <w:tcW w:w="1346" w:type="dxa"/>
            <w:tcBorders>
              <w:top w:val="single" w:sz="4" w:space="0" w:color="auto"/>
              <w:left w:val="single" w:sz="4" w:space="0" w:color="auto"/>
              <w:bottom w:val="single" w:sz="4" w:space="0" w:color="auto"/>
              <w:right w:val="single" w:sz="4" w:space="0" w:color="auto"/>
            </w:tcBorders>
          </w:tcPr>
          <w:p w:rsidR="00BE6D0C" w:rsidRDefault="00BE6D0C" w:rsidP="002A41DD">
            <w:pPr>
              <w:jc w:val="right"/>
              <w:rPr>
                <w:rFonts w:eastAsia="Calibri"/>
                <w:szCs w:val="24"/>
                <w:lang w:eastAsia="en-NZ"/>
              </w:rPr>
            </w:pPr>
            <w:r>
              <w:rPr>
                <w:rFonts w:eastAsia="Calibri"/>
                <w:szCs w:val="24"/>
                <w:lang w:eastAsia="en-NZ"/>
              </w:rPr>
              <w:t>-</w:t>
            </w:r>
          </w:p>
        </w:tc>
        <w:tc>
          <w:tcPr>
            <w:tcW w:w="1347" w:type="dxa"/>
            <w:tcBorders>
              <w:top w:val="single" w:sz="4" w:space="0" w:color="auto"/>
              <w:left w:val="single" w:sz="4" w:space="0" w:color="auto"/>
              <w:bottom w:val="single" w:sz="4" w:space="0" w:color="auto"/>
              <w:right w:val="single" w:sz="4" w:space="0" w:color="auto"/>
            </w:tcBorders>
            <w:hideMark/>
          </w:tcPr>
          <w:p w:rsidR="00BE6D0C" w:rsidRDefault="00BE6D0C" w:rsidP="002A41DD">
            <w:pPr>
              <w:jc w:val="right"/>
              <w:rPr>
                <w:sz w:val="20"/>
                <w:szCs w:val="18"/>
                <w:lang w:val="en-AU"/>
              </w:rPr>
            </w:pPr>
            <w:r>
              <w:rPr>
                <w:sz w:val="20"/>
                <w:szCs w:val="18"/>
                <w:lang w:val="en-AU"/>
              </w:rPr>
              <w:t>64.000</w:t>
            </w:r>
          </w:p>
        </w:tc>
        <w:tc>
          <w:tcPr>
            <w:tcW w:w="1347" w:type="dxa"/>
            <w:tcBorders>
              <w:top w:val="single" w:sz="4" w:space="0" w:color="auto"/>
              <w:left w:val="single" w:sz="4" w:space="0" w:color="auto"/>
              <w:bottom w:val="single" w:sz="4" w:space="0" w:color="auto"/>
              <w:right w:val="single" w:sz="4" w:space="0" w:color="auto"/>
            </w:tcBorders>
            <w:hideMark/>
          </w:tcPr>
          <w:p w:rsidR="00BE6D0C" w:rsidRDefault="00C54EBA" w:rsidP="002A41DD">
            <w:pPr>
              <w:jc w:val="right"/>
              <w:rPr>
                <w:sz w:val="20"/>
                <w:szCs w:val="18"/>
                <w:lang w:val="en-AU"/>
              </w:rPr>
            </w:pPr>
            <w:r>
              <w:rPr>
                <w:sz w:val="20"/>
                <w:szCs w:val="18"/>
                <w:lang w:val="en-AU"/>
              </w:rPr>
              <w:t>109.000</w:t>
            </w:r>
            <w:r w:rsidR="00BE6D0C" w:rsidRPr="008B5F53" w:rsidDel="00DA766E">
              <w:rPr>
                <w:sz w:val="20"/>
                <w:szCs w:val="18"/>
                <w:lang w:val="en-AU"/>
              </w:rPr>
              <w:t xml:space="preserve"> </w:t>
            </w:r>
          </w:p>
        </w:tc>
        <w:tc>
          <w:tcPr>
            <w:tcW w:w="1346" w:type="dxa"/>
            <w:tcBorders>
              <w:top w:val="single" w:sz="4" w:space="0" w:color="auto"/>
              <w:left w:val="single" w:sz="4" w:space="0" w:color="auto"/>
              <w:bottom w:val="single" w:sz="4" w:space="0" w:color="auto"/>
              <w:right w:val="single" w:sz="4" w:space="0" w:color="auto"/>
            </w:tcBorders>
            <w:hideMark/>
          </w:tcPr>
          <w:p w:rsidR="00BE6D0C" w:rsidRDefault="00BE6D0C" w:rsidP="00C54EBA">
            <w:pPr>
              <w:jc w:val="right"/>
              <w:rPr>
                <w:sz w:val="20"/>
                <w:szCs w:val="18"/>
                <w:lang w:val="en-AU"/>
              </w:rPr>
            </w:pPr>
            <w:r>
              <w:rPr>
                <w:sz w:val="20"/>
                <w:szCs w:val="18"/>
                <w:lang w:val="en-AU"/>
              </w:rPr>
              <w:t>109.000</w:t>
            </w:r>
          </w:p>
        </w:tc>
        <w:tc>
          <w:tcPr>
            <w:tcW w:w="1347" w:type="dxa"/>
            <w:tcBorders>
              <w:top w:val="single" w:sz="4" w:space="0" w:color="auto"/>
              <w:left w:val="single" w:sz="4" w:space="0" w:color="auto"/>
              <w:bottom w:val="single" w:sz="4" w:space="0" w:color="auto"/>
              <w:right w:val="single" w:sz="4" w:space="0" w:color="auto"/>
            </w:tcBorders>
            <w:hideMark/>
          </w:tcPr>
          <w:p w:rsidR="00BE6D0C" w:rsidRDefault="00BE6D0C" w:rsidP="002A41DD">
            <w:pPr>
              <w:jc w:val="right"/>
              <w:rPr>
                <w:sz w:val="20"/>
                <w:szCs w:val="18"/>
                <w:lang w:val="en-AU"/>
              </w:rPr>
            </w:pPr>
            <w:r>
              <w:rPr>
                <w:sz w:val="20"/>
                <w:szCs w:val="18"/>
                <w:lang w:val="en-AU"/>
              </w:rPr>
              <w:t>1</w:t>
            </w:r>
            <w:r w:rsidR="00C54EBA">
              <w:rPr>
                <w:sz w:val="20"/>
                <w:szCs w:val="18"/>
                <w:lang w:val="en-AU"/>
              </w:rPr>
              <w:t>04.000</w:t>
            </w:r>
          </w:p>
        </w:tc>
        <w:tc>
          <w:tcPr>
            <w:tcW w:w="1347" w:type="dxa"/>
            <w:tcBorders>
              <w:top w:val="single" w:sz="4" w:space="0" w:color="auto"/>
              <w:left w:val="single" w:sz="4" w:space="0" w:color="auto"/>
              <w:bottom w:val="single" w:sz="4" w:space="0" w:color="auto"/>
              <w:right w:val="single" w:sz="4" w:space="0" w:color="auto"/>
            </w:tcBorders>
            <w:hideMark/>
          </w:tcPr>
          <w:p w:rsidR="00BE6D0C" w:rsidRDefault="00C54EBA" w:rsidP="002A41DD">
            <w:pPr>
              <w:jc w:val="right"/>
              <w:rPr>
                <w:sz w:val="20"/>
                <w:szCs w:val="18"/>
                <w:lang w:val="en-AU"/>
              </w:rPr>
            </w:pPr>
            <w:r>
              <w:rPr>
                <w:sz w:val="20"/>
                <w:szCs w:val="18"/>
                <w:lang w:val="en-AU"/>
              </w:rPr>
              <w:t>90.000</w:t>
            </w:r>
          </w:p>
        </w:tc>
      </w:tr>
    </w:tbl>
    <w:p w:rsidR="000B7FE6" w:rsidRDefault="000B7FE6" w:rsidP="007215B3">
      <w:pPr>
        <w:pStyle w:val="TRBodyText"/>
        <w:tabs>
          <w:tab w:val="left" w:pos="567"/>
        </w:tabs>
      </w:pPr>
    </w:p>
    <w:p w:rsidR="004F31C2" w:rsidRDefault="00630F29" w:rsidP="00C54EBA">
      <w:pPr>
        <w:pStyle w:val="Numberparagraph"/>
        <w:numPr>
          <w:ilvl w:val="0"/>
          <w:numId w:val="6"/>
        </w:numPr>
        <w:ind w:left="0" w:firstLine="0"/>
      </w:pPr>
      <w:r w:rsidRPr="008313C0">
        <w:t>The additional revenue from</w:t>
      </w:r>
      <w:r w:rsidR="00C449D9">
        <w:t xml:space="preserve"> the hybrids measures</w:t>
      </w:r>
      <w:r w:rsidRPr="008313C0">
        <w:t xml:space="preserve"> result</w:t>
      </w:r>
      <w:r w:rsidR="00C449D9">
        <w:t>s from</w:t>
      </w:r>
      <w:r w:rsidRPr="008313C0">
        <w:t xml:space="preserve"> our proposed </w:t>
      </w:r>
      <w:r w:rsidR="00564468" w:rsidRPr="008313C0">
        <w:t>grand</w:t>
      </w:r>
      <w:r w:rsidR="000D3FAA">
        <w:t>-</w:t>
      </w:r>
      <w:r w:rsidR="00564468" w:rsidRPr="008313C0">
        <w:t xml:space="preserve"> parenting</w:t>
      </w:r>
      <w:r w:rsidRPr="008313C0">
        <w:t xml:space="preserve"> approach for </w:t>
      </w:r>
      <w:r w:rsidR="00C54EBA" w:rsidRPr="00C54EBA">
        <w:t>hybrid financial instruments</w:t>
      </w:r>
      <w:r w:rsidR="00C54EBA">
        <w:t xml:space="preserve"> issued</w:t>
      </w:r>
      <w:r w:rsidR="00C449D9">
        <w:t xml:space="preserve"> </w:t>
      </w:r>
      <w:r w:rsidR="00C449D9" w:rsidRPr="008313C0">
        <w:t>to the public</w:t>
      </w:r>
      <w:r w:rsidR="00C54EBA">
        <w:t xml:space="preserve"> before 6 September 2016</w:t>
      </w:r>
      <w:r w:rsidR="0050105F">
        <w:t xml:space="preserve">.  </w:t>
      </w:r>
      <w:r w:rsidRPr="008313C0">
        <w:t>This revenue is contingent on taxpayer behaviour after the implementation of the hybrid rules</w:t>
      </w:r>
      <w:r w:rsidR="0050105F">
        <w:t xml:space="preserve">.  </w:t>
      </w:r>
    </w:p>
    <w:p w:rsidR="00630F29" w:rsidRDefault="00630F29" w:rsidP="007215B3">
      <w:pPr>
        <w:pStyle w:val="TRBodyText"/>
        <w:tabs>
          <w:tab w:val="left" w:pos="567"/>
        </w:tabs>
      </w:pPr>
    </w:p>
    <w:p w:rsidR="00C449D9" w:rsidRDefault="009B6F04" w:rsidP="009B6F04">
      <w:pPr>
        <w:pStyle w:val="Numberparagraph"/>
        <w:numPr>
          <w:ilvl w:val="0"/>
          <w:numId w:val="6"/>
        </w:numPr>
        <w:ind w:left="0" w:firstLine="0"/>
      </w:pPr>
      <w:r>
        <w:t>W</w:t>
      </w:r>
      <w:r w:rsidR="007215B3">
        <w:t xml:space="preserve">e are recommending that </w:t>
      </w:r>
      <w:r w:rsidR="004F6461">
        <w:t xml:space="preserve">officials </w:t>
      </w:r>
      <w:r w:rsidR="007215B3">
        <w:t xml:space="preserve">continue to consult on details of how deferred tax liabilities and assets should </w:t>
      </w:r>
      <w:r w:rsidR="004F6461">
        <w:t xml:space="preserve">be </w:t>
      </w:r>
      <w:r w:rsidR="00C449D9">
        <w:t>dealt with</w:t>
      </w:r>
      <w:r w:rsidR="007215B3">
        <w:t xml:space="preserve"> </w:t>
      </w:r>
      <w:r w:rsidR="00C449D9">
        <w:t xml:space="preserve">under the interest limitation measures </w:t>
      </w:r>
      <w:r w:rsidR="002A1472">
        <w:t xml:space="preserve">- </w:t>
      </w:r>
      <w:r w:rsidR="00C449D9">
        <w:t xml:space="preserve">specifically, the measure to eliminate </w:t>
      </w:r>
      <w:r w:rsidR="00332008">
        <w:t xml:space="preserve">assets funded by </w:t>
      </w:r>
      <w:r w:rsidR="00C449D9">
        <w:t xml:space="preserve">non-debt liabilities from </w:t>
      </w:r>
      <w:r w:rsidR="00332008">
        <w:t>a taxpayer’s total assets for thin capitalisation purposes</w:t>
      </w:r>
      <w:r w:rsidR="0050105F">
        <w:t xml:space="preserve">.  </w:t>
      </w:r>
      <w:r>
        <w:t xml:space="preserve">The above fiscal impact assumes deferred tax liabilities are </w:t>
      </w:r>
      <w:r w:rsidR="00DD540B">
        <w:t>included in</w:t>
      </w:r>
      <w:r>
        <w:t xml:space="preserve"> the non-debt liabilities adjustments</w:t>
      </w:r>
      <w:r w:rsidR="000D3FAA">
        <w:t xml:space="preserve"> (as per the proposal in the discussion document)</w:t>
      </w:r>
      <w:r>
        <w:t xml:space="preserve">. </w:t>
      </w:r>
      <w:r w:rsidR="007215B3">
        <w:t xml:space="preserve">If these assets and liabilities were </w:t>
      </w:r>
      <w:r w:rsidR="00890A2E">
        <w:t xml:space="preserve">excluded from </w:t>
      </w:r>
      <w:r w:rsidR="000D3FAA">
        <w:t xml:space="preserve">the adjustments </w:t>
      </w:r>
      <w:r w:rsidR="007215B3">
        <w:t xml:space="preserve">the revenue forecast would be $10 million per year </w:t>
      </w:r>
      <w:r w:rsidR="000D3FAA">
        <w:t xml:space="preserve">lower. </w:t>
      </w:r>
      <w:r w:rsidRPr="009B6F04">
        <w:t>In the attached paper on interest</w:t>
      </w:r>
      <w:r>
        <w:t xml:space="preserve"> limitation</w:t>
      </w:r>
      <w:r w:rsidRPr="009B6F04">
        <w:t xml:space="preserve"> we are asking Cabinet to delegate to us the authority to make a decision on </w:t>
      </w:r>
      <w:r w:rsidR="00905FDB">
        <w:t>this along</w:t>
      </w:r>
      <w:r w:rsidRPr="009B6F04">
        <w:t xml:space="preserve"> with </w:t>
      </w:r>
      <w:r w:rsidR="00905FDB">
        <w:t xml:space="preserve">an </w:t>
      </w:r>
      <w:r w:rsidRPr="009B6F04">
        <w:t>authority to update the</w:t>
      </w:r>
      <w:r w:rsidR="00905FDB">
        <w:t xml:space="preserve"> relevant</w:t>
      </w:r>
      <w:r w:rsidRPr="009B6F04">
        <w:t xml:space="preserve"> revenue forecasts</w:t>
      </w:r>
      <w:r w:rsidR="00905FDB">
        <w:t>, if necessary</w:t>
      </w:r>
      <w:r w:rsidRPr="009B6F04">
        <w:t xml:space="preserve">.  </w:t>
      </w:r>
    </w:p>
    <w:p w:rsidR="00083DB7" w:rsidRDefault="00083DB7" w:rsidP="00373642">
      <w:pPr>
        <w:pStyle w:val="ListParagraph"/>
      </w:pPr>
    </w:p>
    <w:p w:rsidR="00083DB7" w:rsidRDefault="00083DB7" w:rsidP="009B6F04">
      <w:pPr>
        <w:pStyle w:val="Numberparagraph"/>
        <w:numPr>
          <w:ilvl w:val="0"/>
          <w:numId w:val="6"/>
        </w:numPr>
        <w:ind w:left="0" w:firstLine="0"/>
      </w:pPr>
      <w:r>
        <w:t>The revenue in paragraph 37 was treated as a saving in Budget 2017. We propose the additional revenue in paragraph 38 be treated as a saving in Budget 2018.</w:t>
      </w:r>
    </w:p>
    <w:p w:rsidR="00C449D9" w:rsidRDefault="00C449D9" w:rsidP="00C449D9">
      <w:pPr>
        <w:pStyle w:val="ListParagraph"/>
      </w:pPr>
    </w:p>
    <w:p w:rsidR="00162298" w:rsidRDefault="00162298" w:rsidP="007E2640">
      <w:pPr>
        <w:tabs>
          <w:tab w:val="left" w:pos="567"/>
        </w:tabs>
        <w:jc w:val="both"/>
        <w:rPr>
          <w:b/>
          <w:szCs w:val="24"/>
          <w:lang w:eastAsia="en-AU"/>
        </w:rPr>
      </w:pPr>
    </w:p>
    <w:p w:rsidR="00505DD5" w:rsidRDefault="00505DD5" w:rsidP="007E2640">
      <w:pPr>
        <w:tabs>
          <w:tab w:val="left" w:pos="567"/>
        </w:tabs>
        <w:jc w:val="both"/>
        <w:rPr>
          <w:szCs w:val="24"/>
          <w:lang w:eastAsia="en-AU"/>
        </w:rPr>
      </w:pPr>
      <w:r>
        <w:rPr>
          <w:b/>
          <w:szCs w:val="24"/>
          <w:lang w:eastAsia="en-AU"/>
        </w:rPr>
        <w:t>Administrative impacts</w:t>
      </w:r>
    </w:p>
    <w:p w:rsidR="00505DD5" w:rsidRDefault="00505DD5" w:rsidP="007E2640">
      <w:pPr>
        <w:tabs>
          <w:tab w:val="left" w:pos="567"/>
        </w:tabs>
        <w:jc w:val="both"/>
        <w:rPr>
          <w:szCs w:val="24"/>
          <w:lang w:eastAsia="en-AU"/>
        </w:rPr>
      </w:pPr>
    </w:p>
    <w:p w:rsidR="00B12328" w:rsidRDefault="00B12328" w:rsidP="003C390C">
      <w:pPr>
        <w:pStyle w:val="Numberparagraph"/>
        <w:numPr>
          <w:ilvl w:val="0"/>
          <w:numId w:val="6"/>
        </w:numPr>
        <w:ind w:left="0" w:firstLine="0"/>
      </w:pPr>
      <w:r>
        <w:t xml:space="preserve">The changes proposed in the BEPS discussion documents and recommended in these </w:t>
      </w:r>
      <w:r w:rsidR="00332008">
        <w:t>Cabinet papers</w:t>
      </w:r>
      <w:r>
        <w:t xml:space="preserve"> are not expected to increase administrative costs or require any significant systems changes for I</w:t>
      </w:r>
      <w:r w:rsidR="00332008">
        <w:t>nland Revenue</w:t>
      </w:r>
      <w:r w:rsidR="0050105F">
        <w:t xml:space="preserve">.  </w:t>
      </w:r>
      <w:r w:rsidR="00332008">
        <w:t>This is because the</w:t>
      </w:r>
      <w:r>
        <w:t xml:space="preserve"> reforms </w:t>
      </w:r>
      <w:r w:rsidR="002A1472">
        <w:t xml:space="preserve">largely </w:t>
      </w:r>
      <w:r>
        <w:t>change the way some taxpayers self-</w:t>
      </w:r>
      <w:r w:rsidR="00332008">
        <w:t>assess the income and deductions</w:t>
      </w:r>
      <w:r>
        <w:t xml:space="preserve"> that they report to Inland Revenue</w:t>
      </w:r>
      <w:r w:rsidR="0050105F">
        <w:t xml:space="preserve">.  </w:t>
      </w:r>
      <w:r w:rsidR="00332008">
        <w:t>Further, the administrative amendments we are recommending should make it easier for Inland Revenue to deal with</w:t>
      </w:r>
      <w:r w:rsidR="00D229AB">
        <w:t xml:space="preserve"> uncooperative</w:t>
      </w:r>
      <w:r w:rsidR="00332008">
        <w:t xml:space="preserve"> multinationals.</w:t>
      </w:r>
    </w:p>
    <w:p w:rsidR="00B12328" w:rsidRDefault="00B12328" w:rsidP="003C390C">
      <w:pPr>
        <w:pStyle w:val="Numberparagraph"/>
      </w:pPr>
    </w:p>
    <w:p w:rsidR="00505DD5" w:rsidRPr="00E4232F" w:rsidRDefault="00B12328" w:rsidP="003C390C">
      <w:pPr>
        <w:pStyle w:val="Numberparagraph"/>
        <w:numPr>
          <w:ilvl w:val="0"/>
          <w:numId w:val="6"/>
        </w:numPr>
        <w:ind w:left="0" w:firstLine="0"/>
      </w:pPr>
      <w:r>
        <w:t>We note, however, that a common theme in submissions on all three discussion documents was that administration of the proposals would place a higher demand on Inland Revenue’s audit and investigation functions</w:t>
      </w:r>
      <w:r w:rsidR="0050105F">
        <w:t xml:space="preserve">.  </w:t>
      </w:r>
      <w:r>
        <w:t>Our view is that any required increase in Inland Revenue’s resourcing as a result of the BEPS package will be accommodated within existing baselines</w:t>
      </w:r>
      <w:r w:rsidR="0050105F">
        <w:t xml:space="preserve">.  </w:t>
      </w:r>
    </w:p>
    <w:p w:rsidR="00763BDD" w:rsidRDefault="00763BDD" w:rsidP="007E2640">
      <w:pPr>
        <w:tabs>
          <w:tab w:val="left" w:pos="567"/>
        </w:tabs>
        <w:jc w:val="both"/>
        <w:rPr>
          <w:szCs w:val="24"/>
          <w:lang w:eastAsia="en-AU"/>
        </w:rPr>
      </w:pPr>
    </w:p>
    <w:p w:rsidR="00162298" w:rsidRPr="00DD23B8" w:rsidRDefault="00162298" w:rsidP="007E2640">
      <w:pPr>
        <w:tabs>
          <w:tab w:val="left" w:pos="567"/>
        </w:tabs>
        <w:jc w:val="both"/>
        <w:rPr>
          <w:szCs w:val="24"/>
          <w:lang w:eastAsia="en-AU"/>
        </w:rPr>
      </w:pPr>
    </w:p>
    <w:p w:rsidR="007E2640" w:rsidRPr="00DD23B8" w:rsidRDefault="004F6ED4" w:rsidP="007E2640">
      <w:pPr>
        <w:tabs>
          <w:tab w:val="left" w:pos="567"/>
        </w:tabs>
        <w:jc w:val="both"/>
        <w:rPr>
          <w:b/>
          <w:szCs w:val="24"/>
          <w:lang w:eastAsia="en-AU"/>
        </w:rPr>
      </w:pPr>
      <w:r w:rsidRPr="00DD23B8">
        <w:rPr>
          <w:b/>
          <w:szCs w:val="24"/>
          <w:lang w:eastAsia="en-AU"/>
        </w:rPr>
        <w:t>H</w:t>
      </w:r>
      <w:r w:rsidR="00763BDD">
        <w:rPr>
          <w:b/>
          <w:bCs/>
          <w:szCs w:val="24"/>
          <w:lang w:eastAsia="en-AU"/>
        </w:rPr>
        <w:t>uman rights</w:t>
      </w:r>
    </w:p>
    <w:p w:rsidR="00763BDD" w:rsidRDefault="00763BDD" w:rsidP="008F1C75">
      <w:pPr>
        <w:tabs>
          <w:tab w:val="left" w:pos="567"/>
        </w:tabs>
        <w:jc w:val="both"/>
        <w:rPr>
          <w:szCs w:val="24"/>
          <w:lang w:eastAsia="en-AU"/>
        </w:rPr>
      </w:pPr>
    </w:p>
    <w:p w:rsidR="00E4232F" w:rsidRPr="00E4232F" w:rsidRDefault="0005420C" w:rsidP="003C390C">
      <w:pPr>
        <w:pStyle w:val="Numberparagraph"/>
        <w:numPr>
          <w:ilvl w:val="0"/>
          <w:numId w:val="6"/>
        </w:numPr>
        <w:ind w:left="0" w:firstLine="0"/>
      </w:pPr>
      <w:r>
        <w:t>There are no human rights implications</w:t>
      </w:r>
      <w:r w:rsidR="00D229AB">
        <w:t xml:space="preserve"> arising</w:t>
      </w:r>
      <w:r>
        <w:t xml:space="preserve"> from the </w:t>
      </w:r>
      <w:r w:rsidR="00D229AB">
        <w:t>measures</w:t>
      </w:r>
      <w:r w:rsidR="00811AA9">
        <w:t>.</w:t>
      </w:r>
    </w:p>
    <w:p w:rsidR="00D23100" w:rsidRDefault="00D23100" w:rsidP="007E2640">
      <w:pPr>
        <w:tabs>
          <w:tab w:val="left" w:pos="567"/>
        </w:tabs>
        <w:jc w:val="both"/>
        <w:rPr>
          <w:szCs w:val="24"/>
          <w:lang w:eastAsia="en-AU"/>
        </w:rPr>
      </w:pPr>
    </w:p>
    <w:p w:rsidR="00763BDD" w:rsidRDefault="00763BDD" w:rsidP="007E2640">
      <w:pPr>
        <w:tabs>
          <w:tab w:val="left" w:pos="567"/>
        </w:tabs>
        <w:jc w:val="both"/>
        <w:rPr>
          <w:szCs w:val="24"/>
          <w:lang w:eastAsia="en-AU"/>
        </w:rPr>
      </w:pPr>
    </w:p>
    <w:p w:rsidR="00373642" w:rsidRPr="00DD23B8" w:rsidRDefault="00373642" w:rsidP="007E2640">
      <w:pPr>
        <w:tabs>
          <w:tab w:val="left" w:pos="567"/>
        </w:tabs>
        <w:jc w:val="both"/>
        <w:rPr>
          <w:szCs w:val="24"/>
          <w:lang w:eastAsia="en-AU"/>
        </w:rPr>
      </w:pPr>
    </w:p>
    <w:p w:rsidR="007E2640" w:rsidRPr="00DD23B8" w:rsidRDefault="004F6ED4" w:rsidP="007E2640">
      <w:pPr>
        <w:tabs>
          <w:tab w:val="left" w:pos="567"/>
        </w:tabs>
        <w:jc w:val="both"/>
        <w:rPr>
          <w:b/>
          <w:szCs w:val="24"/>
          <w:lang w:eastAsia="en-AU"/>
        </w:rPr>
      </w:pPr>
      <w:r w:rsidRPr="00DD23B8">
        <w:rPr>
          <w:b/>
          <w:szCs w:val="24"/>
          <w:lang w:eastAsia="en-AU"/>
        </w:rPr>
        <w:t>L</w:t>
      </w:r>
      <w:r w:rsidRPr="00DD23B8">
        <w:rPr>
          <w:b/>
          <w:bCs/>
          <w:szCs w:val="24"/>
          <w:lang w:eastAsia="en-AU"/>
        </w:rPr>
        <w:t>egislative implications</w:t>
      </w:r>
    </w:p>
    <w:p w:rsidR="00D23100" w:rsidRPr="00DD23B8" w:rsidRDefault="00D23100" w:rsidP="007E2640">
      <w:pPr>
        <w:tabs>
          <w:tab w:val="left" w:pos="567"/>
        </w:tabs>
        <w:jc w:val="both"/>
        <w:rPr>
          <w:szCs w:val="24"/>
          <w:lang w:eastAsia="en-AU"/>
        </w:rPr>
      </w:pPr>
    </w:p>
    <w:p w:rsidR="0005420C" w:rsidRDefault="0005420C" w:rsidP="003C390C">
      <w:pPr>
        <w:pStyle w:val="Numberparagraph"/>
        <w:numPr>
          <w:ilvl w:val="0"/>
          <w:numId w:val="6"/>
        </w:numPr>
        <w:ind w:left="0" w:firstLine="0"/>
      </w:pPr>
      <w:r>
        <w:t>Legislative changes to the Income Tax Act 2007 and the T</w:t>
      </w:r>
      <w:r w:rsidR="0046142E">
        <w:t>ax Administration Act 1994 will</w:t>
      </w:r>
      <w:r>
        <w:t xml:space="preserve"> be required to implement the proposed measures</w:t>
      </w:r>
      <w:r w:rsidR="0050105F">
        <w:t xml:space="preserve">.  </w:t>
      </w:r>
      <w:r>
        <w:t>To achieve this</w:t>
      </w:r>
      <w:r w:rsidR="00D229AB">
        <w:t>,</w:t>
      </w:r>
      <w:r>
        <w:t xml:space="preserve"> we intend to include the measures in a BEPS taxation bill introduced </w:t>
      </w:r>
      <w:r w:rsidRPr="007C6A35">
        <w:t xml:space="preserve">after the </w:t>
      </w:r>
      <w:r w:rsidR="00333FFA">
        <w:t>G</w:t>
      </w:r>
      <w:r w:rsidRPr="007C6A35">
        <w:t xml:space="preserve">eneral </w:t>
      </w:r>
      <w:r w:rsidR="00333FFA">
        <w:t>E</w:t>
      </w:r>
      <w:r w:rsidRPr="007C6A35">
        <w:t>lection</w:t>
      </w:r>
      <w:r w:rsidR="0050105F">
        <w:t xml:space="preserve">.  </w:t>
      </w:r>
      <w:r>
        <w:t>T</w:t>
      </w:r>
      <w:r w:rsidRPr="007C6A35">
        <w:t>he BEPS bill will need to be introduced and have its first reading by 14 December 2017</w:t>
      </w:r>
      <w:r>
        <w:t xml:space="preserve"> in order to be enacted in time for </w:t>
      </w:r>
      <w:r w:rsidR="00D229AB">
        <w:t xml:space="preserve">the </w:t>
      </w:r>
      <w:r>
        <w:t>planned</w:t>
      </w:r>
      <w:r w:rsidR="00AE60E0">
        <w:t xml:space="preserve"> 1 July 2018</w:t>
      </w:r>
      <w:r>
        <w:t xml:space="preserve"> application date</w:t>
      </w:r>
      <w:r w:rsidR="0050105F">
        <w:t xml:space="preserve">.  </w:t>
      </w:r>
    </w:p>
    <w:p w:rsidR="004F31C2" w:rsidRDefault="004F31C2" w:rsidP="004F31C2">
      <w:pPr>
        <w:pStyle w:val="Numberparagraph"/>
      </w:pPr>
    </w:p>
    <w:p w:rsidR="00342FF7" w:rsidRDefault="00342FF7" w:rsidP="0005420C">
      <w:pPr>
        <w:pStyle w:val="ListParagraph"/>
      </w:pPr>
    </w:p>
    <w:p w:rsidR="007E2640" w:rsidRPr="00DD23B8" w:rsidRDefault="00144E6D" w:rsidP="007E2640">
      <w:pPr>
        <w:tabs>
          <w:tab w:val="left" w:pos="567"/>
        </w:tabs>
        <w:jc w:val="both"/>
        <w:rPr>
          <w:b/>
          <w:szCs w:val="24"/>
          <w:lang w:eastAsia="en-AU"/>
        </w:rPr>
      </w:pPr>
      <w:r>
        <w:rPr>
          <w:b/>
          <w:szCs w:val="24"/>
          <w:lang w:eastAsia="en-AU"/>
        </w:rPr>
        <w:t>Impact Analysis Requirements</w:t>
      </w:r>
    </w:p>
    <w:p w:rsidR="00763BDD" w:rsidRDefault="00763BDD" w:rsidP="00A0224A">
      <w:pPr>
        <w:tabs>
          <w:tab w:val="left" w:pos="567"/>
        </w:tabs>
        <w:jc w:val="both"/>
        <w:rPr>
          <w:szCs w:val="24"/>
          <w:lang w:eastAsia="en-AU"/>
        </w:rPr>
      </w:pPr>
    </w:p>
    <w:p w:rsidR="006F2BC8" w:rsidRDefault="0070682B" w:rsidP="003C390C">
      <w:pPr>
        <w:pStyle w:val="Numberparagraph"/>
        <w:numPr>
          <w:ilvl w:val="0"/>
          <w:numId w:val="6"/>
        </w:numPr>
        <w:ind w:left="0" w:firstLine="0"/>
      </w:pPr>
      <w:r>
        <w:t>There are no regulatory implications arising</w:t>
      </w:r>
      <w:r w:rsidR="00E6192F">
        <w:t xml:space="preserve"> directly from this C</w:t>
      </w:r>
      <w:r>
        <w:t>abinet paper</w:t>
      </w:r>
      <w:r w:rsidR="0050105F">
        <w:t xml:space="preserve">.  </w:t>
      </w:r>
    </w:p>
    <w:p w:rsidR="006F2BC8" w:rsidRDefault="006F2BC8" w:rsidP="003C390C">
      <w:pPr>
        <w:pStyle w:val="Numberparagraph"/>
      </w:pPr>
    </w:p>
    <w:p w:rsidR="00A0224A" w:rsidRPr="006F2BC8" w:rsidRDefault="006F2BC8" w:rsidP="003C390C">
      <w:pPr>
        <w:pStyle w:val="Numberparagraph"/>
        <w:numPr>
          <w:ilvl w:val="0"/>
          <w:numId w:val="6"/>
        </w:numPr>
        <w:ind w:left="0" w:firstLine="0"/>
      </w:pPr>
      <w:r>
        <w:t xml:space="preserve">The regulatory impact analysis for each set of measures is set out in the </w:t>
      </w:r>
      <w:r w:rsidR="00E6192F">
        <w:t>C</w:t>
      </w:r>
      <w:r>
        <w:t xml:space="preserve">abinet paper for </w:t>
      </w:r>
      <w:r w:rsidR="00E6192F">
        <w:t>those</w:t>
      </w:r>
      <w:r>
        <w:t xml:space="preserve"> measure</w:t>
      </w:r>
      <w:r w:rsidR="00E6192F">
        <w:t>s</w:t>
      </w:r>
      <w:r w:rsidR="0050105F">
        <w:t xml:space="preserve">.  </w:t>
      </w:r>
      <w:r>
        <w:t xml:space="preserve">  </w:t>
      </w:r>
    </w:p>
    <w:p w:rsidR="00763BDD" w:rsidRDefault="00763BDD" w:rsidP="00A0224A">
      <w:pPr>
        <w:tabs>
          <w:tab w:val="left" w:pos="567"/>
        </w:tabs>
        <w:jc w:val="both"/>
        <w:rPr>
          <w:szCs w:val="24"/>
          <w:lang w:eastAsia="en-AU"/>
        </w:rPr>
      </w:pPr>
    </w:p>
    <w:p w:rsidR="001416D9" w:rsidRDefault="001416D9" w:rsidP="00A0224A">
      <w:pPr>
        <w:tabs>
          <w:tab w:val="left" w:pos="567"/>
        </w:tabs>
        <w:jc w:val="both"/>
        <w:rPr>
          <w:szCs w:val="24"/>
          <w:lang w:eastAsia="en-AU"/>
        </w:rPr>
      </w:pPr>
    </w:p>
    <w:p w:rsidR="007E2640" w:rsidRPr="00DD23B8" w:rsidRDefault="004F6ED4" w:rsidP="007E2640">
      <w:pPr>
        <w:tabs>
          <w:tab w:val="left" w:pos="567"/>
        </w:tabs>
        <w:jc w:val="both"/>
        <w:rPr>
          <w:szCs w:val="24"/>
          <w:lang w:eastAsia="en-AU"/>
        </w:rPr>
      </w:pPr>
      <w:r w:rsidRPr="00DD23B8">
        <w:rPr>
          <w:b/>
          <w:bCs/>
          <w:szCs w:val="24"/>
          <w:lang w:eastAsia="en-AU"/>
        </w:rPr>
        <w:t>Publicity</w:t>
      </w:r>
    </w:p>
    <w:p w:rsidR="00D23100" w:rsidRPr="00DD23B8" w:rsidRDefault="00D23100" w:rsidP="007E2640">
      <w:pPr>
        <w:tabs>
          <w:tab w:val="left" w:pos="567"/>
        </w:tabs>
        <w:jc w:val="both"/>
        <w:rPr>
          <w:szCs w:val="24"/>
          <w:lang w:eastAsia="en-AU"/>
        </w:rPr>
      </w:pPr>
    </w:p>
    <w:p w:rsidR="00D23100" w:rsidRDefault="006F2BC8" w:rsidP="003C390C">
      <w:pPr>
        <w:pStyle w:val="Numberparagraph"/>
        <w:numPr>
          <w:ilvl w:val="0"/>
          <w:numId w:val="6"/>
        </w:numPr>
        <w:ind w:left="0" w:firstLine="0"/>
      </w:pPr>
      <w:r>
        <w:t>We will arrange</w:t>
      </w:r>
      <w:r w:rsidR="0070682B">
        <w:t xml:space="preserve"> for an appropriate announcement of the policy decisions on these BEPS </w:t>
      </w:r>
      <w:r w:rsidR="00E6192F">
        <w:t>measures.</w:t>
      </w:r>
    </w:p>
    <w:p w:rsidR="00A01AFC" w:rsidRDefault="00A01AFC" w:rsidP="003C390C">
      <w:pPr>
        <w:pStyle w:val="Numberparagraph"/>
      </w:pPr>
    </w:p>
    <w:p w:rsidR="004F31C2" w:rsidRDefault="00B12328" w:rsidP="003C390C">
      <w:pPr>
        <w:pStyle w:val="Numberparagraph"/>
        <w:numPr>
          <w:ilvl w:val="0"/>
          <w:numId w:val="6"/>
        </w:numPr>
        <w:ind w:left="0" w:firstLine="0"/>
      </w:pPr>
      <w:r w:rsidRPr="00E108B9">
        <w:t>We</w:t>
      </w:r>
      <w:r w:rsidR="004F31C2">
        <w:t xml:space="preserve"> also</w:t>
      </w:r>
      <w:r w:rsidRPr="00E108B9">
        <w:t xml:space="preserve"> recommend that the Government </w:t>
      </w:r>
      <w:r w:rsidR="00DB5CDB">
        <w:t>proactively release</w:t>
      </w:r>
      <w:r w:rsidRPr="00E108B9">
        <w:t xml:space="preserve"> the BEPS Cabinet papers</w:t>
      </w:r>
      <w:r w:rsidRPr="00811AA9">
        <w:t>, policy reports</w:t>
      </w:r>
      <w:r w:rsidRPr="00E108B9">
        <w:t xml:space="preserve"> and submissions on the BEPS </w:t>
      </w:r>
      <w:r w:rsidR="00DB5CDB">
        <w:t>discussion</w:t>
      </w:r>
      <w:r w:rsidRPr="00E108B9">
        <w:t xml:space="preserve"> documents </w:t>
      </w:r>
      <w:r w:rsidR="00DB5CDB">
        <w:t xml:space="preserve">and the issues paper on the multilateral instrument </w:t>
      </w:r>
      <w:r w:rsidRPr="00E108B9">
        <w:t>(including the pre-Budget 2017 policy report and Cabinet paper (T2017/949, IR2017/237))</w:t>
      </w:r>
      <w:r w:rsidR="0050105F">
        <w:t xml:space="preserve">.  </w:t>
      </w:r>
      <w:r w:rsidRPr="00E108B9">
        <w:t xml:space="preserve">This could be done </w:t>
      </w:r>
      <w:r w:rsidR="00E6192F">
        <w:t xml:space="preserve">when </w:t>
      </w:r>
      <w:r w:rsidR="000D3FAA">
        <w:t>we</w:t>
      </w:r>
      <w:r w:rsidRPr="00E108B9">
        <w:t xml:space="preserve"> </w:t>
      </w:r>
      <w:r w:rsidR="00E6192F">
        <w:t>announce the</w:t>
      </w:r>
      <w:r w:rsidRPr="00E108B9">
        <w:t xml:space="preserve"> package</w:t>
      </w:r>
      <w:r w:rsidR="0050105F">
        <w:t xml:space="preserve">.  </w:t>
      </w:r>
      <w:r w:rsidR="00D916AD">
        <w:t>Given their inevitable release under the Official Information Act in any event, r</w:t>
      </w:r>
      <w:r w:rsidR="00DB5CDB">
        <w:t xml:space="preserve">eleasing these documents </w:t>
      </w:r>
      <w:r w:rsidR="00D916AD">
        <w:t xml:space="preserve">proactively </w:t>
      </w:r>
      <w:r w:rsidR="00DB5CDB">
        <w:t>will promote transparency around the policy process</w:t>
      </w:r>
      <w:r w:rsidR="002A1472">
        <w:t xml:space="preserve"> </w:t>
      </w:r>
      <w:r w:rsidR="00D916AD">
        <w:t xml:space="preserve">to the public, rather than just individual requestors.  It </w:t>
      </w:r>
      <w:r w:rsidR="002A1472">
        <w:t xml:space="preserve">would </w:t>
      </w:r>
      <w:r w:rsidR="00D916AD">
        <w:t xml:space="preserve">also </w:t>
      </w:r>
      <w:r w:rsidR="002A1472">
        <w:t xml:space="preserve">be consistent with the approach taken for previous BEPS Cabinet papers. </w:t>
      </w:r>
      <w:r w:rsidR="0050105F">
        <w:t xml:space="preserve">  </w:t>
      </w:r>
    </w:p>
    <w:p w:rsidR="00D23100" w:rsidRDefault="00D23100" w:rsidP="004F31C2">
      <w:pPr>
        <w:spacing w:line="300" w:lineRule="atLeast"/>
        <w:rPr>
          <w:lang w:eastAsia="en-AU"/>
        </w:rPr>
      </w:pPr>
    </w:p>
    <w:p w:rsidR="001E3233" w:rsidRPr="00DD23B8" w:rsidRDefault="001E3233" w:rsidP="004F31C2">
      <w:pPr>
        <w:spacing w:line="300" w:lineRule="atLeast"/>
        <w:rPr>
          <w:lang w:eastAsia="en-AU"/>
        </w:rPr>
      </w:pPr>
    </w:p>
    <w:p w:rsidR="007E2640" w:rsidRDefault="004F6ED4" w:rsidP="007E2640">
      <w:pPr>
        <w:tabs>
          <w:tab w:val="left" w:pos="567"/>
        </w:tabs>
        <w:jc w:val="both"/>
        <w:rPr>
          <w:b/>
          <w:bCs/>
          <w:szCs w:val="24"/>
          <w:lang w:eastAsia="en-AU"/>
        </w:rPr>
      </w:pPr>
      <w:r w:rsidRPr="00DD23B8">
        <w:rPr>
          <w:b/>
          <w:bCs/>
          <w:szCs w:val="24"/>
          <w:lang w:eastAsia="en-AU"/>
        </w:rPr>
        <w:t>Recommendations</w:t>
      </w:r>
    </w:p>
    <w:p w:rsidR="00763BDD" w:rsidRPr="00DD23B8" w:rsidRDefault="00763BDD" w:rsidP="007E2640">
      <w:pPr>
        <w:tabs>
          <w:tab w:val="left" w:pos="567"/>
        </w:tabs>
        <w:jc w:val="both"/>
        <w:rPr>
          <w:szCs w:val="24"/>
          <w:lang w:eastAsia="en-AU"/>
        </w:rPr>
      </w:pPr>
    </w:p>
    <w:p w:rsidR="00D23100" w:rsidRPr="00DD23B8" w:rsidRDefault="008500DE" w:rsidP="003C390C">
      <w:pPr>
        <w:pStyle w:val="Numberparagraph"/>
        <w:numPr>
          <w:ilvl w:val="0"/>
          <w:numId w:val="6"/>
        </w:numPr>
        <w:ind w:left="0" w:firstLine="0"/>
      </w:pPr>
      <w:r>
        <w:t xml:space="preserve">We recommend that the Cabinet Economic Growth and Infrastructure Committee: </w:t>
      </w:r>
    </w:p>
    <w:p w:rsidR="00D23100" w:rsidRPr="003C390C" w:rsidRDefault="00AE00CD" w:rsidP="00AE00CD">
      <w:pPr>
        <w:rPr>
          <w:b/>
          <w:lang w:eastAsia="en-AU"/>
        </w:rPr>
      </w:pPr>
      <w:r>
        <w:rPr>
          <w:lang w:eastAsia="en-AU"/>
        </w:rPr>
        <w:t xml:space="preserve">   </w:t>
      </w:r>
    </w:p>
    <w:p w:rsidR="005D0C84" w:rsidRDefault="005D0C84" w:rsidP="003C390C">
      <w:pPr>
        <w:pStyle w:val="Recommendationfirstlevel"/>
        <w:numPr>
          <w:ilvl w:val="0"/>
          <w:numId w:val="34"/>
        </w:numPr>
        <w:ind w:left="1134" w:hanging="567"/>
      </w:pPr>
      <w:r w:rsidRPr="003C390C">
        <w:rPr>
          <w:b/>
        </w:rPr>
        <w:t>Note</w:t>
      </w:r>
      <w:r>
        <w:t xml:space="preserve"> we have developed and consulted on a package of measures to counter certain base erosion and profit shifting (BEPS) activities we are concerned about in New Zealand.  In summary, the measures in the package:</w:t>
      </w:r>
    </w:p>
    <w:p w:rsidR="005D0C84" w:rsidRDefault="005D0C84" w:rsidP="005D0C84">
      <w:pPr>
        <w:pStyle w:val="Recommendationfirstlevel"/>
        <w:ind w:left="1134"/>
      </w:pPr>
    </w:p>
    <w:p w:rsidR="009B6F04" w:rsidRDefault="009B6F04" w:rsidP="000877EB">
      <w:pPr>
        <w:pStyle w:val="Numberparagraph"/>
        <w:numPr>
          <w:ilvl w:val="0"/>
          <w:numId w:val="21"/>
        </w:numPr>
        <w:ind w:left="1701" w:hanging="567"/>
      </w:pPr>
      <w:r>
        <w:t xml:space="preserve">prevent multinationals from using artificially high interest rates on loans from related parties (interest limitation);   </w:t>
      </w:r>
    </w:p>
    <w:p w:rsidR="009B6F04" w:rsidRDefault="009B6F04" w:rsidP="000877EB">
      <w:pPr>
        <w:pStyle w:val="Numberparagraph"/>
        <w:ind w:left="1701" w:hanging="567"/>
      </w:pPr>
    </w:p>
    <w:p w:rsidR="005D0C84" w:rsidRDefault="005D0C84" w:rsidP="000877EB">
      <w:pPr>
        <w:pStyle w:val="Numberparagraph"/>
        <w:numPr>
          <w:ilvl w:val="0"/>
          <w:numId w:val="21"/>
        </w:numPr>
        <w:ind w:left="1701" w:hanging="567"/>
      </w:pPr>
      <w:r>
        <w:t>prevent multinationals from using artificial arrangements to avoid having a taxable presence (a permanent establishment) in New Zealand;</w:t>
      </w:r>
    </w:p>
    <w:p w:rsidR="005D0C84" w:rsidRDefault="005D0C84" w:rsidP="000877EB">
      <w:pPr>
        <w:pStyle w:val="Numberparagraph"/>
        <w:ind w:left="1701" w:hanging="567"/>
      </w:pPr>
    </w:p>
    <w:p w:rsidR="005D0C84" w:rsidRDefault="005D0C84" w:rsidP="000877EB">
      <w:pPr>
        <w:pStyle w:val="Numberparagraph"/>
        <w:numPr>
          <w:ilvl w:val="0"/>
          <w:numId w:val="21"/>
        </w:numPr>
        <w:ind w:left="1701" w:hanging="567"/>
      </w:pPr>
      <w:r>
        <w:t>prevent multinationals from using transfer pricing payments to shift profits to their offshore group members in a manner that does not reflect the actual economic activities undertaken in New Zealand and offshore;</w:t>
      </w:r>
      <w:r w:rsidR="009B6F04">
        <w:t xml:space="preserve"> and</w:t>
      </w:r>
    </w:p>
    <w:p w:rsidR="005D0C84" w:rsidRDefault="005D0C84" w:rsidP="000877EB">
      <w:pPr>
        <w:pStyle w:val="Numberparagraph"/>
        <w:ind w:left="1701" w:hanging="567"/>
      </w:pPr>
    </w:p>
    <w:p w:rsidR="005D0C84" w:rsidRDefault="005D0C84" w:rsidP="000877EB">
      <w:pPr>
        <w:pStyle w:val="Numberparagraph"/>
        <w:numPr>
          <w:ilvl w:val="0"/>
          <w:numId w:val="21"/>
        </w:numPr>
        <w:ind w:left="1701" w:hanging="567"/>
      </w:pPr>
      <w:r>
        <w:t>remove the tax advantages of exploiting hybrid mismatches between different country’s tax rules</w:t>
      </w:r>
      <w:r w:rsidR="009B6F04">
        <w:t>.</w:t>
      </w:r>
    </w:p>
    <w:p w:rsidR="005D0C84" w:rsidRPr="005D0C84" w:rsidRDefault="005D0C84" w:rsidP="005D0C84">
      <w:pPr>
        <w:pStyle w:val="Recommendationfirstlevel"/>
        <w:ind w:left="1134"/>
      </w:pPr>
    </w:p>
    <w:p w:rsidR="003C390C" w:rsidRDefault="008500DE" w:rsidP="003C390C">
      <w:pPr>
        <w:pStyle w:val="Recommendationfirstlevel"/>
        <w:numPr>
          <w:ilvl w:val="0"/>
          <w:numId w:val="34"/>
        </w:numPr>
        <w:ind w:left="1134" w:hanging="567"/>
        <w:rPr>
          <w:b/>
        </w:rPr>
      </w:pPr>
      <w:r>
        <w:rPr>
          <w:b/>
        </w:rPr>
        <w:t xml:space="preserve">Note </w:t>
      </w:r>
      <w:r w:rsidR="005E70CC" w:rsidRPr="003C390C">
        <w:t xml:space="preserve">the </w:t>
      </w:r>
      <w:r w:rsidR="00E424FE" w:rsidRPr="003C390C">
        <w:t xml:space="preserve">attached </w:t>
      </w:r>
      <w:r w:rsidR="005E70CC" w:rsidRPr="003C390C">
        <w:t>three</w:t>
      </w:r>
      <w:r w:rsidRPr="003C390C">
        <w:t xml:space="preserve"> </w:t>
      </w:r>
      <w:r w:rsidR="00E424FE" w:rsidRPr="003C390C">
        <w:t>C</w:t>
      </w:r>
      <w:r w:rsidR="005E70CC" w:rsidRPr="003C390C">
        <w:t>abinet papers</w:t>
      </w:r>
      <w:r w:rsidR="005D0C84" w:rsidRPr="003C390C">
        <w:t xml:space="preserve"> seek Cabinet approval to introduce these BEPS measures</w:t>
      </w:r>
      <w:r w:rsidR="00AE00CD" w:rsidRPr="003C390C">
        <w:t>.</w:t>
      </w:r>
    </w:p>
    <w:p w:rsidR="003C390C" w:rsidRPr="003C390C" w:rsidRDefault="003C390C" w:rsidP="003C390C">
      <w:pPr>
        <w:pStyle w:val="Recommendationfirstlevel"/>
        <w:ind w:left="1134"/>
        <w:rPr>
          <w:b/>
        </w:rPr>
      </w:pPr>
    </w:p>
    <w:p w:rsidR="003C390C" w:rsidRPr="003C390C" w:rsidRDefault="008500DE" w:rsidP="003C390C">
      <w:pPr>
        <w:pStyle w:val="Recommendationfirstlevel"/>
        <w:numPr>
          <w:ilvl w:val="0"/>
          <w:numId w:val="34"/>
        </w:numPr>
        <w:ind w:left="1134" w:hanging="567"/>
      </w:pPr>
      <w:r w:rsidRPr="009901EA">
        <w:rPr>
          <w:b/>
        </w:rPr>
        <w:t xml:space="preserve">Agree </w:t>
      </w:r>
      <w:r>
        <w:t>that work progresses along the indicative timeline</w:t>
      </w:r>
      <w:r w:rsidR="005D0C84">
        <w:t>, where we pla</w:t>
      </w:r>
      <w:r w:rsidR="00F9619D">
        <w:t>n to introduce a BEPS taxation b</w:t>
      </w:r>
      <w:r w:rsidR="005D0C84">
        <w:t xml:space="preserve">ill by the end of this year, and enact the </w:t>
      </w:r>
      <w:r w:rsidR="00F9619D">
        <w:t>b</w:t>
      </w:r>
      <w:r w:rsidR="005D0C84">
        <w:t>ill by 1 July 2018</w:t>
      </w:r>
      <w:r w:rsidR="00744423">
        <w:t>.</w:t>
      </w:r>
    </w:p>
    <w:p w:rsidR="003C390C" w:rsidRDefault="003C390C" w:rsidP="003C390C">
      <w:pPr>
        <w:pStyle w:val="Recommendationfirstlevel"/>
        <w:ind w:left="1134"/>
      </w:pPr>
    </w:p>
    <w:p w:rsidR="004C1591" w:rsidRDefault="000837EF" w:rsidP="003C390C">
      <w:pPr>
        <w:pStyle w:val="Recommendationfirstlevel"/>
        <w:numPr>
          <w:ilvl w:val="0"/>
          <w:numId w:val="34"/>
        </w:numPr>
        <w:ind w:left="1134" w:hanging="567"/>
      </w:pPr>
      <w:r>
        <w:rPr>
          <w:b/>
        </w:rPr>
        <w:t>Agree</w:t>
      </w:r>
      <w:r>
        <w:t xml:space="preserve"> that the measures</w:t>
      </w:r>
      <w:r w:rsidR="004C1591">
        <w:t xml:space="preserve"> </w:t>
      </w:r>
      <w:r w:rsidR="001176AA">
        <w:t>should apply from</w:t>
      </w:r>
      <w:r w:rsidR="004C1591">
        <w:t xml:space="preserve"> income years starting on or after </w:t>
      </w:r>
      <w:r w:rsidR="002D546C">
        <w:t>1 July 2018</w:t>
      </w:r>
      <w:r w:rsidR="00D916AD">
        <w:t>, apart from</w:t>
      </w:r>
      <w:r w:rsidR="004C1591">
        <w:t xml:space="preserve">: </w:t>
      </w:r>
    </w:p>
    <w:p w:rsidR="004C1591" w:rsidRDefault="004C1591" w:rsidP="004C1591">
      <w:pPr>
        <w:pStyle w:val="Numberparagraph"/>
        <w:rPr>
          <w:b/>
        </w:rPr>
      </w:pPr>
    </w:p>
    <w:p w:rsidR="00DA766E" w:rsidRDefault="00DA766E" w:rsidP="000877EB">
      <w:pPr>
        <w:pStyle w:val="Numberparagraph"/>
        <w:numPr>
          <w:ilvl w:val="0"/>
          <w:numId w:val="21"/>
        </w:numPr>
        <w:ind w:left="1701" w:hanging="567"/>
      </w:pPr>
      <w:r>
        <w:t>T</w:t>
      </w:r>
      <w:r w:rsidRPr="00DA766E">
        <w:t xml:space="preserve">he new administrative powers for Inland Revenue to deal with uncooperative multinationals should apply from the </w:t>
      </w:r>
      <w:r>
        <w:t>date the legislation is enacted;</w:t>
      </w:r>
    </w:p>
    <w:p w:rsidR="00DA766E" w:rsidRDefault="00DA766E" w:rsidP="000877EB">
      <w:pPr>
        <w:pStyle w:val="Numberparagraph"/>
        <w:ind w:left="1701" w:hanging="567"/>
      </w:pPr>
    </w:p>
    <w:p w:rsidR="004C1591" w:rsidRDefault="00F37490" w:rsidP="000877EB">
      <w:pPr>
        <w:pStyle w:val="Numberparagraph"/>
        <w:numPr>
          <w:ilvl w:val="0"/>
          <w:numId w:val="21"/>
        </w:numPr>
        <w:ind w:left="1701" w:hanging="567"/>
      </w:pPr>
      <w:r>
        <w:t>t</w:t>
      </w:r>
      <w:r w:rsidR="000837EF" w:rsidRPr="007C6A35">
        <w:t>he</w:t>
      </w:r>
      <w:r>
        <w:t xml:space="preserve"> hybrids</w:t>
      </w:r>
      <w:r w:rsidR="000837EF" w:rsidRPr="007C6A35">
        <w:t xml:space="preserve"> unstructured imported mismatch</w:t>
      </w:r>
      <w:r w:rsidR="000837EF">
        <w:t xml:space="preserve"> </w:t>
      </w:r>
      <w:r w:rsidR="00E424FE">
        <w:t>measure</w:t>
      </w:r>
      <w:r w:rsidR="004C1591">
        <w:t>, which should</w:t>
      </w:r>
      <w:r w:rsidR="000837EF">
        <w:t xml:space="preserve"> apply from </w:t>
      </w:r>
      <w:r w:rsidR="000837EF" w:rsidRPr="007C6A35">
        <w:t>1 January 2020</w:t>
      </w:r>
      <w:r w:rsidR="004C1591">
        <w:t>;</w:t>
      </w:r>
      <w:r w:rsidR="000837EF" w:rsidRPr="007C6A35">
        <w:t xml:space="preserve"> </w:t>
      </w:r>
      <w:r w:rsidR="000837EF">
        <w:t xml:space="preserve">and </w:t>
      </w:r>
    </w:p>
    <w:p w:rsidR="00F37490" w:rsidRDefault="00F37490" w:rsidP="000877EB">
      <w:pPr>
        <w:pStyle w:val="Numberparagraph"/>
        <w:ind w:left="1701" w:hanging="567"/>
      </w:pPr>
    </w:p>
    <w:p w:rsidR="000837EF" w:rsidRDefault="00F37490" w:rsidP="000877EB">
      <w:pPr>
        <w:pStyle w:val="Numberparagraph"/>
        <w:numPr>
          <w:ilvl w:val="0"/>
          <w:numId w:val="21"/>
        </w:numPr>
        <w:ind w:left="1701" w:hanging="567"/>
      </w:pPr>
      <w:r>
        <w:t>the</w:t>
      </w:r>
      <w:r w:rsidR="00E424FE">
        <w:t xml:space="preserve"> </w:t>
      </w:r>
      <w:r w:rsidR="000837EF">
        <w:t xml:space="preserve">reverse hybrid measures </w:t>
      </w:r>
      <w:r w:rsidR="00D916AD" w:rsidRPr="00D916AD">
        <w:t>(generally expected to apply in relation to limited partnerships and foreign trusts)</w:t>
      </w:r>
      <w:r>
        <w:t>, which should</w:t>
      </w:r>
      <w:r w:rsidR="000837EF">
        <w:t xml:space="preserve"> apply for income years beginning on or after 1 April 2019</w:t>
      </w:r>
      <w:r w:rsidR="0050105F">
        <w:t xml:space="preserve">.  </w:t>
      </w:r>
      <w:r w:rsidR="000837EF">
        <w:t xml:space="preserve"> </w:t>
      </w:r>
      <w:r w:rsidR="000837EF" w:rsidRPr="007C6A35">
        <w:t xml:space="preserve">  </w:t>
      </w:r>
    </w:p>
    <w:p w:rsidR="000837EF" w:rsidRDefault="000837EF" w:rsidP="000837EF">
      <w:pPr>
        <w:pStyle w:val="ListParagraph"/>
      </w:pPr>
    </w:p>
    <w:p w:rsidR="000837EF" w:rsidRDefault="00F37490" w:rsidP="003C390C">
      <w:pPr>
        <w:pStyle w:val="Recommendationfirstlevel"/>
        <w:numPr>
          <w:ilvl w:val="0"/>
          <w:numId w:val="34"/>
        </w:numPr>
        <w:ind w:left="1134" w:hanging="567"/>
      </w:pPr>
      <w:r w:rsidRPr="003C390C">
        <w:rPr>
          <w:b/>
        </w:rPr>
        <w:t>Agree</w:t>
      </w:r>
      <w:r>
        <w:t xml:space="preserve"> that there should be </w:t>
      </w:r>
      <w:r w:rsidR="000837EF">
        <w:t>transitional relief from the measures:</w:t>
      </w:r>
    </w:p>
    <w:p w:rsidR="000837EF" w:rsidRDefault="000837EF" w:rsidP="000837EF">
      <w:pPr>
        <w:pStyle w:val="ListParagraph"/>
      </w:pPr>
    </w:p>
    <w:p w:rsidR="00C36073" w:rsidRDefault="004A650E" w:rsidP="000877EB">
      <w:pPr>
        <w:pStyle w:val="Numberparagraph"/>
        <w:numPr>
          <w:ilvl w:val="0"/>
          <w:numId w:val="19"/>
        </w:numPr>
        <w:ind w:left="1701" w:hanging="567"/>
      </w:pPr>
      <w:r>
        <w:t xml:space="preserve">in relation to the </w:t>
      </w:r>
      <w:r w:rsidR="00C36073">
        <w:t xml:space="preserve">hybrid </w:t>
      </w:r>
      <w:r>
        <w:t xml:space="preserve">measures, relief for hybrid </w:t>
      </w:r>
      <w:r w:rsidR="00C36073">
        <w:t>financial instruments issued to the public before 6</w:t>
      </w:r>
      <w:r w:rsidR="00C36073" w:rsidRPr="00E42A93">
        <w:t xml:space="preserve"> September 2016</w:t>
      </w:r>
      <w:r w:rsidR="00C36073">
        <w:t>; and</w:t>
      </w:r>
    </w:p>
    <w:p w:rsidR="004A650E" w:rsidRDefault="004A650E" w:rsidP="000877EB">
      <w:pPr>
        <w:pStyle w:val="Numberparagraph"/>
        <w:ind w:left="1701" w:hanging="567"/>
      </w:pPr>
    </w:p>
    <w:p w:rsidR="000837EF" w:rsidRDefault="004A650E" w:rsidP="000877EB">
      <w:pPr>
        <w:pStyle w:val="Numberparagraph"/>
        <w:numPr>
          <w:ilvl w:val="0"/>
          <w:numId w:val="19"/>
        </w:numPr>
        <w:ind w:left="1701" w:hanging="567"/>
      </w:pPr>
      <w:r>
        <w:t xml:space="preserve">in relation to the </w:t>
      </w:r>
      <w:r w:rsidR="000837EF">
        <w:t>transfer pricing and interest limitation measures</w:t>
      </w:r>
      <w:r>
        <w:t>, relief</w:t>
      </w:r>
      <w:r w:rsidR="000837EF">
        <w:t xml:space="preserve"> for arrangements subject to an advance pricing agreement entered into before 1 July 2018.</w:t>
      </w:r>
    </w:p>
    <w:p w:rsidR="00415C5B" w:rsidRDefault="00415C5B" w:rsidP="00415C5B">
      <w:pPr>
        <w:pStyle w:val="Recommendationfirstlevel"/>
        <w:ind w:left="1134"/>
      </w:pPr>
    </w:p>
    <w:p w:rsidR="006E47FA" w:rsidRDefault="006E47FA" w:rsidP="006E47FA">
      <w:pPr>
        <w:pStyle w:val="Recommendationfirstlevel"/>
        <w:numPr>
          <w:ilvl w:val="0"/>
          <w:numId w:val="34"/>
        </w:numPr>
        <w:ind w:left="1134" w:hanging="567"/>
        <w:jc w:val="left"/>
      </w:pPr>
      <w:r>
        <w:rPr>
          <w:b/>
        </w:rPr>
        <w:t>Note</w:t>
      </w:r>
      <w:r>
        <w:t xml:space="preserve"> the original BEPS revenue that was forecast in April:</w:t>
      </w:r>
      <w:r>
        <w:br/>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194"/>
        <w:gridCol w:w="1195"/>
        <w:gridCol w:w="1195"/>
        <w:gridCol w:w="1195"/>
        <w:gridCol w:w="1195"/>
        <w:gridCol w:w="1195"/>
        <w:gridCol w:w="1195"/>
      </w:tblGrid>
      <w:tr w:rsidR="006E47FA" w:rsidTr="00DA766E">
        <w:tc>
          <w:tcPr>
            <w:tcW w:w="1667" w:type="dxa"/>
            <w:tcBorders>
              <w:top w:val="nil"/>
              <w:left w:val="nil"/>
              <w:bottom w:val="single" w:sz="4" w:space="0" w:color="auto"/>
              <w:right w:val="single" w:sz="4" w:space="0" w:color="auto"/>
            </w:tcBorders>
          </w:tcPr>
          <w:p w:rsidR="006E47FA" w:rsidRDefault="006E47FA" w:rsidP="00DA766E">
            <w:pPr>
              <w:rPr>
                <w:sz w:val="20"/>
                <w:szCs w:val="18"/>
                <w:lang w:val="en-AU"/>
              </w:rPr>
            </w:pPr>
          </w:p>
        </w:tc>
        <w:tc>
          <w:tcPr>
            <w:tcW w:w="8364" w:type="dxa"/>
            <w:gridSpan w:val="7"/>
            <w:tcBorders>
              <w:top w:val="single" w:sz="4" w:space="0" w:color="auto"/>
              <w:left w:val="single" w:sz="4" w:space="0" w:color="auto"/>
              <w:bottom w:val="single" w:sz="4" w:space="0" w:color="auto"/>
              <w:right w:val="single" w:sz="4" w:space="0" w:color="auto"/>
            </w:tcBorders>
          </w:tcPr>
          <w:p w:rsidR="006E47FA" w:rsidRDefault="006E47FA" w:rsidP="00DA766E">
            <w:pPr>
              <w:jc w:val="center"/>
              <w:rPr>
                <w:sz w:val="20"/>
                <w:szCs w:val="18"/>
                <w:lang w:val="en-AU"/>
              </w:rPr>
            </w:pPr>
            <w:r>
              <w:rPr>
                <w:sz w:val="20"/>
                <w:lang w:val="en-AU"/>
              </w:rPr>
              <w:t>$m – increase/(decrease)</w:t>
            </w:r>
          </w:p>
        </w:tc>
      </w:tr>
      <w:tr w:rsidR="006E47FA" w:rsidTr="00DA766E">
        <w:tc>
          <w:tcPr>
            <w:tcW w:w="1667" w:type="dxa"/>
            <w:tcBorders>
              <w:top w:val="single" w:sz="4" w:space="0" w:color="auto"/>
              <w:left w:val="single" w:sz="4" w:space="0" w:color="auto"/>
              <w:bottom w:val="single" w:sz="4" w:space="0" w:color="auto"/>
              <w:right w:val="single" w:sz="4" w:space="0" w:color="auto"/>
            </w:tcBorders>
            <w:hideMark/>
          </w:tcPr>
          <w:p w:rsidR="006E47FA" w:rsidRDefault="006E47FA" w:rsidP="00DA766E">
            <w:pPr>
              <w:rPr>
                <w:b/>
                <w:bCs/>
                <w:iCs/>
                <w:sz w:val="20"/>
                <w:szCs w:val="18"/>
                <w:lang w:val="en-AU"/>
              </w:rPr>
            </w:pPr>
            <w:r>
              <w:rPr>
                <w:b/>
                <w:bCs/>
                <w:iCs/>
                <w:sz w:val="20"/>
                <w:szCs w:val="18"/>
                <w:lang w:val="en-AU"/>
              </w:rPr>
              <w:t>Vote Revenue</w:t>
            </w:r>
          </w:p>
          <w:p w:rsidR="006E47FA" w:rsidRDefault="006E47FA" w:rsidP="00DA766E">
            <w:pPr>
              <w:rPr>
                <w:b/>
                <w:bCs/>
                <w:i/>
                <w:iCs/>
                <w:sz w:val="20"/>
                <w:szCs w:val="18"/>
                <w:lang w:val="en-AU"/>
              </w:rPr>
            </w:pPr>
          </w:p>
        </w:tc>
        <w:tc>
          <w:tcPr>
            <w:tcW w:w="1194" w:type="dxa"/>
            <w:tcBorders>
              <w:top w:val="single" w:sz="4" w:space="0" w:color="auto"/>
              <w:left w:val="single" w:sz="4" w:space="0" w:color="auto"/>
              <w:bottom w:val="single" w:sz="4" w:space="0" w:color="auto"/>
              <w:right w:val="single" w:sz="4" w:space="0" w:color="auto"/>
            </w:tcBorders>
          </w:tcPr>
          <w:p w:rsidR="006E47FA" w:rsidRDefault="006E47FA" w:rsidP="00DA766E">
            <w:pPr>
              <w:jc w:val="right"/>
              <w:rPr>
                <w:b/>
                <w:bCs/>
                <w:sz w:val="20"/>
                <w:szCs w:val="18"/>
              </w:rPr>
            </w:pPr>
            <w:r>
              <w:rPr>
                <w:b/>
                <w:bCs/>
                <w:sz w:val="20"/>
                <w:szCs w:val="18"/>
              </w:rPr>
              <w:t>2016/17</w:t>
            </w:r>
          </w:p>
        </w:tc>
        <w:tc>
          <w:tcPr>
            <w:tcW w:w="1195" w:type="dxa"/>
            <w:tcBorders>
              <w:top w:val="single" w:sz="4" w:space="0" w:color="auto"/>
              <w:left w:val="single" w:sz="4" w:space="0" w:color="auto"/>
              <w:bottom w:val="single" w:sz="4" w:space="0" w:color="auto"/>
              <w:right w:val="single" w:sz="4" w:space="0" w:color="auto"/>
            </w:tcBorders>
          </w:tcPr>
          <w:p w:rsidR="006E47FA" w:rsidRDefault="006E47FA" w:rsidP="00DA766E">
            <w:pPr>
              <w:jc w:val="right"/>
              <w:rPr>
                <w:b/>
                <w:bCs/>
                <w:sz w:val="20"/>
                <w:szCs w:val="18"/>
              </w:rPr>
            </w:pPr>
            <w:r>
              <w:rPr>
                <w:b/>
                <w:bCs/>
                <w:sz w:val="20"/>
                <w:szCs w:val="18"/>
              </w:rPr>
              <w:t>2017/18</w:t>
            </w:r>
          </w:p>
        </w:tc>
        <w:tc>
          <w:tcPr>
            <w:tcW w:w="1195" w:type="dxa"/>
            <w:tcBorders>
              <w:top w:val="single" w:sz="4" w:space="0" w:color="auto"/>
              <w:left w:val="single" w:sz="4" w:space="0" w:color="auto"/>
              <w:bottom w:val="single" w:sz="4" w:space="0" w:color="auto"/>
              <w:right w:val="single" w:sz="4" w:space="0" w:color="auto"/>
            </w:tcBorders>
            <w:hideMark/>
          </w:tcPr>
          <w:p w:rsidR="006E47FA" w:rsidRDefault="006E47FA" w:rsidP="00DA766E">
            <w:pPr>
              <w:jc w:val="right"/>
              <w:rPr>
                <w:b/>
                <w:bCs/>
                <w:sz w:val="20"/>
                <w:szCs w:val="18"/>
                <w:lang w:val="en-AU"/>
              </w:rPr>
            </w:pPr>
            <w:r>
              <w:rPr>
                <w:b/>
                <w:bCs/>
                <w:sz w:val="20"/>
                <w:szCs w:val="18"/>
              </w:rPr>
              <w:t>2018/19</w:t>
            </w:r>
          </w:p>
        </w:tc>
        <w:tc>
          <w:tcPr>
            <w:tcW w:w="1195" w:type="dxa"/>
            <w:tcBorders>
              <w:top w:val="single" w:sz="4" w:space="0" w:color="auto"/>
              <w:left w:val="single" w:sz="4" w:space="0" w:color="auto"/>
              <w:bottom w:val="single" w:sz="4" w:space="0" w:color="auto"/>
              <w:right w:val="single" w:sz="4" w:space="0" w:color="auto"/>
            </w:tcBorders>
            <w:hideMark/>
          </w:tcPr>
          <w:p w:rsidR="006E47FA" w:rsidRDefault="006E47FA" w:rsidP="00DA766E">
            <w:pPr>
              <w:jc w:val="right"/>
              <w:rPr>
                <w:b/>
                <w:bCs/>
                <w:sz w:val="20"/>
                <w:szCs w:val="18"/>
                <w:lang w:val="en-AU"/>
              </w:rPr>
            </w:pPr>
            <w:r>
              <w:rPr>
                <w:b/>
                <w:bCs/>
                <w:sz w:val="20"/>
                <w:szCs w:val="18"/>
              </w:rPr>
              <w:t>2019/20</w:t>
            </w:r>
          </w:p>
        </w:tc>
        <w:tc>
          <w:tcPr>
            <w:tcW w:w="1195" w:type="dxa"/>
            <w:tcBorders>
              <w:top w:val="single" w:sz="4" w:space="0" w:color="auto"/>
              <w:left w:val="single" w:sz="4" w:space="0" w:color="auto"/>
              <w:bottom w:val="single" w:sz="4" w:space="0" w:color="auto"/>
              <w:right w:val="single" w:sz="4" w:space="0" w:color="auto"/>
            </w:tcBorders>
            <w:hideMark/>
          </w:tcPr>
          <w:p w:rsidR="006E47FA" w:rsidRDefault="006E47FA" w:rsidP="00DA766E">
            <w:pPr>
              <w:jc w:val="right"/>
              <w:rPr>
                <w:b/>
                <w:bCs/>
                <w:sz w:val="20"/>
                <w:szCs w:val="18"/>
                <w:lang w:val="en-AU"/>
              </w:rPr>
            </w:pPr>
            <w:r>
              <w:rPr>
                <w:b/>
                <w:bCs/>
                <w:sz w:val="20"/>
                <w:szCs w:val="18"/>
              </w:rPr>
              <w:t>2020/21</w:t>
            </w:r>
          </w:p>
        </w:tc>
        <w:tc>
          <w:tcPr>
            <w:tcW w:w="1195" w:type="dxa"/>
            <w:tcBorders>
              <w:top w:val="single" w:sz="4" w:space="0" w:color="auto"/>
              <w:left w:val="single" w:sz="4" w:space="0" w:color="auto"/>
              <w:bottom w:val="single" w:sz="4" w:space="0" w:color="auto"/>
              <w:right w:val="single" w:sz="4" w:space="0" w:color="auto"/>
            </w:tcBorders>
            <w:hideMark/>
          </w:tcPr>
          <w:p w:rsidR="006E47FA" w:rsidRDefault="006E47FA" w:rsidP="00DA766E">
            <w:pPr>
              <w:jc w:val="right"/>
              <w:rPr>
                <w:b/>
                <w:bCs/>
                <w:sz w:val="20"/>
                <w:szCs w:val="18"/>
                <w:lang w:val="en-AU"/>
              </w:rPr>
            </w:pPr>
            <w:r>
              <w:rPr>
                <w:b/>
                <w:bCs/>
                <w:sz w:val="20"/>
                <w:szCs w:val="18"/>
              </w:rPr>
              <w:t xml:space="preserve">2021/22 </w:t>
            </w:r>
          </w:p>
        </w:tc>
        <w:tc>
          <w:tcPr>
            <w:tcW w:w="1195" w:type="dxa"/>
            <w:tcBorders>
              <w:top w:val="single" w:sz="4" w:space="0" w:color="auto"/>
              <w:left w:val="single" w:sz="4" w:space="0" w:color="auto"/>
              <w:bottom w:val="single" w:sz="4" w:space="0" w:color="auto"/>
              <w:right w:val="single" w:sz="4" w:space="0" w:color="auto"/>
            </w:tcBorders>
            <w:hideMark/>
          </w:tcPr>
          <w:p w:rsidR="006E47FA" w:rsidRDefault="006E47FA" w:rsidP="00DA766E">
            <w:pPr>
              <w:jc w:val="right"/>
              <w:rPr>
                <w:b/>
                <w:bCs/>
                <w:sz w:val="20"/>
                <w:szCs w:val="18"/>
                <w:lang w:val="en-AU"/>
              </w:rPr>
            </w:pPr>
            <w:r>
              <w:rPr>
                <w:b/>
                <w:bCs/>
                <w:sz w:val="20"/>
                <w:szCs w:val="18"/>
              </w:rPr>
              <w:t>2022/23 &amp; Outyears</w:t>
            </w:r>
          </w:p>
        </w:tc>
      </w:tr>
      <w:tr w:rsidR="006E47FA" w:rsidTr="00DA766E">
        <w:tc>
          <w:tcPr>
            <w:tcW w:w="1667" w:type="dxa"/>
            <w:tcBorders>
              <w:top w:val="single" w:sz="4" w:space="0" w:color="auto"/>
              <w:left w:val="single" w:sz="4" w:space="0" w:color="auto"/>
              <w:bottom w:val="nil"/>
              <w:right w:val="single" w:sz="4" w:space="0" w:color="auto"/>
            </w:tcBorders>
            <w:hideMark/>
          </w:tcPr>
          <w:p w:rsidR="006E47FA" w:rsidRDefault="006E47FA" w:rsidP="00DA766E">
            <w:pPr>
              <w:rPr>
                <w:sz w:val="20"/>
                <w:szCs w:val="18"/>
                <w:lang w:val="en-AU"/>
              </w:rPr>
            </w:pPr>
            <w:r>
              <w:rPr>
                <w:sz w:val="20"/>
                <w:szCs w:val="18"/>
                <w:lang w:val="en-AU"/>
              </w:rPr>
              <w:t>Foreign hybrid entity double deductions</w:t>
            </w:r>
          </w:p>
        </w:tc>
        <w:tc>
          <w:tcPr>
            <w:tcW w:w="1194" w:type="dxa"/>
            <w:tcBorders>
              <w:top w:val="single" w:sz="4" w:space="0" w:color="auto"/>
              <w:left w:val="single" w:sz="4" w:space="0" w:color="auto"/>
              <w:bottom w:val="nil"/>
              <w:right w:val="single" w:sz="4" w:space="0" w:color="auto"/>
            </w:tcBorders>
          </w:tcPr>
          <w:p w:rsidR="006E47FA" w:rsidRDefault="006E47FA" w:rsidP="00DA766E">
            <w:pPr>
              <w:jc w:val="right"/>
              <w:rPr>
                <w:sz w:val="20"/>
                <w:szCs w:val="18"/>
                <w:lang w:val="en-AU"/>
              </w:rPr>
            </w:pPr>
            <w:r>
              <w:rPr>
                <w:sz w:val="20"/>
                <w:szCs w:val="18"/>
                <w:lang w:val="en-AU"/>
              </w:rPr>
              <w:t>-</w:t>
            </w:r>
          </w:p>
        </w:tc>
        <w:tc>
          <w:tcPr>
            <w:tcW w:w="1195" w:type="dxa"/>
            <w:tcBorders>
              <w:top w:val="single" w:sz="4" w:space="0" w:color="auto"/>
              <w:left w:val="single" w:sz="4" w:space="0" w:color="auto"/>
              <w:bottom w:val="nil"/>
              <w:right w:val="single" w:sz="4" w:space="0" w:color="auto"/>
            </w:tcBorders>
          </w:tcPr>
          <w:p w:rsidR="006E47FA" w:rsidRDefault="006E47FA" w:rsidP="00DA766E">
            <w:pPr>
              <w:jc w:val="right"/>
              <w:rPr>
                <w:sz w:val="20"/>
                <w:szCs w:val="18"/>
                <w:lang w:val="en-AU"/>
              </w:rPr>
            </w:pPr>
            <w:r>
              <w:rPr>
                <w:sz w:val="20"/>
                <w:szCs w:val="18"/>
                <w:lang w:val="en-AU"/>
              </w:rPr>
              <w:t>-</w:t>
            </w:r>
          </w:p>
        </w:tc>
        <w:tc>
          <w:tcPr>
            <w:tcW w:w="1195" w:type="dxa"/>
            <w:tcBorders>
              <w:top w:val="single" w:sz="4" w:space="0" w:color="auto"/>
              <w:left w:val="single" w:sz="4" w:space="0" w:color="auto"/>
              <w:bottom w:val="nil"/>
              <w:right w:val="single" w:sz="4" w:space="0" w:color="auto"/>
            </w:tcBorders>
          </w:tcPr>
          <w:p w:rsidR="006E47FA" w:rsidRDefault="006E47FA" w:rsidP="00DA766E">
            <w:pPr>
              <w:jc w:val="right"/>
              <w:rPr>
                <w:sz w:val="20"/>
                <w:szCs w:val="18"/>
                <w:lang w:val="en-AU"/>
              </w:rPr>
            </w:pPr>
            <w:r>
              <w:rPr>
                <w:sz w:val="20"/>
                <w:szCs w:val="18"/>
                <w:lang w:val="en-AU"/>
              </w:rPr>
              <w:t>25.000</w:t>
            </w:r>
          </w:p>
        </w:tc>
        <w:tc>
          <w:tcPr>
            <w:tcW w:w="1195" w:type="dxa"/>
            <w:tcBorders>
              <w:top w:val="single" w:sz="4" w:space="0" w:color="auto"/>
              <w:left w:val="single" w:sz="4" w:space="0" w:color="auto"/>
              <w:bottom w:val="nil"/>
              <w:right w:val="single" w:sz="4" w:space="0" w:color="auto"/>
            </w:tcBorders>
          </w:tcPr>
          <w:p w:rsidR="006E47FA" w:rsidRDefault="006E47FA" w:rsidP="00DA766E">
            <w:pPr>
              <w:jc w:val="right"/>
              <w:rPr>
                <w:sz w:val="20"/>
                <w:szCs w:val="18"/>
                <w:lang w:val="en-AU"/>
              </w:rPr>
            </w:pPr>
            <w:r>
              <w:rPr>
                <w:sz w:val="20"/>
                <w:szCs w:val="18"/>
                <w:lang w:val="en-AU"/>
              </w:rPr>
              <w:t>50.000</w:t>
            </w:r>
          </w:p>
        </w:tc>
        <w:tc>
          <w:tcPr>
            <w:tcW w:w="1195" w:type="dxa"/>
            <w:tcBorders>
              <w:top w:val="single" w:sz="4" w:space="0" w:color="auto"/>
              <w:left w:val="single" w:sz="4" w:space="0" w:color="auto"/>
              <w:bottom w:val="nil"/>
              <w:right w:val="single" w:sz="4" w:space="0" w:color="auto"/>
            </w:tcBorders>
          </w:tcPr>
          <w:p w:rsidR="006E47FA" w:rsidRDefault="006E47FA" w:rsidP="00DA766E">
            <w:pPr>
              <w:jc w:val="right"/>
              <w:rPr>
                <w:sz w:val="20"/>
                <w:szCs w:val="18"/>
                <w:lang w:val="en-AU"/>
              </w:rPr>
            </w:pPr>
            <w:r>
              <w:rPr>
                <w:sz w:val="20"/>
                <w:szCs w:val="18"/>
                <w:lang w:val="en-AU"/>
              </w:rPr>
              <w:t>50.000</w:t>
            </w:r>
          </w:p>
        </w:tc>
        <w:tc>
          <w:tcPr>
            <w:tcW w:w="1195" w:type="dxa"/>
            <w:tcBorders>
              <w:top w:val="single" w:sz="4" w:space="0" w:color="auto"/>
              <w:left w:val="single" w:sz="4" w:space="0" w:color="auto"/>
              <w:bottom w:val="nil"/>
              <w:right w:val="single" w:sz="4" w:space="0" w:color="auto"/>
            </w:tcBorders>
          </w:tcPr>
          <w:p w:rsidR="006E47FA" w:rsidRDefault="006E47FA" w:rsidP="00DA766E">
            <w:pPr>
              <w:jc w:val="right"/>
              <w:rPr>
                <w:sz w:val="20"/>
                <w:szCs w:val="18"/>
                <w:lang w:val="en-AU"/>
              </w:rPr>
            </w:pPr>
            <w:r>
              <w:rPr>
                <w:sz w:val="20"/>
                <w:szCs w:val="18"/>
                <w:lang w:val="en-AU"/>
              </w:rPr>
              <w:t>50.000</w:t>
            </w:r>
          </w:p>
        </w:tc>
        <w:tc>
          <w:tcPr>
            <w:tcW w:w="1195" w:type="dxa"/>
            <w:tcBorders>
              <w:top w:val="single" w:sz="4" w:space="0" w:color="auto"/>
              <w:left w:val="single" w:sz="4" w:space="0" w:color="auto"/>
              <w:bottom w:val="nil"/>
              <w:right w:val="single" w:sz="4" w:space="0" w:color="auto"/>
            </w:tcBorders>
          </w:tcPr>
          <w:p w:rsidR="006E47FA" w:rsidRDefault="006E47FA" w:rsidP="00DA766E">
            <w:pPr>
              <w:jc w:val="right"/>
              <w:rPr>
                <w:sz w:val="20"/>
                <w:szCs w:val="18"/>
                <w:lang w:val="en-AU"/>
              </w:rPr>
            </w:pPr>
            <w:r>
              <w:rPr>
                <w:sz w:val="20"/>
                <w:szCs w:val="18"/>
                <w:lang w:val="en-AU"/>
              </w:rPr>
              <w:t>50.000</w:t>
            </w:r>
          </w:p>
        </w:tc>
      </w:tr>
      <w:tr w:rsidR="006E47FA" w:rsidTr="00DA766E">
        <w:tc>
          <w:tcPr>
            <w:tcW w:w="1667" w:type="dxa"/>
            <w:tcBorders>
              <w:top w:val="nil"/>
              <w:left w:val="single" w:sz="4" w:space="0" w:color="auto"/>
              <w:bottom w:val="nil"/>
              <w:right w:val="single" w:sz="4" w:space="0" w:color="auto"/>
            </w:tcBorders>
            <w:hideMark/>
          </w:tcPr>
          <w:p w:rsidR="006E47FA" w:rsidRDefault="006E47FA" w:rsidP="00DA766E">
            <w:pPr>
              <w:rPr>
                <w:sz w:val="20"/>
                <w:szCs w:val="18"/>
                <w:lang w:val="en-AU"/>
              </w:rPr>
            </w:pPr>
            <w:r>
              <w:rPr>
                <w:sz w:val="20"/>
                <w:szCs w:val="18"/>
                <w:lang w:val="en-AU"/>
              </w:rPr>
              <w:t>BEPS taxation bill</w:t>
            </w:r>
          </w:p>
        </w:tc>
        <w:tc>
          <w:tcPr>
            <w:tcW w:w="1194" w:type="dxa"/>
            <w:tcBorders>
              <w:top w:val="nil"/>
              <w:left w:val="single" w:sz="4" w:space="0" w:color="auto"/>
              <w:bottom w:val="nil"/>
              <w:right w:val="single" w:sz="4" w:space="0" w:color="auto"/>
            </w:tcBorders>
          </w:tcPr>
          <w:p w:rsidR="006E47FA" w:rsidRDefault="006E47FA" w:rsidP="00DA766E">
            <w:pPr>
              <w:jc w:val="right"/>
              <w:rPr>
                <w:rFonts w:eastAsia="Calibri"/>
                <w:szCs w:val="24"/>
                <w:lang w:eastAsia="en-NZ"/>
              </w:rPr>
            </w:pPr>
            <w:r>
              <w:rPr>
                <w:rFonts w:eastAsia="Calibri"/>
                <w:szCs w:val="24"/>
                <w:lang w:eastAsia="en-NZ"/>
              </w:rPr>
              <w:t>-</w:t>
            </w:r>
          </w:p>
        </w:tc>
        <w:tc>
          <w:tcPr>
            <w:tcW w:w="1195" w:type="dxa"/>
            <w:tcBorders>
              <w:top w:val="nil"/>
              <w:left w:val="single" w:sz="4" w:space="0" w:color="auto"/>
              <w:bottom w:val="nil"/>
              <w:right w:val="single" w:sz="4" w:space="0" w:color="auto"/>
            </w:tcBorders>
          </w:tcPr>
          <w:p w:rsidR="006E47FA" w:rsidRDefault="006E47FA" w:rsidP="00DA766E">
            <w:pPr>
              <w:jc w:val="right"/>
              <w:rPr>
                <w:rFonts w:eastAsia="Calibri"/>
                <w:szCs w:val="24"/>
                <w:lang w:eastAsia="en-NZ"/>
              </w:rPr>
            </w:pPr>
            <w:r>
              <w:rPr>
                <w:rFonts w:eastAsia="Calibri"/>
                <w:szCs w:val="24"/>
                <w:lang w:eastAsia="en-NZ"/>
              </w:rPr>
              <w:t>-</w:t>
            </w:r>
          </w:p>
        </w:tc>
        <w:tc>
          <w:tcPr>
            <w:tcW w:w="1195" w:type="dxa"/>
            <w:tcBorders>
              <w:top w:val="nil"/>
              <w:left w:val="single" w:sz="4" w:space="0" w:color="auto"/>
              <w:bottom w:val="nil"/>
              <w:right w:val="single" w:sz="4" w:space="0" w:color="auto"/>
            </w:tcBorders>
          </w:tcPr>
          <w:p w:rsidR="006E47FA" w:rsidRDefault="006E47FA" w:rsidP="00DA766E">
            <w:pPr>
              <w:jc w:val="right"/>
              <w:rPr>
                <w:sz w:val="20"/>
                <w:szCs w:val="18"/>
                <w:lang w:val="en-AU"/>
              </w:rPr>
            </w:pPr>
            <w:r>
              <w:rPr>
                <w:sz w:val="20"/>
                <w:szCs w:val="18"/>
                <w:lang w:val="en-AU"/>
              </w:rPr>
              <w:t>25.000</w:t>
            </w:r>
          </w:p>
        </w:tc>
        <w:tc>
          <w:tcPr>
            <w:tcW w:w="1195" w:type="dxa"/>
            <w:tcBorders>
              <w:top w:val="nil"/>
              <w:left w:val="single" w:sz="4" w:space="0" w:color="auto"/>
              <w:bottom w:val="nil"/>
              <w:right w:val="single" w:sz="4" w:space="0" w:color="auto"/>
            </w:tcBorders>
          </w:tcPr>
          <w:p w:rsidR="006E47FA" w:rsidRDefault="006E47FA" w:rsidP="00DA766E">
            <w:pPr>
              <w:jc w:val="right"/>
              <w:rPr>
                <w:sz w:val="20"/>
                <w:szCs w:val="18"/>
                <w:lang w:val="en-AU"/>
              </w:rPr>
            </w:pPr>
            <w:r>
              <w:rPr>
                <w:sz w:val="20"/>
                <w:szCs w:val="18"/>
                <w:lang w:val="en-AU"/>
              </w:rPr>
              <w:t>50.000</w:t>
            </w:r>
          </w:p>
        </w:tc>
        <w:tc>
          <w:tcPr>
            <w:tcW w:w="1195" w:type="dxa"/>
            <w:tcBorders>
              <w:top w:val="nil"/>
              <w:left w:val="single" w:sz="4" w:space="0" w:color="auto"/>
              <w:bottom w:val="nil"/>
              <w:right w:val="single" w:sz="4" w:space="0" w:color="auto"/>
            </w:tcBorders>
          </w:tcPr>
          <w:p w:rsidR="006E47FA" w:rsidRDefault="006E47FA" w:rsidP="00DA766E">
            <w:pPr>
              <w:jc w:val="right"/>
              <w:rPr>
                <w:sz w:val="20"/>
                <w:szCs w:val="18"/>
                <w:lang w:val="en-AU"/>
              </w:rPr>
            </w:pPr>
            <w:r>
              <w:rPr>
                <w:sz w:val="20"/>
                <w:szCs w:val="18"/>
                <w:lang w:val="en-AU"/>
              </w:rPr>
              <w:t>50.000</w:t>
            </w:r>
          </w:p>
        </w:tc>
        <w:tc>
          <w:tcPr>
            <w:tcW w:w="1195" w:type="dxa"/>
            <w:tcBorders>
              <w:top w:val="nil"/>
              <w:left w:val="single" w:sz="4" w:space="0" w:color="auto"/>
              <w:bottom w:val="nil"/>
              <w:right w:val="single" w:sz="4" w:space="0" w:color="auto"/>
            </w:tcBorders>
          </w:tcPr>
          <w:p w:rsidR="006E47FA" w:rsidRDefault="006E47FA" w:rsidP="00DA766E">
            <w:pPr>
              <w:jc w:val="right"/>
              <w:rPr>
                <w:sz w:val="20"/>
                <w:szCs w:val="18"/>
                <w:lang w:val="en-AU"/>
              </w:rPr>
            </w:pPr>
            <w:r>
              <w:rPr>
                <w:sz w:val="20"/>
                <w:szCs w:val="18"/>
                <w:lang w:val="en-AU"/>
              </w:rPr>
              <w:t>50.000</w:t>
            </w:r>
          </w:p>
        </w:tc>
        <w:tc>
          <w:tcPr>
            <w:tcW w:w="1195" w:type="dxa"/>
            <w:tcBorders>
              <w:top w:val="nil"/>
              <w:left w:val="single" w:sz="4" w:space="0" w:color="auto"/>
              <w:bottom w:val="nil"/>
              <w:right w:val="single" w:sz="4" w:space="0" w:color="auto"/>
            </w:tcBorders>
          </w:tcPr>
          <w:p w:rsidR="006E47FA" w:rsidRDefault="006E47FA" w:rsidP="00DA766E">
            <w:pPr>
              <w:jc w:val="right"/>
              <w:rPr>
                <w:sz w:val="20"/>
                <w:szCs w:val="18"/>
                <w:lang w:val="en-AU"/>
              </w:rPr>
            </w:pPr>
            <w:r>
              <w:rPr>
                <w:sz w:val="20"/>
                <w:szCs w:val="18"/>
                <w:lang w:val="en-AU"/>
              </w:rPr>
              <w:t>50.000</w:t>
            </w:r>
          </w:p>
        </w:tc>
      </w:tr>
      <w:tr w:rsidR="006E47FA" w:rsidTr="00DA766E">
        <w:tc>
          <w:tcPr>
            <w:tcW w:w="1667" w:type="dxa"/>
            <w:tcBorders>
              <w:top w:val="single" w:sz="4" w:space="0" w:color="auto"/>
              <w:left w:val="single" w:sz="4" w:space="0" w:color="auto"/>
              <w:bottom w:val="single" w:sz="4" w:space="0" w:color="auto"/>
              <w:right w:val="single" w:sz="4" w:space="0" w:color="auto"/>
            </w:tcBorders>
            <w:hideMark/>
          </w:tcPr>
          <w:p w:rsidR="006E47FA" w:rsidRDefault="006E47FA" w:rsidP="00DA766E">
            <w:pPr>
              <w:rPr>
                <w:b/>
                <w:bCs/>
                <w:sz w:val="20"/>
                <w:szCs w:val="18"/>
                <w:lang w:val="en-AU"/>
              </w:rPr>
            </w:pPr>
            <w:r>
              <w:rPr>
                <w:b/>
                <w:bCs/>
                <w:sz w:val="20"/>
                <w:szCs w:val="18"/>
                <w:lang w:val="en-AU"/>
              </w:rPr>
              <w:t>Total Revenue effect</w:t>
            </w:r>
          </w:p>
        </w:tc>
        <w:tc>
          <w:tcPr>
            <w:tcW w:w="1194" w:type="dxa"/>
            <w:tcBorders>
              <w:top w:val="single" w:sz="4" w:space="0" w:color="auto"/>
              <w:left w:val="single" w:sz="4" w:space="0" w:color="auto"/>
              <w:bottom w:val="single" w:sz="4" w:space="0" w:color="auto"/>
              <w:right w:val="single" w:sz="4" w:space="0" w:color="auto"/>
            </w:tcBorders>
          </w:tcPr>
          <w:p w:rsidR="006E47FA" w:rsidRDefault="006E47FA" w:rsidP="00DA766E">
            <w:pPr>
              <w:jc w:val="right"/>
              <w:rPr>
                <w:rFonts w:eastAsia="Calibri"/>
                <w:szCs w:val="24"/>
                <w:lang w:eastAsia="en-NZ"/>
              </w:rPr>
            </w:pPr>
            <w:r>
              <w:rPr>
                <w:rFonts w:eastAsia="Calibri"/>
                <w:szCs w:val="24"/>
                <w:lang w:eastAsia="en-NZ"/>
              </w:rPr>
              <w:t>-</w:t>
            </w:r>
          </w:p>
        </w:tc>
        <w:tc>
          <w:tcPr>
            <w:tcW w:w="1195" w:type="dxa"/>
            <w:tcBorders>
              <w:top w:val="single" w:sz="4" w:space="0" w:color="auto"/>
              <w:left w:val="single" w:sz="4" w:space="0" w:color="auto"/>
              <w:bottom w:val="single" w:sz="4" w:space="0" w:color="auto"/>
              <w:right w:val="single" w:sz="4" w:space="0" w:color="auto"/>
            </w:tcBorders>
          </w:tcPr>
          <w:p w:rsidR="006E47FA" w:rsidRDefault="006E47FA" w:rsidP="00DA766E">
            <w:pPr>
              <w:jc w:val="right"/>
              <w:rPr>
                <w:rFonts w:eastAsia="Calibri"/>
                <w:szCs w:val="24"/>
                <w:lang w:eastAsia="en-NZ"/>
              </w:rPr>
            </w:pPr>
            <w:r>
              <w:rPr>
                <w:rFonts w:eastAsia="Calibri"/>
                <w:szCs w:val="24"/>
                <w:lang w:eastAsia="en-NZ"/>
              </w:rPr>
              <w:t>-</w:t>
            </w:r>
          </w:p>
        </w:tc>
        <w:tc>
          <w:tcPr>
            <w:tcW w:w="1195" w:type="dxa"/>
            <w:tcBorders>
              <w:top w:val="single" w:sz="4" w:space="0" w:color="auto"/>
              <w:left w:val="single" w:sz="4" w:space="0" w:color="auto"/>
              <w:bottom w:val="single" w:sz="4" w:space="0" w:color="auto"/>
              <w:right w:val="single" w:sz="4" w:space="0" w:color="auto"/>
            </w:tcBorders>
          </w:tcPr>
          <w:p w:rsidR="006E47FA" w:rsidRDefault="006E47FA" w:rsidP="00DA766E">
            <w:pPr>
              <w:jc w:val="right"/>
              <w:rPr>
                <w:sz w:val="20"/>
                <w:szCs w:val="18"/>
                <w:lang w:val="en-AU"/>
              </w:rPr>
            </w:pPr>
            <w:r>
              <w:rPr>
                <w:sz w:val="20"/>
                <w:szCs w:val="18"/>
                <w:lang w:val="en-AU"/>
              </w:rPr>
              <w:t>5</w:t>
            </w:r>
            <w:r w:rsidR="00AA457A">
              <w:rPr>
                <w:sz w:val="20"/>
                <w:szCs w:val="18"/>
                <w:lang w:val="en-AU"/>
              </w:rPr>
              <w:t>0</w:t>
            </w:r>
            <w:r>
              <w:rPr>
                <w:sz w:val="20"/>
                <w:szCs w:val="18"/>
                <w:lang w:val="en-AU"/>
              </w:rPr>
              <w:t>.000</w:t>
            </w:r>
          </w:p>
        </w:tc>
        <w:tc>
          <w:tcPr>
            <w:tcW w:w="1195" w:type="dxa"/>
            <w:tcBorders>
              <w:top w:val="single" w:sz="4" w:space="0" w:color="auto"/>
              <w:left w:val="single" w:sz="4" w:space="0" w:color="auto"/>
              <w:bottom w:val="single" w:sz="4" w:space="0" w:color="auto"/>
              <w:right w:val="single" w:sz="4" w:space="0" w:color="auto"/>
            </w:tcBorders>
          </w:tcPr>
          <w:p w:rsidR="006E47FA" w:rsidRDefault="006E47FA" w:rsidP="00DA766E">
            <w:pPr>
              <w:jc w:val="right"/>
              <w:rPr>
                <w:sz w:val="20"/>
                <w:szCs w:val="18"/>
                <w:lang w:val="en-AU"/>
              </w:rPr>
            </w:pPr>
            <w:r>
              <w:rPr>
                <w:sz w:val="20"/>
                <w:szCs w:val="18"/>
                <w:lang w:val="en-AU"/>
              </w:rPr>
              <w:t>100.000</w:t>
            </w:r>
          </w:p>
        </w:tc>
        <w:tc>
          <w:tcPr>
            <w:tcW w:w="1195" w:type="dxa"/>
            <w:tcBorders>
              <w:top w:val="single" w:sz="4" w:space="0" w:color="auto"/>
              <w:left w:val="single" w:sz="4" w:space="0" w:color="auto"/>
              <w:bottom w:val="single" w:sz="4" w:space="0" w:color="auto"/>
              <w:right w:val="single" w:sz="4" w:space="0" w:color="auto"/>
            </w:tcBorders>
          </w:tcPr>
          <w:p w:rsidR="006E47FA" w:rsidRDefault="006E47FA" w:rsidP="00DA766E">
            <w:pPr>
              <w:jc w:val="right"/>
              <w:rPr>
                <w:sz w:val="20"/>
                <w:szCs w:val="18"/>
                <w:lang w:val="en-AU"/>
              </w:rPr>
            </w:pPr>
            <w:r>
              <w:rPr>
                <w:sz w:val="20"/>
                <w:szCs w:val="18"/>
                <w:lang w:val="en-AU"/>
              </w:rPr>
              <w:t>100.000</w:t>
            </w:r>
          </w:p>
        </w:tc>
        <w:tc>
          <w:tcPr>
            <w:tcW w:w="1195" w:type="dxa"/>
            <w:tcBorders>
              <w:top w:val="single" w:sz="4" w:space="0" w:color="auto"/>
              <w:left w:val="single" w:sz="4" w:space="0" w:color="auto"/>
              <w:bottom w:val="single" w:sz="4" w:space="0" w:color="auto"/>
              <w:right w:val="single" w:sz="4" w:space="0" w:color="auto"/>
            </w:tcBorders>
          </w:tcPr>
          <w:p w:rsidR="006E47FA" w:rsidRDefault="006E47FA" w:rsidP="00DA766E">
            <w:pPr>
              <w:jc w:val="right"/>
              <w:rPr>
                <w:sz w:val="20"/>
                <w:szCs w:val="18"/>
                <w:lang w:val="en-AU"/>
              </w:rPr>
            </w:pPr>
            <w:r>
              <w:rPr>
                <w:sz w:val="20"/>
                <w:szCs w:val="18"/>
                <w:lang w:val="en-AU"/>
              </w:rPr>
              <w:t>100.000</w:t>
            </w:r>
          </w:p>
        </w:tc>
        <w:tc>
          <w:tcPr>
            <w:tcW w:w="1195" w:type="dxa"/>
            <w:tcBorders>
              <w:top w:val="single" w:sz="4" w:space="0" w:color="auto"/>
              <w:left w:val="single" w:sz="4" w:space="0" w:color="auto"/>
              <w:bottom w:val="single" w:sz="4" w:space="0" w:color="auto"/>
              <w:right w:val="single" w:sz="4" w:space="0" w:color="auto"/>
            </w:tcBorders>
          </w:tcPr>
          <w:p w:rsidR="006E47FA" w:rsidRDefault="006E47FA" w:rsidP="00DA766E">
            <w:pPr>
              <w:jc w:val="right"/>
              <w:rPr>
                <w:sz w:val="20"/>
                <w:szCs w:val="18"/>
                <w:lang w:val="en-AU"/>
              </w:rPr>
            </w:pPr>
            <w:r>
              <w:rPr>
                <w:sz w:val="20"/>
                <w:szCs w:val="18"/>
                <w:lang w:val="en-AU"/>
              </w:rPr>
              <w:t>100.000</w:t>
            </w:r>
          </w:p>
        </w:tc>
      </w:tr>
    </w:tbl>
    <w:p w:rsidR="006E47FA" w:rsidRDefault="006E47FA" w:rsidP="006E47FA">
      <w:pPr>
        <w:pStyle w:val="Numberparagraph"/>
      </w:pPr>
    </w:p>
    <w:p w:rsidR="000877EB" w:rsidRDefault="000877EB">
      <w:pPr>
        <w:rPr>
          <w:b/>
          <w:szCs w:val="24"/>
          <w:lang w:eastAsia="en-AU"/>
        </w:rPr>
      </w:pPr>
      <w:r>
        <w:rPr>
          <w:b/>
        </w:rPr>
        <w:br w:type="page"/>
      </w:r>
    </w:p>
    <w:p w:rsidR="009B6F04" w:rsidRDefault="009B6F04" w:rsidP="009B6F04">
      <w:pPr>
        <w:pStyle w:val="Recommendationfirstlevel"/>
        <w:numPr>
          <w:ilvl w:val="0"/>
          <w:numId w:val="34"/>
        </w:numPr>
        <w:ind w:left="1134" w:hanging="567"/>
      </w:pPr>
      <w:r>
        <w:rPr>
          <w:b/>
        </w:rPr>
        <w:t>Note</w:t>
      </w:r>
      <w:r>
        <w:t xml:space="preserve"> the following changes as a result of the decision</w:t>
      </w:r>
      <w:r w:rsidR="008D24AA">
        <w:t>s</w:t>
      </w:r>
      <w:r>
        <w:t xml:space="preserve"> in recommendations 1 </w:t>
      </w:r>
      <w:r w:rsidR="008D24AA">
        <w:t>to 5</w:t>
      </w:r>
      <w:r>
        <w:t xml:space="preserve"> above, with a corresponding impact on the operating balance</w:t>
      </w:r>
      <w:r w:rsidR="00373642">
        <w:t>:</w:t>
      </w:r>
    </w:p>
    <w:p w:rsidR="002E007A" w:rsidRDefault="002E007A" w:rsidP="002E007A">
      <w:pPr>
        <w:pStyle w:val="Recommendationfirstlevel"/>
        <w:ind w:left="1134"/>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346"/>
        <w:gridCol w:w="1347"/>
        <w:gridCol w:w="1347"/>
        <w:gridCol w:w="1346"/>
        <w:gridCol w:w="1347"/>
        <w:gridCol w:w="1347"/>
      </w:tblGrid>
      <w:tr w:rsidR="008B5F53" w:rsidTr="00DA766E">
        <w:tc>
          <w:tcPr>
            <w:tcW w:w="1667" w:type="dxa"/>
            <w:tcBorders>
              <w:top w:val="nil"/>
              <w:left w:val="nil"/>
              <w:bottom w:val="single" w:sz="4" w:space="0" w:color="auto"/>
              <w:right w:val="single" w:sz="4" w:space="0" w:color="auto"/>
            </w:tcBorders>
          </w:tcPr>
          <w:p w:rsidR="008B5F53" w:rsidRDefault="008B5F53" w:rsidP="00DA766E">
            <w:pPr>
              <w:rPr>
                <w:sz w:val="20"/>
                <w:szCs w:val="18"/>
                <w:lang w:val="en-AU"/>
              </w:rPr>
            </w:pPr>
          </w:p>
        </w:tc>
        <w:tc>
          <w:tcPr>
            <w:tcW w:w="8080" w:type="dxa"/>
            <w:gridSpan w:val="6"/>
            <w:tcBorders>
              <w:top w:val="single" w:sz="4" w:space="0" w:color="auto"/>
              <w:left w:val="single" w:sz="4" w:space="0" w:color="auto"/>
              <w:bottom w:val="single" w:sz="4" w:space="0" w:color="auto"/>
              <w:right w:val="single" w:sz="4" w:space="0" w:color="auto"/>
            </w:tcBorders>
          </w:tcPr>
          <w:p w:rsidR="008B5F53" w:rsidRDefault="008B5F53" w:rsidP="00DA766E">
            <w:pPr>
              <w:jc w:val="center"/>
              <w:rPr>
                <w:sz w:val="20"/>
                <w:szCs w:val="18"/>
                <w:lang w:val="en-AU"/>
              </w:rPr>
            </w:pPr>
            <w:r>
              <w:rPr>
                <w:sz w:val="20"/>
                <w:lang w:val="en-AU"/>
              </w:rPr>
              <w:t>$m – increase/(decrease)</w:t>
            </w:r>
          </w:p>
        </w:tc>
      </w:tr>
      <w:tr w:rsidR="008B5F53" w:rsidTr="00DA766E">
        <w:tc>
          <w:tcPr>
            <w:tcW w:w="1667" w:type="dxa"/>
            <w:tcBorders>
              <w:top w:val="single" w:sz="4" w:space="0" w:color="auto"/>
              <w:left w:val="single" w:sz="4" w:space="0" w:color="auto"/>
              <w:bottom w:val="single" w:sz="4" w:space="0" w:color="auto"/>
              <w:right w:val="single" w:sz="4" w:space="0" w:color="auto"/>
            </w:tcBorders>
            <w:hideMark/>
          </w:tcPr>
          <w:p w:rsidR="008B5F53" w:rsidRDefault="008B5F53" w:rsidP="00DA766E">
            <w:pPr>
              <w:rPr>
                <w:b/>
                <w:bCs/>
                <w:iCs/>
                <w:sz w:val="20"/>
                <w:szCs w:val="18"/>
                <w:lang w:val="en-AU"/>
              </w:rPr>
            </w:pPr>
            <w:r>
              <w:rPr>
                <w:b/>
                <w:bCs/>
                <w:iCs/>
                <w:sz w:val="20"/>
                <w:szCs w:val="18"/>
                <w:lang w:val="en-AU"/>
              </w:rPr>
              <w:t>Vote Revenue</w:t>
            </w:r>
          </w:p>
          <w:p w:rsidR="008B5F53" w:rsidRDefault="008B5F53" w:rsidP="00DA766E">
            <w:pPr>
              <w:rPr>
                <w:b/>
                <w:bCs/>
                <w:i/>
                <w:iCs/>
                <w:sz w:val="20"/>
                <w:szCs w:val="18"/>
                <w:lang w:val="en-AU"/>
              </w:rPr>
            </w:pPr>
            <w:r>
              <w:rPr>
                <w:b/>
                <w:bCs/>
                <w:iCs/>
                <w:sz w:val="20"/>
                <w:szCs w:val="18"/>
                <w:lang w:val="en-AU"/>
              </w:rPr>
              <w:t>Minister of Revenue</w:t>
            </w:r>
          </w:p>
        </w:tc>
        <w:tc>
          <w:tcPr>
            <w:tcW w:w="1346" w:type="dxa"/>
            <w:tcBorders>
              <w:top w:val="single" w:sz="4" w:space="0" w:color="auto"/>
              <w:left w:val="single" w:sz="4" w:space="0" w:color="auto"/>
              <w:bottom w:val="single" w:sz="4" w:space="0" w:color="auto"/>
              <w:right w:val="single" w:sz="4" w:space="0" w:color="auto"/>
            </w:tcBorders>
          </w:tcPr>
          <w:p w:rsidR="008B5F53" w:rsidRDefault="008B5F53" w:rsidP="00DA766E">
            <w:pPr>
              <w:jc w:val="right"/>
              <w:rPr>
                <w:b/>
                <w:bCs/>
                <w:sz w:val="20"/>
                <w:szCs w:val="18"/>
              </w:rPr>
            </w:pPr>
            <w:r>
              <w:rPr>
                <w:b/>
                <w:bCs/>
                <w:sz w:val="20"/>
                <w:szCs w:val="18"/>
              </w:rPr>
              <w:t>2017/18</w:t>
            </w:r>
          </w:p>
        </w:tc>
        <w:tc>
          <w:tcPr>
            <w:tcW w:w="1347" w:type="dxa"/>
            <w:tcBorders>
              <w:top w:val="single" w:sz="4" w:space="0" w:color="auto"/>
              <w:left w:val="single" w:sz="4" w:space="0" w:color="auto"/>
              <w:bottom w:val="single" w:sz="4" w:space="0" w:color="auto"/>
              <w:right w:val="single" w:sz="4" w:space="0" w:color="auto"/>
            </w:tcBorders>
            <w:hideMark/>
          </w:tcPr>
          <w:p w:rsidR="008B5F53" w:rsidRDefault="008B5F53" w:rsidP="00DA766E">
            <w:pPr>
              <w:jc w:val="right"/>
              <w:rPr>
                <w:b/>
                <w:bCs/>
                <w:sz w:val="20"/>
                <w:szCs w:val="18"/>
                <w:lang w:val="en-AU"/>
              </w:rPr>
            </w:pPr>
            <w:r>
              <w:rPr>
                <w:b/>
                <w:bCs/>
                <w:sz w:val="20"/>
                <w:szCs w:val="18"/>
              </w:rPr>
              <w:t>2018/19</w:t>
            </w:r>
          </w:p>
        </w:tc>
        <w:tc>
          <w:tcPr>
            <w:tcW w:w="1347" w:type="dxa"/>
            <w:tcBorders>
              <w:top w:val="single" w:sz="4" w:space="0" w:color="auto"/>
              <w:left w:val="single" w:sz="4" w:space="0" w:color="auto"/>
              <w:bottom w:val="single" w:sz="4" w:space="0" w:color="auto"/>
              <w:right w:val="single" w:sz="4" w:space="0" w:color="auto"/>
            </w:tcBorders>
            <w:hideMark/>
          </w:tcPr>
          <w:p w:rsidR="008B5F53" w:rsidRDefault="008B5F53" w:rsidP="00DA766E">
            <w:pPr>
              <w:jc w:val="right"/>
              <w:rPr>
                <w:b/>
                <w:bCs/>
                <w:sz w:val="20"/>
                <w:szCs w:val="18"/>
                <w:lang w:val="en-AU"/>
              </w:rPr>
            </w:pPr>
            <w:r>
              <w:rPr>
                <w:b/>
                <w:bCs/>
                <w:sz w:val="20"/>
                <w:szCs w:val="18"/>
              </w:rPr>
              <w:t>2019/20</w:t>
            </w:r>
          </w:p>
        </w:tc>
        <w:tc>
          <w:tcPr>
            <w:tcW w:w="1346" w:type="dxa"/>
            <w:tcBorders>
              <w:top w:val="single" w:sz="4" w:space="0" w:color="auto"/>
              <w:left w:val="single" w:sz="4" w:space="0" w:color="auto"/>
              <w:bottom w:val="single" w:sz="4" w:space="0" w:color="auto"/>
              <w:right w:val="single" w:sz="4" w:space="0" w:color="auto"/>
            </w:tcBorders>
            <w:hideMark/>
          </w:tcPr>
          <w:p w:rsidR="008B5F53" w:rsidRDefault="008B5F53" w:rsidP="00DA766E">
            <w:pPr>
              <w:jc w:val="right"/>
              <w:rPr>
                <w:b/>
                <w:bCs/>
                <w:sz w:val="20"/>
                <w:szCs w:val="18"/>
                <w:lang w:val="en-AU"/>
              </w:rPr>
            </w:pPr>
            <w:r>
              <w:rPr>
                <w:b/>
                <w:bCs/>
                <w:sz w:val="20"/>
                <w:szCs w:val="18"/>
              </w:rPr>
              <w:t>2020/21</w:t>
            </w:r>
          </w:p>
        </w:tc>
        <w:tc>
          <w:tcPr>
            <w:tcW w:w="1347" w:type="dxa"/>
            <w:tcBorders>
              <w:top w:val="single" w:sz="4" w:space="0" w:color="auto"/>
              <w:left w:val="single" w:sz="4" w:space="0" w:color="auto"/>
              <w:bottom w:val="single" w:sz="4" w:space="0" w:color="auto"/>
              <w:right w:val="single" w:sz="4" w:space="0" w:color="auto"/>
            </w:tcBorders>
            <w:hideMark/>
          </w:tcPr>
          <w:p w:rsidR="008B5F53" w:rsidRDefault="008B5F53" w:rsidP="00DA766E">
            <w:pPr>
              <w:jc w:val="right"/>
              <w:rPr>
                <w:b/>
                <w:bCs/>
                <w:sz w:val="20"/>
                <w:szCs w:val="18"/>
                <w:lang w:val="en-AU"/>
              </w:rPr>
            </w:pPr>
            <w:r>
              <w:rPr>
                <w:b/>
                <w:bCs/>
                <w:sz w:val="20"/>
                <w:szCs w:val="18"/>
              </w:rPr>
              <w:t xml:space="preserve">2021/22 </w:t>
            </w:r>
          </w:p>
        </w:tc>
        <w:tc>
          <w:tcPr>
            <w:tcW w:w="1347" w:type="dxa"/>
            <w:tcBorders>
              <w:top w:val="single" w:sz="4" w:space="0" w:color="auto"/>
              <w:left w:val="single" w:sz="4" w:space="0" w:color="auto"/>
              <w:bottom w:val="single" w:sz="4" w:space="0" w:color="auto"/>
              <w:right w:val="single" w:sz="4" w:space="0" w:color="auto"/>
            </w:tcBorders>
            <w:hideMark/>
          </w:tcPr>
          <w:p w:rsidR="008B5F53" w:rsidRDefault="008B5F53" w:rsidP="00DA766E">
            <w:pPr>
              <w:jc w:val="right"/>
              <w:rPr>
                <w:b/>
                <w:bCs/>
                <w:sz w:val="20"/>
                <w:szCs w:val="18"/>
                <w:lang w:val="en-AU"/>
              </w:rPr>
            </w:pPr>
            <w:r>
              <w:rPr>
                <w:b/>
                <w:bCs/>
                <w:sz w:val="20"/>
                <w:szCs w:val="18"/>
              </w:rPr>
              <w:t>2022/23 &amp; Outyears</w:t>
            </w:r>
          </w:p>
        </w:tc>
      </w:tr>
      <w:tr w:rsidR="008B5F53" w:rsidTr="00DA766E">
        <w:tc>
          <w:tcPr>
            <w:tcW w:w="1667" w:type="dxa"/>
            <w:tcBorders>
              <w:top w:val="single" w:sz="4" w:space="0" w:color="auto"/>
              <w:left w:val="single" w:sz="4" w:space="0" w:color="auto"/>
              <w:bottom w:val="nil"/>
              <w:right w:val="single" w:sz="4" w:space="0" w:color="auto"/>
            </w:tcBorders>
            <w:hideMark/>
          </w:tcPr>
          <w:p w:rsidR="008B5F53" w:rsidRDefault="008B5F53" w:rsidP="00DA766E">
            <w:pPr>
              <w:rPr>
                <w:sz w:val="20"/>
                <w:szCs w:val="18"/>
                <w:lang w:val="en-AU"/>
              </w:rPr>
            </w:pPr>
            <w:r>
              <w:rPr>
                <w:sz w:val="20"/>
                <w:szCs w:val="18"/>
                <w:lang w:val="en-AU"/>
              </w:rPr>
              <w:t>Tax Revenue:</w:t>
            </w:r>
          </w:p>
        </w:tc>
        <w:tc>
          <w:tcPr>
            <w:tcW w:w="1346" w:type="dxa"/>
            <w:tcBorders>
              <w:top w:val="single" w:sz="4" w:space="0" w:color="auto"/>
              <w:left w:val="single" w:sz="4" w:space="0" w:color="auto"/>
              <w:bottom w:val="nil"/>
              <w:right w:val="single" w:sz="4" w:space="0" w:color="auto"/>
            </w:tcBorders>
          </w:tcPr>
          <w:p w:rsidR="008B5F53" w:rsidRDefault="008B5F53" w:rsidP="00DA766E">
            <w:pPr>
              <w:jc w:val="right"/>
              <w:rPr>
                <w:sz w:val="20"/>
                <w:szCs w:val="18"/>
                <w:lang w:val="en-AU"/>
              </w:rPr>
            </w:pPr>
          </w:p>
        </w:tc>
        <w:tc>
          <w:tcPr>
            <w:tcW w:w="1347" w:type="dxa"/>
            <w:tcBorders>
              <w:top w:val="single" w:sz="4" w:space="0" w:color="auto"/>
              <w:left w:val="single" w:sz="4" w:space="0" w:color="auto"/>
              <w:bottom w:val="nil"/>
              <w:right w:val="single" w:sz="4" w:space="0" w:color="auto"/>
            </w:tcBorders>
          </w:tcPr>
          <w:p w:rsidR="008B5F53" w:rsidRDefault="008B5F53" w:rsidP="00DA766E">
            <w:pPr>
              <w:jc w:val="right"/>
              <w:rPr>
                <w:sz w:val="20"/>
                <w:szCs w:val="18"/>
                <w:lang w:val="en-AU"/>
              </w:rPr>
            </w:pPr>
          </w:p>
        </w:tc>
        <w:tc>
          <w:tcPr>
            <w:tcW w:w="1347" w:type="dxa"/>
            <w:tcBorders>
              <w:top w:val="single" w:sz="4" w:space="0" w:color="auto"/>
              <w:left w:val="single" w:sz="4" w:space="0" w:color="auto"/>
              <w:bottom w:val="nil"/>
              <w:right w:val="single" w:sz="4" w:space="0" w:color="auto"/>
            </w:tcBorders>
          </w:tcPr>
          <w:p w:rsidR="008B5F53" w:rsidRDefault="008B5F53" w:rsidP="00DA766E">
            <w:pPr>
              <w:jc w:val="right"/>
              <w:rPr>
                <w:sz w:val="20"/>
                <w:szCs w:val="18"/>
                <w:lang w:val="en-AU"/>
              </w:rPr>
            </w:pPr>
          </w:p>
        </w:tc>
        <w:tc>
          <w:tcPr>
            <w:tcW w:w="1346" w:type="dxa"/>
            <w:tcBorders>
              <w:top w:val="single" w:sz="4" w:space="0" w:color="auto"/>
              <w:left w:val="single" w:sz="4" w:space="0" w:color="auto"/>
              <w:bottom w:val="nil"/>
              <w:right w:val="single" w:sz="4" w:space="0" w:color="auto"/>
            </w:tcBorders>
          </w:tcPr>
          <w:p w:rsidR="008B5F53" w:rsidRDefault="008B5F53" w:rsidP="00DA766E">
            <w:pPr>
              <w:jc w:val="right"/>
              <w:rPr>
                <w:sz w:val="20"/>
                <w:szCs w:val="18"/>
                <w:lang w:val="en-AU"/>
              </w:rPr>
            </w:pPr>
          </w:p>
        </w:tc>
        <w:tc>
          <w:tcPr>
            <w:tcW w:w="1347" w:type="dxa"/>
            <w:tcBorders>
              <w:top w:val="single" w:sz="4" w:space="0" w:color="auto"/>
              <w:left w:val="single" w:sz="4" w:space="0" w:color="auto"/>
              <w:bottom w:val="nil"/>
              <w:right w:val="single" w:sz="4" w:space="0" w:color="auto"/>
            </w:tcBorders>
          </w:tcPr>
          <w:p w:rsidR="008B5F53" w:rsidRDefault="008B5F53" w:rsidP="00DA766E">
            <w:pPr>
              <w:jc w:val="right"/>
              <w:rPr>
                <w:sz w:val="20"/>
                <w:szCs w:val="18"/>
                <w:lang w:val="en-AU"/>
              </w:rPr>
            </w:pPr>
          </w:p>
        </w:tc>
        <w:tc>
          <w:tcPr>
            <w:tcW w:w="1347" w:type="dxa"/>
            <w:tcBorders>
              <w:top w:val="single" w:sz="4" w:space="0" w:color="auto"/>
              <w:left w:val="single" w:sz="4" w:space="0" w:color="auto"/>
              <w:bottom w:val="nil"/>
              <w:right w:val="single" w:sz="4" w:space="0" w:color="auto"/>
            </w:tcBorders>
          </w:tcPr>
          <w:p w:rsidR="008B5F53" w:rsidRDefault="008B5F53" w:rsidP="00DA766E">
            <w:pPr>
              <w:jc w:val="right"/>
              <w:rPr>
                <w:sz w:val="20"/>
                <w:szCs w:val="18"/>
                <w:lang w:val="en-AU"/>
              </w:rPr>
            </w:pPr>
          </w:p>
        </w:tc>
      </w:tr>
      <w:tr w:rsidR="00DA766E" w:rsidTr="00DA766E">
        <w:tc>
          <w:tcPr>
            <w:tcW w:w="1667" w:type="dxa"/>
            <w:tcBorders>
              <w:top w:val="nil"/>
              <w:left w:val="single" w:sz="4" w:space="0" w:color="auto"/>
              <w:bottom w:val="nil"/>
              <w:right w:val="single" w:sz="4" w:space="0" w:color="auto"/>
            </w:tcBorders>
            <w:hideMark/>
          </w:tcPr>
          <w:p w:rsidR="00DA766E" w:rsidRDefault="00DA766E" w:rsidP="00DA766E">
            <w:pPr>
              <w:rPr>
                <w:sz w:val="20"/>
                <w:szCs w:val="18"/>
                <w:lang w:val="en-AU"/>
              </w:rPr>
            </w:pPr>
            <w:r>
              <w:rPr>
                <w:sz w:val="20"/>
                <w:szCs w:val="18"/>
                <w:lang w:val="en-AU"/>
              </w:rPr>
              <w:t>BEPS taxation bill</w:t>
            </w:r>
          </w:p>
        </w:tc>
        <w:tc>
          <w:tcPr>
            <w:tcW w:w="1346" w:type="dxa"/>
            <w:tcBorders>
              <w:top w:val="nil"/>
              <w:left w:val="single" w:sz="4" w:space="0" w:color="auto"/>
              <w:bottom w:val="nil"/>
              <w:right w:val="single" w:sz="4" w:space="0" w:color="auto"/>
            </w:tcBorders>
          </w:tcPr>
          <w:p w:rsidR="00DA766E" w:rsidRDefault="00DA766E" w:rsidP="00DA766E">
            <w:pPr>
              <w:jc w:val="right"/>
              <w:rPr>
                <w:rFonts w:eastAsia="Calibri"/>
                <w:szCs w:val="24"/>
                <w:lang w:eastAsia="en-NZ"/>
              </w:rPr>
            </w:pPr>
            <w:r>
              <w:rPr>
                <w:rFonts w:eastAsia="Calibri"/>
                <w:szCs w:val="24"/>
                <w:lang w:eastAsia="en-NZ"/>
              </w:rPr>
              <w:t>-</w:t>
            </w:r>
          </w:p>
        </w:tc>
        <w:tc>
          <w:tcPr>
            <w:tcW w:w="1347" w:type="dxa"/>
            <w:tcBorders>
              <w:top w:val="nil"/>
              <w:left w:val="single" w:sz="4" w:space="0" w:color="auto"/>
              <w:bottom w:val="nil"/>
              <w:right w:val="single" w:sz="4" w:space="0" w:color="auto"/>
            </w:tcBorders>
            <w:hideMark/>
          </w:tcPr>
          <w:p w:rsidR="00DA766E" w:rsidRDefault="00DA766E" w:rsidP="00DA766E">
            <w:pPr>
              <w:jc w:val="right"/>
              <w:rPr>
                <w:sz w:val="20"/>
                <w:szCs w:val="18"/>
                <w:lang w:val="en-AU"/>
              </w:rPr>
            </w:pPr>
            <w:r>
              <w:rPr>
                <w:sz w:val="20"/>
                <w:szCs w:val="18"/>
                <w:lang w:val="en-AU"/>
              </w:rPr>
              <w:t>64.000</w:t>
            </w:r>
          </w:p>
        </w:tc>
        <w:tc>
          <w:tcPr>
            <w:tcW w:w="1347" w:type="dxa"/>
            <w:tcBorders>
              <w:top w:val="nil"/>
              <w:left w:val="single" w:sz="4" w:space="0" w:color="auto"/>
              <w:bottom w:val="nil"/>
              <w:right w:val="single" w:sz="4" w:space="0" w:color="auto"/>
            </w:tcBorders>
            <w:hideMark/>
          </w:tcPr>
          <w:p w:rsidR="00DA766E" w:rsidRDefault="00DA766E" w:rsidP="00DA766E">
            <w:pPr>
              <w:jc w:val="right"/>
              <w:rPr>
                <w:sz w:val="20"/>
                <w:szCs w:val="18"/>
                <w:lang w:val="en-AU"/>
              </w:rPr>
            </w:pPr>
            <w:r>
              <w:rPr>
                <w:sz w:val="20"/>
                <w:szCs w:val="18"/>
                <w:lang w:val="en-AU"/>
              </w:rPr>
              <w:t>109.000</w:t>
            </w:r>
          </w:p>
        </w:tc>
        <w:tc>
          <w:tcPr>
            <w:tcW w:w="1346" w:type="dxa"/>
            <w:tcBorders>
              <w:top w:val="nil"/>
              <w:left w:val="single" w:sz="4" w:space="0" w:color="auto"/>
              <w:bottom w:val="nil"/>
              <w:right w:val="single" w:sz="4" w:space="0" w:color="auto"/>
            </w:tcBorders>
            <w:hideMark/>
          </w:tcPr>
          <w:p w:rsidR="00DA766E" w:rsidRDefault="00DA766E" w:rsidP="00DA766E">
            <w:pPr>
              <w:jc w:val="right"/>
              <w:rPr>
                <w:sz w:val="20"/>
                <w:szCs w:val="18"/>
                <w:lang w:val="en-AU"/>
              </w:rPr>
            </w:pPr>
            <w:r>
              <w:rPr>
                <w:sz w:val="20"/>
                <w:szCs w:val="18"/>
                <w:lang w:val="en-AU"/>
              </w:rPr>
              <w:t>109.000</w:t>
            </w:r>
          </w:p>
        </w:tc>
        <w:tc>
          <w:tcPr>
            <w:tcW w:w="1347" w:type="dxa"/>
            <w:tcBorders>
              <w:top w:val="nil"/>
              <w:left w:val="single" w:sz="4" w:space="0" w:color="auto"/>
              <w:bottom w:val="nil"/>
              <w:right w:val="single" w:sz="4" w:space="0" w:color="auto"/>
            </w:tcBorders>
            <w:hideMark/>
          </w:tcPr>
          <w:p w:rsidR="00DA766E" w:rsidRDefault="00DA766E" w:rsidP="00DA766E">
            <w:pPr>
              <w:jc w:val="right"/>
              <w:rPr>
                <w:sz w:val="20"/>
                <w:szCs w:val="18"/>
                <w:lang w:val="en-AU"/>
              </w:rPr>
            </w:pPr>
            <w:r>
              <w:rPr>
                <w:sz w:val="20"/>
                <w:szCs w:val="18"/>
                <w:lang w:val="en-AU"/>
              </w:rPr>
              <w:t>104.000</w:t>
            </w:r>
          </w:p>
        </w:tc>
        <w:tc>
          <w:tcPr>
            <w:tcW w:w="1347" w:type="dxa"/>
            <w:tcBorders>
              <w:top w:val="nil"/>
              <w:left w:val="single" w:sz="4" w:space="0" w:color="auto"/>
              <w:bottom w:val="nil"/>
              <w:right w:val="single" w:sz="4" w:space="0" w:color="auto"/>
            </w:tcBorders>
            <w:hideMark/>
          </w:tcPr>
          <w:p w:rsidR="00DA766E" w:rsidRDefault="00DA766E" w:rsidP="00DA766E">
            <w:pPr>
              <w:jc w:val="right"/>
              <w:rPr>
                <w:sz w:val="20"/>
                <w:szCs w:val="18"/>
                <w:lang w:val="en-AU"/>
              </w:rPr>
            </w:pPr>
            <w:r>
              <w:rPr>
                <w:sz w:val="20"/>
                <w:szCs w:val="18"/>
                <w:lang w:val="en-AU"/>
              </w:rPr>
              <w:t>90.000</w:t>
            </w:r>
          </w:p>
        </w:tc>
      </w:tr>
      <w:tr w:rsidR="00DA766E" w:rsidTr="00DA766E">
        <w:tc>
          <w:tcPr>
            <w:tcW w:w="1667" w:type="dxa"/>
            <w:tcBorders>
              <w:top w:val="single" w:sz="4" w:space="0" w:color="auto"/>
              <w:left w:val="single" w:sz="4" w:space="0" w:color="auto"/>
              <w:bottom w:val="single" w:sz="4" w:space="0" w:color="auto"/>
              <w:right w:val="single" w:sz="4" w:space="0" w:color="auto"/>
            </w:tcBorders>
            <w:hideMark/>
          </w:tcPr>
          <w:p w:rsidR="00DA766E" w:rsidRDefault="00DA766E" w:rsidP="00DA766E">
            <w:pPr>
              <w:rPr>
                <w:b/>
                <w:bCs/>
                <w:sz w:val="20"/>
                <w:szCs w:val="18"/>
                <w:lang w:val="en-AU"/>
              </w:rPr>
            </w:pPr>
            <w:r>
              <w:rPr>
                <w:b/>
                <w:bCs/>
                <w:sz w:val="20"/>
                <w:szCs w:val="18"/>
                <w:lang w:val="en-AU"/>
              </w:rPr>
              <w:t>Total</w:t>
            </w:r>
            <w:r w:rsidR="00083DB7">
              <w:rPr>
                <w:b/>
                <w:bCs/>
                <w:sz w:val="20"/>
                <w:szCs w:val="18"/>
                <w:lang w:val="en-AU"/>
              </w:rPr>
              <w:t xml:space="preserve"> Revenue effect</w:t>
            </w:r>
          </w:p>
        </w:tc>
        <w:tc>
          <w:tcPr>
            <w:tcW w:w="1346" w:type="dxa"/>
            <w:tcBorders>
              <w:top w:val="single" w:sz="4" w:space="0" w:color="auto"/>
              <w:left w:val="single" w:sz="4" w:space="0" w:color="auto"/>
              <w:bottom w:val="single" w:sz="4" w:space="0" w:color="auto"/>
              <w:right w:val="single" w:sz="4" w:space="0" w:color="auto"/>
            </w:tcBorders>
          </w:tcPr>
          <w:p w:rsidR="00DA766E" w:rsidRDefault="00DA766E" w:rsidP="00DA766E">
            <w:pPr>
              <w:jc w:val="right"/>
              <w:rPr>
                <w:rFonts w:eastAsia="Calibri"/>
                <w:szCs w:val="24"/>
                <w:lang w:eastAsia="en-NZ"/>
              </w:rPr>
            </w:pPr>
            <w:r>
              <w:rPr>
                <w:rFonts w:eastAsia="Calibri"/>
                <w:szCs w:val="24"/>
                <w:lang w:eastAsia="en-NZ"/>
              </w:rPr>
              <w:t>-</w:t>
            </w:r>
          </w:p>
        </w:tc>
        <w:tc>
          <w:tcPr>
            <w:tcW w:w="1347" w:type="dxa"/>
            <w:tcBorders>
              <w:top w:val="single" w:sz="4" w:space="0" w:color="auto"/>
              <w:left w:val="single" w:sz="4" w:space="0" w:color="auto"/>
              <w:bottom w:val="single" w:sz="4" w:space="0" w:color="auto"/>
              <w:right w:val="single" w:sz="4" w:space="0" w:color="auto"/>
            </w:tcBorders>
            <w:hideMark/>
          </w:tcPr>
          <w:p w:rsidR="00DA766E" w:rsidRDefault="00DA766E" w:rsidP="00083DB7">
            <w:pPr>
              <w:jc w:val="right"/>
              <w:rPr>
                <w:sz w:val="20"/>
                <w:szCs w:val="18"/>
                <w:lang w:val="en-AU"/>
              </w:rPr>
            </w:pPr>
            <w:r>
              <w:rPr>
                <w:sz w:val="20"/>
                <w:szCs w:val="18"/>
                <w:lang w:val="en-AU"/>
              </w:rPr>
              <w:t>64.000</w:t>
            </w:r>
          </w:p>
        </w:tc>
        <w:tc>
          <w:tcPr>
            <w:tcW w:w="1347" w:type="dxa"/>
            <w:tcBorders>
              <w:top w:val="single" w:sz="4" w:space="0" w:color="auto"/>
              <w:left w:val="single" w:sz="4" w:space="0" w:color="auto"/>
              <w:bottom w:val="single" w:sz="4" w:space="0" w:color="auto"/>
              <w:right w:val="single" w:sz="4" w:space="0" w:color="auto"/>
            </w:tcBorders>
            <w:hideMark/>
          </w:tcPr>
          <w:p w:rsidR="00DA766E" w:rsidRDefault="00DA766E" w:rsidP="00083DB7">
            <w:pPr>
              <w:jc w:val="right"/>
              <w:rPr>
                <w:sz w:val="20"/>
                <w:szCs w:val="18"/>
                <w:lang w:val="en-AU"/>
              </w:rPr>
            </w:pPr>
            <w:r>
              <w:rPr>
                <w:sz w:val="20"/>
                <w:szCs w:val="18"/>
                <w:lang w:val="en-AU"/>
              </w:rPr>
              <w:t>109.000</w:t>
            </w:r>
            <w:r w:rsidRPr="008B5F53" w:rsidDel="00DA766E">
              <w:rPr>
                <w:sz w:val="20"/>
                <w:szCs w:val="18"/>
                <w:lang w:val="en-AU"/>
              </w:rPr>
              <w:t xml:space="preserve"> </w:t>
            </w:r>
          </w:p>
        </w:tc>
        <w:tc>
          <w:tcPr>
            <w:tcW w:w="1346" w:type="dxa"/>
            <w:tcBorders>
              <w:top w:val="single" w:sz="4" w:space="0" w:color="auto"/>
              <w:left w:val="single" w:sz="4" w:space="0" w:color="auto"/>
              <w:bottom w:val="single" w:sz="4" w:space="0" w:color="auto"/>
              <w:right w:val="single" w:sz="4" w:space="0" w:color="auto"/>
            </w:tcBorders>
            <w:hideMark/>
          </w:tcPr>
          <w:p w:rsidR="00DA766E" w:rsidRDefault="00DA766E" w:rsidP="00083DB7">
            <w:pPr>
              <w:jc w:val="right"/>
              <w:rPr>
                <w:sz w:val="20"/>
                <w:szCs w:val="18"/>
                <w:lang w:val="en-AU"/>
              </w:rPr>
            </w:pPr>
            <w:r>
              <w:rPr>
                <w:sz w:val="20"/>
                <w:szCs w:val="18"/>
                <w:lang w:val="en-AU"/>
              </w:rPr>
              <w:t>109.000</w:t>
            </w:r>
          </w:p>
        </w:tc>
        <w:tc>
          <w:tcPr>
            <w:tcW w:w="1347" w:type="dxa"/>
            <w:tcBorders>
              <w:top w:val="single" w:sz="4" w:space="0" w:color="auto"/>
              <w:left w:val="single" w:sz="4" w:space="0" w:color="auto"/>
              <w:bottom w:val="single" w:sz="4" w:space="0" w:color="auto"/>
              <w:right w:val="single" w:sz="4" w:space="0" w:color="auto"/>
            </w:tcBorders>
            <w:hideMark/>
          </w:tcPr>
          <w:p w:rsidR="00DA766E" w:rsidRDefault="00DA766E" w:rsidP="00083DB7">
            <w:pPr>
              <w:jc w:val="right"/>
              <w:rPr>
                <w:sz w:val="20"/>
                <w:szCs w:val="18"/>
                <w:lang w:val="en-AU"/>
              </w:rPr>
            </w:pPr>
            <w:r>
              <w:rPr>
                <w:sz w:val="20"/>
                <w:szCs w:val="18"/>
                <w:lang w:val="en-AU"/>
              </w:rPr>
              <w:t>104.000</w:t>
            </w:r>
          </w:p>
        </w:tc>
        <w:tc>
          <w:tcPr>
            <w:tcW w:w="1347" w:type="dxa"/>
            <w:tcBorders>
              <w:top w:val="single" w:sz="4" w:space="0" w:color="auto"/>
              <w:left w:val="single" w:sz="4" w:space="0" w:color="auto"/>
              <w:bottom w:val="single" w:sz="4" w:space="0" w:color="auto"/>
              <w:right w:val="single" w:sz="4" w:space="0" w:color="auto"/>
            </w:tcBorders>
            <w:hideMark/>
          </w:tcPr>
          <w:p w:rsidR="00DA766E" w:rsidRDefault="00DA4A0A" w:rsidP="00083DB7">
            <w:pPr>
              <w:jc w:val="right"/>
              <w:rPr>
                <w:sz w:val="20"/>
                <w:szCs w:val="18"/>
                <w:lang w:val="en-AU"/>
              </w:rPr>
            </w:pPr>
            <w:r>
              <w:rPr>
                <w:sz w:val="20"/>
                <w:szCs w:val="18"/>
                <w:lang w:val="en-AU"/>
              </w:rPr>
              <w:t>90.000</w:t>
            </w:r>
          </w:p>
        </w:tc>
      </w:tr>
    </w:tbl>
    <w:p w:rsidR="009B6F04" w:rsidRDefault="009B6F04" w:rsidP="009B6F04">
      <w:pPr>
        <w:pStyle w:val="Recommendationfirstlevel"/>
        <w:ind w:left="1134"/>
      </w:pPr>
    </w:p>
    <w:p w:rsidR="009B6F04" w:rsidRDefault="009B6F04" w:rsidP="009B6F04">
      <w:pPr>
        <w:pStyle w:val="Recommendationfirstlevel"/>
        <w:numPr>
          <w:ilvl w:val="0"/>
          <w:numId w:val="34"/>
        </w:numPr>
        <w:ind w:left="1134" w:hanging="567"/>
      </w:pPr>
      <w:r>
        <w:rPr>
          <w:b/>
        </w:rPr>
        <w:t>Note</w:t>
      </w:r>
      <w:r>
        <w:t xml:space="preserve"> the attached paper on interest </w:t>
      </w:r>
      <w:r w:rsidR="006E47FA">
        <w:t>seeks delegated authority for the</w:t>
      </w:r>
      <w:r>
        <w:t xml:space="preserve"> Minister of Finance and the Minister of Revenue to make a decision on the treatment of deferred tax liabilities which includes authority to</w:t>
      </w:r>
      <w:r w:rsidR="000D3FAA">
        <w:t xml:space="preserve"> reduce</w:t>
      </w:r>
      <w:r>
        <w:t xml:space="preserve"> the revenue forecast by $10 million per year.</w:t>
      </w:r>
    </w:p>
    <w:p w:rsidR="00F9619D" w:rsidRPr="00F9619D" w:rsidRDefault="00F9619D" w:rsidP="00F9619D">
      <w:pPr>
        <w:pStyle w:val="Recommendationfirstlevel"/>
        <w:ind w:left="1134"/>
      </w:pPr>
    </w:p>
    <w:p w:rsidR="006E47FA" w:rsidRDefault="006E47FA" w:rsidP="006E47FA">
      <w:pPr>
        <w:pStyle w:val="Recommendationfirstlevel"/>
        <w:numPr>
          <w:ilvl w:val="0"/>
          <w:numId w:val="34"/>
        </w:numPr>
        <w:ind w:left="1134" w:hanging="567"/>
        <w:jc w:val="left"/>
      </w:pPr>
      <w:r>
        <w:rPr>
          <w:b/>
        </w:rPr>
        <w:t>Note</w:t>
      </w:r>
      <w:r>
        <w:t xml:space="preserve"> that forecast BEPS revenue in recommendation 6 above was treated as savings in Budget 2017.</w:t>
      </w:r>
      <w:r>
        <w:br/>
      </w:r>
    </w:p>
    <w:p w:rsidR="003A1E2E" w:rsidRDefault="003A1E2E" w:rsidP="00373642">
      <w:pPr>
        <w:pStyle w:val="Recommendationfirstlevel"/>
        <w:numPr>
          <w:ilvl w:val="0"/>
          <w:numId w:val="34"/>
        </w:numPr>
        <w:ind w:left="1134" w:hanging="567"/>
        <w:jc w:val="left"/>
      </w:pPr>
      <w:r>
        <w:rPr>
          <w:b/>
          <w:bCs/>
        </w:rPr>
        <w:t>Agree</w:t>
      </w:r>
      <w:r>
        <w:t xml:space="preserve"> that the additional revenue in recommendation 7 be treated as savings in Budget 2018 (total to be confirmed after the decision on the treatment of deferred tax liabilities which could reduce the revenue forecast by $10 million per year).</w:t>
      </w:r>
    </w:p>
    <w:p w:rsidR="000B7FE6" w:rsidRDefault="000B7FE6">
      <w:pPr>
        <w:pStyle w:val="Recommendationfirstlevel"/>
        <w:ind w:left="1134"/>
      </w:pPr>
    </w:p>
    <w:p w:rsidR="0016102F" w:rsidRPr="003C390C" w:rsidRDefault="008500DE" w:rsidP="003C390C">
      <w:pPr>
        <w:pStyle w:val="Recommendationfirstlevel"/>
        <w:numPr>
          <w:ilvl w:val="0"/>
          <w:numId w:val="34"/>
        </w:numPr>
        <w:ind w:left="1134" w:hanging="567"/>
        <w:rPr>
          <w:b/>
        </w:rPr>
      </w:pPr>
      <w:r w:rsidRPr="00E95DB3">
        <w:rPr>
          <w:b/>
        </w:rPr>
        <w:t xml:space="preserve">Agree </w:t>
      </w:r>
      <w:r w:rsidRPr="003C390C">
        <w:t xml:space="preserve">that </w:t>
      </w:r>
      <w:r w:rsidR="003C5D9F" w:rsidRPr="003C390C">
        <w:t>Inland Revenue and the Treasury</w:t>
      </w:r>
      <w:r w:rsidRPr="003C390C">
        <w:t xml:space="preserve"> undertake further</w:t>
      </w:r>
      <w:r w:rsidR="005E70CC" w:rsidRPr="003C390C">
        <w:t xml:space="preserve"> </w:t>
      </w:r>
      <w:r w:rsidR="00564468" w:rsidRPr="003C390C">
        <w:t>targeted</w:t>
      </w:r>
      <w:r w:rsidRPr="003C390C">
        <w:t xml:space="preserve"> consultation on outstanding policy issues, technical design details and </w:t>
      </w:r>
      <w:r w:rsidR="000A52B5" w:rsidRPr="003C390C">
        <w:t>selected parts of</w:t>
      </w:r>
      <w:r w:rsidR="005E70CC" w:rsidRPr="003C390C">
        <w:t xml:space="preserve"> an</w:t>
      </w:r>
      <w:r w:rsidRPr="003C390C">
        <w:t xml:space="preserve"> exposure draft of the planned BEPS bill</w:t>
      </w:r>
      <w:r w:rsidR="009E2322" w:rsidRPr="003C390C">
        <w:t xml:space="preserve"> in relation to the measures</w:t>
      </w:r>
      <w:r w:rsidR="0016102F" w:rsidRPr="003C390C">
        <w:t>.</w:t>
      </w:r>
    </w:p>
    <w:p w:rsidR="0016102F" w:rsidRPr="003C390C" w:rsidRDefault="0016102F" w:rsidP="003C390C">
      <w:pPr>
        <w:pStyle w:val="Recommendationfirstlevel"/>
        <w:ind w:left="1134"/>
        <w:rPr>
          <w:b/>
        </w:rPr>
      </w:pPr>
    </w:p>
    <w:p w:rsidR="0016102F" w:rsidRPr="003C390C" w:rsidRDefault="008500DE" w:rsidP="003C390C">
      <w:pPr>
        <w:pStyle w:val="Recommendationfirstlevel"/>
        <w:numPr>
          <w:ilvl w:val="0"/>
          <w:numId w:val="34"/>
        </w:numPr>
        <w:ind w:left="1134" w:hanging="567"/>
        <w:rPr>
          <w:b/>
        </w:rPr>
      </w:pPr>
      <w:r w:rsidRPr="00E95DB3">
        <w:rPr>
          <w:b/>
        </w:rPr>
        <w:t xml:space="preserve">Agree </w:t>
      </w:r>
      <w:r w:rsidRPr="003C390C">
        <w:t xml:space="preserve">to proactively release the Cabinet papers, policy reports and submissions </w:t>
      </w:r>
      <w:r w:rsidR="002D0B7A" w:rsidRPr="003C390C">
        <w:t>for</w:t>
      </w:r>
      <w:r w:rsidRPr="003C390C">
        <w:t xml:space="preserve"> </w:t>
      </w:r>
      <w:r w:rsidR="000A7DE9" w:rsidRPr="003C390C">
        <w:t>the BEPS discussion</w:t>
      </w:r>
      <w:r w:rsidRPr="003C390C">
        <w:t xml:space="preserve"> documents</w:t>
      </w:r>
      <w:r w:rsidR="003D4417" w:rsidRPr="003C390C">
        <w:t xml:space="preserve"> and the issues paper for the multilateral instrument.</w:t>
      </w:r>
    </w:p>
    <w:p w:rsidR="008357F9" w:rsidRDefault="008357F9" w:rsidP="007E2640">
      <w:pPr>
        <w:tabs>
          <w:tab w:val="left" w:pos="567"/>
        </w:tabs>
        <w:jc w:val="both"/>
        <w:rPr>
          <w:szCs w:val="24"/>
          <w:lang w:eastAsia="en-AU"/>
        </w:rPr>
      </w:pPr>
    </w:p>
    <w:p w:rsidR="0021392A" w:rsidRDefault="0021392A" w:rsidP="007E2640">
      <w:pPr>
        <w:tabs>
          <w:tab w:val="left" w:pos="567"/>
        </w:tabs>
        <w:jc w:val="both"/>
        <w:rPr>
          <w:szCs w:val="24"/>
          <w:lang w:eastAsia="en-AU"/>
        </w:rPr>
      </w:pPr>
    </w:p>
    <w:p w:rsidR="00DB0FBD" w:rsidRDefault="0021392A" w:rsidP="007E2640">
      <w:pPr>
        <w:tabs>
          <w:tab w:val="left" w:pos="567"/>
        </w:tabs>
        <w:jc w:val="both"/>
        <w:rPr>
          <w:szCs w:val="24"/>
          <w:lang w:eastAsia="en-AU"/>
        </w:rPr>
      </w:pPr>
      <w:r>
        <w:rPr>
          <w:szCs w:val="24"/>
          <w:lang w:eastAsia="en-AU"/>
        </w:rPr>
        <w:t>Au</w:t>
      </w:r>
      <w:r w:rsidRPr="0021392A">
        <w:rPr>
          <w:szCs w:val="24"/>
          <w:lang w:eastAsia="en-AU"/>
        </w:rPr>
        <w:t>thorised for lodgement</w:t>
      </w:r>
    </w:p>
    <w:p w:rsidR="00BC0DE4" w:rsidRDefault="00BC0DE4" w:rsidP="007E2640">
      <w:pPr>
        <w:tabs>
          <w:tab w:val="left" w:pos="567"/>
        </w:tabs>
        <w:jc w:val="both"/>
        <w:rPr>
          <w:szCs w:val="24"/>
          <w:lang w:eastAsia="en-AU"/>
        </w:rPr>
      </w:pPr>
    </w:p>
    <w:p w:rsidR="000877EB" w:rsidRDefault="000877EB" w:rsidP="007E2640">
      <w:pPr>
        <w:tabs>
          <w:tab w:val="left" w:pos="567"/>
        </w:tabs>
        <w:jc w:val="both"/>
        <w:rPr>
          <w:szCs w:val="24"/>
          <w:lang w:eastAsia="en-AU"/>
        </w:rPr>
      </w:pPr>
    </w:p>
    <w:p w:rsidR="004A6C66" w:rsidRDefault="004A6C66" w:rsidP="007E2640">
      <w:pPr>
        <w:tabs>
          <w:tab w:val="left" w:pos="567"/>
        </w:tabs>
        <w:jc w:val="both"/>
        <w:rPr>
          <w:szCs w:val="24"/>
          <w:lang w:eastAsia="en-AU"/>
        </w:rPr>
      </w:pPr>
    </w:p>
    <w:p w:rsidR="000877EB" w:rsidRDefault="000877EB" w:rsidP="007E2640">
      <w:pPr>
        <w:tabs>
          <w:tab w:val="left" w:pos="567"/>
        </w:tabs>
        <w:jc w:val="both"/>
        <w:rPr>
          <w:szCs w:val="24"/>
          <w:lang w:eastAsia="en-AU"/>
        </w:rPr>
      </w:pPr>
    </w:p>
    <w:p w:rsidR="000877EB" w:rsidRDefault="000877EB" w:rsidP="007E2640">
      <w:pPr>
        <w:tabs>
          <w:tab w:val="left" w:pos="567"/>
        </w:tabs>
        <w:jc w:val="both"/>
        <w:rPr>
          <w:szCs w:val="24"/>
          <w:lang w:eastAsia="en-AU"/>
        </w:rPr>
      </w:pPr>
    </w:p>
    <w:p w:rsidR="002C5FA5" w:rsidRPr="00DD23B8" w:rsidRDefault="002C5FA5" w:rsidP="007E2640">
      <w:pPr>
        <w:tabs>
          <w:tab w:val="left" w:pos="567"/>
        </w:tabs>
        <w:jc w:val="both"/>
        <w:rPr>
          <w:szCs w:val="24"/>
          <w:lang w:eastAsia="en-AU"/>
        </w:rPr>
      </w:pPr>
    </w:p>
    <w:p w:rsidR="00BB5CD2" w:rsidRPr="00DD23B8" w:rsidRDefault="00BB5CD2" w:rsidP="00BB5CD2">
      <w:pPr>
        <w:tabs>
          <w:tab w:val="left" w:pos="567"/>
          <w:tab w:val="left" w:pos="5100"/>
        </w:tabs>
        <w:jc w:val="both"/>
        <w:rPr>
          <w:b/>
          <w:szCs w:val="24"/>
          <w:lang w:eastAsia="en-AU"/>
        </w:rPr>
      </w:pPr>
      <w:r>
        <w:rPr>
          <w:b/>
          <w:szCs w:val="24"/>
          <w:lang w:eastAsia="en-AU"/>
        </w:rPr>
        <w:t>Hon Steven Joyce</w:t>
      </w:r>
    </w:p>
    <w:p w:rsidR="00BB5CD2" w:rsidRPr="00DD23B8" w:rsidRDefault="00BB5CD2" w:rsidP="00BB5CD2">
      <w:pPr>
        <w:tabs>
          <w:tab w:val="left" w:pos="567"/>
          <w:tab w:val="left" w:pos="5100"/>
        </w:tabs>
        <w:jc w:val="both"/>
        <w:rPr>
          <w:szCs w:val="24"/>
          <w:lang w:eastAsia="en-AU"/>
        </w:rPr>
      </w:pPr>
      <w:r>
        <w:rPr>
          <w:szCs w:val="24"/>
          <w:lang w:eastAsia="en-AU"/>
        </w:rPr>
        <w:t>Minister of Finance</w:t>
      </w:r>
    </w:p>
    <w:p w:rsidR="001416D9" w:rsidRDefault="001416D9" w:rsidP="00BB5CD2">
      <w:pPr>
        <w:tabs>
          <w:tab w:val="center" w:pos="924"/>
          <w:tab w:val="center" w:pos="6005"/>
        </w:tabs>
        <w:rPr>
          <w:sz w:val="22"/>
          <w:szCs w:val="22"/>
        </w:rPr>
      </w:pPr>
    </w:p>
    <w:p w:rsidR="002C5FA5" w:rsidRDefault="002C5FA5" w:rsidP="00BB5CD2">
      <w:pPr>
        <w:tabs>
          <w:tab w:val="center" w:pos="924"/>
          <w:tab w:val="center" w:pos="6005"/>
        </w:tabs>
        <w:rPr>
          <w:sz w:val="22"/>
          <w:szCs w:val="22"/>
        </w:rPr>
      </w:pPr>
    </w:p>
    <w:p w:rsidR="000877EB" w:rsidRDefault="000877EB" w:rsidP="00BB5CD2">
      <w:pPr>
        <w:tabs>
          <w:tab w:val="center" w:pos="924"/>
          <w:tab w:val="center" w:pos="6005"/>
        </w:tabs>
        <w:rPr>
          <w:sz w:val="22"/>
          <w:szCs w:val="22"/>
        </w:rPr>
      </w:pPr>
    </w:p>
    <w:p w:rsidR="000877EB" w:rsidRDefault="000877EB" w:rsidP="00BB5CD2">
      <w:pPr>
        <w:tabs>
          <w:tab w:val="center" w:pos="924"/>
          <w:tab w:val="center" w:pos="6005"/>
        </w:tabs>
        <w:rPr>
          <w:sz w:val="22"/>
          <w:szCs w:val="22"/>
        </w:rPr>
      </w:pPr>
    </w:p>
    <w:p w:rsidR="000877EB" w:rsidRDefault="000877EB" w:rsidP="00BB5CD2">
      <w:pPr>
        <w:tabs>
          <w:tab w:val="center" w:pos="924"/>
          <w:tab w:val="center" w:pos="6005"/>
        </w:tabs>
        <w:rPr>
          <w:sz w:val="22"/>
          <w:szCs w:val="22"/>
        </w:rPr>
      </w:pPr>
    </w:p>
    <w:p w:rsidR="00BB5CD2" w:rsidRPr="00DD23B8" w:rsidRDefault="00BB5CD2" w:rsidP="00BB5CD2">
      <w:pPr>
        <w:tabs>
          <w:tab w:val="center" w:pos="924"/>
          <w:tab w:val="center" w:pos="6005"/>
        </w:tabs>
        <w:rPr>
          <w:sz w:val="22"/>
          <w:szCs w:val="22"/>
        </w:rPr>
      </w:pPr>
      <w:r w:rsidRPr="00DD23B8">
        <w:rPr>
          <w:sz w:val="22"/>
          <w:szCs w:val="22"/>
        </w:rPr>
        <w:tab/>
      </w:r>
    </w:p>
    <w:p w:rsidR="00BB5CD2" w:rsidRPr="00DD23B8" w:rsidRDefault="00BB5CD2" w:rsidP="00BB5CD2">
      <w:pPr>
        <w:tabs>
          <w:tab w:val="left" w:pos="567"/>
          <w:tab w:val="left" w:pos="5100"/>
        </w:tabs>
        <w:jc w:val="both"/>
        <w:rPr>
          <w:b/>
          <w:szCs w:val="24"/>
          <w:lang w:eastAsia="en-AU"/>
        </w:rPr>
      </w:pPr>
      <w:r>
        <w:rPr>
          <w:b/>
          <w:szCs w:val="24"/>
          <w:lang w:eastAsia="en-AU"/>
        </w:rPr>
        <w:t>Hon Judith Collins</w:t>
      </w:r>
    </w:p>
    <w:p w:rsidR="00FF3845" w:rsidRDefault="00BB5CD2" w:rsidP="00BB5CD2">
      <w:pPr>
        <w:tabs>
          <w:tab w:val="left" w:pos="567"/>
          <w:tab w:val="left" w:pos="5100"/>
        </w:tabs>
        <w:jc w:val="both"/>
        <w:rPr>
          <w:szCs w:val="24"/>
          <w:lang w:eastAsia="en-AU"/>
        </w:rPr>
      </w:pPr>
      <w:r>
        <w:rPr>
          <w:szCs w:val="24"/>
          <w:lang w:eastAsia="en-AU"/>
        </w:rPr>
        <w:t>Minister of Revenue</w:t>
      </w:r>
    </w:p>
    <w:p w:rsidR="00FF3845" w:rsidRDefault="00FF3845" w:rsidP="00BB5CD2">
      <w:pPr>
        <w:tabs>
          <w:tab w:val="left" w:pos="567"/>
          <w:tab w:val="left" w:pos="5100"/>
        </w:tabs>
        <w:jc w:val="both"/>
        <w:rPr>
          <w:szCs w:val="24"/>
          <w:lang w:eastAsia="en-AU"/>
        </w:rPr>
        <w:sectPr w:rsidR="00FF3845" w:rsidSect="007008D1">
          <w:headerReference w:type="default" r:id="rId8"/>
          <w:pgSz w:w="11907" w:h="16840" w:code="9"/>
          <w:pgMar w:top="1134" w:right="1418" w:bottom="1134" w:left="1418" w:header="720" w:footer="720" w:gutter="0"/>
          <w:cols w:space="720"/>
          <w:noEndnote/>
          <w:titlePg/>
          <w:docGrid w:linePitch="326"/>
        </w:sectPr>
      </w:pPr>
    </w:p>
    <w:p w:rsidR="00FF3845" w:rsidRDefault="00FF3845" w:rsidP="00FF3845">
      <w:pPr>
        <w:jc w:val="center"/>
        <w:rPr>
          <w:b/>
        </w:rPr>
      </w:pPr>
      <w:r>
        <w:rPr>
          <w:b/>
        </w:rPr>
        <w:t>Appendix One: Comparison of Australia’s and New Zealand’s response to the OECD’s BEPS Action Plan</w:t>
      </w:r>
    </w:p>
    <w:p w:rsidR="00FF3845" w:rsidRDefault="00FF3845" w:rsidP="00FF3845">
      <w:pPr>
        <w:jc w:val="center"/>
        <w:rPr>
          <w:b/>
        </w:rPr>
      </w:pPr>
    </w:p>
    <w:tbl>
      <w:tblPr>
        <w:tblW w:w="0" w:type="auto"/>
        <w:tblBorders>
          <w:top w:val="single" w:sz="8" w:space="0" w:color="000000"/>
          <w:bottom w:val="single" w:sz="8" w:space="0" w:color="000000"/>
        </w:tblBorders>
        <w:tblLook w:val="04A0" w:firstRow="1" w:lastRow="0" w:firstColumn="1" w:lastColumn="0" w:noHBand="0" w:noVBand="1"/>
      </w:tblPr>
      <w:tblGrid>
        <w:gridCol w:w="2093"/>
        <w:gridCol w:w="2410"/>
        <w:gridCol w:w="2126"/>
        <w:gridCol w:w="3118"/>
        <w:gridCol w:w="4427"/>
      </w:tblGrid>
      <w:tr w:rsidR="00FF3845" w:rsidTr="00FF3845">
        <w:trPr>
          <w:cantSplit/>
          <w:trHeight w:val="556"/>
        </w:trPr>
        <w:tc>
          <w:tcPr>
            <w:tcW w:w="2093" w:type="dxa"/>
            <w:tcBorders>
              <w:top w:val="single" w:sz="8" w:space="0" w:color="000000"/>
              <w:left w:val="nil"/>
              <w:bottom w:val="single" w:sz="8" w:space="0" w:color="000000"/>
              <w:right w:val="nil"/>
            </w:tcBorders>
            <w:hideMark/>
          </w:tcPr>
          <w:p w:rsidR="00FF3845" w:rsidRDefault="00FF3845">
            <w:pPr>
              <w:spacing w:line="280" w:lineRule="atLeast"/>
              <w:jc w:val="center"/>
              <w:rPr>
                <w:rFonts w:ascii="Verdana" w:eastAsia="Calibri" w:hAnsi="Verdana" w:cs="Arial"/>
                <w:b/>
                <w:bCs/>
                <w:color w:val="000000"/>
                <w:sz w:val="18"/>
                <w:szCs w:val="22"/>
              </w:rPr>
            </w:pPr>
            <w:r>
              <w:rPr>
                <w:rFonts w:eastAsia="Calibri"/>
                <w:b/>
                <w:bCs/>
                <w:color w:val="000000"/>
                <w:sz w:val="18"/>
                <w:szCs w:val="22"/>
              </w:rPr>
              <w:t>Action Report</w:t>
            </w:r>
          </w:p>
        </w:tc>
        <w:tc>
          <w:tcPr>
            <w:tcW w:w="2410" w:type="dxa"/>
            <w:tcBorders>
              <w:top w:val="single" w:sz="8" w:space="0" w:color="000000"/>
              <w:left w:val="nil"/>
              <w:bottom w:val="single" w:sz="8" w:space="0" w:color="000000"/>
              <w:right w:val="nil"/>
            </w:tcBorders>
            <w:hideMark/>
          </w:tcPr>
          <w:p w:rsidR="00FF3845" w:rsidRDefault="00FF3845">
            <w:pPr>
              <w:spacing w:line="280" w:lineRule="atLeast"/>
              <w:jc w:val="center"/>
              <w:rPr>
                <w:rFonts w:ascii="Verdana" w:eastAsia="Calibri" w:hAnsi="Verdana" w:cs="Arial"/>
                <w:b/>
                <w:bCs/>
                <w:color w:val="000000"/>
                <w:sz w:val="18"/>
                <w:szCs w:val="22"/>
              </w:rPr>
            </w:pPr>
            <w:r>
              <w:rPr>
                <w:rFonts w:eastAsia="Calibri"/>
                <w:b/>
                <w:bCs/>
                <w:color w:val="000000"/>
                <w:sz w:val="18"/>
                <w:szCs w:val="22"/>
              </w:rPr>
              <w:t>OECD recommendation</w:t>
            </w:r>
          </w:p>
        </w:tc>
        <w:tc>
          <w:tcPr>
            <w:tcW w:w="2126" w:type="dxa"/>
            <w:tcBorders>
              <w:top w:val="single" w:sz="8" w:space="0" w:color="000000"/>
              <w:left w:val="nil"/>
              <w:bottom w:val="single" w:sz="8" w:space="0" w:color="000000"/>
              <w:right w:val="nil"/>
            </w:tcBorders>
            <w:hideMark/>
          </w:tcPr>
          <w:p w:rsidR="00FF3845" w:rsidRDefault="00FF3845">
            <w:pPr>
              <w:spacing w:line="280" w:lineRule="atLeast"/>
              <w:jc w:val="center"/>
              <w:rPr>
                <w:rFonts w:ascii="Verdana" w:eastAsia="Calibri" w:hAnsi="Verdana" w:cs="Arial"/>
                <w:b/>
                <w:bCs/>
                <w:color w:val="000000"/>
                <w:sz w:val="18"/>
                <w:szCs w:val="22"/>
              </w:rPr>
            </w:pPr>
            <w:r>
              <w:rPr>
                <w:rFonts w:eastAsia="Calibri"/>
                <w:b/>
                <w:bCs/>
                <w:color w:val="000000"/>
                <w:sz w:val="18"/>
                <w:szCs w:val="22"/>
              </w:rPr>
              <w:t>Current law</w:t>
            </w:r>
          </w:p>
        </w:tc>
        <w:tc>
          <w:tcPr>
            <w:tcW w:w="3118" w:type="dxa"/>
            <w:tcBorders>
              <w:top w:val="single" w:sz="8" w:space="0" w:color="000000"/>
              <w:left w:val="nil"/>
              <w:bottom w:val="single" w:sz="8" w:space="0" w:color="000000"/>
              <w:right w:val="nil"/>
            </w:tcBorders>
            <w:hideMark/>
          </w:tcPr>
          <w:p w:rsidR="00FF3845" w:rsidRDefault="00FF3845">
            <w:pPr>
              <w:spacing w:line="280" w:lineRule="atLeast"/>
              <w:jc w:val="center"/>
              <w:rPr>
                <w:rFonts w:ascii="Verdana" w:eastAsia="Calibri" w:hAnsi="Verdana" w:cs="Arial"/>
                <w:b/>
                <w:bCs/>
                <w:color w:val="000000"/>
                <w:sz w:val="18"/>
                <w:szCs w:val="22"/>
              </w:rPr>
            </w:pPr>
            <w:r>
              <w:rPr>
                <w:rFonts w:eastAsia="Calibri"/>
                <w:b/>
                <w:bCs/>
                <w:color w:val="000000"/>
                <w:sz w:val="18"/>
                <w:szCs w:val="22"/>
              </w:rPr>
              <w:t>NZ response to OECD recommendations</w:t>
            </w:r>
          </w:p>
        </w:tc>
        <w:tc>
          <w:tcPr>
            <w:tcW w:w="4427" w:type="dxa"/>
            <w:tcBorders>
              <w:top w:val="single" w:sz="8" w:space="0" w:color="000000"/>
              <w:left w:val="nil"/>
              <w:bottom w:val="single" w:sz="8" w:space="0" w:color="000000"/>
              <w:right w:val="nil"/>
            </w:tcBorders>
            <w:hideMark/>
          </w:tcPr>
          <w:p w:rsidR="00FF3845" w:rsidRDefault="00FF3845">
            <w:pPr>
              <w:spacing w:line="280" w:lineRule="atLeast"/>
              <w:jc w:val="center"/>
              <w:rPr>
                <w:rFonts w:ascii="Verdana" w:eastAsia="Calibri" w:hAnsi="Verdana" w:cs="Arial"/>
                <w:b/>
                <w:bCs/>
                <w:color w:val="000000"/>
                <w:sz w:val="18"/>
                <w:szCs w:val="22"/>
              </w:rPr>
            </w:pPr>
            <w:r>
              <w:rPr>
                <w:rFonts w:eastAsia="Calibri"/>
                <w:b/>
                <w:bCs/>
                <w:color w:val="000000"/>
                <w:sz w:val="18"/>
                <w:szCs w:val="22"/>
              </w:rPr>
              <w:t>Australian response to OECD recommendations</w:t>
            </w:r>
          </w:p>
        </w:tc>
      </w:tr>
      <w:tr w:rsidR="00FF3845" w:rsidTr="00FF3845">
        <w:trPr>
          <w:cantSplit/>
          <w:trHeight w:val="556"/>
        </w:trPr>
        <w:tc>
          <w:tcPr>
            <w:tcW w:w="2093" w:type="dxa"/>
            <w:tcBorders>
              <w:top w:val="nil"/>
              <w:left w:val="nil"/>
              <w:bottom w:val="nil"/>
              <w:right w:val="nil"/>
            </w:tcBorders>
            <w:shd w:val="clear" w:color="auto" w:fill="C0C0C0"/>
            <w:hideMark/>
          </w:tcPr>
          <w:p w:rsidR="00FF3845" w:rsidRDefault="00FF3845">
            <w:pPr>
              <w:spacing w:line="280" w:lineRule="atLeast"/>
              <w:rPr>
                <w:rFonts w:ascii="Verdana" w:eastAsia="Calibri" w:hAnsi="Verdana" w:cs="Arial"/>
                <w:b/>
                <w:bCs/>
                <w:color w:val="000000"/>
                <w:sz w:val="18"/>
                <w:szCs w:val="22"/>
              </w:rPr>
            </w:pPr>
            <w:r>
              <w:rPr>
                <w:rFonts w:eastAsia="Calibri"/>
                <w:b/>
                <w:bCs/>
                <w:color w:val="000000"/>
                <w:sz w:val="18"/>
                <w:szCs w:val="22"/>
              </w:rPr>
              <w:t>1 – Address the tax challenges of the digital economy</w:t>
            </w:r>
          </w:p>
        </w:tc>
        <w:tc>
          <w:tcPr>
            <w:tcW w:w="2410" w:type="dxa"/>
            <w:tcBorders>
              <w:top w:val="nil"/>
              <w:left w:val="nil"/>
              <w:bottom w:val="nil"/>
              <w:right w:val="nil"/>
            </w:tcBorders>
            <w:shd w:val="clear" w:color="auto" w:fill="C0C0C0"/>
            <w:hideMark/>
          </w:tcPr>
          <w:p w:rsidR="00FF3845" w:rsidRDefault="00FF3845">
            <w:pPr>
              <w:spacing w:line="280" w:lineRule="atLeast"/>
              <w:rPr>
                <w:rFonts w:ascii="Verdana" w:eastAsia="Calibri" w:hAnsi="Verdana" w:cs="Arial"/>
                <w:color w:val="000000"/>
                <w:sz w:val="18"/>
                <w:szCs w:val="22"/>
              </w:rPr>
            </w:pPr>
            <w:r>
              <w:rPr>
                <w:rFonts w:eastAsia="Calibri"/>
                <w:color w:val="000000"/>
                <w:sz w:val="18"/>
                <w:szCs w:val="22"/>
              </w:rPr>
              <w:t>Report identified issues raised by the digital economy and possible actions to address them.   Did not generally recommend fundamental changes to international tax framework.</w:t>
            </w:r>
          </w:p>
        </w:tc>
        <w:tc>
          <w:tcPr>
            <w:tcW w:w="2126" w:type="dxa"/>
            <w:tcBorders>
              <w:top w:val="nil"/>
              <w:left w:val="nil"/>
              <w:bottom w:val="nil"/>
              <w:right w:val="nil"/>
            </w:tcBorders>
            <w:shd w:val="clear" w:color="auto" w:fill="C0C0C0"/>
            <w:hideMark/>
          </w:tcPr>
          <w:p w:rsidR="00FF3845" w:rsidRDefault="00FF3845">
            <w:pPr>
              <w:spacing w:line="280" w:lineRule="atLeast"/>
              <w:rPr>
                <w:rFonts w:ascii="Verdana" w:eastAsia="Calibri" w:hAnsi="Verdana" w:cs="Arial"/>
                <w:color w:val="000000"/>
                <w:sz w:val="18"/>
                <w:szCs w:val="22"/>
              </w:rPr>
            </w:pPr>
            <w:r>
              <w:rPr>
                <w:rFonts w:eastAsia="Calibri"/>
                <w:color w:val="000000"/>
                <w:sz w:val="18"/>
                <w:szCs w:val="22"/>
              </w:rPr>
              <w:t>Generally robust and consistent with current international tax norms.</w:t>
            </w:r>
          </w:p>
        </w:tc>
        <w:tc>
          <w:tcPr>
            <w:tcW w:w="3118" w:type="dxa"/>
            <w:tcBorders>
              <w:top w:val="nil"/>
              <w:left w:val="nil"/>
              <w:bottom w:val="nil"/>
              <w:right w:val="nil"/>
            </w:tcBorders>
            <w:shd w:val="clear" w:color="auto" w:fill="C0C0C0"/>
          </w:tcPr>
          <w:p w:rsidR="00FF3845" w:rsidRDefault="00FF3845">
            <w:pPr>
              <w:spacing w:line="280" w:lineRule="atLeast"/>
              <w:rPr>
                <w:rFonts w:ascii="Verdana" w:eastAsia="Calibri" w:hAnsi="Verdana" w:cs="Arial"/>
                <w:color w:val="000000"/>
                <w:sz w:val="18"/>
                <w:szCs w:val="22"/>
              </w:rPr>
            </w:pPr>
            <w:r>
              <w:rPr>
                <w:rFonts w:eastAsia="Calibri"/>
                <w:color w:val="000000"/>
                <w:sz w:val="18"/>
                <w:szCs w:val="22"/>
              </w:rPr>
              <w:t xml:space="preserve">New Zealand imposed GST on online services.  </w:t>
            </w:r>
          </w:p>
          <w:p w:rsidR="00FF3845" w:rsidRDefault="00FF3845">
            <w:pPr>
              <w:spacing w:line="280" w:lineRule="atLeast"/>
              <w:rPr>
                <w:rFonts w:eastAsia="Calibri"/>
                <w:color w:val="000000"/>
                <w:sz w:val="18"/>
                <w:szCs w:val="22"/>
              </w:rPr>
            </w:pPr>
          </w:p>
          <w:p w:rsidR="00FF3845" w:rsidRDefault="00FF3845">
            <w:pPr>
              <w:spacing w:line="280" w:lineRule="atLeast"/>
              <w:rPr>
                <w:rFonts w:eastAsia="Calibri"/>
                <w:color w:val="000000"/>
                <w:sz w:val="18"/>
                <w:szCs w:val="22"/>
              </w:rPr>
            </w:pPr>
            <w:r>
              <w:rPr>
                <w:rFonts w:eastAsia="Calibri"/>
                <w:i/>
                <w:color w:val="000000"/>
                <w:sz w:val="18"/>
                <w:szCs w:val="22"/>
              </w:rPr>
              <w:t>GST imposed on supplies occurring on or after 1 October 2016.</w:t>
            </w:r>
          </w:p>
          <w:p w:rsidR="00FF3845" w:rsidRDefault="00FF3845">
            <w:pPr>
              <w:spacing w:line="280" w:lineRule="atLeast"/>
              <w:rPr>
                <w:rFonts w:eastAsia="Calibri"/>
                <w:i/>
                <w:color w:val="000000"/>
                <w:sz w:val="18"/>
                <w:szCs w:val="22"/>
              </w:rPr>
            </w:pPr>
          </w:p>
          <w:p w:rsidR="00FF3845" w:rsidRDefault="00FF3845">
            <w:pPr>
              <w:spacing w:line="280" w:lineRule="atLeast"/>
              <w:rPr>
                <w:rFonts w:eastAsia="Calibri"/>
                <w:i/>
                <w:color w:val="000000"/>
                <w:sz w:val="18"/>
                <w:szCs w:val="22"/>
              </w:rPr>
            </w:pPr>
          </w:p>
          <w:p w:rsidR="00FF3845" w:rsidRDefault="00FF3845">
            <w:pPr>
              <w:spacing w:line="280" w:lineRule="atLeast"/>
              <w:rPr>
                <w:rFonts w:ascii="Verdana" w:eastAsia="Calibri" w:hAnsi="Verdana" w:cs="Arial"/>
                <w:i/>
                <w:color w:val="000000"/>
                <w:sz w:val="18"/>
                <w:szCs w:val="22"/>
              </w:rPr>
            </w:pPr>
          </w:p>
        </w:tc>
        <w:tc>
          <w:tcPr>
            <w:tcW w:w="4427" w:type="dxa"/>
            <w:tcBorders>
              <w:top w:val="nil"/>
              <w:left w:val="nil"/>
              <w:bottom w:val="nil"/>
              <w:right w:val="nil"/>
            </w:tcBorders>
            <w:shd w:val="clear" w:color="auto" w:fill="C0C0C0"/>
          </w:tcPr>
          <w:p w:rsidR="00FF3845" w:rsidRDefault="00FF3845">
            <w:pPr>
              <w:spacing w:line="280" w:lineRule="atLeast"/>
              <w:rPr>
                <w:rFonts w:ascii="Verdana" w:eastAsia="Calibri" w:hAnsi="Verdana" w:cs="Arial"/>
                <w:b/>
                <w:color w:val="000000"/>
                <w:sz w:val="18"/>
                <w:szCs w:val="22"/>
              </w:rPr>
            </w:pPr>
            <w:r>
              <w:rPr>
                <w:rFonts w:eastAsia="Calibri"/>
                <w:b/>
                <w:color w:val="000000"/>
                <w:sz w:val="18"/>
                <w:szCs w:val="22"/>
              </w:rPr>
              <w:t xml:space="preserve">Same response as New Zealand. </w:t>
            </w:r>
            <w:r>
              <w:rPr>
                <w:rFonts w:eastAsia="Calibri"/>
                <w:color w:val="000000"/>
                <w:sz w:val="18"/>
                <w:szCs w:val="22"/>
              </w:rPr>
              <w:t xml:space="preserve">Australia to impose GST on online services. </w:t>
            </w:r>
          </w:p>
          <w:p w:rsidR="00FF3845" w:rsidRDefault="00FF3845">
            <w:pPr>
              <w:spacing w:line="280" w:lineRule="atLeast"/>
              <w:rPr>
                <w:rFonts w:eastAsia="Calibri"/>
                <w:color w:val="000000"/>
                <w:sz w:val="18"/>
                <w:szCs w:val="22"/>
              </w:rPr>
            </w:pPr>
          </w:p>
          <w:p w:rsidR="00FF3845" w:rsidRDefault="00FF3845">
            <w:pPr>
              <w:spacing w:line="280" w:lineRule="atLeast"/>
              <w:rPr>
                <w:rFonts w:eastAsia="Calibri"/>
                <w:i/>
                <w:color w:val="000000"/>
                <w:sz w:val="18"/>
                <w:szCs w:val="22"/>
              </w:rPr>
            </w:pPr>
            <w:r>
              <w:rPr>
                <w:rFonts w:eastAsia="Calibri"/>
                <w:i/>
                <w:color w:val="000000"/>
                <w:sz w:val="18"/>
                <w:szCs w:val="22"/>
              </w:rPr>
              <w:t>GST imposed on supplies occurring on or after 1 July 2017.</w:t>
            </w:r>
          </w:p>
          <w:p w:rsidR="00FF3845" w:rsidRDefault="00FF3845">
            <w:pPr>
              <w:spacing w:line="280" w:lineRule="atLeast"/>
              <w:rPr>
                <w:rFonts w:ascii="Verdana" w:eastAsia="Calibri" w:hAnsi="Verdana" w:cs="Arial"/>
                <w:color w:val="000000"/>
                <w:sz w:val="18"/>
                <w:szCs w:val="22"/>
              </w:rPr>
            </w:pPr>
          </w:p>
        </w:tc>
      </w:tr>
      <w:tr w:rsidR="00FF3845" w:rsidTr="00FF3845">
        <w:trPr>
          <w:cantSplit/>
          <w:trHeight w:val="556"/>
        </w:trPr>
        <w:tc>
          <w:tcPr>
            <w:tcW w:w="2093" w:type="dxa"/>
            <w:tcBorders>
              <w:top w:val="nil"/>
              <w:left w:val="nil"/>
              <w:bottom w:val="nil"/>
              <w:right w:val="nil"/>
            </w:tcBorders>
            <w:hideMark/>
          </w:tcPr>
          <w:p w:rsidR="00FF3845" w:rsidRDefault="00FF3845">
            <w:pPr>
              <w:spacing w:line="280" w:lineRule="atLeast"/>
              <w:rPr>
                <w:rFonts w:ascii="Verdana" w:eastAsia="Calibri" w:hAnsi="Verdana" w:cs="Arial"/>
                <w:b/>
                <w:bCs/>
                <w:color w:val="000000"/>
                <w:sz w:val="18"/>
                <w:szCs w:val="22"/>
              </w:rPr>
            </w:pPr>
            <w:r>
              <w:rPr>
                <w:rFonts w:eastAsia="Calibri"/>
                <w:b/>
                <w:bCs/>
                <w:color w:val="000000"/>
                <w:sz w:val="18"/>
                <w:szCs w:val="22"/>
              </w:rPr>
              <w:t>2 – Neutralise the effects of hybrid mismatch arrangements</w:t>
            </w:r>
          </w:p>
        </w:tc>
        <w:tc>
          <w:tcPr>
            <w:tcW w:w="2410" w:type="dxa"/>
            <w:tcBorders>
              <w:top w:val="nil"/>
              <w:left w:val="nil"/>
              <w:bottom w:val="nil"/>
              <w:right w:val="nil"/>
            </w:tcBorders>
          </w:tcPr>
          <w:p w:rsidR="00FF3845" w:rsidRDefault="00FF3845">
            <w:pPr>
              <w:spacing w:line="280" w:lineRule="atLeast"/>
              <w:rPr>
                <w:rFonts w:ascii="Verdana" w:eastAsia="Calibri" w:hAnsi="Verdana" w:cs="Arial"/>
                <w:color w:val="000000"/>
                <w:sz w:val="18"/>
                <w:szCs w:val="22"/>
              </w:rPr>
            </w:pPr>
            <w:r>
              <w:rPr>
                <w:rFonts w:eastAsia="Calibri"/>
                <w:color w:val="000000"/>
                <w:sz w:val="18"/>
                <w:szCs w:val="22"/>
              </w:rPr>
              <w:t xml:space="preserve">Recommended domestic hybrid mismatch rules. </w:t>
            </w:r>
          </w:p>
          <w:p w:rsidR="00FF3845" w:rsidRDefault="00FF3845">
            <w:pPr>
              <w:spacing w:line="280" w:lineRule="atLeast"/>
              <w:rPr>
                <w:rFonts w:eastAsia="Calibri"/>
                <w:color w:val="000000"/>
                <w:sz w:val="18"/>
                <w:szCs w:val="22"/>
              </w:rPr>
            </w:pPr>
          </w:p>
          <w:p w:rsidR="00FF3845" w:rsidRDefault="00FF3845">
            <w:pPr>
              <w:spacing w:line="280" w:lineRule="atLeast"/>
              <w:rPr>
                <w:rFonts w:ascii="Verdana" w:eastAsia="Calibri" w:hAnsi="Verdana" w:cs="Arial"/>
                <w:color w:val="000000"/>
                <w:sz w:val="18"/>
                <w:szCs w:val="22"/>
              </w:rPr>
            </w:pPr>
            <w:r>
              <w:rPr>
                <w:rFonts w:eastAsia="Calibri"/>
                <w:color w:val="000000"/>
                <w:sz w:val="18"/>
                <w:szCs w:val="22"/>
              </w:rPr>
              <w:t>Changes to the OECD Model Tax Convention and multilateral instrument (MLI) to address hybrid entities.</w:t>
            </w:r>
          </w:p>
        </w:tc>
        <w:tc>
          <w:tcPr>
            <w:tcW w:w="2126" w:type="dxa"/>
            <w:tcBorders>
              <w:top w:val="nil"/>
              <w:left w:val="nil"/>
              <w:bottom w:val="nil"/>
              <w:right w:val="nil"/>
            </w:tcBorders>
            <w:hideMark/>
          </w:tcPr>
          <w:p w:rsidR="00FF3845" w:rsidRDefault="00FF3845">
            <w:pPr>
              <w:spacing w:line="280" w:lineRule="atLeast"/>
              <w:rPr>
                <w:rFonts w:ascii="Verdana" w:eastAsia="Calibri" w:hAnsi="Verdana" w:cs="Arial"/>
                <w:color w:val="000000"/>
                <w:sz w:val="18"/>
                <w:szCs w:val="22"/>
              </w:rPr>
            </w:pPr>
            <w:r>
              <w:rPr>
                <w:rFonts w:eastAsia="Calibri"/>
                <w:color w:val="000000"/>
                <w:sz w:val="18"/>
                <w:szCs w:val="22"/>
              </w:rPr>
              <w:t>Domestic law and Double Tax Agreements (DTAs) already contain some targeted anti-hybrid mismatch rules.</w:t>
            </w:r>
          </w:p>
        </w:tc>
        <w:tc>
          <w:tcPr>
            <w:tcW w:w="3118" w:type="dxa"/>
            <w:tcBorders>
              <w:top w:val="nil"/>
              <w:left w:val="nil"/>
              <w:bottom w:val="nil"/>
              <w:right w:val="nil"/>
            </w:tcBorders>
          </w:tcPr>
          <w:p w:rsidR="00FF3845" w:rsidRDefault="00FF3845">
            <w:pPr>
              <w:spacing w:line="280" w:lineRule="atLeast"/>
              <w:rPr>
                <w:rFonts w:ascii="Verdana" w:eastAsia="Calibri" w:hAnsi="Verdana" w:cs="Arial"/>
                <w:color w:val="000000"/>
                <w:sz w:val="18"/>
                <w:szCs w:val="22"/>
              </w:rPr>
            </w:pPr>
            <w:r>
              <w:rPr>
                <w:rFonts w:eastAsia="Calibri"/>
                <w:color w:val="000000"/>
                <w:sz w:val="18"/>
                <w:szCs w:val="22"/>
              </w:rPr>
              <w:t xml:space="preserve">New Zealand proposing comprehensive domestic hybrid mismatch rules based on OECD recommendations. </w:t>
            </w:r>
          </w:p>
          <w:p w:rsidR="00FF3845" w:rsidRDefault="00FF3845">
            <w:pPr>
              <w:spacing w:line="280" w:lineRule="atLeast"/>
              <w:rPr>
                <w:rFonts w:eastAsia="Calibri"/>
                <w:color w:val="000000"/>
                <w:sz w:val="18"/>
                <w:szCs w:val="22"/>
              </w:rPr>
            </w:pPr>
          </w:p>
          <w:p w:rsidR="00FF3845" w:rsidRDefault="00FF3845">
            <w:pPr>
              <w:spacing w:line="280" w:lineRule="atLeast"/>
              <w:rPr>
                <w:rFonts w:eastAsia="Calibri"/>
                <w:i/>
                <w:color w:val="000000"/>
                <w:sz w:val="18"/>
                <w:szCs w:val="22"/>
              </w:rPr>
            </w:pPr>
            <w:r>
              <w:rPr>
                <w:rFonts w:eastAsia="Calibri"/>
                <w:i/>
                <w:color w:val="000000"/>
                <w:sz w:val="18"/>
                <w:szCs w:val="22"/>
              </w:rPr>
              <w:t xml:space="preserve">Public consultation in 2016/17. Legislation for domestic rules to be introduced late 2017/early 2018. </w:t>
            </w:r>
          </w:p>
          <w:p w:rsidR="00FF3845" w:rsidRDefault="00FF3845">
            <w:pPr>
              <w:spacing w:line="280" w:lineRule="atLeast"/>
              <w:rPr>
                <w:rFonts w:eastAsia="Calibri"/>
                <w:color w:val="000000"/>
                <w:sz w:val="18"/>
                <w:szCs w:val="22"/>
              </w:rPr>
            </w:pPr>
          </w:p>
          <w:p w:rsidR="00FF3845" w:rsidRDefault="00FF3845">
            <w:pPr>
              <w:spacing w:line="280" w:lineRule="atLeast"/>
              <w:rPr>
                <w:rFonts w:eastAsia="Calibri"/>
                <w:color w:val="000000"/>
                <w:sz w:val="18"/>
                <w:szCs w:val="22"/>
              </w:rPr>
            </w:pPr>
            <w:r>
              <w:rPr>
                <w:rFonts w:eastAsia="Calibri"/>
                <w:color w:val="000000"/>
                <w:sz w:val="18"/>
                <w:szCs w:val="22"/>
              </w:rPr>
              <w:t>NZ has adopted MLI hybrid provisions to strengthen DTAs.</w:t>
            </w:r>
          </w:p>
          <w:p w:rsidR="00FF3845" w:rsidRDefault="00FF3845">
            <w:pPr>
              <w:spacing w:line="280" w:lineRule="atLeast"/>
              <w:rPr>
                <w:rFonts w:eastAsia="Calibri"/>
                <w:i/>
                <w:color w:val="000000"/>
                <w:sz w:val="18"/>
                <w:szCs w:val="22"/>
              </w:rPr>
            </w:pPr>
          </w:p>
          <w:p w:rsidR="00FF3845" w:rsidRDefault="00FF3845">
            <w:pPr>
              <w:spacing w:line="280" w:lineRule="atLeast"/>
              <w:rPr>
                <w:rFonts w:eastAsia="Calibri"/>
                <w:i/>
                <w:color w:val="000000"/>
                <w:sz w:val="18"/>
                <w:szCs w:val="22"/>
              </w:rPr>
            </w:pPr>
            <w:r>
              <w:rPr>
                <w:rFonts w:eastAsia="Calibri"/>
                <w:i/>
                <w:color w:val="000000"/>
                <w:sz w:val="18"/>
                <w:szCs w:val="22"/>
              </w:rPr>
              <w:t>Consulted on the MLI in March 2017.  NZ signed the MLI on 7 June 2017. Ratification of the MLI will follow.</w:t>
            </w:r>
          </w:p>
          <w:p w:rsidR="00FF3845" w:rsidRDefault="00FF3845">
            <w:pPr>
              <w:spacing w:line="280" w:lineRule="atLeast"/>
              <w:rPr>
                <w:rFonts w:eastAsia="Calibri"/>
                <w:i/>
                <w:color w:val="000000"/>
                <w:sz w:val="18"/>
                <w:szCs w:val="22"/>
              </w:rPr>
            </w:pPr>
          </w:p>
          <w:p w:rsidR="00FF3845" w:rsidRDefault="00FF3845">
            <w:pPr>
              <w:spacing w:line="280" w:lineRule="atLeast"/>
              <w:rPr>
                <w:rFonts w:ascii="Verdana" w:eastAsia="Calibri" w:hAnsi="Verdana" w:cs="Arial"/>
                <w:i/>
                <w:color w:val="000000"/>
                <w:sz w:val="18"/>
                <w:szCs w:val="22"/>
              </w:rPr>
            </w:pPr>
          </w:p>
        </w:tc>
        <w:tc>
          <w:tcPr>
            <w:tcW w:w="4427" w:type="dxa"/>
            <w:tcBorders>
              <w:top w:val="nil"/>
              <w:left w:val="nil"/>
              <w:bottom w:val="nil"/>
              <w:right w:val="nil"/>
            </w:tcBorders>
          </w:tcPr>
          <w:p w:rsidR="00FF3845" w:rsidRDefault="00FF3845">
            <w:pPr>
              <w:spacing w:line="280" w:lineRule="atLeast"/>
              <w:rPr>
                <w:rFonts w:ascii="Verdana" w:eastAsia="Calibri" w:hAnsi="Verdana" w:cs="Arial"/>
                <w:b/>
                <w:color w:val="000000"/>
                <w:sz w:val="18"/>
                <w:szCs w:val="22"/>
              </w:rPr>
            </w:pPr>
            <w:r>
              <w:rPr>
                <w:rFonts w:eastAsia="Calibri"/>
                <w:b/>
                <w:color w:val="000000"/>
                <w:sz w:val="18"/>
                <w:szCs w:val="22"/>
              </w:rPr>
              <w:t xml:space="preserve">Same response as New Zealand. </w:t>
            </w:r>
            <w:r>
              <w:rPr>
                <w:rFonts w:eastAsia="Calibri"/>
                <w:color w:val="000000"/>
                <w:sz w:val="18"/>
                <w:szCs w:val="22"/>
              </w:rPr>
              <w:t>Australia proposing comprehensive domestic hybrid mismatch rules based on OECD recommendations. However, we understand Australia is not adopting hybrids recommendation 5 (reverse hybrids) while we are proposing that New Zealand adopt this.</w:t>
            </w:r>
          </w:p>
          <w:p w:rsidR="00FF3845" w:rsidRDefault="00FF3845">
            <w:pPr>
              <w:spacing w:line="280" w:lineRule="atLeast"/>
              <w:rPr>
                <w:rFonts w:eastAsia="Calibri"/>
                <w:i/>
                <w:color w:val="000000"/>
                <w:sz w:val="18"/>
                <w:szCs w:val="22"/>
              </w:rPr>
            </w:pPr>
          </w:p>
          <w:p w:rsidR="00FF3845" w:rsidRDefault="00FF3845">
            <w:pPr>
              <w:spacing w:line="280" w:lineRule="atLeast"/>
              <w:rPr>
                <w:rFonts w:eastAsia="Calibri"/>
                <w:i/>
                <w:color w:val="000000"/>
                <w:sz w:val="18"/>
                <w:szCs w:val="22"/>
              </w:rPr>
            </w:pPr>
            <w:r>
              <w:rPr>
                <w:rFonts w:eastAsia="Calibri"/>
                <w:i/>
                <w:color w:val="000000"/>
                <w:sz w:val="18"/>
                <w:szCs w:val="22"/>
              </w:rPr>
              <w:t>Public consultation in 2015/16. Domestic law changes to take effect from 1 January 2018 or six months after legislation is enacted. Draft legislation expected to be consulted on shortly.</w:t>
            </w:r>
          </w:p>
          <w:p w:rsidR="00FF3845" w:rsidRDefault="00FF3845">
            <w:pPr>
              <w:spacing w:line="280" w:lineRule="atLeast"/>
              <w:rPr>
                <w:rFonts w:eastAsia="Calibri"/>
                <w:color w:val="000000"/>
                <w:sz w:val="18"/>
                <w:szCs w:val="22"/>
              </w:rPr>
            </w:pPr>
          </w:p>
          <w:p w:rsidR="00FF3845" w:rsidRDefault="00FF3845">
            <w:pPr>
              <w:spacing w:line="280" w:lineRule="atLeast"/>
              <w:rPr>
                <w:rFonts w:eastAsia="Calibri"/>
                <w:color w:val="000000"/>
                <w:sz w:val="18"/>
                <w:szCs w:val="22"/>
              </w:rPr>
            </w:pPr>
            <w:r>
              <w:rPr>
                <w:rFonts w:eastAsia="Calibri"/>
                <w:color w:val="000000"/>
                <w:sz w:val="18"/>
                <w:szCs w:val="22"/>
              </w:rPr>
              <w:t>Australia has also adopted MLI hybrid provisions to strengthen DTAs.</w:t>
            </w:r>
          </w:p>
          <w:p w:rsidR="00FF3845" w:rsidRDefault="00FF3845">
            <w:pPr>
              <w:spacing w:line="280" w:lineRule="atLeast"/>
              <w:rPr>
                <w:rFonts w:eastAsia="Calibri"/>
                <w:color w:val="000000"/>
                <w:sz w:val="18"/>
                <w:szCs w:val="22"/>
              </w:rPr>
            </w:pPr>
          </w:p>
          <w:p w:rsidR="00FF3845" w:rsidRDefault="00FF3845">
            <w:pPr>
              <w:spacing w:line="280" w:lineRule="atLeast"/>
              <w:rPr>
                <w:rFonts w:ascii="Verdana" w:eastAsia="Calibri" w:hAnsi="Verdana" w:cs="Arial"/>
                <w:color w:val="000000"/>
                <w:sz w:val="18"/>
                <w:szCs w:val="22"/>
              </w:rPr>
            </w:pPr>
            <w:r>
              <w:rPr>
                <w:rFonts w:eastAsia="Calibri"/>
                <w:i/>
                <w:color w:val="000000"/>
                <w:sz w:val="18"/>
                <w:szCs w:val="22"/>
              </w:rPr>
              <w:t>Consulted on MLI in December 2016.  Australia signed the MLI on 7 June 2017. Ratification of the MLI will follow.</w:t>
            </w:r>
          </w:p>
        </w:tc>
      </w:tr>
    </w:tbl>
    <w:p w:rsidR="002B2350" w:rsidRDefault="002B2350">
      <w:r>
        <w:br w:type="page"/>
      </w:r>
    </w:p>
    <w:tbl>
      <w:tblPr>
        <w:tblW w:w="0" w:type="auto"/>
        <w:tblBorders>
          <w:top w:val="single" w:sz="8" w:space="0" w:color="000000"/>
          <w:bottom w:val="single" w:sz="8" w:space="0" w:color="000000"/>
        </w:tblBorders>
        <w:tblLook w:val="04A0" w:firstRow="1" w:lastRow="0" w:firstColumn="1" w:lastColumn="0" w:noHBand="0" w:noVBand="1"/>
      </w:tblPr>
      <w:tblGrid>
        <w:gridCol w:w="2093"/>
        <w:gridCol w:w="2410"/>
        <w:gridCol w:w="2126"/>
        <w:gridCol w:w="3118"/>
        <w:gridCol w:w="4427"/>
      </w:tblGrid>
      <w:tr w:rsidR="002B2350" w:rsidTr="00342FF7">
        <w:trPr>
          <w:cantSplit/>
          <w:trHeight w:val="556"/>
        </w:trPr>
        <w:tc>
          <w:tcPr>
            <w:tcW w:w="2093" w:type="dxa"/>
            <w:tcBorders>
              <w:top w:val="single" w:sz="4" w:space="0" w:color="auto"/>
              <w:left w:val="nil"/>
              <w:bottom w:val="single" w:sz="4" w:space="0" w:color="auto"/>
              <w:right w:val="nil"/>
            </w:tcBorders>
          </w:tcPr>
          <w:p w:rsidR="002B2350" w:rsidRDefault="002B2350" w:rsidP="00342FF7">
            <w:pPr>
              <w:spacing w:line="280" w:lineRule="atLeast"/>
              <w:jc w:val="center"/>
              <w:rPr>
                <w:rFonts w:eastAsia="Calibri"/>
                <w:b/>
                <w:bCs/>
                <w:color w:val="000000"/>
                <w:sz w:val="18"/>
                <w:szCs w:val="22"/>
              </w:rPr>
            </w:pPr>
            <w:r>
              <w:rPr>
                <w:rFonts w:eastAsia="Calibri"/>
                <w:b/>
                <w:bCs/>
                <w:color w:val="000000"/>
                <w:sz w:val="18"/>
                <w:szCs w:val="22"/>
              </w:rPr>
              <w:t>Action Report</w:t>
            </w:r>
          </w:p>
        </w:tc>
        <w:tc>
          <w:tcPr>
            <w:tcW w:w="2410" w:type="dxa"/>
            <w:tcBorders>
              <w:top w:val="single" w:sz="4" w:space="0" w:color="auto"/>
              <w:left w:val="nil"/>
              <w:bottom w:val="single" w:sz="4" w:space="0" w:color="auto"/>
              <w:right w:val="nil"/>
            </w:tcBorders>
          </w:tcPr>
          <w:p w:rsidR="002B2350" w:rsidRPr="00342FF7" w:rsidRDefault="002B2350" w:rsidP="00342FF7">
            <w:pPr>
              <w:spacing w:line="280" w:lineRule="atLeast"/>
              <w:jc w:val="center"/>
              <w:rPr>
                <w:rFonts w:eastAsia="Calibri"/>
                <w:b/>
                <w:bCs/>
                <w:color w:val="000000"/>
                <w:sz w:val="18"/>
                <w:szCs w:val="22"/>
              </w:rPr>
            </w:pPr>
            <w:r>
              <w:rPr>
                <w:rFonts w:eastAsia="Calibri"/>
                <w:b/>
                <w:bCs/>
                <w:color w:val="000000"/>
                <w:sz w:val="18"/>
                <w:szCs w:val="22"/>
              </w:rPr>
              <w:t>OECD recommendation</w:t>
            </w:r>
          </w:p>
        </w:tc>
        <w:tc>
          <w:tcPr>
            <w:tcW w:w="2126" w:type="dxa"/>
            <w:tcBorders>
              <w:top w:val="single" w:sz="4" w:space="0" w:color="auto"/>
              <w:left w:val="nil"/>
              <w:bottom w:val="single" w:sz="4" w:space="0" w:color="auto"/>
              <w:right w:val="nil"/>
            </w:tcBorders>
          </w:tcPr>
          <w:p w:rsidR="002B2350" w:rsidRPr="00342FF7" w:rsidRDefault="002B2350" w:rsidP="00342FF7">
            <w:pPr>
              <w:spacing w:line="280" w:lineRule="atLeast"/>
              <w:jc w:val="center"/>
              <w:rPr>
                <w:rFonts w:eastAsia="Calibri"/>
                <w:b/>
                <w:bCs/>
                <w:color w:val="000000"/>
                <w:sz w:val="18"/>
                <w:szCs w:val="22"/>
              </w:rPr>
            </w:pPr>
            <w:r>
              <w:rPr>
                <w:rFonts w:eastAsia="Calibri"/>
                <w:b/>
                <w:bCs/>
                <w:color w:val="000000"/>
                <w:sz w:val="18"/>
                <w:szCs w:val="22"/>
              </w:rPr>
              <w:t>Current law</w:t>
            </w:r>
          </w:p>
        </w:tc>
        <w:tc>
          <w:tcPr>
            <w:tcW w:w="3118" w:type="dxa"/>
            <w:tcBorders>
              <w:top w:val="single" w:sz="4" w:space="0" w:color="auto"/>
              <w:left w:val="nil"/>
              <w:bottom w:val="single" w:sz="4" w:space="0" w:color="auto"/>
              <w:right w:val="nil"/>
            </w:tcBorders>
          </w:tcPr>
          <w:p w:rsidR="002B2350" w:rsidRPr="00342FF7" w:rsidRDefault="002B2350" w:rsidP="00342FF7">
            <w:pPr>
              <w:spacing w:line="280" w:lineRule="atLeast"/>
              <w:jc w:val="center"/>
              <w:rPr>
                <w:rFonts w:eastAsia="Calibri"/>
                <w:b/>
                <w:bCs/>
                <w:color w:val="000000"/>
                <w:sz w:val="18"/>
                <w:szCs w:val="22"/>
              </w:rPr>
            </w:pPr>
            <w:r>
              <w:rPr>
                <w:rFonts w:eastAsia="Calibri"/>
                <w:b/>
                <w:bCs/>
                <w:color w:val="000000"/>
                <w:sz w:val="18"/>
                <w:szCs w:val="22"/>
              </w:rPr>
              <w:t>NZ response to OECD recommendations</w:t>
            </w:r>
          </w:p>
        </w:tc>
        <w:tc>
          <w:tcPr>
            <w:tcW w:w="4427" w:type="dxa"/>
            <w:tcBorders>
              <w:top w:val="single" w:sz="4" w:space="0" w:color="auto"/>
              <w:left w:val="nil"/>
              <w:bottom w:val="single" w:sz="4" w:space="0" w:color="auto"/>
              <w:right w:val="nil"/>
            </w:tcBorders>
          </w:tcPr>
          <w:p w:rsidR="002B2350" w:rsidRPr="00342FF7" w:rsidRDefault="002B2350" w:rsidP="00342FF7">
            <w:pPr>
              <w:spacing w:line="280" w:lineRule="atLeast"/>
              <w:jc w:val="center"/>
              <w:rPr>
                <w:rFonts w:eastAsia="Calibri"/>
                <w:b/>
                <w:bCs/>
                <w:color w:val="000000"/>
                <w:sz w:val="18"/>
                <w:szCs w:val="22"/>
              </w:rPr>
            </w:pPr>
            <w:r>
              <w:rPr>
                <w:rFonts w:eastAsia="Calibri"/>
                <w:b/>
                <w:bCs/>
                <w:color w:val="000000"/>
                <w:sz w:val="18"/>
                <w:szCs w:val="22"/>
              </w:rPr>
              <w:t>Australian response to OECD recommendations</w:t>
            </w:r>
          </w:p>
        </w:tc>
      </w:tr>
      <w:tr w:rsidR="002B2350" w:rsidTr="00342FF7">
        <w:trPr>
          <w:cantSplit/>
          <w:trHeight w:val="522"/>
        </w:trPr>
        <w:tc>
          <w:tcPr>
            <w:tcW w:w="2093" w:type="dxa"/>
            <w:tcBorders>
              <w:top w:val="single" w:sz="4" w:space="0" w:color="auto"/>
              <w:left w:val="nil"/>
              <w:bottom w:val="nil"/>
              <w:right w:val="nil"/>
            </w:tcBorders>
            <w:shd w:val="clear" w:color="auto" w:fill="C0C0C0"/>
          </w:tcPr>
          <w:p w:rsidR="002B2350" w:rsidRDefault="002B2350">
            <w:pPr>
              <w:spacing w:line="280" w:lineRule="atLeast"/>
              <w:rPr>
                <w:rFonts w:ascii="Verdana" w:eastAsia="Calibri" w:hAnsi="Verdana" w:cs="Arial"/>
                <w:b/>
                <w:bCs/>
                <w:color w:val="000000"/>
                <w:sz w:val="18"/>
                <w:szCs w:val="22"/>
              </w:rPr>
            </w:pPr>
            <w:r>
              <w:rPr>
                <w:rFonts w:eastAsia="Calibri"/>
                <w:b/>
                <w:bCs/>
                <w:color w:val="000000"/>
                <w:sz w:val="18"/>
                <w:szCs w:val="22"/>
              </w:rPr>
              <w:t>3 – Strengthen Controlled Foreign Company (CFC) rules</w:t>
            </w:r>
          </w:p>
          <w:p w:rsidR="002B2350" w:rsidRDefault="002B2350">
            <w:pPr>
              <w:spacing w:line="280" w:lineRule="atLeast"/>
              <w:rPr>
                <w:rFonts w:ascii="Verdana" w:eastAsia="Calibri" w:hAnsi="Verdana" w:cs="Arial"/>
                <w:b/>
                <w:bCs/>
                <w:color w:val="000000"/>
                <w:sz w:val="18"/>
                <w:szCs w:val="22"/>
              </w:rPr>
            </w:pPr>
          </w:p>
        </w:tc>
        <w:tc>
          <w:tcPr>
            <w:tcW w:w="2410" w:type="dxa"/>
            <w:tcBorders>
              <w:top w:val="single" w:sz="4" w:space="0" w:color="auto"/>
              <w:left w:val="nil"/>
              <w:bottom w:val="nil"/>
              <w:right w:val="nil"/>
            </w:tcBorders>
            <w:shd w:val="clear" w:color="auto" w:fill="C0C0C0"/>
          </w:tcPr>
          <w:p w:rsidR="002B2350" w:rsidRDefault="002B2350">
            <w:pPr>
              <w:spacing w:line="280" w:lineRule="atLeast"/>
              <w:rPr>
                <w:rFonts w:ascii="Verdana" w:eastAsia="Calibri" w:hAnsi="Verdana" w:cs="Arial"/>
                <w:color w:val="000000"/>
                <w:sz w:val="18"/>
                <w:szCs w:val="22"/>
              </w:rPr>
            </w:pPr>
            <w:r>
              <w:rPr>
                <w:rFonts w:eastAsia="Calibri"/>
                <w:color w:val="000000"/>
                <w:sz w:val="18"/>
                <w:szCs w:val="22"/>
              </w:rPr>
              <w:t xml:space="preserve">Recommendations regarding the design of domestic rules </w:t>
            </w:r>
          </w:p>
          <w:p w:rsidR="002B2350" w:rsidRDefault="002B2350">
            <w:pPr>
              <w:spacing w:line="280" w:lineRule="atLeast"/>
              <w:rPr>
                <w:rFonts w:ascii="Verdana" w:eastAsia="Calibri" w:hAnsi="Verdana" w:cs="Arial"/>
                <w:color w:val="000000"/>
                <w:sz w:val="18"/>
                <w:szCs w:val="22"/>
              </w:rPr>
            </w:pPr>
          </w:p>
        </w:tc>
        <w:tc>
          <w:tcPr>
            <w:tcW w:w="2126" w:type="dxa"/>
            <w:tcBorders>
              <w:top w:val="single" w:sz="4" w:space="0" w:color="auto"/>
              <w:left w:val="nil"/>
              <w:bottom w:val="nil"/>
              <w:right w:val="nil"/>
            </w:tcBorders>
            <w:shd w:val="clear" w:color="auto" w:fill="C0C0C0"/>
          </w:tcPr>
          <w:p w:rsidR="002B2350" w:rsidRDefault="002B2350">
            <w:pPr>
              <w:spacing w:line="280" w:lineRule="atLeast"/>
              <w:rPr>
                <w:rFonts w:ascii="Verdana" w:eastAsia="Calibri" w:hAnsi="Verdana" w:cs="Arial"/>
                <w:color w:val="000000"/>
                <w:sz w:val="18"/>
                <w:szCs w:val="22"/>
              </w:rPr>
            </w:pPr>
            <w:r>
              <w:rPr>
                <w:rFonts w:eastAsia="Calibri"/>
                <w:color w:val="000000"/>
                <w:sz w:val="18"/>
                <w:szCs w:val="22"/>
              </w:rPr>
              <w:t>NZ and Australian CFC rules are already consistent with OECD recommendations.</w:t>
            </w:r>
          </w:p>
          <w:p w:rsidR="002B2350" w:rsidRDefault="002B2350">
            <w:pPr>
              <w:spacing w:line="280" w:lineRule="atLeast"/>
              <w:rPr>
                <w:rFonts w:eastAsia="Calibri"/>
                <w:color w:val="000000"/>
                <w:sz w:val="18"/>
                <w:szCs w:val="22"/>
              </w:rPr>
            </w:pPr>
          </w:p>
          <w:p w:rsidR="002B2350" w:rsidRDefault="002B2350">
            <w:pPr>
              <w:spacing w:line="280" w:lineRule="atLeast"/>
              <w:rPr>
                <w:rFonts w:ascii="Verdana" w:eastAsia="Calibri" w:hAnsi="Verdana" w:cs="Arial"/>
                <w:color w:val="000000"/>
                <w:sz w:val="18"/>
                <w:szCs w:val="22"/>
              </w:rPr>
            </w:pPr>
          </w:p>
        </w:tc>
        <w:tc>
          <w:tcPr>
            <w:tcW w:w="3118" w:type="dxa"/>
            <w:tcBorders>
              <w:top w:val="single" w:sz="4" w:space="0" w:color="auto"/>
              <w:left w:val="nil"/>
              <w:bottom w:val="nil"/>
              <w:right w:val="nil"/>
            </w:tcBorders>
            <w:shd w:val="clear" w:color="auto" w:fill="C0C0C0"/>
            <w:hideMark/>
          </w:tcPr>
          <w:p w:rsidR="002B2350" w:rsidRDefault="002B2350">
            <w:pPr>
              <w:spacing w:line="280" w:lineRule="atLeast"/>
              <w:rPr>
                <w:rFonts w:ascii="Verdana" w:eastAsia="Calibri" w:hAnsi="Verdana" w:cs="Arial"/>
                <w:color w:val="000000"/>
                <w:sz w:val="18"/>
                <w:szCs w:val="22"/>
              </w:rPr>
            </w:pPr>
            <w:r>
              <w:rPr>
                <w:rFonts w:eastAsia="Calibri"/>
                <w:color w:val="000000"/>
                <w:sz w:val="18"/>
                <w:szCs w:val="22"/>
              </w:rPr>
              <w:t>No proposal to change CFC rules.</w:t>
            </w:r>
          </w:p>
        </w:tc>
        <w:tc>
          <w:tcPr>
            <w:tcW w:w="4427" w:type="dxa"/>
            <w:tcBorders>
              <w:top w:val="single" w:sz="4" w:space="0" w:color="auto"/>
              <w:left w:val="nil"/>
              <w:bottom w:val="nil"/>
              <w:right w:val="nil"/>
            </w:tcBorders>
            <w:shd w:val="clear" w:color="auto" w:fill="C0C0C0"/>
            <w:hideMark/>
          </w:tcPr>
          <w:p w:rsidR="002B2350" w:rsidRDefault="002B2350">
            <w:pPr>
              <w:spacing w:line="280" w:lineRule="atLeast"/>
              <w:rPr>
                <w:rFonts w:ascii="Verdana" w:eastAsia="Calibri" w:hAnsi="Verdana" w:cs="Arial"/>
                <w:color w:val="000000"/>
                <w:sz w:val="18"/>
                <w:szCs w:val="22"/>
              </w:rPr>
            </w:pPr>
            <w:r>
              <w:rPr>
                <w:rFonts w:eastAsia="Calibri"/>
                <w:b/>
                <w:color w:val="000000"/>
                <w:sz w:val="18"/>
                <w:szCs w:val="22"/>
              </w:rPr>
              <w:t xml:space="preserve">Same response as New Zealand. </w:t>
            </w:r>
            <w:r>
              <w:rPr>
                <w:rFonts w:eastAsia="Calibri"/>
                <w:color w:val="000000"/>
                <w:sz w:val="18"/>
                <w:szCs w:val="22"/>
              </w:rPr>
              <w:t>No proposal to change CFC rules.</w:t>
            </w:r>
          </w:p>
        </w:tc>
      </w:tr>
      <w:tr w:rsidR="002B2350" w:rsidTr="00FF3845">
        <w:trPr>
          <w:cantSplit/>
          <w:trHeight w:val="556"/>
        </w:trPr>
        <w:tc>
          <w:tcPr>
            <w:tcW w:w="2093" w:type="dxa"/>
            <w:tcBorders>
              <w:top w:val="nil"/>
              <w:left w:val="nil"/>
              <w:bottom w:val="nil"/>
              <w:right w:val="nil"/>
            </w:tcBorders>
          </w:tcPr>
          <w:p w:rsidR="002B2350" w:rsidRDefault="002B2350">
            <w:pPr>
              <w:spacing w:line="280" w:lineRule="atLeast"/>
              <w:rPr>
                <w:rFonts w:ascii="Verdana" w:eastAsia="Calibri" w:hAnsi="Verdana" w:cs="Arial"/>
                <w:b/>
                <w:bCs/>
                <w:color w:val="000000"/>
                <w:sz w:val="18"/>
                <w:szCs w:val="22"/>
              </w:rPr>
            </w:pPr>
            <w:r>
              <w:rPr>
                <w:rFonts w:eastAsia="Calibri"/>
                <w:b/>
                <w:bCs/>
                <w:color w:val="000000"/>
                <w:sz w:val="18"/>
                <w:szCs w:val="22"/>
              </w:rPr>
              <w:t>4 – Limit base erosion via interest deductions and other financial payments</w:t>
            </w:r>
          </w:p>
          <w:p w:rsidR="002B2350" w:rsidRDefault="002B2350">
            <w:pPr>
              <w:spacing w:line="280" w:lineRule="atLeast"/>
              <w:rPr>
                <w:rFonts w:ascii="Verdana" w:eastAsia="Calibri" w:hAnsi="Verdana" w:cs="Arial"/>
                <w:b/>
                <w:bCs/>
                <w:color w:val="000000"/>
                <w:sz w:val="18"/>
                <w:szCs w:val="22"/>
              </w:rPr>
            </w:pPr>
          </w:p>
        </w:tc>
        <w:tc>
          <w:tcPr>
            <w:tcW w:w="2410" w:type="dxa"/>
            <w:tcBorders>
              <w:top w:val="nil"/>
              <w:left w:val="nil"/>
              <w:bottom w:val="nil"/>
              <w:right w:val="nil"/>
            </w:tcBorders>
            <w:hideMark/>
          </w:tcPr>
          <w:p w:rsidR="002B2350" w:rsidRDefault="002B2350">
            <w:pPr>
              <w:spacing w:line="280" w:lineRule="atLeast"/>
              <w:rPr>
                <w:rFonts w:ascii="Verdana" w:eastAsia="Calibri" w:hAnsi="Verdana" w:cs="Arial"/>
                <w:color w:val="000000"/>
                <w:sz w:val="18"/>
                <w:szCs w:val="22"/>
              </w:rPr>
            </w:pPr>
            <w:r>
              <w:rPr>
                <w:rFonts w:eastAsia="Calibri"/>
                <w:color w:val="000000"/>
                <w:sz w:val="18"/>
                <w:szCs w:val="22"/>
              </w:rPr>
              <w:t>Recommended</w:t>
            </w:r>
            <w:r>
              <w:rPr>
                <w:rFonts w:eastAsia="Calibri"/>
                <w:sz w:val="18"/>
                <w:szCs w:val="22"/>
              </w:rPr>
              <w:t xml:space="preserve"> interest limitation using an EBITDA approach.</w:t>
            </w:r>
          </w:p>
        </w:tc>
        <w:tc>
          <w:tcPr>
            <w:tcW w:w="2126" w:type="dxa"/>
            <w:tcBorders>
              <w:top w:val="nil"/>
              <w:left w:val="nil"/>
              <w:bottom w:val="nil"/>
              <w:right w:val="nil"/>
            </w:tcBorders>
          </w:tcPr>
          <w:p w:rsidR="002B2350" w:rsidRDefault="002B2350">
            <w:pPr>
              <w:spacing w:line="280" w:lineRule="atLeast"/>
              <w:rPr>
                <w:rFonts w:ascii="Verdana" w:eastAsia="Calibri" w:hAnsi="Verdana" w:cs="Arial"/>
                <w:color w:val="000000"/>
                <w:sz w:val="18"/>
                <w:szCs w:val="22"/>
              </w:rPr>
            </w:pPr>
            <w:r>
              <w:rPr>
                <w:rFonts w:eastAsia="Calibri"/>
                <w:color w:val="000000"/>
                <w:sz w:val="18"/>
                <w:szCs w:val="22"/>
              </w:rPr>
              <w:t xml:space="preserve">New Zealand and Australia both have an asset-based thin capitalisation test to control quantity of debt, which the OECD also recommends. </w:t>
            </w:r>
          </w:p>
          <w:p w:rsidR="002B2350" w:rsidRDefault="002B2350">
            <w:pPr>
              <w:spacing w:line="280" w:lineRule="atLeast"/>
              <w:rPr>
                <w:rFonts w:eastAsia="Calibri"/>
                <w:color w:val="000000"/>
                <w:sz w:val="18"/>
                <w:szCs w:val="22"/>
              </w:rPr>
            </w:pPr>
          </w:p>
          <w:p w:rsidR="002B2350" w:rsidRDefault="002B2350">
            <w:pPr>
              <w:spacing w:line="280" w:lineRule="atLeast"/>
              <w:rPr>
                <w:rFonts w:eastAsia="Calibri"/>
                <w:color w:val="000000"/>
                <w:sz w:val="18"/>
                <w:szCs w:val="22"/>
              </w:rPr>
            </w:pPr>
            <w:r>
              <w:rPr>
                <w:rFonts w:eastAsia="Calibri"/>
                <w:color w:val="000000"/>
                <w:sz w:val="18"/>
                <w:szCs w:val="22"/>
              </w:rPr>
              <w:t>Transfer pricing has limited ability to control high-priced debt.</w:t>
            </w:r>
          </w:p>
          <w:p w:rsidR="002B2350" w:rsidRDefault="002B2350">
            <w:pPr>
              <w:spacing w:line="280" w:lineRule="atLeast"/>
              <w:rPr>
                <w:rFonts w:ascii="Verdana" w:eastAsia="Calibri" w:hAnsi="Verdana" w:cs="Arial"/>
                <w:color w:val="000000"/>
                <w:sz w:val="18"/>
                <w:szCs w:val="22"/>
              </w:rPr>
            </w:pPr>
          </w:p>
        </w:tc>
        <w:tc>
          <w:tcPr>
            <w:tcW w:w="3118" w:type="dxa"/>
            <w:tcBorders>
              <w:top w:val="nil"/>
              <w:left w:val="nil"/>
              <w:bottom w:val="nil"/>
              <w:right w:val="nil"/>
            </w:tcBorders>
          </w:tcPr>
          <w:p w:rsidR="002B2350" w:rsidRDefault="002B2350">
            <w:pPr>
              <w:spacing w:line="280" w:lineRule="atLeast"/>
              <w:rPr>
                <w:rFonts w:ascii="Verdana" w:eastAsia="Calibri" w:hAnsi="Verdana" w:cs="Arial"/>
                <w:color w:val="000000"/>
                <w:sz w:val="18"/>
                <w:szCs w:val="22"/>
              </w:rPr>
            </w:pPr>
            <w:r>
              <w:rPr>
                <w:rFonts w:eastAsia="Calibri"/>
                <w:color w:val="000000"/>
                <w:sz w:val="18"/>
                <w:szCs w:val="22"/>
              </w:rPr>
              <w:t>New Zealand is improving its thin capitalisation rules by limiting interest rates on related party debt having particular regard to the interest rate of the foreign parent, and an adjustment for so-called “non-debt liabilities”.</w:t>
            </w:r>
          </w:p>
          <w:p w:rsidR="002B2350" w:rsidRDefault="002B2350">
            <w:pPr>
              <w:spacing w:line="280" w:lineRule="atLeast"/>
              <w:rPr>
                <w:rFonts w:eastAsia="Calibri"/>
                <w:color w:val="000000"/>
                <w:sz w:val="18"/>
                <w:szCs w:val="22"/>
              </w:rPr>
            </w:pPr>
          </w:p>
          <w:p w:rsidR="002B2350" w:rsidRDefault="002B2350">
            <w:pPr>
              <w:spacing w:line="280" w:lineRule="atLeast"/>
              <w:rPr>
                <w:rFonts w:eastAsia="Calibri"/>
                <w:i/>
                <w:color w:val="000000"/>
                <w:sz w:val="18"/>
                <w:szCs w:val="22"/>
              </w:rPr>
            </w:pPr>
            <w:r>
              <w:rPr>
                <w:rFonts w:eastAsia="Calibri"/>
                <w:i/>
                <w:color w:val="000000"/>
                <w:sz w:val="18"/>
                <w:szCs w:val="22"/>
              </w:rPr>
              <w:t>Consulted on interest limitation rules in March 2017. Legislation planned for 2017/18.</w:t>
            </w:r>
          </w:p>
          <w:p w:rsidR="002B2350" w:rsidRDefault="002B2350">
            <w:pPr>
              <w:spacing w:line="280" w:lineRule="atLeast"/>
              <w:rPr>
                <w:rFonts w:ascii="Verdana" w:eastAsia="Calibri" w:hAnsi="Verdana" w:cs="Arial"/>
                <w:color w:val="000000"/>
                <w:sz w:val="18"/>
                <w:szCs w:val="22"/>
              </w:rPr>
            </w:pPr>
          </w:p>
        </w:tc>
        <w:tc>
          <w:tcPr>
            <w:tcW w:w="4427" w:type="dxa"/>
            <w:tcBorders>
              <w:top w:val="nil"/>
              <w:left w:val="nil"/>
              <w:bottom w:val="nil"/>
              <w:right w:val="nil"/>
            </w:tcBorders>
          </w:tcPr>
          <w:p w:rsidR="002B2350" w:rsidRDefault="002B2350">
            <w:pPr>
              <w:spacing w:line="280" w:lineRule="atLeast"/>
              <w:rPr>
                <w:rFonts w:ascii="Verdana" w:eastAsia="Calibri" w:hAnsi="Verdana" w:cs="Arial"/>
                <w:b/>
                <w:color w:val="000000"/>
                <w:sz w:val="18"/>
                <w:szCs w:val="22"/>
              </w:rPr>
            </w:pPr>
            <w:r>
              <w:rPr>
                <w:rFonts w:eastAsia="Calibri"/>
                <w:b/>
                <w:color w:val="000000"/>
                <w:sz w:val="18"/>
                <w:szCs w:val="22"/>
              </w:rPr>
              <w:t xml:space="preserve">Similar response to New Zealand.  </w:t>
            </w:r>
            <w:r>
              <w:rPr>
                <w:rFonts w:eastAsia="Calibri"/>
                <w:color w:val="000000"/>
                <w:sz w:val="18"/>
                <w:szCs w:val="22"/>
              </w:rPr>
              <w:t>Australia has already tightened its transfer pricing rules. Since the New Zealand discussion document was published the ATO has released administrative guidelines (in draft) on what arrangements are considered low risk and close alignment with the interest rate of the foreign parent is an important factor. Both these changes will help it challenge high interest rates on related-party debt.</w:t>
            </w:r>
          </w:p>
          <w:p w:rsidR="002B2350" w:rsidRDefault="002B2350">
            <w:pPr>
              <w:spacing w:line="280" w:lineRule="atLeast"/>
              <w:rPr>
                <w:rFonts w:eastAsia="Calibri"/>
                <w:b/>
                <w:color w:val="000000"/>
                <w:sz w:val="18"/>
                <w:szCs w:val="22"/>
              </w:rPr>
            </w:pPr>
          </w:p>
          <w:p w:rsidR="002B2350" w:rsidRDefault="002B2350">
            <w:pPr>
              <w:spacing w:line="280" w:lineRule="atLeast"/>
              <w:rPr>
                <w:rFonts w:eastAsia="Calibri"/>
                <w:color w:val="000000"/>
                <w:sz w:val="18"/>
                <w:szCs w:val="22"/>
              </w:rPr>
            </w:pPr>
            <w:r>
              <w:rPr>
                <w:rFonts w:eastAsia="Calibri"/>
                <w:b/>
                <w:color w:val="000000"/>
                <w:sz w:val="18"/>
                <w:szCs w:val="22"/>
              </w:rPr>
              <w:t xml:space="preserve">New Zealand is proposing the same rules as Australia in relation to the adjustment for non-debt liabilities. </w:t>
            </w:r>
            <w:r>
              <w:rPr>
                <w:rFonts w:eastAsia="Calibri"/>
                <w:color w:val="000000"/>
                <w:sz w:val="18"/>
                <w:szCs w:val="22"/>
              </w:rPr>
              <w:t xml:space="preserve">Australia already requires an adjustment for non-debt liabilities. </w:t>
            </w:r>
          </w:p>
          <w:p w:rsidR="002B2350" w:rsidRDefault="002B2350">
            <w:pPr>
              <w:spacing w:line="280" w:lineRule="atLeast"/>
              <w:rPr>
                <w:rFonts w:eastAsia="Calibri"/>
                <w:color w:val="000000"/>
                <w:sz w:val="18"/>
                <w:szCs w:val="22"/>
              </w:rPr>
            </w:pPr>
          </w:p>
          <w:p w:rsidR="002B2350" w:rsidRDefault="002B2350">
            <w:pPr>
              <w:spacing w:line="280" w:lineRule="atLeast"/>
              <w:rPr>
                <w:rFonts w:ascii="Verdana" w:eastAsia="Calibri" w:hAnsi="Verdana" w:cs="Arial"/>
                <w:color w:val="000000"/>
                <w:sz w:val="18"/>
                <w:szCs w:val="22"/>
              </w:rPr>
            </w:pPr>
          </w:p>
        </w:tc>
      </w:tr>
      <w:tr w:rsidR="002B2350" w:rsidTr="00FF3845">
        <w:trPr>
          <w:cantSplit/>
          <w:trHeight w:val="556"/>
        </w:trPr>
        <w:tc>
          <w:tcPr>
            <w:tcW w:w="2093" w:type="dxa"/>
            <w:tcBorders>
              <w:top w:val="nil"/>
              <w:left w:val="nil"/>
              <w:bottom w:val="nil"/>
              <w:right w:val="nil"/>
            </w:tcBorders>
            <w:shd w:val="clear" w:color="auto" w:fill="C0C0C0"/>
            <w:hideMark/>
          </w:tcPr>
          <w:p w:rsidR="002B2350" w:rsidRDefault="002B2350">
            <w:pPr>
              <w:spacing w:line="280" w:lineRule="atLeast"/>
              <w:rPr>
                <w:rFonts w:ascii="Verdana" w:eastAsia="Calibri" w:hAnsi="Verdana" w:cs="Arial"/>
                <w:b/>
                <w:bCs/>
                <w:color w:val="000000"/>
                <w:sz w:val="18"/>
                <w:szCs w:val="22"/>
              </w:rPr>
            </w:pPr>
            <w:r>
              <w:rPr>
                <w:rFonts w:eastAsia="Calibri"/>
                <w:b/>
                <w:bCs/>
                <w:color w:val="000000"/>
                <w:sz w:val="18"/>
                <w:szCs w:val="22"/>
              </w:rPr>
              <w:t>5 – Counter harmful tax practices more effectively, taking into account transparency and substance</w:t>
            </w:r>
          </w:p>
        </w:tc>
        <w:tc>
          <w:tcPr>
            <w:tcW w:w="2410" w:type="dxa"/>
            <w:tcBorders>
              <w:top w:val="nil"/>
              <w:left w:val="nil"/>
              <w:bottom w:val="nil"/>
              <w:right w:val="nil"/>
            </w:tcBorders>
            <w:shd w:val="clear" w:color="auto" w:fill="C0C0C0"/>
          </w:tcPr>
          <w:p w:rsidR="002B2350" w:rsidRDefault="002B2350">
            <w:pPr>
              <w:spacing w:line="280" w:lineRule="atLeast"/>
              <w:rPr>
                <w:rFonts w:ascii="Verdana" w:eastAsia="Calibri" w:hAnsi="Verdana" w:cs="Arial"/>
                <w:color w:val="000000"/>
                <w:sz w:val="18"/>
                <w:szCs w:val="22"/>
              </w:rPr>
            </w:pPr>
            <w:r>
              <w:rPr>
                <w:rFonts w:eastAsia="Calibri"/>
                <w:color w:val="000000"/>
                <w:sz w:val="18"/>
                <w:szCs w:val="22"/>
              </w:rPr>
              <w:t xml:space="preserve">Finalise review of member country regimes.  Expand participation to non-OECD members and revision of existing criteria. </w:t>
            </w:r>
          </w:p>
          <w:p w:rsidR="002B2350" w:rsidRDefault="002B2350">
            <w:pPr>
              <w:spacing w:line="280" w:lineRule="atLeast"/>
              <w:rPr>
                <w:rFonts w:ascii="Verdana" w:eastAsia="Calibri" w:hAnsi="Verdana" w:cs="Arial"/>
                <w:color w:val="000000"/>
                <w:sz w:val="18"/>
                <w:szCs w:val="22"/>
              </w:rPr>
            </w:pPr>
          </w:p>
        </w:tc>
        <w:tc>
          <w:tcPr>
            <w:tcW w:w="2126" w:type="dxa"/>
            <w:tcBorders>
              <w:top w:val="nil"/>
              <w:left w:val="nil"/>
              <w:bottom w:val="nil"/>
              <w:right w:val="nil"/>
            </w:tcBorders>
            <w:shd w:val="clear" w:color="auto" w:fill="C0C0C0"/>
            <w:hideMark/>
          </w:tcPr>
          <w:p w:rsidR="002B2350" w:rsidRDefault="002B2350">
            <w:pPr>
              <w:spacing w:line="280" w:lineRule="atLeast"/>
              <w:rPr>
                <w:rFonts w:ascii="Verdana" w:eastAsia="Calibri" w:hAnsi="Verdana" w:cs="Arial"/>
                <w:color w:val="000000"/>
                <w:sz w:val="18"/>
                <w:szCs w:val="22"/>
              </w:rPr>
            </w:pPr>
            <w:r>
              <w:rPr>
                <w:rFonts w:eastAsia="Calibri"/>
                <w:color w:val="000000"/>
                <w:sz w:val="18"/>
                <w:szCs w:val="22"/>
              </w:rPr>
              <w:t>NZ’s and Australia’s laws are already robust – no harmful tax practices identified.</w:t>
            </w:r>
          </w:p>
        </w:tc>
        <w:tc>
          <w:tcPr>
            <w:tcW w:w="3118" w:type="dxa"/>
            <w:tcBorders>
              <w:top w:val="nil"/>
              <w:left w:val="nil"/>
              <w:bottom w:val="nil"/>
              <w:right w:val="nil"/>
            </w:tcBorders>
            <w:shd w:val="clear" w:color="auto" w:fill="C0C0C0"/>
            <w:hideMark/>
          </w:tcPr>
          <w:p w:rsidR="002B2350" w:rsidRDefault="002B2350">
            <w:pPr>
              <w:spacing w:line="280" w:lineRule="atLeast"/>
              <w:rPr>
                <w:rFonts w:ascii="Verdana" w:eastAsia="Calibri" w:hAnsi="Verdana" w:cs="Arial"/>
                <w:color w:val="000000"/>
                <w:sz w:val="18"/>
                <w:szCs w:val="22"/>
              </w:rPr>
            </w:pPr>
            <w:r>
              <w:rPr>
                <w:rFonts w:eastAsia="Calibri"/>
                <w:color w:val="000000"/>
                <w:sz w:val="18"/>
                <w:szCs w:val="22"/>
              </w:rPr>
              <w:t>NZ complies with requirements to exchange binding rulings and advanced pricing agreements as recommended by OECD.</w:t>
            </w:r>
          </w:p>
        </w:tc>
        <w:tc>
          <w:tcPr>
            <w:tcW w:w="4427" w:type="dxa"/>
            <w:tcBorders>
              <w:top w:val="nil"/>
              <w:left w:val="nil"/>
              <w:bottom w:val="nil"/>
              <w:right w:val="nil"/>
            </w:tcBorders>
            <w:shd w:val="clear" w:color="auto" w:fill="C0C0C0"/>
            <w:hideMark/>
          </w:tcPr>
          <w:p w:rsidR="002B2350" w:rsidRDefault="002B2350">
            <w:pPr>
              <w:spacing w:line="280" w:lineRule="atLeast"/>
              <w:rPr>
                <w:rFonts w:ascii="Verdana" w:eastAsia="Calibri" w:hAnsi="Verdana" w:cs="Arial"/>
                <w:b/>
                <w:color w:val="000000"/>
                <w:sz w:val="18"/>
                <w:szCs w:val="22"/>
              </w:rPr>
            </w:pPr>
            <w:r>
              <w:rPr>
                <w:rFonts w:eastAsia="Calibri"/>
                <w:b/>
                <w:color w:val="000000"/>
                <w:sz w:val="18"/>
                <w:szCs w:val="22"/>
              </w:rPr>
              <w:t xml:space="preserve">Same response as New Zealand. </w:t>
            </w:r>
            <w:r>
              <w:rPr>
                <w:rFonts w:eastAsia="Calibri"/>
                <w:color w:val="000000"/>
                <w:sz w:val="18"/>
                <w:szCs w:val="22"/>
              </w:rPr>
              <w:t>Australia complies with requirements to exchange binding rulings and advanced pricing agreements as recommended by OECD.</w:t>
            </w:r>
          </w:p>
        </w:tc>
      </w:tr>
      <w:tr w:rsidR="00DD1C86" w:rsidTr="00FF3845">
        <w:trPr>
          <w:cantSplit/>
          <w:trHeight w:val="556"/>
        </w:trPr>
        <w:tc>
          <w:tcPr>
            <w:tcW w:w="2093" w:type="dxa"/>
            <w:tcBorders>
              <w:top w:val="nil"/>
              <w:left w:val="nil"/>
              <w:bottom w:val="nil"/>
              <w:right w:val="nil"/>
            </w:tcBorders>
            <w:shd w:val="clear" w:color="auto" w:fill="C0C0C0"/>
          </w:tcPr>
          <w:p w:rsidR="00DD1C86" w:rsidRDefault="00DD1C86">
            <w:pPr>
              <w:spacing w:line="280" w:lineRule="atLeast"/>
              <w:rPr>
                <w:rFonts w:eastAsia="Calibri"/>
                <w:b/>
                <w:bCs/>
                <w:color w:val="000000"/>
                <w:sz w:val="18"/>
                <w:szCs w:val="22"/>
              </w:rPr>
            </w:pPr>
          </w:p>
        </w:tc>
        <w:tc>
          <w:tcPr>
            <w:tcW w:w="2410" w:type="dxa"/>
            <w:tcBorders>
              <w:top w:val="nil"/>
              <w:left w:val="nil"/>
              <w:bottom w:val="nil"/>
              <w:right w:val="nil"/>
            </w:tcBorders>
            <w:shd w:val="clear" w:color="auto" w:fill="C0C0C0"/>
          </w:tcPr>
          <w:p w:rsidR="00DD1C86" w:rsidRDefault="00DD1C86">
            <w:pPr>
              <w:spacing w:line="280" w:lineRule="atLeast"/>
              <w:rPr>
                <w:rFonts w:eastAsia="Calibri"/>
                <w:color w:val="000000"/>
                <w:sz w:val="18"/>
                <w:szCs w:val="22"/>
              </w:rPr>
            </w:pPr>
          </w:p>
        </w:tc>
        <w:tc>
          <w:tcPr>
            <w:tcW w:w="2126" w:type="dxa"/>
            <w:tcBorders>
              <w:top w:val="nil"/>
              <w:left w:val="nil"/>
              <w:bottom w:val="nil"/>
              <w:right w:val="nil"/>
            </w:tcBorders>
            <w:shd w:val="clear" w:color="auto" w:fill="C0C0C0"/>
          </w:tcPr>
          <w:p w:rsidR="00DD1C86" w:rsidRDefault="00DD1C86">
            <w:pPr>
              <w:spacing w:line="280" w:lineRule="atLeast"/>
              <w:rPr>
                <w:rFonts w:eastAsia="Calibri"/>
                <w:color w:val="000000"/>
                <w:sz w:val="18"/>
                <w:szCs w:val="22"/>
              </w:rPr>
            </w:pPr>
          </w:p>
        </w:tc>
        <w:tc>
          <w:tcPr>
            <w:tcW w:w="3118" w:type="dxa"/>
            <w:tcBorders>
              <w:top w:val="nil"/>
              <w:left w:val="nil"/>
              <w:bottom w:val="nil"/>
              <w:right w:val="nil"/>
            </w:tcBorders>
            <w:shd w:val="clear" w:color="auto" w:fill="C0C0C0"/>
          </w:tcPr>
          <w:p w:rsidR="00DD1C86" w:rsidRDefault="00DD1C86">
            <w:pPr>
              <w:spacing w:line="280" w:lineRule="atLeast"/>
              <w:rPr>
                <w:rFonts w:eastAsia="Calibri"/>
                <w:color w:val="000000"/>
                <w:sz w:val="18"/>
                <w:szCs w:val="22"/>
              </w:rPr>
            </w:pPr>
          </w:p>
        </w:tc>
        <w:tc>
          <w:tcPr>
            <w:tcW w:w="4427" w:type="dxa"/>
            <w:tcBorders>
              <w:top w:val="nil"/>
              <w:left w:val="nil"/>
              <w:bottom w:val="nil"/>
              <w:right w:val="nil"/>
            </w:tcBorders>
            <w:shd w:val="clear" w:color="auto" w:fill="C0C0C0"/>
          </w:tcPr>
          <w:p w:rsidR="00DD1C86" w:rsidRDefault="00DD1C86">
            <w:pPr>
              <w:spacing w:line="280" w:lineRule="atLeast"/>
              <w:rPr>
                <w:rFonts w:eastAsia="Calibri"/>
                <w:b/>
                <w:color w:val="000000"/>
                <w:sz w:val="18"/>
                <w:szCs w:val="22"/>
              </w:rPr>
            </w:pPr>
          </w:p>
        </w:tc>
      </w:tr>
      <w:tr w:rsidR="00DD1C86" w:rsidRPr="00DF6804" w:rsidTr="002A41DD">
        <w:trPr>
          <w:cantSplit/>
          <w:trHeight w:val="556"/>
        </w:trPr>
        <w:tc>
          <w:tcPr>
            <w:tcW w:w="2093" w:type="dxa"/>
            <w:tcBorders>
              <w:top w:val="single" w:sz="4" w:space="0" w:color="auto"/>
              <w:left w:val="nil"/>
              <w:bottom w:val="single" w:sz="4" w:space="0" w:color="auto"/>
              <w:right w:val="nil"/>
            </w:tcBorders>
          </w:tcPr>
          <w:p w:rsidR="00DD1C86" w:rsidRDefault="00DD1C86" w:rsidP="002A41DD">
            <w:pPr>
              <w:spacing w:line="280" w:lineRule="atLeast"/>
              <w:jc w:val="center"/>
              <w:rPr>
                <w:rFonts w:eastAsia="Calibri"/>
                <w:b/>
                <w:bCs/>
                <w:color w:val="000000"/>
                <w:sz w:val="18"/>
                <w:szCs w:val="22"/>
              </w:rPr>
            </w:pPr>
            <w:r>
              <w:rPr>
                <w:rFonts w:eastAsia="Calibri"/>
                <w:b/>
                <w:bCs/>
                <w:color w:val="000000"/>
                <w:sz w:val="18"/>
                <w:szCs w:val="22"/>
              </w:rPr>
              <w:t>Action Report</w:t>
            </w:r>
          </w:p>
        </w:tc>
        <w:tc>
          <w:tcPr>
            <w:tcW w:w="2410" w:type="dxa"/>
            <w:tcBorders>
              <w:top w:val="single" w:sz="4" w:space="0" w:color="auto"/>
              <w:left w:val="nil"/>
              <w:bottom w:val="single" w:sz="4" w:space="0" w:color="auto"/>
              <w:right w:val="nil"/>
            </w:tcBorders>
          </w:tcPr>
          <w:p w:rsidR="00DD1C86" w:rsidRPr="00DF6804" w:rsidRDefault="00DD1C86" w:rsidP="002A41DD">
            <w:pPr>
              <w:spacing w:line="280" w:lineRule="atLeast"/>
              <w:jc w:val="center"/>
              <w:rPr>
                <w:rFonts w:eastAsia="Calibri"/>
                <w:b/>
                <w:bCs/>
                <w:color w:val="000000"/>
                <w:sz w:val="18"/>
                <w:szCs w:val="22"/>
              </w:rPr>
            </w:pPr>
            <w:r>
              <w:rPr>
                <w:rFonts w:eastAsia="Calibri"/>
                <w:b/>
                <w:bCs/>
                <w:color w:val="000000"/>
                <w:sz w:val="18"/>
                <w:szCs w:val="22"/>
              </w:rPr>
              <w:t>OECD recommendation</w:t>
            </w:r>
          </w:p>
        </w:tc>
        <w:tc>
          <w:tcPr>
            <w:tcW w:w="2126" w:type="dxa"/>
            <w:tcBorders>
              <w:top w:val="single" w:sz="4" w:space="0" w:color="auto"/>
              <w:left w:val="nil"/>
              <w:bottom w:val="single" w:sz="4" w:space="0" w:color="auto"/>
              <w:right w:val="nil"/>
            </w:tcBorders>
          </w:tcPr>
          <w:p w:rsidR="00DD1C86" w:rsidRPr="00DF6804" w:rsidRDefault="00DD1C86" w:rsidP="002A41DD">
            <w:pPr>
              <w:spacing w:line="280" w:lineRule="atLeast"/>
              <w:jc w:val="center"/>
              <w:rPr>
                <w:rFonts w:eastAsia="Calibri"/>
                <w:b/>
                <w:bCs/>
                <w:color w:val="000000"/>
                <w:sz w:val="18"/>
                <w:szCs w:val="22"/>
              </w:rPr>
            </w:pPr>
            <w:r>
              <w:rPr>
                <w:rFonts w:eastAsia="Calibri"/>
                <w:b/>
                <w:bCs/>
                <w:color w:val="000000"/>
                <w:sz w:val="18"/>
                <w:szCs w:val="22"/>
              </w:rPr>
              <w:t>Current law</w:t>
            </w:r>
          </w:p>
        </w:tc>
        <w:tc>
          <w:tcPr>
            <w:tcW w:w="3118" w:type="dxa"/>
            <w:tcBorders>
              <w:top w:val="single" w:sz="4" w:space="0" w:color="auto"/>
              <w:left w:val="nil"/>
              <w:bottom w:val="single" w:sz="4" w:space="0" w:color="auto"/>
              <w:right w:val="nil"/>
            </w:tcBorders>
          </w:tcPr>
          <w:p w:rsidR="00DD1C86" w:rsidRPr="00DF6804" w:rsidRDefault="00DD1C86" w:rsidP="002A41DD">
            <w:pPr>
              <w:spacing w:line="280" w:lineRule="atLeast"/>
              <w:jc w:val="center"/>
              <w:rPr>
                <w:rFonts w:eastAsia="Calibri"/>
                <w:b/>
                <w:bCs/>
                <w:color w:val="000000"/>
                <w:sz w:val="18"/>
                <w:szCs w:val="22"/>
              </w:rPr>
            </w:pPr>
            <w:r>
              <w:rPr>
                <w:rFonts w:eastAsia="Calibri"/>
                <w:b/>
                <w:bCs/>
                <w:color w:val="000000"/>
                <w:sz w:val="18"/>
                <w:szCs w:val="22"/>
              </w:rPr>
              <w:t>NZ response to OECD recommendations</w:t>
            </w:r>
          </w:p>
        </w:tc>
        <w:tc>
          <w:tcPr>
            <w:tcW w:w="4427" w:type="dxa"/>
            <w:tcBorders>
              <w:top w:val="single" w:sz="4" w:space="0" w:color="auto"/>
              <w:left w:val="nil"/>
              <w:bottom w:val="single" w:sz="4" w:space="0" w:color="auto"/>
              <w:right w:val="nil"/>
            </w:tcBorders>
          </w:tcPr>
          <w:p w:rsidR="00DD1C86" w:rsidRPr="00DF6804" w:rsidRDefault="00DD1C86" w:rsidP="002A41DD">
            <w:pPr>
              <w:spacing w:line="280" w:lineRule="atLeast"/>
              <w:jc w:val="center"/>
              <w:rPr>
                <w:rFonts w:eastAsia="Calibri"/>
                <w:b/>
                <w:bCs/>
                <w:color w:val="000000"/>
                <w:sz w:val="18"/>
                <w:szCs w:val="22"/>
              </w:rPr>
            </w:pPr>
            <w:r>
              <w:rPr>
                <w:rFonts w:eastAsia="Calibri"/>
                <w:b/>
                <w:bCs/>
                <w:color w:val="000000"/>
                <w:sz w:val="18"/>
                <w:szCs w:val="22"/>
              </w:rPr>
              <w:t>Australian response to OECD recommendations</w:t>
            </w:r>
          </w:p>
        </w:tc>
      </w:tr>
      <w:tr w:rsidR="002B2350" w:rsidTr="00FF3845">
        <w:trPr>
          <w:cantSplit/>
          <w:trHeight w:val="556"/>
        </w:trPr>
        <w:tc>
          <w:tcPr>
            <w:tcW w:w="2093" w:type="dxa"/>
            <w:tcBorders>
              <w:top w:val="nil"/>
              <w:left w:val="nil"/>
              <w:bottom w:val="nil"/>
              <w:right w:val="nil"/>
            </w:tcBorders>
            <w:hideMark/>
          </w:tcPr>
          <w:p w:rsidR="002B2350" w:rsidRDefault="002B2350">
            <w:pPr>
              <w:spacing w:line="280" w:lineRule="atLeast"/>
              <w:rPr>
                <w:rFonts w:ascii="Verdana" w:eastAsia="Calibri" w:hAnsi="Verdana" w:cs="Arial"/>
                <w:b/>
                <w:bCs/>
                <w:color w:val="000000"/>
                <w:sz w:val="18"/>
                <w:szCs w:val="22"/>
              </w:rPr>
            </w:pPr>
            <w:r>
              <w:rPr>
                <w:rFonts w:eastAsia="Calibri"/>
                <w:b/>
                <w:bCs/>
                <w:color w:val="000000"/>
                <w:sz w:val="18"/>
                <w:szCs w:val="22"/>
              </w:rPr>
              <w:t>6 – Prevent treaty abuse</w:t>
            </w:r>
          </w:p>
        </w:tc>
        <w:tc>
          <w:tcPr>
            <w:tcW w:w="2410" w:type="dxa"/>
            <w:tcBorders>
              <w:top w:val="nil"/>
              <w:left w:val="nil"/>
              <w:bottom w:val="nil"/>
              <w:right w:val="nil"/>
            </w:tcBorders>
          </w:tcPr>
          <w:p w:rsidR="002B2350" w:rsidRDefault="002B2350">
            <w:pPr>
              <w:spacing w:line="280" w:lineRule="atLeast"/>
              <w:rPr>
                <w:rFonts w:ascii="Verdana" w:eastAsia="Calibri" w:hAnsi="Verdana" w:cs="Arial"/>
                <w:color w:val="000000"/>
                <w:sz w:val="18"/>
                <w:szCs w:val="22"/>
              </w:rPr>
            </w:pPr>
            <w:r>
              <w:rPr>
                <w:rFonts w:eastAsia="Calibri"/>
                <w:color w:val="000000"/>
                <w:sz w:val="18"/>
                <w:szCs w:val="22"/>
              </w:rPr>
              <w:t>Changes to the OECD Model Tax Convention and changes to DTAs through MLI to insert a general anti-avoidance provision called a “principal purpose test” (PPT).</w:t>
            </w:r>
          </w:p>
          <w:p w:rsidR="002B2350" w:rsidRDefault="002B2350">
            <w:pPr>
              <w:spacing w:line="280" w:lineRule="atLeast"/>
              <w:rPr>
                <w:rFonts w:eastAsia="Calibri"/>
                <w:color w:val="000000"/>
                <w:sz w:val="18"/>
                <w:szCs w:val="22"/>
              </w:rPr>
            </w:pPr>
          </w:p>
          <w:p w:rsidR="002B2350" w:rsidRDefault="002B2350">
            <w:pPr>
              <w:spacing w:line="280" w:lineRule="atLeast"/>
              <w:rPr>
                <w:rFonts w:ascii="Verdana" w:eastAsia="Calibri" w:hAnsi="Verdana" w:cs="Arial"/>
                <w:color w:val="000000"/>
                <w:sz w:val="18"/>
                <w:szCs w:val="22"/>
              </w:rPr>
            </w:pPr>
          </w:p>
        </w:tc>
        <w:tc>
          <w:tcPr>
            <w:tcW w:w="2126" w:type="dxa"/>
            <w:tcBorders>
              <w:top w:val="nil"/>
              <w:left w:val="nil"/>
              <w:bottom w:val="nil"/>
              <w:right w:val="nil"/>
            </w:tcBorders>
          </w:tcPr>
          <w:p w:rsidR="002B2350" w:rsidRDefault="002B2350">
            <w:pPr>
              <w:spacing w:line="280" w:lineRule="atLeast"/>
              <w:rPr>
                <w:rFonts w:ascii="Verdana" w:eastAsia="Calibri" w:hAnsi="Verdana" w:cs="Arial"/>
                <w:color w:val="000000"/>
                <w:sz w:val="18"/>
                <w:szCs w:val="22"/>
              </w:rPr>
            </w:pPr>
            <w:r>
              <w:rPr>
                <w:rFonts w:eastAsia="Calibri"/>
                <w:color w:val="000000"/>
                <w:sz w:val="18"/>
                <w:szCs w:val="22"/>
              </w:rPr>
              <w:t>NZ’s and Australia’s anti-avoidance law is generally strong, but MLI presents opportunity to further strengthen.</w:t>
            </w:r>
          </w:p>
          <w:p w:rsidR="002B2350" w:rsidRDefault="002B2350">
            <w:pPr>
              <w:spacing w:line="280" w:lineRule="atLeast"/>
              <w:rPr>
                <w:rFonts w:ascii="Verdana" w:eastAsia="Calibri" w:hAnsi="Verdana" w:cs="Arial"/>
                <w:color w:val="000000"/>
                <w:sz w:val="18"/>
                <w:szCs w:val="22"/>
              </w:rPr>
            </w:pPr>
          </w:p>
        </w:tc>
        <w:tc>
          <w:tcPr>
            <w:tcW w:w="3118" w:type="dxa"/>
            <w:tcBorders>
              <w:top w:val="nil"/>
              <w:left w:val="nil"/>
              <w:bottom w:val="nil"/>
              <w:right w:val="nil"/>
            </w:tcBorders>
          </w:tcPr>
          <w:p w:rsidR="002B2350" w:rsidRDefault="002B2350">
            <w:pPr>
              <w:spacing w:line="280" w:lineRule="atLeast"/>
              <w:rPr>
                <w:rFonts w:ascii="Verdana" w:eastAsia="Calibri" w:hAnsi="Verdana" w:cs="Arial"/>
                <w:color w:val="000000"/>
                <w:sz w:val="18"/>
                <w:szCs w:val="22"/>
              </w:rPr>
            </w:pPr>
            <w:r>
              <w:rPr>
                <w:rFonts w:eastAsia="Calibri"/>
                <w:color w:val="000000"/>
                <w:sz w:val="18"/>
                <w:szCs w:val="22"/>
              </w:rPr>
              <w:t xml:space="preserve">NZ to adopt PPT through signing the MLI.  </w:t>
            </w:r>
          </w:p>
          <w:p w:rsidR="002B2350" w:rsidRDefault="002B2350">
            <w:pPr>
              <w:spacing w:line="280" w:lineRule="atLeast"/>
              <w:rPr>
                <w:rFonts w:eastAsia="Calibri"/>
                <w:color w:val="000000"/>
                <w:sz w:val="18"/>
                <w:szCs w:val="22"/>
              </w:rPr>
            </w:pPr>
          </w:p>
          <w:p w:rsidR="002B2350" w:rsidRDefault="002B2350">
            <w:pPr>
              <w:spacing w:line="280" w:lineRule="atLeast"/>
              <w:rPr>
                <w:rFonts w:eastAsia="Calibri"/>
                <w:i/>
                <w:color w:val="000000"/>
                <w:sz w:val="18"/>
                <w:szCs w:val="22"/>
              </w:rPr>
            </w:pPr>
            <w:r>
              <w:rPr>
                <w:rFonts w:eastAsia="Calibri"/>
                <w:i/>
                <w:color w:val="000000"/>
                <w:sz w:val="18"/>
                <w:szCs w:val="22"/>
              </w:rPr>
              <w:t>Consulted on MLI in March 2017.  NZ signed the MLI on 7 June 2017. Ratification of the MLI will follow.</w:t>
            </w:r>
          </w:p>
          <w:p w:rsidR="002B2350" w:rsidRDefault="002B2350">
            <w:pPr>
              <w:spacing w:line="280" w:lineRule="atLeast"/>
              <w:rPr>
                <w:rFonts w:ascii="Verdana" w:eastAsia="Calibri" w:hAnsi="Verdana" w:cs="Arial"/>
                <w:color w:val="000000"/>
                <w:sz w:val="18"/>
                <w:szCs w:val="22"/>
              </w:rPr>
            </w:pPr>
          </w:p>
        </w:tc>
        <w:tc>
          <w:tcPr>
            <w:tcW w:w="4427" w:type="dxa"/>
            <w:tcBorders>
              <w:top w:val="nil"/>
              <w:left w:val="nil"/>
              <w:bottom w:val="nil"/>
              <w:right w:val="nil"/>
            </w:tcBorders>
          </w:tcPr>
          <w:p w:rsidR="002B2350" w:rsidRDefault="002B2350">
            <w:pPr>
              <w:spacing w:line="280" w:lineRule="atLeast"/>
              <w:rPr>
                <w:rFonts w:ascii="Verdana" w:eastAsia="Calibri" w:hAnsi="Verdana" w:cs="Arial"/>
                <w:color w:val="000000"/>
                <w:sz w:val="18"/>
                <w:szCs w:val="22"/>
              </w:rPr>
            </w:pPr>
            <w:r>
              <w:rPr>
                <w:rFonts w:eastAsia="Calibri"/>
                <w:b/>
                <w:color w:val="000000"/>
                <w:sz w:val="18"/>
                <w:szCs w:val="22"/>
              </w:rPr>
              <w:t>Same response as New Zealand</w:t>
            </w:r>
            <w:r>
              <w:rPr>
                <w:rFonts w:eastAsia="Calibri"/>
                <w:color w:val="000000"/>
                <w:sz w:val="18"/>
                <w:szCs w:val="22"/>
              </w:rPr>
              <w:t xml:space="preserve">. Australia to adopt PPT through signing the MLI.  </w:t>
            </w:r>
          </w:p>
          <w:p w:rsidR="002B2350" w:rsidRDefault="002B2350">
            <w:pPr>
              <w:spacing w:line="280" w:lineRule="atLeast"/>
              <w:rPr>
                <w:rFonts w:eastAsia="Calibri"/>
                <w:color w:val="000000"/>
                <w:sz w:val="18"/>
                <w:szCs w:val="22"/>
              </w:rPr>
            </w:pPr>
          </w:p>
          <w:p w:rsidR="002B2350" w:rsidRDefault="002B2350">
            <w:pPr>
              <w:spacing w:line="280" w:lineRule="atLeast"/>
              <w:rPr>
                <w:rFonts w:ascii="Verdana" w:eastAsia="Calibri" w:hAnsi="Verdana" w:cs="Arial"/>
                <w:i/>
                <w:color w:val="000000"/>
                <w:sz w:val="18"/>
                <w:szCs w:val="22"/>
              </w:rPr>
            </w:pPr>
            <w:r>
              <w:rPr>
                <w:rFonts w:eastAsia="Calibri"/>
                <w:i/>
                <w:color w:val="000000"/>
                <w:sz w:val="18"/>
                <w:szCs w:val="22"/>
              </w:rPr>
              <w:t>Consulted on MLI in December 2016.  Australia signed the MLI on 7 June 2017. Ratification of the MLI will follow.</w:t>
            </w:r>
          </w:p>
        </w:tc>
      </w:tr>
      <w:tr w:rsidR="002B2350" w:rsidTr="00FF3845">
        <w:trPr>
          <w:cantSplit/>
          <w:trHeight w:val="556"/>
        </w:trPr>
        <w:tc>
          <w:tcPr>
            <w:tcW w:w="2093" w:type="dxa"/>
            <w:tcBorders>
              <w:top w:val="nil"/>
              <w:left w:val="nil"/>
              <w:bottom w:val="nil"/>
              <w:right w:val="nil"/>
            </w:tcBorders>
            <w:shd w:val="clear" w:color="auto" w:fill="C0C0C0"/>
          </w:tcPr>
          <w:p w:rsidR="002B2350" w:rsidRDefault="002B2350">
            <w:pPr>
              <w:spacing w:line="280" w:lineRule="atLeast"/>
              <w:rPr>
                <w:rFonts w:ascii="Verdana" w:eastAsia="Calibri" w:hAnsi="Verdana" w:cs="Arial"/>
                <w:b/>
                <w:bCs/>
                <w:color w:val="000000"/>
                <w:sz w:val="18"/>
                <w:szCs w:val="22"/>
              </w:rPr>
            </w:pPr>
            <w:r>
              <w:rPr>
                <w:rFonts w:eastAsia="Calibri"/>
                <w:b/>
                <w:bCs/>
                <w:color w:val="000000"/>
                <w:sz w:val="18"/>
                <w:szCs w:val="22"/>
              </w:rPr>
              <w:t>7 – Prevent the artificial avoidance of Permanent Establishment (PE) status</w:t>
            </w:r>
          </w:p>
          <w:p w:rsidR="002B2350" w:rsidRDefault="002B2350">
            <w:pPr>
              <w:spacing w:line="280" w:lineRule="atLeast"/>
              <w:rPr>
                <w:rFonts w:ascii="Verdana" w:eastAsia="Calibri" w:hAnsi="Verdana" w:cs="Arial"/>
                <w:b/>
                <w:bCs/>
                <w:color w:val="000000"/>
                <w:sz w:val="18"/>
                <w:szCs w:val="22"/>
              </w:rPr>
            </w:pPr>
          </w:p>
        </w:tc>
        <w:tc>
          <w:tcPr>
            <w:tcW w:w="2410" w:type="dxa"/>
            <w:tcBorders>
              <w:top w:val="nil"/>
              <w:left w:val="nil"/>
              <w:bottom w:val="nil"/>
              <w:right w:val="nil"/>
            </w:tcBorders>
            <w:shd w:val="clear" w:color="auto" w:fill="C0C0C0"/>
          </w:tcPr>
          <w:p w:rsidR="002B2350" w:rsidRDefault="002B2350">
            <w:pPr>
              <w:spacing w:line="280" w:lineRule="atLeast"/>
              <w:rPr>
                <w:rFonts w:ascii="Verdana" w:eastAsia="Calibri" w:hAnsi="Verdana" w:cs="Arial"/>
                <w:color w:val="000000"/>
                <w:sz w:val="18"/>
                <w:szCs w:val="22"/>
              </w:rPr>
            </w:pPr>
            <w:r>
              <w:rPr>
                <w:rFonts w:eastAsia="Calibri"/>
                <w:color w:val="000000"/>
                <w:sz w:val="18"/>
                <w:szCs w:val="22"/>
              </w:rPr>
              <w:t>Changes to the OECD Model Tax Convention and changes to DTAs through MLI to prevent PE avoidance.</w:t>
            </w:r>
          </w:p>
          <w:p w:rsidR="002B2350" w:rsidRDefault="002B2350">
            <w:pPr>
              <w:spacing w:line="280" w:lineRule="atLeast"/>
              <w:rPr>
                <w:rFonts w:ascii="Verdana" w:eastAsia="Calibri" w:hAnsi="Verdana" w:cs="Arial"/>
                <w:color w:val="000000"/>
                <w:sz w:val="18"/>
                <w:szCs w:val="22"/>
              </w:rPr>
            </w:pPr>
          </w:p>
        </w:tc>
        <w:tc>
          <w:tcPr>
            <w:tcW w:w="2126" w:type="dxa"/>
            <w:tcBorders>
              <w:top w:val="nil"/>
              <w:left w:val="nil"/>
              <w:bottom w:val="nil"/>
              <w:right w:val="nil"/>
            </w:tcBorders>
            <w:shd w:val="clear" w:color="auto" w:fill="C0C0C0"/>
          </w:tcPr>
          <w:p w:rsidR="002B2350" w:rsidRDefault="002B2350">
            <w:pPr>
              <w:spacing w:line="280" w:lineRule="atLeast"/>
              <w:rPr>
                <w:rFonts w:ascii="Verdana" w:eastAsia="Calibri" w:hAnsi="Verdana" w:cs="Arial"/>
                <w:color w:val="000000"/>
                <w:sz w:val="18"/>
                <w:szCs w:val="22"/>
              </w:rPr>
            </w:pPr>
            <w:r>
              <w:rPr>
                <w:rFonts w:eastAsia="Calibri"/>
                <w:color w:val="000000"/>
                <w:sz w:val="18"/>
                <w:szCs w:val="22"/>
              </w:rPr>
              <w:t>NZ’s and Australia’s PE definition is generally based on the existing OECD and UN Models.</w:t>
            </w:r>
          </w:p>
          <w:p w:rsidR="002B2350" w:rsidRDefault="002B2350">
            <w:pPr>
              <w:spacing w:line="280" w:lineRule="atLeast"/>
              <w:rPr>
                <w:rFonts w:ascii="Verdana" w:eastAsia="Calibri" w:hAnsi="Verdana" w:cs="Arial"/>
                <w:color w:val="000000"/>
                <w:sz w:val="18"/>
                <w:szCs w:val="22"/>
              </w:rPr>
            </w:pPr>
          </w:p>
        </w:tc>
        <w:tc>
          <w:tcPr>
            <w:tcW w:w="3118" w:type="dxa"/>
            <w:tcBorders>
              <w:top w:val="nil"/>
              <w:left w:val="nil"/>
              <w:bottom w:val="nil"/>
              <w:right w:val="nil"/>
            </w:tcBorders>
            <w:shd w:val="clear" w:color="auto" w:fill="C0C0C0"/>
          </w:tcPr>
          <w:p w:rsidR="002B2350" w:rsidRDefault="002B2350">
            <w:pPr>
              <w:spacing w:line="280" w:lineRule="atLeast"/>
              <w:rPr>
                <w:rFonts w:ascii="Verdana" w:eastAsia="Calibri" w:hAnsi="Verdana" w:cs="Arial"/>
                <w:color w:val="000000"/>
                <w:sz w:val="18"/>
                <w:szCs w:val="22"/>
              </w:rPr>
            </w:pPr>
            <w:r>
              <w:rPr>
                <w:rFonts w:eastAsia="Calibri"/>
                <w:color w:val="000000"/>
                <w:sz w:val="18"/>
                <w:szCs w:val="22"/>
              </w:rPr>
              <w:t xml:space="preserve">NZ to implement OECD best practice standards for majority of DTAs by signing the MLI. </w:t>
            </w:r>
          </w:p>
          <w:p w:rsidR="002B2350" w:rsidRDefault="002B2350">
            <w:pPr>
              <w:spacing w:line="280" w:lineRule="atLeast"/>
              <w:rPr>
                <w:rFonts w:eastAsia="Calibri"/>
                <w:i/>
                <w:color w:val="000000"/>
                <w:sz w:val="18"/>
                <w:szCs w:val="22"/>
              </w:rPr>
            </w:pPr>
          </w:p>
          <w:p w:rsidR="002B2350" w:rsidRDefault="002B2350">
            <w:pPr>
              <w:spacing w:line="280" w:lineRule="atLeast"/>
              <w:rPr>
                <w:rFonts w:eastAsia="Calibri"/>
                <w:color w:val="000000"/>
                <w:sz w:val="18"/>
                <w:szCs w:val="22"/>
              </w:rPr>
            </w:pPr>
            <w:r>
              <w:rPr>
                <w:rFonts w:eastAsia="Calibri"/>
                <w:i/>
                <w:color w:val="000000"/>
                <w:sz w:val="18"/>
                <w:szCs w:val="22"/>
              </w:rPr>
              <w:t>Consulted on MLI in March and signed MLI on 7 June 2017. Ratification of the MLI will follow.</w:t>
            </w:r>
          </w:p>
          <w:p w:rsidR="002B2350" w:rsidRDefault="002B2350">
            <w:pPr>
              <w:spacing w:line="280" w:lineRule="atLeast"/>
              <w:rPr>
                <w:rFonts w:eastAsia="Calibri"/>
                <w:color w:val="000000"/>
                <w:sz w:val="18"/>
                <w:szCs w:val="22"/>
              </w:rPr>
            </w:pPr>
          </w:p>
          <w:p w:rsidR="002B2350" w:rsidRDefault="002B2350">
            <w:pPr>
              <w:spacing w:line="280" w:lineRule="atLeast"/>
              <w:rPr>
                <w:rFonts w:eastAsia="Calibri"/>
                <w:color w:val="000000"/>
                <w:sz w:val="18"/>
                <w:szCs w:val="22"/>
              </w:rPr>
            </w:pPr>
          </w:p>
          <w:p w:rsidR="002B2350" w:rsidRDefault="002B2350">
            <w:pPr>
              <w:spacing w:line="280" w:lineRule="atLeast"/>
              <w:rPr>
                <w:rFonts w:eastAsia="Calibri"/>
                <w:color w:val="000000"/>
                <w:sz w:val="18"/>
                <w:szCs w:val="22"/>
              </w:rPr>
            </w:pPr>
          </w:p>
          <w:p w:rsidR="002B2350" w:rsidRDefault="002B2350">
            <w:pPr>
              <w:spacing w:line="280" w:lineRule="atLeast"/>
              <w:rPr>
                <w:rFonts w:eastAsia="Calibri"/>
                <w:color w:val="000000"/>
                <w:sz w:val="18"/>
                <w:szCs w:val="22"/>
              </w:rPr>
            </w:pPr>
            <w:r>
              <w:rPr>
                <w:rFonts w:eastAsia="Calibri"/>
                <w:color w:val="000000"/>
                <w:sz w:val="18"/>
                <w:szCs w:val="22"/>
              </w:rPr>
              <w:t xml:space="preserve">NZ also proposing a new anti-avoidance rule for large multinationals that structure to avoid having PE in NZ. </w:t>
            </w:r>
          </w:p>
          <w:p w:rsidR="002B2350" w:rsidRDefault="002B2350">
            <w:pPr>
              <w:spacing w:line="280" w:lineRule="atLeast"/>
              <w:rPr>
                <w:rFonts w:eastAsia="Calibri"/>
                <w:color w:val="000000"/>
                <w:sz w:val="18"/>
                <w:szCs w:val="22"/>
              </w:rPr>
            </w:pPr>
          </w:p>
          <w:p w:rsidR="002B2350" w:rsidRDefault="002B2350">
            <w:pPr>
              <w:spacing w:line="280" w:lineRule="atLeast"/>
              <w:rPr>
                <w:rFonts w:eastAsia="Calibri"/>
                <w:i/>
                <w:color w:val="000000"/>
                <w:sz w:val="18"/>
                <w:szCs w:val="22"/>
              </w:rPr>
            </w:pPr>
            <w:r>
              <w:rPr>
                <w:rFonts w:eastAsia="Calibri"/>
                <w:i/>
                <w:color w:val="000000"/>
                <w:sz w:val="18"/>
                <w:szCs w:val="22"/>
              </w:rPr>
              <w:t>Consultation on PE anti-avoidance rule in March 2017. Legislation planned for 2017/18.</w:t>
            </w:r>
          </w:p>
          <w:p w:rsidR="002B2350" w:rsidRDefault="002B2350">
            <w:pPr>
              <w:spacing w:line="280" w:lineRule="atLeast"/>
              <w:rPr>
                <w:rFonts w:eastAsia="Calibri"/>
                <w:i/>
                <w:color w:val="000000"/>
                <w:sz w:val="18"/>
                <w:szCs w:val="22"/>
              </w:rPr>
            </w:pPr>
          </w:p>
          <w:p w:rsidR="002B2350" w:rsidRDefault="002B2350">
            <w:pPr>
              <w:spacing w:line="280" w:lineRule="atLeast"/>
              <w:rPr>
                <w:rFonts w:ascii="Verdana" w:eastAsia="Calibri" w:hAnsi="Verdana" w:cs="Arial"/>
                <w:color w:val="000000"/>
                <w:sz w:val="18"/>
                <w:szCs w:val="22"/>
              </w:rPr>
            </w:pPr>
          </w:p>
        </w:tc>
        <w:tc>
          <w:tcPr>
            <w:tcW w:w="4427" w:type="dxa"/>
            <w:tcBorders>
              <w:top w:val="nil"/>
              <w:left w:val="nil"/>
              <w:bottom w:val="nil"/>
              <w:right w:val="nil"/>
            </w:tcBorders>
            <w:shd w:val="clear" w:color="auto" w:fill="C0C0C0"/>
          </w:tcPr>
          <w:p w:rsidR="002B2350" w:rsidRDefault="002B2350">
            <w:pPr>
              <w:spacing w:line="280" w:lineRule="atLeast"/>
              <w:rPr>
                <w:rFonts w:ascii="Verdana" w:eastAsia="Calibri" w:hAnsi="Verdana" w:cs="Arial"/>
                <w:b/>
                <w:color w:val="000000"/>
                <w:sz w:val="18"/>
                <w:szCs w:val="22"/>
              </w:rPr>
            </w:pPr>
            <w:r>
              <w:rPr>
                <w:rFonts w:eastAsia="Calibri"/>
                <w:b/>
                <w:color w:val="000000"/>
                <w:sz w:val="18"/>
                <w:szCs w:val="22"/>
              </w:rPr>
              <w:t xml:space="preserve">Similar response to New Zealand on some of the PE measures, but Australia has chosen not to implement changes to the DTA dependant agent PE provision through the MLI, but rather adopt them through bilateral negotiations. </w:t>
            </w:r>
          </w:p>
          <w:p w:rsidR="002B2350" w:rsidRDefault="002B2350">
            <w:pPr>
              <w:spacing w:line="280" w:lineRule="atLeast"/>
              <w:rPr>
                <w:rFonts w:eastAsia="Calibri"/>
                <w:color w:val="000000"/>
                <w:sz w:val="18"/>
                <w:szCs w:val="22"/>
              </w:rPr>
            </w:pPr>
          </w:p>
          <w:p w:rsidR="002B2350" w:rsidRDefault="002B2350">
            <w:pPr>
              <w:spacing w:line="280" w:lineRule="atLeast"/>
              <w:rPr>
                <w:rFonts w:eastAsia="Calibri"/>
                <w:i/>
                <w:color w:val="000000"/>
                <w:sz w:val="18"/>
                <w:szCs w:val="22"/>
              </w:rPr>
            </w:pPr>
            <w:r>
              <w:rPr>
                <w:rFonts w:eastAsia="Calibri"/>
                <w:i/>
                <w:color w:val="000000"/>
                <w:sz w:val="18"/>
                <w:szCs w:val="22"/>
              </w:rPr>
              <w:t>Consulted on MLI in December 2016.  Australia signed the MLI on 7 June 2017. Ratification of the MLI will follow.</w:t>
            </w:r>
          </w:p>
          <w:p w:rsidR="002B2350" w:rsidRDefault="002B2350">
            <w:pPr>
              <w:spacing w:line="280" w:lineRule="atLeast"/>
              <w:rPr>
                <w:rFonts w:eastAsia="Calibri"/>
                <w:color w:val="000000"/>
                <w:sz w:val="18"/>
                <w:szCs w:val="22"/>
              </w:rPr>
            </w:pPr>
          </w:p>
          <w:p w:rsidR="002B2350" w:rsidRDefault="002B2350">
            <w:pPr>
              <w:spacing w:line="280" w:lineRule="atLeast"/>
              <w:rPr>
                <w:rFonts w:eastAsia="Calibri"/>
                <w:color w:val="000000"/>
                <w:sz w:val="18"/>
                <w:szCs w:val="22"/>
              </w:rPr>
            </w:pPr>
            <w:r>
              <w:rPr>
                <w:rFonts w:eastAsia="Calibri"/>
                <w:color w:val="000000"/>
                <w:sz w:val="18"/>
                <w:szCs w:val="22"/>
              </w:rPr>
              <w:t xml:space="preserve">Australia’s Multinational Anti-Avoidance Law (MAAL) targets PE avoidance. </w:t>
            </w:r>
          </w:p>
          <w:p w:rsidR="002B2350" w:rsidRDefault="002B2350">
            <w:pPr>
              <w:spacing w:line="280" w:lineRule="atLeast"/>
              <w:rPr>
                <w:rFonts w:eastAsia="Calibri"/>
                <w:color w:val="000000"/>
                <w:sz w:val="18"/>
                <w:szCs w:val="22"/>
              </w:rPr>
            </w:pPr>
          </w:p>
          <w:p w:rsidR="002B2350" w:rsidRDefault="002B2350">
            <w:pPr>
              <w:spacing w:line="280" w:lineRule="atLeast"/>
              <w:rPr>
                <w:rFonts w:ascii="Verdana" w:eastAsia="Calibri" w:hAnsi="Verdana" w:cs="Arial"/>
                <w:i/>
                <w:color w:val="000000"/>
                <w:sz w:val="18"/>
                <w:szCs w:val="22"/>
              </w:rPr>
            </w:pPr>
            <w:r>
              <w:rPr>
                <w:rFonts w:eastAsia="Calibri"/>
                <w:i/>
                <w:color w:val="000000"/>
                <w:sz w:val="18"/>
                <w:szCs w:val="22"/>
              </w:rPr>
              <w:t>Applies from 1 January 2016.</w:t>
            </w:r>
          </w:p>
        </w:tc>
      </w:tr>
      <w:tr w:rsidR="00DD1C86" w:rsidTr="00342FF7">
        <w:trPr>
          <w:cantSplit/>
          <w:trHeight w:val="556"/>
        </w:trPr>
        <w:tc>
          <w:tcPr>
            <w:tcW w:w="2093" w:type="dxa"/>
            <w:tcBorders>
              <w:top w:val="nil"/>
              <w:left w:val="nil"/>
              <w:bottom w:val="single" w:sz="4" w:space="0" w:color="auto"/>
              <w:right w:val="nil"/>
            </w:tcBorders>
            <w:shd w:val="clear" w:color="auto" w:fill="C0C0C0"/>
          </w:tcPr>
          <w:p w:rsidR="00DD1C86" w:rsidRDefault="00DD1C86">
            <w:pPr>
              <w:spacing w:line="280" w:lineRule="atLeast"/>
              <w:rPr>
                <w:rFonts w:eastAsia="Calibri"/>
                <w:b/>
                <w:bCs/>
                <w:color w:val="000000"/>
                <w:sz w:val="18"/>
                <w:szCs w:val="22"/>
              </w:rPr>
            </w:pPr>
          </w:p>
        </w:tc>
        <w:tc>
          <w:tcPr>
            <w:tcW w:w="2410" w:type="dxa"/>
            <w:tcBorders>
              <w:top w:val="nil"/>
              <w:left w:val="nil"/>
              <w:bottom w:val="single" w:sz="4" w:space="0" w:color="auto"/>
              <w:right w:val="nil"/>
            </w:tcBorders>
            <w:shd w:val="clear" w:color="auto" w:fill="C0C0C0"/>
          </w:tcPr>
          <w:p w:rsidR="00DD1C86" w:rsidRDefault="00DD1C86">
            <w:pPr>
              <w:spacing w:line="280" w:lineRule="atLeast"/>
              <w:rPr>
                <w:rFonts w:eastAsia="Calibri"/>
                <w:color w:val="000000"/>
                <w:sz w:val="18"/>
                <w:szCs w:val="22"/>
              </w:rPr>
            </w:pPr>
          </w:p>
        </w:tc>
        <w:tc>
          <w:tcPr>
            <w:tcW w:w="2126" w:type="dxa"/>
            <w:tcBorders>
              <w:top w:val="nil"/>
              <w:left w:val="nil"/>
              <w:bottom w:val="single" w:sz="4" w:space="0" w:color="auto"/>
              <w:right w:val="nil"/>
            </w:tcBorders>
            <w:shd w:val="clear" w:color="auto" w:fill="C0C0C0"/>
          </w:tcPr>
          <w:p w:rsidR="00DD1C86" w:rsidRDefault="00DD1C86">
            <w:pPr>
              <w:spacing w:line="280" w:lineRule="atLeast"/>
              <w:rPr>
                <w:rFonts w:eastAsia="Calibri"/>
                <w:color w:val="000000"/>
                <w:sz w:val="18"/>
                <w:szCs w:val="22"/>
              </w:rPr>
            </w:pPr>
          </w:p>
        </w:tc>
        <w:tc>
          <w:tcPr>
            <w:tcW w:w="3118" w:type="dxa"/>
            <w:tcBorders>
              <w:top w:val="nil"/>
              <w:left w:val="nil"/>
              <w:bottom w:val="single" w:sz="4" w:space="0" w:color="auto"/>
              <w:right w:val="nil"/>
            </w:tcBorders>
            <w:shd w:val="clear" w:color="auto" w:fill="C0C0C0"/>
          </w:tcPr>
          <w:p w:rsidR="00DD1C86" w:rsidRDefault="00DD1C86">
            <w:pPr>
              <w:spacing w:line="280" w:lineRule="atLeast"/>
              <w:rPr>
                <w:rFonts w:eastAsia="Calibri"/>
                <w:color w:val="000000"/>
                <w:sz w:val="18"/>
                <w:szCs w:val="22"/>
              </w:rPr>
            </w:pPr>
          </w:p>
        </w:tc>
        <w:tc>
          <w:tcPr>
            <w:tcW w:w="4427" w:type="dxa"/>
            <w:tcBorders>
              <w:top w:val="nil"/>
              <w:left w:val="nil"/>
              <w:bottom w:val="single" w:sz="4" w:space="0" w:color="auto"/>
              <w:right w:val="nil"/>
            </w:tcBorders>
            <w:shd w:val="clear" w:color="auto" w:fill="C0C0C0"/>
          </w:tcPr>
          <w:p w:rsidR="00DD1C86" w:rsidRDefault="00DD1C86">
            <w:pPr>
              <w:spacing w:line="280" w:lineRule="atLeast"/>
              <w:rPr>
                <w:rFonts w:eastAsia="Calibri"/>
                <w:b/>
                <w:color w:val="000000"/>
                <w:sz w:val="18"/>
                <w:szCs w:val="22"/>
              </w:rPr>
            </w:pPr>
          </w:p>
        </w:tc>
      </w:tr>
      <w:tr w:rsidR="00DD1C86" w:rsidTr="00342FF7">
        <w:trPr>
          <w:cantSplit/>
          <w:trHeight w:val="410"/>
        </w:trPr>
        <w:tc>
          <w:tcPr>
            <w:tcW w:w="2093" w:type="dxa"/>
            <w:tcBorders>
              <w:top w:val="single" w:sz="4" w:space="0" w:color="auto"/>
              <w:left w:val="nil"/>
              <w:bottom w:val="single" w:sz="4" w:space="0" w:color="auto"/>
              <w:right w:val="nil"/>
            </w:tcBorders>
            <w:shd w:val="clear" w:color="auto" w:fill="auto"/>
          </w:tcPr>
          <w:p w:rsidR="00DD1C86" w:rsidRDefault="00DD1C86" w:rsidP="00342FF7">
            <w:pPr>
              <w:spacing w:line="280" w:lineRule="atLeast"/>
              <w:jc w:val="center"/>
              <w:rPr>
                <w:rFonts w:eastAsia="Calibri"/>
                <w:b/>
                <w:bCs/>
                <w:color w:val="000000"/>
                <w:sz w:val="18"/>
                <w:szCs w:val="22"/>
              </w:rPr>
            </w:pPr>
            <w:r>
              <w:rPr>
                <w:rFonts w:eastAsia="Calibri"/>
                <w:b/>
                <w:bCs/>
                <w:color w:val="000000"/>
                <w:sz w:val="18"/>
                <w:szCs w:val="22"/>
              </w:rPr>
              <w:t>Action Report</w:t>
            </w:r>
          </w:p>
        </w:tc>
        <w:tc>
          <w:tcPr>
            <w:tcW w:w="2410" w:type="dxa"/>
            <w:tcBorders>
              <w:top w:val="single" w:sz="4" w:space="0" w:color="auto"/>
              <w:left w:val="nil"/>
              <w:bottom w:val="single" w:sz="4" w:space="0" w:color="auto"/>
              <w:right w:val="nil"/>
            </w:tcBorders>
            <w:shd w:val="clear" w:color="auto" w:fill="auto"/>
          </w:tcPr>
          <w:p w:rsidR="00DD1C86" w:rsidRPr="00342FF7" w:rsidRDefault="00DD1C86" w:rsidP="00342FF7">
            <w:pPr>
              <w:spacing w:line="280" w:lineRule="atLeast"/>
              <w:jc w:val="center"/>
              <w:rPr>
                <w:rFonts w:eastAsia="Calibri"/>
                <w:b/>
                <w:bCs/>
                <w:color w:val="000000"/>
                <w:sz w:val="18"/>
                <w:szCs w:val="22"/>
              </w:rPr>
            </w:pPr>
            <w:r>
              <w:rPr>
                <w:rFonts w:eastAsia="Calibri"/>
                <w:b/>
                <w:bCs/>
                <w:color w:val="000000"/>
                <w:sz w:val="18"/>
                <w:szCs w:val="22"/>
              </w:rPr>
              <w:t>OECD recommendation</w:t>
            </w:r>
          </w:p>
        </w:tc>
        <w:tc>
          <w:tcPr>
            <w:tcW w:w="2126" w:type="dxa"/>
            <w:tcBorders>
              <w:top w:val="single" w:sz="4" w:space="0" w:color="auto"/>
              <w:left w:val="nil"/>
              <w:bottom w:val="single" w:sz="4" w:space="0" w:color="auto"/>
              <w:right w:val="nil"/>
            </w:tcBorders>
            <w:shd w:val="clear" w:color="auto" w:fill="auto"/>
          </w:tcPr>
          <w:p w:rsidR="00DD1C86" w:rsidRPr="00342FF7" w:rsidRDefault="00DD1C86" w:rsidP="00342FF7">
            <w:pPr>
              <w:spacing w:line="280" w:lineRule="atLeast"/>
              <w:jc w:val="center"/>
              <w:rPr>
                <w:rFonts w:eastAsia="Calibri"/>
                <w:b/>
                <w:bCs/>
                <w:color w:val="000000"/>
                <w:sz w:val="18"/>
                <w:szCs w:val="22"/>
              </w:rPr>
            </w:pPr>
            <w:r>
              <w:rPr>
                <w:rFonts w:eastAsia="Calibri"/>
                <w:b/>
                <w:bCs/>
                <w:color w:val="000000"/>
                <w:sz w:val="18"/>
                <w:szCs w:val="22"/>
              </w:rPr>
              <w:t>Current law</w:t>
            </w:r>
          </w:p>
        </w:tc>
        <w:tc>
          <w:tcPr>
            <w:tcW w:w="3118" w:type="dxa"/>
            <w:tcBorders>
              <w:top w:val="single" w:sz="4" w:space="0" w:color="auto"/>
              <w:left w:val="nil"/>
              <w:bottom w:val="single" w:sz="4" w:space="0" w:color="auto"/>
              <w:right w:val="nil"/>
            </w:tcBorders>
            <w:shd w:val="clear" w:color="auto" w:fill="auto"/>
          </w:tcPr>
          <w:p w:rsidR="00DD1C86" w:rsidRPr="00342FF7" w:rsidRDefault="00DD1C86" w:rsidP="00342FF7">
            <w:pPr>
              <w:spacing w:line="280" w:lineRule="atLeast"/>
              <w:jc w:val="center"/>
              <w:rPr>
                <w:rFonts w:eastAsia="Calibri"/>
                <w:b/>
                <w:bCs/>
                <w:color w:val="000000"/>
                <w:sz w:val="18"/>
                <w:szCs w:val="22"/>
              </w:rPr>
            </w:pPr>
            <w:r>
              <w:rPr>
                <w:rFonts w:eastAsia="Calibri"/>
                <w:b/>
                <w:bCs/>
                <w:color w:val="000000"/>
                <w:sz w:val="18"/>
                <w:szCs w:val="22"/>
              </w:rPr>
              <w:t>NZ response to OECD recommendations</w:t>
            </w:r>
          </w:p>
        </w:tc>
        <w:tc>
          <w:tcPr>
            <w:tcW w:w="4427" w:type="dxa"/>
            <w:tcBorders>
              <w:top w:val="single" w:sz="4" w:space="0" w:color="auto"/>
              <w:left w:val="nil"/>
              <w:bottom w:val="single" w:sz="4" w:space="0" w:color="auto"/>
              <w:right w:val="nil"/>
            </w:tcBorders>
            <w:shd w:val="clear" w:color="auto" w:fill="auto"/>
          </w:tcPr>
          <w:p w:rsidR="00DD1C86" w:rsidRPr="00342FF7" w:rsidRDefault="00DD1C86" w:rsidP="00342FF7">
            <w:pPr>
              <w:spacing w:line="280" w:lineRule="atLeast"/>
              <w:jc w:val="center"/>
              <w:rPr>
                <w:rFonts w:eastAsia="Calibri"/>
                <w:b/>
                <w:bCs/>
                <w:color w:val="000000"/>
                <w:sz w:val="18"/>
                <w:szCs w:val="22"/>
              </w:rPr>
            </w:pPr>
            <w:r>
              <w:rPr>
                <w:rFonts w:eastAsia="Calibri"/>
                <w:b/>
                <w:bCs/>
                <w:color w:val="000000"/>
                <w:sz w:val="18"/>
                <w:szCs w:val="22"/>
              </w:rPr>
              <w:t>Australian response to OECD recommendations</w:t>
            </w:r>
          </w:p>
        </w:tc>
      </w:tr>
      <w:tr w:rsidR="00DD1C86" w:rsidTr="00342FF7">
        <w:trPr>
          <w:cantSplit/>
          <w:trHeight w:val="556"/>
        </w:trPr>
        <w:tc>
          <w:tcPr>
            <w:tcW w:w="2093" w:type="dxa"/>
            <w:tcBorders>
              <w:top w:val="single" w:sz="4" w:space="0" w:color="auto"/>
              <w:left w:val="nil"/>
              <w:bottom w:val="nil"/>
              <w:right w:val="nil"/>
            </w:tcBorders>
            <w:hideMark/>
          </w:tcPr>
          <w:p w:rsidR="00DD1C86" w:rsidRDefault="00DD1C86">
            <w:pPr>
              <w:spacing w:line="280" w:lineRule="atLeast"/>
              <w:rPr>
                <w:rFonts w:ascii="Verdana" w:eastAsia="Calibri" w:hAnsi="Verdana" w:cs="Arial"/>
                <w:b/>
                <w:bCs/>
                <w:color w:val="000000"/>
                <w:sz w:val="18"/>
                <w:szCs w:val="22"/>
              </w:rPr>
            </w:pPr>
            <w:r>
              <w:rPr>
                <w:rFonts w:eastAsia="Calibri"/>
                <w:b/>
                <w:bCs/>
                <w:color w:val="000000"/>
                <w:sz w:val="18"/>
                <w:szCs w:val="22"/>
              </w:rPr>
              <w:t>Actions 8-10 – relate to transfer pricing to ensure transfer pricing reflects economic substance</w:t>
            </w:r>
          </w:p>
        </w:tc>
        <w:tc>
          <w:tcPr>
            <w:tcW w:w="2410" w:type="dxa"/>
            <w:tcBorders>
              <w:top w:val="single" w:sz="4" w:space="0" w:color="auto"/>
              <w:left w:val="nil"/>
              <w:bottom w:val="nil"/>
              <w:right w:val="nil"/>
            </w:tcBorders>
            <w:hideMark/>
          </w:tcPr>
          <w:p w:rsidR="00DD1C86" w:rsidRDefault="00DD1C86">
            <w:pPr>
              <w:spacing w:line="280" w:lineRule="atLeast"/>
              <w:rPr>
                <w:rFonts w:ascii="Verdana" w:eastAsia="Calibri" w:hAnsi="Verdana" w:cs="Arial"/>
                <w:color w:val="000000"/>
                <w:sz w:val="18"/>
                <w:szCs w:val="22"/>
              </w:rPr>
            </w:pPr>
            <w:r>
              <w:rPr>
                <w:rFonts w:eastAsia="Calibri"/>
                <w:color w:val="000000"/>
                <w:sz w:val="18"/>
                <w:szCs w:val="22"/>
              </w:rPr>
              <w:t xml:space="preserve">Changes to the OECD Transfer Pricing Guidelines. </w:t>
            </w:r>
          </w:p>
        </w:tc>
        <w:tc>
          <w:tcPr>
            <w:tcW w:w="2126" w:type="dxa"/>
            <w:tcBorders>
              <w:top w:val="single" w:sz="4" w:space="0" w:color="auto"/>
              <w:left w:val="nil"/>
              <w:bottom w:val="nil"/>
              <w:right w:val="nil"/>
            </w:tcBorders>
          </w:tcPr>
          <w:p w:rsidR="00DD1C86" w:rsidRDefault="00DD1C86">
            <w:pPr>
              <w:spacing w:line="280" w:lineRule="atLeast"/>
              <w:rPr>
                <w:rFonts w:ascii="Verdana" w:eastAsia="Calibri" w:hAnsi="Verdana" w:cs="Arial"/>
                <w:color w:val="000000"/>
                <w:sz w:val="18"/>
                <w:szCs w:val="22"/>
              </w:rPr>
            </w:pPr>
            <w:r>
              <w:rPr>
                <w:rFonts w:eastAsia="Calibri"/>
                <w:color w:val="000000"/>
                <w:sz w:val="18"/>
                <w:szCs w:val="22"/>
              </w:rPr>
              <w:t>NZ and Australia currently apply the OECD Transfer Pricing Guidelines.</w:t>
            </w:r>
          </w:p>
          <w:p w:rsidR="00DD1C86" w:rsidRDefault="00DD1C86">
            <w:pPr>
              <w:spacing w:line="280" w:lineRule="atLeast"/>
              <w:rPr>
                <w:rFonts w:eastAsia="Calibri"/>
                <w:color w:val="000000"/>
                <w:sz w:val="18"/>
                <w:szCs w:val="22"/>
              </w:rPr>
            </w:pPr>
          </w:p>
          <w:p w:rsidR="00DD1C86" w:rsidRDefault="00DD1C86">
            <w:pPr>
              <w:spacing w:line="280" w:lineRule="atLeast"/>
              <w:rPr>
                <w:rFonts w:eastAsia="Calibri"/>
                <w:color w:val="000000"/>
                <w:sz w:val="18"/>
                <w:szCs w:val="22"/>
              </w:rPr>
            </w:pPr>
            <w:r>
              <w:rPr>
                <w:rFonts w:eastAsia="Calibri"/>
                <w:color w:val="000000"/>
                <w:sz w:val="18"/>
                <w:szCs w:val="22"/>
              </w:rPr>
              <w:t xml:space="preserve">Recent Australian law changes are consistent with the new OECD Transfer Pricing Guidelines.  </w:t>
            </w:r>
          </w:p>
          <w:p w:rsidR="00DD1C86" w:rsidRDefault="00DD1C86">
            <w:pPr>
              <w:spacing w:line="280" w:lineRule="atLeast"/>
              <w:rPr>
                <w:rFonts w:eastAsia="Calibri"/>
                <w:color w:val="000000"/>
                <w:sz w:val="18"/>
                <w:szCs w:val="22"/>
              </w:rPr>
            </w:pPr>
          </w:p>
          <w:p w:rsidR="00DD1C86" w:rsidRDefault="00DD1C86">
            <w:pPr>
              <w:spacing w:line="280" w:lineRule="atLeast"/>
              <w:rPr>
                <w:rFonts w:eastAsia="Calibri"/>
                <w:color w:val="000000"/>
                <w:sz w:val="18"/>
                <w:szCs w:val="22"/>
              </w:rPr>
            </w:pPr>
            <w:r>
              <w:rPr>
                <w:rFonts w:eastAsia="Calibri"/>
                <w:color w:val="000000"/>
                <w:sz w:val="18"/>
                <w:szCs w:val="22"/>
              </w:rPr>
              <w:t>New Zealand law requires updating to reflect new OECD Transfer Pricing Guidelines.</w:t>
            </w:r>
          </w:p>
          <w:p w:rsidR="00DD1C86" w:rsidRDefault="00DD1C86">
            <w:pPr>
              <w:spacing w:line="280" w:lineRule="atLeast"/>
              <w:rPr>
                <w:rFonts w:eastAsia="Calibri"/>
                <w:color w:val="000000"/>
                <w:sz w:val="18"/>
                <w:szCs w:val="22"/>
              </w:rPr>
            </w:pPr>
          </w:p>
          <w:p w:rsidR="00DD1C86" w:rsidRDefault="00DD1C86">
            <w:pPr>
              <w:spacing w:line="280" w:lineRule="atLeast"/>
              <w:rPr>
                <w:rFonts w:ascii="Verdana" w:eastAsia="Calibri" w:hAnsi="Verdana" w:cs="Arial"/>
                <w:color w:val="000000"/>
                <w:sz w:val="18"/>
                <w:szCs w:val="22"/>
              </w:rPr>
            </w:pPr>
          </w:p>
        </w:tc>
        <w:tc>
          <w:tcPr>
            <w:tcW w:w="3118" w:type="dxa"/>
            <w:tcBorders>
              <w:top w:val="single" w:sz="4" w:space="0" w:color="auto"/>
              <w:left w:val="nil"/>
              <w:bottom w:val="nil"/>
              <w:right w:val="nil"/>
            </w:tcBorders>
          </w:tcPr>
          <w:p w:rsidR="00DD1C86" w:rsidRDefault="00DD1C86">
            <w:pPr>
              <w:spacing w:line="280" w:lineRule="atLeast"/>
              <w:rPr>
                <w:rFonts w:ascii="Verdana" w:eastAsia="Calibri" w:hAnsi="Verdana" w:cs="Arial"/>
                <w:color w:val="000000"/>
                <w:sz w:val="18"/>
                <w:szCs w:val="22"/>
              </w:rPr>
            </w:pPr>
            <w:r>
              <w:rPr>
                <w:rFonts w:eastAsia="Calibri"/>
                <w:color w:val="000000"/>
                <w:sz w:val="18"/>
                <w:szCs w:val="22"/>
              </w:rPr>
              <w:t xml:space="preserve">New Zealand will follow the changes to the OECD Transfer Pricing Guidelines.  This involves making changes to domestic legislation.  </w:t>
            </w:r>
          </w:p>
          <w:p w:rsidR="00DD1C86" w:rsidRDefault="00DD1C86">
            <w:pPr>
              <w:spacing w:line="280" w:lineRule="atLeast"/>
              <w:rPr>
                <w:rFonts w:eastAsia="Calibri"/>
                <w:color w:val="000000"/>
                <w:sz w:val="18"/>
                <w:szCs w:val="22"/>
              </w:rPr>
            </w:pPr>
          </w:p>
          <w:p w:rsidR="00DD1C86" w:rsidRDefault="00DD1C86">
            <w:pPr>
              <w:spacing w:line="280" w:lineRule="atLeast"/>
              <w:rPr>
                <w:rFonts w:eastAsia="Calibri"/>
                <w:i/>
                <w:color w:val="000000"/>
                <w:sz w:val="18"/>
                <w:szCs w:val="22"/>
              </w:rPr>
            </w:pPr>
            <w:r>
              <w:rPr>
                <w:rFonts w:eastAsia="Calibri"/>
                <w:i/>
                <w:color w:val="000000"/>
                <w:sz w:val="18"/>
                <w:szCs w:val="22"/>
              </w:rPr>
              <w:t>Consulted on transfer pricing in March 2017.  Legislation planned for 2017/18.</w:t>
            </w:r>
          </w:p>
          <w:p w:rsidR="00DD1C86" w:rsidRDefault="00DD1C86">
            <w:pPr>
              <w:spacing w:line="280" w:lineRule="atLeast"/>
              <w:rPr>
                <w:rFonts w:ascii="Verdana" w:eastAsia="Calibri" w:hAnsi="Verdana" w:cs="Arial"/>
                <w:color w:val="000000"/>
                <w:sz w:val="18"/>
                <w:szCs w:val="22"/>
              </w:rPr>
            </w:pPr>
          </w:p>
        </w:tc>
        <w:tc>
          <w:tcPr>
            <w:tcW w:w="4427" w:type="dxa"/>
            <w:tcBorders>
              <w:top w:val="single" w:sz="4" w:space="0" w:color="auto"/>
              <w:left w:val="nil"/>
              <w:bottom w:val="nil"/>
              <w:right w:val="nil"/>
            </w:tcBorders>
          </w:tcPr>
          <w:p w:rsidR="00DD1C86" w:rsidRDefault="00DD1C86">
            <w:pPr>
              <w:spacing w:line="280" w:lineRule="atLeast"/>
              <w:rPr>
                <w:rFonts w:ascii="Verdana" w:eastAsia="Calibri" w:hAnsi="Verdana" w:cs="Arial"/>
                <w:color w:val="000000"/>
                <w:sz w:val="18"/>
                <w:szCs w:val="22"/>
              </w:rPr>
            </w:pPr>
            <w:r>
              <w:rPr>
                <w:rFonts w:eastAsia="Calibri"/>
                <w:b/>
                <w:color w:val="000000"/>
                <w:sz w:val="18"/>
                <w:szCs w:val="22"/>
              </w:rPr>
              <w:t>Similar response to New Zealand</w:t>
            </w:r>
            <w:r>
              <w:rPr>
                <w:rFonts w:eastAsia="Calibri"/>
                <w:color w:val="000000"/>
                <w:sz w:val="18"/>
                <w:szCs w:val="22"/>
              </w:rPr>
              <w:t xml:space="preserve"> on transfer pricing, but generally goes further than New Zealand (and OECD recommendations), by applying a separate Diverted Profits Tax (DPT).  </w:t>
            </w:r>
          </w:p>
          <w:p w:rsidR="00DD1C86" w:rsidRDefault="00DD1C86">
            <w:pPr>
              <w:spacing w:line="280" w:lineRule="atLeast"/>
              <w:rPr>
                <w:rFonts w:eastAsia="Calibri"/>
                <w:color w:val="000000"/>
                <w:sz w:val="18"/>
                <w:szCs w:val="22"/>
              </w:rPr>
            </w:pPr>
          </w:p>
          <w:p w:rsidR="00DD1C86" w:rsidRDefault="00DD1C86">
            <w:pPr>
              <w:spacing w:line="280" w:lineRule="atLeast"/>
              <w:rPr>
                <w:rFonts w:ascii="Verdana" w:eastAsia="Calibri" w:hAnsi="Verdana" w:cs="Arial"/>
                <w:color w:val="000000"/>
                <w:sz w:val="18"/>
                <w:szCs w:val="22"/>
              </w:rPr>
            </w:pPr>
            <w:r>
              <w:rPr>
                <w:rFonts w:eastAsia="Calibri"/>
                <w:color w:val="000000"/>
                <w:sz w:val="18"/>
                <w:szCs w:val="22"/>
              </w:rPr>
              <w:t>Legislation for the separate DPT was introduced on 9 February 2017 and it will take effect in July 2017.</w:t>
            </w:r>
          </w:p>
        </w:tc>
      </w:tr>
      <w:tr w:rsidR="00DD1C86" w:rsidTr="00342FF7">
        <w:trPr>
          <w:cantSplit/>
          <w:trHeight w:val="556"/>
        </w:trPr>
        <w:tc>
          <w:tcPr>
            <w:tcW w:w="2093" w:type="dxa"/>
            <w:tcBorders>
              <w:top w:val="nil"/>
              <w:left w:val="nil"/>
              <w:bottom w:val="single" w:sz="4" w:space="0" w:color="auto"/>
              <w:right w:val="nil"/>
            </w:tcBorders>
            <w:shd w:val="clear" w:color="auto" w:fill="C0C0C0"/>
          </w:tcPr>
          <w:p w:rsidR="00DD1C86" w:rsidRDefault="00DD1C86">
            <w:pPr>
              <w:spacing w:line="280" w:lineRule="atLeast"/>
              <w:rPr>
                <w:rFonts w:ascii="Verdana" w:eastAsia="Calibri" w:hAnsi="Verdana" w:cs="Arial"/>
                <w:b/>
                <w:bCs/>
                <w:color w:val="000000"/>
                <w:sz w:val="18"/>
                <w:szCs w:val="22"/>
              </w:rPr>
            </w:pPr>
            <w:r>
              <w:rPr>
                <w:rFonts w:eastAsia="Calibri"/>
                <w:b/>
                <w:bCs/>
                <w:color w:val="000000"/>
                <w:sz w:val="18"/>
                <w:szCs w:val="22"/>
              </w:rPr>
              <w:t>11 – Establish methodologies to collect and analyse data on BEPS and the actions to address it</w:t>
            </w:r>
          </w:p>
          <w:p w:rsidR="00DD1C86" w:rsidRDefault="00DD1C86">
            <w:pPr>
              <w:spacing w:line="280" w:lineRule="atLeast"/>
              <w:rPr>
                <w:rFonts w:eastAsia="Calibri"/>
                <w:b/>
                <w:bCs/>
                <w:color w:val="000000"/>
                <w:sz w:val="18"/>
                <w:szCs w:val="22"/>
              </w:rPr>
            </w:pPr>
          </w:p>
          <w:p w:rsidR="00DD1C86" w:rsidRDefault="00DD1C86">
            <w:pPr>
              <w:spacing w:line="280" w:lineRule="atLeast"/>
              <w:rPr>
                <w:rFonts w:ascii="Verdana" w:eastAsia="Calibri" w:hAnsi="Verdana" w:cs="Arial"/>
                <w:b/>
                <w:bCs/>
                <w:color w:val="000000"/>
                <w:sz w:val="18"/>
                <w:szCs w:val="22"/>
              </w:rPr>
            </w:pPr>
          </w:p>
        </w:tc>
        <w:tc>
          <w:tcPr>
            <w:tcW w:w="2410" w:type="dxa"/>
            <w:tcBorders>
              <w:top w:val="nil"/>
              <w:left w:val="nil"/>
              <w:bottom w:val="single" w:sz="4" w:space="0" w:color="auto"/>
              <w:right w:val="nil"/>
            </w:tcBorders>
            <w:shd w:val="clear" w:color="auto" w:fill="C0C0C0"/>
            <w:hideMark/>
          </w:tcPr>
          <w:p w:rsidR="00DD1C86" w:rsidRDefault="00DD1C86">
            <w:pPr>
              <w:spacing w:line="280" w:lineRule="atLeast"/>
              <w:rPr>
                <w:rFonts w:ascii="Verdana" w:eastAsia="Calibri" w:hAnsi="Verdana" w:cs="Arial"/>
                <w:color w:val="000000"/>
                <w:sz w:val="18"/>
                <w:szCs w:val="22"/>
              </w:rPr>
            </w:pPr>
            <w:r>
              <w:rPr>
                <w:rFonts w:eastAsia="Calibri"/>
                <w:color w:val="000000"/>
                <w:sz w:val="18"/>
                <w:szCs w:val="22"/>
              </w:rPr>
              <w:t xml:space="preserve">Recommendations regarding data to be collected and methodologies to analyse them. </w:t>
            </w:r>
          </w:p>
        </w:tc>
        <w:tc>
          <w:tcPr>
            <w:tcW w:w="2126" w:type="dxa"/>
            <w:tcBorders>
              <w:top w:val="nil"/>
              <w:left w:val="nil"/>
              <w:bottom w:val="single" w:sz="4" w:space="0" w:color="auto"/>
              <w:right w:val="nil"/>
            </w:tcBorders>
            <w:shd w:val="clear" w:color="auto" w:fill="C0C0C0"/>
            <w:hideMark/>
          </w:tcPr>
          <w:p w:rsidR="00DD1C86" w:rsidRDefault="00DD1C86">
            <w:pPr>
              <w:spacing w:line="280" w:lineRule="atLeast"/>
              <w:rPr>
                <w:rFonts w:ascii="Verdana" w:eastAsia="Calibri" w:hAnsi="Verdana" w:cs="Arial"/>
                <w:color w:val="000000"/>
                <w:sz w:val="18"/>
                <w:szCs w:val="22"/>
              </w:rPr>
            </w:pPr>
            <w:r>
              <w:rPr>
                <w:rFonts w:eastAsia="Calibri"/>
                <w:color w:val="000000"/>
                <w:sz w:val="18"/>
                <w:szCs w:val="22"/>
              </w:rPr>
              <w:t xml:space="preserve">NZ and Australia collect and analyse certain data on BEPS as a matter of course. </w:t>
            </w:r>
          </w:p>
        </w:tc>
        <w:tc>
          <w:tcPr>
            <w:tcW w:w="3118" w:type="dxa"/>
            <w:tcBorders>
              <w:top w:val="nil"/>
              <w:left w:val="nil"/>
              <w:bottom w:val="single" w:sz="4" w:space="0" w:color="auto"/>
              <w:right w:val="nil"/>
            </w:tcBorders>
            <w:shd w:val="clear" w:color="auto" w:fill="C0C0C0"/>
          </w:tcPr>
          <w:p w:rsidR="00DD1C86" w:rsidRDefault="00DD1C86">
            <w:pPr>
              <w:spacing w:line="280" w:lineRule="atLeast"/>
              <w:rPr>
                <w:rFonts w:ascii="Verdana" w:eastAsia="Calibri" w:hAnsi="Verdana" w:cs="Arial"/>
                <w:color w:val="000000"/>
                <w:sz w:val="18"/>
                <w:szCs w:val="22"/>
              </w:rPr>
            </w:pPr>
            <w:r>
              <w:rPr>
                <w:rFonts w:eastAsia="Calibri"/>
                <w:color w:val="000000"/>
                <w:sz w:val="18"/>
                <w:szCs w:val="22"/>
              </w:rPr>
              <w:t>Since 2015 Inland Revenue has conducted an annual International Questionnaire that collects key data to assess BEPS risks. The most recent survey covered almost 600 foreign owned corporates.</w:t>
            </w:r>
          </w:p>
          <w:p w:rsidR="00DD1C86" w:rsidRDefault="00DD1C86">
            <w:pPr>
              <w:spacing w:line="280" w:lineRule="atLeast"/>
              <w:rPr>
                <w:rFonts w:eastAsia="Calibri"/>
                <w:color w:val="000000"/>
                <w:sz w:val="18"/>
                <w:szCs w:val="22"/>
              </w:rPr>
            </w:pPr>
          </w:p>
          <w:p w:rsidR="00DD1C86" w:rsidRDefault="00DD1C86">
            <w:pPr>
              <w:spacing w:line="280" w:lineRule="atLeast"/>
              <w:rPr>
                <w:rFonts w:eastAsia="Calibri"/>
                <w:color w:val="000000"/>
                <w:sz w:val="18"/>
                <w:szCs w:val="22"/>
              </w:rPr>
            </w:pPr>
            <w:r>
              <w:rPr>
                <w:rFonts w:eastAsia="Calibri"/>
                <w:color w:val="000000"/>
                <w:sz w:val="18"/>
                <w:szCs w:val="22"/>
              </w:rPr>
              <w:t>Additional data collection from significant enterprises is being considered as part of the BT programme of work.</w:t>
            </w:r>
          </w:p>
          <w:p w:rsidR="00DD1C86" w:rsidRDefault="00DD1C86">
            <w:pPr>
              <w:spacing w:line="280" w:lineRule="atLeast"/>
              <w:rPr>
                <w:rFonts w:ascii="Verdana" w:eastAsia="Calibri" w:hAnsi="Verdana" w:cs="Arial"/>
                <w:color w:val="000000"/>
                <w:sz w:val="18"/>
                <w:szCs w:val="22"/>
              </w:rPr>
            </w:pPr>
          </w:p>
        </w:tc>
        <w:tc>
          <w:tcPr>
            <w:tcW w:w="4427" w:type="dxa"/>
            <w:tcBorders>
              <w:top w:val="nil"/>
              <w:left w:val="nil"/>
              <w:bottom w:val="single" w:sz="4" w:space="0" w:color="auto"/>
              <w:right w:val="nil"/>
            </w:tcBorders>
            <w:shd w:val="clear" w:color="auto" w:fill="C0C0C0"/>
          </w:tcPr>
          <w:p w:rsidR="00DD1C86" w:rsidRDefault="00DD1C86">
            <w:pPr>
              <w:spacing w:line="280" w:lineRule="atLeast"/>
              <w:rPr>
                <w:rFonts w:ascii="Verdana" w:eastAsia="Calibri" w:hAnsi="Verdana" w:cs="Arial"/>
                <w:color w:val="000000"/>
                <w:sz w:val="18"/>
                <w:szCs w:val="22"/>
              </w:rPr>
            </w:pPr>
            <w:r>
              <w:rPr>
                <w:rFonts w:eastAsia="Calibri"/>
                <w:b/>
                <w:color w:val="000000"/>
                <w:sz w:val="18"/>
                <w:szCs w:val="22"/>
              </w:rPr>
              <w:t xml:space="preserve">Similar response to New Zealand.  </w:t>
            </w:r>
            <w:r>
              <w:rPr>
                <w:rFonts w:eastAsia="Calibri"/>
                <w:color w:val="000000"/>
                <w:sz w:val="18"/>
                <w:szCs w:val="22"/>
              </w:rPr>
              <w:t xml:space="preserve">ATO requires taxpayers to complete an international dealings schedule and has implemented an International Structuring and Profit Shifting (ISAPS) initiative.  </w:t>
            </w:r>
          </w:p>
          <w:p w:rsidR="00DD1C86" w:rsidRDefault="00DD1C86">
            <w:pPr>
              <w:spacing w:line="280" w:lineRule="atLeast"/>
              <w:rPr>
                <w:rFonts w:eastAsia="Calibri"/>
                <w:color w:val="000000"/>
                <w:sz w:val="18"/>
                <w:szCs w:val="22"/>
              </w:rPr>
            </w:pPr>
          </w:p>
          <w:p w:rsidR="00DD1C86" w:rsidRDefault="00DD1C86">
            <w:pPr>
              <w:spacing w:line="280" w:lineRule="atLeast"/>
              <w:rPr>
                <w:rFonts w:eastAsia="Calibri"/>
                <w:b/>
                <w:color w:val="000000"/>
                <w:sz w:val="18"/>
                <w:szCs w:val="22"/>
              </w:rPr>
            </w:pPr>
            <w:r>
              <w:rPr>
                <w:rFonts w:eastAsia="Calibri"/>
                <w:color w:val="000000"/>
                <w:sz w:val="18"/>
                <w:szCs w:val="22"/>
              </w:rPr>
              <w:t>This initiative requested data from certain Australian companies at a level similar to the country-by-country (CbC) data requested under the OECD BEPS Action Plan.</w:t>
            </w:r>
          </w:p>
          <w:p w:rsidR="00DD1C86" w:rsidRDefault="00DD1C86">
            <w:pPr>
              <w:spacing w:line="280" w:lineRule="atLeast"/>
              <w:rPr>
                <w:rFonts w:ascii="Verdana" w:eastAsia="Calibri" w:hAnsi="Verdana" w:cs="Arial"/>
                <w:color w:val="000000"/>
                <w:sz w:val="18"/>
                <w:szCs w:val="22"/>
              </w:rPr>
            </w:pPr>
          </w:p>
        </w:tc>
      </w:tr>
      <w:tr w:rsidR="00DD1C86" w:rsidTr="00342FF7">
        <w:trPr>
          <w:cantSplit/>
          <w:trHeight w:val="556"/>
        </w:trPr>
        <w:tc>
          <w:tcPr>
            <w:tcW w:w="2093" w:type="dxa"/>
            <w:tcBorders>
              <w:top w:val="single" w:sz="4" w:space="0" w:color="auto"/>
              <w:left w:val="nil"/>
              <w:bottom w:val="single" w:sz="4" w:space="0" w:color="auto"/>
              <w:right w:val="nil"/>
            </w:tcBorders>
            <w:shd w:val="clear" w:color="auto" w:fill="auto"/>
          </w:tcPr>
          <w:p w:rsidR="00DD1C86" w:rsidRDefault="00DD1C86" w:rsidP="00342FF7">
            <w:pPr>
              <w:spacing w:line="280" w:lineRule="atLeast"/>
              <w:jc w:val="center"/>
              <w:rPr>
                <w:rFonts w:eastAsia="Calibri"/>
                <w:b/>
                <w:bCs/>
                <w:color w:val="000000"/>
                <w:sz w:val="18"/>
                <w:szCs w:val="22"/>
              </w:rPr>
            </w:pPr>
            <w:r>
              <w:rPr>
                <w:rFonts w:eastAsia="Calibri"/>
                <w:b/>
                <w:bCs/>
                <w:color w:val="000000"/>
                <w:sz w:val="18"/>
                <w:szCs w:val="22"/>
              </w:rPr>
              <w:t>Action Report</w:t>
            </w:r>
          </w:p>
        </w:tc>
        <w:tc>
          <w:tcPr>
            <w:tcW w:w="2410" w:type="dxa"/>
            <w:tcBorders>
              <w:top w:val="single" w:sz="4" w:space="0" w:color="auto"/>
              <w:left w:val="nil"/>
              <w:bottom w:val="single" w:sz="4" w:space="0" w:color="auto"/>
              <w:right w:val="nil"/>
            </w:tcBorders>
            <w:shd w:val="clear" w:color="auto" w:fill="auto"/>
          </w:tcPr>
          <w:p w:rsidR="00DD1C86" w:rsidRPr="00342FF7" w:rsidRDefault="00DD1C86" w:rsidP="00342FF7">
            <w:pPr>
              <w:spacing w:line="280" w:lineRule="atLeast"/>
              <w:jc w:val="center"/>
              <w:rPr>
                <w:rFonts w:eastAsia="Calibri"/>
                <w:b/>
                <w:bCs/>
                <w:color w:val="000000"/>
                <w:sz w:val="18"/>
                <w:szCs w:val="22"/>
              </w:rPr>
            </w:pPr>
            <w:r>
              <w:rPr>
                <w:rFonts w:eastAsia="Calibri"/>
                <w:b/>
                <w:bCs/>
                <w:color w:val="000000"/>
                <w:sz w:val="18"/>
                <w:szCs w:val="22"/>
              </w:rPr>
              <w:t>OECD recommendation</w:t>
            </w:r>
          </w:p>
        </w:tc>
        <w:tc>
          <w:tcPr>
            <w:tcW w:w="2126" w:type="dxa"/>
            <w:tcBorders>
              <w:top w:val="single" w:sz="4" w:space="0" w:color="auto"/>
              <w:left w:val="nil"/>
              <w:bottom w:val="single" w:sz="4" w:space="0" w:color="auto"/>
              <w:right w:val="nil"/>
            </w:tcBorders>
            <w:shd w:val="clear" w:color="auto" w:fill="auto"/>
          </w:tcPr>
          <w:p w:rsidR="00DD1C86" w:rsidRPr="00342FF7" w:rsidRDefault="00DD1C86" w:rsidP="00342FF7">
            <w:pPr>
              <w:spacing w:line="280" w:lineRule="atLeast"/>
              <w:jc w:val="center"/>
              <w:rPr>
                <w:rFonts w:eastAsia="Calibri"/>
                <w:b/>
                <w:bCs/>
                <w:color w:val="000000"/>
                <w:sz w:val="18"/>
                <w:szCs w:val="22"/>
              </w:rPr>
            </w:pPr>
            <w:r>
              <w:rPr>
                <w:rFonts w:eastAsia="Calibri"/>
                <w:b/>
                <w:bCs/>
                <w:color w:val="000000"/>
                <w:sz w:val="18"/>
                <w:szCs w:val="22"/>
              </w:rPr>
              <w:t>Current law</w:t>
            </w:r>
          </w:p>
        </w:tc>
        <w:tc>
          <w:tcPr>
            <w:tcW w:w="3118" w:type="dxa"/>
            <w:tcBorders>
              <w:top w:val="single" w:sz="4" w:space="0" w:color="auto"/>
              <w:left w:val="nil"/>
              <w:bottom w:val="single" w:sz="4" w:space="0" w:color="auto"/>
              <w:right w:val="nil"/>
            </w:tcBorders>
            <w:shd w:val="clear" w:color="auto" w:fill="auto"/>
          </w:tcPr>
          <w:p w:rsidR="00DD1C86" w:rsidRPr="00342FF7" w:rsidRDefault="00DD1C86" w:rsidP="00342FF7">
            <w:pPr>
              <w:spacing w:line="280" w:lineRule="atLeast"/>
              <w:jc w:val="center"/>
              <w:rPr>
                <w:rFonts w:eastAsia="Calibri"/>
                <w:b/>
                <w:bCs/>
                <w:color w:val="000000"/>
                <w:sz w:val="18"/>
                <w:szCs w:val="22"/>
              </w:rPr>
            </w:pPr>
            <w:r>
              <w:rPr>
                <w:rFonts w:eastAsia="Calibri"/>
                <w:b/>
                <w:bCs/>
                <w:color w:val="000000"/>
                <w:sz w:val="18"/>
                <w:szCs w:val="22"/>
              </w:rPr>
              <w:t>NZ response to OECD recommendations</w:t>
            </w:r>
          </w:p>
        </w:tc>
        <w:tc>
          <w:tcPr>
            <w:tcW w:w="4427" w:type="dxa"/>
            <w:tcBorders>
              <w:top w:val="single" w:sz="4" w:space="0" w:color="auto"/>
              <w:left w:val="nil"/>
              <w:bottom w:val="single" w:sz="4" w:space="0" w:color="auto"/>
              <w:right w:val="nil"/>
            </w:tcBorders>
            <w:shd w:val="clear" w:color="auto" w:fill="auto"/>
          </w:tcPr>
          <w:p w:rsidR="00DD1C86" w:rsidRPr="00342FF7" w:rsidRDefault="00DD1C86" w:rsidP="00342FF7">
            <w:pPr>
              <w:spacing w:line="280" w:lineRule="atLeast"/>
              <w:jc w:val="center"/>
              <w:rPr>
                <w:rFonts w:eastAsia="Calibri"/>
                <w:b/>
                <w:bCs/>
                <w:color w:val="000000"/>
                <w:sz w:val="18"/>
                <w:szCs w:val="22"/>
              </w:rPr>
            </w:pPr>
            <w:r>
              <w:rPr>
                <w:rFonts w:eastAsia="Calibri"/>
                <w:b/>
                <w:bCs/>
                <w:color w:val="000000"/>
                <w:sz w:val="18"/>
                <w:szCs w:val="22"/>
              </w:rPr>
              <w:t>Australian response to OECD recommendations</w:t>
            </w:r>
          </w:p>
        </w:tc>
      </w:tr>
      <w:tr w:rsidR="00DD1C86" w:rsidTr="00342FF7">
        <w:trPr>
          <w:cantSplit/>
          <w:trHeight w:val="522"/>
        </w:trPr>
        <w:tc>
          <w:tcPr>
            <w:tcW w:w="2093" w:type="dxa"/>
            <w:tcBorders>
              <w:top w:val="single" w:sz="4" w:space="0" w:color="auto"/>
              <w:left w:val="nil"/>
              <w:bottom w:val="nil"/>
              <w:right w:val="nil"/>
            </w:tcBorders>
          </w:tcPr>
          <w:p w:rsidR="00DD1C86" w:rsidRDefault="00DD1C86">
            <w:pPr>
              <w:spacing w:line="280" w:lineRule="atLeast"/>
              <w:rPr>
                <w:rFonts w:ascii="Verdana" w:eastAsia="Calibri" w:hAnsi="Verdana" w:cs="Arial"/>
                <w:b/>
                <w:bCs/>
                <w:color w:val="000000"/>
                <w:sz w:val="18"/>
                <w:szCs w:val="22"/>
              </w:rPr>
            </w:pPr>
            <w:r>
              <w:rPr>
                <w:rFonts w:eastAsia="Calibri"/>
                <w:b/>
                <w:bCs/>
                <w:color w:val="000000"/>
                <w:sz w:val="18"/>
                <w:szCs w:val="22"/>
              </w:rPr>
              <w:t>12 – Require taxpayers to disclose their aggressive tax planning arrangements to revenue authorities</w:t>
            </w:r>
          </w:p>
          <w:p w:rsidR="00DD1C86" w:rsidRDefault="00DD1C86">
            <w:pPr>
              <w:spacing w:line="280" w:lineRule="atLeast"/>
              <w:rPr>
                <w:rFonts w:eastAsia="Calibri"/>
                <w:b/>
                <w:bCs/>
                <w:color w:val="000000"/>
                <w:sz w:val="18"/>
                <w:szCs w:val="22"/>
              </w:rPr>
            </w:pPr>
          </w:p>
          <w:p w:rsidR="00DD1C86" w:rsidRDefault="00DD1C86">
            <w:pPr>
              <w:spacing w:line="280" w:lineRule="atLeast"/>
              <w:rPr>
                <w:rFonts w:ascii="Verdana" w:eastAsia="Calibri" w:hAnsi="Verdana" w:cs="Arial"/>
                <w:b/>
                <w:bCs/>
                <w:color w:val="000000"/>
                <w:sz w:val="18"/>
                <w:szCs w:val="22"/>
              </w:rPr>
            </w:pPr>
          </w:p>
        </w:tc>
        <w:tc>
          <w:tcPr>
            <w:tcW w:w="2410" w:type="dxa"/>
            <w:tcBorders>
              <w:top w:val="single" w:sz="4" w:space="0" w:color="auto"/>
              <w:left w:val="nil"/>
              <w:bottom w:val="nil"/>
              <w:right w:val="nil"/>
            </w:tcBorders>
            <w:hideMark/>
          </w:tcPr>
          <w:p w:rsidR="00DD1C86" w:rsidRDefault="00DD1C86">
            <w:pPr>
              <w:spacing w:line="280" w:lineRule="atLeast"/>
              <w:rPr>
                <w:rFonts w:ascii="Verdana" w:eastAsia="Calibri" w:hAnsi="Verdana" w:cs="Arial"/>
                <w:color w:val="000000"/>
                <w:sz w:val="18"/>
                <w:szCs w:val="22"/>
              </w:rPr>
            </w:pPr>
            <w:r>
              <w:rPr>
                <w:rFonts w:eastAsia="Calibri"/>
                <w:color w:val="000000"/>
                <w:sz w:val="18"/>
                <w:szCs w:val="22"/>
              </w:rPr>
              <w:t xml:space="preserve">Recommendations regarding the design of domestic disclosure rules. </w:t>
            </w:r>
          </w:p>
        </w:tc>
        <w:tc>
          <w:tcPr>
            <w:tcW w:w="2126" w:type="dxa"/>
            <w:tcBorders>
              <w:top w:val="single" w:sz="4" w:space="0" w:color="auto"/>
              <w:left w:val="nil"/>
              <w:bottom w:val="nil"/>
              <w:right w:val="nil"/>
            </w:tcBorders>
            <w:hideMark/>
          </w:tcPr>
          <w:p w:rsidR="00DD1C86" w:rsidRDefault="00DD1C86">
            <w:pPr>
              <w:spacing w:line="280" w:lineRule="atLeast"/>
              <w:rPr>
                <w:rFonts w:ascii="Verdana" w:eastAsia="Calibri" w:hAnsi="Verdana" w:cs="Arial"/>
                <w:color w:val="000000"/>
                <w:sz w:val="18"/>
                <w:szCs w:val="22"/>
              </w:rPr>
            </w:pPr>
            <w:r>
              <w:rPr>
                <w:rFonts w:eastAsia="Calibri"/>
                <w:color w:val="000000"/>
                <w:sz w:val="18"/>
                <w:szCs w:val="22"/>
              </w:rPr>
              <w:t xml:space="preserve">For both NZ and Australia, no requirement under current law to disclose aggressive tax planning arrangements, however the combination of our strong anti-avoidance laws and the binding rulings and penalties regimes incentivise disclosure. </w:t>
            </w:r>
          </w:p>
        </w:tc>
        <w:tc>
          <w:tcPr>
            <w:tcW w:w="3118" w:type="dxa"/>
            <w:tcBorders>
              <w:top w:val="single" w:sz="4" w:space="0" w:color="auto"/>
              <w:left w:val="nil"/>
              <w:bottom w:val="nil"/>
              <w:right w:val="nil"/>
            </w:tcBorders>
          </w:tcPr>
          <w:p w:rsidR="00DD1C86" w:rsidRDefault="00DD1C86">
            <w:pPr>
              <w:spacing w:line="280" w:lineRule="atLeast"/>
              <w:rPr>
                <w:rFonts w:ascii="Verdana" w:eastAsia="Calibri" w:hAnsi="Verdana" w:cs="Arial"/>
                <w:color w:val="000000"/>
                <w:sz w:val="18"/>
                <w:szCs w:val="22"/>
              </w:rPr>
            </w:pPr>
            <w:r>
              <w:rPr>
                <w:rFonts w:eastAsia="Calibri"/>
                <w:color w:val="000000"/>
                <w:sz w:val="18"/>
                <w:szCs w:val="22"/>
              </w:rPr>
              <w:t xml:space="preserve">No law reform planned but existing law incentivises disclosure.  Taxpayers will often apply for binding rulings on potentially aggressive transactions to obtain certainty as to the tax treatment – especially in light of our strong anti-avoidance law.  Penalties on aggressive transactions are reduced for early disclosure of the arrangement.  </w:t>
            </w:r>
          </w:p>
          <w:p w:rsidR="00DD1C86" w:rsidRDefault="00DD1C86">
            <w:pPr>
              <w:spacing w:line="280" w:lineRule="atLeast"/>
              <w:rPr>
                <w:rFonts w:eastAsia="Calibri"/>
                <w:color w:val="000000"/>
                <w:sz w:val="18"/>
                <w:szCs w:val="22"/>
              </w:rPr>
            </w:pPr>
          </w:p>
          <w:p w:rsidR="00DD1C86" w:rsidRDefault="00DD1C86">
            <w:pPr>
              <w:spacing w:line="280" w:lineRule="atLeast"/>
              <w:rPr>
                <w:rFonts w:ascii="Verdana" w:eastAsia="Calibri" w:hAnsi="Verdana" w:cs="Arial"/>
                <w:color w:val="000000"/>
                <w:sz w:val="18"/>
                <w:szCs w:val="22"/>
              </w:rPr>
            </w:pPr>
          </w:p>
        </w:tc>
        <w:tc>
          <w:tcPr>
            <w:tcW w:w="4427" w:type="dxa"/>
            <w:tcBorders>
              <w:top w:val="single" w:sz="4" w:space="0" w:color="auto"/>
              <w:left w:val="nil"/>
              <w:bottom w:val="nil"/>
              <w:right w:val="nil"/>
            </w:tcBorders>
          </w:tcPr>
          <w:p w:rsidR="00DD1C86" w:rsidRDefault="00DD1C86">
            <w:pPr>
              <w:spacing w:line="280" w:lineRule="atLeast"/>
              <w:rPr>
                <w:rFonts w:ascii="Verdana" w:eastAsia="Calibri" w:hAnsi="Verdana" w:cs="Arial"/>
                <w:color w:val="000000"/>
                <w:sz w:val="18"/>
                <w:szCs w:val="22"/>
              </w:rPr>
            </w:pPr>
            <w:r>
              <w:rPr>
                <w:rFonts w:eastAsia="Calibri"/>
                <w:b/>
                <w:color w:val="000000"/>
                <w:sz w:val="18"/>
                <w:szCs w:val="22"/>
              </w:rPr>
              <w:t xml:space="preserve">Different to New Zealand. </w:t>
            </w:r>
            <w:r>
              <w:rPr>
                <w:rFonts w:eastAsia="Calibri"/>
                <w:color w:val="000000"/>
                <w:sz w:val="18"/>
                <w:szCs w:val="22"/>
              </w:rPr>
              <w:t xml:space="preserve">While Australia has a rulings regime and reductions in penalties for voluntary disclosure, the Australian Treasury is also consulting on whether to adopt the OECD proposals for mandatory disclosure of tax information.  Submissions closed on 15 July 2016.  Australia also recently implemented transparency measures allowing the ATO to publish the taxable income and income tax liabilities of large companies. </w:t>
            </w:r>
          </w:p>
          <w:p w:rsidR="00DD1C86" w:rsidRDefault="00DD1C86">
            <w:pPr>
              <w:spacing w:line="280" w:lineRule="atLeast"/>
              <w:rPr>
                <w:rFonts w:ascii="Verdana" w:eastAsia="Calibri" w:hAnsi="Verdana" w:cs="Arial"/>
                <w:color w:val="000000"/>
                <w:sz w:val="18"/>
                <w:szCs w:val="22"/>
              </w:rPr>
            </w:pPr>
          </w:p>
        </w:tc>
      </w:tr>
      <w:tr w:rsidR="00DD1C86" w:rsidTr="00FF3845">
        <w:trPr>
          <w:cantSplit/>
          <w:trHeight w:val="3969"/>
        </w:trPr>
        <w:tc>
          <w:tcPr>
            <w:tcW w:w="2093" w:type="dxa"/>
            <w:tcBorders>
              <w:top w:val="nil"/>
              <w:left w:val="nil"/>
              <w:bottom w:val="nil"/>
              <w:right w:val="nil"/>
            </w:tcBorders>
            <w:shd w:val="clear" w:color="auto" w:fill="C0C0C0"/>
            <w:hideMark/>
          </w:tcPr>
          <w:p w:rsidR="00DD1C86" w:rsidRDefault="00DD1C86">
            <w:pPr>
              <w:spacing w:line="280" w:lineRule="atLeast"/>
              <w:rPr>
                <w:rFonts w:ascii="Verdana" w:eastAsia="Calibri" w:hAnsi="Verdana" w:cs="Arial"/>
                <w:b/>
                <w:bCs/>
                <w:color w:val="000000"/>
                <w:sz w:val="18"/>
                <w:szCs w:val="22"/>
              </w:rPr>
            </w:pPr>
            <w:r>
              <w:rPr>
                <w:rFonts w:eastAsia="Calibri"/>
                <w:b/>
                <w:bCs/>
                <w:color w:val="000000"/>
                <w:sz w:val="18"/>
                <w:szCs w:val="22"/>
              </w:rPr>
              <w:t>13 – Re-examine transfer pricing documentation</w:t>
            </w:r>
          </w:p>
        </w:tc>
        <w:tc>
          <w:tcPr>
            <w:tcW w:w="2410" w:type="dxa"/>
            <w:tcBorders>
              <w:top w:val="nil"/>
              <w:left w:val="nil"/>
              <w:bottom w:val="nil"/>
              <w:right w:val="nil"/>
            </w:tcBorders>
            <w:shd w:val="clear" w:color="auto" w:fill="C0C0C0"/>
            <w:hideMark/>
          </w:tcPr>
          <w:p w:rsidR="00DD1C86" w:rsidRDefault="00DD1C86">
            <w:pPr>
              <w:spacing w:line="280" w:lineRule="atLeast"/>
              <w:rPr>
                <w:rFonts w:ascii="Verdana" w:eastAsia="Calibri" w:hAnsi="Verdana" w:cs="Arial"/>
                <w:color w:val="000000"/>
                <w:sz w:val="18"/>
                <w:szCs w:val="22"/>
              </w:rPr>
            </w:pPr>
            <w:r>
              <w:rPr>
                <w:rFonts w:eastAsia="Calibri"/>
                <w:color w:val="000000"/>
                <w:sz w:val="18"/>
                <w:szCs w:val="22"/>
              </w:rPr>
              <w:t xml:space="preserve">Changes to OECD Transfer Pricing Guidelines and recommendations regarding the design of domestic rules, including country-by-country (CbC) reporting. </w:t>
            </w:r>
          </w:p>
        </w:tc>
        <w:tc>
          <w:tcPr>
            <w:tcW w:w="2126" w:type="dxa"/>
            <w:tcBorders>
              <w:top w:val="nil"/>
              <w:left w:val="nil"/>
              <w:bottom w:val="nil"/>
              <w:right w:val="nil"/>
            </w:tcBorders>
            <w:shd w:val="clear" w:color="auto" w:fill="C0C0C0"/>
            <w:hideMark/>
          </w:tcPr>
          <w:p w:rsidR="00DD1C86" w:rsidRDefault="00DD1C86">
            <w:pPr>
              <w:spacing w:line="280" w:lineRule="atLeast"/>
              <w:rPr>
                <w:rFonts w:ascii="Verdana" w:eastAsia="Calibri" w:hAnsi="Verdana" w:cs="Arial"/>
                <w:color w:val="000000"/>
                <w:sz w:val="18"/>
                <w:szCs w:val="22"/>
              </w:rPr>
            </w:pPr>
            <w:r>
              <w:rPr>
                <w:rFonts w:eastAsia="Calibri"/>
                <w:color w:val="000000"/>
                <w:sz w:val="18"/>
                <w:szCs w:val="22"/>
              </w:rPr>
              <w:t>NZ and Australia currently apply the OECD Transfer Pricing Guidelines, but do not have a formal programme for automatic exchange of transfer pricing documentation.</w:t>
            </w:r>
          </w:p>
        </w:tc>
        <w:tc>
          <w:tcPr>
            <w:tcW w:w="3118" w:type="dxa"/>
            <w:tcBorders>
              <w:top w:val="nil"/>
              <w:left w:val="nil"/>
              <w:bottom w:val="nil"/>
              <w:right w:val="nil"/>
            </w:tcBorders>
            <w:shd w:val="clear" w:color="auto" w:fill="C0C0C0"/>
          </w:tcPr>
          <w:p w:rsidR="00DD1C86" w:rsidRDefault="00DD1C86">
            <w:pPr>
              <w:spacing w:line="280" w:lineRule="atLeast"/>
              <w:rPr>
                <w:rFonts w:ascii="Verdana" w:eastAsia="Calibri" w:hAnsi="Verdana" w:cs="Arial"/>
                <w:color w:val="000000"/>
                <w:sz w:val="18"/>
                <w:szCs w:val="22"/>
              </w:rPr>
            </w:pPr>
            <w:r>
              <w:rPr>
                <w:rFonts w:eastAsia="Calibri"/>
                <w:color w:val="000000"/>
                <w:sz w:val="18"/>
                <w:szCs w:val="22"/>
              </w:rPr>
              <w:t>Inland Revenue is implementing CbC reporting. NZ has signed the multilateral agreement on exchanging CbC reports with other tax authorities. NZ also recently entered into a bilateral arrangement with the US Internal Revenue Service to share CbC reports.</w:t>
            </w:r>
          </w:p>
          <w:p w:rsidR="00DD1C86" w:rsidRDefault="00DD1C86">
            <w:pPr>
              <w:spacing w:line="280" w:lineRule="atLeast"/>
              <w:rPr>
                <w:rFonts w:eastAsia="Calibri"/>
                <w:color w:val="000000"/>
                <w:sz w:val="18"/>
                <w:szCs w:val="22"/>
              </w:rPr>
            </w:pPr>
          </w:p>
          <w:p w:rsidR="00DD1C86" w:rsidRDefault="00DD1C86">
            <w:pPr>
              <w:spacing w:line="280" w:lineRule="atLeast"/>
              <w:rPr>
                <w:rFonts w:eastAsia="Calibri"/>
                <w:i/>
                <w:color w:val="000000"/>
                <w:sz w:val="18"/>
                <w:szCs w:val="22"/>
              </w:rPr>
            </w:pPr>
            <w:r>
              <w:rPr>
                <w:rFonts w:eastAsia="Calibri"/>
                <w:i/>
                <w:color w:val="000000"/>
                <w:sz w:val="18"/>
                <w:szCs w:val="22"/>
              </w:rPr>
              <w:t>Where domestic legislation is required to support the changes to the Transfer Pricing Guidelines, this will be introduced in 2017/18.</w:t>
            </w:r>
          </w:p>
          <w:p w:rsidR="00DD1C86" w:rsidRDefault="00DD1C86">
            <w:pPr>
              <w:spacing w:line="280" w:lineRule="atLeast"/>
              <w:rPr>
                <w:rFonts w:ascii="Verdana" w:eastAsia="Calibri" w:hAnsi="Verdana" w:cs="Arial"/>
                <w:color w:val="000000"/>
                <w:sz w:val="18"/>
                <w:szCs w:val="22"/>
              </w:rPr>
            </w:pPr>
          </w:p>
        </w:tc>
        <w:tc>
          <w:tcPr>
            <w:tcW w:w="4427" w:type="dxa"/>
            <w:tcBorders>
              <w:top w:val="nil"/>
              <w:left w:val="nil"/>
              <w:bottom w:val="nil"/>
              <w:right w:val="nil"/>
            </w:tcBorders>
            <w:shd w:val="clear" w:color="auto" w:fill="C0C0C0"/>
          </w:tcPr>
          <w:p w:rsidR="00DD1C86" w:rsidRDefault="00DD1C86">
            <w:pPr>
              <w:spacing w:line="280" w:lineRule="atLeast"/>
              <w:rPr>
                <w:rFonts w:ascii="Verdana" w:eastAsia="Calibri" w:hAnsi="Verdana" w:cs="Arial"/>
                <w:color w:val="000000"/>
                <w:sz w:val="18"/>
                <w:szCs w:val="22"/>
              </w:rPr>
            </w:pPr>
            <w:r>
              <w:rPr>
                <w:rFonts w:eastAsia="Calibri"/>
                <w:b/>
                <w:color w:val="000000"/>
                <w:sz w:val="18"/>
                <w:szCs w:val="22"/>
              </w:rPr>
              <w:t>Similar response as New Zealand</w:t>
            </w:r>
            <w:r>
              <w:rPr>
                <w:rFonts w:eastAsia="Calibri"/>
                <w:color w:val="000000"/>
                <w:sz w:val="18"/>
                <w:szCs w:val="22"/>
              </w:rPr>
              <w:t>. Australia is implementing CbC reporting.  It has enacted necessary domestic law and has signed the multilateral agreement on exchanging CbC reports with other tax authorities. In addition, Australia requires large multinationals to file their local and master file documentation with the ATO.</w:t>
            </w:r>
          </w:p>
          <w:p w:rsidR="00DD1C86" w:rsidRDefault="00DD1C86">
            <w:pPr>
              <w:spacing w:line="280" w:lineRule="atLeast"/>
              <w:rPr>
                <w:rFonts w:eastAsia="Calibri"/>
                <w:color w:val="000000"/>
                <w:sz w:val="18"/>
                <w:szCs w:val="22"/>
              </w:rPr>
            </w:pPr>
          </w:p>
          <w:p w:rsidR="00DD1C86" w:rsidRDefault="00DD1C86">
            <w:pPr>
              <w:spacing w:line="280" w:lineRule="atLeast"/>
              <w:rPr>
                <w:rFonts w:eastAsia="Calibri"/>
                <w:i/>
                <w:color w:val="000000"/>
                <w:sz w:val="18"/>
                <w:szCs w:val="22"/>
              </w:rPr>
            </w:pPr>
            <w:r>
              <w:rPr>
                <w:rFonts w:eastAsia="Calibri"/>
                <w:i/>
                <w:color w:val="000000"/>
                <w:sz w:val="18"/>
                <w:szCs w:val="22"/>
              </w:rPr>
              <w:t>Applies from 1 January 2016.</w:t>
            </w:r>
          </w:p>
          <w:p w:rsidR="00DD1C86" w:rsidRDefault="00DD1C86">
            <w:pPr>
              <w:spacing w:line="280" w:lineRule="atLeast"/>
              <w:rPr>
                <w:rFonts w:ascii="Verdana" w:eastAsia="Calibri" w:hAnsi="Verdana" w:cs="Arial"/>
                <w:i/>
                <w:color w:val="000000"/>
                <w:sz w:val="18"/>
                <w:szCs w:val="22"/>
              </w:rPr>
            </w:pPr>
          </w:p>
        </w:tc>
      </w:tr>
      <w:tr w:rsidR="00DD1C86" w:rsidTr="00342FF7">
        <w:trPr>
          <w:cantSplit/>
          <w:trHeight w:val="556"/>
        </w:trPr>
        <w:tc>
          <w:tcPr>
            <w:tcW w:w="2093" w:type="dxa"/>
            <w:tcBorders>
              <w:top w:val="nil"/>
              <w:left w:val="nil"/>
              <w:bottom w:val="nil"/>
              <w:right w:val="nil"/>
            </w:tcBorders>
          </w:tcPr>
          <w:p w:rsidR="00DD1C86" w:rsidRDefault="00DD1C86">
            <w:pPr>
              <w:spacing w:line="280" w:lineRule="atLeast"/>
              <w:rPr>
                <w:rFonts w:ascii="Verdana" w:eastAsia="Calibri" w:hAnsi="Verdana" w:cs="Arial"/>
                <w:b/>
                <w:bCs/>
                <w:color w:val="000000"/>
                <w:sz w:val="18"/>
                <w:szCs w:val="22"/>
              </w:rPr>
            </w:pPr>
          </w:p>
        </w:tc>
        <w:tc>
          <w:tcPr>
            <w:tcW w:w="2410" w:type="dxa"/>
            <w:tcBorders>
              <w:top w:val="nil"/>
              <w:left w:val="nil"/>
              <w:bottom w:val="nil"/>
              <w:right w:val="nil"/>
            </w:tcBorders>
          </w:tcPr>
          <w:p w:rsidR="00DD1C86" w:rsidRDefault="00DD1C86">
            <w:pPr>
              <w:spacing w:line="280" w:lineRule="atLeast"/>
              <w:rPr>
                <w:rFonts w:ascii="Verdana" w:eastAsia="Calibri" w:hAnsi="Verdana" w:cs="Arial"/>
                <w:color w:val="000000"/>
                <w:sz w:val="18"/>
                <w:szCs w:val="22"/>
              </w:rPr>
            </w:pPr>
          </w:p>
        </w:tc>
        <w:tc>
          <w:tcPr>
            <w:tcW w:w="2126" w:type="dxa"/>
            <w:tcBorders>
              <w:top w:val="nil"/>
              <w:left w:val="nil"/>
              <w:bottom w:val="nil"/>
              <w:right w:val="nil"/>
            </w:tcBorders>
          </w:tcPr>
          <w:p w:rsidR="00DD1C86" w:rsidRDefault="00DD1C86">
            <w:pPr>
              <w:spacing w:line="280" w:lineRule="atLeast"/>
              <w:rPr>
                <w:rFonts w:ascii="Verdana" w:eastAsia="Calibri" w:hAnsi="Verdana" w:cs="Arial"/>
                <w:color w:val="000000"/>
                <w:sz w:val="18"/>
                <w:szCs w:val="22"/>
              </w:rPr>
            </w:pPr>
          </w:p>
        </w:tc>
        <w:tc>
          <w:tcPr>
            <w:tcW w:w="3118" w:type="dxa"/>
            <w:tcBorders>
              <w:top w:val="nil"/>
              <w:left w:val="nil"/>
              <w:bottom w:val="nil"/>
              <w:right w:val="nil"/>
            </w:tcBorders>
          </w:tcPr>
          <w:p w:rsidR="00DD1C86" w:rsidRDefault="00DD1C86">
            <w:pPr>
              <w:spacing w:line="280" w:lineRule="atLeast"/>
              <w:rPr>
                <w:rFonts w:ascii="Verdana" w:eastAsia="Calibri" w:hAnsi="Verdana" w:cs="Arial"/>
                <w:i/>
                <w:color w:val="000000"/>
                <w:sz w:val="18"/>
                <w:szCs w:val="22"/>
              </w:rPr>
            </w:pPr>
          </w:p>
        </w:tc>
        <w:tc>
          <w:tcPr>
            <w:tcW w:w="4427" w:type="dxa"/>
            <w:tcBorders>
              <w:top w:val="nil"/>
              <w:left w:val="nil"/>
              <w:bottom w:val="nil"/>
              <w:right w:val="nil"/>
            </w:tcBorders>
          </w:tcPr>
          <w:p w:rsidR="00DD1C86" w:rsidRDefault="00DD1C86">
            <w:pPr>
              <w:spacing w:line="280" w:lineRule="atLeast"/>
              <w:rPr>
                <w:rFonts w:ascii="Verdana" w:eastAsia="Calibri" w:hAnsi="Verdana" w:cs="Arial"/>
                <w:i/>
                <w:color w:val="000000"/>
                <w:sz w:val="18"/>
                <w:szCs w:val="22"/>
              </w:rPr>
            </w:pPr>
          </w:p>
        </w:tc>
      </w:tr>
      <w:tr w:rsidR="00DD1C86" w:rsidTr="00342FF7">
        <w:trPr>
          <w:cantSplit/>
          <w:trHeight w:val="556"/>
        </w:trPr>
        <w:tc>
          <w:tcPr>
            <w:tcW w:w="2093" w:type="dxa"/>
            <w:tcBorders>
              <w:top w:val="nil"/>
              <w:left w:val="nil"/>
              <w:bottom w:val="single" w:sz="4" w:space="0" w:color="auto"/>
              <w:right w:val="nil"/>
            </w:tcBorders>
          </w:tcPr>
          <w:p w:rsidR="00DD1C86" w:rsidDel="00DD1C86" w:rsidRDefault="00DD1C86">
            <w:pPr>
              <w:spacing w:line="280" w:lineRule="atLeast"/>
              <w:rPr>
                <w:rFonts w:eastAsia="Calibri"/>
                <w:b/>
                <w:bCs/>
                <w:color w:val="000000"/>
                <w:sz w:val="18"/>
                <w:szCs w:val="22"/>
              </w:rPr>
            </w:pPr>
          </w:p>
        </w:tc>
        <w:tc>
          <w:tcPr>
            <w:tcW w:w="2410" w:type="dxa"/>
            <w:tcBorders>
              <w:top w:val="nil"/>
              <w:left w:val="nil"/>
              <w:bottom w:val="single" w:sz="4" w:space="0" w:color="auto"/>
              <w:right w:val="nil"/>
            </w:tcBorders>
          </w:tcPr>
          <w:p w:rsidR="00DD1C86" w:rsidDel="00DD1C86" w:rsidRDefault="00DD1C86">
            <w:pPr>
              <w:spacing w:line="280" w:lineRule="atLeast"/>
              <w:rPr>
                <w:rFonts w:eastAsia="Calibri"/>
                <w:color w:val="000000"/>
                <w:sz w:val="18"/>
                <w:szCs w:val="22"/>
              </w:rPr>
            </w:pPr>
          </w:p>
        </w:tc>
        <w:tc>
          <w:tcPr>
            <w:tcW w:w="2126" w:type="dxa"/>
            <w:tcBorders>
              <w:top w:val="nil"/>
              <w:left w:val="nil"/>
              <w:bottom w:val="single" w:sz="4" w:space="0" w:color="auto"/>
              <w:right w:val="nil"/>
            </w:tcBorders>
          </w:tcPr>
          <w:p w:rsidR="00DD1C86" w:rsidDel="00DD1C86" w:rsidRDefault="00DD1C86">
            <w:pPr>
              <w:spacing w:line="280" w:lineRule="atLeast"/>
              <w:rPr>
                <w:rFonts w:eastAsia="Calibri"/>
                <w:color w:val="000000"/>
                <w:sz w:val="18"/>
                <w:szCs w:val="22"/>
              </w:rPr>
            </w:pPr>
          </w:p>
        </w:tc>
        <w:tc>
          <w:tcPr>
            <w:tcW w:w="3118" w:type="dxa"/>
            <w:tcBorders>
              <w:top w:val="nil"/>
              <w:left w:val="nil"/>
              <w:bottom w:val="single" w:sz="4" w:space="0" w:color="auto"/>
              <w:right w:val="nil"/>
            </w:tcBorders>
          </w:tcPr>
          <w:p w:rsidR="00DD1C86" w:rsidDel="00DD1C86" w:rsidRDefault="00DD1C86">
            <w:pPr>
              <w:spacing w:line="280" w:lineRule="atLeast"/>
              <w:rPr>
                <w:rFonts w:eastAsia="Calibri"/>
                <w:color w:val="000000"/>
                <w:sz w:val="18"/>
                <w:szCs w:val="22"/>
              </w:rPr>
            </w:pPr>
          </w:p>
        </w:tc>
        <w:tc>
          <w:tcPr>
            <w:tcW w:w="4427" w:type="dxa"/>
            <w:tcBorders>
              <w:top w:val="nil"/>
              <w:left w:val="nil"/>
              <w:bottom w:val="single" w:sz="4" w:space="0" w:color="auto"/>
              <w:right w:val="nil"/>
            </w:tcBorders>
          </w:tcPr>
          <w:p w:rsidR="00DD1C86" w:rsidDel="00DD1C86" w:rsidRDefault="00DD1C86">
            <w:pPr>
              <w:spacing w:line="280" w:lineRule="atLeast"/>
              <w:rPr>
                <w:rFonts w:eastAsia="Calibri"/>
                <w:b/>
                <w:color w:val="000000"/>
                <w:sz w:val="18"/>
                <w:szCs w:val="22"/>
              </w:rPr>
            </w:pPr>
          </w:p>
        </w:tc>
      </w:tr>
      <w:tr w:rsidR="00DD1C86" w:rsidTr="00342FF7">
        <w:trPr>
          <w:cantSplit/>
          <w:trHeight w:val="556"/>
        </w:trPr>
        <w:tc>
          <w:tcPr>
            <w:tcW w:w="2093" w:type="dxa"/>
            <w:tcBorders>
              <w:top w:val="single" w:sz="4" w:space="0" w:color="auto"/>
              <w:left w:val="nil"/>
              <w:bottom w:val="single" w:sz="4" w:space="0" w:color="auto"/>
              <w:right w:val="nil"/>
            </w:tcBorders>
          </w:tcPr>
          <w:p w:rsidR="00DD1C86" w:rsidRDefault="00DD1C86" w:rsidP="00342FF7">
            <w:pPr>
              <w:spacing w:line="280" w:lineRule="atLeast"/>
              <w:jc w:val="center"/>
              <w:rPr>
                <w:rFonts w:eastAsia="Calibri"/>
                <w:b/>
                <w:bCs/>
                <w:color w:val="000000"/>
                <w:sz w:val="18"/>
                <w:szCs w:val="22"/>
              </w:rPr>
            </w:pPr>
            <w:r>
              <w:rPr>
                <w:rFonts w:eastAsia="Calibri"/>
                <w:b/>
                <w:bCs/>
                <w:color w:val="000000"/>
                <w:sz w:val="18"/>
                <w:szCs w:val="22"/>
              </w:rPr>
              <w:t>Action Report</w:t>
            </w:r>
          </w:p>
        </w:tc>
        <w:tc>
          <w:tcPr>
            <w:tcW w:w="2410" w:type="dxa"/>
            <w:tcBorders>
              <w:top w:val="single" w:sz="4" w:space="0" w:color="auto"/>
              <w:left w:val="nil"/>
              <w:bottom w:val="single" w:sz="4" w:space="0" w:color="auto"/>
              <w:right w:val="nil"/>
            </w:tcBorders>
          </w:tcPr>
          <w:p w:rsidR="00DD1C86" w:rsidRDefault="00DD1C86" w:rsidP="00342FF7">
            <w:pPr>
              <w:spacing w:line="280" w:lineRule="atLeast"/>
              <w:jc w:val="center"/>
              <w:rPr>
                <w:rFonts w:eastAsia="Calibri"/>
                <w:color w:val="000000"/>
                <w:sz w:val="18"/>
                <w:szCs w:val="22"/>
              </w:rPr>
            </w:pPr>
            <w:r>
              <w:rPr>
                <w:rFonts w:eastAsia="Calibri"/>
                <w:b/>
                <w:bCs/>
                <w:color w:val="000000"/>
                <w:sz w:val="18"/>
                <w:szCs w:val="22"/>
              </w:rPr>
              <w:t>OECD recommendation</w:t>
            </w:r>
          </w:p>
        </w:tc>
        <w:tc>
          <w:tcPr>
            <w:tcW w:w="2126" w:type="dxa"/>
            <w:tcBorders>
              <w:top w:val="single" w:sz="4" w:space="0" w:color="auto"/>
              <w:left w:val="nil"/>
              <w:bottom w:val="single" w:sz="4" w:space="0" w:color="auto"/>
              <w:right w:val="nil"/>
            </w:tcBorders>
          </w:tcPr>
          <w:p w:rsidR="00DD1C86" w:rsidRDefault="00DD1C86" w:rsidP="00342FF7">
            <w:pPr>
              <w:spacing w:line="280" w:lineRule="atLeast"/>
              <w:jc w:val="center"/>
              <w:rPr>
                <w:rFonts w:eastAsia="Calibri"/>
                <w:color w:val="000000"/>
                <w:sz w:val="18"/>
                <w:szCs w:val="22"/>
              </w:rPr>
            </w:pPr>
            <w:r>
              <w:rPr>
                <w:rFonts w:eastAsia="Calibri"/>
                <w:b/>
                <w:bCs/>
                <w:color w:val="000000"/>
                <w:sz w:val="18"/>
                <w:szCs w:val="22"/>
              </w:rPr>
              <w:t>Current law</w:t>
            </w:r>
          </w:p>
        </w:tc>
        <w:tc>
          <w:tcPr>
            <w:tcW w:w="3118" w:type="dxa"/>
            <w:tcBorders>
              <w:top w:val="single" w:sz="4" w:space="0" w:color="auto"/>
              <w:left w:val="nil"/>
              <w:bottom w:val="single" w:sz="4" w:space="0" w:color="auto"/>
              <w:right w:val="nil"/>
            </w:tcBorders>
          </w:tcPr>
          <w:p w:rsidR="00DD1C86" w:rsidRDefault="00DD1C86" w:rsidP="00342FF7">
            <w:pPr>
              <w:spacing w:line="280" w:lineRule="atLeast"/>
              <w:jc w:val="center"/>
              <w:rPr>
                <w:rFonts w:eastAsia="Calibri"/>
                <w:color w:val="000000"/>
                <w:sz w:val="18"/>
                <w:szCs w:val="22"/>
              </w:rPr>
            </w:pPr>
            <w:r>
              <w:rPr>
                <w:rFonts w:eastAsia="Calibri"/>
                <w:b/>
                <w:bCs/>
                <w:color w:val="000000"/>
                <w:sz w:val="18"/>
                <w:szCs w:val="22"/>
              </w:rPr>
              <w:t>NZ response to OECD recommendations</w:t>
            </w:r>
          </w:p>
        </w:tc>
        <w:tc>
          <w:tcPr>
            <w:tcW w:w="4427" w:type="dxa"/>
            <w:tcBorders>
              <w:top w:val="single" w:sz="4" w:space="0" w:color="auto"/>
              <w:left w:val="nil"/>
              <w:bottom w:val="single" w:sz="4" w:space="0" w:color="auto"/>
              <w:right w:val="nil"/>
            </w:tcBorders>
          </w:tcPr>
          <w:p w:rsidR="00DD1C86" w:rsidRDefault="00DD1C86" w:rsidP="00342FF7">
            <w:pPr>
              <w:spacing w:line="280" w:lineRule="atLeast"/>
              <w:jc w:val="center"/>
              <w:rPr>
                <w:rFonts w:eastAsia="Calibri"/>
                <w:b/>
                <w:color w:val="000000"/>
                <w:sz w:val="18"/>
                <w:szCs w:val="22"/>
              </w:rPr>
            </w:pPr>
            <w:r>
              <w:rPr>
                <w:rFonts w:eastAsia="Calibri"/>
                <w:b/>
                <w:bCs/>
                <w:color w:val="000000"/>
                <w:sz w:val="18"/>
                <w:szCs w:val="22"/>
              </w:rPr>
              <w:t>Australian response to OECD recommendations</w:t>
            </w:r>
          </w:p>
        </w:tc>
      </w:tr>
      <w:tr w:rsidR="00DD1C86" w:rsidTr="00342FF7">
        <w:trPr>
          <w:cantSplit/>
          <w:trHeight w:val="556"/>
        </w:trPr>
        <w:tc>
          <w:tcPr>
            <w:tcW w:w="2093" w:type="dxa"/>
            <w:tcBorders>
              <w:top w:val="single" w:sz="4" w:space="0" w:color="auto"/>
              <w:left w:val="nil"/>
              <w:bottom w:val="nil"/>
              <w:right w:val="nil"/>
            </w:tcBorders>
          </w:tcPr>
          <w:p w:rsidR="00DD1C86" w:rsidRDefault="00DD1C86">
            <w:pPr>
              <w:spacing w:line="280" w:lineRule="atLeast"/>
              <w:rPr>
                <w:rFonts w:eastAsia="Calibri"/>
                <w:b/>
                <w:bCs/>
                <w:color w:val="000000"/>
                <w:sz w:val="18"/>
                <w:szCs w:val="22"/>
              </w:rPr>
            </w:pPr>
            <w:r>
              <w:rPr>
                <w:rFonts w:eastAsia="Calibri"/>
                <w:b/>
                <w:bCs/>
                <w:color w:val="000000"/>
                <w:sz w:val="18"/>
                <w:szCs w:val="22"/>
              </w:rPr>
              <w:t>14 – Make dispute resolution mechanisms more effective</w:t>
            </w:r>
          </w:p>
        </w:tc>
        <w:tc>
          <w:tcPr>
            <w:tcW w:w="2410" w:type="dxa"/>
            <w:tcBorders>
              <w:top w:val="single" w:sz="4" w:space="0" w:color="auto"/>
              <w:left w:val="nil"/>
              <w:bottom w:val="nil"/>
              <w:right w:val="nil"/>
            </w:tcBorders>
          </w:tcPr>
          <w:p w:rsidR="00DD1C86" w:rsidRDefault="00DD1C86">
            <w:pPr>
              <w:spacing w:line="280" w:lineRule="atLeast"/>
              <w:rPr>
                <w:rFonts w:eastAsia="Calibri"/>
                <w:b/>
                <w:bCs/>
                <w:color w:val="000000"/>
                <w:sz w:val="18"/>
                <w:szCs w:val="22"/>
              </w:rPr>
            </w:pPr>
            <w:r>
              <w:rPr>
                <w:rFonts w:eastAsia="Calibri"/>
                <w:color w:val="000000"/>
                <w:sz w:val="18"/>
                <w:szCs w:val="22"/>
              </w:rPr>
              <w:t>Recommendations on operational minimum standards and best practices for dispute resolution</w:t>
            </w:r>
          </w:p>
        </w:tc>
        <w:tc>
          <w:tcPr>
            <w:tcW w:w="2126" w:type="dxa"/>
            <w:tcBorders>
              <w:top w:val="single" w:sz="4" w:space="0" w:color="auto"/>
              <w:left w:val="nil"/>
              <w:bottom w:val="nil"/>
              <w:right w:val="nil"/>
            </w:tcBorders>
          </w:tcPr>
          <w:p w:rsidR="00DD1C86" w:rsidRDefault="00DD1C86" w:rsidP="002A41DD">
            <w:pPr>
              <w:spacing w:line="280" w:lineRule="atLeast"/>
              <w:rPr>
                <w:rFonts w:ascii="Verdana" w:eastAsia="Calibri" w:hAnsi="Verdana" w:cs="Arial"/>
                <w:color w:val="000000"/>
                <w:sz w:val="18"/>
                <w:szCs w:val="22"/>
              </w:rPr>
            </w:pPr>
            <w:r>
              <w:rPr>
                <w:rFonts w:eastAsia="Calibri"/>
                <w:color w:val="000000"/>
                <w:sz w:val="18"/>
                <w:szCs w:val="22"/>
              </w:rPr>
              <w:t>NZ and Australia have strong dispute resolution systems, but do not currently allow taxpayers to approach the competent authority (CA)</w:t>
            </w:r>
            <w:r>
              <w:rPr>
                <w:rFonts w:eastAsia="Calibri"/>
                <w:color w:val="000000"/>
                <w:position w:val="6"/>
                <w:sz w:val="18"/>
                <w:szCs w:val="22"/>
                <w:vertAlign w:val="superscript"/>
              </w:rPr>
              <w:footnoteReference w:id="1"/>
            </w:r>
            <w:r>
              <w:rPr>
                <w:rFonts w:eastAsia="Calibri"/>
                <w:color w:val="000000"/>
                <w:sz w:val="18"/>
                <w:szCs w:val="22"/>
              </w:rPr>
              <w:t xml:space="preserve"> of </w:t>
            </w:r>
            <w:r>
              <w:rPr>
                <w:rFonts w:eastAsia="Calibri"/>
                <w:i/>
                <w:color w:val="000000"/>
                <w:sz w:val="18"/>
                <w:szCs w:val="22"/>
              </w:rPr>
              <w:t>either</w:t>
            </w:r>
            <w:r>
              <w:rPr>
                <w:rFonts w:eastAsia="Calibri"/>
                <w:color w:val="000000"/>
                <w:sz w:val="18"/>
                <w:szCs w:val="22"/>
              </w:rPr>
              <w:t xml:space="preserve"> DTA partner for resolution of dispute (taxpayer must approach home country CA) and do not generally offer arbitration of CA disputes.</w:t>
            </w:r>
          </w:p>
          <w:p w:rsidR="00DD1C86" w:rsidRDefault="00DD1C86">
            <w:pPr>
              <w:spacing w:line="280" w:lineRule="atLeast"/>
              <w:rPr>
                <w:rFonts w:eastAsia="Calibri"/>
                <w:b/>
                <w:bCs/>
                <w:color w:val="000000"/>
                <w:sz w:val="18"/>
                <w:szCs w:val="22"/>
              </w:rPr>
            </w:pPr>
          </w:p>
        </w:tc>
        <w:tc>
          <w:tcPr>
            <w:tcW w:w="3118" w:type="dxa"/>
            <w:tcBorders>
              <w:top w:val="single" w:sz="4" w:space="0" w:color="auto"/>
              <w:left w:val="nil"/>
              <w:bottom w:val="nil"/>
              <w:right w:val="nil"/>
            </w:tcBorders>
          </w:tcPr>
          <w:p w:rsidR="00DD1C86" w:rsidRDefault="00DD1C86" w:rsidP="002A41DD">
            <w:pPr>
              <w:spacing w:line="280" w:lineRule="atLeast"/>
              <w:rPr>
                <w:rFonts w:ascii="Verdana" w:eastAsia="Calibri" w:hAnsi="Verdana" w:cs="Arial"/>
                <w:color w:val="000000"/>
                <w:sz w:val="18"/>
                <w:szCs w:val="22"/>
              </w:rPr>
            </w:pPr>
            <w:r>
              <w:rPr>
                <w:rFonts w:eastAsia="Calibri"/>
                <w:color w:val="000000"/>
                <w:sz w:val="18"/>
                <w:szCs w:val="22"/>
              </w:rPr>
              <w:t xml:space="preserve">NZ will implement OECD recommendations on dispute resolution by signing the MLI – in particular, NZ will allow taxpayers to approach the CA of either DTA partner in a treaty dispute and provide for arbitration of CA disputes. </w:t>
            </w:r>
          </w:p>
          <w:p w:rsidR="00DD1C86" w:rsidRDefault="00DD1C86" w:rsidP="002A41DD">
            <w:pPr>
              <w:spacing w:line="280" w:lineRule="atLeast"/>
              <w:rPr>
                <w:rFonts w:eastAsia="Calibri"/>
                <w:color w:val="000000"/>
                <w:sz w:val="18"/>
                <w:szCs w:val="22"/>
              </w:rPr>
            </w:pPr>
          </w:p>
          <w:p w:rsidR="00DD1C86" w:rsidRDefault="00DD1C86" w:rsidP="002A41DD">
            <w:pPr>
              <w:spacing w:line="280" w:lineRule="atLeast"/>
              <w:rPr>
                <w:rFonts w:eastAsia="Calibri"/>
                <w:color w:val="000000"/>
                <w:sz w:val="18"/>
                <w:szCs w:val="22"/>
              </w:rPr>
            </w:pPr>
            <w:r>
              <w:rPr>
                <w:rFonts w:eastAsia="Calibri"/>
                <w:color w:val="000000"/>
                <w:sz w:val="18"/>
                <w:szCs w:val="22"/>
              </w:rPr>
              <w:t>N</w:t>
            </w:r>
            <w:r w:rsidR="00DD540B">
              <w:rPr>
                <w:rFonts w:eastAsia="Calibri"/>
                <w:color w:val="000000"/>
                <w:sz w:val="18"/>
                <w:szCs w:val="22"/>
              </w:rPr>
              <w:t xml:space="preserve">Z </w:t>
            </w:r>
            <w:r>
              <w:rPr>
                <w:rFonts w:eastAsia="Calibri"/>
                <w:color w:val="000000"/>
                <w:sz w:val="18"/>
                <w:szCs w:val="22"/>
              </w:rPr>
              <w:t>also recently issued guidance on the mutual agreement procedure (MAP).</w:t>
            </w:r>
          </w:p>
          <w:p w:rsidR="00DD1C86" w:rsidRDefault="00DD1C86" w:rsidP="002A41DD">
            <w:pPr>
              <w:spacing w:line="280" w:lineRule="atLeast"/>
              <w:rPr>
                <w:rFonts w:eastAsia="Calibri"/>
                <w:color w:val="000000"/>
                <w:sz w:val="18"/>
                <w:szCs w:val="22"/>
              </w:rPr>
            </w:pPr>
          </w:p>
          <w:p w:rsidR="00DD1C86" w:rsidRDefault="00DD1C86">
            <w:pPr>
              <w:spacing w:line="280" w:lineRule="atLeast"/>
              <w:rPr>
                <w:rFonts w:eastAsia="Calibri"/>
                <w:b/>
                <w:bCs/>
                <w:color w:val="000000"/>
                <w:sz w:val="18"/>
                <w:szCs w:val="22"/>
              </w:rPr>
            </w:pPr>
            <w:r>
              <w:rPr>
                <w:rFonts w:eastAsia="Calibri"/>
                <w:i/>
                <w:color w:val="000000"/>
                <w:sz w:val="18"/>
                <w:szCs w:val="22"/>
              </w:rPr>
              <w:t>Consulted on the MLI in March 2017 and signed the MLI on 7 June 2017. Ratification of the MLI will follow.</w:t>
            </w:r>
          </w:p>
        </w:tc>
        <w:tc>
          <w:tcPr>
            <w:tcW w:w="4427" w:type="dxa"/>
            <w:tcBorders>
              <w:top w:val="single" w:sz="4" w:space="0" w:color="auto"/>
              <w:left w:val="nil"/>
              <w:bottom w:val="nil"/>
              <w:right w:val="nil"/>
            </w:tcBorders>
          </w:tcPr>
          <w:p w:rsidR="00DD1C86" w:rsidRDefault="00DD1C86" w:rsidP="002A41DD">
            <w:pPr>
              <w:spacing w:line="280" w:lineRule="atLeast"/>
              <w:rPr>
                <w:rFonts w:ascii="Verdana" w:eastAsia="Calibri" w:hAnsi="Verdana" w:cs="Arial"/>
                <w:color w:val="000000"/>
                <w:sz w:val="18"/>
                <w:szCs w:val="22"/>
              </w:rPr>
            </w:pPr>
            <w:r>
              <w:rPr>
                <w:rFonts w:eastAsia="Calibri"/>
                <w:b/>
                <w:color w:val="000000"/>
                <w:sz w:val="18"/>
                <w:szCs w:val="22"/>
              </w:rPr>
              <w:t>Same response as New Zealand</w:t>
            </w:r>
            <w:r>
              <w:rPr>
                <w:rFonts w:eastAsia="Calibri"/>
                <w:color w:val="000000"/>
                <w:sz w:val="18"/>
                <w:szCs w:val="22"/>
              </w:rPr>
              <w:t xml:space="preserve">. Australia will implement OECD recommendations on dispute resolution by signing the MLI – in particular, it will allow taxpayers to approach the CA of either DTA partner in a treaty dispute and provide for arbitration of CA disputes. </w:t>
            </w:r>
          </w:p>
          <w:p w:rsidR="00DD1C86" w:rsidRDefault="00DD1C86" w:rsidP="002A41DD">
            <w:pPr>
              <w:spacing w:line="280" w:lineRule="atLeast"/>
              <w:rPr>
                <w:rFonts w:eastAsia="Calibri"/>
                <w:color w:val="000000"/>
                <w:sz w:val="18"/>
                <w:szCs w:val="22"/>
              </w:rPr>
            </w:pPr>
          </w:p>
          <w:p w:rsidR="00DD1C86" w:rsidRDefault="00DD1C86" w:rsidP="002A41DD">
            <w:pPr>
              <w:spacing w:line="280" w:lineRule="atLeast"/>
              <w:rPr>
                <w:rFonts w:eastAsia="Calibri"/>
                <w:i/>
                <w:color w:val="000000"/>
                <w:sz w:val="18"/>
                <w:szCs w:val="22"/>
              </w:rPr>
            </w:pPr>
            <w:r>
              <w:rPr>
                <w:rFonts w:eastAsia="Calibri"/>
                <w:i/>
                <w:color w:val="000000"/>
                <w:sz w:val="18"/>
                <w:szCs w:val="22"/>
              </w:rPr>
              <w:t xml:space="preserve">Consulted on the MLI in December and signed the MLI on 7 June 2017. Ratification of the MLI will follow.  </w:t>
            </w:r>
          </w:p>
          <w:p w:rsidR="00DD1C86" w:rsidRDefault="00DD1C86">
            <w:pPr>
              <w:spacing w:line="280" w:lineRule="atLeast"/>
              <w:rPr>
                <w:rFonts w:eastAsia="Calibri"/>
                <w:b/>
                <w:bCs/>
                <w:color w:val="000000"/>
                <w:sz w:val="18"/>
                <w:szCs w:val="22"/>
              </w:rPr>
            </w:pPr>
          </w:p>
        </w:tc>
      </w:tr>
      <w:tr w:rsidR="00DD1C86" w:rsidTr="00FF3845">
        <w:trPr>
          <w:cantSplit/>
          <w:trHeight w:val="556"/>
        </w:trPr>
        <w:tc>
          <w:tcPr>
            <w:tcW w:w="2093" w:type="dxa"/>
            <w:tcBorders>
              <w:top w:val="nil"/>
              <w:left w:val="nil"/>
              <w:bottom w:val="single" w:sz="8" w:space="0" w:color="000000"/>
              <w:right w:val="nil"/>
            </w:tcBorders>
            <w:shd w:val="clear" w:color="auto" w:fill="C0C0C0"/>
            <w:hideMark/>
          </w:tcPr>
          <w:p w:rsidR="00DD1C86" w:rsidRDefault="00DD1C86">
            <w:pPr>
              <w:spacing w:line="280" w:lineRule="atLeast"/>
              <w:rPr>
                <w:rFonts w:ascii="Verdana" w:eastAsia="Calibri" w:hAnsi="Verdana" w:cs="Arial"/>
                <w:b/>
                <w:bCs/>
                <w:color w:val="000000"/>
                <w:sz w:val="18"/>
                <w:szCs w:val="22"/>
              </w:rPr>
            </w:pPr>
            <w:r>
              <w:rPr>
                <w:rFonts w:eastAsia="Calibri"/>
                <w:b/>
                <w:bCs/>
                <w:color w:val="000000"/>
                <w:sz w:val="18"/>
                <w:szCs w:val="22"/>
              </w:rPr>
              <w:t>15 – Develop the MLI to strengthen DTAs</w:t>
            </w:r>
          </w:p>
        </w:tc>
        <w:tc>
          <w:tcPr>
            <w:tcW w:w="2410" w:type="dxa"/>
            <w:tcBorders>
              <w:top w:val="nil"/>
              <w:left w:val="nil"/>
              <w:bottom w:val="single" w:sz="8" w:space="0" w:color="000000"/>
              <w:right w:val="nil"/>
            </w:tcBorders>
            <w:shd w:val="clear" w:color="auto" w:fill="C0C0C0"/>
          </w:tcPr>
          <w:p w:rsidR="00DD1C86" w:rsidRDefault="00DD1C86">
            <w:pPr>
              <w:spacing w:line="280" w:lineRule="atLeast"/>
              <w:rPr>
                <w:rFonts w:ascii="Verdana" w:eastAsia="Calibri" w:hAnsi="Verdana" w:cs="Arial"/>
                <w:color w:val="000000"/>
                <w:sz w:val="18"/>
                <w:szCs w:val="22"/>
              </w:rPr>
            </w:pPr>
            <w:r>
              <w:rPr>
                <w:rFonts w:eastAsia="Calibri"/>
                <w:color w:val="000000"/>
                <w:sz w:val="18"/>
                <w:szCs w:val="22"/>
              </w:rPr>
              <w:t>The MLI implements substantive recommendations made in OECD’s Action 2, 6, 7 and 14 reports.</w:t>
            </w:r>
          </w:p>
          <w:p w:rsidR="00DD1C86" w:rsidRDefault="00DD1C86">
            <w:pPr>
              <w:spacing w:line="280" w:lineRule="atLeast"/>
              <w:rPr>
                <w:rFonts w:eastAsia="Calibri"/>
                <w:color w:val="000000"/>
                <w:sz w:val="18"/>
                <w:szCs w:val="22"/>
              </w:rPr>
            </w:pPr>
            <w:r>
              <w:rPr>
                <w:rFonts w:eastAsia="Calibri"/>
                <w:color w:val="000000"/>
                <w:sz w:val="18"/>
                <w:szCs w:val="22"/>
              </w:rPr>
              <w:t>Report identified public international law and tax issues; and recommended an Ad-Hoc Group be set up to develop the MLI.</w:t>
            </w:r>
          </w:p>
          <w:p w:rsidR="00DD1C86" w:rsidRDefault="00DD1C86">
            <w:pPr>
              <w:spacing w:line="280" w:lineRule="atLeast"/>
              <w:rPr>
                <w:rFonts w:ascii="Verdana" w:eastAsia="Calibri" w:hAnsi="Verdana" w:cs="Arial"/>
                <w:color w:val="000000"/>
                <w:sz w:val="18"/>
                <w:szCs w:val="22"/>
              </w:rPr>
            </w:pPr>
          </w:p>
        </w:tc>
        <w:tc>
          <w:tcPr>
            <w:tcW w:w="2126" w:type="dxa"/>
            <w:tcBorders>
              <w:top w:val="nil"/>
              <w:left w:val="nil"/>
              <w:bottom w:val="single" w:sz="8" w:space="0" w:color="000000"/>
              <w:right w:val="nil"/>
            </w:tcBorders>
            <w:shd w:val="clear" w:color="auto" w:fill="C0C0C0"/>
            <w:hideMark/>
          </w:tcPr>
          <w:p w:rsidR="00DD1C86" w:rsidRDefault="00DD1C86">
            <w:pPr>
              <w:spacing w:line="280" w:lineRule="atLeast"/>
              <w:rPr>
                <w:rFonts w:ascii="Verdana" w:eastAsia="Calibri" w:hAnsi="Verdana" w:cs="Arial"/>
                <w:color w:val="000000"/>
                <w:sz w:val="18"/>
                <w:szCs w:val="22"/>
              </w:rPr>
            </w:pPr>
            <w:r>
              <w:rPr>
                <w:rFonts w:eastAsia="Calibri"/>
                <w:color w:val="000000"/>
                <w:sz w:val="18"/>
                <w:szCs w:val="22"/>
              </w:rPr>
              <w:t>NZ has a network of 40 DTAs.  Some of the MLI provisions are already included in a few DTAs.</w:t>
            </w:r>
          </w:p>
        </w:tc>
        <w:tc>
          <w:tcPr>
            <w:tcW w:w="3118" w:type="dxa"/>
            <w:tcBorders>
              <w:top w:val="nil"/>
              <w:left w:val="nil"/>
              <w:bottom w:val="single" w:sz="8" w:space="0" w:color="000000"/>
              <w:right w:val="nil"/>
            </w:tcBorders>
            <w:shd w:val="clear" w:color="auto" w:fill="C0C0C0"/>
          </w:tcPr>
          <w:p w:rsidR="00DD1C86" w:rsidRDefault="00DD1C86">
            <w:pPr>
              <w:spacing w:line="280" w:lineRule="atLeast"/>
              <w:rPr>
                <w:rFonts w:ascii="Verdana" w:eastAsia="Calibri" w:hAnsi="Verdana" w:cs="Arial"/>
                <w:color w:val="000000"/>
                <w:sz w:val="18"/>
                <w:szCs w:val="22"/>
              </w:rPr>
            </w:pPr>
            <w:r>
              <w:rPr>
                <w:rFonts w:eastAsia="Calibri"/>
                <w:color w:val="000000"/>
                <w:sz w:val="18"/>
                <w:szCs w:val="22"/>
              </w:rPr>
              <w:t>N</w:t>
            </w:r>
            <w:r w:rsidR="00DD540B">
              <w:rPr>
                <w:rFonts w:eastAsia="Calibri"/>
                <w:color w:val="000000"/>
                <w:sz w:val="18"/>
                <w:szCs w:val="22"/>
              </w:rPr>
              <w:t>Z</w:t>
            </w:r>
            <w:r>
              <w:rPr>
                <w:rFonts w:eastAsia="Calibri"/>
                <w:color w:val="000000"/>
                <w:sz w:val="18"/>
                <w:szCs w:val="22"/>
              </w:rPr>
              <w:t xml:space="preserve"> officials participated in the Ad Hoc Group to develop the MLI and New Zealand signed the MLI on 7 June 2017.  N</w:t>
            </w:r>
            <w:r w:rsidR="00DD540B">
              <w:rPr>
                <w:rFonts w:eastAsia="Calibri"/>
                <w:color w:val="000000"/>
                <w:sz w:val="18"/>
                <w:szCs w:val="22"/>
              </w:rPr>
              <w:t>Z</w:t>
            </w:r>
            <w:r>
              <w:rPr>
                <w:rFonts w:eastAsia="Calibri"/>
                <w:color w:val="000000"/>
                <w:sz w:val="18"/>
                <w:szCs w:val="22"/>
              </w:rPr>
              <w:t xml:space="preserve"> expects to ratify the MLI in 2018 and our DTAs are likely to begin to be modified in 2019.</w:t>
            </w:r>
          </w:p>
          <w:p w:rsidR="00DD1C86" w:rsidRDefault="00DD1C86">
            <w:pPr>
              <w:spacing w:line="280" w:lineRule="atLeast"/>
              <w:rPr>
                <w:rFonts w:eastAsia="Calibri"/>
                <w:color w:val="000000"/>
                <w:sz w:val="18"/>
                <w:szCs w:val="22"/>
              </w:rPr>
            </w:pPr>
          </w:p>
          <w:p w:rsidR="00DD1C86" w:rsidRDefault="00DD1C86">
            <w:pPr>
              <w:spacing w:line="280" w:lineRule="atLeast"/>
              <w:rPr>
                <w:rFonts w:ascii="Verdana" w:eastAsia="Calibri" w:hAnsi="Verdana" w:cs="Arial"/>
                <w:color w:val="000000"/>
                <w:sz w:val="18"/>
                <w:szCs w:val="22"/>
              </w:rPr>
            </w:pPr>
            <w:r>
              <w:rPr>
                <w:rFonts w:eastAsia="Calibri"/>
                <w:i/>
                <w:color w:val="000000"/>
                <w:sz w:val="18"/>
                <w:szCs w:val="22"/>
              </w:rPr>
              <w:t>Consulted on the MLI in March 2017 and signed the MLI on 7 June 2017. Ratification of the MLI will follow.</w:t>
            </w:r>
          </w:p>
        </w:tc>
        <w:tc>
          <w:tcPr>
            <w:tcW w:w="4427" w:type="dxa"/>
            <w:tcBorders>
              <w:top w:val="nil"/>
              <w:left w:val="nil"/>
              <w:bottom w:val="single" w:sz="8" w:space="0" w:color="000000"/>
              <w:right w:val="nil"/>
            </w:tcBorders>
            <w:shd w:val="clear" w:color="auto" w:fill="C0C0C0"/>
          </w:tcPr>
          <w:p w:rsidR="00DD1C86" w:rsidRDefault="00DD1C86">
            <w:pPr>
              <w:spacing w:line="280" w:lineRule="atLeast"/>
              <w:rPr>
                <w:rFonts w:ascii="Verdana" w:eastAsia="Calibri" w:hAnsi="Verdana" w:cs="Arial"/>
                <w:color w:val="000000"/>
                <w:sz w:val="18"/>
                <w:szCs w:val="22"/>
              </w:rPr>
            </w:pPr>
            <w:r>
              <w:rPr>
                <w:rFonts w:eastAsia="Calibri"/>
                <w:b/>
                <w:color w:val="000000"/>
                <w:sz w:val="18"/>
                <w:szCs w:val="22"/>
              </w:rPr>
              <w:t>Same response as New Zealand</w:t>
            </w:r>
            <w:r>
              <w:rPr>
                <w:rFonts w:eastAsia="Calibri"/>
                <w:color w:val="000000"/>
                <w:sz w:val="18"/>
                <w:szCs w:val="22"/>
              </w:rPr>
              <w:t xml:space="preserve">. Australian officials participated in the Ad Hoc Group to develop the MLI and Australia signed the MLI on 7 June 2017. </w:t>
            </w:r>
          </w:p>
          <w:p w:rsidR="00DD1C86" w:rsidRDefault="00DD1C86">
            <w:pPr>
              <w:spacing w:line="280" w:lineRule="atLeast"/>
              <w:rPr>
                <w:rFonts w:eastAsia="Calibri"/>
                <w:color w:val="000000"/>
                <w:sz w:val="18"/>
                <w:szCs w:val="22"/>
              </w:rPr>
            </w:pPr>
          </w:p>
          <w:p w:rsidR="00DD1C86" w:rsidRDefault="00DD1C86">
            <w:pPr>
              <w:spacing w:line="280" w:lineRule="atLeast"/>
              <w:rPr>
                <w:rFonts w:eastAsia="Calibri"/>
                <w:i/>
                <w:color w:val="000000"/>
                <w:sz w:val="18"/>
                <w:szCs w:val="22"/>
              </w:rPr>
            </w:pPr>
            <w:r>
              <w:rPr>
                <w:rFonts w:eastAsia="Calibri"/>
                <w:i/>
                <w:color w:val="000000"/>
                <w:sz w:val="18"/>
                <w:szCs w:val="22"/>
              </w:rPr>
              <w:t xml:space="preserve">Australia consulted on the MLI in December and signed the MLI on 7 June 2017. Ratification of the MLI will follow.  </w:t>
            </w:r>
          </w:p>
          <w:p w:rsidR="00DD1C86" w:rsidRDefault="00DD1C86">
            <w:pPr>
              <w:spacing w:line="280" w:lineRule="atLeast"/>
              <w:rPr>
                <w:rFonts w:ascii="Verdana" w:eastAsia="Calibri" w:hAnsi="Verdana" w:cs="Arial"/>
                <w:color w:val="000000"/>
                <w:sz w:val="18"/>
                <w:szCs w:val="22"/>
              </w:rPr>
            </w:pPr>
          </w:p>
        </w:tc>
      </w:tr>
    </w:tbl>
    <w:p w:rsidR="00FF3845" w:rsidRPr="001416D9" w:rsidRDefault="00FF3845" w:rsidP="00BB5CD2">
      <w:pPr>
        <w:tabs>
          <w:tab w:val="left" w:pos="567"/>
          <w:tab w:val="left" w:pos="5100"/>
        </w:tabs>
        <w:jc w:val="both"/>
        <w:rPr>
          <w:szCs w:val="24"/>
          <w:lang w:eastAsia="en-AU"/>
        </w:rPr>
      </w:pPr>
    </w:p>
    <w:sectPr w:rsidR="00FF3845" w:rsidRPr="001416D9" w:rsidSect="00FF3845">
      <w:pgSz w:w="16840" w:h="11907" w:orient="landscape" w:code="9"/>
      <w:pgMar w:top="1418" w:right="1134" w:bottom="1418"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EC6" w:rsidRDefault="00523EC6">
      <w:r>
        <w:separator/>
      </w:r>
    </w:p>
  </w:endnote>
  <w:endnote w:type="continuationSeparator" w:id="0">
    <w:p w:rsidR="00523EC6" w:rsidRDefault="0052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EC6" w:rsidRDefault="00523EC6">
      <w:r>
        <w:separator/>
      </w:r>
    </w:p>
  </w:footnote>
  <w:footnote w:type="continuationSeparator" w:id="0">
    <w:p w:rsidR="00523EC6" w:rsidRDefault="00523EC6">
      <w:r>
        <w:continuationSeparator/>
      </w:r>
    </w:p>
  </w:footnote>
  <w:footnote w:id="1">
    <w:p w:rsidR="00523EC6" w:rsidRDefault="00523EC6" w:rsidP="00FF3845">
      <w:pPr>
        <w:pStyle w:val="FootnoteText"/>
        <w:rPr>
          <w:rFonts w:ascii="Verdana" w:hAnsi="Verdana"/>
        </w:rPr>
      </w:pPr>
      <w:r>
        <w:rPr>
          <w:rStyle w:val="FootnoteReference"/>
          <w:rFonts w:ascii="Verdana" w:hAnsi="Verdana"/>
        </w:rPr>
        <w:footnoteRef/>
      </w:r>
      <w:r>
        <w:rPr>
          <w:rFonts w:ascii="Verdana" w:hAnsi="Verdana"/>
        </w:rPr>
        <w:t xml:space="preserve"> CA is a person authorised by a DTA to administer tax treaty provisions and resolve disputes.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EC6" w:rsidRPr="006808E1" w:rsidRDefault="00523EC6" w:rsidP="006808E1">
    <w:pPr>
      <w:pStyle w:val="Header"/>
      <w:jc w:val="center"/>
      <w:rPr>
        <w:sz w:val="22"/>
        <w:szCs w:val="22"/>
      </w:rPr>
    </w:pPr>
    <w:r w:rsidRPr="006808E1">
      <w:rPr>
        <w:rStyle w:val="PageNumber"/>
        <w:sz w:val="22"/>
        <w:szCs w:val="22"/>
      </w:rPr>
      <w:fldChar w:fldCharType="begin"/>
    </w:r>
    <w:r w:rsidRPr="006808E1">
      <w:rPr>
        <w:rStyle w:val="PageNumber"/>
        <w:sz w:val="22"/>
        <w:szCs w:val="22"/>
      </w:rPr>
      <w:instrText xml:space="preserve"> PAGE </w:instrText>
    </w:r>
    <w:r w:rsidRPr="006808E1">
      <w:rPr>
        <w:rStyle w:val="PageNumber"/>
        <w:sz w:val="22"/>
        <w:szCs w:val="22"/>
      </w:rPr>
      <w:fldChar w:fldCharType="separate"/>
    </w:r>
    <w:r w:rsidR="00631F15">
      <w:rPr>
        <w:rStyle w:val="PageNumber"/>
        <w:noProof/>
        <w:sz w:val="22"/>
        <w:szCs w:val="22"/>
      </w:rPr>
      <w:t>17</w:t>
    </w:r>
    <w:r w:rsidRPr="006808E1">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01E08"/>
    <w:multiLevelType w:val="multilevel"/>
    <w:tmpl w:val="B8120566"/>
    <w:lvl w:ilvl="0">
      <w:start w:val="1"/>
      <w:numFmt w:val="bullet"/>
      <w:lvlText w:val=""/>
      <w:lvlJc w:val="left"/>
      <w:pPr>
        <w:tabs>
          <w:tab w:val="num" w:pos="153"/>
        </w:tabs>
        <w:ind w:left="153" w:hanging="360"/>
      </w:pPr>
      <w:rPr>
        <w:rFonts w:ascii="Symbol" w:hAnsi="Symbol" w:hint="default"/>
        <w:sz w:val="20"/>
      </w:rPr>
    </w:lvl>
    <w:lvl w:ilvl="1" w:tentative="1">
      <w:start w:val="1"/>
      <w:numFmt w:val="bullet"/>
      <w:lvlText w:val=""/>
      <w:lvlJc w:val="left"/>
      <w:pPr>
        <w:tabs>
          <w:tab w:val="num" w:pos="873"/>
        </w:tabs>
        <w:ind w:left="873" w:hanging="360"/>
      </w:pPr>
      <w:rPr>
        <w:rFonts w:ascii="Symbol" w:hAnsi="Symbol" w:hint="default"/>
        <w:sz w:val="20"/>
      </w:rPr>
    </w:lvl>
    <w:lvl w:ilvl="2" w:tentative="1">
      <w:start w:val="1"/>
      <w:numFmt w:val="bullet"/>
      <w:lvlText w:val=""/>
      <w:lvlJc w:val="left"/>
      <w:pPr>
        <w:tabs>
          <w:tab w:val="num" w:pos="1593"/>
        </w:tabs>
        <w:ind w:left="1593" w:hanging="360"/>
      </w:pPr>
      <w:rPr>
        <w:rFonts w:ascii="Symbol" w:hAnsi="Symbol" w:hint="default"/>
        <w:sz w:val="20"/>
      </w:rPr>
    </w:lvl>
    <w:lvl w:ilvl="3" w:tentative="1">
      <w:start w:val="1"/>
      <w:numFmt w:val="bullet"/>
      <w:lvlText w:val=""/>
      <w:lvlJc w:val="left"/>
      <w:pPr>
        <w:tabs>
          <w:tab w:val="num" w:pos="2313"/>
        </w:tabs>
        <w:ind w:left="2313" w:hanging="360"/>
      </w:pPr>
      <w:rPr>
        <w:rFonts w:ascii="Symbol" w:hAnsi="Symbol" w:hint="default"/>
        <w:sz w:val="20"/>
      </w:rPr>
    </w:lvl>
    <w:lvl w:ilvl="4" w:tentative="1">
      <w:start w:val="1"/>
      <w:numFmt w:val="bullet"/>
      <w:lvlText w:val=""/>
      <w:lvlJc w:val="left"/>
      <w:pPr>
        <w:tabs>
          <w:tab w:val="num" w:pos="3033"/>
        </w:tabs>
        <w:ind w:left="3033" w:hanging="360"/>
      </w:pPr>
      <w:rPr>
        <w:rFonts w:ascii="Symbol" w:hAnsi="Symbol" w:hint="default"/>
        <w:sz w:val="20"/>
      </w:rPr>
    </w:lvl>
    <w:lvl w:ilvl="5" w:tentative="1">
      <w:start w:val="1"/>
      <w:numFmt w:val="bullet"/>
      <w:lvlText w:val=""/>
      <w:lvlJc w:val="left"/>
      <w:pPr>
        <w:tabs>
          <w:tab w:val="num" w:pos="3753"/>
        </w:tabs>
        <w:ind w:left="3753" w:hanging="360"/>
      </w:pPr>
      <w:rPr>
        <w:rFonts w:ascii="Symbol" w:hAnsi="Symbol" w:hint="default"/>
        <w:sz w:val="20"/>
      </w:rPr>
    </w:lvl>
    <w:lvl w:ilvl="6" w:tentative="1">
      <w:start w:val="1"/>
      <w:numFmt w:val="bullet"/>
      <w:lvlText w:val=""/>
      <w:lvlJc w:val="left"/>
      <w:pPr>
        <w:tabs>
          <w:tab w:val="num" w:pos="4473"/>
        </w:tabs>
        <w:ind w:left="4473" w:hanging="360"/>
      </w:pPr>
      <w:rPr>
        <w:rFonts w:ascii="Symbol" w:hAnsi="Symbol" w:hint="default"/>
        <w:sz w:val="20"/>
      </w:rPr>
    </w:lvl>
    <w:lvl w:ilvl="7" w:tentative="1">
      <w:start w:val="1"/>
      <w:numFmt w:val="bullet"/>
      <w:lvlText w:val=""/>
      <w:lvlJc w:val="left"/>
      <w:pPr>
        <w:tabs>
          <w:tab w:val="num" w:pos="5193"/>
        </w:tabs>
        <w:ind w:left="5193" w:hanging="360"/>
      </w:pPr>
      <w:rPr>
        <w:rFonts w:ascii="Symbol" w:hAnsi="Symbol" w:hint="default"/>
        <w:sz w:val="20"/>
      </w:rPr>
    </w:lvl>
    <w:lvl w:ilvl="8" w:tentative="1">
      <w:start w:val="1"/>
      <w:numFmt w:val="bullet"/>
      <w:lvlText w:val=""/>
      <w:lvlJc w:val="left"/>
      <w:pPr>
        <w:tabs>
          <w:tab w:val="num" w:pos="5913"/>
        </w:tabs>
        <w:ind w:left="5913" w:hanging="360"/>
      </w:pPr>
      <w:rPr>
        <w:rFonts w:ascii="Symbol" w:hAnsi="Symbol" w:hint="default"/>
        <w:sz w:val="20"/>
      </w:rPr>
    </w:lvl>
  </w:abstractNum>
  <w:abstractNum w:abstractNumId="1">
    <w:nsid w:val="0CA42197"/>
    <w:multiLevelType w:val="hybridMultilevel"/>
    <w:tmpl w:val="94C4A9EE"/>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2">
    <w:nsid w:val="0E020BC7"/>
    <w:multiLevelType w:val="hybridMultilevel"/>
    <w:tmpl w:val="2166AC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0F00749"/>
    <w:multiLevelType w:val="hybridMultilevel"/>
    <w:tmpl w:val="E364225C"/>
    <w:lvl w:ilvl="0" w:tplc="14090001">
      <w:start w:val="1"/>
      <w:numFmt w:val="bullet"/>
      <w:lvlText w:val=""/>
      <w:lvlJc w:val="left"/>
      <w:pPr>
        <w:ind w:left="927" w:hanging="360"/>
      </w:pPr>
      <w:rPr>
        <w:rFonts w:ascii="Symbol" w:hAnsi="Symbol" w:hint="default"/>
      </w:rPr>
    </w:lvl>
    <w:lvl w:ilvl="1" w:tplc="14090003">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4">
    <w:nsid w:val="21864B71"/>
    <w:multiLevelType w:val="hybridMultilevel"/>
    <w:tmpl w:val="FE4C2ECE"/>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5">
    <w:nsid w:val="335F0215"/>
    <w:multiLevelType w:val="hybridMultilevel"/>
    <w:tmpl w:val="0ED20254"/>
    <w:lvl w:ilvl="0" w:tplc="A89AB082">
      <w:start w:val="1"/>
      <w:numFmt w:val="decimal"/>
      <w:lvlText w:val="%1."/>
      <w:lvlJc w:val="left"/>
      <w:pPr>
        <w:ind w:left="360" w:hanging="360"/>
      </w:p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6">
    <w:nsid w:val="35012441"/>
    <w:multiLevelType w:val="hybridMultilevel"/>
    <w:tmpl w:val="066A70E4"/>
    <w:lvl w:ilvl="0" w:tplc="AFCC9D78">
      <w:start w:val="1"/>
      <w:numFmt w:val="decimal"/>
      <w:pStyle w:val="List2"/>
      <w:lvlText w:val="%1."/>
      <w:lvlJc w:val="right"/>
      <w:pPr>
        <w:ind w:left="1003" w:hanging="360"/>
      </w:pPr>
      <w:rPr>
        <w:rFonts w:hint="default"/>
      </w:rPr>
    </w:lvl>
    <w:lvl w:ilvl="1" w:tplc="14090019" w:tentative="1">
      <w:start w:val="1"/>
      <w:numFmt w:val="lowerLetter"/>
      <w:lvlText w:val="%2."/>
      <w:lvlJc w:val="left"/>
      <w:pPr>
        <w:ind w:left="1723" w:hanging="360"/>
      </w:pPr>
    </w:lvl>
    <w:lvl w:ilvl="2" w:tplc="1409001B" w:tentative="1">
      <w:start w:val="1"/>
      <w:numFmt w:val="lowerRoman"/>
      <w:lvlText w:val="%3."/>
      <w:lvlJc w:val="right"/>
      <w:pPr>
        <w:ind w:left="2443" w:hanging="180"/>
      </w:pPr>
    </w:lvl>
    <w:lvl w:ilvl="3" w:tplc="1409000F" w:tentative="1">
      <w:start w:val="1"/>
      <w:numFmt w:val="decimal"/>
      <w:lvlText w:val="%4."/>
      <w:lvlJc w:val="left"/>
      <w:pPr>
        <w:ind w:left="3163" w:hanging="360"/>
      </w:pPr>
    </w:lvl>
    <w:lvl w:ilvl="4" w:tplc="14090019" w:tentative="1">
      <w:start w:val="1"/>
      <w:numFmt w:val="lowerLetter"/>
      <w:lvlText w:val="%5."/>
      <w:lvlJc w:val="left"/>
      <w:pPr>
        <w:ind w:left="3883" w:hanging="360"/>
      </w:pPr>
    </w:lvl>
    <w:lvl w:ilvl="5" w:tplc="1409001B" w:tentative="1">
      <w:start w:val="1"/>
      <w:numFmt w:val="lowerRoman"/>
      <w:lvlText w:val="%6."/>
      <w:lvlJc w:val="right"/>
      <w:pPr>
        <w:ind w:left="4603" w:hanging="180"/>
      </w:pPr>
    </w:lvl>
    <w:lvl w:ilvl="6" w:tplc="1409000F" w:tentative="1">
      <w:start w:val="1"/>
      <w:numFmt w:val="decimal"/>
      <w:lvlText w:val="%7."/>
      <w:lvlJc w:val="left"/>
      <w:pPr>
        <w:ind w:left="5323" w:hanging="360"/>
      </w:pPr>
    </w:lvl>
    <w:lvl w:ilvl="7" w:tplc="14090019" w:tentative="1">
      <w:start w:val="1"/>
      <w:numFmt w:val="lowerLetter"/>
      <w:lvlText w:val="%8."/>
      <w:lvlJc w:val="left"/>
      <w:pPr>
        <w:ind w:left="6043" w:hanging="360"/>
      </w:pPr>
    </w:lvl>
    <w:lvl w:ilvl="8" w:tplc="1409001B" w:tentative="1">
      <w:start w:val="1"/>
      <w:numFmt w:val="lowerRoman"/>
      <w:lvlText w:val="%9."/>
      <w:lvlJc w:val="right"/>
      <w:pPr>
        <w:ind w:left="6763" w:hanging="180"/>
      </w:pPr>
    </w:lvl>
  </w:abstractNum>
  <w:abstractNum w:abstractNumId="7">
    <w:nsid w:val="35DC667B"/>
    <w:multiLevelType w:val="hybridMultilevel"/>
    <w:tmpl w:val="0BCA8BA0"/>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8">
    <w:nsid w:val="35FC50F8"/>
    <w:multiLevelType w:val="hybridMultilevel"/>
    <w:tmpl w:val="2382744E"/>
    <w:lvl w:ilvl="0" w:tplc="B53898E8">
      <w:start w:val="1"/>
      <w:numFmt w:val="decimal"/>
      <w:pStyle w:val="Recommendationlevel21"/>
      <w:lvlText w:val="2.%1"/>
      <w:lvlJc w:val="right"/>
      <w:pPr>
        <w:ind w:left="1854" w:hanging="360"/>
      </w:pPr>
      <w:rPr>
        <w:rFonts w:hint="default"/>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9">
    <w:nsid w:val="39B33692"/>
    <w:multiLevelType w:val="hybridMultilevel"/>
    <w:tmpl w:val="07A46CF8"/>
    <w:lvl w:ilvl="0" w:tplc="6BA05F6C">
      <w:start w:val="1"/>
      <w:numFmt w:val="decimal"/>
      <w:lvlText w:val="%1."/>
      <w:lvlJc w:val="righ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3A545EB1"/>
    <w:multiLevelType w:val="hybridMultilevel"/>
    <w:tmpl w:val="0D2CBD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471818AC"/>
    <w:multiLevelType w:val="hybridMultilevel"/>
    <w:tmpl w:val="567EB514"/>
    <w:lvl w:ilvl="0" w:tplc="14090001">
      <w:start w:val="1"/>
      <w:numFmt w:val="bullet"/>
      <w:lvlText w:val=""/>
      <w:lvlJc w:val="left"/>
      <w:pPr>
        <w:ind w:left="927" w:hanging="360"/>
      </w:pPr>
      <w:rPr>
        <w:rFonts w:ascii="Symbol" w:hAnsi="Symbol" w:hint="default"/>
      </w:rPr>
    </w:lvl>
    <w:lvl w:ilvl="1" w:tplc="14090003">
      <w:start w:val="1"/>
      <w:numFmt w:val="bullet"/>
      <w:lvlText w:val="o"/>
      <w:lvlJc w:val="left"/>
      <w:pPr>
        <w:ind w:left="-54" w:hanging="360"/>
      </w:pPr>
      <w:rPr>
        <w:rFonts w:ascii="Courier New" w:hAnsi="Courier New" w:cs="Courier New" w:hint="default"/>
      </w:rPr>
    </w:lvl>
    <w:lvl w:ilvl="2" w:tplc="14090005">
      <w:start w:val="1"/>
      <w:numFmt w:val="bullet"/>
      <w:lvlText w:val=""/>
      <w:lvlJc w:val="left"/>
      <w:pPr>
        <w:ind w:left="666" w:hanging="360"/>
      </w:pPr>
      <w:rPr>
        <w:rFonts w:ascii="Wingdings" w:hAnsi="Wingdings" w:hint="default"/>
      </w:rPr>
    </w:lvl>
    <w:lvl w:ilvl="3" w:tplc="14090001">
      <w:start w:val="1"/>
      <w:numFmt w:val="bullet"/>
      <w:lvlText w:val=""/>
      <w:lvlJc w:val="left"/>
      <w:pPr>
        <w:ind w:left="1386" w:hanging="360"/>
      </w:pPr>
      <w:rPr>
        <w:rFonts w:ascii="Symbol" w:hAnsi="Symbol" w:hint="default"/>
      </w:rPr>
    </w:lvl>
    <w:lvl w:ilvl="4" w:tplc="14090003">
      <w:start w:val="1"/>
      <w:numFmt w:val="bullet"/>
      <w:lvlText w:val="o"/>
      <w:lvlJc w:val="left"/>
      <w:pPr>
        <w:ind w:left="2106" w:hanging="360"/>
      </w:pPr>
      <w:rPr>
        <w:rFonts w:ascii="Courier New" w:hAnsi="Courier New" w:cs="Courier New" w:hint="default"/>
      </w:rPr>
    </w:lvl>
    <w:lvl w:ilvl="5" w:tplc="14090005">
      <w:start w:val="1"/>
      <w:numFmt w:val="bullet"/>
      <w:lvlText w:val=""/>
      <w:lvlJc w:val="left"/>
      <w:pPr>
        <w:ind w:left="2826" w:hanging="360"/>
      </w:pPr>
      <w:rPr>
        <w:rFonts w:ascii="Wingdings" w:hAnsi="Wingdings" w:hint="default"/>
      </w:rPr>
    </w:lvl>
    <w:lvl w:ilvl="6" w:tplc="14090001">
      <w:start w:val="1"/>
      <w:numFmt w:val="bullet"/>
      <w:lvlText w:val=""/>
      <w:lvlJc w:val="left"/>
      <w:pPr>
        <w:ind w:left="3546" w:hanging="360"/>
      </w:pPr>
      <w:rPr>
        <w:rFonts w:ascii="Symbol" w:hAnsi="Symbol" w:hint="default"/>
      </w:rPr>
    </w:lvl>
    <w:lvl w:ilvl="7" w:tplc="14090003">
      <w:start w:val="1"/>
      <w:numFmt w:val="bullet"/>
      <w:lvlText w:val="o"/>
      <w:lvlJc w:val="left"/>
      <w:pPr>
        <w:ind w:left="4266" w:hanging="360"/>
      </w:pPr>
      <w:rPr>
        <w:rFonts w:ascii="Courier New" w:hAnsi="Courier New" w:cs="Courier New" w:hint="default"/>
      </w:rPr>
    </w:lvl>
    <w:lvl w:ilvl="8" w:tplc="14090005">
      <w:start w:val="1"/>
      <w:numFmt w:val="bullet"/>
      <w:lvlText w:val=""/>
      <w:lvlJc w:val="left"/>
      <w:pPr>
        <w:ind w:left="4986" w:hanging="360"/>
      </w:pPr>
      <w:rPr>
        <w:rFonts w:ascii="Wingdings" w:hAnsi="Wingdings" w:hint="default"/>
      </w:rPr>
    </w:lvl>
  </w:abstractNum>
  <w:abstractNum w:abstractNumId="12">
    <w:nsid w:val="47E012F8"/>
    <w:multiLevelType w:val="hybridMultilevel"/>
    <w:tmpl w:val="D5AA8772"/>
    <w:lvl w:ilvl="0" w:tplc="791CB6D0">
      <w:start w:val="1"/>
      <w:numFmt w:val="decimal"/>
      <w:pStyle w:val="Recommendation11"/>
      <w:lvlText w:val="2.%1"/>
      <w:lvlJc w:val="center"/>
      <w:pPr>
        <w:ind w:left="1494" w:hanging="360"/>
      </w:pPr>
      <w:rPr>
        <w:rFonts w:hint="default"/>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3">
    <w:nsid w:val="4DA2087D"/>
    <w:multiLevelType w:val="multilevel"/>
    <w:tmpl w:val="8DA2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51F3B0C"/>
    <w:multiLevelType w:val="hybridMultilevel"/>
    <w:tmpl w:val="FB6CFC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5794046C"/>
    <w:multiLevelType w:val="hybridMultilevel"/>
    <w:tmpl w:val="FE605BDA"/>
    <w:lvl w:ilvl="0" w:tplc="B1E2B4C2">
      <w:start w:val="10"/>
      <w:numFmt w:val="decimal"/>
      <w:lvlText w:val="%1."/>
      <w:lvlJc w:val="left"/>
      <w:pPr>
        <w:ind w:left="1069" w:hanging="360"/>
      </w:pPr>
      <w:rPr>
        <w:b/>
      </w:rPr>
    </w:lvl>
    <w:lvl w:ilvl="1" w:tplc="14090019">
      <w:start w:val="1"/>
      <w:numFmt w:val="lowerLetter"/>
      <w:lvlText w:val="%2."/>
      <w:lvlJc w:val="left"/>
      <w:pPr>
        <w:ind w:left="1789" w:hanging="360"/>
      </w:pPr>
    </w:lvl>
    <w:lvl w:ilvl="2" w:tplc="1409001B">
      <w:start w:val="1"/>
      <w:numFmt w:val="lowerRoman"/>
      <w:lvlText w:val="%3."/>
      <w:lvlJc w:val="right"/>
      <w:pPr>
        <w:ind w:left="2509" w:hanging="180"/>
      </w:pPr>
    </w:lvl>
    <w:lvl w:ilvl="3" w:tplc="1409000F">
      <w:start w:val="1"/>
      <w:numFmt w:val="decimal"/>
      <w:lvlText w:val="%4."/>
      <w:lvlJc w:val="left"/>
      <w:pPr>
        <w:ind w:left="3229" w:hanging="360"/>
      </w:pPr>
    </w:lvl>
    <w:lvl w:ilvl="4" w:tplc="14090019">
      <w:start w:val="1"/>
      <w:numFmt w:val="lowerLetter"/>
      <w:lvlText w:val="%5."/>
      <w:lvlJc w:val="left"/>
      <w:pPr>
        <w:ind w:left="3949" w:hanging="360"/>
      </w:pPr>
    </w:lvl>
    <w:lvl w:ilvl="5" w:tplc="1409001B">
      <w:start w:val="1"/>
      <w:numFmt w:val="lowerRoman"/>
      <w:lvlText w:val="%6."/>
      <w:lvlJc w:val="right"/>
      <w:pPr>
        <w:ind w:left="4669" w:hanging="180"/>
      </w:pPr>
    </w:lvl>
    <w:lvl w:ilvl="6" w:tplc="1409000F">
      <w:start w:val="1"/>
      <w:numFmt w:val="decimal"/>
      <w:lvlText w:val="%7."/>
      <w:lvlJc w:val="left"/>
      <w:pPr>
        <w:ind w:left="5389" w:hanging="360"/>
      </w:pPr>
    </w:lvl>
    <w:lvl w:ilvl="7" w:tplc="14090019">
      <w:start w:val="1"/>
      <w:numFmt w:val="lowerLetter"/>
      <w:lvlText w:val="%8."/>
      <w:lvlJc w:val="left"/>
      <w:pPr>
        <w:ind w:left="6109" w:hanging="360"/>
      </w:pPr>
    </w:lvl>
    <w:lvl w:ilvl="8" w:tplc="1409001B">
      <w:start w:val="1"/>
      <w:numFmt w:val="lowerRoman"/>
      <w:lvlText w:val="%9."/>
      <w:lvlJc w:val="right"/>
      <w:pPr>
        <w:ind w:left="6829" w:hanging="180"/>
      </w:pPr>
    </w:lvl>
  </w:abstractNum>
  <w:abstractNum w:abstractNumId="16">
    <w:nsid w:val="58E47136"/>
    <w:multiLevelType w:val="multilevel"/>
    <w:tmpl w:val="E89E7D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0B3675"/>
    <w:multiLevelType w:val="hybridMultilevel"/>
    <w:tmpl w:val="E67E24F6"/>
    <w:lvl w:ilvl="0" w:tplc="76D2D444">
      <w:start w:val="1"/>
      <w:numFmt w:val="decimal"/>
      <w:lvlText w:val="%1."/>
      <w:lvlJc w:val="left"/>
      <w:pPr>
        <w:ind w:left="502" w:hanging="360"/>
      </w:pPr>
      <w:rPr>
        <w:b w:val="0"/>
      </w:rPr>
    </w:lvl>
    <w:lvl w:ilvl="1" w:tplc="14090019">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8">
    <w:nsid w:val="64A72E10"/>
    <w:multiLevelType w:val="hybridMultilevel"/>
    <w:tmpl w:val="8B6ADA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767C4449"/>
    <w:multiLevelType w:val="singleLevel"/>
    <w:tmpl w:val="08D0946E"/>
    <w:lvl w:ilvl="0">
      <w:start w:val="1"/>
      <w:numFmt w:val="bullet"/>
      <w:pStyle w:val="TRListBullet"/>
      <w:lvlText w:val=""/>
      <w:lvlJc w:val="left"/>
      <w:pPr>
        <w:tabs>
          <w:tab w:val="num" w:pos="1134"/>
        </w:tabs>
        <w:ind w:left="1134" w:hanging="567"/>
      </w:pPr>
      <w:rPr>
        <w:rFonts w:ascii="Symbol" w:hAnsi="Symbol" w:hint="default"/>
        <w:sz w:val="24"/>
      </w:rPr>
    </w:lvl>
  </w:abstractNum>
  <w:abstractNum w:abstractNumId="20">
    <w:nsid w:val="78E00883"/>
    <w:multiLevelType w:val="hybridMultilevel"/>
    <w:tmpl w:val="9684D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7BBE0E0E"/>
    <w:multiLevelType w:val="hybridMultilevel"/>
    <w:tmpl w:val="76EA8B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7E51480D"/>
    <w:multiLevelType w:val="hybridMultilevel"/>
    <w:tmpl w:val="D97E4E6C"/>
    <w:lvl w:ilvl="0" w:tplc="00E6DAC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6"/>
  </w:num>
  <w:num w:numId="4">
    <w:abstractNumId w:val="10"/>
  </w:num>
  <w:num w:numId="5">
    <w:abstractNumId w:val="9"/>
  </w:num>
  <w:num w:numId="6">
    <w:abstractNumId w:val="5"/>
  </w:num>
  <w:num w:numId="7">
    <w:abstractNumId w:val="17"/>
  </w:num>
  <w:num w:numId="8">
    <w:abstractNumId w:val="6"/>
  </w:num>
  <w:num w:numId="9">
    <w:abstractNumId w:val="12"/>
  </w:num>
  <w:num w:numId="10">
    <w:abstractNumId w:val="8"/>
  </w:num>
  <w:num w:numId="11">
    <w:abstractNumId w:val="2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
  </w:num>
  <w:num w:numId="15">
    <w:abstractNumId w:val="18"/>
  </w:num>
  <w:num w:numId="16">
    <w:abstractNumId w:val="19"/>
  </w:num>
  <w:num w:numId="17">
    <w:abstractNumId w:val="7"/>
  </w:num>
  <w:num w:numId="18">
    <w:abstractNumId w:val="4"/>
  </w:num>
  <w:num w:numId="19">
    <w:abstractNumId w:val="1"/>
  </w:num>
  <w:num w:numId="20">
    <w:abstractNumId w:val="14"/>
  </w:num>
  <w:num w:numId="21">
    <w:abstractNumId w:val="3"/>
  </w:num>
  <w:num w:numId="22">
    <w:abstractNumId w:val="5"/>
  </w:num>
  <w:num w:numId="23">
    <w:abstractNumId w:val="5"/>
  </w:num>
  <w:num w:numId="24">
    <w:abstractNumId w:val="20"/>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5"/>
  </w:num>
  <w:num w:numId="37">
    <w:abstractNumId w:val="5"/>
    <w:lvlOverride w:ilvl="0">
      <w:startOverride w:val="1"/>
    </w:lvlOverride>
  </w:num>
  <w:num w:numId="38">
    <w:abstractNumId w:val="5"/>
    <w:lvlOverride w:ilvl="0">
      <w:startOverride w:val="1"/>
    </w:lvlOverride>
  </w:num>
  <w:num w:numId="39">
    <w:abstractNumId w:val="5"/>
    <w:lvlOverride w:ilvl="0">
      <w:startOverride w:val="1"/>
    </w:lvlOverride>
  </w:num>
  <w:num w:numId="40">
    <w:abstractNumId w:val="5"/>
    <w:lvlOverride w:ilvl="0">
      <w:startOverride w:val="1"/>
    </w:lvlOverride>
  </w:num>
  <w:num w:numId="41">
    <w:abstractNumId w:val="5"/>
  </w:num>
  <w:num w:numId="42">
    <w:abstractNumId w:val="5"/>
  </w:num>
  <w:num w:numId="43">
    <w:abstractNumId w:val="5"/>
  </w:num>
  <w:num w:numId="44">
    <w:abstractNumId w:val="5"/>
  </w:num>
  <w:num w:numId="45">
    <w:abstractNumId w:val="5"/>
  </w:num>
  <w:num w:numId="46">
    <w:abstractNumId w:val="5"/>
  </w:num>
  <w:num w:numId="47">
    <w:abstractNumId w:val="5"/>
  </w:num>
  <w:num w:numId="48">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h Overton [TSY]">
    <w15:presenceInfo w15:providerId="None" w15:userId="Hannah Overton [TSY]"/>
  </w15:person>
  <w15:person w15:author="Steve Mack [TSY]">
    <w15:presenceInfo w15:providerId="None" w15:userId="Steve Mack [TS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AU" w:vendorID="64" w:dllVersion="131078" w:nlCheck="1" w:checkStyle="1"/>
  <w:activeWritingStyle w:appName="MSWord" w:lang="en-NZ"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134"/>
  <w:drawingGridHorizontalSpacing w:val="75"/>
  <w:drawingGridVerticalSpacing w:val="205"/>
  <w:displayHorizont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246"/>
    <w:rsid w:val="000045F4"/>
    <w:rsid w:val="00004752"/>
    <w:rsid w:val="000126A2"/>
    <w:rsid w:val="00017290"/>
    <w:rsid w:val="000204C4"/>
    <w:rsid w:val="000233B6"/>
    <w:rsid w:val="00024DBB"/>
    <w:rsid w:val="000375F1"/>
    <w:rsid w:val="000421D3"/>
    <w:rsid w:val="00051A31"/>
    <w:rsid w:val="0005420C"/>
    <w:rsid w:val="0005688A"/>
    <w:rsid w:val="00060E4E"/>
    <w:rsid w:val="000671F7"/>
    <w:rsid w:val="0007086E"/>
    <w:rsid w:val="000754B7"/>
    <w:rsid w:val="00082A37"/>
    <w:rsid w:val="000837EF"/>
    <w:rsid w:val="00083DB7"/>
    <w:rsid w:val="000877EB"/>
    <w:rsid w:val="00094E89"/>
    <w:rsid w:val="000A2EE9"/>
    <w:rsid w:val="000A52B5"/>
    <w:rsid w:val="000A7DE9"/>
    <w:rsid w:val="000B7FE6"/>
    <w:rsid w:val="000C25B4"/>
    <w:rsid w:val="000C56CC"/>
    <w:rsid w:val="000C6DD8"/>
    <w:rsid w:val="000D3FAA"/>
    <w:rsid w:val="000E08DC"/>
    <w:rsid w:val="000E26E4"/>
    <w:rsid w:val="000E3622"/>
    <w:rsid w:val="000E3A99"/>
    <w:rsid w:val="000F04E8"/>
    <w:rsid w:val="000F2E78"/>
    <w:rsid w:val="00101FC1"/>
    <w:rsid w:val="001028F0"/>
    <w:rsid w:val="00106574"/>
    <w:rsid w:val="00110EEB"/>
    <w:rsid w:val="00114CA4"/>
    <w:rsid w:val="00116659"/>
    <w:rsid w:val="001176AA"/>
    <w:rsid w:val="00125CDD"/>
    <w:rsid w:val="0012618E"/>
    <w:rsid w:val="00126600"/>
    <w:rsid w:val="00130663"/>
    <w:rsid w:val="001313AF"/>
    <w:rsid w:val="00140A56"/>
    <w:rsid w:val="001416D9"/>
    <w:rsid w:val="00144E6D"/>
    <w:rsid w:val="001473AA"/>
    <w:rsid w:val="00147878"/>
    <w:rsid w:val="00152EE0"/>
    <w:rsid w:val="00160616"/>
    <w:rsid w:val="0016102F"/>
    <w:rsid w:val="00162298"/>
    <w:rsid w:val="00163753"/>
    <w:rsid w:val="00164375"/>
    <w:rsid w:val="001664F2"/>
    <w:rsid w:val="00173CFC"/>
    <w:rsid w:val="00175F30"/>
    <w:rsid w:val="00186C70"/>
    <w:rsid w:val="0019608D"/>
    <w:rsid w:val="001A0BB0"/>
    <w:rsid w:val="001A6BFE"/>
    <w:rsid w:val="001B1449"/>
    <w:rsid w:val="001B18B2"/>
    <w:rsid w:val="001B2F6A"/>
    <w:rsid w:val="001B56A9"/>
    <w:rsid w:val="001C3954"/>
    <w:rsid w:val="001D1E66"/>
    <w:rsid w:val="001D307B"/>
    <w:rsid w:val="001E3233"/>
    <w:rsid w:val="001E64CA"/>
    <w:rsid w:val="002057DE"/>
    <w:rsid w:val="00205B90"/>
    <w:rsid w:val="0021392A"/>
    <w:rsid w:val="00213E3C"/>
    <w:rsid w:val="002154B1"/>
    <w:rsid w:val="00226C04"/>
    <w:rsid w:val="00231A8B"/>
    <w:rsid w:val="00233312"/>
    <w:rsid w:val="00234035"/>
    <w:rsid w:val="00254CD4"/>
    <w:rsid w:val="002556C2"/>
    <w:rsid w:val="00263719"/>
    <w:rsid w:val="00271177"/>
    <w:rsid w:val="00273345"/>
    <w:rsid w:val="00277CDB"/>
    <w:rsid w:val="00277D49"/>
    <w:rsid w:val="002A0C19"/>
    <w:rsid w:val="002A0C81"/>
    <w:rsid w:val="002A1472"/>
    <w:rsid w:val="002A210D"/>
    <w:rsid w:val="002A41DD"/>
    <w:rsid w:val="002A5972"/>
    <w:rsid w:val="002B20CE"/>
    <w:rsid w:val="002B2350"/>
    <w:rsid w:val="002C00F8"/>
    <w:rsid w:val="002C5FA5"/>
    <w:rsid w:val="002C6659"/>
    <w:rsid w:val="002C696B"/>
    <w:rsid w:val="002D0B7A"/>
    <w:rsid w:val="002D546C"/>
    <w:rsid w:val="002D7F4B"/>
    <w:rsid w:val="002E007A"/>
    <w:rsid w:val="002F04F3"/>
    <w:rsid w:val="002F1059"/>
    <w:rsid w:val="002F3A1B"/>
    <w:rsid w:val="002F3FA1"/>
    <w:rsid w:val="002F4879"/>
    <w:rsid w:val="003117D9"/>
    <w:rsid w:val="003126C2"/>
    <w:rsid w:val="0031285E"/>
    <w:rsid w:val="00317236"/>
    <w:rsid w:val="00323148"/>
    <w:rsid w:val="00327006"/>
    <w:rsid w:val="00332008"/>
    <w:rsid w:val="00333FFA"/>
    <w:rsid w:val="003358A8"/>
    <w:rsid w:val="00342FF7"/>
    <w:rsid w:val="00344956"/>
    <w:rsid w:val="00350C9B"/>
    <w:rsid w:val="003552C2"/>
    <w:rsid w:val="003604D1"/>
    <w:rsid w:val="00361E3B"/>
    <w:rsid w:val="003625A3"/>
    <w:rsid w:val="00370F88"/>
    <w:rsid w:val="00371EB5"/>
    <w:rsid w:val="00373490"/>
    <w:rsid w:val="00373642"/>
    <w:rsid w:val="00380443"/>
    <w:rsid w:val="00382B6C"/>
    <w:rsid w:val="00386663"/>
    <w:rsid w:val="00392A40"/>
    <w:rsid w:val="003A180B"/>
    <w:rsid w:val="003A1E2E"/>
    <w:rsid w:val="003B4EBF"/>
    <w:rsid w:val="003B59D5"/>
    <w:rsid w:val="003B5F60"/>
    <w:rsid w:val="003C390C"/>
    <w:rsid w:val="003C5117"/>
    <w:rsid w:val="003C5D9F"/>
    <w:rsid w:val="003C7111"/>
    <w:rsid w:val="003D17F0"/>
    <w:rsid w:val="003D306A"/>
    <w:rsid w:val="003D4417"/>
    <w:rsid w:val="003D5F22"/>
    <w:rsid w:val="003D7B18"/>
    <w:rsid w:val="003F19D1"/>
    <w:rsid w:val="003F3B34"/>
    <w:rsid w:val="003F4B5B"/>
    <w:rsid w:val="00400713"/>
    <w:rsid w:val="0040146E"/>
    <w:rsid w:val="00404833"/>
    <w:rsid w:val="00411D6C"/>
    <w:rsid w:val="00415C5B"/>
    <w:rsid w:val="00415E35"/>
    <w:rsid w:val="00421BA6"/>
    <w:rsid w:val="0043008E"/>
    <w:rsid w:val="004335E7"/>
    <w:rsid w:val="00440164"/>
    <w:rsid w:val="004524FC"/>
    <w:rsid w:val="004531FC"/>
    <w:rsid w:val="00455D40"/>
    <w:rsid w:val="0046142E"/>
    <w:rsid w:val="00462B7A"/>
    <w:rsid w:val="00467439"/>
    <w:rsid w:val="00473A17"/>
    <w:rsid w:val="0047697B"/>
    <w:rsid w:val="0048572A"/>
    <w:rsid w:val="00486248"/>
    <w:rsid w:val="0049067B"/>
    <w:rsid w:val="00490E7A"/>
    <w:rsid w:val="004945D3"/>
    <w:rsid w:val="00495527"/>
    <w:rsid w:val="00496419"/>
    <w:rsid w:val="004A650E"/>
    <w:rsid w:val="004A6C66"/>
    <w:rsid w:val="004B1DB5"/>
    <w:rsid w:val="004B36AC"/>
    <w:rsid w:val="004C1591"/>
    <w:rsid w:val="004C19B7"/>
    <w:rsid w:val="004E4136"/>
    <w:rsid w:val="004E69CD"/>
    <w:rsid w:val="004F31C2"/>
    <w:rsid w:val="004F3D35"/>
    <w:rsid w:val="004F3D88"/>
    <w:rsid w:val="004F6461"/>
    <w:rsid w:val="004F6ED4"/>
    <w:rsid w:val="0050105F"/>
    <w:rsid w:val="00505DD5"/>
    <w:rsid w:val="005064A9"/>
    <w:rsid w:val="00506CA8"/>
    <w:rsid w:val="00512BD8"/>
    <w:rsid w:val="00521B79"/>
    <w:rsid w:val="00523EC6"/>
    <w:rsid w:val="00540354"/>
    <w:rsid w:val="0054616C"/>
    <w:rsid w:val="005461E1"/>
    <w:rsid w:val="00547522"/>
    <w:rsid w:val="00550856"/>
    <w:rsid w:val="005530BD"/>
    <w:rsid w:val="0055457F"/>
    <w:rsid w:val="0056039B"/>
    <w:rsid w:val="005608B3"/>
    <w:rsid w:val="00560A0F"/>
    <w:rsid w:val="005643C7"/>
    <w:rsid w:val="00564468"/>
    <w:rsid w:val="005658BD"/>
    <w:rsid w:val="00577FCC"/>
    <w:rsid w:val="00581B9C"/>
    <w:rsid w:val="00585502"/>
    <w:rsid w:val="00594F7C"/>
    <w:rsid w:val="00595003"/>
    <w:rsid w:val="005959BE"/>
    <w:rsid w:val="0059731E"/>
    <w:rsid w:val="005A2A86"/>
    <w:rsid w:val="005A38C8"/>
    <w:rsid w:val="005A4D99"/>
    <w:rsid w:val="005A5973"/>
    <w:rsid w:val="005B0556"/>
    <w:rsid w:val="005B5E63"/>
    <w:rsid w:val="005B78FE"/>
    <w:rsid w:val="005C12F0"/>
    <w:rsid w:val="005C1632"/>
    <w:rsid w:val="005C46BB"/>
    <w:rsid w:val="005D0C84"/>
    <w:rsid w:val="005D501D"/>
    <w:rsid w:val="005D5722"/>
    <w:rsid w:val="005D5A1F"/>
    <w:rsid w:val="005E70CC"/>
    <w:rsid w:val="005E78FA"/>
    <w:rsid w:val="005F1EAB"/>
    <w:rsid w:val="005F2580"/>
    <w:rsid w:val="005F2E81"/>
    <w:rsid w:val="005F4935"/>
    <w:rsid w:val="00606591"/>
    <w:rsid w:val="00606973"/>
    <w:rsid w:val="00622B40"/>
    <w:rsid w:val="00622BA2"/>
    <w:rsid w:val="00622E0D"/>
    <w:rsid w:val="00624563"/>
    <w:rsid w:val="00630F29"/>
    <w:rsid w:val="00631F15"/>
    <w:rsid w:val="006424EA"/>
    <w:rsid w:val="00644B60"/>
    <w:rsid w:val="0066134D"/>
    <w:rsid w:val="00666DF1"/>
    <w:rsid w:val="006808E1"/>
    <w:rsid w:val="006817E7"/>
    <w:rsid w:val="00684AF9"/>
    <w:rsid w:val="00684EB9"/>
    <w:rsid w:val="00684FF5"/>
    <w:rsid w:val="00690951"/>
    <w:rsid w:val="006913B2"/>
    <w:rsid w:val="00693D26"/>
    <w:rsid w:val="00693EA1"/>
    <w:rsid w:val="00694060"/>
    <w:rsid w:val="006951E7"/>
    <w:rsid w:val="006A14EB"/>
    <w:rsid w:val="006A39FB"/>
    <w:rsid w:val="006A5A77"/>
    <w:rsid w:val="006B0C6B"/>
    <w:rsid w:val="006B301C"/>
    <w:rsid w:val="006B35F5"/>
    <w:rsid w:val="006B5490"/>
    <w:rsid w:val="006C1552"/>
    <w:rsid w:val="006C363F"/>
    <w:rsid w:val="006D0772"/>
    <w:rsid w:val="006D3D49"/>
    <w:rsid w:val="006D74A9"/>
    <w:rsid w:val="006E11C1"/>
    <w:rsid w:val="006E29A6"/>
    <w:rsid w:val="006E399D"/>
    <w:rsid w:val="006E47FA"/>
    <w:rsid w:val="006E5B5A"/>
    <w:rsid w:val="006E645E"/>
    <w:rsid w:val="006F2BC8"/>
    <w:rsid w:val="006F2E02"/>
    <w:rsid w:val="006F4915"/>
    <w:rsid w:val="006F6756"/>
    <w:rsid w:val="007008D1"/>
    <w:rsid w:val="0070682B"/>
    <w:rsid w:val="00707F47"/>
    <w:rsid w:val="00720C2D"/>
    <w:rsid w:val="007215B3"/>
    <w:rsid w:val="0072203E"/>
    <w:rsid w:val="00726754"/>
    <w:rsid w:val="00734216"/>
    <w:rsid w:val="00744423"/>
    <w:rsid w:val="0075704C"/>
    <w:rsid w:val="00760BB3"/>
    <w:rsid w:val="00763BDD"/>
    <w:rsid w:val="0076554C"/>
    <w:rsid w:val="0076777B"/>
    <w:rsid w:val="007852BA"/>
    <w:rsid w:val="007971AA"/>
    <w:rsid w:val="007A0484"/>
    <w:rsid w:val="007A37A0"/>
    <w:rsid w:val="007A3C22"/>
    <w:rsid w:val="007A58EB"/>
    <w:rsid w:val="007B0C15"/>
    <w:rsid w:val="007C6A35"/>
    <w:rsid w:val="007D602A"/>
    <w:rsid w:val="007E2640"/>
    <w:rsid w:val="007E43FA"/>
    <w:rsid w:val="007E787A"/>
    <w:rsid w:val="007F0705"/>
    <w:rsid w:val="00801E57"/>
    <w:rsid w:val="0080414E"/>
    <w:rsid w:val="00806ABF"/>
    <w:rsid w:val="00811AA9"/>
    <w:rsid w:val="008132B3"/>
    <w:rsid w:val="0081343F"/>
    <w:rsid w:val="00813502"/>
    <w:rsid w:val="0082086C"/>
    <w:rsid w:val="008321D3"/>
    <w:rsid w:val="008352D5"/>
    <w:rsid w:val="008357F9"/>
    <w:rsid w:val="008440CC"/>
    <w:rsid w:val="008500DE"/>
    <w:rsid w:val="00851C07"/>
    <w:rsid w:val="00856F8E"/>
    <w:rsid w:val="008571D2"/>
    <w:rsid w:val="00857B49"/>
    <w:rsid w:val="00866CF0"/>
    <w:rsid w:val="008736FE"/>
    <w:rsid w:val="00875734"/>
    <w:rsid w:val="00882CB9"/>
    <w:rsid w:val="00883D41"/>
    <w:rsid w:val="00884622"/>
    <w:rsid w:val="00890007"/>
    <w:rsid w:val="0089072F"/>
    <w:rsid w:val="00890A2E"/>
    <w:rsid w:val="008968CB"/>
    <w:rsid w:val="008B5D54"/>
    <w:rsid w:val="008B5F53"/>
    <w:rsid w:val="008C1A1B"/>
    <w:rsid w:val="008C3EE0"/>
    <w:rsid w:val="008D1C90"/>
    <w:rsid w:val="008D24AA"/>
    <w:rsid w:val="008E0C09"/>
    <w:rsid w:val="008E0F80"/>
    <w:rsid w:val="008E7B8D"/>
    <w:rsid w:val="008F1C75"/>
    <w:rsid w:val="00902824"/>
    <w:rsid w:val="00905FDB"/>
    <w:rsid w:val="0091000A"/>
    <w:rsid w:val="00910C6A"/>
    <w:rsid w:val="0091436D"/>
    <w:rsid w:val="00915FF6"/>
    <w:rsid w:val="00917C58"/>
    <w:rsid w:val="00921189"/>
    <w:rsid w:val="009247A9"/>
    <w:rsid w:val="009423E6"/>
    <w:rsid w:val="00947E24"/>
    <w:rsid w:val="0096387B"/>
    <w:rsid w:val="00963FB4"/>
    <w:rsid w:val="00964A9F"/>
    <w:rsid w:val="00966E94"/>
    <w:rsid w:val="00967859"/>
    <w:rsid w:val="009701CD"/>
    <w:rsid w:val="00973C76"/>
    <w:rsid w:val="00983939"/>
    <w:rsid w:val="009900A4"/>
    <w:rsid w:val="00992C2A"/>
    <w:rsid w:val="00995E39"/>
    <w:rsid w:val="009A205F"/>
    <w:rsid w:val="009A4114"/>
    <w:rsid w:val="009B1E5C"/>
    <w:rsid w:val="009B2C2C"/>
    <w:rsid w:val="009B2C6C"/>
    <w:rsid w:val="009B310D"/>
    <w:rsid w:val="009B6F04"/>
    <w:rsid w:val="009C73F9"/>
    <w:rsid w:val="009D2758"/>
    <w:rsid w:val="009D3B83"/>
    <w:rsid w:val="009D489D"/>
    <w:rsid w:val="009D5FCD"/>
    <w:rsid w:val="009D6598"/>
    <w:rsid w:val="009E0969"/>
    <w:rsid w:val="009E0CC8"/>
    <w:rsid w:val="009E140A"/>
    <w:rsid w:val="009E2322"/>
    <w:rsid w:val="009E6905"/>
    <w:rsid w:val="009F4AC3"/>
    <w:rsid w:val="00A008DD"/>
    <w:rsid w:val="00A01AFC"/>
    <w:rsid w:val="00A0224A"/>
    <w:rsid w:val="00A02BDF"/>
    <w:rsid w:val="00A15BB1"/>
    <w:rsid w:val="00A268BF"/>
    <w:rsid w:val="00A30795"/>
    <w:rsid w:val="00A33885"/>
    <w:rsid w:val="00A463ED"/>
    <w:rsid w:val="00A51793"/>
    <w:rsid w:val="00A51836"/>
    <w:rsid w:val="00A520B5"/>
    <w:rsid w:val="00A562D8"/>
    <w:rsid w:val="00A63A66"/>
    <w:rsid w:val="00A64634"/>
    <w:rsid w:val="00A657F2"/>
    <w:rsid w:val="00A85ED0"/>
    <w:rsid w:val="00A8617B"/>
    <w:rsid w:val="00A948B2"/>
    <w:rsid w:val="00AA457A"/>
    <w:rsid w:val="00AA69B2"/>
    <w:rsid w:val="00AB1974"/>
    <w:rsid w:val="00AC1298"/>
    <w:rsid w:val="00AC2310"/>
    <w:rsid w:val="00AC48F8"/>
    <w:rsid w:val="00AE00CD"/>
    <w:rsid w:val="00AE2251"/>
    <w:rsid w:val="00AE42BA"/>
    <w:rsid w:val="00AE468A"/>
    <w:rsid w:val="00AE60E0"/>
    <w:rsid w:val="00AE6AB9"/>
    <w:rsid w:val="00AF68DE"/>
    <w:rsid w:val="00B00B76"/>
    <w:rsid w:val="00B12328"/>
    <w:rsid w:val="00B13BFA"/>
    <w:rsid w:val="00B271E5"/>
    <w:rsid w:val="00B317F9"/>
    <w:rsid w:val="00B330F5"/>
    <w:rsid w:val="00B36C0F"/>
    <w:rsid w:val="00B51E6C"/>
    <w:rsid w:val="00B57DE8"/>
    <w:rsid w:val="00B63CBF"/>
    <w:rsid w:val="00B664A5"/>
    <w:rsid w:val="00B67DDB"/>
    <w:rsid w:val="00B718D9"/>
    <w:rsid w:val="00B71EE3"/>
    <w:rsid w:val="00B74AC8"/>
    <w:rsid w:val="00B8638C"/>
    <w:rsid w:val="00B94810"/>
    <w:rsid w:val="00BA5A9A"/>
    <w:rsid w:val="00BB1CEF"/>
    <w:rsid w:val="00BB2299"/>
    <w:rsid w:val="00BB5CD2"/>
    <w:rsid w:val="00BB67E5"/>
    <w:rsid w:val="00BC0DE4"/>
    <w:rsid w:val="00BD1737"/>
    <w:rsid w:val="00BD356D"/>
    <w:rsid w:val="00BD54AE"/>
    <w:rsid w:val="00BE0872"/>
    <w:rsid w:val="00BE6D0C"/>
    <w:rsid w:val="00BE782B"/>
    <w:rsid w:val="00BF062B"/>
    <w:rsid w:val="00BF69F0"/>
    <w:rsid w:val="00C05D01"/>
    <w:rsid w:val="00C05E0F"/>
    <w:rsid w:val="00C06ECC"/>
    <w:rsid w:val="00C06F95"/>
    <w:rsid w:val="00C10484"/>
    <w:rsid w:val="00C15C3B"/>
    <w:rsid w:val="00C16F3D"/>
    <w:rsid w:val="00C303CC"/>
    <w:rsid w:val="00C36073"/>
    <w:rsid w:val="00C368F4"/>
    <w:rsid w:val="00C36D70"/>
    <w:rsid w:val="00C449D9"/>
    <w:rsid w:val="00C50221"/>
    <w:rsid w:val="00C52D19"/>
    <w:rsid w:val="00C54EBA"/>
    <w:rsid w:val="00C60D32"/>
    <w:rsid w:val="00C61246"/>
    <w:rsid w:val="00C613A7"/>
    <w:rsid w:val="00C61943"/>
    <w:rsid w:val="00C66750"/>
    <w:rsid w:val="00C71015"/>
    <w:rsid w:val="00C71E77"/>
    <w:rsid w:val="00C809E9"/>
    <w:rsid w:val="00C841E6"/>
    <w:rsid w:val="00C8793C"/>
    <w:rsid w:val="00C942BD"/>
    <w:rsid w:val="00CB5354"/>
    <w:rsid w:val="00CC2459"/>
    <w:rsid w:val="00CC394D"/>
    <w:rsid w:val="00CD0416"/>
    <w:rsid w:val="00CD4674"/>
    <w:rsid w:val="00CD5A5B"/>
    <w:rsid w:val="00CD6C6C"/>
    <w:rsid w:val="00CE0272"/>
    <w:rsid w:val="00CE0DD3"/>
    <w:rsid w:val="00CE4177"/>
    <w:rsid w:val="00CE6629"/>
    <w:rsid w:val="00CE7AB3"/>
    <w:rsid w:val="00CF4B35"/>
    <w:rsid w:val="00CF6414"/>
    <w:rsid w:val="00D10DF3"/>
    <w:rsid w:val="00D14D00"/>
    <w:rsid w:val="00D16223"/>
    <w:rsid w:val="00D229AB"/>
    <w:rsid w:val="00D23100"/>
    <w:rsid w:val="00D23EA9"/>
    <w:rsid w:val="00D25C3A"/>
    <w:rsid w:val="00D26CC3"/>
    <w:rsid w:val="00D2783F"/>
    <w:rsid w:val="00D278AF"/>
    <w:rsid w:val="00D3403A"/>
    <w:rsid w:val="00D370FC"/>
    <w:rsid w:val="00D735AF"/>
    <w:rsid w:val="00D74265"/>
    <w:rsid w:val="00D74E9F"/>
    <w:rsid w:val="00D76F39"/>
    <w:rsid w:val="00D8134D"/>
    <w:rsid w:val="00D84A92"/>
    <w:rsid w:val="00D916AD"/>
    <w:rsid w:val="00D9206E"/>
    <w:rsid w:val="00DA3CE5"/>
    <w:rsid w:val="00DA4A0A"/>
    <w:rsid w:val="00DA597B"/>
    <w:rsid w:val="00DA66BF"/>
    <w:rsid w:val="00DA766E"/>
    <w:rsid w:val="00DB0FBD"/>
    <w:rsid w:val="00DB5CDB"/>
    <w:rsid w:val="00DC26C8"/>
    <w:rsid w:val="00DC5391"/>
    <w:rsid w:val="00DD1C86"/>
    <w:rsid w:val="00DD23B8"/>
    <w:rsid w:val="00DD2F06"/>
    <w:rsid w:val="00DD540B"/>
    <w:rsid w:val="00DD6B6A"/>
    <w:rsid w:val="00DD7945"/>
    <w:rsid w:val="00DE1099"/>
    <w:rsid w:val="00DE111B"/>
    <w:rsid w:val="00DE13A4"/>
    <w:rsid w:val="00DE15BB"/>
    <w:rsid w:val="00DE4FCB"/>
    <w:rsid w:val="00DF159B"/>
    <w:rsid w:val="00DF2C46"/>
    <w:rsid w:val="00DF4EE6"/>
    <w:rsid w:val="00E0270D"/>
    <w:rsid w:val="00E0305C"/>
    <w:rsid w:val="00E041FB"/>
    <w:rsid w:val="00E07A11"/>
    <w:rsid w:val="00E12DB3"/>
    <w:rsid w:val="00E16963"/>
    <w:rsid w:val="00E207D7"/>
    <w:rsid w:val="00E21EA8"/>
    <w:rsid w:val="00E23B55"/>
    <w:rsid w:val="00E2621E"/>
    <w:rsid w:val="00E26E65"/>
    <w:rsid w:val="00E3238E"/>
    <w:rsid w:val="00E40849"/>
    <w:rsid w:val="00E417C9"/>
    <w:rsid w:val="00E4232F"/>
    <w:rsid w:val="00E424FE"/>
    <w:rsid w:val="00E42A93"/>
    <w:rsid w:val="00E439B9"/>
    <w:rsid w:val="00E47261"/>
    <w:rsid w:val="00E510E3"/>
    <w:rsid w:val="00E51244"/>
    <w:rsid w:val="00E51679"/>
    <w:rsid w:val="00E54E8F"/>
    <w:rsid w:val="00E5606A"/>
    <w:rsid w:val="00E6192F"/>
    <w:rsid w:val="00E62F6F"/>
    <w:rsid w:val="00E6359F"/>
    <w:rsid w:val="00E636DA"/>
    <w:rsid w:val="00E74254"/>
    <w:rsid w:val="00E81F13"/>
    <w:rsid w:val="00E82392"/>
    <w:rsid w:val="00E8635D"/>
    <w:rsid w:val="00E92C07"/>
    <w:rsid w:val="00E94E0A"/>
    <w:rsid w:val="00EA1634"/>
    <w:rsid w:val="00EA1ADF"/>
    <w:rsid w:val="00EA269A"/>
    <w:rsid w:val="00EA5271"/>
    <w:rsid w:val="00EB0DDB"/>
    <w:rsid w:val="00EB52AD"/>
    <w:rsid w:val="00EB695F"/>
    <w:rsid w:val="00EC0FE1"/>
    <w:rsid w:val="00EC6242"/>
    <w:rsid w:val="00ED231F"/>
    <w:rsid w:val="00ED4E1B"/>
    <w:rsid w:val="00ED6CE3"/>
    <w:rsid w:val="00EE01FB"/>
    <w:rsid w:val="00EE109F"/>
    <w:rsid w:val="00EE205D"/>
    <w:rsid w:val="00EF0530"/>
    <w:rsid w:val="00EF7493"/>
    <w:rsid w:val="00F10A14"/>
    <w:rsid w:val="00F13D33"/>
    <w:rsid w:val="00F165FB"/>
    <w:rsid w:val="00F22E3E"/>
    <w:rsid w:val="00F24966"/>
    <w:rsid w:val="00F258F8"/>
    <w:rsid w:val="00F2676E"/>
    <w:rsid w:val="00F32C97"/>
    <w:rsid w:val="00F35105"/>
    <w:rsid w:val="00F37490"/>
    <w:rsid w:val="00F541AB"/>
    <w:rsid w:val="00F54F9B"/>
    <w:rsid w:val="00F62246"/>
    <w:rsid w:val="00F657BE"/>
    <w:rsid w:val="00F82A10"/>
    <w:rsid w:val="00F90259"/>
    <w:rsid w:val="00F90D70"/>
    <w:rsid w:val="00F942DC"/>
    <w:rsid w:val="00F9488B"/>
    <w:rsid w:val="00F9619D"/>
    <w:rsid w:val="00F96277"/>
    <w:rsid w:val="00FA0253"/>
    <w:rsid w:val="00FA1E52"/>
    <w:rsid w:val="00FA4A54"/>
    <w:rsid w:val="00FB1AD2"/>
    <w:rsid w:val="00FB57EA"/>
    <w:rsid w:val="00FD60F2"/>
    <w:rsid w:val="00FF38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0CD"/>
    <w:rPr>
      <w:sz w:val="24"/>
      <w:lang w:eastAsia="en-US"/>
    </w:rPr>
  </w:style>
  <w:style w:type="paragraph" w:styleId="Heading1">
    <w:name w:val="heading 1"/>
    <w:basedOn w:val="Normal"/>
    <w:next w:val="Normal"/>
    <w:qFormat/>
    <w:rsid w:val="00263719"/>
    <w:pPr>
      <w:keepNext/>
      <w:spacing w:before="240" w:after="60"/>
      <w:outlineLvl w:val="0"/>
    </w:pPr>
    <w:rPr>
      <w:rFonts w:ascii="Arial" w:hAnsi="Arial" w:cs="Arial"/>
      <w:b/>
      <w:bCs/>
      <w:kern w:val="32"/>
      <w:sz w:val="32"/>
      <w:szCs w:val="32"/>
    </w:rPr>
  </w:style>
  <w:style w:type="paragraph" w:styleId="Heading2">
    <w:name w:val="heading 2"/>
    <w:basedOn w:val="Heading1"/>
    <w:next w:val="Normal"/>
    <w:qFormat/>
    <w:rsid w:val="00263719"/>
    <w:pPr>
      <w:spacing w:before="0" w:after="113" w:line="440" w:lineRule="exact"/>
      <w:outlineLvl w:val="1"/>
    </w:pPr>
    <w:rPr>
      <w:rFonts w:ascii="Times New Roman" w:hAnsi="Times New Roman"/>
      <w:b w:val="0"/>
      <w:bCs w:val="0"/>
      <w:iCs/>
      <w:color w:val="87212E"/>
      <w:sz w:val="30"/>
      <w:szCs w:val="30"/>
      <w:lang w:eastAsia="en-AU"/>
    </w:rPr>
  </w:style>
  <w:style w:type="paragraph" w:styleId="Heading3">
    <w:name w:val="heading 3"/>
    <w:basedOn w:val="Heading2"/>
    <w:next w:val="Normal"/>
    <w:qFormat/>
    <w:rsid w:val="00263719"/>
    <w:pPr>
      <w:spacing w:before="227" w:after="57" w:line="340" w:lineRule="exact"/>
      <w:outlineLvl w:val="2"/>
    </w:pPr>
    <w:rPr>
      <w:bCs/>
      <w:i/>
      <w:sz w:val="24"/>
      <w:szCs w:val="24"/>
    </w:rPr>
  </w:style>
  <w:style w:type="paragraph" w:styleId="Heading5">
    <w:name w:val="heading 5"/>
    <w:basedOn w:val="Normal"/>
    <w:next w:val="Normal"/>
    <w:qFormat/>
    <w:rsid w:val="00D8134D"/>
    <w:pPr>
      <w:keepNext/>
      <w:spacing w:before="120" w:after="144"/>
      <w:outlineLvl w:val="4"/>
    </w:pPr>
    <w:rPr>
      <w:rFonts w:ascii="Arial Bold" w:hAnsi="Arial Bold"/>
      <w:b/>
      <w:lang w:val="en-US"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0">
    <w:name w:val="Heading1"/>
    <w:basedOn w:val="DefaultParagraphFont"/>
    <w:rsid w:val="00BD1737"/>
    <w:rPr>
      <w:rFonts w:ascii="Arial" w:hAnsi="Arial"/>
      <w:b/>
      <w:bCs/>
      <w:sz w:val="36"/>
    </w:rPr>
  </w:style>
  <w:style w:type="paragraph" w:customStyle="1" w:styleId="Heading20">
    <w:name w:val="Heading2"/>
    <w:basedOn w:val="NormalWeb"/>
    <w:rsid w:val="00BD1737"/>
    <w:pPr>
      <w:spacing w:before="100" w:beforeAutospacing="1" w:after="100" w:afterAutospacing="1" w:line="360" w:lineRule="auto"/>
    </w:pPr>
    <w:rPr>
      <w:rFonts w:ascii="Arial" w:hAnsi="Arial"/>
      <w:b/>
      <w:bCs/>
      <w:color w:val="000000"/>
      <w:sz w:val="28"/>
      <w:szCs w:val="20"/>
      <w:lang w:val="en-AU"/>
    </w:rPr>
  </w:style>
  <w:style w:type="paragraph" w:styleId="NormalWeb">
    <w:name w:val="Normal (Web)"/>
    <w:basedOn w:val="Normal"/>
    <w:rsid w:val="00BD1737"/>
    <w:rPr>
      <w:szCs w:val="24"/>
    </w:rPr>
  </w:style>
  <w:style w:type="character" w:styleId="Hyperlink">
    <w:name w:val="Hyperlink"/>
    <w:basedOn w:val="DefaultParagraphFont"/>
    <w:rsid w:val="007E2640"/>
    <w:rPr>
      <w:color w:val="0000FF"/>
      <w:u w:val="single"/>
    </w:rPr>
  </w:style>
  <w:style w:type="character" w:styleId="Emphasis">
    <w:name w:val="Emphasis"/>
    <w:basedOn w:val="DefaultParagraphFont"/>
    <w:qFormat/>
    <w:rsid w:val="007E2640"/>
    <w:rPr>
      <w:i/>
      <w:iCs/>
    </w:rPr>
  </w:style>
  <w:style w:type="paragraph" w:styleId="Header">
    <w:name w:val="header"/>
    <w:basedOn w:val="Normal"/>
    <w:rsid w:val="006808E1"/>
    <w:pPr>
      <w:tabs>
        <w:tab w:val="center" w:pos="4153"/>
        <w:tab w:val="right" w:pos="8306"/>
      </w:tabs>
    </w:pPr>
  </w:style>
  <w:style w:type="paragraph" w:styleId="Footer">
    <w:name w:val="footer"/>
    <w:basedOn w:val="Normal"/>
    <w:rsid w:val="006808E1"/>
    <w:pPr>
      <w:tabs>
        <w:tab w:val="center" w:pos="4153"/>
        <w:tab w:val="right" w:pos="8306"/>
      </w:tabs>
    </w:pPr>
  </w:style>
  <w:style w:type="character" w:styleId="PageNumber">
    <w:name w:val="page number"/>
    <w:basedOn w:val="DefaultParagraphFont"/>
    <w:rsid w:val="006808E1"/>
  </w:style>
  <w:style w:type="table" w:styleId="TableGrid">
    <w:name w:val="Table Grid"/>
    <w:basedOn w:val="TableNormal"/>
    <w:rsid w:val="00263719"/>
    <w:pPr>
      <w:spacing w:after="120" w:line="3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8134D"/>
    <w:pPr>
      <w:jc w:val="center"/>
    </w:pPr>
    <w:rPr>
      <w:sz w:val="23"/>
      <w:lang w:val="en-US" w:eastAsia="en-NZ"/>
    </w:rPr>
  </w:style>
  <w:style w:type="paragraph" w:customStyle="1" w:styleId="Numberparagraph">
    <w:name w:val="Number paragraph"/>
    <w:basedOn w:val="Normal"/>
    <w:qFormat/>
    <w:rsid w:val="00E4232F"/>
    <w:pPr>
      <w:tabs>
        <w:tab w:val="left" w:pos="567"/>
      </w:tabs>
      <w:jc w:val="both"/>
    </w:pPr>
    <w:rPr>
      <w:szCs w:val="24"/>
      <w:lang w:eastAsia="en-AU"/>
    </w:rPr>
  </w:style>
  <w:style w:type="paragraph" w:customStyle="1" w:styleId="Recommendationfirstlevel">
    <w:name w:val="Recommendation first level"/>
    <w:basedOn w:val="Normal"/>
    <w:qFormat/>
    <w:rsid w:val="00AE00CD"/>
    <w:pPr>
      <w:tabs>
        <w:tab w:val="left" w:pos="567"/>
      </w:tabs>
      <w:jc w:val="both"/>
    </w:pPr>
    <w:rPr>
      <w:szCs w:val="24"/>
      <w:lang w:eastAsia="en-AU"/>
    </w:rPr>
  </w:style>
  <w:style w:type="paragraph" w:styleId="ListParagraph">
    <w:name w:val="List Paragraph"/>
    <w:basedOn w:val="Normal"/>
    <w:uiPriority w:val="34"/>
    <w:qFormat/>
    <w:rsid w:val="00AE00CD"/>
    <w:pPr>
      <w:ind w:left="720"/>
      <w:contextualSpacing/>
    </w:pPr>
  </w:style>
  <w:style w:type="paragraph" w:styleId="List2">
    <w:name w:val="List 2"/>
    <w:basedOn w:val="Normal"/>
    <w:autoRedefine/>
    <w:uiPriority w:val="99"/>
    <w:semiHidden/>
    <w:unhideWhenUsed/>
    <w:qFormat/>
    <w:rsid w:val="00AE00CD"/>
    <w:pPr>
      <w:numPr>
        <w:numId w:val="8"/>
      </w:numPr>
      <w:contextualSpacing/>
    </w:pPr>
  </w:style>
  <w:style w:type="paragraph" w:customStyle="1" w:styleId="Recommendation11">
    <w:name w:val="Recommendation 1.1"/>
    <w:basedOn w:val="Recommendationfirstlevel"/>
    <w:qFormat/>
    <w:rsid w:val="0016102F"/>
    <w:pPr>
      <w:numPr>
        <w:numId w:val="9"/>
      </w:numPr>
      <w:tabs>
        <w:tab w:val="clear" w:pos="567"/>
      </w:tabs>
      <w:ind w:left="1134" w:firstLine="0"/>
    </w:pPr>
  </w:style>
  <w:style w:type="paragraph" w:customStyle="1" w:styleId="Recommendationlevel21">
    <w:name w:val="Recommendation level 2.1"/>
    <w:basedOn w:val="Recommendationfirstlevel"/>
    <w:qFormat/>
    <w:rsid w:val="00415C5B"/>
    <w:pPr>
      <w:numPr>
        <w:numId w:val="10"/>
      </w:numPr>
    </w:pPr>
  </w:style>
  <w:style w:type="paragraph" w:styleId="NoSpacing">
    <w:name w:val="No Spacing"/>
    <w:uiPriority w:val="1"/>
    <w:qFormat/>
    <w:rsid w:val="007008D1"/>
    <w:rPr>
      <w:sz w:val="24"/>
      <w:lang w:eastAsia="en-US"/>
    </w:rPr>
  </w:style>
  <w:style w:type="paragraph" w:customStyle="1" w:styleId="TRBodyText">
    <w:name w:val="_TRBody Text"/>
    <w:rsid w:val="007215B3"/>
    <w:pPr>
      <w:spacing w:line="300" w:lineRule="atLeast"/>
      <w:jc w:val="both"/>
    </w:pPr>
    <w:rPr>
      <w:sz w:val="24"/>
      <w:lang w:eastAsia="en-AU"/>
    </w:rPr>
  </w:style>
  <w:style w:type="paragraph" w:customStyle="1" w:styleId="TRListBullet">
    <w:name w:val="_TRList Bullet"/>
    <w:basedOn w:val="Normal"/>
    <w:rsid w:val="00E07A11"/>
    <w:pPr>
      <w:numPr>
        <w:numId w:val="16"/>
      </w:numPr>
      <w:tabs>
        <w:tab w:val="clear" w:pos="1134"/>
      </w:tabs>
      <w:spacing w:after="200" w:line="300" w:lineRule="atLeast"/>
      <w:ind w:left="539" w:hanging="539"/>
      <w:jc w:val="both"/>
    </w:pPr>
    <w:rPr>
      <w:lang w:eastAsia="en-AU"/>
    </w:rPr>
  </w:style>
  <w:style w:type="character" w:styleId="FootnoteReference">
    <w:name w:val="footnote reference"/>
    <w:basedOn w:val="DefaultParagraphFont"/>
    <w:uiPriority w:val="99"/>
    <w:semiHidden/>
    <w:unhideWhenUsed/>
    <w:rsid w:val="000233B6"/>
    <w:rPr>
      <w:vertAlign w:val="superscript"/>
    </w:rPr>
  </w:style>
  <w:style w:type="paragraph" w:styleId="BalloonText">
    <w:name w:val="Balloon Text"/>
    <w:basedOn w:val="Normal"/>
    <w:link w:val="BalloonTextChar"/>
    <w:uiPriority w:val="99"/>
    <w:semiHidden/>
    <w:unhideWhenUsed/>
    <w:rsid w:val="0096387B"/>
    <w:rPr>
      <w:rFonts w:ascii="Tahoma" w:hAnsi="Tahoma" w:cs="Tahoma"/>
      <w:sz w:val="16"/>
      <w:szCs w:val="16"/>
    </w:rPr>
  </w:style>
  <w:style w:type="character" w:customStyle="1" w:styleId="BalloonTextChar">
    <w:name w:val="Balloon Text Char"/>
    <w:basedOn w:val="DefaultParagraphFont"/>
    <w:link w:val="BalloonText"/>
    <w:uiPriority w:val="99"/>
    <w:semiHidden/>
    <w:rsid w:val="0096387B"/>
    <w:rPr>
      <w:rFonts w:ascii="Tahoma" w:hAnsi="Tahoma" w:cs="Tahoma"/>
      <w:sz w:val="16"/>
      <w:szCs w:val="16"/>
      <w:lang w:eastAsia="en-US"/>
    </w:rPr>
  </w:style>
  <w:style w:type="character" w:styleId="CommentReference">
    <w:name w:val="annotation reference"/>
    <w:basedOn w:val="DefaultParagraphFont"/>
    <w:uiPriority w:val="99"/>
    <w:semiHidden/>
    <w:unhideWhenUsed/>
    <w:rsid w:val="00D916AD"/>
    <w:rPr>
      <w:sz w:val="16"/>
      <w:szCs w:val="16"/>
    </w:rPr>
  </w:style>
  <w:style w:type="paragraph" w:styleId="CommentText">
    <w:name w:val="annotation text"/>
    <w:basedOn w:val="Normal"/>
    <w:link w:val="CommentTextChar"/>
    <w:uiPriority w:val="99"/>
    <w:unhideWhenUsed/>
    <w:rsid w:val="00D916AD"/>
    <w:rPr>
      <w:sz w:val="20"/>
    </w:rPr>
  </w:style>
  <w:style w:type="character" w:customStyle="1" w:styleId="CommentTextChar">
    <w:name w:val="Comment Text Char"/>
    <w:basedOn w:val="DefaultParagraphFont"/>
    <w:link w:val="CommentText"/>
    <w:uiPriority w:val="99"/>
    <w:rsid w:val="00D916AD"/>
    <w:rPr>
      <w:lang w:eastAsia="en-US"/>
    </w:rPr>
  </w:style>
  <w:style w:type="paragraph" w:styleId="CommentSubject">
    <w:name w:val="annotation subject"/>
    <w:basedOn w:val="CommentText"/>
    <w:next w:val="CommentText"/>
    <w:link w:val="CommentSubjectChar"/>
    <w:uiPriority w:val="99"/>
    <w:semiHidden/>
    <w:unhideWhenUsed/>
    <w:rsid w:val="00D916AD"/>
    <w:rPr>
      <w:b/>
      <w:bCs/>
    </w:rPr>
  </w:style>
  <w:style w:type="character" w:customStyle="1" w:styleId="CommentSubjectChar">
    <w:name w:val="Comment Subject Char"/>
    <w:basedOn w:val="CommentTextChar"/>
    <w:link w:val="CommentSubject"/>
    <w:uiPriority w:val="99"/>
    <w:semiHidden/>
    <w:rsid w:val="00D916AD"/>
    <w:rPr>
      <w:b/>
      <w:bCs/>
      <w:lang w:eastAsia="en-US"/>
    </w:rPr>
  </w:style>
  <w:style w:type="paragraph" w:styleId="Revision">
    <w:name w:val="Revision"/>
    <w:hidden/>
    <w:uiPriority w:val="99"/>
    <w:semiHidden/>
    <w:rsid w:val="00684FF5"/>
    <w:rPr>
      <w:sz w:val="24"/>
      <w:lang w:eastAsia="en-US"/>
    </w:rPr>
  </w:style>
  <w:style w:type="paragraph" w:styleId="FootnoteText">
    <w:name w:val="footnote text"/>
    <w:link w:val="FootnoteTextChar"/>
    <w:uiPriority w:val="99"/>
    <w:semiHidden/>
    <w:unhideWhenUsed/>
    <w:rsid w:val="00FF3845"/>
    <w:pPr>
      <w:tabs>
        <w:tab w:val="left" w:pos="227"/>
      </w:tabs>
      <w:spacing w:after="60" w:line="240" w:lineRule="atLeast"/>
      <w:ind w:left="227" w:hanging="227"/>
    </w:pPr>
    <w:rPr>
      <w:rFonts w:ascii="Arial" w:hAnsi="Arial"/>
      <w:sz w:val="16"/>
      <w:lang w:val="en-AU" w:eastAsia="en-US"/>
    </w:rPr>
  </w:style>
  <w:style w:type="character" w:customStyle="1" w:styleId="FootnoteTextChar">
    <w:name w:val="Footnote Text Char"/>
    <w:basedOn w:val="DefaultParagraphFont"/>
    <w:link w:val="FootnoteText"/>
    <w:uiPriority w:val="99"/>
    <w:semiHidden/>
    <w:rsid w:val="00FF3845"/>
    <w:rPr>
      <w:rFonts w:ascii="Arial" w:hAnsi="Arial"/>
      <w:sz w:val="16"/>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0CD"/>
    <w:rPr>
      <w:sz w:val="24"/>
      <w:lang w:eastAsia="en-US"/>
    </w:rPr>
  </w:style>
  <w:style w:type="paragraph" w:styleId="Heading1">
    <w:name w:val="heading 1"/>
    <w:basedOn w:val="Normal"/>
    <w:next w:val="Normal"/>
    <w:qFormat/>
    <w:rsid w:val="00263719"/>
    <w:pPr>
      <w:keepNext/>
      <w:spacing w:before="240" w:after="60"/>
      <w:outlineLvl w:val="0"/>
    </w:pPr>
    <w:rPr>
      <w:rFonts w:ascii="Arial" w:hAnsi="Arial" w:cs="Arial"/>
      <w:b/>
      <w:bCs/>
      <w:kern w:val="32"/>
      <w:sz w:val="32"/>
      <w:szCs w:val="32"/>
    </w:rPr>
  </w:style>
  <w:style w:type="paragraph" w:styleId="Heading2">
    <w:name w:val="heading 2"/>
    <w:basedOn w:val="Heading1"/>
    <w:next w:val="Normal"/>
    <w:qFormat/>
    <w:rsid w:val="00263719"/>
    <w:pPr>
      <w:spacing w:before="0" w:after="113" w:line="440" w:lineRule="exact"/>
      <w:outlineLvl w:val="1"/>
    </w:pPr>
    <w:rPr>
      <w:rFonts w:ascii="Times New Roman" w:hAnsi="Times New Roman"/>
      <w:b w:val="0"/>
      <w:bCs w:val="0"/>
      <w:iCs/>
      <w:color w:val="87212E"/>
      <w:sz w:val="30"/>
      <w:szCs w:val="30"/>
      <w:lang w:eastAsia="en-AU"/>
    </w:rPr>
  </w:style>
  <w:style w:type="paragraph" w:styleId="Heading3">
    <w:name w:val="heading 3"/>
    <w:basedOn w:val="Heading2"/>
    <w:next w:val="Normal"/>
    <w:qFormat/>
    <w:rsid w:val="00263719"/>
    <w:pPr>
      <w:spacing w:before="227" w:after="57" w:line="340" w:lineRule="exact"/>
      <w:outlineLvl w:val="2"/>
    </w:pPr>
    <w:rPr>
      <w:bCs/>
      <w:i/>
      <w:sz w:val="24"/>
      <w:szCs w:val="24"/>
    </w:rPr>
  </w:style>
  <w:style w:type="paragraph" w:styleId="Heading5">
    <w:name w:val="heading 5"/>
    <w:basedOn w:val="Normal"/>
    <w:next w:val="Normal"/>
    <w:qFormat/>
    <w:rsid w:val="00D8134D"/>
    <w:pPr>
      <w:keepNext/>
      <w:spacing w:before="120" w:after="144"/>
      <w:outlineLvl w:val="4"/>
    </w:pPr>
    <w:rPr>
      <w:rFonts w:ascii="Arial Bold" w:hAnsi="Arial Bold"/>
      <w:b/>
      <w:lang w:val="en-US"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0">
    <w:name w:val="Heading1"/>
    <w:basedOn w:val="DefaultParagraphFont"/>
    <w:rsid w:val="00BD1737"/>
    <w:rPr>
      <w:rFonts w:ascii="Arial" w:hAnsi="Arial"/>
      <w:b/>
      <w:bCs/>
      <w:sz w:val="36"/>
    </w:rPr>
  </w:style>
  <w:style w:type="paragraph" w:customStyle="1" w:styleId="Heading20">
    <w:name w:val="Heading2"/>
    <w:basedOn w:val="NormalWeb"/>
    <w:rsid w:val="00BD1737"/>
    <w:pPr>
      <w:spacing w:before="100" w:beforeAutospacing="1" w:after="100" w:afterAutospacing="1" w:line="360" w:lineRule="auto"/>
    </w:pPr>
    <w:rPr>
      <w:rFonts w:ascii="Arial" w:hAnsi="Arial"/>
      <w:b/>
      <w:bCs/>
      <w:color w:val="000000"/>
      <w:sz w:val="28"/>
      <w:szCs w:val="20"/>
      <w:lang w:val="en-AU"/>
    </w:rPr>
  </w:style>
  <w:style w:type="paragraph" w:styleId="NormalWeb">
    <w:name w:val="Normal (Web)"/>
    <w:basedOn w:val="Normal"/>
    <w:rsid w:val="00BD1737"/>
    <w:rPr>
      <w:szCs w:val="24"/>
    </w:rPr>
  </w:style>
  <w:style w:type="character" w:styleId="Hyperlink">
    <w:name w:val="Hyperlink"/>
    <w:basedOn w:val="DefaultParagraphFont"/>
    <w:rsid w:val="007E2640"/>
    <w:rPr>
      <w:color w:val="0000FF"/>
      <w:u w:val="single"/>
    </w:rPr>
  </w:style>
  <w:style w:type="character" w:styleId="Emphasis">
    <w:name w:val="Emphasis"/>
    <w:basedOn w:val="DefaultParagraphFont"/>
    <w:qFormat/>
    <w:rsid w:val="007E2640"/>
    <w:rPr>
      <w:i/>
      <w:iCs/>
    </w:rPr>
  </w:style>
  <w:style w:type="paragraph" w:styleId="Header">
    <w:name w:val="header"/>
    <w:basedOn w:val="Normal"/>
    <w:rsid w:val="006808E1"/>
    <w:pPr>
      <w:tabs>
        <w:tab w:val="center" w:pos="4153"/>
        <w:tab w:val="right" w:pos="8306"/>
      </w:tabs>
    </w:pPr>
  </w:style>
  <w:style w:type="paragraph" w:styleId="Footer">
    <w:name w:val="footer"/>
    <w:basedOn w:val="Normal"/>
    <w:rsid w:val="006808E1"/>
    <w:pPr>
      <w:tabs>
        <w:tab w:val="center" w:pos="4153"/>
        <w:tab w:val="right" w:pos="8306"/>
      </w:tabs>
    </w:pPr>
  </w:style>
  <w:style w:type="character" w:styleId="PageNumber">
    <w:name w:val="page number"/>
    <w:basedOn w:val="DefaultParagraphFont"/>
    <w:rsid w:val="006808E1"/>
  </w:style>
  <w:style w:type="table" w:styleId="TableGrid">
    <w:name w:val="Table Grid"/>
    <w:basedOn w:val="TableNormal"/>
    <w:rsid w:val="00263719"/>
    <w:pPr>
      <w:spacing w:after="120" w:line="3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8134D"/>
    <w:pPr>
      <w:jc w:val="center"/>
    </w:pPr>
    <w:rPr>
      <w:sz w:val="23"/>
      <w:lang w:val="en-US" w:eastAsia="en-NZ"/>
    </w:rPr>
  </w:style>
  <w:style w:type="paragraph" w:customStyle="1" w:styleId="Numberparagraph">
    <w:name w:val="Number paragraph"/>
    <w:basedOn w:val="Normal"/>
    <w:qFormat/>
    <w:rsid w:val="00E4232F"/>
    <w:pPr>
      <w:tabs>
        <w:tab w:val="left" w:pos="567"/>
      </w:tabs>
      <w:jc w:val="both"/>
    </w:pPr>
    <w:rPr>
      <w:szCs w:val="24"/>
      <w:lang w:eastAsia="en-AU"/>
    </w:rPr>
  </w:style>
  <w:style w:type="paragraph" w:customStyle="1" w:styleId="Recommendationfirstlevel">
    <w:name w:val="Recommendation first level"/>
    <w:basedOn w:val="Normal"/>
    <w:qFormat/>
    <w:rsid w:val="00AE00CD"/>
    <w:pPr>
      <w:tabs>
        <w:tab w:val="left" w:pos="567"/>
      </w:tabs>
      <w:jc w:val="both"/>
    </w:pPr>
    <w:rPr>
      <w:szCs w:val="24"/>
      <w:lang w:eastAsia="en-AU"/>
    </w:rPr>
  </w:style>
  <w:style w:type="paragraph" w:styleId="ListParagraph">
    <w:name w:val="List Paragraph"/>
    <w:basedOn w:val="Normal"/>
    <w:uiPriority w:val="34"/>
    <w:qFormat/>
    <w:rsid w:val="00AE00CD"/>
    <w:pPr>
      <w:ind w:left="720"/>
      <w:contextualSpacing/>
    </w:pPr>
  </w:style>
  <w:style w:type="paragraph" w:styleId="List2">
    <w:name w:val="List 2"/>
    <w:basedOn w:val="Normal"/>
    <w:autoRedefine/>
    <w:uiPriority w:val="99"/>
    <w:semiHidden/>
    <w:unhideWhenUsed/>
    <w:qFormat/>
    <w:rsid w:val="00AE00CD"/>
    <w:pPr>
      <w:numPr>
        <w:numId w:val="8"/>
      </w:numPr>
      <w:contextualSpacing/>
    </w:pPr>
  </w:style>
  <w:style w:type="paragraph" w:customStyle="1" w:styleId="Recommendation11">
    <w:name w:val="Recommendation 1.1"/>
    <w:basedOn w:val="Recommendationfirstlevel"/>
    <w:qFormat/>
    <w:rsid w:val="0016102F"/>
    <w:pPr>
      <w:numPr>
        <w:numId w:val="9"/>
      </w:numPr>
      <w:tabs>
        <w:tab w:val="clear" w:pos="567"/>
      </w:tabs>
      <w:ind w:left="1134" w:firstLine="0"/>
    </w:pPr>
  </w:style>
  <w:style w:type="paragraph" w:customStyle="1" w:styleId="Recommendationlevel21">
    <w:name w:val="Recommendation level 2.1"/>
    <w:basedOn w:val="Recommendationfirstlevel"/>
    <w:qFormat/>
    <w:rsid w:val="00415C5B"/>
    <w:pPr>
      <w:numPr>
        <w:numId w:val="10"/>
      </w:numPr>
    </w:pPr>
  </w:style>
  <w:style w:type="paragraph" w:styleId="NoSpacing">
    <w:name w:val="No Spacing"/>
    <w:uiPriority w:val="1"/>
    <w:qFormat/>
    <w:rsid w:val="007008D1"/>
    <w:rPr>
      <w:sz w:val="24"/>
      <w:lang w:eastAsia="en-US"/>
    </w:rPr>
  </w:style>
  <w:style w:type="paragraph" w:customStyle="1" w:styleId="TRBodyText">
    <w:name w:val="_TRBody Text"/>
    <w:rsid w:val="007215B3"/>
    <w:pPr>
      <w:spacing w:line="300" w:lineRule="atLeast"/>
      <w:jc w:val="both"/>
    </w:pPr>
    <w:rPr>
      <w:sz w:val="24"/>
      <w:lang w:eastAsia="en-AU"/>
    </w:rPr>
  </w:style>
  <w:style w:type="paragraph" w:customStyle="1" w:styleId="TRListBullet">
    <w:name w:val="_TRList Bullet"/>
    <w:basedOn w:val="Normal"/>
    <w:rsid w:val="00E07A11"/>
    <w:pPr>
      <w:numPr>
        <w:numId w:val="16"/>
      </w:numPr>
      <w:tabs>
        <w:tab w:val="clear" w:pos="1134"/>
      </w:tabs>
      <w:spacing w:after="200" w:line="300" w:lineRule="atLeast"/>
      <w:ind w:left="539" w:hanging="539"/>
      <w:jc w:val="both"/>
    </w:pPr>
    <w:rPr>
      <w:lang w:eastAsia="en-AU"/>
    </w:rPr>
  </w:style>
  <w:style w:type="character" w:styleId="FootnoteReference">
    <w:name w:val="footnote reference"/>
    <w:basedOn w:val="DefaultParagraphFont"/>
    <w:uiPriority w:val="99"/>
    <w:semiHidden/>
    <w:unhideWhenUsed/>
    <w:rsid w:val="000233B6"/>
    <w:rPr>
      <w:vertAlign w:val="superscript"/>
    </w:rPr>
  </w:style>
  <w:style w:type="paragraph" w:styleId="BalloonText">
    <w:name w:val="Balloon Text"/>
    <w:basedOn w:val="Normal"/>
    <w:link w:val="BalloonTextChar"/>
    <w:uiPriority w:val="99"/>
    <w:semiHidden/>
    <w:unhideWhenUsed/>
    <w:rsid w:val="0096387B"/>
    <w:rPr>
      <w:rFonts w:ascii="Tahoma" w:hAnsi="Tahoma" w:cs="Tahoma"/>
      <w:sz w:val="16"/>
      <w:szCs w:val="16"/>
    </w:rPr>
  </w:style>
  <w:style w:type="character" w:customStyle="1" w:styleId="BalloonTextChar">
    <w:name w:val="Balloon Text Char"/>
    <w:basedOn w:val="DefaultParagraphFont"/>
    <w:link w:val="BalloonText"/>
    <w:uiPriority w:val="99"/>
    <w:semiHidden/>
    <w:rsid w:val="0096387B"/>
    <w:rPr>
      <w:rFonts w:ascii="Tahoma" w:hAnsi="Tahoma" w:cs="Tahoma"/>
      <w:sz w:val="16"/>
      <w:szCs w:val="16"/>
      <w:lang w:eastAsia="en-US"/>
    </w:rPr>
  </w:style>
  <w:style w:type="character" w:styleId="CommentReference">
    <w:name w:val="annotation reference"/>
    <w:basedOn w:val="DefaultParagraphFont"/>
    <w:uiPriority w:val="99"/>
    <w:semiHidden/>
    <w:unhideWhenUsed/>
    <w:rsid w:val="00D916AD"/>
    <w:rPr>
      <w:sz w:val="16"/>
      <w:szCs w:val="16"/>
    </w:rPr>
  </w:style>
  <w:style w:type="paragraph" w:styleId="CommentText">
    <w:name w:val="annotation text"/>
    <w:basedOn w:val="Normal"/>
    <w:link w:val="CommentTextChar"/>
    <w:uiPriority w:val="99"/>
    <w:unhideWhenUsed/>
    <w:rsid w:val="00D916AD"/>
    <w:rPr>
      <w:sz w:val="20"/>
    </w:rPr>
  </w:style>
  <w:style w:type="character" w:customStyle="1" w:styleId="CommentTextChar">
    <w:name w:val="Comment Text Char"/>
    <w:basedOn w:val="DefaultParagraphFont"/>
    <w:link w:val="CommentText"/>
    <w:uiPriority w:val="99"/>
    <w:rsid w:val="00D916AD"/>
    <w:rPr>
      <w:lang w:eastAsia="en-US"/>
    </w:rPr>
  </w:style>
  <w:style w:type="paragraph" w:styleId="CommentSubject">
    <w:name w:val="annotation subject"/>
    <w:basedOn w:val="CommentText"/>
    <w:next w:val="CommentText"/>
    <w:link w:val="CommentSubjectChar"/>
    <w:uiPriority w:val="99"/>
    <w:semiHidden/>
    <w:unhideWhenUsed/>
    <w:rsid w:val="00D916AD"/>
    <w:rPr>
      <w:b/>
      <w:bCs/>
    </w:rPr>
  </w:style>
  <w:style w:type="character" w:customStyle="1" w:styleId="CommentSubjectChar">
    <w:name w:val="Comment Subject Char"/>
    <w:basedOn w:val="CommentTextChar"/>
    <w:link w:val="CommentSubject"/>
    <w:uiPriority w:val="99"/>
    <w:semiHidden/>
    <w:rsid w:val="00D916AD"/>
    <w:rPr>
      <w:b/>
      <w:bCs/>
      <w:lang w:eastAsia="en-US"/>
    </w:rPr>
  </w:style>
  <w:style w:type="paragraph" w:styleId="Revision">
    <w:name w:val="Revision"/>
    <w:hidden/>
    <w:uiPriority w:val="99"/>
    <w:semiHidden/>
    <w:rsid w:val="00684FF5"/>
    <w:rPr>
      <w:sz w:val="24"/>
      <w:lang w:eastAsia="en-US"/>
    </w:rPr>
  </w:style>
  <w:style w:type="paragraph" w:styleId="FootnoteText">
    <w:name w:val="footnote text"/>
    <w:link w:val="FootnoteTextChar"/>
    <w:uiPriority w:val="99"/>
    <w:semiHidden/>
    <w:unhideWhenUsed/>
    <w:rsid w:val="00FF3845"/>
    <w:pPr>
      <w:tabs>
        <w:tab w:val="left" w:pos="227"/>
      </w:tabs>
      <w:spacing w:after="60" w:line="240" w:lineRule="atLeast"/>
      <w:ind w:left="227" w:hanging="227"/>
    </w:pPr>
    <w:rPr>
      <w:rFonts w:ascii="Arial" w:hAnsi="Arial"/>
      <w:sz w:val="16"/>
      <w:lang w:val="en-AU" w:eastAsia="en-US"/>
    </w:rPr>
  </w:style>
  <w:style w:type="character" w:customStyle="1" w:styleId="FootnoteTextChar">
    <w:name w:val="Footnote Text Char"/>
    <w:basedOn w:val="DefaultParagraphFont"/>
    <w:link w:val="FootnoteText"/>
    <w:uiPriority w:val="99"/>
    <w:semiHidden/>
    <w:rsid w:val="00FF3845"/>
    <w:rPr>
      <w:rFonts w:ascii="Arial" w:hAnsi="Arial"/>
      <w:sz w:val="1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276">
      <w:bodyDiv w:val="1"/>
      <w:marLeft w:val="0"/>
      <w:marRight w:val="0"/>
      <w:marTop w:val="0"/>
      <w:marBottom w:val="0"/>
      <w:divBdr>
        <w:top w:val="none" w:sz="0" w:space="0" w:color="auto"/>
        <w:left w:val="none" w:sz="0" w:space="0" w:color="auto"/>
        <w:bottom w:val="none" w:sz="0" w:space="0" w:color="auto"/>
        <w:right w:val="none" w:sz="0" w:space="0" w:color="auto"/>
      </w:divBdr>
    </w:div>
    <w:div w:id="792989710">
      <w:bodyDiv w:val="1"/>
      <w:marLeft w:val="0"/>
      <w:marRight w:val="0"/>
      <w:marTop w:val="0"/>
      <w:marBottom w:val="0"/>
      <w:divBdr>
        <w:top w:val="none" w:sz="0" w:space="0" w:color="auto"/>
        <w:left w:val="none" w:sz="0" w:space="0" w:color="auto"/>
        <w:bottom w:val="none" w:sz="0" w:space="0" w:color="auto"/>
        <w:right w:val="none" w:sz="0" w:space="0" w:color="auto"/>
      </w:divBdr>
    </w:div>
    <w:div w:id="819888096">
      <w:bodyDiv w:val="1"/>
      <w:marLeft w:val="0"/>
      <w:marRight w:val="0"/>
      <w:marTop w:val="0"/>
      <w:marBottom w:val="0"/>
      <w:divBdr>
        <w:top w:val="none" w:sz="0" w:space="0" w:color="auto"/>
        <w:left w:val="none" w:sz="0" w:space="0" w:color="auto"/>
        <w:bottom w:val="none" w:sz="0" w:space="0" w:color="auto"/>
        <w:right w:val="none" w:sz="0" w:space="0" w:color="auto"/>
      </w:divBdr>
    </w:div>
    <w:div w:id="855272776">
      <w:bodyDiv w:val="1"/>
      <w:marLeft w:val="0"/>
      <w:marRight w:val="0"/>
      <w:marTop w:val="0"/>
      <w:marBottom w:val="0"/>
      <w:divBdr>
        <w:top w:val="none" w:sz="0" w:space="0" w:color="auto"/>
        <w:left w:val="none" w:sz="0" w:space="0" w:color="auto"/>
        <w:bottom w:val="none" w:sz="0" w:space="0" w:color="auto"/>
        <w:right w:val="none" w:sz="0" w:space="0" w:color="auto"/>
      </w:divBdr>
    </w:div>
    <w:div w:id="863708254">
      <w:bodyDiv w:val="1"/>
      <w:marLeft w:val="0"/>
      <w:marRight w:val="0"/>
      <w:marTop w:val="0"/>
      <w:marBottom w:val="0"/>
      <w:divBdr>
        <w:top w:val="none" w:sz="0" w:space="0" w:color="auto"/>
        <w:left w:val="none" w:sz="0" w:space="0" w:color="auto"/>
        <w:bottom w:val="none" w:sz="0" w:space="0" w:color="auto"/>
        <w:right w:val="none" w:sz="0" w:space="0" w:color="auto"/>
      </w:divBdr>
      <w:divsChild>
        <w:div w:id="1637106440">
          <w:marLeft w:val="0"/>
          <w:marRight w:val="0"/>
          <w:marTop w:val="0"/>
          <w:marBottom w:val="0"/>
          <w:divBdr>
            <w:top w:val="none" w:sz="0" w:space="0" w:color="auto"/>
            <w:left w:val="none" w:sz="0" w:space="0" w:color="auto"/>
            <w:bottom w:val="none" w:sz="0" w:space="0" w:color="auto"/>
            <w:right w:val="none" w:sz="0" w:space="0" w:color="auto"/>
          </w:divBdr>
          <w:divsChild>
            <w:div w:id="12187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2397">
      <w:bodyDiv w:val="1"/>
      <w:marLeft w:val="0"/>
      <w:marRight w:val="0"/>
      <w:marTop w:val="0"/>
      <w:marBottom w:val="0"/>
      <w:divBdr>
        <w:top w:val="none" w:sz="0" w:space="0" w:color="auto"/>
        <w:left w:val="none" w:sz="0" w:space="0" w:color="auto"/>
        <w:bottom w:val="none" w:sz="0" w:space="0" w:color="auto"/>
        <w:right w:val="none" w:sz="0" w:space="0" w:color="auto"/>
      </w:divBdr>
    </w:div>
    <w:div w:id="1273322106">
      <w:bodyDiv w:val="1"/>
      <w:marLeft w:val="0"/>
      <w:marRight w:val="0"/>
      <w:marTop w:val="0"/>
      <w:marBottom w:val="0"/>
      <w:divBdr>
        <w:top w:val="none" w:sz="0" w:space="0" w:color="auto"/>
        <w:left w:val="none" w:sz="0" w:space="0" w:color="auto"/>
        <w:bottom w:val="none" w:sz="0" w:space="0" w:color="auto"/>
        <w:right w:val="none" w:sz="0" w:space="0" w:color="auto"/>
      </w:divBdr>
    </w:div>
    <w:div w:id="1273438882">
      <w:bodyDiv w:val="1"/>
      <w:marLeft w:val="0"/>
      <w:marRight w:val="0"/>
      <w:marTop w:val="0"/>
      <w:marBottom w:val="0"/>
      <w:divBdr>
        <w:top w:val="none" w:sz="0" w:space="0" w:color="auto"/>
        <w:left w:val="none" w:sz="0" w:space="0" w:color="auto"/>
        <w:bottom w:val="none" w:sz="0" w:space="0" w:color="auto"/>
        <w:right w:val="none" w:sz="0" w:space="0" w:color="auto"/>
      </w:divBdr>
    </w:div>
    <w:div w:id="1322001661">
      <w:bodyDiv w:val="1"/>
      <w:marLeft w:val="0"/>
      <w:marRight w:val="0"/>
      <w:marTop w:val="0"/>
      <w:marBottom w:val="0"/>
      <w:divBdr>
        <w:top w:val="none" w:sz="0" w:space="0" w:color="auto"/>
        <w:left w:val="none" w:sz="0" w:space="0" w:color="auto"/>
        <w:bottom w:val="none" w:sz="0" w:space="0" w:color="auto"/>
        <w:right w:val="none" w:sz="0" w:space="0" w:color="auto"/>
      </w:divBdr>
    </w:div>
    <w:div w:id="1446844588">
      <w:bodyDiv w:val="1"/>
      <w:marLeft w:val="0"/>
      <w:marRight w:val="0"/>
      <w:marTop w:val="0"/>
      <w:marBottom w:val="0"/>
      <w:divBdr>
        <w:top w:val="none" w:sz="0" w:space="0" w:color="auto"/>
        <w:left w:val="none" w:sz="0" w:space="0" w:color="auto"/>
        <w:bottom w:val="none" w:sz="0" w:space="0" w:color="auto"/>
        <w:right w:val="none" w:sz="0" w:space="0" w:color="auto"/>
      </w:divBdr>
    </w:div>
    <w:div w:id="1540363813">
      <w:bodyDiv w:val="1"/>
      <w:marLeft w:val="0"/>
      <w:marRight w:val="0"/>
      <w:marTop w:val="0"/>
      <w:marBottom w:val="0"/>
      <w:divBdr>
        <w:top w:val="none" w:sz="0" w:space="0" w:color="auto"/>
        <w:left w:val="none" w:sz="0" w:space="0" w:color="auto"/>
        <w:bottom w:val="none" w:sz="0" w:space="0" w:color="auto"/>
        <w:right w:val="none" w:sz="0" w:space="0" w:color="auto"/>
      </w:divBdr>
    </w:div>
    <w:div w:id="1561668392">
      <w:bodyDiv w:val="1"/>
      <w:marLeft w:val="0"/>
      <w:marRight w:val="0"/>
      <w:marTop w:val="0"/>
      <w:marBottom w:val="0"/>
      <w:divBdr>
        <w:top w:val="none" w:sz="0" w:space="0" w:color="auto"/>
        <w:left w:val="none" w:sz="0" w:space="0" w:color="auto"/>
        <w:bottom w:val="none" w:sz="0" w:space="0" w:color="auto"/>
        <w:right w:val="none" w:sz="0" w:space="0" w:color="auto"/>
      </w:divBdr>
    </w:div>
    <w:div w:id="1639608172">
      <w:bodyDiv w:val="1"/>
      <w:marLeft w:val="0"/>
      <w:marRight w:val="0"/>
      <w:marTop w:val="0"/>
      <w:marBottom w:val="0"/>
      <w:divBdr>
        <w:top w:val="none" w:sz="0" w:space="0" w:color="auto"/>
        <w:left w:val="none" w:sz="0" w:space="0" w:color="auto"/>
        <w:bottom w:val="none" w:sz="0" w:space="0" w:color="auto"/>
        <w:right w:val="none" w:sz="0" w:space="0" w:color="auto"/>
      </w:divBdr>
    </w:div>
    <w:div w:id="1921521416">
      <w:bodyDiv w:val="1"/>
      <w:marLeft w:val="0"/>
      <w:marRight w:val="0"/>
      <w:marTop w:val="0"/>
      <w:marBottom w:val="0"/>
      <w:divBdr>
        <w:top w:val="none" w:sz="0" w:space="0" w:color="auto"/>
        <w:left w:val="none" w:sz="0" w:space="0" w:color="auto"/>
        <w:bottom w:val="none" w:sz="0" w:space="0" w:color="auto"/>
        <w:right w:val="none" w:sz="0" w:space="0" w:color="auto"/>
      </w:divBdr>
    </w:div>
    <w:div w:id="213552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6452</Words>
  <Characters>35911</Characters>
  <Application>Microsoft Office Word</Application>
  <DocSecurity>0</DocSecurity>
  <Lines>1238</Lines>
  <Paragraphs>436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41927</CharactersWithSpaces>
  <SharedDoc>false</SharedDoc>
  <HLinks>
    <vt:vector size="6" baseType="variant">
      <vt:variant>
        <vt:i4>327763</vt:i4>
      </vt:variant>
      <vt:variant>
        <vt:i4>92</vt:i4>
      </vt:variant>
      <vt:variant>
        <vt:i4>0</vt:i4>
      </vt:variant>
      <vt:variant>
        <vt:i4>5</vt:i4>
      </vt:variant>
      <vt:variant>
        <vt:lpwstr>http://www.cabguide.cabinetoffice.govt.nz/procedures/consultation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2017-08-09T04:45:00Z</dcterms:created>
  <dcterms:modified xsi:type="dcterms:W3CDTF">2017-08-09T04:54:00Z</dcterms:modified>
</cp:coreProperties>
</file>