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C14" w:rsidRPr="00D950E1" w:rsidRDefault="00D1449D" w:rsidP="00015600">
      <w:pPr>
        <w:pStyle w:val="TRTitle"/>
        <w:spacing w:before="240" w:after="720"/>
        <w:ind w:left="2835" w:hanging="2835"/>
        <w:outlineLvl w:val="0"/>
      </w:pPr>
      <w:r>
        <w:t>Tax p</w:t>
      </w:r>
      <w:r w:rsidR="00BC5F2C" w:rsidRPr="00D950E1">
        <w:t xml:space="preserve">olicy </w:t>
      </w:r>
      <w:r w:rsidR="00DB0C14" w:rsidRPr="00D950E1">
        <w:t>report:</w:t>
      </w:r>
      <w:r w:rsidR="00DB0C14" w:rsidRPr="00D950E1">
        <w:tab/>
      </w:r>
      <w:bookmarkStart w:id="0" w:name="Subject"/>
      <w:bookmarkEnd w:id="0"/>
      <w:r w:rsidR="003007A3">
        <w:t>Base erosion and profit shifting – overview of current reports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1" w:type="dxa"/>
          <w:right w:w="71" w:type="dxa"/>
        </w:tblCellMar>
        <w:tblLook w:val="0000" w:firstRow="0" w:lastRow="0" w:firstColumn="0" w:lastColumn="0" w:noHBand="0" w:noVBand="0"/>
      </w:tblPr>
      <w:tblGrid>
        <w:gridCol w:w="1914"/>
        <w:gridCol w:w="3260"/>
        <w:gridCol w:w="1985"/>
        <w:gridCol w:w="2551"/>
      </w:tblGrid>
      <w:tr w:rsidR="00DB0C14" w:rsidRPr="00D950E1">
        <w:tc>
          <w:tcPr>
            <w:tcW w:w="1914" w:type="dxa"/>
            <w:vAlign w:val="center"/>
          </w:tcPr>
          <w:p w:rsidR="00DB0C14" w:rsidRPr="00D950E1" w:rsidRDefault="00DB0C14" w:rsidP="00015600">
            <w:pPr>
              <w:pStyle w:val="TRBodyText"/>
              <w:spacing w:before="60" w:after="60"/>
              <w:jc w:val="left"/>
              <w:rPr>
                <w:b/>
                <w:sz w:val="20"/>
              </w:rPr>
            </w:pPr>
            <w:r w:rsidRPr="00D950E1">
              <w:rPr>
                <w:b/>
                <w:sz w:val="20"/>
              </w:rPr>
              <w:t>Date:</w:t>
            </w:r>
          </w:p>
        </w:tc>
        <w:tc>
          <w:tcPr>
            <w:tcW w:w="3260" w:type="dxa"/>
            <w:vAlign w:val="center"/>
          </w:tcPr>
          <w:p w:rsidR="00DB0C14" w:rsidRPr="00D950E1" w:rsidRDefault="009865AE" w:rsidP="00015600">
            <w:pPr>
              <w:pStyle w:val="TRBodyText"/>
              <w:spacing w:before="60" w:after="60"/>
              <w:jc w:val="left"/>
            </w:pPr>
            <w:bookmarkStart w:id="1" w:name="Date"/>
            <w:bookmarkEnd w:id="1"/>
            <w:r>
              <w:t>22</w:t>
            </w:r>
            <w:r w:rsidR="00932AF3">
              <w:t xml:space="preserve"> June 2017</w:t>
            </w:r>
          </w:p>
        </w:tc>
        <w:tc>
          <w:tcPr>
            <w:tcW w:w="1985" w:type="dxa"/>
            <w:vAlign w:val="center"/>
          </w:tcPr>
          <w:p w:rsidR="00DB0C14" w:rsidRPr="00D950E1" w:rsidRDefault="00DB0C14" w:rsidP="00015600">
            <w:pPr>
              <w:pStyle w:val="TRBodyText"/>
              <w:spacing w:before="60" w:after="60"/>
              <w:jc w:val="left"/>
              <w:rPr>
                <w:b/>
                <w:sz w:val="20"/>
              </w:rPr>
            </w:pPr>
            <w:r w:rsidRPr="00D950E1">
              <w:rPr>
                <w:b/>
                <w:sz w:val="20"/>
              </w:rPr>
              <w:t>Priority:</w:t>
            </w:r>
          </w:p>
        </w:tc>
        <w:tc>
          <w:tcPr>
            <w:tcW w:w="2551" w:type="dxa"/>
            <w:vAlign w:val="center"/>
          </w:tcPr>
          <w:p w:rsidR="00DB0C14" w:rsidRPr="00D950E1" w:rsidRDefault="00932AF3" w:rsidP="00015600">
            <w:pPr>
              <w:pStyle w:val="TRBodyText"/>
              <w:jc w:val="left"/>
            </w:pPr>
            <w:bookmarkStart w:id="2" w:name="Priority"/>
            <w:bookmarkEnd w:id="2"/>
            <w:r>
              <w:t>Medium</w:t>
            </w:r>
          </w:p>
        </w:tc>
      </w:tr>
      <w:tr w:rsidR="00DB0C14" w:rsidRPr="00D950E1">
        <w:tc>
          <w:tcPr>
            <w:tcW w:w="1914" w:type="dxa"/>
            <w:vAlign w:val="center"/>
          </w:tcPr>
          <w:p w:rsidR="00DB0C14" w:rsidRPr="00D950E1" w:rsidRDefault="00FD2316" w:rsidP="00015600">
            <w:pPr>
              <w:pStyle w:val="TRBodyText"/>
              <w:spacing w:before="60" w:after="60"/>
              <w:jc w:val="left"/>
              <w:rPr>
                <w:b/>
                <w:sz w:val="20"/>
              </w:rPr>
            </w:pPr>
            <w:r w:rsidRPr="00D950E1">
              <w:rPr>
                <w:b/>
                <w:sz w:val="20"/>
              </w:rPr>
              <w:t>Security l</w:t>
            </w:r>
            <w:r w:rsidR="00DB0C14" w:rsidRPr="00D950E1">
              <w:rPr>
                <w:b/>
                <w:sz w:val="20"/>
              </w:rPr>
              <w:t>evel:</w:t>
            </w:r>
          </w:p>
        </w:tc>
        <w:tc>
          <w:tcPr>
            <w:tcW w:w="3260" w:type="dxa"/>
            <w:vAlign w:val="center"/>
          </w:tcPr>
          <w:p w:rsidR="00DB0C14" w:rsidRPr="00D950E1" w:rsidRDefault="00932AF3" w:rsidP="00015600">
            <w:pPr>
              <w:pStyle w:val="TRBodyText"/>
              <w:spacing w:before="60" w:after="60"/>
              <w:jc w:val="left"/>
            </w:pPr>
            <w:bookmarkStart w:id="3" w:name="Security"/>
            <w:bookmarkEnd w:id="3"/>
            <w:r>
              <w:t>In Confidence</w:t>
            </w:r>
          </w:p>
        </w:tc>
        <w:tc>
          <w:tcPr>
            <w:tcW w:w="1985" w:type="dxa"/>
            <w:vAlign w:val="center"/>
          </w:tcPr>
          <w:p w:rsidR="00DB0C14" w:rsidRPr="00D950E1" w:rsidRDefault="00FD2316" w:rsidP="00015600">
            <w:pPr>
              <w:pStyle w:val="TRBodyText"/>
              <w:spacing w:before="60" w:after="60"/>
              <w:jc w:val="left"/>
              <w:rPr>
                <w:b/>
                <w:sz w:val="20"/>
              </w:rPr>
            </w:pPr>
            <w:r w:rsidRPr="00D950E1">
              <w:rPr>
                <w:b/>
                <w:sz w:val="20"/>
              </w:rPr>
              <w:t>Report n</w:t>
            </w:r>
            <w:r w:rsidR="00DB0C14" w:rsidRPr="00D950E1">
              <w:rPr>
                <w:b/>
                <w:sz w:val="20"/>
              </w:rPr>
              <w:t>o:</w:t>
            </w:r>
          </w:p>
        </w:tc>
        <w:tc>
          <w:tcPr>
            <w:tcW w:w="2551" w:type="dxa"/>
            <w:vAlign w:val="center"/>
          </w:tcPr>
          <w:p w:rsidR="00064565" w:rsidRDefault="00932AF3" w:rsidP="00015600">
            <w:pPr>
              <w:pStyle w:val="TRBodyText"/>
              <w:jc w:val="left"/>
            </w:pPr>
            <w:bookmarkStart w:id="4" w:name="ReportNumber"/>
            <w:bookmarkEnd w:id="4"/>
            <w:r w:rsidRPr="004965EB">
              <w:t>T2017/</w:t>
            </w:r>
            <w:r w:rsidR="00102A5F" w:rsidRPr="004965EB">
              <w:t>1578</w:t>
            </w:r>
          </w:p>
          <w:p w:rsidR="00192C20" w:rsidRPr="00D950E1" w:rsidRDefault="00932AF3" w:rsidP="00015600">
            <w:pPr>
              <w:pStyle w:val="TRBodyText"/>
              <w:jc w:val="left"/>
            </w:pPr>
            <w:bookmarkStart w:id="5" w:name="ReportPad"/>
            <w:bookmarkEnd w:id="5"/>
            <w:r>
              <w:t>IR2017/</w:t>
            </w:r>
            <w:r w:rsidRPr="00932AF3">
              <w:t>329</w:t>
            </w:r>
          </w:p>
        </w:tc>
      </w:tr>
    </w:tbl>
    <w:p w:rsidR="00DB0C14" w:rsidRPr="00D950E1" w:rsidRDefault="00DB0C14" w:rsidP="00015600">
      <w:pPr>
        <w:pStyle w:val="TRHeading1"/>
        <w:spacing w:line="300" w:lineRule="atLeast"/>
      </w:pPr>
      <w:r w:rsidRPr="00D950E1">
        <w:t>Action sought</w:t>
      </w:r>
    </w:p>
    <w:tbl>
      <w:tblPr>
        <w:tblW w:w="0" w:type="auto"/>
        <w:tblLayout w:type="fixed"/>
        <w:tblCellMar>
          <w:left w:w="71" w:type="dxa"/>
          <w:right w:w="71" w:type="dxa"/>
        </w:tblCellMar>
        <w:tblLook w:val="0000" w:firstRow="0" w:lastRow="0" w:firstColumn="0" w:lastColumn="0" w:noHBand="0" w:noVBand="0"/>
      </w:tblPr>
      <w:tblGrid>
        <w:gridCol w:w="3473"/>
        <w:gridCol w:w="3261"/>
        <w:gridCol w:w="2976"/>
      </w:tblGrid>
      <w:tr w:rsidR="00DB0C14" w:rsidRPr="00D950E1">
        <w:tc>
          <w:tcPr>
            <w:tcW w:w="3473" w:type="dxa"/>
          </w:tcPr>
          <w:p w:rsidR="00DB0C14" w:rsidRPr="00D950E1" w:rsidRDefault="00DB0C14" w:rsidP="00015600">
            <w:pPr>
              <w:spacing w:after="60" w:line="300" w:lineRule="atLeast"/>
              <w:rPr>
                <w:sz w:val="20"/>
              </w:rPr>
            </w:pPr>
          </w:p>
        </w:tc>
        <w:tc>
          <w:tcPr>
            <w:tcW w:w="3261" w:type="dxa"/>
            <w:tcBorders>
              <w:left w:val="nil"/>
            </w:tcBorders>
          </w:tcPr>
          <w:p w:rsidR="00DB0C14" w:rsidRPr="00D950E1" w:rsidRDefault="00FD2316" w:rsidP="00015600">
            <w:pPr>
              <w:pStyle w:val="TRBodyText"/>
              <w:spacing w:after="60"/>
              <w:rPr>
                <w:b/>
                <w:sz w:val="20"/>
              </w:rPr>
            </w:pPr>
            <w:r w:rsidRPr="00D950E1">
              <w:rPr>
                <w:b/>
                <w:sz w:val="20"/>
              </w:rPr>
              <w:t>Action s</w:t>
            </w:r>
            <w:r w:rsidR="00DB0C14" w:rsidRPr="00D950E1">
              <w:rPr>
                <w:b/>
                <w:sz w:val="20"/>
              </w:rPr>
              <w:t>ought</w:t>
            </w:r>
          </w:p>
        </w:tc>
        <w:tc>
          <w:tcPr>
            <w:tcW w:w="2976" w:type="dxa"/>
          </w:tcPr>
          <w:p w:rsidR="00DB0C14" w:rsidRPr="00D950E1" w:rsidRDefault="00DB0C14" w:rsidP="00015600">
            <w:pPr>
              <w:pStyle w:val="TRBodyText"/>
              <w:spacing w:after="60"/>
              <w:rPr>
                <w:b/>
                <w:sz w:val="20"/>
              </w:rPr>
            </w:pPr>
            <w:r w:rsidRPr="00D950E1">
              <w:rPr>
                <w:b/>
                <w:sz w:val="20"/>
              </w:rPr>
              <w:t>Deadline</w:t>
            </w:r>
          </w:p>
        </w:tc>
      </w:tr>
      <w:tr w:rsidR="00DB0C14" w:rsidRPr="00D950E1">
        <w:tc>
          <w:tcPr>
            <w:tcW w:w="3473" w:type="dxa"/>
            <w:tcBorders>
              <w:top w:val="single" w:sz="4" w:space="0" w:color="808080"/>
              <w:left w:val="single" w:sz="4" w:space="0" w:color="808080"/>
              <w:bottom w:val="single" w:sz="4" w:space="0" w:color="808080"/>
              <w:right w:val="single" w:sz="4" w:space="0" w:color="808080"/>
            </w:tcBorders>
          </w:tcPr>
          <w:p w:rsidR="00DB0C14" w:rsidRPr="00D950E1" w:rsidRDefault="00932AF3" w:rsidP="00015600">
            <w:pPr>
              <w:pStyle w:val="TRBodyText"/>
              <w:spacing w:before="60" w:after="60"/>
            </w:pPr>
            <w:bookmarkStart w:id="6" w:name="Action"/>
            <w:bookmarkEnd w:id="6"/>
            <w:r>
              <w:t>Minister of Finance</w:t>
            </w:r>
          </w:p>
        </w:tc>
        <w:tc>
          <w:tcPr>
            <w:tcW w:w="3261" w:type="dxa"/>
            <w:tcBorders>
              <w:top w:val="single" w:sz="4" w:space="0" w:color="808080"/>
              <w:left w:val="single" w:sz="4" w:space="0" w:color="808080"/>
              <w:bottom w:val="single" w:sz="4" w:space="0" w:color="808080"/>
              <w:right w:val="single" w:sz="4" w:space="0" w:color="808080"/>
            </w:tcBorders>
          </w:tcPr>
          <w:p w:rsidR="00DB0C14" w:rsidRPr="00D950E1" w:rsidRDefault="000D4EA8" w:rsidP="00015600">
            <w:pPr>
              <w:pStyle w:val="TRBodyText"/>
              <w:spacing w:before="60" w:after="60"/>
              <w:jc w:val="left"/>
            </w:pPr>
            <w:r w:rsidRPr="000D4EA8">
              <w:rPr>
                <w:b/>
              </w:rPr>
              <w:t>Agree</w:t>
            </w:r>
            <w:r w:rsidRPr="000D4EA8">
              <w:t xml:space="preserve"> to the recommendations</w:t>
            </w:r>
          </w:p>
        </w:tc>
        <w:tc>
          <w:tcPr>
            <w:tcW w:w="2976" w:type="dxa"/>
            <w:tcBorders>
              <w:top w:val="single" w:sz="4" w:space="0" w:color="808080"/>
              <w:left w:val="single" w:sz="4" w:space="0" w:color="808080"/>
              <w:bottom w:val="single" w:sz="4" w:space="0" w:color="808080"/>
              <w:right w:val="single" w:sz="4" w:space="0" w:color="808080"/>
            </w:tcBorders>
          </w:tcPr>
          <w:p w:rsidR="00DB0C14" w:rsidRPr="00D950E1" w:rsidRDefault="00920ADC" w:rsidP="00015600">
            <w:pPr>
              <w:pStyle w:val="TRBodyText"/>
              <w:spacing w:before="60" w:after="60"/>
              <w:jc w:val="left"/>
            </w:pPr>
            <w:r>
              <w:t>29</w:t>
            </w:r>
            <w:r w:rsidR="00433921">
              <w:t xml:space="preserve"> </w:t>
            </w:r>
            <w:r w:rsidR="000D4EA8">
              <w:t>June 2017</w:t>
            </w:r>
          </w:p>
        </w:tc>
      </w:tr>
      <w:tr w:rsidR="00932AF3" w:rsidRPr="00D950E1">
        <w:tc>
          <w:tcPr>
            <w:tcW w:w="3473" w:type="dxa"/>
            <w:tcBorders>
              <w:top w:val="single" w:sz="4" w:space="0" w:color="808080"/>
              <w:left w:val="single" w:sz="4" w:space="0" w:color="808080"/>
              <w:bottom w:val="single" w:sz="4" w:space="0" w:color="808080"/>
              <w:right w:val="single" w:sz="4" w:space="0" w:color="808080"/>
            </w:tcBorders>
          </w:tcPr>
          <w:p w:rsidR="00932AF3" w:rsidRDefault="00932AF3" w:rsidP="00015600">
            <w:pPr>
              <w:pStyle w:val="TRBodyText"/>
              <w:spacing w:before="60" w:after="60"/>
            </w:pPr>
            <w:r>
              <w:t>Minister of Revenue</w:t>
            </w:r>
          </w:p>
        </w:tc>
        <w:tc>
          <w:tcPr>
            <w:tcW w:w="3261" w:type="dxa"/>
            <w:tcBorders>
              <w:top w:val="single" w:sz="4" w:space="0" w:color="808080"/>
              <w:left w:val="single" w:sz="4" w:space="0" w:color="808080"/>
              <w:bottom w:val="single" w:sz="4" w:space="0" w:color="808080"/>
              <w:right w:val="single" w:sz="4" w:space="0" w:color="808080"/>
            </w:tcBorders>
          </w:tcPr>
          <w:p w:rsidR="00932AF3" w:rsidRPr="00D950E1" w:rsidRDefault="000D4EA8" w:rsidP="00015600">
            <w:pPr>
              <w:pStyle w:val="TRBodyText"/>
              <w:spacing w:before="60" w:after="60"/>
              <w:jc w:val="left"/>
            </w:pPr>
            <w:r w:rsidRPr="000D4EA8">
              <w:rPr>
                <w:b/>
              </w:rPr>
              <w:t>Agree</w:t>
            </w:r>
            <w:r w:rsidRPr="000D4EA8">
              <w:t xml:space="preserve"> to the recommendations</w:t>
            </w:r>
          </w:p>
        </w:tc>
        <w:tc>
          <w:tcPr>
            <w:tcW w:w="2976" w:type="dxa"/>
            <w:tcBorders>
              <w:top w:val="single" w:sz="4" w:space="0" w:color="808080"/>
              <w:left w:val="single" w:sz="4" w:space="0" w:color="808080"/>
              <w:bottom w:val="single" w:sz="4" w:space="0" w:color="808080"/>
              <w:right w:val="single" w:sz="4" w:space="0" w:color="808080"/>
            </w:tcBorders>
          </w:tcPr>
          <w:p w:rsidR="00932AF3" w:rsidRPr="00D950E1" w:rsidRDefault="00920ADC" w:rsidP="00015600">
            <w:pPr>
              <w:pStyle w:val="TRBodyText"/>
              <w:spacing w:before="60" w:after="60"/>
              <w:jc w:val="left"/>
            </w:pPr>
            <w:r>
              <w:t xml:space="preserve">29 </w:t>
            </w:r>
            <w:r w:rsidR="000D4EA8">
              <w:t>June 2017</w:t>
            </w:r>
          </w:p>
        </w:tc>
      </w:tr>
    </w:tbl>
    <w:p w:rsidR="00DB0C14" w:rsidRPr="00D950E1" w:rsidRDefault="00DB0C14" w:rsidP="00015600">
      <w:pPr>
        <w:pStyle w:val="TRHeading1"/>
        <w:spacing w:line="300" w:lineRule="atLeast"/>
      </w:pPr>
      <w:r w:rsidRPr="00D950E1">
        <w:t xml:space="preserve">Contact for telephone discussion </w:t>
      </w:r>
      <w:r w:rsidRPr="00D950E1">
        <w:rPr>
          <w:b w:val="0"/>
        </w:rPr>
        <w:t>(if required)</w:t>
      </w:r>
    </w:p>
    <w:tbl>
      <w:tblPr>
        <w:tblW w:w="9710"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1772"/>
        <w:gridCol w:w="3544"/>
        <w:gridCol w:w="4394"/>
      </w:tblGrid>
      <w:tr w:rsidR="00DB0C14" w:rsidRPr="00D950E1" w:rsidTr="00E95DB3">
        <w:trPr>
          <w:cantSplit/>
        </w:trPr>
        <w:tc>
          <w:tcPr>
            <w:tcW w:w="1772" w:type="dxa"/>
            <w:tcBorders>
              <w:top w:val="nil"/>
              <w:left w:val="nil"/>
              <w:bottom w:val="nil"/>
              <w:right w:val="nil"/>
            </w:tcBorders>
          </w:tcPr>
          <w:p w:rsidR="00DB0C14" w:rsidRPr="00D950E1" w:rsidRDefault="00DB0C14" w:rsidP="00015600">
            <w:pPr>
              <w:pStyle w:val="TRBodyText"/>
              <w:spacing w:before="60" w:after="60"/>
              <w:rPr>
                <w:b/>
                <w:sz w:val="20"/>
              </w:rPr>
            </w:pPr>
            <w:r w:rsidRPr="00D950E1">
              <w:rPr>
                <w:b/>
                <w:sz w:val="20"/>
              </w:rPr>
              <w:t>Name</w:t>
            </w:r>
          </w:p>
        </w:tc>
        <w:tc>
          <w:tcPr>
            <w:tcW w:w="3544" w:type="dxa"/>
            <w:tcBorders>
              <w:top w:val="nil"/>
              <w:left w:val="nil"/>
              <w:bottom w:val="nil"/>
              <w:right w:val="nil"/>
            </w:tcBorders>
          </w:tcPr>
          <w:p w:rsidR="00DB0C14" w:rsidRPr="00D950E1" w:rsidRDefault="00DB0C14" w:rsidP="00015600">
            <w:pPr>
              <w:pStyle w:val="TRBodyText"/>
              <w:spacing w:before="60" w:after="60"/>
              <w:rPr>
                <w:b/>
                <w:sz w:val="20"/>
              </w:rPr>
            </w:pPr>
            <w:r w:rsidRPr="00D950E1">
              <w:rPr>
                <w:b/>
                <w:sz w:val="20"/>
              </w:rPr>
              <w:t>Position</w:t>
            </w:r>
          </w:p>
        </w:tc>
        <w:tc>
          <w:tcPr>
            <w:tcW w:w="4394" w:type="dxa"/>
            <w:tcBorders>
              <w:top w:val="nil"/>
              <w:left w:val="nil"/>
              <w:bottom w:val="nil"/>
              <w:right w:val="nil"/>
            </w:tcBorders>
          </w:tcPr>
          <w:p w:rsidR="00DB0C14" w:rsidRPr="00D950E1" w:rsidRDefault="00DB0C14" w:rsidP="00015600">
            <w:pPr>
              <w:pStyle w:val="TRBodyText"/>
              <w:spacing w:before="60" w:after="60"/>
              <w:jc w:val="center"/>
              <w:rPr>
                <w:b/>
                <w:sz w:val="20"/>
              </w:rPr>
            </w:pPr>
            <w:r w:rsidRPr="00D950E1">
              <w:rPr>
                <w:b/>
                <w:sz w:val="20"/>
              </w:rPr>
              <w:t>Telephone</w:t>
            </w:r>
          </w:p>
        </w:tc>
      </w:tr>
      <w:tr w:rsidR="000B70A3" w:rsidRPr="00D950E1" w:rsidTr="000B70A3">
        <w:tc>
          <w:tcPr>
            <w:tcW w:w="1772" w:type="dxa"/>
            <w:tcBorders>
              <w:top w:val="single" w:sz="4" w:space="0" w:color="808080"/>
              <w:left w:val="single" w:sz="4" w:space="0" w:color="808080"/>
              <w:bottom w:val="single" w:sz="4" w:space="0" w:color="808080"/>
              <w:right w:val="single" w:sz="4" w:space="0" w:color="808080"/>
            </w:tcBorders>
          </w:tcPr>
          <w:p w:rsidR="000B70A3" w:rsidRDefault="000B70A3" w:rsidP="00015600">
            <w:pPr>
              <w:pStyle w:val="TRNormal"/>
              <w:spacing w:before="60" w:after="60"/>
              <w:jc w:val="left"/>
            </w:pPr>
            <w:r>
              <w:t>Paul Kilford</w:t>
            </w:r>
          </w:p>
        </w:tc>
        <w:tc>
          <w:tcPr>
            <w:tcW w:w="3544" w:type="dxa"/>
            <w:tcBorders>
              <w:top w:val="single" w:sz="4" w:space="0" w:color="808080"/>
              <w:left w:val="single" w:sz="4" w:space="0" w:color="808080"/>
              <w:bottom w:val="single" w:sz="4" w:space="0" w:color="808080"/>
              <w:right w:val="single" w:sz="4" w:space="0" w:color="808080"/>
            </w:tcBorders>
          </w:tcPr>
          <w:p w:rsidR="000B70A3" w:rsidRDefault="000B70A3" w:rsidP="00015600">
            <w:pPr>
              <w:pStyle w:val="TRNormal"/>
              <w:spacing w:before="60" w:after="60"/>
              <w:jc w:val="left"/>
            </w:pPr>
            <w:r w:rsidRPr="00B82777">
              <w:t>Policy Manager, Inland Revenue</w:t>
            </w:r>
          </w:p>
        </w:tc>
        <w:tc>
          <w:tcPr>
            <w:tcW w:w="4394" w:type="dxa"/>
            <w:vMerge w:val="restart"/>
            <w:tcBorders>
              <w:top w:val="single" w:sz="4" w:space="0" w:color="808080"/>
              <w:left w:val="single" w:sz="4" w:space="0" w:color="808080"/>
              <w:right w:val="single" w:sz="4" w:space="0" w:color="808080"/>
            </w:tcBorders>
            <w:shd w:val="clear" w:color="auto" w:fill="000000" w:themeFill="text1"/>
          </w:tcPr>
          <w:p w:rsidR="000B70A3" w:rsidRPr="000B70A3" w:rsidRDefault="000B70A3" w:rsidP="000B70A3">
            <w:pPr>
              <w:pStyle w:val="TRNormal"/>
              <w:tabs>
                <w:tab w:val="center" w:pos="850"/>
              </w:tabs>
              <w:spacing w:before="60" w:after="60"/>
              <w:jc w:val="left"/>
              <w:rPr>
                <w:sz w:val="20"/>
              </w:rPr>
            </w:pPr>
            <w:r>
              <w:rPr>
                <w:sz w:val="20"/>
              </w:rPr>
              <w:t>Withheld under section 9(2)(a) of the Official Information A</w:t>
            </w:r>
            <w:bookmarkStart w:id="7" w:name="_GoBack"/>
            <w:bookmarkEnd w:id="7"/>
            <w:r>
              <w:rPr>
                <w:sz w:val="20"/>
              </w:rPr>
              <w:t>ct 1982</w:t>
            </w:r>
          </w:p>
        </w:tc>
      </w:tr>
      <w:tr w:rsidR="000B70A3" w:rsidRPr="00D950E1" w:rsidTr="000B70A3">
        <w:tc>
          <w:tcPr>
            <w:tcW w:w="1772" w:type="dxa"/>
            <w:tcBorders>
              <w:top w:val="single" w:sz="4" w:space="0" w:color="808080"/>
              <w:left w:val="single" w:sz="4" w:space="0" w:color="808080"/>
              <w:bottom w:val="single" w:sz="4" w:space="0" w:color="808080"/>
              <w:right w:val="single" w:sz="4" w:space="0" w:color="808080"/>
            </w:tcBorders>
          </w:tcPr>
          <w:p w:rsidR="000B70A3" w:rsidRPr="00D950E1" w:rsidRDefault="000B70A3" w:rsidP="00015600">
            <w:pPr>
              <w:pStyle w:val="TRNormal"/>
              <w:spacing w:before="60" w:after="60"/>
              <w:jc w:val="left"/>
            </w:pPr>
            <w:r>
              <w:t>Carmel Peters</w:t>
            </w:r>
          </w:p>
        </w:tc>
        <w:tc>
          <w:tcPr>
            <w:tcW w:w="3544" w:type="dxa"/>
            <w:tcBorders>
              <w:top w:val="single" w:sz="4" w:space="0" w:color="808080"/>
              <w:left w:val="single" w:sz="4" w:space="0" w:color="808080"/>
              <w:bottom w:val="single" w:sz="4" w:space="0" w:color="808080"/>
              <w:right w:val="single" w:sz="4" w:space="0" w:color="808080"/>
            </w:tcBorders>
          </w:tcPr>
          <w:p w:rsidR="000B70A3" w:rsidRPr="00D950E1" w:rsidRDefault="000B70A3" w:rsidP="00015600">
            <w:pPr>
              <w:pStyle w:val="TRNormal"/>
              <w:spacing w:before="60" w:after="60"/>
              <w:jc w:val="left"/>
            </w:pPr>
            <w:r>
              <w:t>Policy Manager, Inland Revenue</w:t>
            </w:r>
          </w:p>
        </w:tc>
        <w:tc>
          <w:tcPr>
            <w:tcW w:w="4394" w:type="dxa"/>
            <w:vMerge/>
            <w:tcBorders>
              <w:left w:val="single" w:sz="4" w:space="0" w:color="808080"/>
              <w:right w:val="single" w:sz="4" w:space="0" w:color="808080"/>
            </w:tcBorders>
            <w:shd w:val="clear" w:color="auto" w:fill="000000" w:themeFill="text1"/>
          </w:tcPr>
          <w:p w:rsidR="000B70A3" w:rsidRPr="00D950E1" w:rsidRDefault="000B70A3" w:rsidP="00E95DB3">
            <w:pPr>
              <w:pStyle w:val="TRNormal"/>
              <w:spacing w:before="60" w:after="60"/>
              <w:jc w:val="center"/>
            </w:pPr>
            <w:bookmarkStart w:id="8" w:name="Mobile1"/>
            <w:bookmarkEnd w:id="8"/>
          </w:p>
        </w:tc>
      </w:tr>
      <w:tr w:rsidR="000B70A3" w:rsidRPr="00D950E1" w:rsidTr="000B70A3">
        <w:tc>
          <w:tcPr>
            <w:tcW w:w="1772" w:type="dxa"/>
            <w:tcBorders>
              <w:top w:val="single" w:sz="4" w:space="0" w:color="808080"/>
              <w:left w:val="single" w:sz="4" w:space="0" w:color="808080"/>
              <w:bottom w:val="single" w:sz="4" w:space="0" w:color="808080"/>
              <w:right w:val="single" w:sz="4" w:space="0" w:color="808080"/>
            </w:tcBorders>
          </w:tcPr>
          <w:p w:rsidR="000B70A3" w:rsidRPr="00D950E1" w:rsidRDefault="000B70A3" w:rsidP="00015600">
            <w:pPr>
              <w:pStyle w:val="TRNormal"/>
              <w:spacing w:before="60" w:after="60"/>
              <w:jc w:val="left"/>
            </w:pPr>
            <w:r>
              <w:t>Steve Mack</w:t>
            </w:r>
          </w:p>
        </w:tc>
        <w:tc>
          <w:tcPr>
            <w:tcW w:w="3544" w:type="dxa"/>
            <w:tcBorders>
              <w:top w:val="single" w:sz="4" w:space="0" w:color="808080"/>
              <w:left w:val="single" w:sz="4" w:space="0" w:color="808080"/>
              <w:bottom w:val="single" w:sz="4" w:space="0" w:color="808080"/>
              <w:right w:val="single" w:sz="4" w:space="0" w:color="808080"/>
            </w:tcBorders>
          </w:tcPr>
          <w:p w:rsidR="000B70A3" w:rsidRPr="00D950E1" w:rsidRDefault="000B70A3" w:rsidP="00015600">
            <w:pPr>
              <w:pStyle w:val="TRNormal"/>
              <w:spacing w:before="60" w:after="60"/>
              <w:jc w:val="left"/>
            </w:pPr>
            <w:r>
              <w:t>Principal Advisor, The Treasury</w:t>
            </w:r>
          </w:p>
        </w:tc>
        <w:tc>
          <w:tcPr>
            <w:tcW w:w="4394" w:type="dxa"/>
            <w:vMerge/>
            <w:tcBorders>
              <w:left w:val="single" w:sz="4" w:space="0" w:color="808080"/>
              <w:bottom w:val="single" w:sz="4" w:space="0" w:color="808080"/>
              <w:right w:val="single" w:sz="4" w:space="0" w:color="808080"/>
            </w:tcBorders>
            <w:shd w:val="clear" w:color="auto" w:fill="000000" w:themeFill="text1"/>
          </w:tcPr>
          <w:p w:rsidR="000B70A3" w:rsidRPr="00D950E1" w:rsidRDefault="000B70A3" w:rsidP="00E95DB3">
            <w:pPr>
              <w:pStyle w:val="TRNormal"/>
              <w:spacing w:before="60" w:after="60"/>
              <w:jc w:val="center"/>
            </w:pPr>
            <w:bookmarkStart w:id="9" w:name="Mobile2"/>
            <w:bookmarkEnd w:id="9"/>
          </w:p>
        </w:tc>
      </w:tr>
    </w:tbl>
    <w:p w:rsidR="00DB0C14" w:rsidRPr="00D950E1" w:rsidRDefault="00DB0C14" w:rsidP="00015600">
      <w:pPr>
        <w:pStyle w:val="TRNormal"/>
      </w:pPr>
      <w:bookmarkStart w:id="10" w:name="Name1"/>
      <w:bookmarkStart w:id="11" w:name="Name2"/>
      <w:bookmarkEnd w:id="10"/>
      <w:bookmarkEnd w:id="11"/>
    </w:p>
    <w:p w:rsidR="00DB0C14" w:rsidRPr="00D950E1" w:rsidRDefault="00DB0C14" w:rsidP="00015600">
      <w:pPr>
        <w:pStyle w:val="TRNormal"/>
        <w:sectPr w:rsidR="00DB0C14" w:rsidRPr="00D950E1">
          <w:footerReference w:type="default" r:id="rId9"/>
          <w:headerReference w:type="first" r:id="rId10"/>
          <w:pgSz w:w="11907" w:h="16840" w:code="9"/>
          <w:pgMar w:top="1134" w:right="1134" w:bottom="1134" w:left="1134" w:header="567" w:footer="567" w:gutter="0"/>
          <w:pgNumType w:start="1"/>
          <w:cols w:space="720"/>
          <w:titlePg/>
        </w:sectPr>
      </w:pPr>
    </w:p>
    <w:p w:rsidR="00DB0C14" w:rsidRPr="00D950E1" w:rsidRDefault="00DB0C14" w:rsidP="00015600">
      <w:pPr>
        <w:pStyle w:val="TRBodyText"/>
        <w:tabs>
          <w:tab w:val="right" w:pos="9072"/>
        </w:tabs>
        <w:ind w:right="-1"/>
        <w:outlineLvl w:val="0"/>
      </w:pPr>
    </w:p>
    <w:p w:rsidR="00DB0C14" w:rsidRPr="00D950E1" w:rsidRDefault="00DB0C14" w:rsidP="00015600">
      <w:pPr>
        <w:pStyle w:val="TRBodyText"/>
        <w:tabs>
          <w:tab w:val="right" w:pos="9072"/>
        </w:tabs>
        <w:ind w:right="-1"/>
        <w:outlineLvl w:val="0"/>
      </w:pPr>
    </w:p>
    <w:p w:rsidR="00DB0C14" w:rsidRPr="00D950E1" w:rsidRDefault="00DB0C14" w:rsidP="00015600">
      <w:pPr>
        <w:pStyle w:val="TRBodyText"/>
        <w:tabs>
          <w:tab w:val="right" w:pos="9072"/>
        </w:tabs>
        <w:ind w:right="-1"/>
        <w:outlineLvl w:val="0"/>
      </w:pPr>
    </w:p>
    <w:p w:rsidR="00DB0C14" w:rsidRPr="00D950E1" w:rsidRDefault="009865AE" w:rsidP="00015600">
      <w:pPr>
        <w:pStyle w:val="TRBodyText"/>
        <w:tabs>
          <w:tab w:val="right" w:pos="9072"/>
        </w:tabs>
        <w:ind w:right="-1"/>
        <w:outlineLvl w:val="0"/>
      </w:pPr>
      <w:bookmarkStart w:id="13" w:name="Date1"/>
      <w:bookmarkStart w:id="14" w:name="FileReference"/>
      <w:bookmarkEnd w:id="13"/>
      <w:bookmarkEnd w:id="14"/>
      <w:r>
        <w:t>22</w:t>
      </w:r>
      <w:r w:rsidR="000D0533">
        <w:t xml:space="preserve"> </w:t>
      </w:r>
      <w:r w:rsidR="00932AF3">
        <w:t>June 2017</w:t>
      </w:r>
    </w:p>
    <w:p w:rsidR="00DB0C14" w:rsidRPr="00D950E1" w:rsidRDefault="00DB0C14" w:rsidP="00015600">
      <w:pPr>
        <w:pStyle w:val="TRNormal"/>
      </w:pPr>
    </w:p>
    <w:p w:rsidR="00DB0C14" w:rsidRPr="00D950E1" w:rsidRDefault="00DB0C14" w:rsidP="00015600">
      <w:pPr>
        <w:pStyle w:val="TRBodyText"/>
        <w:outlineLvl w:val="0"/>
      </w:pPr>
    </w:p>
    <w:p w:rsidR="00DB0C14" w:rsidRPr="00D950E1" w:rsidRDefault="00DB0C14" w:rsidP="00015600">
      <w:pPr>
        <w:pStyle w:val="TRBodyText"/>
        <w:outlineLvl w:val="0"/>
      </w:pPr>
    </w:p>
    <w:p w:rsidR="00EF0B80" w:rsidRDefault="00EF0B80" w:rsidP="00015600">
      <w:pPr>
        <w:pStyle w:val="TRBodyText"/>
        <w:outlineLvl w:val="0"/>
      </w:pPr>
      <w:r>
        <w:t>Minister of Finance</w:t>
      </w:r>
    </w:p>
    <w:p w:rsidR="00DB0C14" w:rsidRPr="00D950E1" w:rsidRDefault="00DB0C14" w:rsidP="00015600">
      <w:pPr>
        <w:pStyle w:val="TRBodyText"/>
        <w:outlineLvl w:val="0"/>
      </w:pPr>
      <w:r w:rsidRPr="00D950E1">
        <w:t>Minister of Revenue</w:t>
      </w:r>
    </w:p>
    <w:p w:rsidR="00DB0C14" w:rsidRPr="00D950E1" w:rsidRDefault="00932AF3" w:rsidP="00015600">
      <w:pPr>
        <w:pStyle w:val="TRTitle"/>
        <w:ind w:left="0" w:firstLine="0"/>
      </w:pPr>
      <w:bookmarkStart w:id="15" w:name="Subject1"/>
      <w:bookmarkEnd w:id="15"/>
      <w:r>
        <w:t>B</w:t>
      </w:r>
      <w:r w:rsidR="003007A3">
        <w:t>ase erosion and profit shifting – overview of current reports</w:t>
      </w:r>
    </w:p>
    <w:p w:rsidR="00382916" w:rsidRDefault="00382916" w:rsidP="00015600">
      <w:pPr>
        <w:pStyle w:val="TRBodyText"/>
        <w:tabs>
          <w:tab w:val="left" w:pos="567"/>
        </w:tabs>
      </w:pPr>
    </w:p>
    <w:p w:rsidR="0092039E" w:rsidRDefault="00996437" w:rsidP="00015600">
      <w:pPr>
        <w:pStyle w:val="TRBodyText"/>
        <w:tabs>
          <w:tab w:val="left" w:pos="567"/>
        </w:tabs>
      </w:pPr>
      <w:r>
        <w:fldChar w:fldCharType="begin"/>
      </w:r>
      <w:r>
        <w:instrText xml:space="preserve"> AUTONUM  </w:instrText>
      </w:r>
      <w:r>
        <w:fldChar w:fldCharType="end"/>
      </w:r>
      <w:r>
        <w:tab/>
      </w:r>
      <w:r w:rsidR="003007A3">
        <w:t>This report accompanies three</w:t>
      </w:r>
      <w:r w:rsidR="00FF441B">
        <w:t xml:space="preserve"> </w:t>
      </w:r>
      <w:r w:rsidR="00806895">
        <w:t>papers</w:t>
      </w:r>
      <w:r w:rsidR="000D4EA8">
        <w:t xml:space="preserve"> providing </w:t>
      </w:r>
      <w:r w:rsidR="00D9081C">
        <w:t>further updates on the development of policy proposals introduced in</w:t>
      </w:r>
      <w:r w:rsidR="0092039E">
        <w:t xml:space="preserve"> three Gov</w:t>
      </w:r>
      <w:r w:rsidR="00D9081C">
        <w:t>ernment discussion documents on ba</w:t>
      </w:r>
      <w:r w:rsidR="0022007A">
        <w:t>se erosion and profit shifting</w:t>
      </w:r>
      <w:r w:rsidR="00D2719A">
        <w:t xml:space="preserve"> (BEPS)</w:t>
      </w:r>
      <w:r w:rsidR="000A7923">
        <w:t xml:space="preserve">:  </w:t>
      </w:r>
    </w:p>
    <w:p w:rsidR="0092039E" w:rsidRDefault="0092039E" w:rsidP="00015600">
      <w:pPr>
        <w:pStyle w:val="TRBodyText"/>
        <w:tabs>
          <w:tab w:val="left" w:pos="567"/>
        </w:tabs>
      </w:pPr>
    </w:p>
    <w:p w:rsidR="0092039E" w:rsidRDefault="0092039E" w:rsidP="00015600">
      <w:pPr>
        <w:pStyle w:val="TRBodyText"/>
        <w:numPr>
          <w:ilvl w:val="0"/>
          <w:numId w:val="24"/>
        </w:numPr>
      </w:pPr>
      <w:r>
        <w:rPr>
          <w:i/>
        </w:rPr>
        <w:t xml:space="preserve">Addressing hybrid mismatch arrangements </w:t>
      </w:r>
      <w:r>
        <w:t>(released in September 2016);</w:t>
      </w:r>
    </w:p>
    <w:p w:rsidR="0092039E" w:rsidRPr="0092039E" w:rsidRDefault="0092039E" w:rsidP="00015600">
      <w:pPr>
        <w:pStyle w:val="TRBodyText"/>
        <w:numPr>
          <w:ilvl w:val="0"/>
          <w:numId w:val="24"/>
        </w:numPr>
      </w:pPr>
      <w:r w:rsidRPr="0092039E">
        <w:rPr>
          <w:i/>
        </w:rPr>
        <w:t>BEPS – Strengthening our interest limitation rules</w:t>
      </w:r>
      <w:r>
        <w:t xml:space="preserve"> (released in March 2017); and</w:t>
      </w:r>
    </w:p>
    <w:p w:rsidR="0092039E" w:rsidRDefault="0092039E" w:rsidP="00015600">
      <w:pPr>
        <w:pStyle w:val="TRBodyText"/>
        <w:numPr>
          <w:ilvl w:val="0"/>
          <w:numId w:val="24"/>
        </w:numPr>
      </w:pPr>
      <w:r w:rsidRPr="0092039E">
        <w:rPr>
          <w:i/>
        </w:rPr>
        <w:t>BEPS – Transfer pricing and permanent establishment avoidance</w:t>
      </w:r>
      <w:r>
        <w:t xml:space="preserve"> (released in March 2017)</w:t>
      </w:r>
      <w:r w:rsidR="00D2719A">
        <w:t>.</w:t>
      </w:r>
      <w:r w:rsidRPr="0092039E">
        <w:t xml:space="preserve"> </w:t>
      </w:r>
    </w:p>
    <w:p w:rsidR="0092039E" w:rsidRDefault="0092039E" w:rsidP="00015600">
      <w:pPr>
        <w:pStyle w:val="TRBodyText"/>
        <w:tabs>
          <w:tab w:val="left" w:pos="567"/>
        </w:tabs>
      </w:pPr>
    </w:p>
    <w:p w:rsidR="007A6CDD" w:rsidRDefault="00D2719A" w:rsidP="00015600">
      <w:pPr>
        <w:pStyle w:val="TRBodyText"/>
        <w:tabs>
          <w:tab w:val="left" w:pos="567"/>
        </w:tabs>
      </w:pPr>
      <w:r w:rsidRPr="00D2719A">
        <w:fldChar w:fldCharType="begin"/>
      </w:r>
      <w:r w:rsidRPr="00D2719A">
        <w:instrText xml:space="preserve"> AUTONUM  </w:instrText>
      </w:r>
      <w:r w:rsidRPr="00D2719A">
        <w:fldChar w:fldCharType="end"/>
      </w:r>
      <w:r w:rsidRPr="00D2719A">
        <w:tab/>
      </w:r>
      <w:r w:rsidR="007854F4" w:rsidRPr="007854F4">
        <w:t xml:space="preserve">We reported to you on 9 March 2017 with a summary of submissions received on the discussion document </w:t>
      </w:r>
      <w:proofErr w:type="gramStart"/>
      <w:r w:rsidR="007854F4" w:rsidRPr="007854F4">
        <w:rPr>
          <w:i/>
        </w:rPr>
        <w:t>Addressing</w:t>
      </w:r>
      <w:proofErr w:type="gramEnd"/>
      <w:r w:rsidR="007854F4" w:rsidRPr="007854F4">
        <w:rPr>
          <w:i/>
        </w:rPr>
        <w:t xml:space="preserve"> hybrid mismatch arrangements </w:t>
      </w:r>
      <w:r w:rsidR="007854F4" w:rsidRPr="007854F4">
        <w:t xml:space="preserve">(T2017/460, IR2017/133 refers).  </w:t>
      </w:r>
      <w:r w:rsidR="00D162C2">
        <w:t>We</w:t>
      </w:r>
      <w:r w:rsidR="00D162C2" w:rsidRPr="00D162C2">
        <w:t xml:space="preserve"> </w:t>
      </w:r>
      <w:r w:rsidR="007854F4">
        <w:t xml:space="preserve">also </w:t>
      </w:r>
      <w:r w:rsidR="00D162C2" w:rsidRPr="00D162C2">
        <w:t>reported to you last week with a summary of submissions on the two March 2017 discussion documents (T2</w:t>
      </w:r>
      <w:r w:rsidR="007854F4">
        <w:t>017/1630, IR</w:t>
      </w:r>
      <w:r w:rsidR="00D162C2" w:rsidRPr="00D162C2">
        <w:t>2017/361 refers).</w:t>
      </w:r>
      <w:r w:rsidR="00D162C2">
        <w:t xml:space="preserve"> </w:t>
      </w:r>
      <w:r w:rsidR="00C70B73">
        <w:t xml:space="preserve"> </w:t>
      </w:r>
    </w:p>
    <w:p w:rsidR="007A6CDD" w:rsidRDefault="007A6CDD" w:rsidP="00015600">
      <w:pPr>
        <w:pStyle w:val="TRBodyText"/>
        <w:tabs>
          <w:tab w:val="left" w:pos="567"/>
        </w:tabs>
      </w:pPr>
    </w:p>
    <w:p w:rsidR="00D162C2" w:rsidRPr="00D162C2" w:rsidRDefault="002A7DFB" w:rsidP="00015600">
      <w:pPr>
        <w:pStyle w:val="TRBodyText"/>
        <w:tabs>
          <w:tab w:val="left" w:pos="567"/>
        </w:tabs>
      </w:pPr>
      <w:r w:rsidRPr="002A7DFB">
        <w:fldChar w:fldCharType="begin"/>
      </w:r>
      <w:r w:rsidRPr="002A7DFB">
        <w:instrText xml:space="preserve"> AUTONUM  </w:instrText>
      </w:r>
      <w:r w:rsidRPr="002A7DFB">
        <w:fldChar w:fldCharType="end"/>
      </w:r>
      <w:r>
        <w:tab/>
      </w:r>
      <w:r w:rsidR="007A6CDD">
        <w:t xml:space="preserve">This package of reports seeks policy decisions on a range of proposals relating to all three </w:t>
      </w:r>
      <w:r w:rsidR="00D162C2">
        <w:t>discussion documents</w:t>
      </w:r>
      <w:r w:rsidR="007A6CDD">
        <w:t xml:space="preserve">, </w:t>
      </w:r>
      <w:r w:rsidR="007A6CDD" w:rsidRPr="007A6CDD">
        <w:t xml:space="preserve">including a number of suggested refinements to address issues raised by submitters. </w:t>
      </w:r>
      <w:r w:rsidR="00D162C2">
        <w:t xml:space="preserve"> </w:t>
      </w:r>
      <w:r w:rsidR="00D162C2" w:rsidRPr="00D162C2">
        <w:t>The attached reports are:</w:t>
      </w:r>
    </w:p>
    <w:p w:rsidR="00D162C2" w:rsidRPr="00D162C2" w:rsidRDefault="00D162C2" w:rsidP="00015600">
      <w:pPr>
        <w:pStyle w:val="TRBodyText"/>
      </w:pPr>
    </w:p>
    <w:p w:rsidR="00D162C2" w:rsidRPr="00D162C2" w:rsidRDefault="00D162C2" w:rsidP="00015600">
      <w:pPr>
        <w:pStyle w:val="TRBodyText"/>
        <w:numPr>
          <w:ilvl w:val="0"/>
          <w:numId w:val="24"/>
        </w:numPr>
      </w:pPr>
      <w:r w:rsidRPr="00D162C2">
        <w:t>BEPS – interest limitation submissions and policy decisions (T2017/1576, IR2017/325);</w:t>
      </w:r>
    </w:p>
    <w:p w:rsidR="00D162C2" w:rsidRPr="00D162C2" w:rsidRDefault="00D162C2" w:rsidP="00015600">
      <w:pPr>
        <w:pStyle w:val="TRBodyText"/>
        <w:numPr>
          <w:ilvl w:val="0"/>
          <w:numId w:val="24"/>
        </w:numPr>
      </w:pPr>
      <w:r w:rsidRPr="00D162C2">
        <w:t>BEPS – transfer pricing and permanent establishment avoidance submissions and policy decisions (T2017/1577, IR2017/330); and</w:t>
      </w:r>
    </w:p>
    <w:p w:rsidR="00D162C2" w:rsidRDefault="00D162C2" w:rsidP="00015600">
      <w:pPr>
        <w:pStyle w:val="TRBodyText"/>
        <w:numPr>
          <w:ilvl w:val="0"/>
          <w:numId w:val="24"/>
        </w:numPr>
      </w:pPr>
      <w:r w:rsidRPr="00D162C2">
        <w:t>BEPS – recommendations on addressing hybrid mismatch arrangements (T2017/1604, IR2017/353).</w:t>
      </w:r>
    </w:p>
    <w:p w:rsidR="00D162C2" w:rsidRPr="00D162C2" w:rsidRDefault="00D162C2" w:rsidP="00015600">
      <w:pPr>
        <w:pStyle w:val="TRBodyText"/>
        <w:ind w:left="1134"/>
      </w:pPr>
    </w:p>
    <w:p w:rsidR="00AB1894" w:rsidRPr="00AB1894" w:rsidRDefault="002A7DFB" w:rsidP="00015600">
      <w:pPr>
        <w:pStyle w:val="TRBodyText"/>
      </w:pPr>
      <w:r w:rsidRPr="002A7DFB">
        <w:fldChar w:fldCharType="begin"/>
      </w:r>
      <w:r w:rsidRPr="002A7DFB">
        <w:instrText xml:space="preserve"> AUTONUM  </w:instrText>
      </w:r>
      <w:r w:rsidRPr="002A7DFB">
        <w:fldChar w:fldCharType="end"/>
      </w:r>
      <w:r>
        <w:tab/>
      </w:r>
      <w:r w:rsidR="00D162C2">
        <w:t xml:space="preserve">These reports </w:t>
      </w:r>
      <w:r w:rsidR="007A6CDD">
        <w:t xml:space="preserve">also seek your </w:t>
      </w:r>
      <w:r w:rsidR="00D162C2">
        <w:t>approval</w:t>
      </w:r>
      <w:r w:rsidR="007A6CDD">
        <w:t xml:space="preserve"> </w:t>
      </w:r>
      <w:r>
        <w:t>for officials to</w:t>
      </w:r>
      <w:r w:rsidR="007A6CDD">
        <w:t xml:space="preserve"> prepare </w:t>
      </w:r>
      <w:r w:rsidR="00D162C2">
        <w:t xml:space="preserve">a set of </w:t>
      </w:r>
      <w:r w:rsidR="007A6CDD">
        <w:t xml:space="preserve">four papers </w:t>
      </w:r>
      <w:r w:rsidR="007A6CDD" w:rsidRPr="007A6CDD">
        <w:t xml:space="preserve">seeking </w:t>
      </w:r>
      <w:r>
        <w:t xml:space="preserve">Cabinet’s </w:t>
      </w:r>
      <w:r w:rsidR="007A6CDD" w:rsidRPr="007A6CDD">
        <w:t>agreement to</w:t>
      </w:r>
      <w:r w:rsidR="00D162C2">
        <w:t xml:space="preserve"> policy decisions and to</w:t>
      </w:r>
      <w:r w:rsidR="007A6CDD" w:rsidRPr="007A6CDD">
        <w:t xml:space="preserve"> include the BEPS proposals in a tax bill later </w:t>
      </w:r>
      <w:r w:rsidR="00D162C2">
        <w:t>this</w:t>
      </w:r>
      <w:r w:rsidR="007A6CDD" w:rsidRPr="007A6CDD">
        <w:t xml:space="preserve"> year.</w:t>
      </w:r>
      <w:r w:rsidR="008B3132">
        <w:t xml:space="preserve">  </w:t>
      </w:r>
      <w:r w:rsidR="00AB1894">
        <w:t>Subject to your decisions and assuming you are comfortable with all the proposals,</w:t>
      </w:r>
      <w:r w:rsidR="00AB1894" w:rsidRPr="00AB1894">
        <w:t xml:space="preserve"> we a</w:t>
      </w:r>
      <w:r w:rsidR="00AB1894">
        <w:t>nticipate the following timeline</w:t>
      </w:r>
      <w:r w:rsidR="00AB1894" w:rsidRPr="00AB1894">
        <w:t xml:space="preserve">: </w:t>
      </w:r>
    </w:p>
    <w:p w:rsidR="00DB7680" w:rsidRDefault="00DB7680" w:rsidP="00015600">
      <w:pPr>
        <w:spacing w:line="300" w:lineRule="atLeast"/>
        <w:jc w:val="left"/>
        <w:rPr>
          <w:b/>
        </w:rPr>
      </w:pPr>
      <w:r>
        <w:rPr>
          <w:b/>
        </w:rPr>
        <w:br w:type="page"/>
      </w:r>
    </w:p>
    <w:p w:rsidR="0048681E" w:rsidRDefault="0048681E" w:rsidP="00015600">
      <w:pPr>
        <w:spacing w:line="300" w:lineRule="atLeast"/>
        <w:jc w:val="left"/>
        <w:rPr>
          <w:b/>
        </w:rPr>
      </w:pPr>
    </w:p>
    <w:tbl>
      <w:tblPr>
        <w:tblW w:w="0" w:type="auto"/>
        <w:tblInd w:w="108" w:type="dxa"/>
        <w:tblCellMar>
          <w:left w:w="0" w:type="dxa"/>
          <w:right w:w="0" w:type="dxa"/>
        </w:tblCellMar>
        <w:tblLook w:val="04A0" w:firstRow="1" w:lastRow="0" w:firstColumn="1" w:lastColumn="0" w:noHBand="0" w:noVBand="1"/>
      </w:tblPr>
      <w:tblGrid>
        <w:gridCol w:w="2268"/>
        <w:gridCol w:w="6910"/>
      </w:tblGrid>
      <w:tr w:rsidR="00AB1894" w:rsidRPr="00AB1894" w:rsidTr="00382916">
        <w:trPr>
          <w:cantSplit/>
          <w:trHeight w:val="397"/>
        </w:trPr>
        <w:tc>
          <w:tcPr>
            <w:tcW w:w="2268" w:type="dxa"/>
            <w:tcBorders>
              <w:top w:val="single" w:sz="8" w:space="0" w:color="1F497D"/>
              <w:left w:val="single" w:sz="12" w:space="0" w:color="1F497D"/>
              <w:bottom w:val="nil"/>
              <w:right w:val="single" w:sz="8" w:space="0" w:color="FFFFFF"/>
            </w:tcBorders>
            <w:shd w:val="clear" w:color="auto" w:fill="000000"/>
            <w:tcMar>
              <w:top w:w="0" w:type="dxa"/>
              <w:left w:w="108" w:type="dxa"/>
              <w:bottom w:w="0" w:type="dxa"/>
              <w:right w:w="108" w:type="dxa"/>
            </w:tcMar>
            <w:hideMark/>
          </w:tcPr>
          <w:p w:rsidR="00AB1894" w:rsidRPr="00AB1894" w:rsidRDefault="00AB1894" w:rsidP="00015600">
            <w:pPr>
              <w:pStyle w:val="TRBodyText"/>
              <w:rPr>
                <w:b/>
                <w:bCs/>
              </w:rPr>
            </w:pPr>
            <w:r w:rsidRPr="00AB1894">
              <w:rPr>
                <w:b/>
                <w:bCs/>
              </w:rPr>
              <w:t xml:space="preserve">Date </w:t>
            </w:r>
          </w:p>
        </w:tc>
        <w:tc>
          <w:tcPr>
            <w:tcW w:w="6910" w:type="dxa"/>
            <w:tcBorders>
              <w:top w:val="single" w:sz="8" w:space="0" w:color="1F497D"/>
              <w:left w:val="nil"/>
              <w:bottom w:val="nil"/>
              <w:right w:val="single" w:sz="12" w:space="0" w:color="1F497D"/>
            </w:tcBorders>
            <w:shd w:val="clear" w:color="auto" w:fill="000000"/>
            <w:tcMar>
              <w:top w:w="0" w:type="dxa"/>
              <w:left w:w="108" w:type="dxa"/>
              <w:bottom w:w="0" w:type="dxa"/>
              <w:right w:w="108" w:type="dxa"/>
            </w:tcMar>
            <w:hideMark/>
          </w:tcPr>
          <w:p w:rsidR="00AB1894" w:rsidRPr="00AB1894" w:rsidRDefault="00AB1894" w:rsidP="00015600">
            <w:pPr>
              <w:pStyle w:val="TRBodyText"/>
              <w:rPr>
                <w:b/>
                <w:bCs/>
              </w:rPr>
            </w:pPr>
            <w:r w:rsidRPr="00AB1894">
              <w:rPr>
                <w:b/>
                <w:bCs/>
              </w:rPr>
              <w:t>Milestone/action</w:t>
            </w:r>
          </w:p>
        </w:tc>
      </w:tr>
      <w:tr w:rsidR="00AB1894" w:rsidRPr="00AB1894" w:rsidTr="00A306E0">
        <w:trPr>
          <w:cantSplit/>
          <w:trHeight w:val="397"/>
        </w:trPr>
        <w:tc>
          <w:tcPr>
            <w:tcW w:w="2268" w:type="dxa"/>
            <w:tcBorders>
              <w:top w:val="nil"/>
              <w:left w:val="single" w:sz="12" w:space="0" w:color="1F497D"/>
              <w:bottom w:val="single" w:sz="8" w:space="0" w:color="1F497D"/>
              <w:right w:val="single" w:sz="8" w:space="0" w:color="1F497D"/>
            </w:tcBorders>
            <w:tcMar>
              <w:top w:w="0" w:type="dxa"/>
              <w:left w:w="108" w:type="dxa"/>
              <w:bottom w:w="0" w:type="dxa"/>
              <w:right w:w="108" w:type="dxa"/>
            </w:tcMar>
            <w:vAlign w:val="center"/>
          </w:tcPr>
          <w:p w:rsidR="00AB1894" w:rsidRPr="00AB1894" w:rsidRDefault="00AB1894" w:rsidP="00015600">
            <w:pPr>
              <w:pStyle w:val="TRBodyText"/>
              <w:jc w:val="left"/>
            </w:pPr>
            <w:r w:rsidRPr="00AB1894">
              <w:t>Thursday 29 June</w:t>
            </w:r>
          </w:p>
        </w:tc>
        <w:tc>
          <w:tcPr>
            <w:tcW w:w="6910" w:type="dxa"/>
            <w:tcBorders>
              <w:top w:val="nil"/>
              <w:left w:val="nil"/>
              <w:bottom w:val="single" w:sz="8" w:space="0" w:color="1F497D"/>
              <w:right w:val="single" w:sz="12" w:space="0" w:color="1F497D"/>
            </w:tcBorders>
            <w:tcMar>
              <w:top w:w="0" w:type="dxa"/>
              <w:left w:w="108" w:type="dxa"/>
              <w:bottom w:w="0" w:type="dxa"/>
              <w:right w:w="108" w:type="dxa"/>
            </w:tcMar>
            <w:vAlign w:val="center"/>
          </w:tcPr>
          <w:p w:rsidR="00AB1894" w:rsidRPr="00AB1894" w:rsidRDefault="00AB1894" w:rsidP="00015600">
            <w:pPr>
              <w:pStyle w:val="TRBodyText"/>
              <w:jc w:val="left"/>
            </w:pPr>
            <w:r w:rsidRPr="00AB1894">
              <w:t>Joint Ministers’ meeting to discuss these reports and policy recommendations</w:t>
            </w:r>
          </w:p>
        </w:tc>
      </w:tr>
      <w:tr w:rsidR="00AB1894" w:rsidRPr="00AB1894" w:rsidTr="00A306E0">
        <w:trPr>
          <w:cantSplit/>
          <w:trHeight w:val="397"/>
        </w:trPr>
        <w:tc>
          <w:tcPr>
            <w:tcW w:w="2268" w:type="dxa"/>
            <w:tcBorders>
              <w:top w:val="nil"/>
              <w:left w:val="single" w:sz="12" w:space="0" w:color="1F497D"/>
              <w:bottom w:val="single" w:sz="8" w:space="0" w:color="1F497D"/>
              <w:right w:val="single" w:sz="8" w:space="0" w:color="1F497D"/>
            </w:tcBorders>
            <w:tcMar>
              <w:top w:w="0" w:type="dxa"/>
              <w:left w:w="108" w:type="dxa"/>
              <w:bottom w:w="0" w:type="dxa"/>
              <w:right w:w="108" w:type="dxa"/>
            </w:tcMar>
          </w:tcPr>
          <w:p w:rsidR="00AB1894" w:rsidRPr="00AB1894" w:rsidRDefault="00AB1894" w:rsidP="00015600">
            <w:pPr>
              <w:pStyle w:val="TRBodyText"/>
              <w:jc w:val="left"/>
            </w:pPr>
            <w:r w:rsidRPr="00AB1894">
              <w:t>Week commencing 10 July</w:t>
            </w:r>
          </w:p>
        </w:tc>
        <w:tc>
          <w:tcPr>
            <w:tcW w:w="6910" w:type="dxa"/>
            <w:tcBorders>
              <w:top w:val="nil"/>
              <w:left w:val="nil"/>
              <w:bottom w:val="single" w:sz="8" w:space="0" w:color="1F497D"/>
              <w:right w:val="single" w:sz="12" w:space="0" w:color="1F497D"/>
            </w:tcBorders>
            <w:tcMar>
              <w:top w:w="0" w:type="dxa"/>
              <w:left w:w="108" w:type="dxa"/>
              <w:bottom w:w="0" w:type="dxa"/>
              <w:right w:w="108" w:type="dxa"/>
            </w:tcMar>
            <w:vAlign w:val="center"/>
          </w:tcPr>
          <w:p w:rsidR="00AB1894" w:rsidRPr="00AB1894" w:rsidRDefault="00AB1894" w:rsidP="00015600">
            <w:pPr>
              <w:pStyle w:val="TRBodyText"/>
              <w:jc w:val="left"/>
            </w:pPr>
            <w:r w:rsidRPr="00AB1894">
              <w:t>Provide the following Cabinet papers and RISs to Ministers:</w:t>
            </w:r>
          </w:p>
          <w:p w:rsidR="00AB1894" w:rsidRPr="00AB1894" w:rsidRDefault="00AB1894" w:rsidP="00015600">
            <w:pPr>
              <w:pStyle w:val="TRBodyText"/>
              <w:numPr>
                <w:ilvl w:val="0"/>
                <w:numId w:val="37"/>
              </w:numPr>
              <w:jc w:val="left"/>
            </w:pPr>
            <w:r w:rsidRPr="00AB1894">
              <w:t>Cover paper with overview of BEPS package</w:t>
            </w:r>
          </w:p>
          <w:p w:rsidR="00AB1894" w:rsidRPr="00AB1894" w:rsidRDefault="00AB1894" w:rsidP="00015600">
            <w:pPr>
              <w:pStyle w:val="TRBodyText"/>
              <w:numPr>
                <w:ilvl w:val="0"/>
                <w:numId w:val="37"/>
              </w:numPr>
              <w:jc w:val="left"/>
            </w:pPr>
            <w:r w:rsidRPr="00AB1894">
              <w:t>Transfer pricing and permanent establishment avoidance</w:t>
            </w:r>
          </w:p>
          <w:p w:rsidR="00AB1894" w:rsidRPr="00AB1894" w:rsidRDefault="00AB1894" w:rsidP="00015600">
            <w:pPr>
              <w:pStyle w:val="TRBodyText"/>
              <w:numPr>
                <w:ilvl w:val="0"/>
                <w:numId w:val="37"/>
              </w:numPr>
              <w:jc w:val="left"/>
            </w:pPr>
            <w:r w:rsidRPr="00AB1894">
              <w:t>Interest limitation</w:t>
            </w:r>
          </w:p>
          <w:p w:rsidR="00AB1894" w:rsidRPr="00AB1894" w:rsidRDefault="00AB1894" w:rsidP="00015600">
            <w:pPr>
              <w:pStyle w:val="TRBodyText"/>
              <w:numPr>
                <w:ilvl w:val="0"/>
                <w:numId w:val="37"/>
              </w:numPr>
              <w:jc w:val="left"/>
            </w:pPr>
            <w:r w:rsidRPr="00AB1894">
              <w:t>Hybrid mismatches</w:t>
            </w:r>
          </w:p>
        </w:tc>
      </w:tr>
      <w:tr w:rsidR="00AB1894" w:rsidRPr="00AB1894" w:rsidTr="00A306E0">
        <w:trPr>
          <w:cantSplit/>
          <w:trHeight w:val="397"/>
        </w:trPr>
        <w:tc>
          <w:tcPr>
            <w:tcW w:w="2268" w:type="dxa"/>
            <w:tcBorders>
              <w:top w:val="nil"/>
              <w:left w:val="single" w:sz="12" w:space="0" w:color="1F497D"/>
              <w:bottom w:val="single" w:sz="8" w:space="0" w:color="1F497D"/>
              <w:right w:val="single" w:sz="8" w:space="0" w:color="1F497D"/>
            </w:tcBorders>
            <w:tcMar>
              <w:top w:w="0" w:type="dxa"/>
              <w:left w:w="108" w:type="dxa"/>
              <w:bottom w:w="0" w:type="dxa"/>
              <w:right w:w="108" w:type="dxa"/>
            </w:tcMar>
            <w:vAlign w:val="center"/>
            <w:hideMark/>
          </w:tcPr>
          <w:p w:rsidR="00AB1894" w:rsidRPr="00AB1894" w:rsidRDefault="00AB1894" w:rsidP="00015600">
            <w:pPr>
              <w:pStyle w:val="TRBodyText"/>
              <w:jc w:val="left"/>
            </w:pPr>
            <w:r w:rsidRPr="00AB1894">
              <w:t xml:space="preserve">Thursday 20 July </w:t>
            </w:r>
          </w:p>
        </w:tc>
        <w:tc>
          <w:tcPr>
            <w:tcW w:w="6910" w:type="dxa"/>
            <w:tcBorders>
              <w:top w:val="nil"/>
              <w:left w:val="nil"/>
              <w:bottom w:val="single" w:sz="8" w:space="0" w:color="1F497D"/>
              <w:right w:val="single" w:sz="12" w:space="0" w:color="1F497D"/>
            </w:tcBorders>
            <w:tcMar>
              <w:top w:w="0" w:type="dxa"/>
              <w:left w:w="108" w:type="dxa"/>
              <w:bottom w:w="0" w:type="dxa"/>
              <w:right w:w="108" w:type="dxa"/>
            </w:tcMar>
            <w:vAlign w:val="center"/>
            <w:hideMark/>
          </w:tcPr>
          <w:p w:rsidR="00AB1894" w:rsidRPr="00AB1894" w:rsidRDefault="00AB1894" w:rsidP="00015600">
            <w:pPr>
              <w:pStyle w:val="TRBodyText"/>
              <w:jc w:val="left"/>
            </w:pPr>
            <w:r w:rsidRPr="00AB1894">
              <w:t xml:space="preserve">Deadline for lodging Cabinet Papers in </w:t>
            </w:r>
            <w:proofErr w:type="spellStart"/>
            <w:r w:rsidRPr="00AB1894">
              <w:t>CabNet</w:t>
            </w:r>
            <w:proofErr w:type="spellEnd"/>
            <w:r w:rsidRPr="00AB1894">
              <w:t xml:space="preserve"> </w:t>
            </w:r>
          </w:p>
        </w:tc>
      </w:tr>
      <w:tr w:rsidR="00AB1894" w:rsidRPr="00AB1894" w:rsidTr="00A306E0">
        <w:trPr>
          <w:cantSplit/>
          <w:trHeight w:val="397"/>
        </w:trPr>
        <w:tc>
          <w:tcPr>
            <w:tcW w:w="2268" w:type="dxa"/>
            <w:tcBorders>
              <w:top w:val="nil"/>
              <w:left w:val="single" w:sz="12" w:space="0" w:color="1F497D"/>
              <w:bottom w:val="single" w:sz="8" w:space="0" w:color="1F497D"/>
              <w:right w:val="single" w:sz="8" w:space="0" w:color="1F497D"/>
            </w:tcBorders>
            <w:tcMar>
              <w:top w:w="0" w:type="dxa"/>
              <w:left w:w="108" w:type="dxa"/>
              <w:bottom w:w="0" w:type="dxa"/>
              <w:right w:w="108" w:type="dxa"/>
            </w:tcMar>
            <w:vAlign w:val="center"/>
            <w:hideMark/>
          </w:tcPr>
          <w:p w:rsidR="00AB1894" w:rsidRPr="00AB1894" w:rsidRDefault="00AB1894" w:rsidP="00015600">
            <w:pPr>
              <w:pStyle w:val="TRBodyText"/>
              <w:jc w:val="left"/>
            </w:pPr>
            <w:r w:rsidRPr="00AB1894">
              <w:t>Wednesday 26 July</w:t>
            </w:r>
          </w:p>
        </w:tc>
        <w:tc>
          <w:tcPr>
            <w:tcW w:w="6910" w:type="dxa"/>
            <w:tcBorders>
              <w:top w:val="nil"/>
              <w:left w:val="nil"/>
              <w:bottom w:val="single" w:sz="8" w:space="0" w:color="1F497D"/>
              <w:right w:val="single" w:sz="12" w:space="0" w:color="1F497D"/>
            </w:tcBorders>
            <w:tcMar>
              <w:top w:w="0" w:type="dxa"/>
              <w:left w:w="108" w:type="dxa"/>
              <w:bottom w:w="0" w:type="dxa"/>
              <w:right w:w="108" w:type="dxa"/>
            </w:tcMar>
            <w:vAlign w:val="center"/>
            <w:hideMark/>
          </w:tcPr>
          <w:p w:rsidR="00AB1894" w:rsidRPr="00AB1894" w:rsidRDefault="00AB1894" w:rsidP="00015600">
            <w:pPr>
              <w:pStyle w:val="TRBodyText"/>
              <w:jc w:val="left"/>
            </w:pPr>
            <w:r w:rsidRPr="00AB1894">
              <w:t>EGI</w:t>
            </w:r>
          </w:p>
        </w:tc>
      </w:tr>
      <w:tr w:rsidR="00AB1894" w:rsidRPr="00AB1894" w:rsidTr="00A306E0">
        <w:trPr>
          <w:cantSplit/>
          <w:trHeight w:val="397"/>
        </w:trPr>
        <w:tc>
          <w:tcPr>
            <w:tcW w:w="2268" w:type="dxa"/>
            <w:tcBorders>
              <w:top w:val="nil"/>
              <w:left w:val="single" w:sz="12" w:space="0" w:color="1F497D"/>
              <w:bottom w:val="single" w:sz="8" w:space="0" w:color="1F497D"/>
              <w:right w:val="single" w:sz="8" w:space="0" w:color="1F497D"/>
            </w:tcBorders>
            <w:tcMar>
              <w:top w:w="0" w:type="dxa"/>
              <w:left w:w="108" w:type="dxa"/>
              <w:bottom w:w="0" w:type="dxa"/>
              <w:right w:w="108" w:type="dxa"/>
            </w:tcMar>
            <w:vAlign w:val="center"/>
            <w:hideMark/>
          </w:tcPr>
          <w:p w:rsidR="00AB1894" w:rsidRPr="00AB1894" w:rsidRDefault="00AB1894" w:rsidP="00015600">
            <w:pPr>
              <w:pStyle w:val="TRBodyText"/>
              <w:jc w:val="left"/>
            </w:pPr>
            <w:r w:rsidRPr="00AB1894">
              <w:t>Monday 31 July</w:t>
            </w:r>
          </w:p>
        </w:tc>
        <w:tc>
          <w:tcPr>
            <w:tcW w:w="6910" w:type="dxa"/>
            <w:tcBorders>
              <w:top w:val="nil"/>
              <w:left w:val="nil"/>
              <w:bottom w:val="single" w:sz="8" w:space="0" w:color="1F497D"/>
              <w:right w:val="single" w:sz="12" w:space="0" w:color="1F497D"/>
            </w:tcBorders>
            <w:tcMar>
              <w:top w:w="0" w:type="dxa"/>
              <w:left w:w="108" w:type="dxa"/>
              <w:bottom w:w="0" w:type="dxa"/>
              <w:right w:w="108" w:type="dxa"/>
            </w:tcMar>
            <w:vAlign w:val="center"/>
            <w:hideMark/>
          </w:tcPr>
          <w:p w:rsidR="00AB1894" w:rsidRPr="00AB1894" w:rsidRDefault="00AB1894" w:rsidP="00015600">
            <w:pPr>
              <w:pStyle w:val="TRBodyText"/>
              <w:jc w:val="left"/>
            </w:pPr>
            <w:r w:rsidRPr="00AB1894">
              <w:t xml:space="preserve">Cabinet </w:t>
            </w:r>
          </w:p>
        </w:tc>
      </w:tr>
    </w:tbl>
    <w:p w:rsidR="002A7DFB" w:rsidRDefault="002A7DFB" w:rsidP="00015600">
      <w:pPr>
        <w:pStyle w:val="TRBodyText"/>
      </w:pPr>
    </w:p>
    <w:p w:rsidR="008B3132" w:rsidRPr="00E95DB3" w:rsidRDefault="008B3132" w:rsidP="00015600">
      <w:pPr>
        <w:pStyle w:val="TRBodyText"/>
        <w:rPr>
          <w:b/>
        </w:rPr>
      </w:pPr>
      <w:r w:rsidRPr="00E95DB3">
        <w:rPr>
          <w:b/>
        </w:rPr>
        <w:t>Further consultation</w:t>
      </w:r>
    </w:p>
    <w:p w:rsidR="008B3132" w:rsidRPr="00E95DB3" w:rsidRDefault="008B3132" w:rsidP="00015600">
      <w:pPr>
        <w:pStyle w:val="TRBodyText"/>
        <w:rPr>
          <w:b/>
        </w:rPr>
      </w:pPr>
    </w:p>
    <w:p w:rsidR="00044241" w:rsidRPr="00E95DB3" w:rsidRDefault="008B3132" w:rsidP="00015600">
      <w:pPr>
        <w:pStyle w:val="TRBodyText"/>
      </w:pPr>
      <w:r w:rsidRPr="00E95DB3">
        <w:fldChar w:fldCharType="begin"/>
      </w:r>
      <w:r w:rsidRPr="00E95DB3">
        <w:instrText xml:space="preserve"> AUTONUM  </w:instrText>
      </w:r>
      <w:r w:rsidRPr="00E95DB3">
        <w:fldChar w:fldCharType="end"/>
      </w:r>
      <w:r w:rsidRPr="00E95DB3">
        <w:tab/>
        <w:t xml:space="preserve">We recommend that, following Cabinet decisions in July, further consultation is undertaken on outstanding policy issues and technical design details relating to the BEPS package. </w:t>
      </w:r>
      <w:r w:rsidR="00044241" w:rsidRPr="00E95DB3">
        <w:t>We will report back to you on that consultation and any further feedback we receive on the proposals.</w:t>
      </w:r>
    </w:p>
    <w:p w:rsidR="00044241" w:rsidRPr="00E95DB3" w:rsidRDefault="00044241" w:rsidP="00015600">
      <w:pPr>
        <w:pStyle w:val="TRBodyText"/>
      </w:pPr>
    </w:p>
    <w:p w:rsidR="008B3132" w:rsidRPr="00E95DB3" w:rsidRDefault="00044241" w:rsidP="00015600">
      <w:pPr>
        <w:pStyle w:val="TRBodyText"/>
        <w:rPr>
          <w:i/>
        </w:rPr>
      </w:pPr>
      <w:r w:rsidRPr="00E95DB3">
        <w:fldChar w:fldCharType="begin"/>
      </w:r>
      <w:r w:rsidRPr="00E95DB3">
        <w:instrText xml:space="preserve"> AUTONUM  </w:instrText>
      </w:r>
      <w:r w:rsidRPr="00E95DB3">
        <w:fldChar w:fldCharType="end"/>
      </w:r>
      <w:r w:rsidRPr="00E95DB3">
        <w:tab/>
      </w:r>
      <w:r w:rsidR="008B3132" w:rsidRPr="00E95DB3">
        <w:t xml:space="preserve">A number of submitters have also expressed interest in consultation on an exposure draft of the planned BEPS bill. We have signalled to submitters that an exposure draft could be provided on specific aspects of the proposals that are likely to be of most interest – for example, the permanent establishment anti-avoidance rule proposed in the discussion document </w:t>
      </w:r>
      <w:r w:rsidR="008B3132" w:rsidRPr="00E95DB3">
        <w:rPr>
          <w:i/>
        </w:rPr>
        <w:t>BEPS – Transfer pricing and permanent establishment avoidance.</w:t>
      </w:r>
    </w:p>
    <w:p w:rsidR="008B3132" w:rsidRPr="00E95DB3" w:rsidRDefault="008B3132" w:rsidP="00015600">
      <w:pPr>
        <w:pStyle w:val="TRBodyText"/>
        <w:rPr>
          <w:i/>
        </w:rPr>
      </w:pPr>
    </w:p>
    <w:p w:rsidR="008B3132" w:rsidRPr="008B3132" w:rsidRDefault="008B3132" w:rsidP="00015600">
      <w:pPr>
        <w:pStyle w:val="TRBodyText"/>
      </w:pPr>
      <w:r w:rsidRPr="00E95DB3">
        <w:fldChar w:fldCharType="begin"/>
      </w:r>
      <w:r w:rsidRPr="00E95DB3">
        <w:instrText xml:space="preserve"> AUTONUM  </w:instrText>
      </w:r>
      <w:r w:rsidRPr="00E95DB3">
        <w:fldChar w:fldCharType="end"/>
      </w:r>
      <w:r w:rsidRPr="00E95DB3">
        <w:tab/>
      </w:r>
      <w:r w:rsidR="00DB7680" w:rsidRPr="00E95DB3">
        <w:t xml:space="preserve">To stay on track with the planned commencement date of income years starting on or after 1 July 2018, the BEPS bill will need to be introduced and have its first reading by 14 December 2017.  </w:t>
      </w:r>
      <w:r w:rsidRPr="00E95DB3">
        <w:t>Due to</w:t>
      </w:r>
      <w:r w:rsidR="00DB7680" w:rsidRPr="00E95DB3">
        <w:t xml:space="preserve"> this timing constraint</w:t>
      </w:r>
      <w:r w:rsidRPr="00E95DB3">
        <w:t>, we are not proposing that submitters be consulted on an exposure draft of the entire bill. However, targeted drafting of specific sections where consultation will provide the most value is possible within this timeframe.</w:t>
      </w:r>
    </w:p>
    <w:p w:rsidR="008B3132" w:rsidRPr="008B3132" w:rsidRDefault="008B3132" w:rsidP="00015600">
      <w:pPr>
        <w:pStyle w:val="TRBodyText"/>
      </w:pPr>
    </w:p>
    <w:p w:rsidR="008B3132" w:rsidRDefault="008B3132" w:rsidP="00015600">
      <w:pPr>
        <w:pStyle w:val="TRBodyText"/>
      </w:pPr>
      <w:r w:rsidRPr="008B3132">
        <w:fldChar w:fldCharType="begin"/>
      </w:r>
      <w:r w:rsidRPr="008B3132">
        <w:instrText xml:space="preserve"> AUTONUM  </w:instrText>
      </w:r>
      <w:r w:rsidRPr="008B3132">
        <w:fldChar w:fldCharType="end"/>
      </w:r>
      <w:r w:rsidRPr="008B3132">
        <w:tab/>
        <w:t>In th</w:t>
      </w:r>
      <w:r w:rsidR="008313C0">
        <w:t>e</w:t>
      </w:r>
      <w:r w:rsidR="00A1555C">
        <w:t xml:space="preserve"> </w:t>
      </w:r>
      <w:r w:rsidR="002228D3">
        <w:t xml:space="preserve">attached </w:t>
      </w:r>
      <w:r w:rsidR="00A1555C">
        <w:t>reports on interest limitation, and transfer pricing and permanent establishment avoidance, we</w:t>
      </w:r>
      <w:r w:rsidRPr="008B3132">
        <w:t xml:space="preserve"> have focused on the major issues relevant to the policy decisions to be made by Cabinet in July.  We have not addressed all submissions on the March 2017 discussion documents that relate to technical or operational detail.  We will advise you on such submissions following detailed design and further consultation with submitters.</w:t>
      </w:r>
      <w:r w:rsidR="00A1555C">
        <w:t xml:space="preserve">  </w:t>
      </w:r>
      <w:r w:rsidR="00A1555C" w:rsidRPr="00A1555C">
        <w:t>The hybrids report seeks more detailed final policy decisions because it has already been subject to a second round of consultation.</w:t>
      </w:r>
    </w:p>
    <w:p w:rsidR="00DB7680" w:rsidRPr="008B3132" w:rsidRDefault="00DB7680" w:rsidP="00015600">
      <w:pPr>
        <w:pStyle w:val="TRBodyText"/>
      </w:pPr>
    </w:p>
    <w:p w:rsidR="00DB7680" w:rsidRDefault="00DB7680" w:rsidP="00015600">
      <w:pPr>
        <w:pStyle w:val="Heading2"/>
        <w:spacing w:line="300" w:lineRule="atLeast"/>
      </w:pPr>
      <w:r>
        <w:t>Fiscal implications</w:t>
      </w:r>
    </w:p>
    <w:p w:rsidR="00DB7680" w:rsidRDefault="00DB7680" w:rsidP="00015600">
      <w:pPr>
        <w:pStyle w:val="TRBodyText"/>
        <w:tabs>
          <w:tab w:val="left" w:pos="567"/>
        </w:tabs>
      </w:pPr>
      <w:r w:rsidRPr="00B6233D">
        <w:fldChar w:fldCharType="begin"/>
      </w:r>
      <w:r w:rsidRPr="00B6233D">
        <w:instrText xml:space="preserve"> AUTONUM  </w:instrText>
      </w:r>
      <w:r w:rsidRPr="00B6233D">
        <w:fldChar w:fldCharType="end"/>
      </w:r>
      <w:r>
        <w:tab/>
        <w:t>Some of the revenue for these proposals has already been included in Budget 2017 forecasts:</w:t>
      </w:r>
    </w:p>
    <w:p w:rsidR="00DB7680" w:rsidRDefault="00DB7680" w:rsidP="00015600">
      <w:pPr>
        <w:spacing w:line="300" w:lineRule="atLeast"/>
        <w:jc w:val="left"/>
      </w:pPr>
      <w:r>
        <w:br w:type="page"/>
      </w:r>
    </w:p>
    <w:p w:rsidR="00DB7680" w:rsidRDefault="00DB7680" w:rsidP="00015600">
      <w:pPr>
        <w:pStyle w:val="TRBodyText"/>
        <w:tabs>
          <w:tab w:val="left" w:pos="567"/>
        </w:tabs>
      </w:pPr>
    </w:p>
    <w:tbl>
      <w:tblPr>
        <w:tblW w:w="9323" w:type="dxa"/>
        <w:tblLayout w:type="fixed"/>
        <w:tblCellMar>
          <w:left w:w="0" w:type="dxa"/>
          <w:right w:w="0" w:type="dxa"/>
        </w:tblCellMar>
        <w:tblLook w:val="04A0" w:firstRow="1" w:lastRow="0" w:firstColumn="1" w:lastColumn="0" w:noHBand="0" w:noVBand="1"/>
      </w:tblPr>
      <w:tblGrid>
        <w:gridCol w:w="3227"/>
        <w:gridCol w:w="709"/>
        <w:gridCol w:w="851"/>
        <w:gridCol w:w="850"/>
        <w:gridCol w:w="851"/>
        <w:gridCol w:w="850"/>
        <w:gridCol w:w="851"/>
        <w:gridCol w:w="1134"/>
      </w:tblGrid>
      <w:tr w:rsidR="00DB7680" w:rsidRPr="000E25EC" w:rsidTr="00C57F7C">
        <w:tc>
          <w:tcPr>
            <w:tcW w:w="9323"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center"/>
              <w:rPr>
                <w:rFonts w:eastAsia="Calibri"/>
                <w:szCs w:val="24"/>
                <w:lang w:eastAsia="en-NZ"/>
              </w:rPr>
            </w:pPr>
            <w:r w:rsidRPr="0060478A">
              <w:rPr>
                <w:szCs w:val="24"/>
                <w:lang w:eastAsia="en-NZ"/>
              </w:rPr>
              <w:t>$ million – increase / (decrease)</w:t>
            </w:r>
          </w:p>
        </w:tc>
      </w:tr>
      <w:tr w:rsidR="00DB7680" w:rsidRPr="000E25EC" w:rsidTr="00C57F7C">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rPr>
                <w:rFonts w:eastAsia="Calibri"/>
                <w:b/>
                <w:bCs/>
                <w:szCs w:val="24"/>
                <w:lang w:eastAsia="en-NZ"/>
              </w:rPr>
            </w:pPr>
            <w:r w:rsidRPr="0060478A">
              <w:rPr>
                <w:b/>
                <w:bCs/>
                <w:szCs w:val="24"/>
                <w:lang w:eastAsia="en-NZ"/>
              </w:rPr>
              <w:t>Vote Revenue</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b/>
                <w:bCs/>
                <w:szCs w:val="24"/>
                <w:lang w:eastAsia="en-NZ"/>
              </w:rPr>
            </w:pPr>
            <w:r w:rsidRPr="0060478A">
              <w:rPr>
                <w:b/>
                <w:bCs/>
                <w:szCs w:val="24"/>
                <w:lang w:eastAsia="en-NZ"/>
              </w:rPr>
              <w:t>2016</w:t>
            </w:r>
          </w:p>
          <w:p w:rsidR="00DB7680" w:rsidRPr="0060478A" w:rsidRDefault="00DB7680" w:rsidP="00015600">
            <w:pPr>
              <w:autoSpaceDE w:val="0"/>
              <w:autoSpaceDN w:val="0"/>
              <w:spacing w:line="300" w:lineRule="atLeast"/>
              <w:jc w:val="right"/>
              <w:rPr>
                <w:rFonts w:eastAsia="Calibri"/>
                <w:b/>
                <w:bCs/>
                <w:szCs w:val="24"/>
                <w:lang w:eastAsia="en-NZ"/>
              </w:rPr>
            </w:pPr>
            <w:r w:rsidRPr="0060478A">
              <w:rPr>
                <w:b/>
                <w:bCs/>
                <w:szCs w:val="24"/>
                <w:lang w:eastAsia="en-NZ"/>
              </w:rPr>
              <w:t>/17</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b/>
                <w:bCs/>
                <w:szCs w:val="24"/>
                <w:lang w:eastAsia="en-NZ"/>
              </w:rPr>
            </w:pPr>
            <w:r w:rsidRPr="0060478A">
              <w:rPr>
                <w:b/>
                <w:bCs/>
                <w:szCs w:val="24"/>
                <w:lang w:eastAsia="en-NZ"/>
              </w:rPr>
              <w:t>2017</w:t>
            </w:r>
          </w:p>
          <w:p w:rsidR="00DB7680" w:rsidRPr="0060478A" w:rsidRDefault="00DB7680" w:rsidP="00015600">
            <w:pPr>
              <w:autoSpaceDE w:val="0"/>
              <w:autoSpaceDN w:val="0"/>
              <w:spacing w:line="300" w:lineRule="atLeast"/>
              <w:jc w:val="right"/>
              <w:rPr>
                <w:rFonts w:eastAsia="Calibri"/>
                <w:b/>
                <w:bCs/>
                <w:szCs w:val="24"/>
                <w:lang w:eastAsia="en-NZ"/>
              </w:rPr>
            </w:pPr>
            <w:r w:rsidRPr="0060478A">
              <w:rPr>
                <w:b/>
                <w:bCs/>
                <w:szCs w:val="24"/>
                <w:lang w:eastAsia="en-NZ"/>
              </w:rPr>
              <w:t>/18</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b/>
                <w:bCs/>
                <w:szCs w:val="24"/>
                <w:lang w:eastAsia="en-NZ"/>
              </w:rPr>
            </w:pPr>
            <w:r w:rsidRPr="0060478A">
              <w:rPr>
                <w:b/>
                <w:bCs/>
                <w:szCs w:val="24"/>
                <w:lang w:eastAsia="en-NZ"/>
              </w:rPr>
              <w:t>2018</w:t>
            </w:r>
          </w:p>
          <w:p w:rsidR="00DB7680" w:rsidRPr="0060478A" w:rsidRDefault="00DB7680" w:rsidP="00015600">
            <w:pPr>
              <w:autoSpaceDE w:val="0"/>
              <w:autoSpaceDN w:val="0"/>
              <w:spacing w:line="300" w:lineRule="atLeast"/>
              <w:jc w:val="right"/>
              <w:rPr>
                <w:rFonts w:eastAsia="Calibri"/>
                <w:b/>
                <w:bCs/>
                <w:szCs w:val="24"/>
                <w:lang w:eastAsia="en-NZ"/>
              </w:rPr>
            </w:pPr>
            <w:r w:rsidRPr="0060478A">
              <w:rPr>
                <w:b/>
                <w:bCs/>
                <w:szCs w:val="24"/>
                <w:lang w:eastAsia="en-NZ"/>
              </w:rPr>
              <w:t>/19</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b/>
                <w:bCs/>
                <w:szCs w:val="24"/>
                <w:lang w:eastAsia="en-NZ"/>
              </w:rPr>
            </w:pPr>
            <w:r w:rsidRPr="0060478A">
              <w:rPr>
                <w:b/>
                <w:bCs/>
                <w:szCs w:val="24"/>
                <w:lang w:eastAsia="en-NZ"/>
              </w:rPr>
              <w:t>2019</w:t>
            </w:r>
          </w:p>
          <w:p w:rsidR="00DB7680" w:rsidRPr="0060478A" w:rsidRDefault="00DB7680" w:rsidP="00015600">
            <w:pPr>
              <w:autoSpaceDE w:val="0"/>
              <w:autoSpaceDN w:val="0"/>
              <w:spacing w:line="300" w:lineRule="atLeast"/>
              <w:jc w:val="right"/>
              <w:rPr>
                <w:rFonts w:eastAsia="Calibri"/>
                <w:b/>
                <w:bCs/>
                <w:szCs w:val="24"/>
                <w:lang w:eastAsia="en-NZ"/>
              </w:rPr>
            </w:pPr>
            <w:r w:rsidRPr="0060478A">
              <w:rPr>
                <w:b/>
                <w:bCs/>
                <w:szCs w:val="24"/>
                <w:lang w:eastAsia="en-NZ"/>
              </w:rPr>
              <w:t>/20</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b/>
                <w:bCs/>
                <w:szCs w:val="24"/>
                <w:lang w:eastAsia="en-NZ"/>
              </w:rPr>
            </w:pPr>
            <w:r w:rsidRPr="0060478A">
              <w:rPr>
                <w:b/>
                <w:bCs/>
                <w:szCs w:val="24"/>
                <w:lang w:eastAsia="en-NZ"/>
              </w:rPr>
              <w:t>2020</w:t>
            </w:r>
          </w:p>
          <w:p w:rsidR="00DB7680" w:rsidRPr="0060478A" w:rsidRDefault="00DB7680" w:rsidP="00015600">
            <w:pPr>
              <w:autoSpaceDE w:val="0"/>
              <w:autoSpaceDN w:val="0"/>
              <w:spacing w:line="300" w:lineRule="atLeast"/>
              <w:jc w:val="right"/>
              <w:rPr>
                <w:rFonts w:eastAsia="Calibri"/>
                <w:b/>
                <w:bCs/>
                <w:szCs w:val="24"/>
                <w:lang w:eastAsia="en-NZ"/>
              </w:rPr>
            </w:pPr>
            <w:r w:rsidRPr="0060478A">
              <w:rPr>
                <w:b/>
                <w:bCs/>
                <w:szCs w:val="24"/>
                <w:lang w:eastAsia="en-NZ"/>
              </w:rPr>
              <w:t>/21</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b/>
                <w:bCs/>
                <w:szCs w:val="24"/>
                <w:lang w:eastAsia="en-NZ"/>
              </w:rPr>
            </w:pPr>
            <w:r w:rsidRPr="0060478A">
              <w:rPr>
                <w:b/>
                <w:bCs/>
                <w:szCs w:val="24"/>
                <w:lang w:eastAsia="en-NZ"/>
              </w:rPr>
              <w:t>2021</w:t>
            </w:r>
          </w:p>
          <w:p w:rsidR="00DB7680" w:rsidRPr="0060478A" w:rsidRDefault="00DB7680" w:rsidP="00015600">
            <w:pPr>
              <w:autoSpaceDE w:val="0"/>
              <w:autoSpaceDN w:val="0"/>
              <w:spacing w:line="300" w:lineRule="atLeast"/>
              <w:jc w:val="right"/>
              <w:rPr>
                <w:rFonts w:eastAsia="Calibri"/>
                <w:b/>
                <w:bCs/>
                <w:szCs w:val="24"/>
                <w:lang w:eastAsia="en-NZ"/>
              </w:rPr>
            </w:pPr>
            <w:r w:rsidRPr="0060478A">
              <w:rPr>
                <w:b/>
                <w:bCs/>
                <w:szCs w:val="24"/>
                <w:lang w:eastAsia="en-NZ"/>
              </w:rPr>
              <w:t>/22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szCs w:val="24"/>
                <w:lang w:eastAsia="en-NZ"/>
              </w:rPr>
            </w:pPr>
            <w:r w:rsidRPr="0060478A">
              <w:rPr>
                <w:b/>
                <w:bCs/>
                <w:szCs w:val="24"/>
                <w:lang w:eastAsia="en-NZ"/>
              </w:rPr>
              <w:t>2022/23 and out years</w:t>
            </w:r>
          </w:p>
        </w:tc>
      </w:tr>
      <w:tr w:rsidR="00DB7680" w:rsidRPr="000E25EC" w:rsidTr="00C57F7C">
        <w:tc>
          <w:tcPr>
            <w:tcW w:w="322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B7680" w:rsidRPr="0060478A" w:rsidRDefault="00DB7680" w:rsidP="00015600">
            <w:pPr>
              <w:spacing w:line="300" w:lineRule="atLeast"/>
              <w:rPr>
                <w:rFonts w:eastAsia="Calibri"/>
                <w:szCs w:val="24"/>
              </w:rPr>
            </w:pPr>
            <w:r w:rsidRPr="0060478A">
              <w:rPr>
                <w:szCs w:val="24"/>
              </w:rPr>
              <w:t xml:space="preserve">Foreign hybrid entity </w:t>
            </w:r>
            <w:r>
              <w:rPr>
                <w:szCs w:val="24"/>
              </w:rPr>
              <w:t>double deductions</w:t>
            </w:r>
          </w:p>
        </w:tc>
        <w:tc>
          <w:tcPr>
            <w:tcW w:w="709" w:type="dxa"/>
            <w:tcBorders>
              <w:top w:val="nil"/>
              <w:left w:val="nil"/>
              <w:bottom w:val="single" w:sz="4"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szCs w:val="24"/>
                <w:lang w:eastAsia="en-NZ"/>
              </w:rPr>
            </w:pPr>
            <w:r w:rsidRPr="0060478A">
              <w:rPr>
                <w:szCs w:val="24"/>
                <w:lang w:eastAsia="en-NZ"/>
              </w:rPr>
              <w:t>0</w:t>
            </w:r>
          </w:p>
        </w:tc>
        <w:tc>
          <w:tcPr>
            <w:tcW w:w="851" w:type="dxa"/>
            <w:tcBorders>
              <w:top w:val="nil"/>
              <w:left w:val="nil"/>
              <w:bottom w:val="single" w:sz="4"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szCs w:val="24"/>
                <w:lang w:eastAsia="en-NZ"/>
              </w:rPr>
            </w:pPr>
            <w:r w:rsidRPr="0060478A">
              <w:rPr>
                <w:szCs w:val="24"/>
                <w:lang w:eastAsia="en-NZ"/>
              </w:rPr>
              <w:t>0</w:t>
            </w:r>
          </w:p>
        </w:tc>
        <w:tc>
          <w:tcPr>
            <w:tcW w:w="850" w:type="dxa"/>
            <w:tcBorders>
              <w:top w:val="nil"/>
              <w:left w:val="nil"/>
              <w:bottom w:val="single" w:sz="4"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szCs w:val="24"/>
                <w:lang w:eastAsia="en-NZ"/>
              </w:rPr>
            </w:pPr>
            <w:r w:rsidRPr="0060478A">
              <w:rPr>
                <w:rFonts w:eastAsia="Calibri"/>
                <w:szCs w:val="24"/>
                <w:lang w:eastAsia="en-NZ"/>
              </w:rPr>
              <w:t>25</w:t>
            </w:r>
          </w:p>
        </w:tc>
        <w:tc>
          <w:tcPr>
            <w:tcW w:w="851" w:type="dxa"/>
            <w:tcBorders>
              <w:top w:val="nil"/>
              <w:left w:val="nil"/>
              <w:bottom w:val="single" w:sz="4"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szCs w:val="24"/>
                <w:lang w:eastAsia="en-NZ"/>
              </w:rPr>
            </w:pPr>
            <w:r w:rsidRPr="0060478A">
              <w:rPr>
                <w:rFonts w:eastAsia="Calibri"/>
                <w:szCs w:val="24"/>
                <w:lang w:eastAsia="en-NZ"/>
              </w:rPr>
              <w:t>50</w:t>
            </w:r>
          </w:p>
        </w:tc>
        <w:tc>
          <w:tcPr>
            <w:tcW w:w="850" w:type="dxa"/>
            <w:tcBorders>
              <w:top w:val="nil"/>
              <w:left w:val="nil"/>
              <w:bottom w:val="single" w:sz="4"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szCs w:val="24"/>
                <w:lang w:eastAsia="en-NZ"/>
              </w:rPr>
            </w:pPr>
            <w:r w:rsidRPr="0060478A">
              <w:rPr>
                <w:szCs w:val="24"/>
                <w:lang w:eastAsia="en-NZ"/>
              </w:rPr>
              <w:t>50</w:t>
            </w:r>
          </w:p>
        </w:tc>
        <w:tc>
          <w:tcPr>
            <w:tcW w:w="851" w:type="dxa"/>
            <w:tcBorders>
              <w:top w:val="nil"/>
              <w:left w:val="nil"/>
              <w:bottom w:val="single" w:sz="4"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szCs w:val="24"/>
                <w:lang w:eastAsia="en-NZ"/>
              </w:rPr>
            </w:pPr>
            <w:r w:rsidRPr="0060478A">
              <w:rPr>
                <w:szCs w:val="24"/>
                <w:lang w:eastAsia="en-NZ"/>
              </w:rPr>
              <w:t>50</w:t>
            </w:r>
          </w:p>
        </w:tc>
        <w:tc>
          <w:tcPr>
            <w:tcW w:w="1134" w:type="dxa"/>
            <w:tcBorders>
              <w:top w:val="nil"/>
              <w:left w:val="nil"/>
              <w:bottom w:val="single" w:sz="4"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szCs w:val="24"/>
                <w:highlight w:val="yellow"/>
                <w:lang w:eastAsia="en-NZ"/>
              </w:rPr>
            </w:pPr>
            <w:r w:rsidRPr="0060478A">
              <w:rPr>
                <w:szCs w:val="24"/>
                <w:lang w:eastAsia="en-NZ"/>
              </w:rPr>
              <w:t>50</w:t>
            </w:r>
          </w:p>
        </w:tc>
      </w:tr>
      <w:tr w:rsidR="00DB7680" w:rsidRPr="000E25EC" w:rsidTr="00C57F7C">
        <w:tc>
          <w:tcPr>
            <w:tcW w:w="322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B7680" w:rsidRPr="0060478A" w:rsidDel="00FD2CED" w:rsidRDefault="00DB7680" w:rsidP="00015600">
            <w:pPr>
              <w:spacing w:line="300" w:lineRule="atLeast"/>
              <w:rPr>
                <w:szCs w:val="24"/>
              </w:rPr>
            </w:pPr>
            <w:r w:rsidRPr="0060478A">
              <w:rPr>
                <w:szCs w:val="24"/>
              </w:rPr>
              <w:t>Other BEPS measures</w:t>
            </w: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B7680" w:rsidRPr="0060478A" w:rsidRDefault="00DB7680" w:rsidP="00015600">
            <w:pPr>
              <w:autoSpaceDE w:val="0"/>
              <w:autoSpaceDN w:val="0"/>
              <w:spacing w:line="300" w:lineRule="atLeast"/>
              <w:jc w:val="right"/>
              <w:rPr>
                <w:szCs w:val="24"/>
                <w:lang w:eastAsia="en-NZ"/>
              </w:rPr>
            </w:pPr>
            <w:r w:rsidRPr="0060478A">
              <w:rPr>
                <w:szCs w:val="24"/>
                <w:lang w:eastAsia="en-NZ"/>
              </w:rPr>
              <w:t>0</w:t>
            </w:r>
          </w:p>
        </w:tc>
        <w:tc>
          <w:tcPr>
            <w:tcW w:w="85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B7680" w:rsidRPr="0060478A" w:rsidRDefault="00DB7680" w:rsidP="00015600">
            <w:pPr>
              <w:autoSpaceDE w:val="0"/>
              <w:autoSpaceDN w:val="0"/>
              <w:spacing w:line="300" w:lineRule="atLeast"/>
              <w:jc w:val="right"/>
              <w:rPr>
                <w:szCs w:val="24"/>
                <w:lang w:eastAsia="en-NZ"/>
              </w:rPr>
            </w:pPr>
            <w:r w:rsidRPr="0060478A">
              <w:rPr>
                <w:szCs w:val="24"/>
                <w:lang w:eastAsia="en-NZ"/>
              </w:rPr>
              <w:t>0</w:t>
            </w:r>
          </w:p>
        </w:tc>
        <w:tc>
          <w:tcPr>
            <w:tcW w:w="85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B7680" w:rsidRPr="0060478A" w:rsidRDefault="00DB7680" w:rsidP="00015600">
            <w:pPr>
              <w:autoSpaceDE w:val="0"/>
              <w:autoSpaceDN w:val="0"/>
              <w:spacing w:line="300" w:lineRule="atLeast"/>
              <w:jc w:val="right"/>
              <w:rPr>
                <w:rFonts w:eastAsia="Calibri"/>
                <w:szCs w:val="24"/>
                <w:lang w:eastAsia="en-NZ"/>
              </w:rPr>
            </w:pPr>
            <w:r w:rsidRPr="0060478A">
              <w:rPr>
                <w:rFonts w:eastAsia="Calibri"/>
                <w:szCs w:val="24"/>
                <w:lang w:eastAsia="en-NZ"/>
              </w:rPr>
              <w:t>25</w:t>
            </w:r>
          </w:p>
        </w:tc>
        <w:tc>
          <w:tcPr>
            <w:tcW w:w="85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B7680" w:rsidRPr="0060478A" w:rsidRDefault="00DB7680" w:rsidP="00015600">
            <w:pPr>
              <w:autoSpaceDE w:val="0"/>
              <w:autoSpaceDN w:val="0"/>
              <w:spacing w:line="300" w:lineRule="atLeast"/>
              <w:jc w:val="right"/>
              <w:rPr>
                <w:rFonts w:eastAsia="Calibri"/>
                <w:szCs w:val="24"/>
                <w:lang w:eastAsia="en-NZ"/>
              </w:rPr>
            </w:pPr>
            <w:r w:rsidRPr="0060478A">
              <w:rPr>
                <w:rFonts w:eastAsia="Calibri"/>
                <w:szCs w:val="24"/>
                <w:lang w:eastAsia="en-NZ"/>
              </w:rPr>
              <w:t>50</w:t>
            </w:r>
          </w:p>
        </w:tc>
        <w:tc>
          <w:tcPr>
            <w:tcW w:w="85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B7680" w:rsidRPr="0060478A" w:rsidRDefault="00DB7680" w:rsidP="00015600">
            <w:pPr>
              <w:autoSpaceDE w:val="0"/>
              <w:autoSpaceDN w:val="0"/>
              <w:spacing w:line="300" w:lineRule="atLeast"/>
              <w:jc w:val="right"/>
              <w:rPr>
                <w:szCs w:val="24"/>
                <w:lang w:eastAsia="en-NZ"/>
              </w:rPr>
            </w:pPr>
            <w:r w:rsidRPr="0060478A">
              <w:rPr>
                <w:szCs w:val="24"/>
                <w:lang w:eastAsia="en-NZ"/>
              </w:rPr>
              <w:t>50</w:t>
            </w:r>
          </w:p>
        </w:tc>
        <w:tc>
          <w:tcPr>
            <w:tcW w:w="85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B7680" w:rsidRPr="0060478A" w:rsidRDefault="00DB7680" w:rsidP="00015600">
            <w:pPr>
              <w:autoSpaceDE w:val="0"/>
              <w:autoSpaceDN w:val="0"/>
              <w:spacing w:line="300" w:lineRule="atLeast"/>
              <w:jc w:val="right"/>
              <w:rPr>
                <w:szCs w:val="24"/>
                <w:lang w:eastAsia="en-NZ"/>
              </w:rPr>
            </w:pPr>
            <w:r w:rsidRPr="0060478A">
              <w:rPr>
                <w:szCs w:val="24"/>
                <w:lang w:eastAsia="en-NZ"/>
              </w:rPr>
              <w:t>50</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B7680" w:rsidRPr="0060478A" w:rsidRDefault="00DB7680" w:rsidP="00015600">
            <w:pPr>
              <w:autoSpaceDE w:val="0"/>
              <w:autoSpaceDN w:val="0"/>
              <w:spacing w:line="300" w:lineRule="atLeast"/>
              <w:jc w:val="right"/>
              <w:rPr>
                <w:szCs w:val="24"/>
                <w:lang w:eastAsia="en-NZ"/>
              </w:rPr>
            </w:pPr>
            <w:r w:rsidRPr="0060478A">
              <w:rPr>
                <w:szCs w:val="24"/>
                <w:lang w:eastAsia="en-NZ"/>
              </w:rPr>
              <w:t>50</w:t>
            </w:r>
          </w:p>
        </w:tc>
      </w:tr>
      <w:tr w:rsidR="00DB7680" w:rsidRPr="000E25EC" w:rsidTr="00C57F7C">
        <w:tc>
          <w:tcPr>
            <w:tcW w:w="322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DB7680" w:rsidRPr="0060478A" w:rsidRDefault="00DB7680" w:rsidP="00015600">
            <w:pPr>
              <w:spacing w:line="300" w:lineRule="atLeast"/>
              <w:rPr>
                <w:b/>
                <w:szCs w:val="24"/>
              </w:rPr>
            </w:pPr>
            <w:r w:rsidRPr="0060478A">
              <w:rPr>
                <w:b/>
                <w:szCs w:val="24"/>
              </w:rPr>
              <w:t>Total revenue effect</w:t>
            </w:r>
          </w:p>
        </w:tc>
        <w:tc>
          <w:tcPr>
            <w:tcW w:w="70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B7680" w:rsidRPr="0060478A" w:rsidRDefault="00DB7680" w:rsidP="00015600">
            <w:pPr>
              <w:autoSpaceDE w:val="0"/>
              <w:autoSpaceDN w:val="0"/>
              <w:spacing w:line="300" w:lineRule="atLeast"/>
              <w:jc w:val="right"/>
              <w:rPr>
                <w:szCs w:val="24"/>
                <w:lang w:eastAsia="en-NZ"/>
              </w:rPr>
            </w:pPr>
            <w:r w:rsidRPr="0060478A">
              <w:rPr>
                <w:szCs w:val="24"/>
                <w:lang w:eastAsia="en-NZ"/>
              </w:rPr>
              <w:t>0</w:t>
            </w:r>
          </w:p>
        </w:tc>
        <w:tc>
          <w:tcPr>
            <w:tcW w:w="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B7680" w:rsidRPr="0060478A" w:rsidRDefault="00DB7680" w:rsidP="00015600">
            <w:pPr>
              <w:autoSpaceDE w:val="0"/>
              <w:autoSpaceDN w:val="0"/>
              <w:spacing w:line="300" w:lineRule="atLeast"/>
              <w:jc w:val="right"/>
              <w:rPr>
                <w:szCs w:val="24"/>
                <w:lang w:eastAsia="en-NZ"/>
              </w:rPr>
            </w:pPr>
            <w:r w:rsidRPr="0060478A">
              <w:rPr>
                <w:szCs w:val="24"/>
                <w:lang w:eastAsia="en-NZ"/>
              </w:rPr>
              <w:t>0</w:t>
            </w:r>
          </w:p>
        </w:tc>
        <w:tc>
          <w:tcPr>
            <w:tcW w:w="85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B7680" w:rsidRPr="0060478A" w:rsidRDefault="00DB7680" w:rsidP="00015600">
            <w:pPr>
              <w:autoSpaceDE w:val="0"/>
              <w:autoSpaceDN w:val="0"/>
              <w:spacing w:line="300" w:lineRule="atLeast"/>
              <w:jc w:val="right"/>
              <w:rPr>
                <w:rFonts w:eastAsia="Calibri"/>
                <w:szCs w:val="24"/>
                <w:lang w:eastAsia="en-NZ"/>
              </w:rPr>
            </w:pPr>
            <w:r w:rsidRPr="0060478A">
              <w:rPr>
                <w:rFonts w:eastAsia="Calibri"/>
                <w:szCs w:val="24"/>
                <w:lang w:eastAsia="en-NZ"/>
              </w:rPr>
              <w:t>50</w:t>
            </w:r>
          </w:p>
        </w:tc>
        <w:tc>
          <w:tcPr>
            <w:tcW w:w="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B7680" w:rsidRPr="0060478A" w:rsidRDefault="00DB7680" w:rsidP="00015600">
            <w:pPr>
              <w:autoSpaceDE w:val="0"/>
              <w:autoSpaceDN w:val="0"/>
              <w:spacing w:line="300" w:lineRule="atLeast"/>
              <w:jc w:val="right"/>
              <w:rPr>
                <w:rFonts w:eastAsia="Calibri"/>
                <w:szCs w:val="24"/>
                <w:lang w:eastAsia="en-NZ"/>
              </w:rPr>
            </w:pPr>
            <w:r w:rsidRPr="0060478A">
              <w:rPr>
                <w:rFonts w:eastAsia="Calibri"/>
                <w:szCs w:val="24"/>
                <w:lang w:eastAsia="en-NZ"/>
              </w:rPr>
              <w:t>100</w:t>
            </w:r>
          </w:p>
        </w:tc>
        <w:tc>
          <w:tcPr>
            <w:tcW w:w="85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B7680" w:rsidRPr="0060478A" w:rsidRDefault="00DB7680" w:rsidP="00015600">
            <w:pPr>
              <w:autoSpaceDE w:val="0"/>
              <w:autoSpaceDN w:val="0"/>
              <w:spacing w:line="300" w:lineRule="atLeast"/>
              <w:jc w:val="right"/>
              <w:rPr>
                <w:szCs w:val="24"/>
                <w:lang w:eastAsia="en-NZ"/>
              </w:rPr>
            </w:pPr>
            <w:r w:rsidRPr="0060478A">
              <w:rPr>
                <w:szCs w:val="24"/>
                <w:lang w:eastAsia="en-NZ"/>
              </w:rPr>
              <w:t>100</w:t>
            </w:r>
          </w:p>
        </w:tc>
        <w:tc>
          <w:tcPr>
            <w:tcW w:w="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B7680" w:rsidRPr="0060478A" w:rsidRDefault="00DB7680" w:rsidP="00015600">
            <w:pPr>
              <w:autoSpaceDE w:val="0"/>
              <w:autoSpaceDN w:val="0"/>
              <w:spacing w:line="300" w:lineRule="atLeast"/>
              <w:jc w:val="right"/>
              <w:rPr>
                <w:szCs w:val="24"/>
                <w:lang w:eastAsia="en-NZ"/>
              </w:rPr>
            </w:pPr>
            <w:r w:rsidRPr="0060478A">
              <w:rPr>
                <w:szCs w:val="24"/>
                <w:lang w:eastAsia="en-NZ"/>
              </w:rPr>
              <w:t>100</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B7680" w:rsidRPr="0060478A" w:rsidRDefault="00DB7680" w:rsidP="00015600">
            <w:pPr>
              <w:autoSpaceDE w:val="0"/>
              <w:autoSpaceDN w:val="0"/>
              <w:spacing w:line="300" w:lineRule="atLeast"/>
              <w:jc w:val="right"/>
              <w:rPr>
                <w:szCs w:val="24"/>
                <w:lang w:eastAsia="en-NZ"/>
              </w:rPr>
            </w:pPr>
            <w:r w:rsidRPr="0060478A">
              <w:rPr>
                <w:szCs w:val="24"/>
                <w:lang w:eastAsia="en-NZ"/>
              </w:rPr>
              <w:t>100</w:t>
            </w:r>
          </w:p>
        </w:tc>
      </w:tr>
    </w:tbl>
    <w:p w:rsidR="00DB7680" w:rsidRDefault="00DB7680" w:rsidP="00015600">
      <w:pPr>
        <w:pStyle w:val="TRBodyText"/>
        <w:tabs>
          <w:tab w:val="left" w:pos="567"/>
        </w:tabs>
      </w:pPr>
    </w:p>
    <w:p w:rsidR="00DB7680" w:rsidRDefault="00DB7680" w:rsidP="00015600">
      <w:pPr>
        <w:pStyle w:val="TRBodyText"/>
        <w:tabs>
          <w:tab w:val="left" w:pos="567"/>
        </w:tabs>
      </w:pPr>
      <w:r w:rsidRPr="00B6233D">
        <w:fldChar w:fldCharType="begin"/>
      </w:r>
      <w:r w:rsidRPr="00B6233D">
        <w:instrText xml:space="preserve"> AUTONUM  </w:instrText>
      </w:r>
      <w:r w:rsidRPr="00B6233D">
        <w:fldChar w:fldCharType="end"/>
      </w:r>
      <w:r>
        <w:tab/>
        <w:t>If our recommendations in these four reports are agreed to and adopted by the Government, then the forecasts could be adjusted further by these amounts:</w:t>
      </w:r>
    </w:p>
    <w:p w:rsidR="00DB7680" w:rsidRDefault="00DB7680" w:rsidP="00015600">
      <w:pPr>
        <w:pStyle w:val="TRBodyText"/>
        <w:tabs>
          <w:tab w:val="left" w:pos="567"/>
        </w:tabs>
      </w:pPr>
    </w:p>
    <w:tbl>
      <w:tblPr>
        <w:tblW w:w="9300" w:type="dxa"/>
        <w:tblLayout w:type="fixed"/>
        <w:tblCellMar>
          <w:left w:w="0" w:type="dxa"/>
          <w:right w:w="0" w:type="dxa"/>
        </w:tblCellMar>
        <w:tblLook w:val="04A0" w:firstRow="1" w:lastRow="0" w:firstColumn="1" w:lastColumn="0" w:noHBand="0" w:noVBand="1"/>
      </w:tblPr>
      <w:tblGrid>
        <w:gridCol w:w="3936"/>
        <w:gridCol w:w="696"/>
        <w:gridCol w:w="699"/>
        <w:gridCol w:w="709"/>
        <w:gridCol w:w="709"/>
        <w:gridCol w:w="708"/>
        <w:gridCol w:w="709"/>
        <w:gridCol w:w="1134"/>
      </w:tblGrid>
      <w:tr w:rsidR="00DB7680" w:rsidRPr="000E25EC" w:rsidTr="00C57F7C">
        <w:tc>
          <w:tcPr>
            <w:tcW w:w="9300"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center"/>
              <w:rPr>
                <w:rFonts w:eastAsia="Calibri"/>
                <w:szCs w:val="24"/>
                <w:lang w:eastAsia="en-NZ"/>
              </w:rPr>
            </w:pPr>
            <w:r w:rsidRPr="0060478A">
              <w:rPr>
                <w:szCs w:val="24"/>
                <w:lang w:eastAsia="en-NZ"/>
              </w:rPr>
              <w:t>$ million – increase / (decrease)</w:t>
            </w:r>
          </w:p>
        </w:tc>
      </w:tr>
      <w:tr w:rsidR="00DB7680" w:rsidRPr="000E25EC" w:rsidTr="00C57F7C">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rPr>
                <w:rFonts w:eastAsia="Calibri"/>
                <w:b/>
                <w:bCs/>
                <w:szCs w:val="24"/>
                <w:lang w:eastAsia="en-NZ"/>
              </w:rPr>
            </w:pPr>
            <w:r w:rsidRPr="0060478A">
              <w:rPr>
                <w:b/>
                <w:bCs/>
                <w:szCs w:val="24"/>
                <w:lang w:eastAsia="en-NZ"/>
              </w:rPr>
              <w:t>Vote Revenue</w:t>
            </w:r>
          </w:p>
        </w:tc>
        <w:tc>
          <w:tcPr>
            <w:tcW w:w="696" w:type="dxa"/>
            <w:tcBorders>
              <w:top w:val="nil"/>
              <w:left w:val="nil"/>
              <w:bottom w:val="single" w:sz="8"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b/>
                <w:bCs/>
                <w:szCs w:val="24"/>
                <w:lang w:eastAsia="en-NZ"/>
              </w:rPr>
            </w:pPr>
            <w:r w:rsidRPr="0060478A">
              <w:rPr>
                <w:b/>
                <w:bCs/>
                <w:szCs w:val="24"/>
                <w:lang w:eastAsia="en-NZ"/>
              </w:rPr>
              <w:t>2016</w:t>
            </w:r>
          </w:p>
          <w:p w:rsidR="00DB7680" w:rsidRPr="0060478A" w:rsidRDefault="00DB7680" w:rsidP="00015600">
            <w:pPr>
              <w:autoSpaceDE w:val="0"/>
              <w:autoSpaceDN w:val="0"/>
              <w:spacing w:line="300" w:lineRule="atLeast"/>
              <w:jc w:val="right"/>
              <w:rPr>
                <w:rFonts w:eastAsia="Calibri"/>
                <w:b/>
                <w:bCs/>
                <w:szCs w:val="24"/>
                <w:lang w:eastAsia="en-NZ"/>
              </w:rPr>
            </w:pPr>
            <w:r w:rsidRPr="0060478A">
              <w:rPr>
                <w:b/>
                <w:bCs/>
                <w:szCs w:val="24"/>
                <w:lang w:eastAsia="en-NZ"/>
              </w:rPr>
              <w:t>/17</w:t>
            </w:r>
          </w:p>
        </w:tc>
        <w:tc>
          <w:tcPr>
            <w:tcW w:w="699" w:type="dxa"/>
            <w:tcBorders>
              <w:top w:val="nil"/>
              <w:left w:val="nil"/>
              <w:bottom w:val="single" w:sz="8"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b/>
                <w:bCs/>
                <w:szCs w:val="24"/>
                <w:lang w:eastAsia="en-NZ"/>
              </w:rPr>
            </w:pPr>
            <w:r w:rsidRPr="0060478A">
              <w:rPr>
                <w:b/>
                <w:bCs/>
                <w:szCs w:val="24"/>
                <w:lang w:eastAsia="en-NZ"/>
              </w:rPr>
              <w:t>2017</w:t>
            </w:r>
          </w:p>
          <w:p w:rsidR="00DB7680" w:rsidRPr="0060478A" w:rsidRDefault="00DB7680" w:rsidP="00015600">
            <w:pPr>
              <w:autoSpaceDE w:val="0"/>
              <w:autoSpaceDN w:val="0"/>
              <w:spacing w:line="300" w:lineRule="atLeast"/>
              <w:jc w:val="right"/>
              <w:rPr>
                <w:rFonts w:eastAsia="Calibri"/>
                <w:b/>
                <w:bCs/>
                <w:szCs w:val="24"/>
                <w:lang w:eastAsia="en-NZ"/>
              </w:rPr>
            </w:pPr>
            <w:r w:rsidRPr="0060478A">
              <w:rPr>
                <w:b/>
                <w:bCs/>
                <w:szCs w:val="24"/>
                <w:lang w:eastAsia="en-NZ"/>
              </w:rPr>
              <w:t>/18</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b/>
                <w:bCs/>
                <w:szCs w:val="24"/>
                <w:lang w:eastAsia="en-NZ"/>
              </w:rPr>
            </w:pPr>
            <w:r w:rsidRPr="0060478A">
              <w:rPr>
                <w:b/>
                <w:bCs/>
                <w:szCs w:val="24"/>
                <w:lang w:eastAsia="en-NZ"/>
              </w:rPr>
              <w:t>2018</w:t>
            </w:r>
          </w:p>
          <w:p w:rsidR="00DB7680" w:rsidRPr="0060478A" w:rsidRDefault="00DB7680" w:rsidP="00015600">
            <w:pPr>
              <w:autoSpaceDE w:val="0"/>
              <w:autoSpaceDN w:val="0"/>
              <w:spacing w:line="300" w:lineRule="atLeast"/>
              <w:jc w:val="right"/>
              <w:rPr>
                <w:rFonts w:eastAsia="Calibri"/>
                <w:b/>
                <w:bCs/>
                <w:szCs w:val="24"/>
                <w:lang w:eastAsia="en-NZ"/>
              </w:rPr>
            </w:pPr>
            <w:r w:rsidRPr="0060478A">
              <w:rPr>
                <w:b/>
                <w:bCs/>
                <w:szCs w:val="24"/>
                <w:lang w:eastAsia="en-NZ"/>
              </w:rPr>
              <w:t>/19</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b/>
                <w:bCs/>
                <w:szCs w:val="24"/>
                <w:lang w:eastAsia="en-NZ"/>
              </w:rPr>
            </w:pPr>
            <w:r w:rsidRPr="0060478A">
              <w:rPr>
                <w:b/>
                <w:bCs/>
                <w:szCs w:val="24"/>
                <w:lang w:eastAsia="en-NZ"/>
              </w:rPr>
              <w:t>2019</w:t>
            </w:r>
          </w:p>
          <w:p w:rsidR="00DB7680" w:rsidRPr="0060478A" w:rsidRDefault="00DB7680" w:rsidP="00015600">
            <w:pPr>
              <w:autoSpaceDE w:val="0"/>
              <w:autoSpaceDN w:val="0"/>
              <w:spacing w:line="300" w:lineRule="atLeast"/>
              <w:jc w:val="right"/>
              <w:rPr>
                <w:rFonts w:eastAsia="Calibri"/>
                <w:b/>
                <w:bCs/>
                <w:szCs w:val="24"/>
                <w:lang w:eastAsia="en-NZ"/>
              </w:rPr>
            </w:pPr>
            <w:r w:rsidRPr="0060478A">
              <w:rPr>
                <w:b/>
                <w:bCs/>
                <w:szCs w:val="24"/>
                <w:lang w:eastAsia="en-NZ"/>
              </w:rPr>
              <w:t>/20</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b/>
                <w:bCs/>
                <w:szCs w:val="24"/>
                <w:lang w:eastAsia="en-NZ"/>
              </w:rPr>
            </w:pPr>
            <w:r w:rsidRPr="0060478A">
              <w:rPr>
                <w:b/>
                <w:bCs/>
                <w:szCs w:val="24"/>
                <w:lang w:eastAsia="en-NZ"/>
              </w:rPr>
              <w:t>2020</w:t>
            </w:r>
          </w:p>
          <w:p w:rsidR="00DB7680" w:rsidRPr="0060478A" w:rsidRDefault="00DB7680" w:rsidP="00015600">
            <w:pPr>
              <w:autoSpaceDE w:val="0"/>
              <w:autoSpaceDN w:val="0"/>
              <w:spacing w:line="300" w:lineRule="atLeast"/>
              <w:jc w:val="right"/>
              <w:rPr>
                <w:rFonts w:eastAsia="Calibri"/>
                <w:b/>
                <w:bCs/>
                <w:szCs w:val="24"/>
                <w:lang w:eastAsia="en-NZ"/>
              </w:rPr>
            </w:pPr>
            <w:r w:rsidRPr="0060478A">
              <w:rPr>
                <w:b/>
                <w:bCs/>
                <w:szCs w:val="24"/>
                <w:lang w:eastAsia="en-NZ"/>
              </w:rPr>
              <w:t>/21</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b/>
                <w:bCs/>
                <w:szCs w:val="24"/>
                <w:lang w:eastAsia="en-NZ"/>
              </w:rPr>
            </w:pPr>
            <w:r w:rsidRPr="0060478A">
              <w:rPr>
                <w:b/>
                <w:bCs/>
                <w:szCs w:val="24"/>
                <w:lang w:eastAsia="en-NZ"/>
              </w:rPr>
              <w:t>2021</w:t>
            </w:r>
          </w:p>
          <w:p w:rsidR="00DB7680" w:rsidRPr="0060478A" w:rsidRDefault="00DB7680" w:rsidP="00015600">
            <w:pPr>
              <w:autoSpaceDE w:val="0"/>
              <w:autoSpaceDN w:val="0"/>
              <w:spacing w:line="300" w:lineRule="atLeast"/>
              <w:jc w:val="right"/>
              <w:rPr>
                <w:rFonts w:eastAsia="Calibri"/>
                <w:b/>
                <w:bCs/>
                <w:szCs w:val="24"/>
                <w:lang w:eastAsia="en-NZ"/>
              </w:rPr>
            </w:pPr>
            <w:r w:rsidRPr="0060478A">
              <w:rPr>
                <w:b/>
                <w:bCs/>
                <w:szCs w:val="24"/>
                <w:lang w:eastAsia="en-NZ"/>
              </w:rPr>
              <w:t>/22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szCs w:val="24"/>
                <w:lang w:eastAsia="en-NZ"/>
              </w:rPr>
            </w:pPr>
            <w:r w:rsidRPr="0060478A">
              <w:rPr>
                <w:b/>
                <w:bCs/>
                <w:szCs w:val="24"/>
                <w:lang w:eastAsia="en-NZ"/>
              </w:rPr>
              <w:t>2022/23 and out years</w:t>
            </w:r>
          </w:p>
        </w:tc>
      </w:tr>
      <w:tr w:rsidR="00DB7680" w:rsidRPr="000E25EC" w:rsidTr="00D000FA">
        <w:tc>
          <w:tcPr>
            <w:tcW w:w="393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B7680" w:rsidRPr="0060478A" w:rsidRDefault="00DB7680" w:rsidP="00015600">
            <w:pPr>
              <w:tabs>
                <w:tab w:val="left" w:pos="3720"/>
              </w:tabs>
              <w:spacing w:line="300" w:lineRule="atLeast"/>
              <w:rPr>
                <w:rFonts w:eastAsia="Calibri"/>
                <w:szCs w:val="24"/>
              </w:rPr>
            </w:pPr>
            <w:r>
              <w:rPr>
                <w:szCs w:val="24"/>
              </w:rPr>
              <w:t>BEPS measures – transfer pricing, permanent establishments, and interest limitation</w:t>
            </w:r>
          </w:p>
        </w:tc>
        <w:tc>
          <w:tcPr>
            <w:tcW w:w="696" w:type="dxa"/>
            <w:tcBorders>
              <w:top w:val="nil"/>
              <w:left w:val="nil"/>
              <w:bottom w:val="single" w:sz="4"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szCs w:val="24"/>
                <w:lang w:eastAsia="en-NZ"/>
              </w:rPr>
            </w:pPr>
            <w:r w:rsidRPr="0060478A">
              <w:rPr>
                <w:szCs w:val="24"/>
                <w:lang w:eastAsia="en-NZ"/>
              </w:rPr>
              <w:t>0</w:t>
            </w:r>
          </w:p>
        </w:tc>
        <w:tc>
          <w:tcPr>
            <w:tcW w:w="699" w:type="dxa"/>
            <w:tcBorders>
              <w:top w:val="nil"/>
              <w:left w:val="nil"/>
              <w:bottom w:val="single" w:sz="4"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szCs w:val="24"/>
                <w:lang w:eastAsia="en-NZ"/>
              </w:rPr>
            </w:pPr>
            <w:r w:rsidRPr="0060478A">
              <w:rPr>
                <w:szCs w:val="24"/>
                <w:lang w:eastAsia="en-NZ"/>
              </w:rPr>
              <w:t>0</w:t>
            </w:r>
          </w:p>
        </w:tc>
        <w:tc>
          <w:tcPr>
            <w:tcW w:w="709" w:type="dxa"/>
            <w:tcBorders>
              <w:top w:val="nil"/>
              <w:left w:val="nil"/>
              <w:bottom w:val="single" w:sz="4"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szCs w:val="24"/>
                <w:lang w:eastAsia="en-NZ"/>
              </w:rPr>
            </w:pPr>
            <w:r>
              <w:rPr>
                <w:rFonts w:eastAsia="Calibri"/>
                <w:szCs w:val="24"/>
                <w:lang w:eastAsia="en-NZ"/>
              </w:rPr>
              <w:t>45</w:t>
            </w:r>
          </w:p>
        </w:tc>
        <w:tc>
          <w:tcPr>
            <w:tcW w:w="709" w:type="dxa"/>
            <w:tcBorders>
              <w:top w:val="nil"/>
              <w:left w:val="nil"/>
              <w:bottom w:val="single" w:sz="4"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szCs w:val="24"/>
                <w:lang w:eastAsia="en-NZ"/>
              </w:rPr>
            </w:pPr>
            <w:r>
              <w:rPr>
                <w:rFonts w:eastAsia="Calibri"/>
                <w:szCs w:val="24"/>
                <w:lang w:eastAsia="en-NZ"/>
              </w:rPr>
              <w:t>90</w:t>
            </w:r>
          </w:p>
        </w:tc>
        <w:tc>
          <w:tcPr>
            <w:tcW w:w="708" w:type="dxa"/>
            <w:tcBorders>
              <w:top w:val="nil"/>
              <w:left w:val="nil"/>
              <w:bottom w:val="single" w:sz="4"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szCs w:val="24"/>
                <w:lang w:eastAsia="en-NZ"/>
              </w:rPr>
            </w:pPr>
            <w:r>
              <w:rPr>
                <w:szCs w:val="24"/>
                <w:lang w:eastAsia="en-NZ"/>
              </w:rPr>
              <w:t>90</w:t>
            </w:r>
          </w:p>
        </w:tc>
        <w:tc>
          <w:tcPr>
            <w:tcW w:w="709" w:type="dxa"/>
            <w:tcBorders>
              <w:top w:val="nil"/>
              <w:left w:val="nil"/>
              <w:bottom w:val="single" w:sz="4"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szCs w:val="24"/>
                <w:lang w:eastAsia="en-NZ"/>
              </w:rPr>
            </w:pPr>
            <w:r>
              <w:rPr>
                <w:szCs w:val="24"/>
                <w:lang w:eastAsia="en-NZ"/>
              </w:rPr>
              <w:t>90</w:t>
            </w:r>
          </w:p>
        </w:tc>
        <w:tc>
          <w:tcPr>
            <w:tcW w:w="1134" w:type="dxa"/>
            <w:tcBorders>
              <w:top w:val="nil"/>
              <w:left w:val="nil"/>
              <w:bottom w:val="single" w:sz="4" w:space="0" w:color="auto"/>
              <w:right w:val="single" w:sz="8" w:space="0" w:color="auto"/>
            </w:tcBorders>
            <w:tcMar>
              <w:top w:w="0" w:type="dxa"/>
              <w:left w:w="108" w:type="dxa"/>
              <w:bottom w:w="0" w:type="dxa"/>
              <w:right w:w="108" w:type="dxa"/>
            </w:tcMar>
            <w:hideMark/>
          </w:tcPr>
          <w:p w:rsidR="00DB7680" w:rsidRPr="0060478A" w:rsidRDefault="00DB7680" w:rsidP="00015600">
            <w:pPr>
              <w:autoSpaceDE w:val="0"/>
              <w:autoSpaceDN w:val="0"/>
              <w:spacing w:line="300" w:lineRule="atLeast"/>
              <w:jc w:val="right"/>
              <w:rPr>
                <w:rFonts w:eastAsia="Calibri"/>
                <w:szCs w:val="24"/>
                <w:highlight w:val="yellow"/>
                <w:lang w:eastAsia="en-NZ"/>
              </w:rPr>
            </w:pPr>
            <w:r>
              <w:rPr>
                <w:szCs w:val="24"/>
                <w:lang w:eastAsia="en-NZ"/>
              </w:rPr>
              <w:t>90</w:t>
            </w:r>
          </w:p>
        </w:tc>
      </w:tr>
      <w:tr w:rsidR="002B49A7" w:rsidRPr="000E25EC" w:rsidTr="00D000FA">
        <w:tc>
          <w:tcPr>
            <w:tcW w:w="3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B49A7" w:rsidRDefault="002B49A7" w:rsidP="002B49A7">
            <w:pPr>
              <w:tabs>
                <w:tab w:val="left" w:pos="3720"/>
              </w:tabs>
              <w:spacing w:line="300" w:lineRule="atLeast"/>
              <w:rPr>
                <w:szCs w:val="24"/>
              </w:rPr>
            </w:pPr>
            <w:r>
              <w:rPr>
                <w:szCs w:val="24"/>
              </w:rPr>
              <w:t>BEPS measures – hybrid instruments</w:t>
            </w:r>
          </w:p>
        </w:tc>
        <w:tc>
          <w:tcPr>
            <w:tcW w:w="69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B49A7" w:rsidRPr="0060478A" w:rsidRDefault="002B49A7" w:rsidP="00EF7C9C">
            <w:pPr>
              <w:autoSpaceDE w:val="0"/>
              <w:autoSpaceDN w:val="0"/>
              <w:spacing w:line="300" w:lineRule="atLeast"/>
              <w:jc w:val="right"/>
              <w:rPr>
                <w:szCs w:val="24"/>
                <w:lang w:eastAsia="en-NZ"/>
              </w:rPr>
            </w:pPr>
            <w:r>
              <w:rPr>
                <w:szCs w:val="24"/>
                <w:lang w:eastAsia="en-NZ"/>
              </w:rPr>
              <w:t>0</w:t>
            </w:r>
          </w:p>
        </w:tc>
        <w:tc>
          <w:tcPr>
            <w:tcW w:w="69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B49A7" w:rsidRPr="0060478A" w:rsidRDefault="002B49A7" w:rsidP="00EF7C9C">
            <w:pPr>
              <w:autoSpaceDE w:val="0"/>
              <w:autoSpaceDN w:val="0"/>
              <w:spacing w:line="300" w:lineRule="atLeast"/>
              <w:jc w:val="right"/>
              <w:rPr>
                <w:szCs w:val="24"/>
                <w:lang w:eastAsia="en-NZ"/>
              </w:rPr>
            </w:pPr>
            <w:r>
              <w:rPr>
                <w:szCs w:val="24"/>
                <w:lang w:eastAsia="en-NZ"/>
              </w:rPr>
              <w:t>0</w:t>
            </w: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B49A7" w:rsidRDefault="002B49A7" w:rsidP="00EF7C9C">
            <w:pPr>
              <w:autoSpaceDE w:val="0"/>
              <w:autoSpaceDN w:val="0"/>
              <w:spacing w:line="300" w:lineRule="atLeast"/>
              <w:jc w:val="right"/>
              <w:rPr>
                <w:rFonts w:eastAsia="Calibri"/>
                <w:szCs w:val="24"/>
                <w:lang w:eastAsia="en-NZ"/>
              </w:rPr>
            </w:pPr>
            <w:r>
              <w:rPr>
                <w:rFonts w:eastAsia="Calibri"/>
                <w:szCs w:val="24"/>
                <w:lang w:eastAsia="en-NZ"/>
              </w:rPr>
              <w:t>19</w:t>
            </w: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B49A7" w:rsidRDefault="002B49A7" w:rsidP="00EF7C9C">
            <w:pPr>
              <w:autoSpaceDE w:val="0"/>
              <w:autoSpaceDN w:val="0"/>
              <w:spacing w:line="300" w:lineRule="atLeast"/>
              <w:jc w:val="right"/>
              <w:rPr>
                <w:rFonts w:eastAsia="Calibri"/>
                <w:szCs w:val="24"/>
                <w:lang w:eastAsia="en-NZ"/>
              </w:rPr>
            </w:pPr>
            <w:r>
              <w:rPr>
                <w:rFonts w:eastAsia="Calibri"/>
                <w:szCs w:val="24"/>
                <w:lang w:eastAsia="en-NZ"/>
              </w:rPr>
              <w:t>19</w:t>
            </w:r>
          </w:p>
        </w:tc>
        <w:tc>
          <w:tcPr>
            <w:tcW w:w="70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B49A7" w:rsidRDefault="002B49A7" w:rsidP="00EF7C9C">
            <w:pPr>
              <w:autoSpaceDE w:val="0"/>
              <w:autoSpaceDN w:val="0"/>
              <w:spacing w:line="300" w:lineRule="atLeast"/>
              <w:jc w:val="right"/>
              <w:rPr>
                <w:szCs w:val="24"/>
                <w:lang w:eastAsia="en-NZ"/>
              </w:rPr>
            </w:pPr>
            <w:r>
              <w:rPr>
                <w:szCs w:val="24"/>
                <w:lang w:eastAsia="en-NZ"/>
              </w:rPr>
              <w:t>19</w:t>
            </w: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B49A7" w:rsidRDefault="002B49A7" w:rsidP="00EF7C9C">
            <w:pPr>
              <w:autoSpaceDE w:val="0"/>
              <w:autoSpaceDN w:val="0"/>
              <w:spacing w:line="300" w:lineRule="atLeast"/>
              <w:jc w:val="right"/>
              <w:rPr>
                <w:szCs w:val="24"/>
                <w:lang w:eastAsia="en-NZ"/>
              </w:rPr>
            </w:pPr>
            <w:r>
              <w:rPr>
                <w:szCs w:val="24"/>
                <w:lang w:eastAsia="en-NZ"/>
              </w:rPr>
              <w:t>14</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B49A7" w:rsidRDefault="002B49A7" w:rsidP="00EF7C9C">
            <w:pPr>
              <w:autoSpaceDE w:val="0"/>
              <w:autoSpaceDN w:val="0"/>
              <w:spacing w:line="300" w:lineRule="atLeast"/>
              <w:jc w:val="right"/>
              <w:rPr>
                <w:szCs w:val="24"/>
                <w:lang w:eastAsia="en-NZ"/>
              </w:rPr>
            </w:pPr>
            <w:r>
              <w:rPr>
                <w:szCs w:val="24"/>
                <w:lang w:eastAsia="en-NZ"/>
              </w:rPr>
              <w:t>0</w:t>
            </w:r>
          </w:p>
        </w:tc>
      </w:tr>
      <w:tr w:rsidR="002B49A7" w:rsidRPr="000E25EC" w:rsidTr="00D000FA">
        <w:tc>
          <w:tcPr>
            <w:tcW w:w="3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B49A7" w:rsidDel="003952DF" w:rsidRDefault="002B49A7" w:rsidP="00EF7C9C">
            <w:pPr>
              <w:tabs>
                <w:tab w:val="left" w:pos="3720"/>
              </w:tabs>
              <w:spacing w:line="300" w:lineRule="atLeast"/>
              <w:rPr>
                <w:szCs w:val="24"/>
              </w:rPr>
            </w:pPr>
            <w:r w:rsidRPr="0060478A">
              <w:rPr>
                <w:b/>
                <w:szCs w:val="24"/>
              </w:rPr>
              <w:t xml:space="preserve">Total </w:t>
            </w:r>
            <w:r>
              <w:rPr>
                <w:b/>
                <w:szCs w:val="24"/>
              </w:rPr>
              <w:t xml:space="preserve">additional </w:t>
            </w:r>
            <w:r w:rsidRPr="0060478A">
              <w:rPr>
                <w:b/>
                <w:szCs w:val="24"/>
              </w:rPr>
              <w:t>revenue effect</w:t>
            </w:r>
          </w:p>
        </w:tc>
        <w:tc>
          <w:tcPr>
            <w:tcW w:w="69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B49A7" w:rsidRDefault="002B49A7" w:rsidP="00EF7C9C">
            <w:pPr>
              <w:autoSpaceDE w:val="0"/>
              <w:autoSpaceDN w:val="0"/>
              <w:spacing w:line="300" w:lineRule="atLeast"/>
              <w:jc w:val="right"/>
              <w:rPr>
                <w:szCs w:val="24"/>
                <w:lang w:eastAsia="en-NZ"/>
              </w:rPr>
            </w:pPr>
            <w:r>
              <w:rPr>
                <w:szCs w:val="24"/>
                <w:lang w:eastAsia="en-NZ"/>
              </w:rPr>
              <w:t>0</w:t>
            </w:r>
          </w:p>
        </w:tc>
        <w:tc>
          <w:tcPr>
            <w:tcW w:w="69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B49A7" w:rsidRDefault="002B49A7" w:rsidP="00EF7C9C">
            <w:pPr>
              <w:autoSpaceDE w:val="0"/>
              <w:autoSpaceDN w:val="0"/>
              <w:spacing w:line="300" w:lineRule="atLeast"/>
              <w:jc w:val="right"/>
              <w:rPr>
                <w:szCs w:val="24"/>
                <w:lang w:eastAsia="en-NZ"/>
              </w:rPr>
            </w:pPr>
            <w:r>
              <w:rPr>
                <w:szCs w:val="24"/>
                <w:lang w:eastAsia="en-NZ"/>
              </w:rPr>
              <w:t>0</w:t>
            </w: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B49A7" w:rsidRDefault="002B49A7" w:rsidP="00EF7C9C">
            <w:pPr>
              <w:autoSpaceDE w:val="0"/>
              <w:autoSpaceDN w:val="0"/>
              <w:spacing w:line="300" w:lineRule="atLeast"/>
              <w:jc w:val="right"/>
              <w:rPr>
                <w:rFonts w:eastAsia="Calibri"/>
                <w:szCs w:val="24"/>
                <w:lang w:eastAsia="en-NZ"/>
              </w:rPr>
            </w:pPr>
            <w:r>
              <w:rPr>
                <w:rFonts w:eastAsia="Calibri"/>
                <w:szCs w:val="24"/>
                <w:lang w:eastAsia="en-NZ"/>
              </w:rPr>
              <w:t>64</w:t>
            </w: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B49A7" w:rsidRDefault="002B49A7" w:rsidP="00EF7C9C">
            <w:pPr>
              <w:autoSpaceDE w:val="0"/>
              <w:autoSpaceDN w:val="0"/>
              <w:spacing w:line="300" w:lineRule="atLeast"/>
              <w:jc w:val="right"/>
              <w:rPr>
                <w:rFonts w:eastAsia="Calibri"/>
                <w:szCs w:val="24"/>
                <w:lang w:eastAsia="en-NZ"/>
              </w:rPr>
            </w:pPr>
            <w:r>
              <w:rPr>
                <w:rFonts w:eastAsia="Calibri"/>
                <w:szCs w:val="24"/>
                <w:lang w:eastAsia="en-NZ"/>
              </w:rPr>
              <w:t>109</w:t>
            </w:r>
          </w:p>
        </w:tc>
        <w:tc>
          <w:tcPr>
            <w:tcW w:w="70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B49A7" w:rsidRDefault="002B49A7" w:rsidP="00EF7C9C">
            <w:pPr>
              <w:autoSpaceDE w:val="0"/>
              <w:autoSpaceDN w:val="0"/>
              <w:spacing w:line="300" w:lineRule="atLeast"/>
              <w:jc w:val="right"/>
              <w:rPr>
                <w:szCs w:val="24"/>
                <w:lang w:eastAsia="en-NZ"/>
              </w:rPr>
            </w:pPr>
            <w:r>
              <w:rPr>
                <w:szCs w:val="24"/>
                <w:lang w:eastAsia="en-NZ"/>
              </w:rPr>
              <w:t>109</w:t>
            </w: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B49A7" w:rsidRDefault="002B49A7" w:rsidP="00EF7C9C">
            <w:pPr>
              <w:autoSpaceDE w:val="0"/>
              <w:autoSpaceDN w:val="0"/>
              <w:spacing w:line="300" w:lineRule="atLeast"/>
              <w:jc w:val="right"/>
              <w:rPr>
                <w:szCs w:val="24"/>
                <w:lang w:eastAsia="en-NZ"/>
              </w:rPr>
            </w:pPr>
            <w:r>
              <w:rPr>
                <w:szCs w:val="24"/>
                <w:lang w:eastAsia="en-NZ"/>
              </w:rPr>
              <w:t>104</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B49A7" w:rsidRDefault="002B49A7" w:rsidP="00EF7C9C">
            <w:pPr>
              <w:autoSpaceDE w:val="0"/>
              <w:autoSpaceDN w:val="0"/>
              <w:spacing w:line="300" w:lineRule="atLeast"/>
              <w:jc w:val="right"/>
              <w:rPr>
                <w:szCs w:val="24"/>
                <w:lang w:eastAsia="en-NZ"/>
              </w:rPr>
            </w:pPr>
            <w:r>
              <w:rPr>
                <w:szCs w:val="24"/>
                <w:lang w:eastAsia="en-NZ"/>
              </w:rPr>
              <w:t>90</w:t>
            </w:r>
          </w:p>
        </w:tc>
      </w:tr>
    </w:tbl>
    <w:p w:rsidR="00DB7680" w:rsidRDefault="00DB7680" w:rsidP="00015600">
      <w:pPr>
        <w:pStyle w:val="TRBodyText"/>
        <w:tabs>
          <w:tab w:val="left" w:pos="567"/>
        </w:tabs>
      </w:pPr>
    </w:p>
    <w:p w:rsidR="008313C0" w:rsidRDefault="00DB7680" w:rsidP="00015600">
      <w:pPr>
        <w:pStyle w:val="TRBodyText"/>
        <w:tabs>
          <w:tab w:val="left" w:pos="567"/>
        </w:tabs>
      </w:pPr>
      <w:r w:rsidRPr="00B6233D">
        <w:fldChar w:fldCharType="begin"/>
      </w:r>
      <w:r w:rsidRPr="00B6233D">
        <w:instrText xml:space="preserve"> AUTONUM  </w:instrText>
      </w:r>
      <w:r w:rsidRPr="00B6233D">
        <w:fldChar w:fldCharType="end"/>
      </w:r>
      <w:r>
        <w:tab/>
      </w:r>
      <w:r w:rsidR="002B49A7" w:rsidRPr="002B49A7">
        <w:t>The additional revenue from certain hybrid instruments is a result of agreeing to the OECD hybrids recommendation 1 proposal with the grandparenting approach for these instruments recommended in the attached paper on hybrids. This revenue is contingent on taxpayer behaviour after the implementation of the hybrid rules.</w:t>
      </w:r>
    </w:p>
    <w:p w:rsidR="008313C0" w:rsidRDefault="008313C0" w:rsidP="00015600">
      <w:pPr>
        <w:pStyle w:val="TRBodyText"/>
        <w:tabs>
          <w:tab w:val="left" w:pos="567"/>
        </w:tabs>
      </w:pPr>
    </w:p>
    <w:p w:rsidR="00DB7680" w:rsidRDefault="008313C0" w:rsidP="00015600">
      <w:pPr>
        <w:pStyle w:val="TRBodyText"/>
        <w:tabs>
          <w:tab w:val="left" w:pos="567"/>
        </w:tabs>
      </w:pPr>
      <w:r w:rsidRPr="008313C0">
        <w:fldChar w:fldCharType="begin"/>
      </w:r>
      <w:r w:rsidRPr="008313C0">
        <w:instrText xml:space="preserve"> AUTONUM  </w:instrText>
      </w:r>
      <w:r w:rsidRPr="008313C0">
        <w:fldChar w:fldCharType="end"/>
      </w:r>
      <w:r>
        <w:tab/>
      </w:r>
      <w:r w:rsidR="002B49A7" w:rsidRPr="002B49A7">
        <w:t>The total would come to the maximum revenue forecast for new BEPS measures that we have previously advised ($190 million per year for out years) and exceed this revenue forecast for the first four years in which the BEPS measures will apply.  We are recommending in the report</w:t>
      </w:r>
      <w:r w:rsidR="002B49A7" w:rsidRPr="002B49A7">
        <w:tab/>
        <w:t>BEPS – interest limitation submissions and policy decisions (T2017/1576, IR2017/325 refers) that we continue to consult on details of the thin capitalisation proposal.  Depending on the outcome of this consultation, the revenue forecast could be $10 million per year lower.</w:t>
      </w:r>
    </w:p>
    <w:p w:rsidR="00DB7680" w:rsidRDefault="00DB7680" w:rsidP="00015600">
      <w:pPr>
        <w:pStyle w:val="TRBodyText"/>
        <w:tabs>
          <w:tab w:val="left" w:pos="567"/>
        </w:tabs>
        <w:rPr>
          <w:b/>
        </w:rPr>
      </w:pPr>
    </w:p>
    <w:p w:rsidR="00DB7680" w:rsidRPr="00B33B4F" w:rsidRDefault="00DB7680" w:rsidP="00015600">
      <w:pPr>
        <w:pStyle w:val="TRBodyText"/>
        <w:tabs>
          <w:tab w:val="left" w:pos="567"/>
        </w:tabs>
        <w:rPr>
          <w:b/>
        </w:rPr>
      </w:pPr>
      <w:r w:rsidRPr="00B33B4F">
        <w:rPr>
          <w:b/>
        </w:rPr>
        <w:t>Economic implications</w:t>
      </w:r>
    </w:p>
    <w:p w:rsidR="00DB7680" w:rsidRDefault="00DB7680" w:rsidP="00015600">
      <w:pPr>
        <w:pStyle w:val="TRBodyText"/>
        <w:tabs>
          <w:tab w:val="left" w:pos="567"/>
        </w:tabs>
      </w:pPr>
    </w:p>
    <w:p w:rsidR="00DB7680" w:rsidRDefault="00DB7680" w:rsidP="00015600">
      <w:pPr>
        <w:pStyle w:val="TRBodyText"/>
        <w:tabs>
          <w:tab w:val="left" w:pos="567"/>
        </w:tabs>
      </w:pPr>
      <w:r w:rsidRPr="00B33B4F">
        <w:fldChar w:fldCharType="begin"/>
      </w:r>
      <w:r w:rsidRPr="00B33B4F">
        <w:instrText xml:space="preserve"> AUTONUM  </w:instrText>
      </w:r>
      <w:r w:rsidRPr="00B33B4F">
        <w:fldChar w:fldCharType="end"/>
      </w:r>
      <w:r w:rsidRPr="00B33B4F">
        <w:tab/>
        <w:t>It is inevitable that the higher tax payments resulting from these measures will make New Zealand a less attractive investment location for multinationals engaged in BEPS arrangements.  At the same time, these multinationals should not be allowed to exploit weaknesses in our tax rules to achieve a competitive advantage over more compliant multinationals or domestic firms.  Furthermore, random reductions in tax, depending upon the opportunism of taxpayers, are likely to distort the allocation of investment into New Zealand.  Given this, we believe implementing these measures remains in New Zealand’s best economic interests.</w:t>
      </w:r>
      <w:r w:rsidR="00C57F7C">
        <w:br/>
      </w:r>
    </w:p>
    <w:p w:rsidR="00C57F7C" w:rsidRPr="00B33B4F" w:rsidRDefault="00C57F7C" w:rsidP="00015600">
      <w:pPr>
        <w:pStyle w:val="Heading2"/>
        <w:spacing w:line="300" w:lineRule="atLeast"/>
      </w:pPr>
      <w:r>
        <w:t>Administrative implications</w:t>
      </w:r>
    </w:p>
    <w:p w:rsidR="004238E6" w:rsidRDefault="00C57F7C" w:rsidP="00015600">
      <w:pPr>
        <w:spacing w:line="300" w:lineRule="atLeast"/>
      </w:pPr>
      <w:r w:rsidRPr="00C57F7C">
        <w:fldChar w:fldCharType="begin"/>
      </w:r>
      <w:r w:rsidRPr="00C57F7C">
        <w:instrText xml:space="preserve"> AUTONUM  </w:instrText>
      </w:r>
      <w:r w:rsidRPr="00C57F7C">
        <w:fldChar w:fldCharType="end"/>
      </w:r>
      <w:r>
        <w:tab/>
        <w:t xml:space="preserve">The changes proposed in the BEPS discussion documents and recommended in these reports are not expected to increase administrative costs </w:t>
      </w:r>
      <w:r w:rsidR="00015600">
        <w:t xml:space="preserve">or require any significant systems changes </w:t>
      </w:r>
      <w:r>
        <w:t xml:space="preserve">for Inland Revenue. </w:t>
      </w:r>
      <w:r w:rsidR="00F8168B">
        <w:t xml:space="preserve"> This is because the reforms change the way</w:t>
      </w:r>
      <w:r w:rsidR="00015600">
        <w:t xml:space="preserve"> some taxpayers self-assess</w:t>
      </w:r>
      <w:r w:rsidR="00F8168B">
        <w:t xml:space="preserve"> </w:t>
      </w:r>
      <w:r w:rsidR="00015600">
        <w:t>their tax liabilities that they report to Inland Revenue.</w:t>
      </w:r>
    </w:p>
    <w:p w:rsidR="005F7D79" w:rsidRDefault="005F7D79" w:rsidP="00015600">
      <w:pPr>
        <w:spacing w:line="300" w:lineRule="atLeast"/>
      </w:pPr>
    </w:p>
    <w:p w:rsidR="00C57F7C" w:rsidRDefault="005F7D79" w:rsidP="00015600">
      <w:pPr>
        <w:spacing w:line="300" w:lineRule="atLeast"/>
      </w:pPr>
      <w:r w:rsidRPr="005F7D79">
        <w:fldChar w:fldCharType="begin"/>
      </w:r>
      <w:r w:rsidRPr="005F7D79">
        <w:instrText xml:space="preserve"> AUTONUM  </w:instrText>
      </w:r>
      <w:r w:rsidRPr="005F7D79">
        <w:fldChar w:fldCharType="end"/>
      </w:r>
      <w:r>
        <w:tab/>
        <w:t xml:space="preserve">We note, however, that a </w:t>
      </w:r>
      <w:r w:rsidR="004238E6">
        <w:t xml:space="preserve">common theme in submissions on all three discussion documents was that </w:t>
      </w:r>
      <w:r>
        <w:t>administration of the proposals would place a higher demand on Inland Revenue’s audit and investigation functions. Our view is that a</w:t>
      </w:r>
      <w:r w:rsidR="00F8168B">
        <w:t xml:space="preserve">ny </w:t>
      </w:r>
      <w:r>
        <w:t xml:space="preserve">required </w:t>
      </w:r>
      <w:r w:rsidR="00F8168B">
        <w:t xml:space="preserve">increase in Inland Revenue’s </w:t>
      </w:r>
      <w:r>
        <w:t>resourcing</w:t>
      </w:r>
      <w:r w:rsidR="00015600">
        <w:t xml:space="preserve"> as a result of the BEPS package</w:t>
      </w:r>
      <w:r w:rsidR="00F8168B">
        <w:t xml:space="preserve"> will be accommodated within existing baselines. We will report back if these administrative implications are expected to change.</w:t>
      </w:r>
    </w:p>
    <w:p w:rsidR="00C57F7C" w:rsidRDefault="00C57F7C" w:rsidP="00015600">
      <w:pPr>
        <w:spacing w:line="300" w:lineRule="atLeast"/>
      </w:pPr>
    </w:p>
    <w:p w:rsidR="00920ADC" w:rsidRPr="00E108B9" w:rsidRDefault="00920ADC" w:rsidP="00015600">
      <w:pPr>
        <w:pStyle w:val="Heading2"/>
        <w:spacing w:line="300" w:lineRule="atLeast"/>
      </w:pPr>
      <w:r w:rsidRPr="00E108B9">
        <w:t>Application date</w:t>
      </w:r>
    </w:p>
    <w:p w:rsidR="00920ADC" w:rsidRPr="00E108B9" w:rsidRDefault="00920ADC" w:rsidP="00015600">
      <w:pPr>
        <w:spacing w:line="300" w:lineRule="atLeast"/>
      </w:pPr>
      <w:r w:rsidRPr="00E108B9">
        <w:fldChar w:fldCharType="begin"/>
      </w:r>
      <w:r w:rsidRPr="00E108B9">
        <w:instrText xml:space="preserve"> AUTONUM  </w:instrText>
      </w:r>
      <w:r w:rsidRPr="00E108B9">
        <w:fldChar w:fldCharType="end"/>
      </w:r>
      <w:r w:rsidRPr="00E108B9">
        <w:tab/>
        <w:t>Cabinet has noted that the reforms are expected to commence from income years beginning on or after 1 July 2018 (CAB-17-MIN-0164 refers).  This is based on an expectation that the legislation will be progressed to enactment before this date.</w:t>
      </w:r>
    </w:p>
    <w:p w:rsidR="00920ADC" w:rsidRPr="00E108B9" w:rsidRDefault="00920ADC" w:rsidP="00015600">
      <w:pPr>
        <w:spacing w:line="300" w:lineRule="atLeast"/>
      </w:pPr>
    </w:p>
    <w:p w:rsidR="00920ADC" w:rsidRPr="00E108B9" w:rsidRDefault="00920ADC" w:rsidP="00015600">
      <w:pPr>
        <w:spacing w:line="300" w:lineRule="atLeast"/>
      </w:pPr>
      <w:r w:rsidRPr="00E108B9">
        <w:fldChar w:fldCharType="begin"/>
      </w:r>
      <w:r w:rsidRPr="00E108B9">
        <w:instrText xml:space="preserve"> AUTONUM  </w:instrText>
      </w:r>
      <w:r w:rsidRPr="00E108B9">
        <w:fldChar w:fldCharType="end"/>
      </w:r>
      <w:r w:rsidRPr="00E108B9">
        <w:tab/>
        <w:t xml:space="preserve">At the time the March 2017 discussion documents were released, this </w:t>
      </w:r>
      <w:r w:rsidR="005F7D79">
        <w:t>application</w:t>
      </w:r>
      <w:r w:rsidRPr="00E108B9">
        <w:t xml:space="preserve"> date was not publicly known.  However, many submitters anticipated the Government would seek an early </w:t>
      </w:r>
      <w:r w:rsidR="005F7D79" w:rsidRPr="005F7D79">
        <w:t>application</w:t>
      </w:r>
      <w:r w:rsidRPr="00E108B9">
        <w:t xml:space="preserve"> date and argued in their submissions that there needs to be sufficient </w:t>
      </w:r>
      <w:r w:rsidRPr="00E95DB3">
        <w:t>lead-in time for these proposals to allow taxpayers to restructure their affairs if necessary.</w:t>
      </w:r>
      <w:r w:rsidR="00B33B4F" w:rsidRPr="00E95DB3">
        <w:t xml:space="preserve">  We expect to receive more feedback on the planned </w:t>
      </w:r>
      <w:r w:rsidR="005F7D79" w:rsidRPr="005F7D79">
        <w:t>application</w:t>
      </w:r>
      <w:r w:rsidR="00B33B4F" w:rsidRPr="00E95DB3">
        <w:t xml:space="preserve"> date and other transitional issues in the next round of consultation.</w:t>
      </w:r>
    </w:p>
    <w:p w:rsidR="00920ADC" w:rsidRPr="00E108B9" w:rsidRDefault="00920ADC" w:rsidP="00015600">
      <w:pPr>
        <w:spacing w:line="300" w:lineRule="atLeast"/>
      </w:pPr>
    </w:p>
    <w:p w:rsidR="00920ADC" w:rsidRPr="00E108B9" w:rsidRDefault="00920ADC" w:rsidP="00015600">
      <w:pPr>
        <w:pStyle w:val="Heading2"/>
        <w:spacing w:line="300" w:lineRule="atLeast"/>
      </w:pPr>
      <w:r w:rsidRPr="00E108B9">
        <w:t>Proactive release</w:t>
      </w:r>
    </w:p>
    <w:p w:rsidR="00920ADC" w:rsidRDefault="00920ADC" w:rsidP="00015600">
      <w:pPr>
        <w:spacing w:line="300" w:lineRule="atLeast"/>
      </w:pPr>
      <w:r w:rsidRPr="00E108B9">
        <w:fldChar w:fldCharType="begin"/>
      </w:r>
      <w:r w:rsidRPr="00E108B9">
        <w:instrText xml:space="preserve"> AUTONUM  </w:instrText>
      </w:r>
      <w:r w:rsidRPr="00E108B9">
        <w:fldChar w:fldCharType="end"/>
      </w:r>
      <w:r w:rsidRPr="00E108B9">
        <w:tab/>
        <w:t xml:space="preserve">We recommend that the Government consider proactively releasing </w:t>
      </w:r>
      <w:r w:rsidR="002A774D">
        <w:t xml:space="preserve">submissions on the BEPS discussions documents and the MLI officials’ issues paper, </w:t>
      </w:r>
      <w:r w:rsidRPr="00E108B9">
        <w:t>the BEPS Cab</w:t>
      </w:r>
      <w:r w:rsidR="00FF324E" w:rsidRPr="00E108B9">
        <w:t xml:space="preserve">inet papers, </w:t>
      </w:r>
      <w:r w:rsidR="002A774D">
        <w:t xml:space="preserve">and </w:t>
      </w:r>
      <w:r w:rsidRPr="00E108B9">
        <w:t>policy reports</w:t>
      </w:r>
      <w:r w:rsidR="00FF324E" w:rsidRPr="00E108B9">
        <w:t xml:space="preserve"> </w:t>
      </w:r>
      <w:r w:rsidR="00B94937" w:rsidRPr="00E108B9">
        <w:t xml:space="preserve">(including the pre-Budget 2017 </w:t>
      </w:r>
      <w:r w:rsidR="002A774D">
        <w:t xml:space="preserve">Cabinet paper and policy report </w:t>
      </w:r>
      <w:r w:rsidR="000A7381" w:rsidRPr="00E108B9">
        <w:t>(</w:t>
      </w:r>
      <w:r w:rsidR="00B94937" w:rsidRPr="00E108B9">
        <w:t>T2017/949, IR2017/237</w:t>
      </w:r>
      <w:r w:rsidR="000A7381" w:rsidRPr="00E108B9">
        <w:t>)</w:t>
      </w:r>
      <w:r w:rsidR="00B94937" w:rsidRPr="00E108B9">
        <w:t>)</w:t>
      </w:r>
      <w:r w:rsidRPr="00E108B9">
        <w:t>.  This could be done at the time of announcements Ministers may want to make in relation to the package.</w:t>
      </w:r>
      <w:r>
        <w:t xml:space="preserve">  </w:t>
      </w:r>
    </w:p>
    <w:p w:rsidR="00AB1894" w:rsidRDefault="00AB1894" w:rsidP="0048681E">
      <w:pPr>
        <w:spacing w:line="300" w:lineRule="atLeast"/>
      </w:pPr>
    </w:p>
    <w:p w:rsidR="00AB1894" w:rsidRDefault="00AB1894" w:rsidP="0048681E">
      <w:pPr>
        <w:spacing w:line="300" w:lineRule="atLeast"/>
        <w:jc w:val="left"/>
        <w:rPr>
          <w:b/>
          <w:sz w:val="28"/>
        </w:rPr>
      </w:pPr>
      <w:r>
        <w:br w:type="page"/>
      </w:r>
    </w:p>
    <w:p w:rsidR="000D4EA8" w:rsidRPr="00D950E1" w:rsidRDefault="000D4EA8" w:rsidP="00E52A49">
      <w:pPr>
        <w:pStyle w:val="TRHeading1"/>
        <w:spacing w:line="300" w:lineRule="atLeast"/>
        <w:outlineLvl w:val="0"/>
      </w:pPr>
      <w:r w:rsidRPr="00D950E1">
        <w:t>Recommended action</w:t>
      </w:r>
    </w:p>
    <w:p w:rsidR="000D4EA8" w:rsidRDefault="000D4EA8" w:rsidP="00E52A49">
      <w:pPr>
        <w:pStyle w:val="TRBodyText"/>
        <w:tabs>
          <w:tab w:val="left" w:pos="567"/>
        </w:tabs>
      </w:pPr>
      <w:r>
        <w:t>We recommend that you:</w:t>
      </w:r>
    </w:p>
    <w:p w:rsidR="000D4EA8" w:rsidRDefault="000D4EA8" w:rsidP="00E52A49">
      <w:pPr>
        <w:pStyle w:val="TRBodyText"/>
        <w:tabs>
          <w:tab w:val="left" w:pos="567"/>
        </w:tabs>
      </w:pPr>
    </w:p>
    <w:p w:rsidR="00382916" w:rsidRDefault="000D4EA8" w:rsidP="00E52A49">
      <w:pPr>
        <w:pStyle w:val="TRBodyText"/>
        <w:tabs>
          <w:tab w:val="left" w:pos="567"/>
        </w:tabs>
        <w:spacing w:before="120"/>
      </w:pPr>
      <w:r>
        <w:t>(a)</w:t>
      </w:r>
      <w:r w:rsidRPr="007343A1">
        <w:tab/>
      </w:r>
      <w:r w:rsidR="00FF441B">
        <w:rPr>
          <w:b/>
        </w:rPr>
        <w:t xml:space="preserve">Note </w:t>
      </w:r>
      <w:r w:rsidR="00D857FE">
        <w:t>th</w:t>
      </w:r>
      <w:r w:rsidR="001F6D2F">
        <w:t>e three</w:t>
      </w:r>
      <w:r w:rsidR="00CD6FE4">
        <w:t xml:space="preserve"> reports </w:t>
      </w:r>
      <w:r w:rsidR="00291E66">
        <w:t>attached</w:t>
      </w:r>
      <w:r w:rsidR="00FF441B">
        <w:t>.</w:t>
      </w:r>
    </w:p>
    <w:p w:rsidR="00FF441B" w:rsidRDefault="00FF441B" w:rsidP="00E52A49">
      <w:pPr>
        <w:pStyle w:val="TRBodyText"/>
        <w:tabs>
          <w:tab w:val="left" w:pos="567"/>
        </w:tabs>
        <w:spacing w:before="120"/>
      </w:pPr>
      <w:r>
        <w:t>Noted</w:t>
      </w:r>
      <w:r>
        <w:tab/>
      </w:r>
      <w:r>
        <w:tab/>
      </w:r>
      <w:r>
        <w:tab/>
      </w:r>
      <w:r>
        <w:tab/>
      </w:r>
      <w:r>
        <w:tab/>
      </w:r>
      <w:r>
        <w:tab/>
      </w:r>
      <w:r>
        <w:tab/>
      </w:r>
      <w:r>
        <w:tab/>
      </w:r>
      <w:proofErr w:type="spellStart"/>
      <w:r>
        <w:t>Noted</w:t>
      </w:r>
      <w:proofErr w:type="spellEnd"/>
    </w:p>
    <w:p w:rsidR="00382916" w:rsidRDefault="00382916" w:rsidP="00E52A49">
      <w:pPr>
        <w:pStyle w:val="TRBodyText"/>
        <w:tabs>
          <w:tab w:val="left" w:pos="567"/>
        </w:tabs>
        <w:spacing w:before="120"/>
      </w:pPr>
      <w:r>
        <w:t xml:space="preserve"> </w:t>
      </w:r>
    </w:p>
    <w:p w:rsidR="001A77D1" w:rsidRPr="007343A1" w:rsidRDefault="001F590B" w:rsidP="00E52A49">
      <w:pPr>
        <w:pStyle w:val="TRBodyText"/>
        <w:tabs>
          <w:tab w:val="left" w:pos="567"/>
        </w:tabs>
        <w:spacing w:before="120"/>
      </w:pPr>
      <w:r>
        <w:t>(</w:t>
      </w:r>
      <w:r w:rsidR="001F6D2F">
        <w:t>b</w:t>
      </w:r>
      <w:r w:rsidR="00FF441B">
        <w:t>)</w:t>
      </w:r>
      <w:r w:rsidR="00FF441B">
        <w:tab/>
      </w:r>
      <w:r w:rsidR="000D4EA8" w:rsidRPr="009901EA">
        <w:rPr>
          <w:b/>
        </w:rPr>
        <w:t xml:space="preserve">Agree </w:t>
      </w:r>
      <w:r w:rsidR="00C93B51">
        <w:t xml:space="preserve">that work progresses </w:t>
      </w:r>
      <w:r w:rsidR="006579F8">
        <w:t>along</w:t>
      </w:r>
      <w:r w:rsidR="00D43F68">
        <w:t xml:space="preserve"> the</w:t>
      </w:r>
      <w:r w:rsidR="006579F8">
        <w:t xml:space="preserve"> indicative time</w:t>
      </w:r>
      <w:r w:rsidR="00D43F68">
        <w:t>line</w:t>
      </w:r>
      <w:r w:rsidR="006579F8">
        <w:t xml:space="preserve">. </w:t>
      </w:r>
    </w:p>
    <w:p w:rsidR="000D4EA8" w:rsidRDefault="000D4EA8" w:rsidP="00E52A49">
      <w:pPr>
        <w:pStyle w:val="TRBodyText"/>
        <w:spacing w:before="120"/>
      </w:pPr>
      <w:r>
        <w:t>Agreed / Not Agreed</w:t>
      </w:r>
      <w:r>
        <w:tab/>
      </w:r>
      <w:r>
        <w:tab/>
      </w:r>
      <w:r>
        <w:tab/>
      </w:r>
      <w:r>
        <w:tab/>
      </w:r>
      <w:r>
        <w:tab/>
      </w:r>
      <w:r>
        <w:tab/>
        <w:t>Agreed / Not Agreed</w:t>
      </w:r>
    </w:p>
    <w:p w:rsidR="00382916" w:rsidRDefault="00382916" w:rsidP="00382916">
      <w:pPr>
        <w:pStyle w:val="TRBodyText"/>
        <w:tabs>
          <w:tab w:val="left" w:pos="567"/>
        </w:tabs>
        <w:spacing w:before="120"/>
      </w:pPr>
    </w:p>
    <w:p w:rsidR="00382916" w:rsidRPr="00E95DB3" w:rsidRDefault="00382916" w:rsidP="00382916">
      <w:pPr>
        <w:pStyle w:val="TRBodyText"/>
        <w:tabs>
          <w:tab w:val="left" w:pos="567"/>
        </w:tabs>
        <w:spacing w:before="120"/>
      </w:pPr>
      <w:r w:rsidRPr="00E95DB3">
        <w:t>(</w:t>
      </w:r>
      <w:r w:rsidR="00DB7680" w:rsidRPr="00E95DB3">
        <w:t>c</w:t>
      </w:r>
      <w:r w:rsidRPr="00E95DB3">
        <w:t>)</w:t>
      </w:r>
      <w:r w:rsidRPr="00E95DB3">
        <w:tab/>
      </w:r>
      <w:r w:rsidRPr="00E95DB3">
        <w:rPr>
          <w:b/>
        </w:rPr>
        <w:t xml:space="preserve">Agree </w:t>
      </w:r>
      <w:r w:rsidR="0033175F" w:rsidRPr="00E95DB3">
        <w:t xml:space="preserve">that the BEPS Cabinet paper should recommend that officials undertake further consultation on </w:t>
      </w:r>
      <w:r w:rsidR="00B33B4F" w:rsidRPr="00E95DB3">
        <w:t xml:space="preserve">outstanding policy issues, technical design details and </w:t>
      </w:r>
      <w:r w:rsidR="004A4A35" w:rsidRPr="00E95DB3">
        <w:t xml:space="preserve">an </w:t>
      </w:r>
      <w:r w:rsidR="0033175F" w:rsidRPr="00E95DB3">
        <w:t>exposure draft</w:t>
      </w:r>
      <w:r w:rsidR="00E108B9" w:rsidRPr="00E95DB3">
        <w:t xml:space="preserve"> of </w:t>
      </w:r>
      <w:r w:rsidR="002A774D">
        <w:t xml:space="preserve">selected items for </w:t>
      </w:r>
      <w:r w:rsidR="00E108B9" w:rsidRPr="00E95DB3">
        <w:t>the planned BEPS bill</w:t>
      </w:r>
      <w:r w:rsidR="00B33B4F" w:rsidRPr="00E95DB3">
        <w:t>,</w:t>
      </w:r>
      <w:r w:rsidR="0033175F" w:rsidRPr="00E95DB3">
        <w:t xml:space="preserve"> with a view to introducing </w:t>
      </w:r>
      <w:r w:rsidR="004A4A35" w:rsidRPr="00E95DB3">
        <w:t>the bill</w:t>
      </w:r>
      <w:r w:rsidR="0033175F" w:rsidRPr="00E95DB3">
        <w:t xml:space="preserve"> after the General Election</w:t>
      </w:r>
      <w:r w:rsidRPr="00E95DB3">
        <w:t xml:space="preserve">. </w:t>
      </w:r>
    </w:p>
    <w:p w:rsidR="00382916" w:rsidRDefault="00382916" w:rsidP="002228D3">
      <w:pPr>
        <w:pStyle w:val="TRBodyText"/>
        <w:spacing w:before="120"/>
      </w:pPr>
      <w:r w:rsidRPr="00E95DB3">
        <w:t>Agreed / Not Agreed</w:t>
      </w:r>
      <w:r w:rsidRPr="00E95DB3">
        <w:tab/>
      </w:r>
      <w:r w:rsidRPr="00E95DB3">
        <w:tab/>
      </w:r>
      <w:r w:rsidRPr="00E95DB3">
        <w:tab/>
      </w:r>
      <w:r w:rsidRPr="00E95DB3">
        <w:tab/>
      </w:r>
      <w:r w:rsidRPr="00E95DB3">
        <w:tab/>
      </w:r>
      <w:r w:rsidRPr="00E95DB3">
        <w:tab/>
        <w:t>Agreed / Not Agreed</w:t>
      </w:r>
    </w:p>
    <w:p w:rsidR="002228D3" w:rsidRPr="00E95DB3" w:rsidRDefault="002228D3" w:rsidP="002228D3">
      <w:pPr>
        <w:pStyle w:val="TRBodyText"/>
        <w:spacing w:before="120"/>
      </w:pPr>
    </w:p>
    <w:p w:rsidR="00DB7680" w:rsidRPr="00E95DB3" w:rsidRDefault="00DB7680" w:rsidP="00DB7680">
      <w:pPr>
        <w:pStyle w:val="TRBodyText"/>
        <w:tabs>
          <w:tab w:val="left" w:pos="567"/>
        </w:tabs>
        <w:spacing w:before="120"/>
      </w:pPr>
      <w:r w:rsidRPr="00E95DB3">
        <w:t>(d)</w:t>
      </w:r>
      <w:r w:rsidRPr="00E95DB3">
        <w:tab/>
      </w:r>
      <w:r w:rsidRPr="00E95DB3">
        <w:rPr>
          <w:b/>
        </w:rPr>
        <w:t xml:space="preserve">Agree </w:t>
      </w:r>
      <w:r w:rsidRPr="00E95DB3">
        <w:t xml:space="preserve">to proactively release the BEPS Cabinet papers, policy reports and submissions on consultation documents. </w:t>
      </w:r>
    </w:p>
    <w:p w:rsidR="00DB7680" w:rsidRDefault="00DB7680" w:rsidP="00DB7680">
      <w:pPr>
        <w:pStyle w:val="TRBodyText"/>
        <w:spacing w:before="120"/>
      </w:pPr>
      <w:r w:rsidRPr="00E95DB3">
        <w:t>Agreed / Not Agreed</w:t>
      </w:r>
      <w:r>
        <w:tab/>
      </w:r>
      <w:r>
        <w:tab/>
      </w:r>
      <w:r>
        <w:tab/>
      </w:r>
      <w:r>
        <w:tab/>
      </w:r>
      <w:r>
        <w:tab/>
      </w:r>
      <w:r>
        <w:tab/>
      </w:r>
      <w:proofErr w:type="spellStart"/>
      <w:r>
        <w:t>Agreed</w:t>
      </w:r>
      <w:proofErr w:type="spellEnd"/>
      <w:r>
        <w:t xml:space="preserve"> / Not Agreed</w:t>
      </w:r>
    </w:p>
    <w:p w:rsidR="000D4EA8" w:rsidRPr="00D950E1" w:rsidRDefault="000D4EA8" w:rsidP="00E52A49">
      <w:pPr>
        <w:pStyle w:val="TRBodyText"/>
        <w:tabs>
          <w:tab w:val="left" w:pos="567"/>
        </w:tabs>
      </w:pPr>
    </w:p>
    <w:p w:rsidR="000D4EA8" w:rsidRDefault="000D4EA8" w:rsidP="00E52A49">
      <w:pPr>
        <w:pStyle w:val="TRBodyText"/>
        <w:tabs>
          <w:tab w:val="left" w:pos="567"/>
        </w:tabs>
      </w:pPr>
    </w:p>
    <w:p w:rsidR="002228D3" w:rsidRPr="00D950E1" w:rsidRDefault="002228D3" w:rsidP="00E52A49">
      <w:pPr>
        <w:pStyle w:val="TRBodyText"/>
        <w:tabs>
          <w:tab w:val="left" w:pos="567"/>
        </w:tabs>
      </w:pPr>
    </w:p>
    <w:p w:rsidR="000D4EA8" w:rsidRDefault="000D4EA8" w:rsidP="00E52A49">
      <w:pPr>
        <w:pStyle w:val="TRBodyText"/>
        <w:tabs>
          <w:tab w:val="left" w:pos="567"/>
          <w:tab w:val="left" w:pos="5812"/>
        </w:tabs>
      </w:pPr>
    </w:p>
    <w:p w:rsidR="00FF13BC" w:rsidRDefault="00FF13BC" w:rsidP="00E52A49">
      <w:pPr>
        <w:pStyle w:val="TRBodyText"/>
        <w:tabs>
          <w:tab w:val="left" w:pos="567"/>
          <w:tab w:val="left" w:pos="5812"/>
        </w:tabs>
      </w:pPr>
    </w:p>
    <w:p w:rsidR="00291E66" w:rsidRPr="00D950E1" w:rsidRDefault="00291E66" w:rsidP="00E52A49">
      <w:pPr>
        <w:pStyle w:val="TRBodyText"/>
        <w:tabs>
          <w:tab w:val="left" w:pos="567"/>
          <w:tab w:val="left" w:pos="5812"/>
        </w:tabs>
      </w:pPr>
    </w:p>
    <w:p w:rsidR="000D4EA8" w:rsidRPr="00D950E1" w:rsidRDefault="000D4EA8" w:rsidP="00E52A49">
      <w:pPr>
        <w:pStyle w:val="TRBodyText"/>
        <w:tabs>
          <w:tab w:val="left" w:pos="567"/>
          <w:tab w:val="left" w:pos="5812"/>
        </w:tabs>
      </w:pPr>
    </w:p>
    <w:p w:rsidR="000D4EA8" w:rsidRPr="00D950E1" w:rsidRDefault="000D4EA8" w:rsidP="00E52A49">
      <w:pPr>
        <w:pStyle w:val="TRBodyText"/>
        <w:tabs>
          <w:tab w:val="left" w:pos="5387"/>
        </w:tabs>
        <w:rPr>
          <w:b/>
        </w:rPr>
      </w:pPr>
      <w:r>
        <w:rPr>
          <w:b/>
        </w:rPr>
        <w:t>Steve Mack</w:t>
      </w:r>
      <w:r>
        <w:rPr>
          <w:b/>
        </w:rPr>
        <w:tab/>
        <w:t>Carmel Peters</w:t>
      </w:r>
    </w:p>
    <w:p w:rsidR="000D4EA8" w:rsidRDefault="000D4EA8" w:rsidP="00E52A49">
      <w:pPr>
        <w:pStyle w:val="TRBodyText"/>
        <w:tabs>
          <w:tab w:val="left" w:pos="5387"/>
        </w:tabs>
      </w:pPr>
      <w:r>
        <w:t>Principal Advisor</w:t>
      </w:r>
      <w:r w:rsidRPr="004B41BF">
        <w:t xml:space="preserve"> </w:t>
      </w:r>
      <w:r>
        <w:tab/>
        <w:t>Policy Manager</w:t>
      </w:r>
    </w:p>
    <w:p w:rsidR="000D4EA8" w:rsidRDefault="000D4EA8" w:rsidP="00E52A49">
      <w:pPr>
        <w:pStyle w:val="TRBodyText"/>
        <w:tabs>
          <w:tab w:val="left" w:pos="5387"/>
        </w:tabs>
      </w:pPr>
      <w:r>
        <w:t>The Treasury</w:t>
      </w:r>
      <w:r>
        <w:tab/>
        <w:t>Inland Revenue</w:t>
      </w:r>
    </w:p>
    <w:p w:rsidR="000D4EA8" w:rsidRPr="00D950E1" w:rsidRDefault="000D4EA8" w:rsidP="00E52A49">
      <w:pPr>
        <w:pStyle w:val="TRBodyText"/>
        <w:tabs>
          <w:tab w:val="left" w:pos="5387"/>
        </w:tabs>
      </w:pPr>
      <w:r>
        <w:tab/>
      </w:r>
    </w:p>
    <w:p w:rsidR="00B82777" w:rsidRPr="00D950E1" w:rsidRDefault="00B82777" w:rsidP="00E52A49">
      <w:pPr>
        <w:pStyle w:val="TRBodyText"/>
        <w:tabs>
          <w:tab w:val="left" w:pos="5387"/>
        </w:tabs>
      </w:pPr>
    </w:p>
    <w:p w:rsidR="000D4EA8" w:rsidRPr="00D950E1" w:rsidRDefault="000D4EA8" w:rsidP="00E52A49">
      <w:pPr>
        <w:pStyle w:val="TRBodyText"/>
        <w:tabs>
          <w:tab w:val="left" w:pos="5387"/>
        </w:tabs>
      </w:pPr>
    </w:p>
    <w:p w:rsidR="000D4EA8" w:rsidRDefault="000D4EA8" w:rsidP="00E52A49">
      <w:pPr>
        <w:pStyle w:val="TRBodyText"/>
        <w:tabs>
          <w:tab w:val="left" w:pos="5387"/>
        </w:tabs>
      </w:pPr>
    </w:p>
    <w:p w:rsidR="00FF13BC" w:rsidRPr="00D950E1" w:rsidRDefault="00FF13BC" w:rsidP="00E52A49">
      <w:pPr>
        <w:pStyle w:val="TRBodyText"/>
        <w:tabs>
          <w:tab w:val="left" w:pos="5387"/>
        </w:tabs>
      </w:pPr>
    </w:p>
    <w:p w:rsidR="000D4EA8" w:rsidRPr="00D950E1" w:rsidRDefault="000D4EA8" w:rsidP="00E52A49">
      <w:pPr>
        <w:pStyle w:val="TRBodyText"/>
        <w:tabs>
          <w:tab w:val="left" w:pos="5387"/>
        </w:tabs>
      </w:pPr>
    </w:p>
    <w:p w:rsidR="000D4EA8" w:rsidRPr="00D950E1" w:rsidRDefault="000D4EA8" w:rsidP="00E52A49">
      <w:pPr>
        <w:pStyle w:val="TRBodyText"/>
        <w:tabs>
          <w:tab w:val="left" w:pos="5387"/>
        </w:tabs>
      </w:pPr>
    </w:p>
    <w:p w:rsidR="000D4EA8" w:rsidRPr="00D950E1" w:rsidRDefault="000D4EA8" w:rsidP="00E52A49">
      <w:pPr>
        <w:pStyle w:val="TRBodyText"/>
        <w:tabs>
          <w:tab w:val="left" w:pos="5387"/>
        </w:tabs>
        <w:rPr>
          <w:b/>
        </w:rPr>
      </w:pPr>
      <w:r>
        <w:rPr>
          <w:b/>
        </w:rPr>
        <w:t>Steven Joyce</w:t>
      </w:r>
      <w:r>
        <w:rPr>
          <w:b/>
        </w:rPr>
        <w:tab/>
      </w:r>
      <w:r w:rsidRPr="00D950E1">
        <w:rPr>
          <w:b/>
        </w:rPr>
        <w:t xml:space="preserve">Hon </w:t>
      </w:r>
      <w:r>
        <w:rPr>
          <w:b/>
        </w:rPr>
        <w:t>Judith Collins</w:t>
      </w:r>
    </w:p>
    <w:p w:rsidR="000D4EA8" w:rsidRDefault="000D4EA8" w:rsidP="00E52A49">
      <w:pPr>
        <w:pStyle w:val="TRBodyText"/>
        <w:tabs>
          <w:tab w:val="left" w:pos="5387"/>
        </w:tabs>
      </w:pPr>
      <w:r>
        <w:t>Minister of Finance</w:t>
      </w:r>
      <w:r>
        <w:tab/>
      </w:r>
      <w:r w:rsidRPr="00D950E1">
        <w:t>Minister of Revenue</w:t>
      </w:r>
    </w:p>
    <w:p w:rsidR="000B70A3" w:rsidRPr="00307994" w:rsidRDefault="000B70A3" w:rsidP="00307994">
      <w:pPr>
        <w:pStyle w:val="TRBodyText"/>
        <w:tabs>
          <w:tab w:val="left" w:pos="5387"/>
        </w:tabs>
      </w:pPr>
    </w:p>
    <w:sectPr w:rsidR="000B70A3" w:rsidRPr="00307994" w:rsidSect="000B70A3">
      <w:headerReference w:type="even" r:id="rId11"/>
      <w:headerReference w:type="default" r:id="rId12"/>
      <w:footerReference w:type="default" r:id="rId13"/>
      <w:headerReference w:type="first" r:id="rId14"/>
      <w:footerReference w:type="first" r:id="rId15"/>
      <w:pgSz w:w="11907" w:h="16840" w:code="9"/>
      <w:pgMar w:top="1276" w:right="1418" w:bottom="1276" w:left="1418" w:header="28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241" w:rsidRDefault="00044241">
      <w:r>
        <w:separator/>
      </w:r>
    </w:p>
  </w:endnote>
  <w:endnote w:type="continuationSeparator" w:id="0">
    <w:p w:rsidR="00044241" w:rsidRDefault="0004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2" w:name="TsyIMFooter"/>
  <w:p w:rsidR="00044241" w:rsidRPr="006646C7" w:rsidRDefault="00044241">
    <w:pPr>
      <w:rPr>
        <w:sz w:val="14"/>
      </w:rPr>
    </w:pPr>
    <w:r w:rsidRPr="006646C7">
      <w:rPr>
        <w:sz w:val="14"/>
      </w:rPr>
      <w:fldChar w:fldCharType="begin"/>
    </w:r>
    <w:r w:rsidRPr="006646C7">
      <w:rPr>
        <w:sz w:val="14"/>
      </w:rPr>
      <w:instrText>PAGE</w:instrText>
    </w:r>
    <w:r w:rsidRPr="006646C7">
      <w:rPr>
        <w:sz w:val="14"/>
      </w:rPr>
      <w:fldChar w:fldCharType="separate"/>
    </w:r>
    <w:r w:rsidR="000B70A3">
      <w:rPr>
        <w:noProof/>
        <w:sz w:val="14"/>
      </w:rPr>
      <w:t>6</w:t>
    </w:r>
    <w:r w:rsidRPr="006646C7">
      <w:rPr>
        <w:sz w:val="14"/>
      </w:rPr>
      <w:fldChar w:fldCharType="end"/>
    </w:r>
    <w:r w:rsidRPr="006646C7">
      <w:rPr>
        <w:sz w:val="14"/>
      </w:rPr>
      <w:t>Treasury</w:t>
    </w:r>
    <w:proofErr w:type="gramStart"/>
    <w:r w:rsidRPr="006646C7">
      <w:rPr>
        <w:sz w:val="14"/>
      </w:rPr>
      <w:t>:3727240v1</w:t>
    </w:r>
    <w:proofErr w:type="gramEnd"/>
    <w:r w:rsidRPr="006646C7">
      <w:rPr>
        <w:sz w:val="14"/>
      </w:rPr>
      <w:t xml:space="preserve"> </w:t>
    </w:r>
    <w:bookmarkEnd w:id="1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0A3" w:rsidRDefault="000B70A3">
    <w:pPr>
      <w:pStyle w:val="TRFooter"/>
    </w:pPr>
    <w:r>
      <w:t xml:space="preserve">T2017/1578, IR2017/329: Base erosion and profit shifting – overview of current reports  </w:t>
    </w:r>
    <w:r>
      <w:rPr>
        <w:b/>
      </w:rPr>
      <w:tab/>
    </w:r>
    <w:r>
      <w:rPr>
        <w:rStyle w:val="TRPageNumber"/>
      </w:rPr>
      <w:t xml:space="preserve">Page </w:t>
    </w:r>
    <w:r>
      <w:rPr>
        <w:rStyle w:val="TRPageNumber"/>
      </w:rPr>
      <w:fldChar w:fldCharType="begin"/>
    </w:r>
    <w:r>
      <w:rPr>
        <w:rStyle w:val="TRPageNumber"/>
      </w:rPr>
      <w:instrText>PAGE</w:instrText>
    </w:r>
    <w:r>
      <w:rPr>
        <w:rStyle w:val="TRPageNumber"/>
      </w:rPr>
      <w:fldChar w:fldCharType="separate"/>
    </w:r>
    <w:r w:rsidR="00C11EEE">
      <w:rPr>
        <w:rStyle w:val="TRPageNumber"/>
        <w:noProof/>
      </w:rPr>
      <w:t>1</w:t>
    </w:r>
    <w:r>
      <w:rPr>
        <w:rStyle w:val="TR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241" w:rsidRDefault="00044241">
    <w:pPr>
      <w:framePr w:wrap="around" w:vAnchor="text" w:hAnchor="margin" w:xAlign="right" w:y="1"/>
    </w:pPr>
  </w:p>
  <w:p w:rsidR="00044241" w:rsidRDefault="00044241">
    <w:pPr>
      <w:tabs>
        <w:tab w:val="right" w:pos="9356"/>
      </w:tabs>
      <w:ind w:right="-1"/>
    </w:pPr>
    <w:r>
      <w:rPr>
        <w:b/>
      </w:rPr>
      <w:t xml:space="preserve"> </w:t>
    </w:r>
    <w:r>
      <w:tab/>
      <w:t xml:space="preserve">Page </w:t>
    </w:r>
    <w:r>
      <w:fldChar w:fldCharType="begin"/>
    </w:r>
    <w:r>
      <w:instrText xml:space="preserve">PAGE  </w:instrText>
    </w:r>
    <w:r>
      <w:fldChar w:fldCharType="separate"/>
    </w:r>
    <w:r>
      <w:rPr>
        <w:noProof/>
      </w:rPr>
      <w:t>2</w:t>
    </w:r>
    <w:r>
      <w:fldChar w:fldCharType="end"/>
    </w:r>
  </w:p>
  <w:p w:rsidR="00044241" w:rsidRDefault="000442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241" w:rsidRDefault="00044241">
      <w:r>
        <w:separator/>
      </w:r>
    </w:p>
  </w:footnote>
  <w:footnote w:type="continuationSeparator" w:id="0">
    <w:p w:rsidR="00044241" w:rsidRDefault="00044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000" w:firstRow="0" w:lastRow="0" w:firstColumn="0" w:lastColumn="0" w:noHBand="0" w:noVBand="0"/>
    </w:tblPr>
    <w:tblGrid>
      <w:gridCol w:w="4077"/>
      <w:gridCol w:w="3544"/>
      <w:gridCol w:w="2126"/>
    </w:tblGrid>
    <w:tr w:rsidR="00044241" w:rsidTr="00E1497C">
      <w:trPr>
        <w:trHeight w:val="963"/>
      </w:trPr>
      <w:tc>
        <w:tcPr>
          <w:tcW w:w="4077" w:type="dxa"/>
        </w:tcPr>
        <w:p w:rsidR="00044241" w:rsidRDefault="00044241" w:rsidP="00E1497C">
          <w:pPr>
            <w:jc w:val="left"/>
            <w:rPr>
              <w:b/>
              <w:caps/>
              <w:color w:val="000000"/>
              <w:sz w:val="32"/>
            </w:rPr>
          </w:pPr>
          <w:r>
            <w:rPr>
              <w:noProof/>
              <w:lang w:eastAsia="en-NZ"/>
            </w:rPr>
            <w:drawing>
              <wp:inline distT="0" distB="0" distL="0" distR="0" wp14:anchorId="70CA193A" wp14:editId="1436C54D">
                <wp:extent cx="2423795" cy="673100"/>
                <wp:effectExtent l="0" t="0" r="0" b="0"/>
                <wp:docPr id="8" name="Picture 8" descr="new IR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R logo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795" cy="673100"/>
                        </a:xfrm>
                        <a:prstGeom prst="rect">
                          <a:avLst/>
                        </a:prstGeom>
                        <a:noFill/>
                        <a:ln>
                          <a:noFill/>
                        </a:ln>
                      </pic:spPr>
                    </pic:pic>
                  </a:graphicData>
                </a:graphic>
              </wp:inline>
            </w:drawing>
          </w:r>
          <w:r>
            <w:rPr>
              <w:noProof/>
              <w:lang w:eastAsia="en-NZ"/>
            </w:rPr>
            <mc:AlternateContent>
              <mc:Choice Requires="wps">
                <w:drawing>
                  <wp:anchor distT="0" distB="0" distL="114300" distR="114300" simplePos="0" relativeHeight="251659264" behindDoc="0" locked="0" layoutInCell="0" allowOverlap="1" wp14:anchorId="143BDEC9" wp14:editId="57DE8741">
                    <wp:simplePos x="0" y="0"/>
                    <wp:positionH relativeFrom="column">
                      <wp:posOffset>-106680</wp:posOffset>
                    </wp:positionH>
                    <wp:positionV relativeFrom="paragraph">
                      <wp:posOffset>732155</wp:posOffset>
                    </wp:positionV>
                    <wp:extent cx="2255520" cy="373380"/>
                    <wp:effectExtent l="0" t="0" r="0"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241" w:rsidRDefault="00044241" w:rsidP="00EF0B80">
                                <w:pPr>
                                  <w:rPr>
                                    <w:spacing w:val="4"/>
                                    <w:sz w:val="25"/>
                                  </w:rPr>
                                </w:pPr>
                                <w:r>
                                  <w:rPr>
                                    <w:color w:val="000000"/>
                                    <w:spacing w:val="4"/>
                                    <w:sz w:val="25"/>
                                  </w:rPr>
                                  <w:t>POLICY AND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8.4pt;margin-top:57.65pt;width:177.6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J7tgIAALk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" o:allowincell="f" filled="f" stroked="f">
                    <v:textbox>
                      <w:txbxContent>
                        <w:p w:rsidR="00044241" w:rsidRDefault="00044241" w:rsidP="00EF0B80">
                          <w:pPr>
                            <w:rPr>
                              <w:spacing w:val="4"/>
                              <w:sz w:val="25"/>
                            </w:rPr>
                          </w:pPr>
                          <w:r>
                            <w:rPr>
                              <w:color w:val="000000"/>
                              <w:spacing w:val="4"/>
                              <w:sz w:val="25"/>
                            </w:rPr>
                            <w:t>POLICY AND STRATEGY</w:t>
                          </w:r>
                        </w:p>
                      </w:txbxContent>
                    </v:textbox>
                    <w10:wrap type="square"/>
                  </v:shape>
                </w:pict>
              </mc:Fallback>
            </mc:AlternateContent>
          </w:r>
        </w:p>
      </w:tc>
      <w:tc>
        <w:tcPr>
          <w:tcW w:w="3544" w:type="dxa"/>
        </w:tcPr>
        <w:p w:rsidR="00044241" w:rsidRDefault="00044241" w:rsidP="00E1497C">
          <w:pPr>
            <w:jc w:val="center"/>
          </w:pPr>
        </w:p>
      </w:tc>
      <w:tc>
        <w:tcPr>
          <w:tcW w:w="2126" w:type="dxa"/>
        </w:tcPr>
        <w:p w:rsidR="00044241" w:rsidRDefault="00044241" w:rsidP="00E1497C">
          <w:pPr>
            <w:jc w:val="right"/>
            <w:rPr>
              <w:b/>
              <w:caps/>
              <w:color w:val="000000"/>
              <w:sz w:val="32"/>
            </w:rPr>
          </w:pPr>
          <w:r>
            <w:rPr>
              <w:noProof/>
              <w:lang w:eastAsia="en-NZ"/>
            </w:rPr>
            <w:drawing>
              <wp:inline distT="0" distB="0" distL="0" distR="0" wp14:anchorId="0EF7B856" wp14:editId="5067680C">
                <wp:extent cx="1233805" cy="1216025"/>
                <wp:effectExtent l="0" t="0" r="4445" b="3175"/>
                <wp:docPr id="9" name="Picture 9" descr="ts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y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805" cy="1216025"/>
                        </a:xfrm>
                        <a:prstGeom prst="rect">
                          <a:avLst/>
                        </a:prstGeom>
                        <a:noFill/>
                        <a:ln>
                          <a:noFill/>
                        </a:ln>
                      </pic:spPr>
                    </pic:pic>
                  </a:graphicData>
                </a:graphic>
              </wp:inline>
            </w:drawing>
          </w:r>
        </w:p>
      </w:tc>
    </w:tr>
  </w:tbl>
  <w:p w:rsidR="00044241" w:rsidRDefault="00044241" w:rsidP="00EF0B80">
    <w:pPr>
      <w:pStyle w:val="Header"/>
      <w:spacing w:after="9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241" w:rsidRDefault="000442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0A3" w:rsidRDefault="000B70A3" w:rsidP="008C6AD1">
    <w:pPr>
      <w:pStyle w:val="TRHeader"/>
      <w:tabs>
        <w:tab w:val="right" w:pos="9071"/>
      </w:tabs>
      <w:jc w:val="right"/>
    </w:pPr>
    <w:r>
      <w:t>In Confidence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241" w:rsidRDefault="00044241"/>
  <w:p w:rsidR="00044241" w:rsidRDefault="000442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8D6C3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3DD621F"/>
    <w:multiLevelType w:val="singleLevel"/>
    <w:tmpl w:val="915E4D5A"/>
    <w:lvl w:ilvl="0">
      <w:start w:val="1"/>
      <w:numFmt w:val="decimal"/>
      <w:lvlText w:val="%1"/>
      <w:legacy w:legacy="1" w:legacySpace="0" w:legacyIndent="567"/>
      <w:lvlJc w:val="left"/>
      <w:pPr>
        <w:ind w:left="567" w:hanging="567"/>
      </w:pPr>
    </w:lvl>
  </w:abstractNum>
  <w:abstractNum w:abstractNumId="3">
    <w:nsid w:val="0C000399"/>
    <w:multiLevelType w:val="singleLevel"/>
    <w:tmpl w:val="915E4D5A"/>
    <w:lvl w:ilvl="0">
      <w:start w:val="1"/>
      <w:numFmt w:val="decimal"/>
      <w:lvlText w:val="%1"/>
      <w:legacy w:legacy="1" w:legacySpace="0" w:legacyIndent="567"/>
      <w:lvlJc w:val="left"/>
      <w:pPr>
        <w:ind w:left="567" w:hanging="567"/>
      </w:pPr>
    </w:lvl>
  </w:abstractNum>
  <w:abstractNum w:abstractNumId="4">
    <w:nsid w:val="0CA12010"/>
    <w:multiLevelType w:val="singleLevel"/>
    <w:tmpl w:val="638C4CD0"/>
    <w:lvl w:ilvl="0">
      <w:start w:val="1"/>
      <w:numFmt w:val="bullet"/>
      <w:lvlText w:val=""/>
      <w:lvlJc w:val="left"/>
      <w:pPr>
        <w:tabs>
          <w:tab w:val="num" w:pos="567"/>
        </w:tabs>
        <w:ind w:left="567" w:hanging="567"/>
      </w:pPr>
      <w:rPr>
        <w:rFonts w:ascii="Symbol" w:hAnsi="Symbol" w:hint="default"/>
      </w:rPr>
    </w:lvl>
  </w:abstractNum>
  <w:abstractNum w:abstractNumId="5">
    <w:nsid w:val="1101173F"/>
    <w:multiLevelType w:val="singleLevel"/>
    <w:tmpl w:val="915E4D5A"/>
    <w:lvl w:ilvl="0">
      <w:start w:val="1"/>
      <w:numFmt w:val="decimal"/>
      <w:lvlText w:val="%1"/>
      <w:legacy w:legacy="1" w:legacySpace="0" w:legacyIndent="567"/>
      <w:lvlJc w:val="left"/>
      <w:pPr>
        <w:ind w:left="567" w:hanging="567"/>
      </w:pPr>
    </w:lvl>
  </w:abstractNum>
  <w:abstractNum w:abstractNumId="6">
    <w:nsid w:val="12557B67"/>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7">
    <w:nsid w:val="12F9016C"/>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8">
    <w:nsid w:val="13E31336"/>
    <w:multiLevelType w:val="hybridMultilevel"/>
    <w:tmpl w:val="5E382814"/>
    <w:lvl w:ilvl="0" w:tplc="A3A0AB44">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1643361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0">
    <w:nsid w:val="174F58CF"/>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1">
    <w:nsid w:val="19C72808"/>
    <w:multiLevelType w:val="hybridMultilevel"/>
    <w:tmpl w:val="FA842B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1CA80B76"/>
    <w:multiLevelType w:val="singleLevel"/>
    <w:tmpl w:val="FAD8B7F2"/>
    <w:lvl w:ilvl="0">
      <w:start w:val="1"/>
      <w:numFmt w:val="decimal"/>
      <w:lvlText w:val="%1."/>
      <w:lvlJc w:val="left"/>
      <w:pPr>
        <w:tabs>
          <w:tab w:val="num" w:pos="360"/>
        </w:tabs>
        <w:ind w:left="360" w:hanging="360"/>
      </w:pPr>
      <w:rPr>
        <w:rFonts w:ascii="Helvetica" w:hAnsi="Helvetica" w:hint="default"/>
        <w:b w:val="0"/>
        <w:i w:val="0"/>
      </w:rPr>
    </w:lvl>
  </w:abstractNum>
  <w:abstractNum w:abstractNumId="13">
    <w:nsid w:val="1CDB2C0B"/>
    <w:multiLevelType w:val="hybridMultilevel"/>
    <w:tmpl w:val="9F96CF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22880143"/>
    <w:multiLevelType w:val="hybridMultilevel"/>
    <w:tmpl w:val="3BAA3F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30420999"/>
    <w:multiLevelType w:val="hybridMultilevel"/>
    <w:tmpl w:val="BE5C5A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335F0215"/>
    <w:multiLevelType w:val="hybridMultilevel"/>
    <w:tmpl w:val="FCC6EBAC"/>
    <w:lvl w:ilvl="0" w:tplc="DAA80250">
      <w:start w:val="1"/>
      <w:numFmt w:val="decimal"/>
      <w:pStyle w:val="Numberparagraph"/>
      <w:lvlText w:val="%1."/>
      <w:lvlJc w:val="left"/>
      <w:pPr>
        <w:ind w:left="360" w:hanging="360"/>
      </w:pPr>
      <w:rPr>
        <w:b w:val="0"/>
      </w:rPr>
    </w:lvl>
    <w:lvl w:ilvl="1" w:tplc="14090019">
      <w:start w:val="1"/>
      <w:numFmt w:val="lowerLetter"/>
      <w:lvlText w:val="%2."/>
      <w:lvlJc w:val="left"/>
      <w:pPr>
        <w:ind w:left="1069"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35E83889"/>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8">
    <w:nsid w:val="361347DE"/>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9">
    <w:nsid w:val="39071271"/>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0">
    <w:nsid w:val="3C816D8D"/>
    <w:multiLevelType w:val="hybridMultilevel"/>
    <w:tmpl w:val="2CA8A9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3E4C2C0C"/>
    <w:multiLevelType w:val="hybridMultilevel"/>
    <w:tmpl w:val="EDAA5ADC"/>
    <w:lvl w:ilvl="0" w:tplc="A3A0AB44">
      <w:start w:val="1"/>
      <w:numFmt w:val="bullet"/>
      <w:lvlText w:val="-"/>
      <w:lvlJc w:val="left"/>
      <w:pPr>
        <w:ind w:left="360" w:hanging="360"/>
      </w:pPr>
      <w:rPr>
        <w:rFonts w:ascii="Courier New" w:hAnsi="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nsid w:val="4443103C"/>
    <w:multiLevelType w:val="hybridMultilevel"/>
    <w:tmpl w:val="D640F4C0"/>
    <w:lvl w:ilvl="0" w:tplc="F33E4A88">
      <w:numFmt w:val="bullet"/>
      <w:lvlText w:val=""/>
      <w:lvlJc w:val="left"/>
      <w:pPr>
        <w:ind w:left="360" w:hanging="360"/>
      </w:pPr>
      <w:rPr>
        <w:rFonts w:ascii="Symbol" w:eastAsiaTheme="minorHAnsi" w:hAnsi="Symbol" w:cstheme="minorBidi"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3">
    <w:nsid w:val="463F23D2"/>
    <w:multiLevelType w:val="singleLevel"/>
    <w:tmpl w:val="915E4D5A"/>
    <w:lvl w:ilvl="0">
      <w:start w:val="1"/>
      <w:numFmt w:val="decimal"/>
      <w:lvlText w:val="%1"/>
      <w:legacy w:legacy="1" w:legacySpace="0" w:legacyIndent="567"/>
      <w:lvlJc w:val="left"/>
      <w:pPr>
        <w:ind w:left="567" w:hanging="567"/>
      </w:pPr>
    </w:lvl>
  </w:abstractNum>
  <w:abstractNum w:abstractNumId="24">
    <w:nsid w:val="535F252A"/>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5">
    <w:nsid w:val="56204238"/>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6">
    <w:nsid w:val="5A361D6B"/>
    <w:multiLevelType w:val="hybridMultilevel"/>
    <w:tmpl w:val="746CCCD6"/>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27">
    <w:nsid w:val="5BDF4C5D"/>
    <w:multiLevelType w:val="hybridMultilevel"/>
    <w:tmpl w:val="B8CCE632"/>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28">
    <w:nsid w:val="5C4E7217"/>
    <w:multiLevelType w:val="singleLevel"/>
    <w:tmpl w:val="915E4D5A"/>
    <w:lvl w:ilvl="0">
      <w:start w:val="1"/>
      <w:numFmt w:val="decimal"/>
      <w:lvlText w:val="%1"/>
      <w:legacy w:legacy="1" w:legacySpace="0" w:legacyIndent="567"/>
      <w:lvlJc w:val="left"/>
      <w:pPr>
        <w:ind w:left="567" w:hanging="567"/>
      </w:pPr>
    </w:lvl>
  </w:abstractNum>
  <w:abstractNum w:abstractNumId="29">
    <w:nsid w:val="5F033750"/>
    <w:multiLevelType w:val="hybridMultilevel"/>
    <w:tmpl w:val="B87C1960"/>
    <w:lvl w:ilvl="0" w:tplc="E5A470F4">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6244181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1">
    <w:nsid w:val="667023B0"/>
    <w:multiLevelType w:val="hybridMultilevel"/>
    <w:tmpl w:val="C2FCC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6B1B4A56"/>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3">
    <w:nsid w:val="6BD108CD"/>
    <w:multiLevelType w:val="singleLevel"/>
    <w:tmpl w:val="915E4D5A"/>
    <w:lvl w:ilvl="0">
      <w:start w:val="1"/>
      <w:numFmt w:val="decimal"/>
      <w:lvlText w:val="%1"/>
      <w:legacy w:legacy="1" w:legacySpace="0" w:legacyIndent="567"/>
      <w:lvlJc w:val="left"/>
      <w:pPr>
        <w:ind w:left="567" w:hanging="567"/>
      </w:pPr>
    </w:lvl>
  </w:abstractNum>
  <w:abstractNum w:abstractNumId="34">
    <w:nsid w:val="71330935"/>
    <w:multiLevelType w:val="hybridMultilevel"/>
    <w:tmpl w:val="D4B238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nsid w:val="715C1B4E"/>
    <w:multiLevelType w:val="singleLevel"/>
    <w:tmpl w:val="915E4D5A"/>
    <w:lvl w:ilvl="0">
      <w:start w:val="1"/>
      <w:numFmt w:val="decimal"/>
      <w:lvlText w:val="%1"/>
      <w:legacy w:legacy="1" w:legacySpace="0" w:legacyIndent="567"/>
      <w:lvlJc w:val="left"/>
      <w:pPr>
        <w:ind w:left="567" w:hanging="567"/>
      </w:pPr>
    </w:lvl>
  </w:abstractNum>
  <w:abstractNum w:abstractNumId="36">
    <w:nsid w:val="722E105A"/>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7">
    <w:nsid w:val="757F615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8">
    <w:nsid w:val="76277BC7"/>
    <w:multiLevelType w:val="hybridMultilevel"/>
    <w:tmpl w:val="CCA08A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nsid w:val="767C4449"/>
    <w:multiLevelType w:val="singleLevel"/>
    <w:tmpl w:val="08D0946E"/>
    <w:lvl w:ilvl="0">
      <w:start w:val="1"/>
      <w:numFmt w:val="bullet"/>
      <w:pStyle w:val="TRListBullet"/>
      <w:lvlText w:val=""/>
      <w:lvlJc w:val="left"/>
      <w:pPr>
        <w:tabs>
          <w:tab w:val="num" w:pos="1134"/>
        </w:tabs>
        <w:ind w:left="1134" w:hanging="567"/>
      </w:pPr>
      <w:rPr>
        <w:rFonts w:ascii="Symbol" w:hAnsi="Symbol" w:hint="default"/>
        <w:sz w:val="24"/>
      </w:rPr>
    </w:lvl>
  </w:abstractNum>
  <w:num w:numId="1">
    <w:abstractNumId w:val="6"/>
  </w:num>
  <w:num w:numId="2">
    <w:abstractNumId w:val="30"/>
  </w:num>
  <w:num w:numId="3">
    <w:abstractNumId w:val="36"/>
  </w:num>
  <w:num w:numId="4">
    <w:abstractNumId w:val="7"/>
  </w:num>
  <w:num w:numId="5">
    <w:abstractNumId w:val="19"/>
  </w:num>
  <w:num w:numId="6">
    <w:abstractNumId w:val="32"/>
  </w:num>
  <w:num w:numId="7">
    <w:abstractNumId w:val="9"/>
  </w:num>
  <w:num w:numId="8">
    <w:abstractNumId w:val="24"/>
  </w:num>
  <w:num w:numId="9">
    <w:abstractNumId w:val="37"/>
  </w:num>
  <w:num w:numId="10">
    <w:abstractNumId w:val="18"/>
  </w:num>
  <w:num w:numId="11">
    <w:abstractNumId w:val="25"/>
  </w:num>
  <w:num w:numId="12">
    <w:abstractNumId w:val="10"/>
  </w:num>
  <w:num w:numId="13">
    <w:abstractNumId w:val="17"/>
  </w:num>
  <w:num w:numId="14">
    <w:abstractNumId w:val="35"/>
  </w:num>
  <w:num w:numId="15">
    <w:abstractNumId w:val="1"/>
    <w:lvlOverride w:ilvl="0">
      <w:lvl w:ilvl="0">
        <w:start w:val="1"/>
        <w:numFmt w:val="bullet"/>
        <w:lvlText w:val=""/>
        <w:legacy w:legacy="1" w:legacySpace="0" w:legacyIndent="567"/>
        <w:lvlJc w:val="left"/>
        <w:pPr>
          <w:ind w:left="567" w:hanging="567"/>
        </w:pPr>
        <w:rPr>
          <w:rFonts w:ascii="Times" w:hAnsi="Times" w:hint="default"/>
        </w:rPr>
      </w:lvl>
    </w:lvlOverride>
  </w:num>
  <w:num w:numId="16">
    <w:abstractNumId w:val="2"/>
  </w:num>
  <w:num w:numId="17">
    <w:abstractNumId w:val="5"/>
  </w:num>
  <w:num w:numId="18">
    <w:abstractNumId w:val="23"/>
  </w:num>
  <w:num w:numId="19">
    <w:abstractNumId w:val="4"/>
  </w:num>
  <w:num w:numId="20">
    <w:abstractNumId w:val="3"/>
  </w:num>
  <w:num w:numId="21">
    <w:abstractNumId w:val="12"/>
  </w:num>
  <w:num w:numId="22">
    <w:abstractNumId w:val="33"/>
  </w:num>
  <w:num w:numId="23">
    <w:abstractNumId w:val="28"/>
  </w:num>
  <w:num w:numId="24">
    <w:abstractNumId w:val="39"/>
  </w:num>
  <w:num w:numId="25">
    <w:abstractNumId w:val="0"/>
  </w:num>
  <w:num w:numId="26">
    <w:abstractNumId w:val="11"/>
  </w:num>
  <w:num w:numId="27">
    <w:abstractNumId w:val="29"/>
  </w:num>
  <w:num w:numId="28">
    <w:abstractNumId w:val="21"/>
  </w:num>
  <w:num w:numId="29">
    <w:abstractNumId w:val="8"/>
  </w:num>
  <w:num w:numId="30">
    <w:abstractNumId w:val="16"/>
  </w:num>
  <w:num w:numId="31">
    <w:abstractNumId w:val="22"/>
  </w:num>
  <w:num w:numId="32">
    <w:abstractNumId w:val="27"/>
  </w:num>
  <w:num w:numId="33">
    <w:abstractNumId w:val="38"/>
  </w:num>
  <w:num w:numId="34">
    <w:abstractNumId w:val="15"/>
  </w:num>
  <w:num w:numId="35">
    <w:abstractNumId w:val="26"/>
  </w:num>
  <w:num w:numId="36">
    <w:abstractNumId w:val="34"/>
  </w:num>
  <w:num w:numId="37">
    <w:abstractNumId w:val="20"/>
  </w:num>
  <w:num w:numId="38">
    <w:abstractNumId w:val="13"/>
  </w:num>
  <w:num w:numId="39">
    <w:abstractNumId w:val="14"/>
  </w:num>
  <w:num w:numId="40">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Mack [TSY]">
    <w15:presenceInfo w15:providerId="None" w15:userId="Steve Mack [TSY]"/>
  </w15:person>
  <w15:person w15:author="Matt Cowan [TSY]">
    <w15:presenceInfo w15:providerId="None" w15:userId="Matt Cowan [TSY]"/>
  </w15:person>
  <w15:person w15:author="Matthew Gan">
    <w15:presenceInfo w15:providerId="None" w15:userId="Matthew G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embedSystemFonts/>
  <w:activeWritingStyle w:appName="MSWord" w:lang="en-AU" w:vendorID="8" w:dllVersion="513" w:checkStyle="1"/>
  <w:activeWritingStyle w:appName="MSWord" w:lang="en-NZ"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F3"/>
    <w:rsid w:val="000030F9"/>
    <w:rsid w:val="0001189B"/>
    <w:rsid w:val="00015600"/>
    <w:rsid w:val="00044241"/>
    <w:rsid w:val="000533F6"/>
    <w:rsid w:val="00064565"/>
    <w:rsid w:val="00065220"/>
    <w:rsid w:val="00094174"/>
    <w:rsid w:val="000954C5"/>
    <w:rsid w:val="000A2B27"/>
    <w:rsid w:val="000A7381"/>
    <w:rsid w:val="000A7577"/>
    <w:rsid w:val="000A7923"/>
    <w:rsid w:val="000B5D2A"/>
    <w:rsid w:val="000B70A3"/>
    <w:rsid w:val="000D0533"/>
    <w:rsid w:val="000D4EA8"/>
    <w:rsid w:val="000D5AF1"/>
    <w:rsid w:val="000E3600"/>
    <w:rsid w:val="000F50BC"/>
    <w:rsid w:val="000F5975"/>
    <w:rsid w:val="00102A5F"/>
    <w:rsid w:val="001055AB"/>
    <w:rsid w:val="00107F7C"/>
    <w:rsid w:val="00114E1C"/>
    <w:rsid w:val="00123FE5"/>
    <w:rsid w:val="00127D8A"/>
    <w:rsid w:val="001319A6"/>
    <w:rsid w:val="0013396B"/>
    <w:rsid w:val="00154CBC"/>
    <w:rsid w:val="00170FA9"/>
    <w:rsid w:val="001811D6"/>
    <w:rsid w:val="00192C20"/>
    <w:rsid w:val="001A77D1"/>
    <w:rsid w:val="001B41A0"/>
    <w:rsid w:val="001D2D28"/>
    <w:rsid w:val="001F1005"/>
    <w:rsid w:val="001F590B"/>
    <w:rsid w:val="001F6D2F"/>
    <w:rsid w:val="00215F2A"/>
    <w:rsid w:val="0022007A"/>
    <w:rsid w:val="00220AA3"/>
    <w:rsid w:val="002228D3"/>
    <w:rsid w:val="0023241B"/>
    <w:rsid w:val="00243A94"/>
    <w:rsid w:val="00245FB9"/>
    <w:rsid w:val="00262FE8"/>
    <w:rsid w:val="00266338"/>
    <w:rsid w:val="002710E4"/>
    <w:rsid w:val="00284EEA"/>
    <w:rsid w:val="00287905"/>
    <w:rsid w:val="00287FC3"/>
    <w:rsid w:val="00291E66"/>
    <w:rsid w:val="002A774D"/>
    <w:rsid w:val="002A7DFB"/>
    <w:rsid w:val="002B49A7"/>
    <w:rsid w:val="002C3EBF"/>
    <w:rsid w:val="002C3F68"/>
    <w:rsid w:val="002D00BC"/>
    <w:rsid w:val="002D710E"/>
    <w:rsid w:val="002E1E54"/>
    <w:rsid w:val="002F3685"/>
    <w:rsid w:val="003007A3"/>
    <w:rsid w:val="00304F3C"/>
    <w:rsid w:val="00307994"/>
    <w:rsid w:val="003153EE"/>
    <w:rsid w:val="003302E5"/>
    <w:rsid w:val="0033091A"/>
    <w:rsid w:val="0033175F"/>
    <w:rsid w:val="00372F2B"/>
    <w:rsid w:val="003730D8"/>
    <w:rsid w:val="00382916"/>
    <w:rsid w:val="003A45BD"/>
    <w:rsid w:val="003B2B43"/>
    <w:rsid w:val="003C4AA6"/>
    <w:rsid w:val="003E6D1B"/>
    <w:rsid w:val="003F7102"/>
    <w:rsid w:val="00406DF4"/>
    <w:rsid w:val="00410D77"/>
    <w:rsid w:val="00412BBB"/>
    <w:rsid w:val="004238E6"/>
    <w:rsid w:val="00433921"/>
    <w:rsid w:val="00440CBD"/>
    <w:rsid w:val="00466D7D"/>
    <w:rsid w:val="00471B2A"/>
    <w:rsid w:val="00477668"/>
    <w:rsid w:val="00483FD6"/>
    <w:rsid w:val="0048681E"/>
    <w:rsid w:val="00495C6B"/>
    <w:rsid w:val="004965EB"/>
    <w:rsid w:val="004A1B71"/>
    <w:rsid w:val="004A4A35"/>
    <w:rsid w:val="004A654E"/>
    <w:rsid w:val="004B7914"/>
    <w:rsid w:val="004D37E9"/>
    <w:rsid w:val="004E29F0"/>
    <w:rsid w:val="004F24A4"/>
    <w:rsid w:val="004F6D2C"/>
    <w:rsid w:val="00520040"/>
    <w:rsid w:val="00534572"/>
    <w:rsid w:val="005408B1"/>
    <w:rsid w:val="005408DA"/>
    <w:rsid w:val="005510C7"/>
    <w:rsid w:val="00557F27"/>
    <w:rsid w:val="005B4B23"/>
    <w:rsid w:val="005B76A2"/>
    <w:rsid w:val="005D73FB"/>
    <w:rsid w:val="005E37EF"/>
    <w:rsid w:val="005F0DA2"/>
    <w:rsid w:val="005F7D79"/>
    <w:rsid w:val="006304E2"/>
    <w:rsid w:val="0063542B"/>
    <w:rsid w:val="00646BD4"/>
    <w:rsid w:val="006579F8"/>
    <w:rsid w:val="00662F7A"/>
    <w:rsid w:val="006646C7"/>
    <w:rsid w:val="00697FF6"/>
    <w:rsid w:val="006A06D9"/>
    <w:rsid w:val="006A1F91"/>
    <w:rsid w:val="006D40E1"/>
    <w:rsid w:val="006D7392"/>
    <w:rsid w:val="006D782B"/>
    <w:rsid w:val="006E4002"/>
    <w:rsid w:val="00712369"/>
    <w:rsid w:val="00715BDD"/>
    <w:rsid w:val="007221B3"/>
    <w:rsid w:val="007260DC"/>
    <w:rsid w:val="007854F4"/>
    <w:rsid w:val="007A6789"/>
    <w:rsid w:val="007A6CDD"/>
    <w:rsid w:val="007E4935"/>
    <w:rsid w:val="007F69BA"/>
    <w:rsid w:val="00806895"/>
    <w:rsid w:val="008313C0"/>
    <w:rsid w:val="00861176"/>
    <w:rsid w:val="00872E0F"/>
    <w:rsid w:val="00883017"/>
    <w:rsid w:val="008862F3"/>
    <w:rsid w:val="008A0858"/>
    <w:rsid w:val="008A47EA"/>
    <w:rsid w:val="008B3132"/>
    <w:rsid w:val="008B35D0"/>
    <w:rsid w:val="008C6AD1"/>
    <w:rsid w:val="008E360C"/>
    <w:rsid w:val="00904CFC"/>
    <w:rsid w:val="00907F35"/>
    <w:rsid w:val="009101E6"/>
    <w:rsid w:val="0092039E"/>
    <w:rsid w:val="00920ADC"/>
    <w:rsid w:val="00932AF3"/>
    <w:rsid w:val="00937FE4"/>
    <w:rsid w:val="0095012C"/>
    <w:rsid w:val="00960F62"/>
    <w:rsid w:val="009865AE"/>
    <w:rsid w:val="009913E9"/>
    <w:rsid w:val="00996437"/>
    <w:rsid w:val="009A0652"/>
    <w:rsid w:val="009A4648"/>
    <w:rsid w:val="009A73B7"/>
    <w:rsid w:val="009C0D98"/>
    <w:rsid w:val="00A02ECA"/>
    <w:rsid w:val="00A04E47"/>
    <w:rsid w:val="00A1555C"/>
    <w:rsid w:val="00A306E0"/>
    <w:rsid w:val="00A66D1D"/>
    <w:rsid w:val="00A70FFF"/>
    <w:rsid w:val="00A715D1"/>
    <w:rsid w:val="00A85F72"/>
    <w:rsid w:val="00A87FF5"/>
    <w:rsid w:val="00AB1894"/>
    <w:rsid w:val="00AC0387"/>
    <w:rsid w:val="00AE4A51"/>
    <w:rsid w:val="00AE6C88"/>
    <w:rsid w:val="00AE72A3"/>
    <w:rsid w:val="00AF3BF0"/>
    <w:rsid w:val="00B02572"/>
    <w:rsid w:val="00B201F2"/>
    <w:rsid w:val="00B33B4F"/>
    <w:rsid w:val="00B43780"/>
    <w:rsid w:val="00B50924"/>
    <w:rsid w:val="00B60AC5"/>
    <w:rsid w:val="00B6233D"/>
    <w:rsid w:val="00B82777"/>
    <w:rsid w:val="00B85363"/>
    <w:rsid w:val="00B91B1F"/>
    <w:rsid w:val="00B94937"/>
    <w:rsid w:val="00BA0424"/>
    <w:rsid w:val="00BA134E"/>
    <w:rsid w:val="00BC2387"/>
    <w:rsid w:val="00BC5F2C"/>
    <w:rsid w:val="00BD332F"/>
    <w:rsid w:val="00BD41DB"/>
    <w:rsid w:val="00BE743E"/>
    <w:rsid w:val="00BF4D5C"/>
    <w:rsid w:val="00C0566A"/>
    <w:rsid w:val="00C11EEE"/>
    <w:rsid w:val="00C132CF"/>
    <w:rsid w:val="00C16F17"/>
    <w:rsid w:val="00C219AE"/>
    <w:rsid w:val="00C42EDD"/>
    <w:rsid w:val="00C46044"/>
    <w:rsid w:val="00C57F7C"/>
    <w:rsid w:val="00C655C2"/>
    <w:rsid w:val="00C70B73"/>
    <w:rsid w:val="00C72669"/>
    <w:rsid w:val="00C93B51"/>
    <w:rsid w:val="00CB529C"/>
    <w:rsid w:val="00CD6FE4"/>
    <w:rsid w:val="00CE3CBC"/>
    <w:rsid w:val="00CE5FB5"/>
    <w:rsid w:val="00CF2C9B"/>
    <w:rsid w:val="00CF49D8"/>
    <w:rsid w:val="00CF6A44"/>
    <w:rsid w:val="00CF793F"/>
    <w:rsid w:val="00D000FA"/>
    <w:rsid w:val="00D05B86"/>
    <w:rsid w:val="00D1449D"/>
    <w:rsid w:val="00D162C2"/>
    <w:rsid w:val="00D16B6E"/>
    <w:rsid w:val="00D2719A"/>
    <w:rsid w:val="00D43F68"/>
    <w:rsid w:val="00D5104A"/>
    <w:rsid w:val="00D54854"/>
    <w:rsid w:val="00D70C00"/>
    <w:rsid w:val="00D744EF"/>
    <w:rsid w:val="00D757B3"/>
    <w:rsid w:val="00D832E2"/>
    <w:rsid w:val="00D83D70"/>
    <w:rsid w:val="00D857FE"/>
    <w:rsid w:val="00D868D2"/>
    <w:rsid w:val="00D9081C"/>
    <w:rsid w:val="00D94B1F"/>
    <w:rsid w:val="00D950E1"/>
    <w:rsid w:val="00DB0C14"/>
    <w:rsid w:val="00DB2510"/>
    <w:rsid w:val="00DB7680"/>
    <w:rsid w:val="00DC256B"/>
    <w:rsid w:val="00DD33B0"/>
    <w:rsid w:val="00E108B9"/>
    <w:rsid w:val="00E1497C"/>
    <w:rsid w:val="00E325C5"/>
    <w:rsid w:val="00E32968"/>
    <w:rsid w:val="00E33E52"/>
    <w:rsid w:val="00E52A49"/>
    <w:rsid w:val="00E531EC"/>
    <w:rsid w:val="00E6057C"/>
    <w:rsid w:val="00E60B32"/>
    <w:rsid w:val="00E95DB3"/>
    <w:rsid w:val="00E9685E"/>
    <w:rsid w:val="00EA2A35"/>
    <w:rsid w:val="00EB00D2"/>
    <w:rsid w:val="00EB340E"/>
    <w:rsid w:val="00EC7D24"/>
    <w:rsid w:val="00ED4F85"/>
    <w:rsid w:val="00EF0B80"/>
    <w:rsid w:val="00F0038A"/>
    <w:rsid w:val="00F00A89"/>
    <w:rsid w:val="00F02F27"/>
    <w:rsid w:val="00F24C68"/>
    <w:rsid w:val="00F25FFA"/>
    <w:rsid w:val="00F30937"/>
    <w:rsid w:val="00F45234"/>
    <w:rsid w:val="00F4752C"/>
    <w:rsid w:val="00F5353A"/>
    <w:rsid w:val="00F6173B"/>
    <w:rsid w:val="00F72EA4"/>
    <w:rsid w:val="00F7382E"/>
    <w:rsid w:val="00F76F1C"/>
    <w:rsid w:val="00F8168B"/>
    <w:rsid w:val="00F85588"/>
    <w:rsid w:val="00F85FA7"/>
    <w:rsid w:val="00FD2316"/>
    <w:rsid w:val="00FF09C2"/>
    <w:rsid w:val="00FF13BC"/>
    <w:rsid w:val="00FF324E"/>
    <w:rsid w:val="00FF441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eastAsia="en-AU"/>
    </w:rPr>
  </w:style>
  <w:style w:type="paragraph" w:styleId="Heading1">
    <w:name w:val="heading 1"/>
    <w:basedOn w:val="Normal"/>
    <w:next w:val="Normal"/>
    <w:qFormat/>
    <w:pPr>
      <w:keepNext/>
      <w:spacing w:before="60" w:after="240"/>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after="240"/>
      <w:outlineLvl w:val="2"/>
    </w:pPr>
    <w:rPr>
      <w:b/>
      <w:i/>
    </w:rPr>
  </w:style>
  <w:style w:type="paragraph" w:styleId="Heading4">
    <w:name w:val="heading 4"/>
    <w:basedOn w:val="Normal"/>
    <w:next w:val="Normal"/>
    <w:qFormat/>
    <w:pPr>
      <w:keepNext/>
      <w:spacing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BodyText">
    <w:name w:val="_TRBody Text"/>
    <w:pPr>
      <w:spacing w:line="300" w:lineRule="atLeast"/>
      <w:jc w:val="both"/>
    </w:pPr>
    <w:rPr>
      <w:sz w:val="24"/>
      <w:lang w:eastAsia="en-AU"/>
    </w:rPr>
  </w:style>
  <w:style w:type="paragraph" w:customStyle="1" w:styleId="TRNormal">
    <w:name w:val="_TRNormal"/>
    <w:pPr>
      <w:spacing w:line="300" w:lineRule="atLeast"/>
      <w:jc w:val="both"/>
    </w:pPr>
    <w:rPr>
      <w:sz w:val="24"/>
      <w:lang w:eastAsia="en-AU"/>
    </w:rPr>
  </w:style>
  <w:style w:type="paragraph" w:customStyle="1" w:styleId="TRHeading1">
    <w:name w:val="_TRHeading 1"/>
    <w:next w:val="TRNormal"/>
    <w:pPr>
      <w:keepNext/>
      <w:widowControl w:val="0"/>
      <w:pBdr>
        <w:bottom w:val="single" w:sz="4" w:space="1" w:color="auto"/>
      </w:pBdr>
      <w:spacing w:before="720" w:after="360"/>
    </w:pPr>
    <w:rPr>
      <w:b/>
      <w:sz w:val="28"/>
      <w:lang w:eastAsia="en-AU"/>
    </w:rPr>
  </w:style>
  <w:style w:type="paragraph" w:customStyle="1" w:styleId="TRHeading2">
    <w:name w:val="_TRHeading 2"/>
    <w:basedOn w:val="TRHeading1"/>
    <w:next w:val="TRNormal"/>
    <w:pPr>
      <w:pBdr>
        <w:bottom w:val="none" w:sz="0" w:space="0" w:color="auto"/>
      </w:pBdr>
      <w:spacing w:before="560"/>
    </w:pPr>
    <w:rPr>
      <w:sz w:val="24"/>
    </w:rPr>
  </w:style>
  <w:style w:type="paragraph" w:customStyle="1" w:styleId="TRHeading3">
    <w:name w:val="_TRHeading 3"/>
    <w:basedOn w:val="TRHeading2"/>
    <w:next w:val="TRNormal"/>
    <w:rPr>
      <w:i/>
    </w:rPr>
  </w:style>
  <w:style w:type="paragraph" w:customStyle="1" w:styleId="TRHeading4">
    <w:name w:val="_TRHeading 4"/>
    <w:basedOn w:val="TRHeading3"/>
    <w:next w:val="TRNormal"/>
    <w:pPr>
      <w:spacing w:before="360"/>
    </w:pPr>
    <w:rPr>
      <w:b w:val="0"/>
    </w:rPr>
  </w:style>
  <w:style w:type="paragraph" w:customStyle="1" w:styleId="TRFooter">
    <w:name w:val="_TRFooter"/>
    <w:basedOn w:val="TRNormal"/>
    <w:pPr>
      <w:tabs>
        <w:tab w:val="right" w:pos="9071"/>
      </w:tabs>
      <w:spacing w:line="240" w:lineRule="atLeast"/>
    </w:pPr>
    <w:rPr>
      <w:sz w:val="16"/>
    </w:rPr>
  </w:style>
  <w:style w:type="paragraph" w:customStyle="1" w:styleId="TRFootnoteReference">
    <w:name w:val="_TRFootnote Reference"/>
    <w:basedOn w:val="TRBodyText"/>
    <w:rPr>
      <w:sz w:val="16"/>
    </w:rPr>
  </w:style>
  <w:style w:type="paragraph" w:customStyle="1" w:styleId="TRFootnoteText">
    <w:name w:val="_TRFootnote Text"/>
    <w:basedOn w:val="TRNormal"/>
    <w:rPr>
      <w:sz w:val="16"/>
    </w:rPr>
  </w:style>
  <w:style w:type="paragraph" w:customStyle="1" w:styleId="TRHeader">
    <w:name w:val="_TRHeader"/>
    <w:basedOn w:val="TRNormal"/>
    <w:rPr>
      <w:b/>
      <w:sz w:val="16"/>
    </w:rPr>
  </w:style>
  <w:style w:type="paragraph" w:customStyle="1" w:styleId="TRList">
    <w:name w:val="_TRList"/>
    <w:basedOn w:val="TRNormal"/>
  </w:style>
  <w:style w:type="paragraph" w:customStyle="1" w:styleId="TRListBullet">
    <w:name w:val="_TRList Bullet"/>
    <w:basedOn w:val="TRNormal"/>
    <w:pPr>
      <w:numPr>
        <w:numId w:val="24"/>
      </w:numPr>
      <w:tabs>
        <w:tab w:val="clear" w:pos="1134"/>
      </w:tabs>
      <w:spacing w:after="200"/>
      <w:ind w:left="539" w:hanging="539"/>
    </w:pPr>
  </w:style>
  <w:style w:type="paragraph" w:customStyle="1" w:styleId="TRNormalIndent">
    <w:name w:val="_TRNormal Indent"/>
    <w:basedOn w:val="TRNormal"/>
  </w:style>
  <w:style w:type="character" w:customStyle="1" w:styleId="TRPageNumber">
    <w:name w:val="_TRPage Number"/>
    <w:basedOn w:val="DefaultParagraphFont"/>
    <w:rPr>
      <w:rFonts w:ascii="Times New Roman" w:hAnsi="Times New Roman"/>
      <w:sz w:val="16"/>
    </w:rPr>
  </w:style>
  <w:style w:type="character" w:customStyle="1" w:styleId="TRDefaultParagraphFont">
    <w:name w:val="_TRDefault Paragraph Font"/>
    <w:basedOn w:val="DefaultParagraphFont"/>
    <w:rPr>
      <w:rFonts w:ascii="Times New Roman" w:hAnsi="Times New Roman"/>
      <w:b/>
    </w:rPr>
  </w:style>
  <w:style w:type="paragraph" w:customStyle="1" w:styleId="TRTitle">
    <w:name w:val="_TRTitle"/>
    <w:basedOn w:val="TRNormal"/>
    <w:next w:val="TRNormal"/>
    <w:pPr>
      <w:pBdr>
        <w:bottom w:val="single" w:sz="8" w:space="1" w:color="auto"/>
      </w:pBdr>
      <w:spacing w:before="360" w:after="120"/>
      <w:ind w:left="2552" w:hanging="2552"/>
    </w:pPr>
    <w:rPr>
      <w:b/>
      <w:sz w:val="32"/>
    </w:rPr>
  </w:style>
  <w:style w:type="paragraph" w:styleId="BodyText">
    <w:name w:val="Body Text"/>
    <w:basedOn w:val="Normal"/>
    <w:pPr>
      <w:spacing w:line="300" w:lineRule="exact"/>
    </w:pPr>
  </w:style>
  <w:style w:type="paragraph" w:styleId="ListBullet">
    <w:name w:val="List Bullet"/>
    <w:basedOn w:val="Normal"/>
    <w:autoRedefine/>
    <w:pPr>
      <w:numPr>
        <w:numId w:val="25"/>
      </w:numPr>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customStyle="1" w:styleId="Body">
    <w:name w:val="Body"/>
    <w:basedOn w:val="Normal"/>
    <w:pPr>
      <w:tabs>
        <w:tab w:val="left" w:pos="567"/>
      </w:tabs>
      <w:spacing w:line="300" w:lineRule="exact"/>
    </w:pPr>
  </w:style>
  <w:style w:type="table" w:styleId="TableGrid">
    <w:name w:val="Table Grid"/>
    <w:basedOn w:val="TableNormal"/>
    <w:uiPriority w:val="59"/>
    <w:rsid w:val="00FF09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Pr>
      <w:sz w:val="16"/>
    </w:rPr>
  </w:style>
  <w:style w:type="character" w:customStyle="1" w:styleId="HeaderChar">
    <w:name w:val="Header Char"/>
    <w:basedOn w:val="DefaultParagraphFont"/>
    <w:link w:val="Header"/>
    <w:uiPriority w:val="99"/>
    <w:rsid w:val="001319A6"/>
    <w:rPr>
      <w:sz w:val="24"/>
      <w:lang w:eastAsia="en-AU"/>
    </w:rPr>
  </w:style>
  <w:style w:type="character" w:styleId="Hyperlink">
    <w:name w:val="Hyperlink"/>
    <w:basedOn w:val="DefaultParagraphFont"/>
    <w:uiPriority w:val="99"/>
    <w:unhideWhenUsed/>
    <w:rsid w:val="002D00BC"/>
    <w:rPr>
      <w:color w:val="0000FF" w:themeColor="hyperlink"/>
      <w:u w:val="single"/>
    </w:rPr>
  </w:style>
  <w:style w:type="paragraph" w:styleId="BalloonText">
    <w:name w:val="Balloon Text"/>
    <w:basedOn w:val="Normal"/>
    <w:link w:val="BalloonTextChar"/>
    <w:uiPriority w:val="99"/>
    <w:semiHidden/>
    <w:unhideWhenUsed/>
    <w:rsid w:val="009A4648"/>
    <w:rPr>
      <w:rFonts w:ascii="Tahoma" w:hAnsi="Tahoma" w:cs="Tahoma"/>
      <w:sz w:val="16"/>
      <w:szCs w:val="16"/>
    </w:rPr>
  </w:style>
  <w:style w:type="character" w:customStyle="1" w:styleId="BalloonTextChar">
    <w:name w:val="Balloon Text Char"/>
    <w:basedOn w:val="DefaultParagraphFont"/>
    <w:link w:val="BalloonText"/>
    <w:uiPriority w:val="99"/>
    <w:semiHidden/>
    <w:rsid w:val="009A4648"/>
    <w:rPr>
      <w:rFonts w:ascii="Tahoma" w:hAnsi="Tahoma" w:cs="Tahoma"/>
      <w:sz w:val="16"/>
      <w:szCs w:val="16"/>
      <w:lang w:eastAsia="en-AU"/>
    </w:rPr>
  </w:style>
  <w:style w:type="character" w:styleId="CommentReference">
    <w:name w:val="annotation reference"/>
    <w:basedOn w:val="DefaultParagraphFont"/>
    <w:uiPriority w:val="99"/>
    <w:semiHidden/>
    <w:unhideWhenUsed/>
    <w:rsid w:val="000D4EA8"/>
    <w:rPr>
      <w:sz w:val="16"/>
      <w:szCs w:val="16"/>
    </w:rPr>
  </w:style>
  <w:style w:type="paragraph" w:styleId="CommentText">
    <w:name w:val="annotation text"/>
    <w:basedOn w:val="Normal"/>
    <w:link w:val="CommentTextChar"/>
    <w:uiPriority w:val="99"/>
    <w:semiHidden/>
    <w:unhideWhenUsed/>
    <w:rsid w:val="000D4EA8"/>
    <w:rPr>
      <w:sz w:val="20"/>
    </w:rPr>
  </w:style>
  <w:style w:type="character" w:customStyle="1" w:styleId="CommentTextChar">
    <w:name w:val="Comment Text Char"/>
    <w:basedOn w:val="DefaultParagraphFont"/>
    <w:link w:val="CommentText"/>
    <w:uiPriority w:val="99"/>
    <w:semiHidden/>
    <w:rsid w:val="000D4EA8"/>
    <w:rPr>
      <w:lang w:eastAsia="en-AU"/>
    </w:rPr>
  </w:style>
  <w:style w:type="paragraph" w:customStyle="1" w:styleId="Numberparagraph">
    <w:name w:val="Number paragraph"/>
    <w:basedOn w:val="Normal"/>
    <w:qFormat/>
    <w:rsid w:val="00557F27"/>
    <w:pPr>
      <w:numPr>
        <w:numId w:val="30"/>
      </w:numPr>
      <w:tabs>
        <w:tab w:val="left" w:pos="567"/>
      </w:tabs>
    </w:pPr>
    <w:rPr>
      <w:szCs w:val="24"/>
    </w:rPr>
  </w:style>
  <w:style w:type="character" w:customStyle="1" w:styleId="FootnoteTextChar">
    <w:name w:val="Footnote Text Char"/>
    <w:basedOn w:val="DefaultParagraphFont"/>
    <w:link w:val="FootnoteText"/>
    <w:semiHidden/>
    <w:rsid w:val="00E32968"/>
    <w:rPr>
      <w:sz w:val="16"/>
      <w:lang w:eastAsia="en-AU"/>
    </w:rPr>
  </w:style>
  <w:style w:type="character" w:styleId="FootnoteReference">
    <w:name w:val="footnote reference"/>
    <w:basedOn w:val="DefaultParagraphFont"/>
    <w:uiPriority w:val="99"/>
    <w:semiHidden/>
    <w:unhideWhenUsed/>
    <w:rsid w:val="00E32968"/>
    <w:rPr>
      <w:vertAlign w:val="superscript"/>
    </w:rPr>
  </w:style>
  <w:style w:type="paragraph" w:styleId="CommentSubject">
    <w:name w:val="annotation subject"/>
    <w:basedOn w:val="CommentText"/>
    <w:next w:val="CommentText"/>
    <w:link w:val="CommentSubjectChar"/>
    <w:uiPriority w:val="99"/>
    <w:semiHidden/>
    <w:unhideWhenUsed/>
    <w:rsid w:val="00E32968"/>
    <w:rPr>
      <w:b/>
      <w:bCs/>
    </w:rPr>
  </w:style>
  <w:style w:type="character" w:customStyle="1" w:styleId="CommentSubjectChar">
    <w:name w:val="Comment Subject Char"/>
    <w:basedOn w:val="CommentTextChar"/>
    <w:link w:val="CommentSubject"/>
    <w:uiPriority w:val="99"/>
    <w:semiHidden/>
    <w:rsid w:val="00E32968"/>
    <w:rPr>
      <w:b/>
      <w:bCs/>
      <w:lang w:eastAsia="en-AU"/>
    </w:rPr>
  </w:style>
  <w:style w:type="paragraph" w:styleId="ListParagraph">
    <w:name w:val="List Paragraph"/>
    <w:aliases w:val="List Item,List Paragraph1,PEP Bullets,IR Bullet,Keystone Numbered List"/>
    <w:basedOn w:val="Normal"/>
    <w:link w:val="ListParagraphChar"/>
    <w:uiPriority w:val="34"/>
    <w:qFormat/>
    <w:rsid w:val="009A73B7"/>
    <w:pPr>
      <w:spacing w:after="120" w:line="320" w:lineRule="atLeast"/>
      <w:ind w:left="720"/>
      <w:contextualSpacing/>
      <w:jc w:val="left"/>
    </w:pPr>
    <w:rPr>
      <w:rFonts w:ascii="Verdana" w:eastAsia="Calibri" w:hAnsi="Verdana"/>
      <w:sz w:val="20"/>
      <w:szCs w:val="22"/>
      <w:lang w:eastAsia="en-US"/>
    </w:rPr>
  </w:style>
  <w:style w:type="character" w:customStyle="1" w:styleId="ListParagraphChar">
    <w:name w:val="List Paragraph Char"/>
    <w:aliases w:val="List Item Char,List Paragraph1 Char,PEP Bullets Char,IR Bullet Char,Keystone Numbered List Char"/>
    <w:basedOn w:val="DefaultParagraphFont"/>
    <w:link w:val="ListParagraph"/>
    <w:uiPriority w:val="34"/>
    <w:locked/>
    <w:rsid w:val="009A73B7"/>
    <w:rPr>
      <w:rFonts w:ascii="Verdana" w:eastAsia="Calibri" w:hAnsi="Verdana"/>
      <w:szCs w:val="22"/>
      <w:lang w:eastAsia="en-US"/>
    </w:rPr>
  </w:style>
  <w:style w:type="paragraph" w:styleId="Revision">
    <w:name w:val="Revision"/>
    <w:hidden/>
    <w:uiPriority w:val="99"/>
    <w:semiHidden/>
    <w:rsid w:val="006646C7"/>
    <w:rPr>
      <w:sz w:val="24"/>
      <w:lang w:eastAsia="en-AU"/>
    </w:rPr>
  </w:style>
  <w:style w:type="paragraph" w:styleId="EndnoteText">
    <w:name w:val="endnote text"/>
    <w:basedOn w:val="Normal"/>
    <w:link w:val="EndnoteTextChar"/>
    <w:uiPriority w:val="99"/>
    <w:semiHidden/>
    <w:unhideWhenUsed/>
    <w:rsid w:val="00B85363"/>
    <w:rPr>
      <w:sz w:val="20"/>
    </w:rPr>
  </w:style>
  <w:style w:type="character" w:customStyle="1" w:styleId="EndnoteTextChar">
    <w:name w:val="Endnote Text Char"/>
    <w:basedOn w:val="DefaultParagraphFont"/>
    <w:link w:val="EndnoteText"/>
    <w:uiPriority w:val="99"/>
    <w:semiHidden/>
    <w:rsid w:val="00B85363"/>
    <w:rPr>
      <w:lang w:eastAsia="en-AU"/>
    </w:rPr>
  </w:style>
  <w:style w:type="character" w:styleId="EndnoteReference">
    <w:name w:val="endnote reference"/>
    <w:basedOn w:val="DefaultParagraphFont"/>
    <w:uiPriority w:val="99"/>
    <w:semiHidden/>
    <w:unhideWhenUsed/>
    <w:rsid w:val="00B853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eastAsia="en-AU"/>
    </w:rPr>
  </w:style>
  <w:style w:type="paragraph" w:styleId="Heading1">
    <w:name w:val="heading 1"/>
    <w:basedOn w:val="Normal"/>
    <w:next w:val="Normal"/>
    <w:qFormat/>
    <w:pPr>
      <w:keepNext/>
      <w:spacing w:before="60" w:after="240"/>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after="240"/>
      <w:outlineLvl w:val="2"/>
    </w:pPr>
    <w:rPr>
      <w:b/>
      <w:i/>
    </w:rPr>
  </w:style>
  <w:style w:type="paragraph" w:styleId="Heading4">
    <w:name w:val="heading 4"/>
    <w:basedOn w:val="Normal"/>
    <w:next w:val="Normal"/>
    <w:qFormat/>
    <w:pPr>
      <w:keepNext/>
      <w:spacing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BodyText">
    <w:name w:val="_TRBody Text"/>
    <w:pPr>
      <w:spacing w:line="300" w:lineRule="atLeast"/>
      <w:jc w:val="both"/>
    </w:pPr>
    <w:rPr>
      <w:sz w:val="24"/>
      <w:lang w:eastAsia="en-AU"/>
    </w:rPr>
  </w:style>
  <w:style w:type="paragraph" w:customStyle="1" w:styleId="TRNormal">
    <w:name w:val="_TRNormal"/>
    <w:pPr>
      <w:spacing w:line="300" w:lineRule="atLeast"/>
      <w:jc w:val="both"/>
    </w:pPr>
    <w:rPr>
      <w:sz w:val="24"/>
      <w:lang w:eastAsia="en-AU"/>
    </w:rPr>
  </w:style>
  <w:style w:type="paragraph" w:customStyle="1" w:styleId="TRHeading1">
    <w:name w:val="_TRHeading 1"/>
    <w:next w:val="TRNormal"/>
    <w:pPr>
      <w:keepNext/>
      <w:widowControl w:val="0"/>
      <w:pBdr>
        <w:bottom w:val="single" w:sz="4" w:space="1" w:color="auto"/>
      </w:pBdr>
      <w:spacing w:before="720" w:after="360"/>
    </w:pPr>
    <w:rPr>
      <w:b/>
      <w:sz w:val="28"/>
      <w:lang w:eastAsia="en-AU"/>
    </w:rPr>
  </w:style>
  <w:style w:type="paragraph" w:customStyle="1" w:styleId="TRHeading2">
    <w:name w:val="_TRHeading 2"/>
    <w:basedOn w:val="TRHeading1"/>
    <w:next w:val="TRNormal"/>
    <w:pPr>
      <w:pBdr>
        <w:bottom w:val="none" w:sz="0" w:space="0" w:color="auto"/>
      </w:pBdr>
      <w:spacing w:before="560"/>
    </w:pPr>
    <w:rPr>
      <w:sz w:val="24"/>
    </w:rPr>
  </w:style>
  <w:style w:type="paragraph" w:customStyle="1" w:styleId="TRHeading3">
    <w:name w:val="_TRHeading 3"/>
    <w:basedOn w:val="TRHeading2"/>
    <w:next w:val="TRNormal"/>
    <w:rPr>
      <w:i/>
    </w:rPr>
  </w:style>
  <w:style w:type="paragraph" w:customStyle="1" w:styleId="TRHeading4">
    <w:name w:val="_TRHeading 4"/>
    <w:basedOn w:val="TRHeading3"/>
    <w:next w:val="TRNormal"/>
    <w:pPr>
      <w:spacing w:before="360"/>
    </w:pPr>
    <w:rPr>
      <w:b w:val="0"/>
    </w:rPr>
  </w:style>
  <w:style w:type="paragraph" w:customStyle="1" w:styleId="TRFooter">
    <w:name w:val="_TRFooter"/>
    <w:basedOn w:val="TRNormal"/>
    <w:pPr>
      <w:tabs>
        <w:tab w:val="right" w:pos="9071"/>
      </w:tabs>
      <w:spacing w:line="240" w:lineRule="atLeast"/>
    </w:pPr>
    <w:rPr>
      <w:sz w:val="16"/>
    </w:rPr>
  </w:style>
  <w:style w:type="paragraph" w:customStyle="1" w:styleId="TRFootnoteReference">
    <w:name w:val="_TRFootnote Reference"/>
    <w:basedOn w:val="TRBodyText"/>
    <w:rPr>
      <w:sz w:val="16"/>
    </w:rPr>
  </w:style>
  <w:style w:type="paragraph" w:customStyle="1" w:styleId="TRFootnoteText">
    <w:name w:val="_TRFootnote Text"/>
    <w:basedOn w:val="TRNormal"/>
    <w:rPr>
      <w:sz w:val="16"/>
    </w:rPr>
  </w:style>
  <w:style w:type="paragraph" w:customStyle="1" w:styleId="TRHeader">
    <w:name w:val="_TRHeader"/>
    <w:basedOn w:val="TRNormal"/>
    <w:rPr>
      <w:b/>
      <w:sz w:val="16"/>
    </w:rPr>
  </w:style>
  <w:style w:type="paragraph" w:customStyle="1" w:styleId="TRList">
    <w:name w:val="_TRList"/>
    <w:basedOn w:val="TRNormal"/>
  </w:style>
  <w:style w:type="paragraph" w:customStyle="1" w:styleId="TRListBullet">
    <w:name w:val="_TRList Bullet"/>
    <w:basedOn w:val="TRNormal"/>
    <w:pPr>
      <w:numPr>
        <w:numId w:val="24"/>
      </w:numPr>
      <w:tabs>
        <w:tab w:val="clear" w:pos="1134"/>
      </w:tabs>
      <w:spacing w:after="200"/>
      <w:ind w:left="539" w:hanging="539"/>
    </w:pPr>
  </w:style>
  <w:style w:type="paragraph" w:customStyle="1" w:styleId="TRNormalIndent">
    <w:name w:val="_TRNormal Indent"/>
    <w:basedOn w:val="TRNormal"/>
  </w:style>
  <w:style w:type="character" w:customStyle="1" w:styleId="TRPageNumber">
    <w:name w:val="_TRPage Number"/>
    <w:basedOn w:val="DefaultParagraphFont"/>
    <w:rPr>
      <w:rFonts w:ascii="Times New Roman" w:hAnsi="Times New Roman"/>
      <w:sz w:val="16"/>
    </w:rPr>
  </w:style>
  <w:style w:type="character" w:customStyle="1" w:styleId="TRDefaultParagraphFont">
    <w:name w:val="_TRDefault Paragraph Font"/>
    <w:basedOn w:val="DefaultParagraphFont"/>
    <w:rPr>
      <w:rFonts w:ascii="Times New Roman" w:hAnsi="Times New Roman"/>
      <w:b/>
    </w:rPr>
  </w:style>
  <w:style w:type="paragraph" w:customStyle="1" w:styleId="TRTitle">
    <w:name w:val="_TRTitle"/>
    <w:basedOn w:val="TRNormal"/>
    <w:next w:val="TRNormal"/>
    <w:pPr>
      <w:pBdr>
        <w:bottom w:val="single" w:sz="8" w:space="1" w:color="auto"/>
      </w:pBdr>
      <w:spacing w:before="360" w:after="120"/>
      <w:ind w:left="2552" w:hanging="2552"/>
    </w:pPr>
    <w:rPr>
      <w:b/>
      <w:sz w:val="32"/>
    </w:rPr>
  </w:style>
  <w:style w:type="paragraph" w:styleId="BodyText">
    <w:name w:val="Body Text"/>
    <w:basedOn w:val="Normal"/>
    <w:pPr>
      <w:spacing w:line="300" w:lineRule="exact"/>
    </w:pPr>
  </w:style>
  <w:style w:type="paragraph" w:styleId="ListBullet">
    <w:name w:val="List Bullet"/>
    <w:basedOn w:val="Normal"/>
    <w:autoRedefine/>
    <w:pPr>
      <w:numPr>
        <w:numId w:val="25"/>
      </w:numPr>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customStyle="1" w:styleId="Body">
    <w:name w:val="Body"/>
    <w:basedOn w:val="Normal"/>
    <w:pPr>
      <w:tabs>
        <w:tab w:val="left" w:pos="567"/>
      </w:tabs>
      <w:spacing w:line="300" w:lineRule="exact"/>
    </w:pPr>
  </w:style>
  <w:style w:type="table" w:styleId="TableGrid">
    <w:name w:val="Table Grid"/>
    <w:basedOn w:val="TableNormal"/>
    <w:uiPriority w:val="59"/>
    <w:rsid w:val="00FF09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Pr>
      <w:sz w:val="16"/>
    </w:rPr>
  </w:style>
  <w:style w:type="character" w:customStyle="1" w:styleId="HeaderChar">
    <w:name w:val="Header Char"/>
    <w:basedOn w:val="DefaultParagraphFont"/>
    <w:link w:val="Header"/>
    <w:uiPriority w:val="99"/>
    <w:rsid w:val="001319A6"/>
    <w:rPr>
      <w:sz w:val="24"/>
      <w:lang w:eastAsia="en-AU"/>
    </w:rPr>
  </w:style>
  <w:style w:type="character" w:styleId="Hyperlink">
    <w:name w:val="Hyperlink"/>
    <w:basedOn w:val="DefaultParagraphFont"/>
    <w:uiPriority w:val="99"/>
    <w:unhideWhenUsed/>
    <w:rsid w:val="002D00BC"/>
    <w:rPr>
      <w:color w:val="0000FF" w:themeColor="hyperlink"/>
      <w:u w:val="single"/>
    </w:rPr>
  </w:style>
  <w:style w:type="paragraph" w:styleId="BalloonText">
    <w:name w:val="Balloon Text"/>
    <w:basedOn w:val="Normal"/>
    <w:link w:val="BalloonTextChar"/>
    <w:uiPriority w:val="99"/>
    <w:semiHidden/>
    <w:unhideWhenUsed/>
    <w:rsid w:val="009A4648"/>
    <w:rPr>
      <w:rFonts w:ascii="Tahoma" w:hAnsi="Tahoma" w:cs="Tahoma"/>
      <w:sz w:val="16"/>
      <w:szCs w:val="16"/>
    </w:rPr>
  </w:style>
  <w:style w:type="character" w:customStyle="1" w:styleId="BalloonTextChar">
    <w:name w:val="Balloon Text Char"/>
    <w:basedOn w:val="DefaultParagraphFont"/>
    <w:link w:val="BalloonText"/>
    <w:uiPriority w:val="99"/>
    <w:semiHidden/>
    <w:rsid w:val="009A4648"/>
    <w:rPr>
      <w:rFonts w:ascii="Tahoma" w:hAnsi="Tahoma" w:cs="Tahoma"/>
      <w:sz w:val="16"/>
      <w:szCs w:val="16"/>
      <w:lang w:eastAsia="en-AU"/>
    </w:rPr>
  </w:style>
  <w:style w:type="character" w:styleId="CommentReference">
    <w:name w:val="annotation reference"/>
    <w:basedOn w:val="DefaultParagraphFont"/>
    <w:uiPriority w:val="99"/>
    <w:semiHidden/>
    <w:unhideWhenUsed/>
    <w:rsid w:val="000D4EA8"/>
    <w:rPr>
      <w:sz w:val="16"/>
      <w:szCs w:val="16"/>
    </w:rPr>
  </w:style>
  <w:style w:type="paragraph" w:styleId="CommentText">
    <w:name w:val="annotation text"/>
    <w:basedOn w:val="Normal"/>
    <w:link w:val="CommentTextChar"/>
    <w:uiPriority w:val="99"/>
    <w:semiHidden/>
    <w:unhideWhenUsed/>
    <w:rsid w:val="000D4EA8"/>
    <w:rPr>
      <w:sz w:val="20"/>
    </w:rPr>
  </w:style>
  <w:style w:type="character" w:customStyle="1" w:styleId="CommentTextChar">
    <w:name w:val="Comment Text Char"/>
    <w:basedOn w:val="DefaultParagraphFont"/>
    <w:link w:val="CommentText"/>
    <w:uiPriority w:val="99"/>
    <w:semiHidden/>
    <w:rsid w:val="000D4EA8"/>
    <w:rPr>
      <w:lang w:eastAsia="en-AU"/>
    </w:rPr>
  </w:style>
  <w:style w:type="paragraph" w:customStyle="1" w:styleId="Numberparagraph">
    <w:name w:val="Number paragraph"/>
    <w:basedOn w:val="Normal"/>
    <w:qFormat/>
    <w:rsid w:val="00557F27"/>
    <w:pPr>
      <w:numPr>
        <w:numId w:val="30"/>
      </w:numPr>
      <w:tabs>
        <w:tab w:val="left" w:pos="567"/>
      </w:tabs>
    </w:pPr>
    <w:rPr>
      <w:szCs w:val="24"/>
    </w:rPr>
  </w:style>
  <w:style w:type="character" w:customStyle="1" w:styleId="FootnoteTextChar">
    <w:name w:val="Footnote Text Char"/>
    <w:basedOn w:val="DefaultParagraphFont"/>
    <w:link w:val="FootnoteText"/>
    <w:semiHidden/>
    <w:rsid w:val="00E32968"/>
    <w:rPr>
      <w:sz w:val="16"/>
      <w:lang w:eastAsia="en-AU"/>
    </w:rPr>
  </w:style>
  <w:style w:type="character" w:styleId="FootnoteReference">
    <w:name w:val="footnote reference"/>
    <w:basedOn w:val="DefaultParagraphFont"/>
    <w:uiPriority w:val="99"/>
    <w:semiHidden/>
    <w:unhideWhenUsed/>
    <w:rsid w:val="00E32968"/>
    <w:rPr>
      <w:vertAlign w:val="superscript"/>
    </w:rPr>
  </w:style>
  <w:style w:type="paragraph" w:styleId="CommentSubject">
    <w:name w:val="annotation subject"/>
    <w:basedOn w:val="CommentText"/>
    <w:next w:val="CommentText"/>
    <w:link w:val="CommentSubjectChar"/>
    <w:uiPriority w:val="99"/>
    <w:semiHidden/>
    <w:unhideWhenUsed/>
    <w:rsid w:val="00E32968"/>
    <w:rPr>
      <w:b/>
      <w:bCs/>
    </w:rPr>
  </w:style>
  <w:style w:type="character" w:customStyle="1" w:styleId="CommentSubjectChar">
    <w:name w:val="Comment Subject Char"/>
    <w:basedOn w:val="CommentTextChar"/>
    <w:link w:val="CommentSubject"/>
    <w:uiPriority w:val="99"/>
    <w:semiHidden/>
    <w:rsid w:val="00E32968"/>
    <w:rPr>
      <w:b/>
      <w:bCs/>
      <w:lang w:eastAsia="en-AU"/>
    </w:rPr>
  </w:style>
  <w:style w:type="paragraph" w:styleId="ListParagraph">
    <w:name w:val="List Paragraph"/>
    <w:aliases w:val="List Item,List Paragraph1,PEP Bullets,IR Bullet,Keystone Numbered List"/>
    <w:basedOn w:val="Normal"/>
    <w:link w:val="ListParagraphChar"/>
    <w:uiPriority w:val="34"/>
    <w:qFormat/>
    <w:rsid w:val="009A73B7"/>
    <w:pPr>
      <w:spacing w:after="120" w:line="320" w:lineRule="atLeast"/>
      <w:ind w:left="720"/>
      <w:contextualSpacing/>
      <w:jc w:val="left"/>
    </w:pPr>
    <w:rPr>
      <w:rFonts w:ascii="Verdana" w:eastAsia="Calibri" w:hAnsi="Verdana"/>
      <w:sz w:val="20"/>
      <w:szCs w:val="22"/>
      <w:lang w:eastAsia="en-US"/>
    </w:rPr>
  </w:style>
  <w:style w:type="character" w:customStyle="1" w:styleId="ListParagraphChar">
    <w:name w:val="List Paragraph Char"/>
    <w:aliases w:val="List Item Char,List Paragraph1 Char,PEP Bullets Char,IR Bullet Char,Keystone Numbered List Char"/>
    <w:basedOn w:val="DefaultParagraphFont"/>
    <w:link w:val="ListParagraph"/>
    <w:uiPriority w:val="34"/>
    <w:locked/>
    <w:rsid w:val="009A73B7"/>
    <w:rPr>
      <w:rFonts w:ascii="Verdana" w:eastAsia="Calibri" w:hAnsi="Verdana"/>
      <w:szCs w:val="22"/>
      <w:lang w:eastAsia="en-US"/>
    </w:rPr>
  </w:style>
  <w:style w:type="paragraph" w:styleId="Revision">
    <w:name w:val="Revision"/>
    <w:hidden/>
    <w:uiPriority w:val="99"/>
    <w:semiHidden/>
    <w:rsid w:val="006646C7"/>
    <w:rPr>
      <w:sz w:val="24"/>
      <w:lang w:eastAsia="en-AU"/>
    </w:rPr>
  </w:style>
  <w:style w:type="paragraph" w:styleId="EndnoteText">
    <w:name w:val="endnote text"/>
    <w:basedOn w:val="Normal"/>
    <w:link w:val="EndnoteTextChar"/>
    <w:uiPriority w:val="99"/>
    <w:semiHidden/>
    <w:unhideWhenUsed/>
    <w:rsid w:val="00B85363"/>
    <w:rPr>
      <w:sz w:val="20"/>
    </w:rPr>
  </w:style>
  <w:style w:type="character" w:customStyle="1" w:styleId="EndnoteTextChar">
    <w:name w:val="Endnote Text Char"/>
    <w:basedOn w:val="DefaultParagraphFont"/>
    <w:link w:val="EndnoteText"/>
    <w:uiPriority w:val="99"/>
    <w:semiHidden/>
    <w:rsid w:val="00B85363"/>
    <w:rPr>
      <w:lang w:eastAsia="en-AU"/>
    </w:rPr>
  </w:style>
  <w:style w:type="character" w:styleId="EndnoteReference">
    <w:name w:val="endnote reference"/>
    <w:basedOn w:val="DefaultParagraphFont"/>
    <w:uiPriority w:val="99"/>
    <w:semiHidden/>
    <w:unhideWhenUsed/>
    <w:rsid w:val="00B85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179">
      <w:bodyDiv w:val="1"/>
      <w:marLeft w:val="0"/>
      <w:marRight w:val="0"/>
      <w:marTop w:val="0"/>
      <w:marBottom w:val="0"/>
      <w:divBdr>
        <w:top w:val="none" w:sz="0" w:space="0" w:color="auto"/>
        <w:left w:val="none" w:sz="0" w:space="0" w:color="auto"/>
        <w:bottom w:val="none" w:sz="0" w:space="0" w:color="auto"/>
        <w:right w:val="none" w:sz="0" w:space="0" w:color="auto"/>
      </w:divBdr>
    </w:div>
    <w:div w:id="307823526">
      <w:bodyDiv w:val="1"/>
      <w:marLeft w:val="0"/>
      <w:marRight w:val="0"/>
      <w:marTop w:val="0"/>
      <w:marBottom w:val="0"/>
      <w:divBdr>
        <w:top w:val="none" w:sz="0" w:space="0" w:color="auto"/>
        <w:left w:val="none" w:sz="0" w:space="0" w:color="auto"/>
        <w:bottom w:val="none" w:sz="0" w:space="0" w:color="auto"/>
        <w:right w:val="none" w:sz="0" w:space="0" w:color="auto"/>
      </w:divBdr>
    </w:div>
    <w:div w:id="211585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 Id="rId27"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09B4A-EFD5-44ED-A7E1-117B49F4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1491</Words>
  <Characters>8564</Characters>
  <Application>Microsoft Office Word</Application>
  <DocSecurity>0</DocSecurity>
  <Lines>342</Lines>
  <Paragraphs>209</Paragraphs>
  <ScaleCrop>false</ScaleCrop>
  <Company/>
  <LinksUpToDate>false</LinksUpToDate>
  <CharactersWithSpaces>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2017-09-28T00:30:00Z</dcterms:created>
  <dcterms:modified xsi:type="dcterms:W3CDTF">2017-09-28T00:30:00Z</dcterms:modified>
</cp:coreProperties>
</file>