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E40119" w:rsidRDefault="001005B7" w:rsidP="001005B7">
      <w:pPr>
        <w:jc w:val="center"/>
        <w:rPr>
          <w:b/>
          <w:lang w:val="en-NZ"/>
        </w:rPr>
      </w:pPr>
    </w:p>
    <w:p w:rsidR="001005B7" w:rsidRPr="00E40119" w:rsidRDefault="001005B7" w:rsidP="001005B7">
      <w:pPr>
        <w:jc w:val="center"/>
        <w:rPr>
          <w:b/>
          <w:lang w:val="en-NZ"/>
        </w:rPr>
      </w:pPr>
    </w:p>
    <w:p w:rsidR="001005B7" w:rsidRPr="00E40119" w:rsidRDefault="001005B7" w:rsidP="001005B7">
      <w:pPr>
        <w:jc w:val="center"/>
        <w:rPr>
          <w:b/>
          <w:lang w:val="en-NZ"/>
        </w:rPr>
      </w:pPr>
    </w:p>
    <w:p w:rsidR="000936CF" w:rsidRPr="00E40119" w:rsidRDefault="000936CF" w:rsidP="001005B7">
      <w:pPr>
        <w:jc w:val="center"/>
        <w:rPr>
          <w:b/>
          <w:lang w:val="en-NZ"/>
        </w:rPr>
      </w:pPr>
    </w:p>
    <w:p w:rsidR="001005B7" w:rsidRPr="00E40119" w:rsidRDefault="001005B7" w:rsidP="001005B7">
      <w:pPr>
        <w:jc w:val="center"/>
        <w:rPr>
          <w:b/>
          <w:lang w:val="en-NZ"/>
        </w:rPr>
      </w:pPr>
    </w:p>
    <w:p w:rsidR="001005B7" w:rsidRPr="00E40119" w:rsidRDefault="00D674A1" w:rsidP="001005B7">
      <w:pPr>
        <w:pBdr>
          <w:bottom w:val="single" w:sz="4" w:space="5" w:color="auto"/>
        </w:pBdr>
        <w:jc w:val="center"/>
        <w:rPr>
          <w:sz w:val="68"/>
          <w:szCs w:val="68"/>
          <w:lang w:val="en-NZ"/>
        </w:rPr>
      </w:pPr>
      <w:bookmarkStart w:id="0" w:name="_GoBack"/>
      <w:r w:rsidRPr="00E40119">
        <w:rPr>
          <w:sz w:val="68"/>
          <w:szCs w:val="68"/>
          <w:lang w:val="en-NZ"/>
        </w:rPr>
        <w:t>Base erosion and profit shifting</w:t>
      </w:r>
    </w:p>
    <w:bookmarkEnd w:id="0"/>
    <w:p w:rsidR="001005B7" w:rsidRPr="00E40119" w:rsidRDefault="001005B7" w:rsidP="001005B7">
      <w:pPr>
        <w:jc w:val="center"/>
        <w:rPr>
          <w:b/>
          <w:sz w:val="40"/>
          <w:szCs w:val="40"/>
          <w:lang w:val="en-NZ"/>
        </w:rPr>
      </w:pPr>
    </w:p>
    <w:p w:rsidR="001005B7" w:rsidRPr="00E40119" w:rsidRDefault="00E14BEF" w:rsidP="001005B7">
      <w:pPr>
        <w:jc w:val="center"/>
        <w:rPr>
          <w:i/>
          <w:sz w:val="28"/>
          <w:szCs w:val="28"/>
          <w:lang w:val="en-NZ"/>
        </w:rPr>
      </w:pPr>
      <w:r w:rsidRPr="00E40119">
        <w:rPr>
          <w:i/>
          <w:sz w:val="28"/>
          <w:szCs w:val="28"/>
          <w:lang w:val="en-NZ"/>
        </w:rPr>
        <w:t>A summary of</w:t>
      </w:r>
      <w:r w:rsidR="00463F8C" w:rsidRPr="00E40119">
        <w:rPr>
          <w:i/>
          <w:sz w:val="28"/>
          <w:szCs w:val="28"/>
          <w:lang w:val="en-NZ"/>
        </w:rPr>
        <w:t xml:space="preserve"> </w:t>
      </w:r>
      <w:r w:rsidR="000A1771">
        <w:rPr>
          <w:i/>
          <w:sz w:val="28"/>
          <w:szCs w:val="28"/>
          <w:lang w:val="en-NZ"/>
        </w:rPr>
        <w:t xml:space="preserve">the </w:t>
      </w:r>
      <w:r w:rsidR="009E0D89">
        <w:rPr>
          <w:i/>
          <w:sz w:val="28"/>
          <w:szCs w:val="28"/>
          <w:lang w:val="en-NZ"/>
        </w:rPr>
        <w:t xml:space="preserve">key </w:t>
      </w:r>
      <w:r w:rsidR="00463F8C" w:rsidRPr="00E40119">
        <w:rPr>
          <w:i/>
          <w:sz w:val="28"/>
          <w:szCs w:val="28"/>
          <w:lang w:val="en-NZ"/>
        </w:rPr>
        <w:t>policy decisions</w:t>
      </w:r>
    </w:p>
    <w:p w:rsidR="001005B7" w:rsidRPr="00E40119" w:rsidRDefault="001005B7" w:rsidP="000936CF">
      <w:pPr>
        <w:jc w:val="left"/>
        <w:rPr>
          <w:szCs w:val="24"/>
          <w:lang w:val="en-NZ"/>
        </w:rPr>
      </w:pPr>
    </w:p>
    <w:p w:rsidR="000936CF" w:rsidRPr="00E40119" w:rsidRDefault="000936CF" w:rsidP="000936CF">
      <w:pPr>
        <w:jc w:val="left"/>
        <w:rPr>
          <w:szCs w:val="24"/>
          <w:lang w:val="en-NZ"/>
        </w:rPr>
      </w:pPr>
    </w:p>
    <w:p w:rsidR="001005B7" w:rsidRPr="00E40119" w:rsidRDefault="001005B7" w:rsidP="000936CF">
      <w:pPr>
        <w:jc w:val="left"/>
        <w:rPr>
          <w:lang w:val="en-NZ"/>
        </w:rPr>
      </w:pPr>
    </w:p>
    <w:p w:rsidR="001005B7" w:rsidRPr="00E40119" w:rsidRDefault="001005B7" w:rsidP="000936CF">
      <w:pPr>
        <w:jc w:val="left"/>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8F12F0" w:rsidRPr="00E40119" w:rsidRDefault="008F12F0" w:rsidP="001005B7">
      <w:pPr>
        <w:rPr>
          <w:lang w:val="en-NZ"/>
        </w:rPr>
      </w:pPr>
    </w:p>
    <w:p w:rsidR="008F12F0" w:rsidRPr="00E40119" w:rsidRDefault="008F12F0" w:rsidP="001005B7">
      <w:pPr>
        <w:rPr>
          <w:lang w:val="en-NZ"/>
        </w:rPr>
      </w:pPr>
    </w:p>
    <w:p w:rsidR="008F12F0" w:rsidRPr="00E40119" w:rsidRDefault="008F12F0" w:rsidP="001005B7">
      <w:pPr>
        <w:rPr>
          <w:lang w:val="en-NZ"/>
        </w:rPr>
      </w:pPr>
    </w:p>
    <w:p w:rsidR="00F67FF3" w:rsidRPr="00E40119" w:rsidRDefault="00F67FF3" w:rsidP="001005B7">
      <w:pPr>
        <w:rPr>
          <w:lang w:val="en-NZ"/>
        </w:rPr>
      </w:pPr>
    </w:p>
    <w:p w:rsidR="00F67FF3" w:rsidRPr="00E40119" w:rsidRDefault="00F67FF3" w:rsidP="001005B7">
      <w:pPr>
        <w:rPr>
          <w:lang w:val="en-NZ"/>
        </w:rPr>
      </w:pPr>
    </w:p>
    <w:p w:rsidR="001005B7" w:rsidRPr="00E40119" w:rsidRDefault="001005B7" w:rsidP="001005B7">
      <w:pPr>
        <w:rPr>
          <w:lang w:val="en-NZ"/>
        </w:rPr>
      </w:pPr>
    </w:p>
    <w:p w:rsidR="001005B7" w:rsidRPr="00E40119" w:rsidRDefault="00D674A1" w:rsidP="001005B7">
      <w:pPr>
        <w:tabs>
          <w:tab w:val="left" w:pos="6237"/>
        </w:tabs>
        <w:rPr>
          <w:sz w:val="28"/>
          <w:szCs w:val="28"/>
          <w:lang w:val="en-NZ"/>
        </w:rPr>
      </w:pPr>
      <w:r w:rsidRPr="00E40119">
        <w:rPr>
          <w:sz w:val="28"/>
          <w:szCs w:val="28"/>
          <w:lang w:val="en-NZ"/>
        </w:rPr>
        <w:t>August 2017</w:t>
      </w:r>
    </w:p>
    <w:p w:rsidR="00D674A1" w:rsidRPr="00E40119" w:rsidRDefault="00D674A1" w:rsidP="008F12F0">
      <w:pPr>
        <w:rPr>
          <w:lang w:val="en-NZ"/>
        </w:rPr>
      </w:pPr>
    </w:p>
    <w:p w:rsidR="00D674A1" w:rsidRPr="00E40119" w:rsidRDefault="00D674A1" w:rsidP="008F12F0">
      <w:pPr>
        <w:rPr>
          <w:lang w:val="en-NZ"/>
        </w:rPr>
      </w:pPr>
    </w:p>
    <w:p w:rsidR="001005B7" w:rsidRPr="00E40119" w:rsidRDefault="001005B7" w:rsidP="001005B7">
      <w:pPr>
        <w:tabs>
          <w:tab w:val="left" w:pos="6237"/>
        </w:tabs>
        <w:rPr>
          <w:i/>
          <w:lang w:val="en-NZ"/>
        </w:rPr>
      </w:pPr>
      <w:r w:rsidRPr="00E40119">
        <w:rPr>
          <w:i/>
          <w:lang w:val="en-NZ"/>
        </w:rPr>
        <w:t xml:space="preserve">Prepared by Policy </w:t>
      </w:r>
      <w:r w:rsidR="00E93E6B" w:rsidRPr="00E40119">
        <w:rPr>
          <w:i/>
          <w:lang w:val="en-NZ"/>
        </w:rPr>
        <w:t>and Strategy</w:t>
      </w:r>
      <w:r w:rsidR="006131E5" w:rsidRPr="00E40119">
        <w:rPr>
          <w:i/>
          <w:lang w:val="en-NZ"/>
        </w:rPr>
        <w:t>,</w:t>
      </w:r>
      <w:r w:rsidR="00E93E6B" w:rsidRPr="00E40119">
        <w:rPr>
          <w:i/>
          <w:lang w:val="en-NZ"/>
        </w:rPr>
        <w:t xml:space="preserve"> </w:t>
      </w:r>
      <w:r w:rsidRPr="00E40119">
        <w:rPr>
          <w:i/>
          <w:lang w:val="en-NZ"/>
        </w:rPr>
        <w:t>Inland Revenue</w:t>
      </w:r>
      <w:r w:rsidR="006131E5" w:rsidRPr="00E40119">
        <w:rPr>
          <w:i/>
          <w:lang w:val="en-NZ"/>
        </w:rPr>
        <w:t>,</w:t>
      </w:r>
      <w:r w:rsidRPr="00E40119">
        <w:rPr>
          <w:i/>
          <w:lang w:val="en-NZ"/>
        </w:rPr>
        <w:t xml:space="preserve"> </w:t>
      </w:r>
      <w:r w:rsidR="00EC3CE3" w:rsidRPr="00E40119">
        <w:rPr>
          <w:i/>
          <w:lang w:val="en-NZ"/>
        </w:rPr>
        <w:t>a</w:t>
      </w:r>
      <w:r w:rsidRPr="00E40119">
        <w:rPr>
          <w:i/>
          <w:lang w:val="en-NZ"/>
        </w:rPr>
        <w:t>nd the Treasury</w:t>
      </w:r>
    </w:p>
    <w:p w:rsidR="001005B7" w:rsidRPr="00E40119" w:rsidRDefault="001005B7" w:rsidP="001005B7">
      <w:pPr>
        <w:rPr>
          <w:lang w:val="en-NZ"/>
        </w:rPr>
      </w:pPr>
      <w:r w:rsidRPr="00E40119">
        <w:rPr>
          <w:lang w:val="en-NZ"/>
        </w:rPr>
        <w:br w:type="page"/>
      </w: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1005B7" w:rsidRPr="00E40119" w:rsidRDefault="001005B7" w:rsidP="001005B7">
      <w:pPr>
        <w:rPr>
          <w:lang w:val="en-NZ"/>
        </w:rPr>
      </w:pPr>
    </w:p>
    <w:p w:rsidR="00D674A1" w:rsidRPr="00E40119" w:rsidRDefault="00D674A1" w:rsidP="001005B7">
      <w:pPr>
        <w:rPr>
          <w:lang w:val="en-NZ"/>
        </w:rPr>
      </w:pPr>
    </w:p>
    <w:p w:rsidR="00D674A1" w:rsidRPr="00E40119" w:rsidRDefault="00D674A1" w:rsidP="001005B7">
      <w:pPr>
        <w:rPr>
          <w:lang w:val="en-NZ"/>
        </w:rPr>
      </w:pPr>
    </w:p>
    <w:p w:rsidR="00D674A1" w:rsidRPr="00E40119" w:rsidRDefault="00D674A1" w:rsidP="001005B7">
      <w:pPr>
        <w:rPr>
          <w:lang w:val="en-NZ"/>
        </w:rPr>
      </w:pPr>
    </w:p>
    <w:p w:rsidR="001005B7" w:rsidRPr="00E40119" w:rsidRDefault="001005B7" w:rsidP="001005B7">
      <w:pPr>
        <w:rPr>
          <w:lang w:val="en-NZ"/>
        </w:rPr>
      </w:pPr>
    </w:p>
    <w:p w:rsidR="00A44EDB" w:rsidRPr="00E40119" w:rsidRDefault="001005B7" w:rsidP="001005B7">
      <w:pPr>
        <w:jc w:val="left"/>
        <w:rPr>
          <w:sz w:val="20"/>
          <w:lang w:val="en-NZ"/>
        </w:rPr>
        <w:sectPr w:rsidR="00A44EDB" w:rsidRPr="00E40119" w:rsidSect="008840A1">
          <w:footerReference w:type="even" r:id="rId8"/>
          <w:pgSz w:w="11906" w:h="16838" w:code="9"/>
          <w:pgMar w:top="1134" w:right="1797" w:bottom="567" w:left="1797" w:header="709" w:footer="709" w:gutter="0"/>
          <w:cols w:space="708"/>
          <w:titlePg/>
          <w:docGrid w:linePitch="360"/>
        </w:sectPr>
      </w:pPr>
      <w:r w:rsidRPr="00E40119">
        <w:rPr>
          <w:sz w:val="20"/>
          <w:lang w:val="en-NZ"/>
        </w:rPr>
        <w:t xml:space="preserve">First published in </w:t>
      </w:r>
      <w:r w:rsidR="00D674A1" w:rsidRPr="00E40119">
        <w:rPr>
          <w:sz w:val="20"/>
          <w:lang w:val="en-NZ"/>
        </w:rPr>
        <w:t>August 2017</w:t>
      </w:r>
      <w:r w:rsidRPr="00E40119">
        <w:rPr>
          <w:sz w:val="20"/>
          <w:lang w:val="en-NZ"/>
        </w:rPr>
        <w:t xml:space="preserve"> by Policy </w:t>
      </w:r>
      <w:r w:rsidR="00E93E6B" w:rsidRPr="00E40119">
        <w:rPr>
          <w:sz w:val="20"/>
          <w:lang w:val="en-NZ"/>
        </w:rPr>
        <w:t>and Strategy</w:t>
      </w:r>
      <w:r w:rsidR="007F0D94" w:rsidRPr="00E40119">
        <w:rPr>
          <w:sz w:val="20"/>
          <w:lang w:val="en-NZ"/>
        </w:rPr>
        <w:t>,</w:t>
      </w:r>
      <w:r w:rsidR="00E93E6B" w:rsidRPr="00E40119">
        <w:rPr>
          <w:sz w:val="20"/>
          <w:lang w:val="en-NZ"/>
        </w:rPr>
        <w:t xml:space="preserve"> </w:t>
      </w:r>
      <w:r w:rsidRPr="00E40119">
        <w:rPr>
          <w:sz w:val="20"/>
          <w:lang w:val="en-NZ"/>
        </w:rPr>
        <w:t>Inland Revenue,</w:t>
      </w:r>
      <w:r w:rsidR="00EC3CE3" w:rsidRPr="00E40119">
        <w:rPr>
          <w:sz w:val="20"/>
          <w:lang w:val="en-NZ"/>
        </w:rPr>
        <w:t xml:space="preserve"> </w:t>
      </w:r>
      <w:r w:rsidR="009368ED" w:rsidRPr="00E40119">
        <w:rPr>
          <w:sz w:val="20"/>
          <w:lang w:val="en-NZ"/>
        </w:rPr>
        <w:t>P</w:t>
      </w:r>
      <w:r w:rsidR="00717358">
        <w:rPr>
          <w:sz w:val="20"/>
          <w:lang w:val="en-NZ"/>
        </w:rPr>
        <w:t>O Box 2198</w:t>
      </w:r>
      <w:proofErr w:type="gramStart"/>
      <w:r w:rsidR="00717358">
        <w:rPr>
          <w:sz w:val="20"/>
          <w:lang w:val="en-NZ"/>
        </w:rPr>
        <w:t>,</w:t>
      </w:r>
      <w:proofErr w:type="gramEnd"/>
      <w:r w:rsidR="00717358">
        <w:rPr>
          <w:sz w:val="20"/>
          <w:lang w:val="en-NZ"/>
        </w:rPr>
        <w:br/>
      </w:r>
      <w:r w:rsidRPr="00E40119">
        <w:rPr>
          <w:sz w:val="20"/>
          <w:lang w:val="en-NZ"/>
        </w:rPr>
        <w:t>Wellington</w:t>
      </w:r>
      <w:r w:rsidR="00EC3CE3" w:rsidRPr="00E40119">
        <w:rPr>
          <w:sz w:val="20"/>
          <w:lang w:val="en-NZ"/>
        </w:rPr>
        <w:t xml:space="preserve"> 6140</w:t>
      </w:r>
      <w:r w:rsidR="00D674A1" w:rsidRPr="00E40119">
        <w:rPr>
          <w:sz w:val="20"/>
          <w:lang w:val="en-NZ"/>
        </w:rPr>
        <w:t>.</w:t>
      </w:r>
    </w:p>
    <w:p w:rsidR="001005B7" w:rsidRPr="00E40119" w:rsidRDefault="00463F8C" w:rsidP="00DD24AA">
      <w:pPr>
        <w:pStyle w:val="Heading1"/>
        <w:numPr>
          <w:ilvl w:val="0"/>
          <w:numId w:val="0"/>
        </w:numPr>
        <w:pBdr>
          <w:bottom w:val="none" w:sz="0" w:space="0" w:color="auto"/>
        </w:pBdr>
        <w:jc w:val="center"/>
      </w:pPr>
      <w:bookmarkStart w:id="1" w:name="_Toc490216938"/>
      <w:bookmarkStart w:id="2" w:name="_Toc490240718"/>
      <w:bookmarkStart w:id="3" w:name="_Toc490404852"/>
      <w:bookmarkStart w:id="4" w:name="_Toc490466591"/>
      <w:bookmarkStart w:id="5" w:name="_Toc490467023"/>
      <w:bookmarkStart w:id="6" w:name="_Toc490467199"/>
      <w:bookmarkStart w:id="7" w:name="_Toc490467261"/>
      <w:r w:rsidRPr="00E40119">
        <w:lastRenderedPageBreak/>
        <w:t>CONTENTS</w:t>
      </w:r>
      <w:bookmarkEnd w:id="1"/>
      <w:bookmarkEnd w:id="2"/>
      <w:bookmarkEnd w:id="3"/>
      <w:bookmarkEnd w:id="4"/>
      <w:bookmarkEnd w:id="5"/>
      <w:bookmarkEnd w:id="6"/>
      <w:bookmarkEnd w:id="7"/>
    </w:p>
    <w:p w:rsidR="003318CA" w:rsidRDefault="003318CA" w:rsidP="00F67FF3">
      <w:pPr>
        <w:rPr>
          <w:lang w:val="en-NZ"/>
        </w:rPr>
      </w:pPr>
    </w:p>
    <w:p w:rsidR="009E0D89" w:rsidRDefault="009E0D89" w:rsidP="00F67FF3">
      <w:pPr>
        <w:rPr>
          <w:lang w:val="en-NZ"/>
        </w:rPr>
      </w:pPr>
    </w:p>
    <w:p w:rsidR="003272EC" w:rsidRDefault="008C28F7">
      <w:pPr>
        <w:pStyle w:val="TOC1"/>
        <w:rPr>
          <w:rFonts w:asciiTheme="minorHAnsi" w:eastAsiaTheme="minorEastAsia" w:hAnsiTheme="minorHAnsi" w:cstheme="minorBidi"/>
          <w:b w:val="0"/>
          <w:sz w:val="22"/>
          <w:szCs w:val="22"/>
          <w:lang w:eastAsia="en-NZ"/>
        </w:rPr>
      </w:pPr>
      <w:r w:rsidRPr="00E40119">
        <w:rPr>
          <w:noProof w:val="0"/>
        </w:rPr>
        <w:fldChar w:fldCharType="begin"/>
      </w:r>
      <w:r w:rsidRPr="00E40119">
        <w:rPr>
          <w:noProof w:val="0"/>
        </w:rPr>
        <w:instrText xml:space="preserve"> TOC \o "1-1" \h \z \t "Chapter heading,1" </w:instrText>
      </w:r>
      <w:r w:rsidRPr="00E40119">
        <w:rPr>
          <w:noProof w:val="0"/>
        </w:rPr>
        <w:fldChar w:fldCharType="separate"/>
      </w:r>
      <w:hyperlink w:anchor="_Toc490467262" w:history="1">
        <w:r w:rsidR="003272EC" w:rsidRPr="00F11608">
          <w:rPr>
            <w:rStyle w:val="Hyperlink"/>
          </w:rPr>
          <w:t>1.</w:t>
        </w:r>
        <w:r w:rsidR="003272EC">
          <w:rPr>
            <w:rFonts w:asciiTheme="minorHAnsi" w:eastAsiaTheme="minorEastAsia" w:hAnsiTheme="minorHAnsi" w:cstheme="minorBidi"/>
            <w:b w:val="0"/>
            <w:sz w:val="22"/>
            <w:szCs w:val="22"/>
            <w:lang w:eastAsia="en-NZ"/>
          </w:rPr>
          <w:tab/>
        </w:r>
        <w:r w:rsidR="003272EC" w:rsidRPr="00F11608">
          <w:rPr>
            <w:rStyle w:val="Hyperlink"/>
          </w:rPr>
          <w:t>Introduction</w:t>
        </w:r>
        <w:r w:rsidR="003272EC">
          <w:rPr>
            <w:webHidden/>
          </w:rPr>
          <w:tab/>
        </w:r>
        <w:r w:rsidR="003272EC">
          <w:rPr>
            <w:webHidden/>
          </w:rPr>
          <w:fldChar w:fldCharType="begin"/>
        </w:r>
        <w:r w:rsidR="003272EC">
          <w:rPr>
            <w:webHidden/>
          </w:rPr>
          <w:instrText xml:space="preserve"> PAGEREF _Toc490467262 \h </w:instrText>
        </w:r>
        <w:r w:rsidR="003272EC">
          <w:rPr>
            <w:webHidden/>
          </w:rPr>
        </w:r>
        <w:r w:rsidR="003272EC">
          <w:rPr>
            <w:webHidden/>
          </w:rPr>
          <w:fldChar w:fldCharType="separate"/>
        </w:r>
        <w:r w:rsidR="00EA6D27">
          <w:rPr>
            <w:webHidden/>
          </w:rPr>
          <w:t>1</w:t>
        </w:r>
        <w:r w:rsidR="003272EC">
          <w:rPr>
            <w:webHidden/>
          </w:rPr>
          <w:fldChar w:fldCharType="end"/>
        </w:r>
      </w:hyperlink>
    </w:p>
    <w:p w:rsidR="003272EC" w:rsidRDefault="0016537E">
      <w:pPr>
        <w:pStyle w:val="TOC1"/>
        <w:rPr>
          <w:rFonts w:asciiTheme="minorHAnsi" w:eastAsiaTheme="minorEastAsia" w:hAnsiTheme="minorHAnsi" w:cstheme="minorBidi"/>
          <w:b w:val="0"/>
          <w:sz w:val="22"/>
          <w:szCs w:val="22"/>
          <w:lang w:eastAsia="en-NZ"/>
        </w:rPr>
      </w:pPr>
      <w:hyperlink w:anchor="_Toc490467263" w:history="1">
        <w:r w:rsidR="003272EC" w:rsidRPr="00F11608">
          <w:rPr>
            <w:rStyle w:val="Hyperlink"/>
          </w:rPr>
          <w:t>2.</w:t>
        </w:r>
        <w:r w:rsidR="003272EC">
          <w:rPr>
            <w:rFonts w:asciiTheme="minorHAnsi" w:eastAsiaTheme="minorEastAsia" w:hAnsiTheme="minorHAnsi" w:cstheme="minorBidi"/>
            <w:b w:val="0"/>
            <w:sz w:val="22"/>
            <w:szCs w:val="22"/>
            <w:lang w:eastAsia="en-NZ"/>
          </w:rPr>
          <w:tab/>
        </w:r>
        <w:r w:rsidR="003272EC" w:rsidRPr="00F11608">
          <w:rPr>
            <w:rStyle w:val="Hyperlink"/>
          </w:rPr>
          <w:t>Strengthening our interest limitation rules</w:t>
        </w:r>
        <w:r w:rsidR="003272EC">
          <w:rPr>
            <w:webHidden/>
          </w:rPr>
          <w:tab/>
        </w:r>
        <w:r w:rsidR="003272EC">
          <w:rPr>
            <w:webHidden/>
          </w:rPr>
          <w:fldChar w:fldCharType="begin"/>
        </w:r>
        <w:r w:rsidR="003272EC">
          <w:rPr>
            <w:webHidden/>
          </w:rPr>
          <w:instrText xml:space="preserve"> PAGEREF _Toc490467263 \h </w:instrText>
        </w:r>
        <w:r w:rsidR="003272EC">
          <w:rPr>
            <w:webHidden/>
          </w:rPr>
        </w:r>
        <w:r w:rsidR="003272EC">
          <w:rPr>
            <w:webHidden/>
          </w:rPr>
          <w:fldChar w:fldCharType="separate"/>
        </w:r>
        <w:r w:rsidR="00EA6D27">
          <w:rPr>
            <w:webHidden/>
          </w:rPr>
          <w:t>2</w:t>
        </w:r>
        <w:r w:rsidR="003272EC">
          <w:rPr>
            <w:webHidden/>
          </w:rPr>
          <w:fldChar w:fldCharType="end"/>
        </w:r>
      </w:hyperlink>
    </w:p>
    <w:p w:rsidR="003272EC" w:rsidRDefault="0016537E">
      <w:pPr>
        <w:pStyle w:val="TOC1"/>
        <w:rPr>
          <w:rFonts w:asciiTheme="minorHAnsi" w:eastAsiaTheme="minorEastAsia" w:hAnsiTheme="minorHAnsi" w:cstheme="minorBidi"/>
          <w:b w:val="0"/>
          <w:sz w:val="22"/>
          <w:szCs w:val="22"/>
          <w:lang w:eastAsia="en-NZ"/>
        </w:rPr>
      </w:pPr>
      <w:hyperlink w:anchor="_Toc490467264" w:history="1">
        <w:r w:rsidR="003272EC" w:rsidRPr="00F11608">
          <w:rPr>
            <w:rStyle w:val="Hyperlink"/>
          </w:rPr>
          <w:t>3.</w:t>
        </w:r>
        <w:r w:rsidR="003272EC">
          <w:rPr>
            <w:rFonts w:asciiTheme="minorHAnsi" w:eastAsiaTheme="minorEastAsia" w:hAnsiTheme="minorHAnsi" w:cstheme="minorBidi"/>
            <w:b w:val="0"/>
            <w:sz w:val="22"/>
            <w:szCs w:val="22"/>
            <w:lang w:eastAsia="en-NZ"/>
          </w:rPr>
          <w:tab/>
        </w:r>
        <w:r w:rsidR="003272EC" w:rsidRPr="00F11608">
          <w:rPr>
            <w:rStyle w:val="Hyperlink"/>
          </w:rPr>
          <w:t>Transfer pricing and permanent establishment</w:t>
        </w:r>
        <w:r w:rsidR="003272EC" w:rsidRPr="00F11608">
          <w:rPr>
            <w:rStyle w:val="Hyperlink"/>
            <w:caps/>
          </w:rPr>
          <w:t xml:space="preserve"> </w:t>
        </w:r>
        <w:r w:rsidR="003272EC" w:rsidRPr="00F11608">
          <w:rPr>
            <w:rStyle w:val="Hyperlink"/>
          </w:rPr>
          <w:t>avoidance</w:t>
        </w:r>
        <w:r w:rsidR="003272EC">
          <w:rPr>
            <w:webHidden/>
          </w:rPr>
          <w:tab/>
        </w:r>
        <w:r w:rsidR="003272EC">
          <w:rPr>
            <w:webHidden/>
          </w:rPr>
          <w:fldChar w:fldCharType="begin"/>
        </w:r>
        <w:r w:rsidR="003272EC">
          <w:rPr>
            <w:webHidden/>
          </w:rPr>
          <w:instrText xml:space="preserve"> PAGEREF _Toc490467264 \h </w:instrText>
        </w:r>
        <w:r w:rsidR="003272EC">
          <w:rPr>
            <w:webHidden/>
          </w:rPr>
        </w:r>
        <w:r w:rsidR="003272EC">
          <w:rPr>
            <w:webHidden/>
          </w:rPr>
          <w:fldChar w:fldCharType="separate"/>
        </w:r>
        <w:r w:rsidR="00EA6D27">
          <w:rPr>
            <w:webHidden/>
          </w:rPr>
          <w:t>4</w:t>
        </w:r>
        <w:r w:rsidR="003272EC">
          <w:rPr>
            <w:webHidden/>
          </w:rPr>
          <w:fldChar w:fldCharType="end"/>
        </w:r>
      </w:hyperlink>
    </w:p>
    <w:p w:rsidR="003272EC" w:rsidRDefault="0016537E">
      <w:pPr>
        <w:pStyle w:val="TOC1"/>
        <w:rPr>
          <w:rFonts w:asciiTheme="minorHAnsi" w:eastAsiaTheme="minorEastAsia" w:hAnsiTheme="minorHAnsi" w:cstheme="minorBidi"/>
          <w:b w:val="0"/>
          <w:sz w:val="22"/>
          <w:szCs w:val="22"/>
          <w:lang w:eastAsia="en-NZ"/>
        </w:rPr>
      </w:pPr>
      <w:hyperlink w:anchor="_Toc490467265" w:history="1">
        <w:r w:rsidR="003272EC" w:rsidRPr="00F11608">
          <w:rPr>
            <w:rStyle w:val="Hyperlink"/>
            <w:caps/>
          </w:rPr>
          <w:t>4.</w:t>
        </w:r>
        <w:r w:rsidR="003272EC">
          <w:rPr>
            <w:rFonts w:asciiTheme="minorHAnsi" w:eastAsiaTheme="minorEastAsia" w:hAnsiTheme="minorHAnsi" w:cstheme="minorBidi"/>
            <w:b w:val="0"/>
            <w:sz w:val="22"/>
            <w:szCs w:val="22"/>
            <w:lang w:eastAsia="en-NZ"/>
          </w:rPr>
          <w:tab/>
        </w:r>
        <w:r w:rsidR="003272EC" w:rsidRPr="00F11608">
          <w:rPr>
            <w:rStyle w:val="Hyperlink"/>
          </w:rPr>
          <w:t>Addressing hybrid mismatch arrangements</w:t>
        </w:r>
        <w:r w:rsidR="003272EC">
          <w:rPr>
            <w:webHidden/>
          </w:rPr>
          <w:tab/>
        </w:r>
        <w:r w:rsidR="003272EC">
          <w:rPr>
            <w:webHidden/>
          </w:rPr>
          <w:fldChar w:fldCharType="begin"/>
        </w:r>
        <w:r w:rsidR="003272EC">
          <w:rPr>
            <w:webHidden/>
          </w:rPr>
          <w:instrText xml:space="preserve"> PAGEREF _Toc490467265 \h </w:instrText>
        </w:r>
        <w:r w:rsidR="003272EC">
          <w:rPr>
            <w:webHidden/>
          </w:rPr>
        </w:r>
        <w:r w:rsidR="003272EC">
          <w:rPr>
            <w:webHidden/>
          </w:rPr>
          <w:fldChar w:fldCharType="separate"/>
        </w:r>
        <w:r w:rsidR="00EA6D27">
          <w:rPr>
            <w:webHidden/>
          </w:rPr>
          <w:t>7</w:t>
        </w:r>
        <w:r w:rsidR="003272EC">
          <w:rPr>
            <w:webHidden/>
          </w:rPr>
          <w:fldChar w:fldCharType="end"/>
        </w:r>
      </w:hyperlink>
    </w:p>
    <w:p w:rsidR="00477FEA" w:rsidRPr="00E40119" w:rsidRDefault="008C28F7">
      <w:pPr>
        <w:jc w:val="left"/>
        <w:rPr>
          <w:lang w:val="en-NZ"/>
        </w:rPr>
      </w:pPr>
      <w:r w:rsidRPr="00E40119">
        <w:rPr>
          <w:lang w:val="en-NZ"/>
        </w:rPr>
        <w:fldChar w:fldCharType="end"/>
      </w:r>
    </w:p>
    <w:p w:rsidR="00F67FF3" w:rsidRPr="00E40119" w:rsidRDefault="00F67FF3" w:rsidP="00F67FF3">
      <w:pPr>
        <w:rPr>
          <w:lang w:val="en-NZ"/>
        </w:rPr>
      </w:pPr>
    </w:p>
    <w:p w:rsidR="00F67FF3" w:rsidRPr="00E40119" w:rsidRDefault="00F67FF3" w:rsidP="00F67FF3">
      <w:pPr>
        <w:rPr>
          <w:lang w:val="en-NZ"/>
        </w:rPr>
      </w:pPr>
    </w:p>
    <w:p w:rsidR="00725975" w:rsidRPr="00E40119" w:rsidRDefault="00725975" w:rsidP="00E253EA">
      <w:pPr>
        <w:jc w:val="center"/>
        <w:rPr>
          <w:b/>
          <w:lang w:val="en-NZ"/>
        </w:rPr>
        <w:sectPr w:rsidR="00725975" w:rsidRPr="00E40119" w:rsidSect="00A44EDB">
          <w:footerReference w:type="even" r:id="rId9"/>
          <w:footerReference w:type="default" r:id="rId10"/>
          <w:footerReference w:type="first" r:id="rId11"/>
          <w:pgSz w:w="11906" w:h="16838" w:code="9"/>
          <w:pgMar w:top="1134" w:right="1797" w:bottom="567" w:left="1797" w:header="709" w:footer="709" w:gutter="0"/>
          <w:pgNumType w:fmt="lowerRoman" w:start="1"/>
          <w:cols w:space="708"/>
          <w:docGrid w:linePitch="360"/>
        </w:sectPr>
      </w:pPr>
    </w:p>
    <w:p w:rsidR="008F691D" w:rsidRPr="00E40119" w:rsidRDefault="00144BD7" w:rsidP="003272EC">
      <w:pPr>
        <w:pStyle w:val="Heading1"/>
      </w:pPr>
      <w:bookmarkStart w:id="8" w:name="_Toc490467262"/>
      <w:r>
        <w:lastRenderedPageBreak/>
        <w:t>Introduction</w:t>
      </w:r>
      <w:bookmarkEnd w:id="8"/>
    </w:p>
    <w:p w:rsidR="00463F8C" w:rsidRDefault="00463F8C" w:rsidP="00463F8C">
      <w:pPr>
        <w:pStyle w:val="Chapter5"/>
        <w:numPr>
          <w:ilvl w:val="0"/>
          <w:numId w:val="0"/>
        </w:numPr>
        <w:ind w:left="851" w:hanging="851"/>
        <w:jc w:val="left"/>
      </w:pPr>
    </w:p>
    <w:p w:rsidR="00144BD7" w:rsidRDefault="00144BD7" w:rsidP="00463F8C">
      <w:pPr>
        <w:pStyle w:val="Chapter5"/>
        <w:numPr>
          <w:ilvl w:val="0"/>
          <w:numId w:val="0"/>
        </w:numPr>
        <w:ind w:left="851" w:hanging="851"/>
        <w:jc w:val="left"/>
      </w:pPr>
    </w:p>
    <w:p w:rsidR="00144BD7" w:rsidRDefault="00144BD7" w:rsidP="00144BD7">
      <w:pPr>
        <w:pStyle w:val="Chapter1"/>
      </w:pPr>
      <w:r w:rsidRPr="00144BD7">
        <w:t xml:space="preserve">In September 2016 and March 2017 the Government released three discussion documents that proposed a comprehensive package of law changes to combat </w:t>
      </w:r>
      <w:r>
        <w:t>base erosion and profit shifting (</w:t>
      </w:r>
      <w:r w:rsidRPr="00144BD7">
        <w:t>BEPS</w:t>
      </w:r>
      <w:r>
        <w:t>)</w:t>
      </w:r>
      <w:r w:rsidRPr="00144BD7">
        <w:t>:</w:t>
      </w:r>
    </w:p>
    <w:p w:rsidR="00144BD7" w:rsidRPr="00144BD7" w:rsidRDefault="00144BD7" w:rsidP="00144BD7">
      <w:pPr>
        <w:pStyle w:val="Chapter1"/>
        <w:numPr>
          <w:ilvl w:val="0"/>
          <w:numId w:val="0"/>
        </w:numPr>
        <w:ind w:left="851" w:hanging="851"/>
      </w:pPr>
    </w:p>
    <w:p w:rsidR="00144BD7" w:rsidRPr="00144BD7" w:rsidRDefault="00144BD7" w:rsidP="00144BD7">
      <w:pPr>
        <w:pStyle w:val="Bullets"/>
      </w:pPr>
      <w:r w:rsidRPr="00144BD7">
        <w:rPr>
          <w:i/>
        </w:rPr>
        <w:t>BEPS – Strengthening our interest limitation rules</w:t>
      </w:r>
      <w:r>
        <w:t>;</w:t>
      </w:r>
    </w:p>
    <w:p w:rsidR="00144BD7" w:rsidRPr="00144BD7" w:rsidRDefault="00144BD7" w:rsidP="00144BD7">
      <w:pPr>
        <w:pStyle w:val="Bullets"/>
      </w:pPr>
      <w:r w:rsidRPr="00144BD7">
        <w:rPr>
          <w:i/>
        </w:rPr>
        <w:t>BEPS – Transfer pricing and permanent establishment avoidance</w:t>
      </w:r>
      <w:r w:rsidRPr="00144BD7">
        <w:t>; and</w:t>
      </w:r>
    </w:p>
    <w:p w:rsidR="00144BD7" w:rsidRPr="00144BD7" w:rsidRDefault="00144BD7" w:rsidP="009E0D89">
      <w:pPr>
        <w:pStyle w:val="Bullets"/>
        <w:spacing w:after="0"/>
      </w:pPr>
      <w:r w:rsidRPr="00144BD7">
        <w:rPr>
          <w:i/>
        </w:rPr>
        <w:t>Addressing hybrid mismatch arrangements</w:t>
      </w:r>
      <w:r w:rsidRPr="00144BD7">
        <w:t>.</w:t>
      </w:r>
    </w:p>
    <w:p w:rsidR="00144BD7" w:rsidRPr="00144BD7" w:rsidRDefault="00144BD7" w:rsidP="00144BD7"/>
    <w:p w:rsidR="00144BD7" w:rsidRPr="00144BD7" w:rsidRDefault="00144BD7" w:rsidP="00144BD7">
      <w:pPr>
        <w:pStyle w:val="Chapter1"/>
      </w:pPr>
      <w:r w:rsidRPr="00144BD7">
        <w:t>On 3 August</w:t>
      </w:r>
      <w:r>
        <w:t xml:space="preserve"> 2017</w:t>
      </w:r>
      <w:r w:rsidRPr="00144BD7">
        <w:t>, Ministers announced the Government’s policy decisions on the proposed package of BEPS measures.</w:t>
      </w:r>
      <w:r>
        <w:t xml:space="preserve"> </w:t>
      </w:r>
      <w:r w:rsidRPr="00144BD7">
        <w:t xml:space="preserve"> As part of this announcement the Government proactively released the relevant BEPS Cabinet papers, policy reports and public submissions.</w:t>
      </w:r>
      <w:r>
        <w:t xml:space="preserve"> </w:t>
      </w:r>
      <w:r w:rsidRPr="00144BD7">
        <w:t xml:space="preserve"> For more information see the media statement</w:t>
      </w:r>
      <w:r w:rsidRPr="00144BD7">
        <w:rPr>
          <w:rStyle w:val="FootnoteReference"/>
          <w:sz w:val="24"/>
          <w:szCs w:val="24"/>
        </w:rPr>
        <w:footnoteReference w:id="1"/>
      </w:r>
      <w:r w:rsidRPr="00144BD7">
        <w:t xml:space="preserve"> and background documents.</w:t>
      </w:r>
      <w:r w:rsidRPr="00144BD7">
        <w:rPr>
          <w:rStyle w:val="FootnoteReference"/>
          <w:sz w:val="24"/>
          <w:szCs w:val="24"/>
        </w:rPr>
        <w:footnoteReference w:id="2"/>
      </w:r>
    </w:p>
    <w:p w:rsidR="00144BD7" w:rsidRPr="00144BD7" w:rsidRDefault="00144BD7" w:rsidP="00144BD7"/>
    <w:p w:rsidR="00144BD7" w:rsidRPr="00144BD7" w:rsidRDefault="00144BD7" w:rsidP="009E0D89">
      <w:pPr>
        <w:pStyle w:val="Chapter1"/>
      </w:pPr>
      <w:r>
        <w:t xml:space="preserve">This document summarises the Government’s </w:t>
      </w:r>
      <w:r w:rsidRPr="00144BD7">
        <w:t>key policy decisions.</w:t>
      </w:r>
      <w:r w:rsidR="009E0D89">
        <w:t xml:space="preserve">  Note that this is a </w:t>
      </w:r>
      <w:r w:rsidR="009E0D89" w:rsidRPr="009E0D89">
        <w:t xml:space="preserve">non-exhaustive list – for </w:t>
      </w:r>
      <w:r w:rsidR="009E0D89">
        <w:t xml:space="preserve">the </w:t>
      </w:r>
      <w:r w:rsidR="009E0D89" w:rsidRPr="009E0D89">
        <w:t>detail</w:t>
      </w:r>
      <w:r w:rsidR="009E0D89">
        <w:t>s</w:t>
      </w:r>
      <w:r w:rsidR="009E0D89" w:rsidRPr="009E0D89">
        <w:t xml:space="preserve"> o</w:t>
      </w:r>
      <w:r w:rsidR="009E0D89">
        <w:t>f</w:t>
      </w:r>
      <w:r w:rsidR="009E0D89" w:rsidRPr="009E0D89">
        <w:t xml:space="preserve"> all the policy decisions see the </w:t>
      </w:r>
      <w:r w:rsidR="005B3A53">
        <w:t xml:space="preserve">relevant </w:t>
      </w:r>
      <w:r w:rsidR="009E0D89" w:rsidRPr="009E0D89">
        <w:t>Cabinet papers</w:t>
      </w:r>
      <w:r w:rsidR="009E0D89">
        <w:t>.</w:t>
      </w:r>
    </w:p>
    <w:p w:rsidR="00144BD7" w:rsidRDefault="00144BD7" w:rsidP="00463F8C">
      <w:pPr>
        <w:pStyle w:val="Chapter5"/>
        <w:numPr>
          <w:ilvl w:val="0"/>
          <w:numId w:val="0"/>
        </w:numPr>
        <w:ind w:left="851" w:hanging="851"/>
        <w:jc w:val="left"/>
      </w:pPr>
    </w:p>
    <w:p w:rsidR="00144BD7" w:rsidRDefault="00144BD7" w:rsidP="00463F8C">
      <w:pPr>
        <w:pStyle w:val="Chapter5"/>
        <w:numPr>
          <w:ilvl w:val="0"/>
          <w:numId w:val="0"/>
        </w:numPr>
        <w:ind w:left="851" w:hanging="851"/>
        <w:jc w:val="left"/>
      </w:pPr>
    </w:p>
    <w:p w:rsidR="00144BD7" w:rsidRDefault="00144BD7" w:rsidP="00144BD7">
      <w:pPr>
        <w:pStyle w:val="Chapterheading"/>
        <w:numPr>
          <w:ilvl w:val="0"/>
          <w:numId w:val="33"/>
        </w:numPr>
        <w:pBdr>
          <w:bottom w:val="single" w:sz="4" w:space="1" w:color="auto"/>
        </w:pBdr>
        <w:ind w:left="567" w:hanging="567"/>
        <w:jc w:val="left"/>
        <w:rPr>
          <w:caps w:val="0"/>
        </w:rPr>
        <w:sectPr w:rsidR="00144BD7" w:rsidSect="00144BD7">
          <w:footerReference w:type="even" r:id="rId12"/>
          <w:footerReference w:type="default" r:id="rId13"/>
          <w:footerReference w:type="first" r:id="rId14"/>
          <w:type w:val="oddPage"/>
          <w:pgSz w:w="11906" w:h="16838" w:code="9"/>
          <w:pgMar w:top="1134" w:right="1134" w:bottom="1134" w:left="1134" w:header="709" w:footer="425" w:gutter="0"/>
          <w:pgNumType w:start="1"/>
          <w:cols w:space="708"/>
          <w:docGrid w:linePitch="360"/>
        </w:sectPr>
      </w:pPr>
    </w:p>
    <w:p w:rsidR="00144BD7" w:rsidRPr="00DD24AA" w:rsidRDefault="00144BD7" w:rsidP="00DD24AA">
      <w:pPr>
        <w:pStyle w:val="Heading1"/>
      </w:pPr>
      <w:bookmarkStart w:id="9" w:name="_Toc490467263"/>
      <w:r w:rsidRPr="00DD24AA">
        <w:lastRenderedPageBreak/>
        <w:t>Strengthening our interest limitation rules</w:t>
      </w:r>
      <w:bookmarkEnd w:id="9"/>
    </w:p>
    <w:p w:rsidR="00144BD7" w:rsidRDefault="00144BD7" w:rsidP="00463F8C">
      <w:pPr>
        <w:pStyle w:val="Chapter5"/>
        <w:numPr>
          <w:ilvl w:val="0"/>
          <w:numId w:val="0"/>
        </w:numPr>
        <w:ind w:left="851" w:hanging="851"/>
        <w:jc w:val="left"/>
      </w:pPr>
    </w:p>
    <w:p w:rsidR="009E0D89" w:rsidRDefault="009E0D89" w:rsidP="00463F8C">
      <w:pPr>
        <w:pStyle w:val="Chapter5"/>
        <w:numPr>
          <w:ilvl w:val="0"/>
          <w:numId w:val="0"/>
        </w:numPr>
        <w:ind w:left="851" w:hanging="851"/>
        <w:jc w:val="left"/>
      </w:pPr>
    </w:p>
    <w:p w:rsidR="009E0D89" w:rsidRDefault="009E0D89" w:rsidP="00DE1D76">
      <w:pPr>
        <w:pStyle w:val="Chapter5"/>
        <w:numPr>
          <w:ilvl w:val="0"/>
          <w:numId w:val="0"/>
        </w:numPr>
        <w:jc w:val="left"/>
      </w:pPr>
      <w:r>
        <w:t xml:space="preserve">The Cabinet paper </w:t>
      </w:r>
      <w:r w:rsidR="00DE1D76">
        <w:t xml:space="preserve">with </w:t>
      </w:r>
      <w:r w:rsidR="00DE1D76" w:rsidRPr="00DE1D76">
        <w:t xml:space="preserve">the details of all the policy decisions </w:t>
      </w:r>
      <w:r>
        <w:t xml:space="preserve">is available at </w:t>
      </w:r>
      <w:r w:rsidRPr="009E0D89">
        <w:t>http://taxpolicy.ird.govt.nz/publications/2017-other-beps/15-cabinet-paper-interest</w:t>
      </w:r>
    </w:p>
    <w:p w:rsidR="009E0D89" w:rsidRDefault="009E0D89" w:rsidP="00463F8C">
      <w:pPr>
        <w:pStyle w:val="Chapter5"/>
        <w:numPr>
          <w:ilvl w:val="0"/>
          <w:numId w:val="0"/>
        </w:numPr>
        <w:ind w:left="851" w:hanging="851"/>
        <w:jc w:val="left"/>
      </w:pPr>
    </w:p>
    <w:tbl>
      <w:tblPr>
        <w:tblStyle w:val="TableGrid"/>
        <w:tblW w:w="0" w:type="auto"/>
        <w:tblInd w:w="108" w:type="dxa"/>
        <w:tblLook w:val="0620" w:firstRow="1" w:lastRow="0" w:firstColumn="0" w:lastColumn="0" w:noHBand="1" w:noVBand="1"/>
      </w:tblPr>
      <w:tblGrid>
        <w:gridCol w:w="4111"/>
        <w:gridCol w:w="5283"/>
        <w:gridCol w:w="5284"/>
      </w:tblGrid>
      <w:tr w:rsidR="00463F8C" w:rsidRPr="00626D29" w:rsidTr="00B4540D">
        <w:trPr>
          <w:cantSplit/>
          <w:tblHeader/>
        </w:trPr>
        <w:tc>
          <w:tcPr>
            <w:tcW w:w="4111" w:type="dxa"/>
          </w:tcPr>
          <w:p w:rsidR="00463F8C" w:rsidRPr="00626D29" w:rsidRDefault="00B4540D" w:rsidP="00B4540D">
            <w:pPr>
              <w:pStyle w:val="Chapter5"/>
              <w:numPr>
                <w:ilvl w:val="0"/>
                <w:numId w:val="0"/>
              </w:numPr>
              <w:spacing w:before="120" w:after="120"/>
              <w:jc w:val="left"/>
              <w:rPr>
                <w:b/>
                <w:sz w:val="22"/>
                <w:szCs w:val="22"/>
              </w:rPr>
            </w:pPr>
            <w:r w:rsidRPr="00626D29">
              <w:rPr>
                <w:b/>
                <w:sz w:val="22"/>
                <w:szCs w:val="22"/>
              </w:rPr>
              <w:t>Proposal</w:t>
            </w:r>
          </w:p>
        </w:tc>
        <w:tc>
          <w:tcPr>
            <w:tcW w:w="5283" w:type="dxa"/>
          </w:tcPr>
          <w:p w:rsidR="00463F8C" w:rsidRPr="00626D29" w:rsidRDefault="00B4540D" w:rsidP="00B4540D">
            <w:pPr>
              <w:pStyle w:val="Chapter5"/>
              <w:numPr>
                <w:ilvl w:val="0"/>
                <w:numId w:val="0"/>
              </w:numPr>
              <w:spacing w:before="120" w:after="120"/>
              <w:jc w:val="left"/>
              <w:rPr>
                <w:b/>
                <w:sz w:val="22"/>
                <w:szCs w:val="22"/>
              </w:rPr>
            </w:pPr>
            <w:r w:rsidRPr="00626D29">
              <w:rPr>
                <w:b/>
                <w:sz w:val="22"/>
                <w:szCs w:val="22"/>
              </w:rPr>
              <w:t>Summary of submissions</w:t>
            </w:r>
          </w:p>
        </w:tc>
        <w:tc>
          <w:tcPr>
            <w:tcW w:w="5284" w:type="dxa"/>
          </w:tcPr>
          <w:p w:rsidR="00463F8C" w:rsidRPr="00626D29" w:rsidRDefault="00B4540D" w:rsidP="00B4540D">
            <w:pPr>
              <w:pStyle w:val="Chapter5"/>
              <w:numPr>
                <w:ilvl w:val="0"/>
                <w:numId w:val="0"/>
              </w:numPr>
              <w:spacing w:before="120" w:after="120"/>
              <w:jc w:val="left"/>
              <w:rPr>
                <w:b/>
                <w:sz w:val="22"/>
                <w:szCs w:val="22"/>
              </w:rPr>
            </w:pPr>
            <w:r w:rsidRPr="00626D29">
              <w:rPr>
                <w:b/>
                <w:sz w:val="22"/>
                <w:szCs w:val="22"/>
              </w:rPr>
              <w:t>Final decision</w:t>
            </w:r>
          </w:p>
        </w:tc>
      </w:tr>
      <w:tr w:rsidR="00B4540D" w:rsidRPr="00626D29" w:rsidTr="00B4540D">
        <w:trPr>
          <w:cantSplit/>
        </w:trPr>
        <w:tc>
          <w:tcPr>
            <w:tcW w:w="4111" w:type="dxa"/>
          </w:tcPr>
          <w:p w:rsidR="00B4540D" w:rsidRPr="00626D29" w:rsidRDefault="00B4540D" w:rsidP="00B4540D">
            <w:pPr>
              <w:spacing w:before="80" w:after="80"/>
              <w:jc w:val="left"/>
              <w:rPr>
                <w:b/>
                <w:sz w:val="22"/>
                <w:szCs w:val="22"/>
                <w:lang w:val="en-NZ"/>
              </w:rPr>
            </w:pPr>
            <w:r w:rsidRPr="00626D29">
              <w:rPr>
                <w:b/>
                <w:sz w:val="22"/>
                <w:szCs w:val="22"/>
                <w:lang w:val="en-NZ"/>
              </w:rPr>
              <w:t>Interest rate cap</w:t>
            </w:r>
          </w:p>
          <w:p w:rsidR="00B4540D" w:rsidRPr="00626D29" w:rsidRDefault="00B4540D" w:rsidP="00B4540D">
            <w:pPr>
              <w:spacing w:before="80" w:after="80"/>
              <w:jc w:val="left"/>
              <w:rPr>
                <w:sz w:val="22"/>
                <w:szCs w:val="22"/>
                <w:lang w:val="en-NZ"/>
              </w:rPr>
            </w:pPr>
            <w:r w:rsidRPr="00626D29">
              <w:rPr>
                <w:sz w:val="22"/>
                <w:szCs w:val="22"/>
                <w:lang w:val="en-NZ"/>
              </w:rPr>
              <w:t>To limit the interest rate charged by a foreign parent to its New Zealand subsidiary based on the foreign parent’s own cre</w:t>
            </w:r>
            <w:r w:rsidR="00E024A7" w:rsidRPr="00626D29">
              <w:rPr>
                <w:sz w:val="22"/>
                <w:szCs w:val="22"/>
                <w:lang w:val="en-NZ"/>
              </w:rPr>
              <w:t>dit rating plus a small margin.</w:t>
            </w:r>
          </w:p>
        </w:tc>
        <w:tc>
          <w:tcPr>
            <w:tcW w:w="5283" w:type="dxa"/>
          </w:tcPr>
          <w:p w:rsidR="00B4540D" w:rsidRPr="00626D29" w:rsidRDefault="00B4540D" w:rsidP="00B4540D">
            <w:pPr>
              <w:spacing w:before="80" w:after="80"/>
              <w:jc w:val="left"/>
              <w:rPr>
                <w:sz w:val="22"/>
                <w:szCs w:val="22"/>
                <w:lang w:val="en-NZ"/>
              </w:rPr>
            </w:pPr>
            <w:r w:rsidRPr="00626D29">
              <w:rPr>
                <w:sz w:val="22"/>
                <w:szCs w:val="22"/>
                <w:lang w:val="en-NZ"/>
              </w:rPr>
              <w:t>Almost all submitters did not support this proposal.</w:t>
            </w:r>
            <w:r w:rsidR="00E024A7" w:rsidRPr="00626D29">
              <w:rPr>
                <w:sz w:val="22"/>
                <w:szCs w:val="22"/>
                <w:lang w:val="en-NZ"/>
              </w:rPr>
              <w:t xml:space="preserve"> </w:t>
            </w:r>
            <w:r w:rsidRPr="00626D29">
              <w:rPr>
                <w:sz w:val="22"/>
                <w:szCs w:val="22"/>
                <w:lang w:val="en-NZ"/>
              </w:rPr>
              <w:t xml:space="preserve"> Their key concerns were that it:</w:t>
            </w:r>
          </w:p>
          <w:p w:rsidR="00B4540D" w:rsidRPr="00626D29" w:rsidRDefault="00B4540D" w:rsidP="00B4540D">
            <w:pPr>
              <w:pStyle w:val="ListParagraph"/>
              <w:numPr>
                <w:ilvl w:val="3"/>
                <w:numId w:val="29"/>
              </w:numPr>
              <w:spacing w:before="80" w:after="80"/>
              <w:ind w:left="357" w:hanging="357"/>
              <w:contextualSpacing w:val="0"/>
              <w:jc w:val="left"/>
              <w:rPr>
                <w:sz w:val="22"/>
                <w:szCs w:val="22"/>
                <w:lang w:val="en-NZ"/>
              </w:rPr>
            </w:pPr>
            <w:r w:rsidRPr="00626D29">
              <w:rPr>
                <w:sz w:val="22"/>
                <w:szCs w:val="22"/>
                <w:lang w:val="en-NZ"/>
              </w:rPr>
              <w:t>could affect the interest rates of companies with low amounts of debt who are not being aggressive;</w:t>
            </w:r>
          </w:p>
          <w:p w:rsidR="00B4540D" w:rsidRPr="00626D29" w:rsidRDefault="00B4540D" w:rsidP="00B4540D">
            <w:pPr>
              <w:pStyle w:val="ListParagraph"/>
              <w:numPr>
                <w:ilvl w:val="0"/>
                <w:numId w:val="29"/>
              </w:numPr>
              <w:spacing w:before="80" w:after="80"/>
              <w:ind w:left="357" w:hanging="357"/>
              <w:contextualSpacing w:val="0"/>
              <w:jc w:val="left"/>
              <w:rPr>
                <w:sz w:val="22"/>
                <w:szCs w:val="22"/>
                <w:lang w:val="en-NZ"/>
              </w:rPr>
            </w:pPr>
            <w:r w:rsidRPr="00626D29">
              <w:rPr>
                <w:sz w:val="22"/>
                <w:szCs w:val="22"/>
                <w:lang w:val="en-NZ"/>
              </w:rPr>
              <w:t>could be difficult to apply if the foreign parent has no credit rating; and</w:t>
            </w:r>
          </w:p>
          <w:p w:rsidR="00B4540D" w:rsidRPr="00626D29" w:rsidRDefault="00B4540D" w:rsidP="00B4540D">
            <w:pPr>
              <w:pStyle w:val="ListParagraph"/>
              <w:numPr>
                <w:ilvl w:val="0"/>
                <w:numId w:val="29"/>
              </w:numPr>
              <w:spacing w:before="80" w:after="80"/>
              <w:ind w:left="357" w:hanging="357"/>
              <w:contextualSpacing w:val="0"/>
              <w:jc w:val="left"/>
              <w:rPr>
                <w:sz w:val="22"/>
                <w:szCs w:val="22"/>
                <w:lang w:val="en-NZ"/>
              </w:rPr>
            </w:pPr>
            <w:proofErr w:type="gramStart"/>
            <w:r w:rsidRPr="00626D29">
              <w:rPr>
                <w:sz w:val="22"/>
                <w:szCs w:val="22"/>
                <w:lang w:val="en-NZ"/>
              </w:rPr>
              <w:t>is</w:t>
            </w:r>
            <w:proofErr w:type="gramEnd"/>
            <w:r w:rsidRPr="00626D29">
              <w:rPr>
                <w:sz w:val="22"/>
                <w:szCs w:val="22"/>
                <w:lang w:val="en-NZ"/>
              </w:rPr>
              <w:t xml:space="preserve"> inconsistent with our Double Tax Agreements (DTA) and will result in double taxation.</w:t>
            </w:r>
          </w:p>
        </w:tc>
        <w:tc>
          <w:tcPr>
            <w:tcW w:w="5284" w:type="dxa"/>
          </w:tcPr>
          <w:p w:rsidR="00B4540D" w:rsidRPr="00626D29" w:rsidRDefault="00B4540D" w:rsidP="00B4540D">
            <w:pPr>
              <w:spacing w:before="80" w:after="80"/>
              <w:jc w:val="left"/>
              <w:rPr>
                <w:sz w:val="22"/>
                <w:szCs w:val="22"/>
                <w:lang w:val="en-NZ"/>
              </w:rPr>
            </w:pPr>
            <w:r w:rsidRPr="00626D29">
              <w:rPr>
                <w:sz w:val="22"/>
                <w:szCs w:val="22"/>
                <w:lang w:val="en-NZ"/>
              </w:rPr>
              <w:t xml:space="preserve">The Government has agreed to replace the interest rate cap proposal with a </w:t>
            </w:r>
            <w:r w:rsidRPr="00626D29">
              <w:rPr>
                <w:i/>
                <w:sz w:val="22"/>
                <w:szCs w:val="22"/>
                <w:lang w:val="en-NZ"/>
              </w:rPr>
              <w:t>restricted transfer pricing</w:t>
            </w:r>
            <w:r w:rsidRPr="00626D29">
              <w:rPr>
                <w:sz w:val="22"/>
                <w:szCs w:val="22"/>
                <w:lang w:val="en-NZ"/>
              </w:rPr>
              <w:t xml:space="preserve"> rule.  This approach will usually produce the same result, as it will require the interest rate to:</w:t>
            </w:r>
          </w:p>
          <w:p w:rsidR="00B4540D" w:rsidRPr="00626D29" w:rsidRDefault="00B4540D" w:rsidP="00B4540D">
            <w:pPr>
              <w:pStyle w:val="ListParagraph"/>
              <w:numPr>
                <w:ilvl w:val="0"/>
                <w:numId w:val="28"/>
              </w:numPr>
              <w:spacing w:before="80" w:after="80"/>
              <w:ind w:left="360"/>
              <w:contextualSpacing w:val="0"/>
              <w:jc w:val="left"/>
              <w:rPr>
                <w:sz w:val="22"/>
                <w:szCs w:val="22"/>
                <w:lang w:val="en-NZ"/>
              </w:rPr>
            </w:pPr>
            <w:r w:rsidRPr="00626D29">
              <w:rPr>
                <w:sz w:val="22"/>
                <w:szCs w:val="22"/>
                <w:lang w:val="en-NZ"/>
              </w:rPr>
              <w:t>be in line with the parent’s cost of borrowing on the assumption that the borrower is supported by its foreign parent in the event of a default; and</w:t>
            </w:r>
          </w:p>
          <w:p w:rsidR="00B4540D" w:rsidRPr="00626D29" w:rsidRDefault="00B4540D" w:rsidP="00B4540D">
            <w:pPr>
              <w:pStyle w:val="ListParagraph"/>
              <w:numPr>
                <w:ilvl w:val="0"/>
                <w:numId w:val="28"/>
              </w:numPr>
              <w:spacing w:before="80" w:after="80"/>
              <w:ind w:left="360"/>
              <w:contextualSpacing w:val="0"/>
              <w:jc w:val="left"/>
              <w:rPr>
                <w:sz w:val="22"/>
                <w:szCs w:val="22"/>
                <w:lang w:val="en-NZ"/>
              </w:rPr>
            </w:pPr>
            <w:proofErr w:type="gramStart"/>
            <w:r w:rsidRPr="00626D29">
              <w:rPr>
                <w:sz w:val="22"/>
                <w:szCs w:val="22"/>
                <w:lang w:val="en-NZ"/>
              </w:rPr>
              <w:t>be</w:t>
            </w:r>
            <w:proofErr w:type="gramEnd"/>
            <w:r w:rsidRPr="00626D29">
              <w:rPr>
                <w:sz w:val="22"/>
                <w:szCs w:val="22"/>
                <w:lang w:val="en-NZ"/>
              </w:rPr>
              <w:t xml:space="preserve"> set on the basis that it is “vanilla” – disregarding any features or terms that could push up the interest rate.</w:t>
            </w:r>
          </w:p>
          <w:p w:rsidR="00B4540D" w:rsidRPr="00626D29" w:rsidRDefault="00B4540D" w:rsidP="00B527D9">
            <w:pPr>
              <w:spacing w:before="80" w:after="80"/>
              <w:jc w:val="left"/>
              <w:rPr>
                <w:b/>
                <w:sz w:val="22"/>
                <w:szCs w:val="22"/>
                <w:lang w:val="en-NZ"/>
              </w:rPr>
            </w:pPr>
            <w:r w:rsidRPr="00626D29">
              <w:rPr>
                <w:sz w:val="22"/>
                <w:szCs w:val="22"/>
                <w:lang w:val="en-NZ"/>
              </w:rPr>
              <w:t xml:space="preserve">However, the restricted transfer pricing rule has more flexibility compared </w:t>
            </w:r>
            <w:r w:rsidR="00B527D9">
              <w:rPr>
                <w:sz w:val="22"/>
                <w:szCs w:val="22"/>
                <w:lang w:val="en-NZ"/>
              </w:rPr>
              <w:t>with</w:t>
            </w:r>
            <w:r w:rsidRPr="00626D29">
              <w:rPr>
                <w:sz w:val="22"/>
                <w:szCs w:val="22"/>
                <w:lang w:val="en-NZ"/>
              </w:rPr>
              <w:t xml:space="preserve"> the interest rate cap, so it produces more appropriate outcomes in exceptional cases.</w:t>
            </w:r>
          </w:p>
        </w:tc>
      </w:tr>
      <w:tr w:rsidR="00B4540D" w:rsidRPr="00626D29" w:rsidTr="00B4540D">
        <w:trPr>
          <w:cantSplit/>
        </w:trPr>
        <w:tc>
          <w:tcPr>
            <w:tcW w:w="4111" w:type="dxa"/>
          </w:tcPr>
          <w:p w:rsidR="00B4540D" w:rsidRPr="00626D29" w:rsidRDefault="00B4540D" w:rsidP="00B4540D">
            <w:pPr>
              <w:spacing w:before="80" w:after="80"/>
              <w:jc w:val="left"/>
              <w:rPr>
                <w:b/>
                <w:sz w:val="22"/>
                <w:szCs w:val="22"/>
                <w:lang w:val="en-NZ"/>
              </w:rPr>
            </w:pPr>
            <w:r w:rsidRPr="00626D29">
              <w:rPr>
                <w:b/>
                <w:sz w:val="22"/>
                <w:szCs w:val="22"/>
                <w:lang w:val="en-NZ"/>
              </w:rPr>
              <w:t>Thin capitalisation non-debt liability adjustment</w:t>
            </w:r>
          </w:p>
          <w:p w:rsidR="00B4540D" w:rsidRPr="00626D29" w:rsidRDefault="00B4540D" w:rsidP="00B4540D">
            <w:pPr>
              <w:spacing w:before="80" w:after="80"/>
              <w:jc w:val="left"/>
              <w:rPr>
                <w:sz w:val="22"/>
                <w:szCs w:val="22"/>
                <w:lang w:val="en-NZ"/>
              </w:rPr>
            </w:pPr>
            <w:r w:rsidRPr="00626D29">
              <w:rPr>
                <w:sz w:val="22"/>
                <w:szCs w:val="22"/>
                <w:lang w:val="en-NZ"/>
              </w:rPr>
              <w:t>The amount of debt allowed under thin capitalisation rules is limited to 60 percent of the taxpayer’s “assets”.  The proposal was to reduce the taxpayer’s “assets” by the amount of its non-debt liabilities (that is, its liabilities oth</w:t>
            </w:r>
            <w:r w:rsidR="00E024A7" w:rsidRPr="00626D29">
              <w:rPr>
                <w:sz w:val="22"/>
                <w:szCs w:val="22"/>
                <w:lang w:val="en-NZ"/>
              </w:rPr>
              <w:t>er than interest bearing debt).</w:t>
            </w:r>
          </w:p>
        </w:tc>
        <w:tc>
          <w:tcPr>
            <w:tcW w:w="5283" w:type="dxa"/>
          </w:tcPr>
          <w:p w:rsidR="00B4540D" w:rsidRPr="00626D29" w:rsidRDefault="00B4540D" w:rsidP="00B4540D">
            <w:pPr>
              <w:spacing w:before="80" w:after="80"/>
              <w:jc w:val="left"/>
              <w:rPr>
                <w:sz w:val="22"/>
                <w:szCs w:val="22"/>
                <w:lang w:val="en-NZ"/>
              </w:rPr>
            </w:pPr>
            <w:r w:rsidRPr="00626D29">
              <w:rPr>
                <w:sz w:val="22"/>
                <w:szCs w:val="22"/>
                <w:lang w:val="en-NZ"/>
              </w:rPr>
              <w:t>Many submitters accepted that the treatment of non-debt liabilities needs to change.</w:t>
            </w:r>
          </w:p>
          <w:p w:rsidR="00B4540D" w:rsidRPr="00626D29" w:rsidRDefault="00B4540D" w:rsidP="00B4540D">
            <w:pPr>
              <w:spacing w:before="80" w:after="80"/>
              <w:jc w:val="left"/>
              <w:rPr>
                <w:sz w:val="22"/>
                <w:szCs w:val="22"/>
                <w:lang w:val="en-NZ"/>
              </w:rPr>
            </w:pPr>
            <w:r w:rsidRPr="00626D29">
              <w:rPr>
                <w:sz w:val="22"/>
                <w:szCs w:val="22"/>
                <w:lang w:val="en-NZ"/>
              </w:rPr>
              <w:t xml:space="preserve">However, nearly all submitters said </w:t>
            </w:r>
            <w:r w:rsidRPr="00626D29">
              <w:rPr>
                <w:i/>
                <w:sz w:val="22"/>
                <w:szCs w:val="22"/>
                <w:lang w:val="en-NZ"/>
              </w:rPr>
              <w:t>deferred tax liabilities</w:t>
            </w:r>
            <w:r w:rsidRPr="00626D29">
              <w:rPr>
                <w:sz w:val="22"/>
                <w:szCs w:val="22"/>
                <w:lang w:val="en-NZ"/>
              </w:rPr>
              <w:t xml:space="preserve"> should not be counted as a non-debt liability under this new rule.  Australia carves out deferred tax from this adjustment.</w:t>
            </w:r>
          </w:p>
          <w:p w:rsidR="00B4540D" w:rsidRPr="00626D29" w:rsidRDefault="00B4540D" w:rsidP="00B4540D">
            <w:pPr>
              <w:spacing w:before="80" w:after="80"/>
              <w:jc w:val="left"/>
              <w:rPr>
                <w:sz w:val="22"/>
                <w:szCs w:val="22"/>
                <w:lang w:val="en-NZ"/>
              </w:rPr>
            </w:pPr>
            <w:r w:rsidRPr="00626D29">
              <w:rPr>
                <w:sz w:val="22"/>
                <w:szCs w:val="22"/>
                <w:lang w:val="en-NZ"/>
              </w:rPr>
              <w:t>Some submitters suggested that redeemable preference shares and certain classes of derivatives should also be carved out.</w:t>
            </w:r>
          </w:p>
        </w:tc>
        <w:tc>
          <w:tcPr>
            <w:tcW w:w="5284" w:type="dxa"/>
          </w:tcPr>
          <w:p w:rsidR="00B4540D" w:rsidRPr="00626D29" w:rsidRDefault="00B4540D" w:rsidP="00B4540D">
            <w:pPr>
              <w:spacing w:before="80" w:after="80"/>
              <w:jc w:val="left"/>
              <w:rPr>
                <w:sz w:val="22"/>
                <w:szCs w:val="22"/>
                <w:lang w:val="en-NZ"/>
              </w:rPr>
            </w:pPr>
            <w:r w:rsidRPr="00626D29">
              <w:rPr>
                <w:sz w:val="22"/>
                <w:szCs w:val="22"/>
                <w:lang w:val="en-NZ"/>
              </w:rPr>
              <w:t xml:space="preserve">The Government has agreed to this proposal in principle.  Officials will consult further on whether certain types of deferred tax liabilities should </w:t>
            </w:r>
            <w:r w:rsidR="00E024A7" w:rsidRPr="00626D29">
              <w:rPr>
                <w:sz w:val="22"/>
                <w:szCs w:val="22"/>
                <w:lang w:val="en-NZ"/>
              </w:rPr>
              <w:t>be excluded under the new rule.</w:t>
            </w:r>
          </w:p>
        </w:tc>
      </w:tr>
      <w:tr w:rsidR="00B4540D" w:rsidRPr="00626D29" w:rsidTr="00B4540D">
        <w:trPr>
          <w:cantSplit/>
        </w:trPr>
        <w:tc>
          <w:tcPr>
            <w:tcW w:w="4111" w:type="dxa"/>
          </w:tcPr>
          <w:p w:rsidR="00B4540D" w:rsidRPr="00626D29" w:rsidRDefault="00B4540D" w:rsidP="00B4540D">
            <w:pPr>
              <w:spacing w:before="80" w:after="80"/>
              <w:jc w:val="left"/>
              <w:rPr>
                <w:sz w:val="22"/>
                <w:szCs w:val="22"/>
                <w:lang w:val="en-NZ"/>
              </w:rPr>
            </w:pPr>
            <w:r w:rsidRPr="00626D29">
              <w:rPr>
                <w:b/>
                <w:sz w:val="22"/>
                <w:szCs w:val="22"/>
                <w:lang w:val="en-NZ"/>
              </w:rPr>
              <w:lastRenderedPageBreak/>
              <w:t>Infrastructure projects</w:t>
            </w:r>
          </w:p>
          <w:p w:rsidR="00B4540D" w:rsidRPr="00626D29" w:rsidRDefault="00B4540D" w:rsidP="00B4540D">
            <w:pPr>
              <w:spacing w:before="80" w:after="80"/>
              <w:jc w:val="left"/>
              <w:rPr>
                <w:sz w:val="22"/>
                <w:szCs w:val="22"/>
                <w:lang w:val="en-NZ"/>
              </w:rPr>
            </w:pPr>
            <w:r w:rsidRPr="00626D29">
              <w:rPr>
                <w:sz w:val="22"/>
                <w:szCs w:val="22"/>
                <w:lang w:val="en-NZ"/>
              </w:rPr>
              <w:t xml:space="preserve">To exempt certain infrastructure projects funded entirely with third-party limited recourse loans from interest limitation rules. </w:t>
            </w:r>
            <w:r w:rsidR="00E024A7" w:rsidRPr="00626D29">
              <w:rPr>
                <w:sz w:val="22"/>
                <w:szCs w:val="22"/>
                <w:lang w:val="en-NZ"/>
              </w:rPr>
              <w:t xml:space="preserve"> </w:t>
            </w:r>
            <w:r w:rsidRPr="00626D29">
              <w:rPr>
                <w:sz w:val="22"/>
                <w:szCs w:val="22"/>
                <w:lang w:val="en-NZ"/>
              </w:rPr>
              <w:t>This exemption recognises that such funding presents little risk of BEPS.</w:t>
            </w:r>
          </w:p>
        </w:tc>
        <w:tc>
          <w:tcPr>
            <w:tcW w:w="5283" w:type="dxa"/>
          </w:tcPr>
          <w:p w:rsidR="00B4540D" w:rsidRPr="00626D29" w:rsidRDefault="00B4540D" w:rsidP="00B4540D">
            <w:pPr>
              <w:spacing w:before="80" w:after="80"/>
              <w:jc w:val="left"/>
              <w:rPr>
                <w:sz w:val="22"/>
                <w:szCs w:val="22"/>
                <w:lang w:val="en-NZ"/>
              </w:rPr>
            </w:pPr>
            <w:r w:rsidRPr="00626D29">
              <w:rPr>
                <w:sz w:val="22"/>
                <w:szCs w:val="22"/>
                <w:lang w:val="en-NZ"/>
              </w:rPr>
              <w:t>Submitters strongly supported this proposal and wrote that it would make New Zealand a more attractive place for Public Private Partnership (PPP) investment.  Submitters did make several technical submissions, primarily with a focus on ensuring the exemption works with the various commercial structures adopted by PPPs.</w:t>
            </w:r>
          </w:p>
        </w:tc>
        <w:tc>
          <w:tcPr>
            <w:tcW w:w="5284" w:type="dxa"/>
          </w:tcPr>
          <w:p w:rsidR="00B4540D" w:rsidRPr="00626D29" w:rsidRDefault="00B4540D" w:rsidP="00B4540D">
            <w:pPr>
              <w:spacing w:before="80" w:after="80"/>
              <w:jc w:val="left"/>
              <w:rPr>
                <w:sz w:val="22"/>
                <w:szCs w:val="22"/>
                <w:lang w:val="en-NZ"/>
              </w:rPr>
            </w:pPr>
            <w:r w:rsidRPr="00626D29">
              <w:rPr>
                <w:sz w:val="22"/>
                <w:szCs w:val="22"/>
                <w:lang w:val="en-NZ"/>
              </w:rPr>
              <w:t>The Government has agreed to this proposal in principle.  Further consultation with submitters on technical detail is necessary.</w:t>
            </w:r>
          </w:p>
        </w:tc>
      </w:tr>
      <w:tr w:rsidR="00B4540D" w:rsidRPr="00626D29" w:rsidTr="00B4540D">
        <w:trPr>
          <w:cantSplit/>
        </w:trPr>
        <w:tc>
          <w:tcPr>
            <w:tcW w:w="4111" w:type="dxa"/>
          </w:tcPr>
          <w:p w:rsidR="00B4540D" w:rsidRPr="00626D29" w:rsidRDefault="00B4540D" w:rsidP="00B4540D">
            <w:pPr>
              <w:spacing w:before="80" w:after="80"/>
              <w:jc w:val="left"/>
              <w:rPr>
                <w:b/>
                <w:sz w:val="22"/>
                <w:szCs w:val="22"/>
                <w:lang w:val="en-NZ"/>
              </w:rPr>
            </w:pPr>
            <w:r w:rsidRPr="00626D29">
              <w:rPr>
                <w:b/>
                <w:sz w:val="22"/>
                <w:szCs w:val="22"/>
                <w:lang w:val="en-NZ"/>
              </w:rPr>
              <w:t>Removing the net current valuation method for thin capitalisation</w:t>
            </w:r>
          </w:p>
          <w:p w:rsidR="00B4540D" w:rsidRPr="00626D29" w:rsidRDefault="00B4540D" w:rsidP="00B4540D">
            <w:pPr>
              <w:spacing w:before="80" w:after="80"/>
              <w:jc w:val="left"/>
              <w:rPr>
                <w:sz w:val="22"/>
                <w:szCs w:val="22"/>
                <w:lang w:val="en-NZ"/>
              </w:rPr>
            </w:pPr>
            <w:r w:rsidRPr="00626D29">
              <w:rPr>
                <w:sz w:val="22"/>
                <w:szCs w:val="22"/>
                <w:lang w:val="en-NZ"/>
              </w:rPr>
              <w:t>To remove the ability for a company to use a value for an asset for thin capitalisation purposes that is different from what is used for financial reporting purposes, provided the valuation would be allowable under GAA</w:t>
            </w:r>
            <w:r w:rsidR="00B527D9">
              <w:rPr>
                <w:sz w:val="22"/>
                <w:szCs w:val="22"/>
                <w:lang w:val="en-NZ"/>
              </w:rPr>
              <w:t>P</w:t>
            </w:r>
            <w:r w:rsidRPr="00626D29">
              <w:rPr>
                <w:sz w:val="22"/>
                <w:szCs w:val="22"/>
                <w:lang w:val="en-NZ"/>
              </w:rPr>
              <w:t>.</w:t>
            </w:r>
          </w:p>
        </w:tc>
        <w:tc>
          <w:tcPr>
            <w:tcW w:w="5283" w:type="dxa"/>
          </w:tcPr>
          <w:p w:rsidR="00B4540D" w:rsidRPr="00626D29" w:rsidRDefault="00B4540D" w:rsidP="00B4540D">
            <w:pPr>
              <w:spacing w:before="80" w:after="80"/>
              <w:jc w:val="left"/>
              <w:rPr>
                <w:sz w:val="22"/>
                <w:szCs w:val="22"/>
                <w:lang w:val="en-NZ"/>
              </w:rPr>
            </w:pPr>
            <w:r w:rsidRPr="00626D29">
              <w:rPr>
                <w:sz w:val="22"/>
                <w:szCs w:val="22"/>
                <w:lang w:val="en-NZ"/>
              </w:rPr>
              <w:t>Submitters did not support this change, arguing it would result in high compliance costs.</w:t>
            </w:r>
          </w:p>
        </w:tc>
        <w:tc>
          <w:tcPr>
            <w:tcW w:w="5284" w:type="dxa"/>
          </w:tcPr>
          <w:p w:rsidR="00B4540D" w:rsidRPr="00626D29" w:rsidRDefault="00B4540D" w:rsidP="00E34380">
            <w:pPr>
              <w:spacing w:before="80" w:after="80"/>
              <w:jc w:val="left"/>
              <w:rPr>
                <w:sz w:val="22"/>
                <w:szCs w:val="22"/>
                <w:lang w:val="en-NZ"/>
              </w:rPr>
            </w:pPr>
            <w:r w:rsidRPr="00626D29">
              <w:rPr>
                <w:sz w:val="22"/>
                <w:szCs w:val="22"/>
                <w:lang w:val="en-NZ"/>
              </w:rPr>
              <w:t>The Government has agreed to modify this proposal to allow taxpayers to retain the ability to use asset values for thin capitalisation that differ from those reported in their financial accounts, but will develop clearer legislative requirements for when this option is u</w:t>
            </w:r>
            <w:r w:rsidR="00E34380">
              <w:rPr>
                <w:sz w:val="22"/>
                <w:szCs w:val="22"/>
                <w:lang w:val="en-NZ"/>
              </w:rPr>
              <w:t>s</w:t>
            </w:r>
            <w:r w:rsidRPr="00626D29">
              <w:rPr>
                <w:sz w:val="22"/>
                <w:szCs w:val="22"/>
                <w:lang w:val="en-NZ"/>
              </w:rPr>
              <w:t>ed.</w:t>
            </w:r>
          </w:p>
        </w:tc>
      </w:tr>
      <w:tr w:rsidR="00B4540D" w:rsidRPr="00626D29" w:rsidTr="00B4540D">
        <w:trPr>
          <w:cantSplit/>
        </w:trPr>
        <w:tc>
          <w:tcPr>
            <w:tcW w:w="4111" w:type="dxa"/>
          </w:tcPr>
          <w:p w:rsidR="00B4540D" w:rsidRPr="00626D29" w:rsidRDefault="00B4540D" w:rsidP="00B4540D">
            <w:pPr>
              <w:spacing w:before="80" w:after="80"/>
              <w:jc w:val="left"/>
              <w:rPr>
                <w:b/>
                <w:sz w:val="22"/>
                <w:szCs w:val="22"/>
                <w:lang w:val="en-NZ"/>
              </w:rPr>
            </w:pPr>
            <w:r w:rsidRPr="00626D29">
              <w:rPr>
                <w:b/>
                <w:sz w:val="22"/>
                <w:szCs w:val="22"/>
                <w:lang w:val="en-NZ"/>
              </w:rPr>
              <w:t>Removing the option to measure debt and assets at year-end for thin capitalisation</w:t>
            </w:r>
          </w:p>
          <w:p w:rsidR="00B4540D" w:rsidRPr="00626D29" w:rsidRDefault="00B4540D" w:rsidP="00B4540D">
            <w:pPr>
              <w:spacing w:before="80" w:after="80"/>
              <w:jc w:val="left"/>
              <w:rPr>
                <w:sz w:val="22"/>
                <w:szCs w:val="22"/>
                <w:lang w:val="en-NZ"/>
              </w:rPr>
            </w:pPr>
            <w:r w:rsidRPr="00626D29">
              <w:rPr>
                <w:sz w:val="22"/>
                <w:szCs w:val="22"/>
                <w:lang w:val="en-NZ"/>
              </w:rPr>
              <w:t>To require debt and assets to be valued for thin capitalisation based on average values at t</w:t>
            </w:r>
            <w:r w:rsidR="00E024A7" w:rsidRPr="00626D29">
              <w:rPr>
                <w:sz w:val="22"/>
                <w:szCs w:val="22"/>
                <w:lang w:val="en-NZ"/>
              </w:rPr>
              <w:t>he end of every quarter or day.</w:t>
            </w:r>
          </w:p>
        </w:tc>
        <w:tc>
          <w:tcPr>
            <w:tcW w:w="5283" w:type="dxa"/>
          </w:tcPr>
          <w:p w:rsidR="00B4540D" w:rsidRPr="00626D29" w:rsidRDefault="00B4540D" w:rsidP="00B4540D">
            <w:pPr>
              <w:spacing w:before="80" w:after="80"/>
              <w:jc w:val="left"/>
              <w:rPr>
                <w:sz w:val="22"/>
                <w:szCs w:val="22"/>
                <w:lang w:val="en-NZ"/>
              </w:rPr>
            </w:pPr>
            <w:r w:rsidRPr="00626D29">
              <w:rPr>
                <w:sz w:val="22"/>
                <w:szCs w:val="22"/>
                <w:lang w:val="en-NZ"/>
              </w:rPr>
              <w:t>Submitters did not support this change, arguing it would result in high compliance costs.</w:t>
            </w:r>
          </w:p>
        </w:tc>
        <w:tc>
          <w:tcPr>
            <w:tcW w:w="5284" w:type="dxa"/>
          </w:tcPr>
          <w:p w:rsidR="00B4540D" w:rsidRPr="00626D29" w:rsidRDefault="00B4540D" w:rsidP="00B4540D">
            <w:pPr>
              <w:spacing w:before="80" w:after="80"/>
              <w:jc w:val="left"/>
              <w:rPr>
                <w:sz w:val="22"/>
                <w:szCs w:val="22"/>
                <w:lang w:val="en-NZ"/>
              </w:rPr>
            </w:pPr>
            <w:r w:rsidRPr="00626D29">
              <w:rPr>
                <w:sz w:val="22"/>
                <w:szCs w:val="22"/>
                <w:lang w:val="en-NZ"/>
              </w:rPr>
              <w:t xml:space="preserve">This proposal will not proceed. </w:t>
            </w:r>
            <w:r w:rsidR="00E024A7" w:rsidRPr="00626D29">
              <w:rPr>
                <w:sz w:val="22"/>
                <w:szCs w:val="22"/>
                <w:lang w:val="en-NZ"/>
              </w:rPr>
              <w:t xml:space="preserve"> </w:t>
            </w:r>
            <w:r w:rsidRPr="00626D29">
              <w:rPr>
                <w:sz w:val="22"/>
                <w:szCs w:val="22"/>
                <w:lang w:val="en-NZ"/>
              </w:rPr>
              <w:t>The Government has instead agreed to develop an anti-avoidance rule that applies when a taxpayer substantially repays a loan just before the end of the year.</w:t>
            </w:r>
          </w:p>
        </w:tc>
      </w:tr>
    </w:tbl>
    <w:p w:rsidR="00463F8C" w:rsidRPr="00E40119" w:rsidRDefault="00463F8C" w:rsidP="00463F8C">
      <w:pPr>
        <w:pStyle w:val="Chapter5"/>
        <w:numPr>
          <w:ilvl w:val="0"/>
          <w:numId w:val="0"/>
        </w:numPr>
        <w:ind w:left="851" w:hanging="851"/>
        <w:jc w:val="left"/>
      </w:pPr>
    </w:p>
    <w:p w:rsidR="00B4540D" w:rsidRPr="00E40119" w:rsidRDefault="00B4540D">
      <w:pPr>
        <w:jc w:val="left"/>
        <w:rPr>
          <w:lang w:val="en-NZ"/>
        </w:rPr>
      </w:pPr>
      <w:r w:rsidRPr="00E40119">
        <w:rPr>
          <w:lang w:val="en-NZ"/>
        </w:rPr>
        <w:br w:type="page"/>
      </w:r>
    </w:p>
    <w:p w:rsidR="008C28F7" w:rsidRPr="00E40119" w:rsidRDefault="008C28F7" w:rsidP="003272EC">
      <w:pPr>
        <w:pStyle w:val="Heading1"/>
      </w:pPr>
      <w:bookmarkStart w:id="10" w:name="_Toc490467264"/>
      <w:r w:rsidRPr="00E40119">
        <w:lastRenderedPageBreak/>
        <w:t>Transfer pricing and permanent establishment</w:t>
      </w:r>
      <w:r w:rsidR="00E34380">
        <w:rPr>
          <w:caps/>
        </w:rPr>
        <w:t xml:space="preserve"> </w:t>
      </w:r>
      <w:r w:rsidRPr="00E40119">
        <w:t>avoidance</w:t>
      </w:r>
      <w:bookmarkEnd w:id="10"/>
    </w:p>
    <w:p w:rsidR="00B4540D" w:rsidRDefault="00B4540D" w:rsidP="00463F8C">
      <w:pPr>
        <w:pStyle w:val="Chapter5"/>
        <w:numPr>
          <w:ilvl w:val="0"/>
          <w:numId w:val="0"/>
        </w:numPr>
        <w:ind w:left="851" w:hanging="851"/>
        <w:jc w:val="left"/>
      </w:pPr>
    </w:p>
    <w:p w:rsidR="007465AB" w:rsidRDefault="007465AB" w:rsidP="00463F8C">
      <w:pPr>
        <w:pStyle w:val="Chapter5"/>
        <w:numPr>
          <w:ilvl w:val="0"/>
          <w:numId w:val="0"/>
        </w:numPr>
        <w:ind w:left="851" w:hanging="851"/>
        <w:jc w:val="left"/>
      </w:pPr>
    </w:p>
    <w:p w:rsidR="00626D29" w:rsidRDefault="00DE1D76" w:rsidP="00DE1D76">
      <w:pPr>
        <w:pStyle w:val="Chapter5"/>
        <w:numPr>
          <w:ilvl w:val="0"/>
          <w:numId w:val="0"/>
        </w:numPr>
        <w:jc w:val="left"/>
      </w:pPr>
      <w:r>
        <w:t xml:space="preserve">The Cabinet paper with </w:t>
      </w:r>
      <w:r w:rsidRPr="00DE1D76">
        <w:t xml:space="preserve">the details of all the policy decisions </w:t>
      </w:r>
      <w:r>
        <w:t>is available at</w:t>
      </w:r>
      <w:r w:rsidR="009E0D89">
        <w:t xml:space="preserve"> http</w:t>
      </w:r>
      <w:r w:rsidR="009E0D89" w:rsidRPr="009E0D89">
        <w:t>://taxpolicy.ird.govt.nz/publications/2017-other-beps/17-cabinet-paper-transfer-pricing</w:t>
      </w:r>
    </w:p>
    <w:p w:rsidR="009E0D89" w:rsidRPr="00E40119" w:rsidRDefault="009E0D89" w:rsidP="00463F8C">
      <w:pPr>
        <w:pStyle w:val="Chapter5"/>
        <w:numPr>
          <w:ilvl w:val="0"/>
          <w:numId w:val="0"/>
        </w:numPr>
        <w:ind w:left="851" w:hanging="851"/>
        <w:jc w:val="left"/>
      </w:pPr>
    </w:p>
    <w:tbl>
      <w:tblPr>
        <w:tblStyle w:val="TableGrid"/>
        <w:tblW w:w="0" w:type="auto"/>
        <w:tblInd w:w="108" w:type="dxa"/>
        <w:tblLook w:val="0620" w:firstRow="1" w:lastRow="0" w:firstColumn="0" w:lastColumn="0" w:noHBand="1" w:noVBand="1"/>
      </w:tblPr>
      <w:tblGrid>
        <w:gridCol w:w="4111"/>
        <w:gridCol w:w="5283"/>
        <w:gridCol w:w="5284"/>
      </w:tblGrid>
      <w:tr w:rsidR="008C28F7" w:rsidRPr="00717358" w:rsidTr="00E462D6">
        <w:trPr>
          <w:cantSplit/>
          <w:tblHeader/>
        </w:trPr>
        <w:tc>
          <w:tcPr>
            <w:tcW w:w="4111" w:type="dxa"/>
          </w:tcPr>
          <w:p w:rsidR="00B4540D" w:rsidRPr="00717358" w:rsidRDefault="00B4540D" w:rsidP="008C28F7">
            <w:pPr>
              <w:spacing w:before="120" w:after="120"/>
              <w:jc w:val="left"/>
              <w:rPr>
                <w:b/>
                <w:sz w:val="22"/>
                <w:szCs w:val="22"/>
                <w:lang w:val="en-NZ"/>
              </w:rPr>
            </w:pPr>
            <w:r w:rsidRPr="00717358">
              <w:rPr>
                <w:b/>
                <w:sz w:val="22"/>
                <w:szCs w:val="22"/>
                <w:lang w:val="en-NZ"/>
              </w:rPr>
              <w:t>Proposal</w:t>
            </w:r>
          </w:p>
        </w:tc>
        <w:tc>
          <w:tcPr>
            <w:tcW w:w="5283" w:type="dxa"/>
          </w:tcPr>
          <w:p w:rsidR="00B4540D" w:rsidRPr="00717358" w:rsidRDefault="00B4540D" w:rsidP="008C28F7">
            <w:pPr>
              <w:spacing w:before="120" w:after="120"/>
              <w:jc w:val="left"/>
              <w:rPr>
                <w:b/>
                <w:sz w:val="22"/>
                <w:szCs w:val="22"/>
                <w:lang w:val="en-NZ"/>
              </w:rPr>
            </w:pPr>
            <w:r w:rsidRPr="00717358">
              <w:rPr>
                <w:b/>
                <w:sz w:val="22"/>
                <w:szCs w:val="22"/>
                <w:lang w:val="en-NZ"/>
              </w:rPr>
              <w:t>Summary of submissions</w:t>
            </w:r>
          </w:p>
        </w:tc>
        <w:tc>
          <w:tcPr>
            <w:tcW w:w="5284" w:type="dxa"/>
          </w:tcPr>
          <w:p w:rsidR="00B4540D" w:rsidRPr="00717358" w:rsidRDefault="00B4540D" w:rsidP="008C28F7">
            <w:pPr>
              <w:spacing w:before="120" w:after="120"/>
              <w:jc w:val="left"/>
              <w:rPr>
                <w:b/>
                <w:sz w:val="22"/>
                <w:szCs w:val="22"/>
                <w:lang w:val="en-NZ"/>
              </w:rPr>
            </w:pPr>
            <w:r w:rsidRPr="00717358">
              <w:rPr>
                <w:b/>
                <w:sz w:val="22"/>
                <w:szCs w:val="22"/>
                <w:lang w:val="en-NZ"/>
              </w:rPr>
              <w:t>Final decision</w:t>
            </w:r>
          </w:p>
        </w:tc>
      </w:tr>
      <w:tr w:rsidR="00B4540D" w:rsidRPr="00717358" w:rsidTr="00E462D6">
        <w:tblPrEx>
          <w:tblLook w:val="04A0" w:firstRow="1" w:lastRow="0" w:firstColumn="1" w:lastColumn="0" w:noHBand="0" w:noVBand="1"/>
        </w:tblPrEx>
        <w:trPr>
          <w:cantSplit/>
        </w:trPr>
        <w:tc>
          <w:tcPr>
            <w:tcW w:w="4111" w:type="dxa"/>
          </w:tcPr>
          <w:p w:rsidR="00B4540D" w:rsidRPr="00717358" w:rsidRDefault="00B4540D" w:rsidP="008C28F7">
            <w:pPr>
              <w:spacing w:before="80" w:after="80"/>
              <w:jc w:val="left"/>
              <w:rPr>
                <w:b/>
                <w:sz w:val="22"/>
                <w:szCs w:val="22"/>
                <w:lang w:val="en-NZ"/>
              </w:rPr>
            </w:pPr>
            <w:r w:rsidRPr="00717358">
              <w:rPr>
                <w:b/>
                <w:sz w:val="22"/>
                <w:szCs w:val="22"/>
                <w:lang w:val="en-NZ"/>
              </w:rPr>
              <w:t>P</w:t>
            </w:r>
            <w:r w:rsidR="0040117C">
              <w:rPr>
                <w:b/>
                <w:sz w:val="22"/>
                <w:szCs w:val="22"/>
                <w:lang w:val="en-NZ"/>
              </w:rPr>
              <w:t>ermanent establishment</w:t>
            </w:r>
            <w:r w:rsidRPr="00717358">
              <w:rPr>
                <w:b/>
                <w:sz w:val="22"/>
                <w:szCs w:val="22"/>
                <w:lang w:val="en-NZ"/>
              </w:rPr>
              <w:t xml:space="preserve"> avoidance rule</w:t>
            </w:r>
          </w:p>
          <w:p w:rsidR="00B4540D" w:rsidRPr="00717358" w:rsidRDefault="00B4540D" w:rsidP="008C28F7">
            <w:pPr>
              <w:spacing w:before="80" w:after="80"/>
              <w:jc w:val="left"/>
              <w:rPr>
                <w:sz w:val="22"/>
                <w:szCs w:val="22"/>
                <w:lang w:val="en-NZ"/>
              </w:rPr>
            </w:pPr>
            <w:r w:rsidRPr="00717358">
              <w:rPr>
                <w:sz w:val="22"/>
                <w:szCs w:val="22"/>
                <w:lang w:val="en-NZ"/>
              </w:rPr>
              <w:t>The discussion document consulted on a proposed PE avoidance rule to prevent non-residents from structuring their affairs to avoid having a taxable presence (a “permanent establishment” or “PE”) in New Zealand where one exists in substance.</w:t>
            </w:r>
          </w:p>
        </w:tc>
        <w:tc>
          <w:tcPr>
            <w:tcW w:w="5283" w:type="dxa"/>
          </w:tcPr>
          <w:p w:rsidR="00B4540D" w:rsidRPr="00717358" w:rsidRDefault="00B4540D" w:rsidP="008C28F7">
            <w:pPr>
              <w:spacing w:before="80" w:after="80"/>
              <w:jc w:val="left"/>
              <w:rPr>
                <w:sz w:val="22"/>
                <w:szCs w:val="22"/>
                <w:lang w:val="en-NZ"/>
              </w:rPr>
            </w:pPr>
            <w:r w:rsidRPr="00717358">
              <w:rPr>
                <w:sz w:val="22"/>
                <w:szCs w:val="22"/>
                <w:lang w:val="en-NZ"/>
              </w:rPr>
              <w:t>The majority of submitters considered that the PE avoidance rule should be more narrowly targeted.  They said the rule’s proposed scope:</w:t>
            </w:r>
          </w:p>
          <w:p w:rsidR="00B4540D" w:rsidRPr="00717358" w:rsidRDefault="00B527D9" w:rsidP="008C28F7">
            <w:pPr>
              <w:pStyle w:val="ListParagraph"/>
              <w:numPr>
                <w:ilvl w:val="3"/>
                <w:numId w:val="29"/>
              </w:numPr>
              <w:spacing w:before="80" w:after="80"/>
              <w:ind w:left="357" w:hanging="357"/>
              <w:contextualSpacing w:val="0"/>
              <w:jc w:val="left"/>
              <w:rPr>
                <w:sz w:val="22"/>
                <w:szCs w:val="22"/>
                <w:lang w:val="en-NZ"/>
              </w:rPr>
            </w:pPr>
            <w:proofErr w:type="gramStart"/>
            <w:r>
              <w:rPr>
                <w:sz w:val="22"/>
                <w:szCs w:val="22"/>
                <w:lang w:val="en-NZ"/>
              </w:rPr>
              <w:t>w</w:t>
            </w:r>
            <w:r w:rsidR="00B4540D" w:rsidRPr="00717358">
              <w:rPr>
                <w:sz w:val="22"/>
                <w:szCs w:val="22"/>
                <w:lang w:val="en-NZ"/>
              </w:rPr>
              <w:t>ould</w:t>
            </w:r>
            <w:proofErr w:type="gramEnd"/>
            <w:r w:rsidR="00B4540D" w:rsidRPr="00717358">
              <w:rPr>
                <w:sz w:val="22"/>
                <w:szCs w:val="22"/>
                <w:lang w:val="en-NZ"/>
              </w:rPr>
              <w:t xml:space="preserve"> widen the PE definition in substance rather than just prevent its abuse.  This could breach our DTAs and res</w:t>
            </w:r>
            <w:r w:rsidR="00E024A7" w:rsidRPr="00717358">
              <w:rPr>
                <w:sz w:val="22"/>
                <w:szCs w:val="22"/>
                <w:lang w:val="en-NZ"/>
              </w:rPr>
              <w:t>ult in double taxation.</w:t>
            </w:r>
          </w:p>
          <w:p w:rsidR="00B4540D" w:rsidRPr="00717358" w:rsidRDefault="00B527D9" w:rsidP="008C28F7">
            <w:pPr>
              <w:pStyle w:val="ListParagraph"/>
              <w:numPr>
                <w:ilvl w:val="3"/>
                <w:numId w:val="29"/>
              </w:numPr>
              <w:spacing w:before="80" w:after="80"/>
              <w:ind w:left="357" w:hanging="357"/>
              <w:contextualSpacing w:val="0"/>
              <w:jc w:val="left"/>
              <w:rPr>
                <w:sz w:val="22"/>
                <w:szCs w:val="22"/>
                <w:lang w:val="en-NZ"/>
              </w:rPr>
            </w:pPr>
            <w:proofErr w:type="gramStart"/>
            <w:r>
              <w:rPr>
                <w:sz w:val="22"/>
                <w:szCs w:val="22"/>
                <w:lang w:val="en-NZ"/>
              </w:rPr>
              <w:t>w</w:t>
            </w:r>
            <w:r w:rsidR="00B4540D" w:rsidRPr="00717358">
              <w:rPr>
                <w:sz w:val="22"/>
                <w:szCs w:val="22"/>
                <w:lang w:val="en-NZ"/>
              </w:rPr>
              <w:t>ould</w:t>
            </w:r>
            <w:proofErr w:type="gramEnd"/>
            <w:r w:rsidR="00B4540D" w:rsidRPr="00717358">
              <w:rPr>
                <w:sz w:val="22"/>
                <w:szCs w:val="22"/>
                <w:lang w:val="en-NZ"/>
              </w:rPr>
              <w:t xml:space="preserve"> capture ordinary commercial arrangements and discourage foreign investment.</w:t>
            </w:r>
          </w:p>
        </w:tc>
        <w:tc>
          <w:tcPr>
            <w:tcW w:w="5284" w:type="dxa"/>
          </w:tcPr>
          <w:p w:rsidR="00B4540D" w:rsidRPr="00717358" w:rsidRDefault="00B4540D" w:rsidP="008C28F7">
            <w:pPr>
              <w:spacing w:before="80" w:after="80"/>
              <w:jc w:val="left"/>
              <w:rPr>
                <w:sz w:val="22"/>
                <w:szCs w:val="22"/>
                <w:lang w:val="en-NZ"/>
              </w:rPr>
            </w:pPr>
            <w:r w:rsidRPr="00717358">
              <w:rPr>
                <w:sz w:val="22"/>
                <w:szCs w:val="22"/>
                <w:lang w:val="en-NZ"/>
              </w:rPr>
              <w:t xml:space="preserve">The Government has agreed that the rule should be more narrowly targeted at avoidance arrangements. </w:t>
            </w:r>
            <w:r w:rsidR="00E024A7" w:rsidRPr="00717358">
              <w:rPr>
                <w:sz w:val="22"/>
                <w:szCs w:val="22"/>
                <w:lang w:val="en-NZ"/>
              </w:rPr>
              <w:t xml:space="preserve"> </w:t>
            </w:r>
            <w:r w:rsidRPr="00717358">
              <w:rPr>
                <w:sz w:val="22"/>
                <w:szCs w:val="22"/>
                <w:lang w:val="en-NZ"/>
              </w:rPr>
              <w:t>The Government will consult further with submitters on options to achieve this result.</w:t>
            </w:r>
          </w:p>
        </w:tc>
      </w:tr>
      <w:tr w:rsidR="00B4540D" w:rsidRPr="00717358" w:rsidTr="00E462D6">
        <w:tblPrEx>
          <w:tblLook w:val="04A0" w:firstRow="1" w:lastRow="0" w:firstColumn="1" w:lastColumn="0" w:noHBand="0" w:noVBand="1"/>
        </w:tblPrEx>
        <w:trPr>
          <w:cantSplit/>
        </w:trPr>
        <w:tc>
          <w:tcPr>
            <w:tcW w:w="4111" w:type="dxa"/>
          </w:tcPr>
          <w:p w:rsidR="00B4540D" w:rsidRPr="00717358" w:rsidRDefault="00B4540D" w:rsidP="008C28F7">
            <w:pPr>
              <w:spacing w:before="80" w:after="80"/>
              <w:jc w:val="left"/>
              <w:rPr>
                <w:b/>
                <w:sz w:val="22"/>
                <w:szCs w:val="22"/>
                <w:lang w:val="en-NZ"/>
              </w:rPr>
            </w:pPr>
            <w:r w:rsidRPr="00717358">
              <w:rPr>
                <w:b/>
                <w:sz w:val="22"/>
                <w:szCs w:val="22"/>
                <w:lang w:val="en-NZ"/>
              </w:rPr>
              <w:t>Anti-avoidance source rule</w:t>
            </w:r>
          </w:p>
          <w:p w:rsidR="00B4540D" w:rsidRPr="00717358" w:rsidRDefault="00B4540D" w:rsidP="008C28F7">
            <w:pPr>
              <w:spacing w:before="80" w:after="80"/>
              <w:jc w:val="left"/>
              <w:rPr>
                <w:sz w:val="22"/>
                <w:szCs w:val="22"/>
                <w:lang w:val="en-NZ"/>
              </w:rPr>
            </w:pPr>
            <w:r w:rsidRPr="00717358">
              <w:rPr>
                <w:sz w:val="22"/>
                <w:szCs w:val="22"/>
                <w:lang w:val="en-NZ"/>
              </w:rPr>
              <w:t>To introduce a rule that would deem a non-resident’s income to have a source in New Zealand (and therefore give us a domestic law taxing right) if it had a New Zealand source, treating the non-resident’s multinational group as a single entity.</w:t>
            </w:r>
          </w:p>
        </w:tc>
        <w:tc>
          <w:tcPr>
            <w:tcW w:w="5283" w:type="dxa"/>
          </w:tcPr>
          <w:p w:rsidR="00B4540D" w:rsidRPr="00717358" w:rsidRDefault="00B4540D" w:rsidP="008C28F7">
            <w:pPr>
              <w:spacing w:before="80" w:after="80"/>
              <w:jc w:val="left"/>
              <w:rPr>
                <w:sz w:val="22"/>
                <w:szCs w:val="22"/>
                <w:lang w:val="en-NZ"/>
              </w:rPr>
            </w:pPr>
            <w:r w:rsidRPr="00717358">
              <w:rPr>
                <w:sz w:val="22"/>
                <w:szCs w:val="22"/>
                <w:lang w:val="en-NZ"/>
              </w:rPr>
              <w:t>Submitters considered that the proposed anti-avoidance source rule was hard to understand, too broad and should be more targeted at the perceived problem.</w:t>
            </w:r>
          </w:p>
        </w:tc>
        <w:tc>
          <w:tcPr>
            <w:tcW w:w="5284" w:type="dxa"/>
          </w:tcPr>
          <w:p w:rsidR="00B4540D" w:rsidRPr="00717358" w:rsidRDefault="00B4540D" w:rsidP="008C28F7">
            <w:pPr>
              <w:spacing w:before="80" w:after="80"/>
              <w:jc w:val="left"/>
              <w:rPr>
                <w:sz w:val="22"/>
                <w:szCs w:val="22"/>
                <w:lang w:val="en-NZ"/>
              </w:rPr>
            </w:pPr>
            <w:r w:rsidRPr="00717358">
              <w:rPr>
                <w:sz w:val="22"/>
                <w:szCs w:val="22"/>
                <w:lang w:val="en-NZ"/>
              </w:rPr>
              <w:t xml:space="preserve">The Government has agreed that the rule should be more narrowly targeted. </w:t>
            </w:r>
            <w:r w:rsidR="00E024A7" w:rsidRPr="00717358">
              <w:rPr>
                <w:sz w:val="22"/>
                <w:szCs w:val="22"/>
                <w:lang w:val="en-NZ"/>
              </w:rPr>
              <w:t xml:space="preserve"> </w:t>
            </w:r>
            <w:r w:rsidRPr="00717358">
              <w:rPr>
                <w:sz w:val="22"/>
                <w:szCs w:val="22"/>
                <w:lang w:val="en-NZ"/>
              </w:rPr>
              <w:t>The modified rule will broadly provide that, where another group member carries on a non-resident’s business in New Zealand, the non-resident will be deemed to carry on that business itself for the purpose of determining whether its income from New Zealand customers has a New Zealand source.</w:t>
            </w:r>
          </w:p>
        </w:tc>
      </w:tr>
      <w:tr w:rsidR="00B4540D" w:rsidRPr="00717358" w:rsidTr="00E462D6">
        <w:tblPrEx>
          <w:tblLook w:val="04A0" w:firstRow="1" w:lastRow="0" w:firstColumn="1" w:lastColumn="0" w:noHBand="0" w:noVBand="1"/>
        </w:tblPrEx>
        <w:trPr>
          <w:cantSplit/>
        </w:trPr>
        <w:tc>
          <w:tcPr>
            <w:tcW w:w="4111" w:type="dxa"/>
          </w:tcPr>
          <w:p w:rsidR="00B4540D" w:rsidRPr="00717358" w:rsidRDefault="00B4540D" w:rsidP="008C28F7">
            <w:pPr>
              <w:spacing w:before="80" w:after="80"/>
              <w:jc w:val="left"/>
              <w:rPr>
                <w:b/>
                <w:sz w:val="22"/>
                <w:szCs w:val="22"/>
                <w:lang w:val="en-NZ"/>
              </w:rPr>
            </w:pPr>
            <w:r w:rsidRPr="00717358">
              <w:rPr>
                <w:b/>
                <w:sz w:val="22"/>
                <w:szCs w:val="22"/>
                <w:lang w:val="en-NZ"/>
              </w:rPr>
              <w:lastRenderedPageBreak/>
              <w:t>Life insurance</w:t>
            </w:r>
          </w:p>
          <w:p w:rsidR="00B4540D" w:rsidRPr="00717358" w:rsidRDefault="00B4540D" w:rsidP="00B527D9">
            <w:pPr>
              <w:spacing w:before="80" w:after="80"/>
              <w:jc w:val="left"/>
              <w:rPr>
                <w:sz w:val="22"/>
                <w:szCs w:val="22"/>
                <w:lang w:val="en-NZ"/>
              </w:rPr>
            </w:pPr>
            <w:r w:rsidRPr="00717358">
              <w:rPr>
                <w:sz w:val="22"/>
                <w:szCs w:val="22"/>
                <w:lang w:val="en-NZ"/>
              </w:rPr>
              <w:t>The discussion document proposed an amendment to the I</w:t>
            </w:r>
            <w:r w:rsidR="00B527D9">
              <w:rPr>
                <w:sz w:val="22"/>
                <w:szCs w:val="22"/>
                <w:lang w:val="en-NZ"/>
              </w:rPr>
              <w:t>ncome Tax Act</w:t>
            </w:r>
            <w:r w:rsidRPr="00717358">
              <w:rPr>
                <w:sz w:val="22"/>
                <w:szCs w:val="22"/>
                <w:lang w:val="en-NZ"/>
              </w:rPr>
              <w:t xml:space="preserve"> 2007 to specifically provide that no deduction is available for the reinsurance of life policies if the premium income on that policy is not taxable in New Zealand (including under a DTA). </w:t>
            </w:r>
            <w:r w:rsidR="00E024A7" w:rsidRPr="00717358">
              <w:rPr>
                <w:sz w:val="22"/>
                <w:szCs w:val="22"/>
                <w:lang w:val="en-NZ"/>
              </w:rPr>
              <w:t xml:space="preserve"> </w:t>
            </w:r>
            <w:r w:rsidRPr="00717358">
              <w:rPr>
                <w:sz w:val="22"/>
                <w:szCs w:val="22"/>
                <w:lang w:val="en-NZ"/>
              </w:rPr>
              <w:t xml:space="preserve">An amendment to the definition of a FIF was also proposed to specifically provide that New Zealand residents are subject to the FIF rules </w:t>
            </w:r>
            <w:r w:rsidR="00E34380">
              <w:rPr>
                <w:sz w:val="22"/>
                <w:szCs w:val="22"/>
                <w:lang w:val="en-NZ"/>
              </w:rPr>
              <w:t>for</w:t>
            </w:r>
            <w:r w:rsidRPr="00717358">
              <w:rPr>
                <w:sz w:val="22"/>
                <w:szCs w:val="22"/>
                <w:lang w:val="en-NZ"/>
              </w:rPr>
              <w:t xml:space="preserve"> any policies that are not subject to New Zealand tax under the life insurance rules or any applicable DTA (currently life policies are not subject to the FIF rules if they are offered or entered into in New Zealand).</w:t>
            </w:r>
          </w:p>
        </w:tc>
        <w:tc>
          <w:tcPr>
            <w:tcW w:w="5283" w:type="dxa"/>
          </w:tcPr>
          <w:p w:rsidR="00B4540D" w:rsidRPr="00717358" w:rsidRDefault="00B4540D" w:rsidP="008C28F7">
            <w:pPr>
              <w:spacing w:before="80" w:after="80"/>
              <w:jc w:val="left"/>
              <w:rPr>
                <w:sz w:val="22"/>
                <w:szCs w:val="22"/>
                <w:lang w:val="en-NZ"/>
              </w:rPr>
            </w:pPr>
            <w:r w:rsidRPr="00717358">
              <w:rPr>
                <w:sz w:val="22"/>
                <w:szCs w:val="22"/>
                <w:lang w:val="en-NZ"/>
              </w:rPr>
              <w:t>Submitters considered that the life insurance proposals represented an unfair and unilateral reconstruction of the tax treatment of life insurance premiums and therefore should not proceed.</w:t>
            </w:r>
          </w:p>
        </w:tc>
        <w:tc>
          <w:tcPr>
            <w:tcW w:w="5284" w:type="dxa"/>
          </w:tcPr>
          <w:p w:rsidR="00B4540D" w:rsidRPr="00717358" w:rsidRDefault="00B4540D" w:rsidP="00E34380">
            <w:pPr>
              <w:spacing w:before="80" w:after="80"/>
              <w:jc w:val="left"/>
              <w:rPr>
                <w:sz w:val="22"/>
                <w:szCs w:val="22"/>
                <w:lang w:val="en-NZ"/>
              </w:rPr>
            </w:pPr>
            <w:r w:rsidRPr="00717358">
              <w:rPr>
                <w:sz w:val="22"/>
                <w:szCs w:val="22"/>
                <w:lang w:val="en-NZ"/>
              </w:rPr>
              <w:t xml:space="preserve">The Government considers that the proposed reinsurance amendments are necessary to ensure that the rules apply as intended and to protect the tax base.  However, as there is little revenue at risk </w:t>
            </w:r>
            <w:r w:rsidR="00E34380">
              <w:rPr>
                <w:sz w:val="22"/>
                <w:szCs w:val="22"/>
                <w:lang w:val="en-NZ"/>
              </w:rPr>
              <w:t>for</w:t>
            </w:r>
            <w:r w:rsidRPr="00717358">
              <w:rPr>
                <w:sz w:val="22"/>
                <w:szCs w:val="22"/>
                <w:lang w:val="en-NZ"/>
              </w:rPr>
              <w:t xml:space="preserve"> the FIF amendments and a significant likelihood of accidental non-compliance, the Government has decided that the FIF-related amendments should not proceed.</w:t>
            </w:r>
          </w:p>
        </w:tc>
      </w:tr>
      <w:tr w:rsidR="00B4540D" w:rsidRPr="00717358" w:rsidTr="00E462D6">
        <w:tblPrEx>
          <w:tblLook w:val="04A0" w:firstRow="1" w:lastRow="0" w:firstColumn="1" w:lastColumn="0" w:noHBand="0" w:noVBand="1"/>
        </w:tblPrEx>
        <w:trPr>
          <w:cantSplit/>
        </w:trPr>
        <w:tc>
          <w:tcPr>
            <w:tcW w:w="4111" w:type="dxa"/>
          </w:tcPr>
          <w:p w:rsidR="00B4540D" w:rsidRPr="00717358" w:rsidRDefault="00B4540D" w:rsidP="008C28F7">
            <w:pPr>
              <w:spacing w:before="80" w:after="80"/>
              <w:jc w:val="left"/>
              <w:rPr>
                <w:b/>
                <w:sz w:val="22"/>
                <w:szCs w:val="22"/>
                <w:lang w:val="en-NZ"/>
              </w:rPr>
            </w:pPr>
            <w:r w:rsidRPr="00717358">
              <w:rPr>
                <w:b/>
                <w:sz w:val="22"/>
                <w:szCs w:val="22"/>
                <w:lang w:val="en-NZ"/>
              </w:rPr>
              <w:t>Time bar for transfer pricing</w:t>
            </w:r>
          </w:p>
          <w:p w:rsidR="00B4540D" w:rsidRPr="00717358" w:rsidRDefault="00B4540D" w:rsidP="00E34380">
            <w:pPr>
              <w:spacing w:before="80" w:after="80"/>
              <w:jc w:val="left"/>
              <w:rPr>
                <w:sz w:val="22"/>
                <w:szCs w:val="22"/>
                <w:lang w:val="en-NZ"/>
              </w:rPr>
            </w:pPr>
            <w:r w:rsidRPr="00717358">
              <w:rPr>
                <w:sz w:val="22"/>
                <w:szCs w:val="22"/>
                <w:lang w:val="en-NZ"/>
              </w:rPr>
              <w:t xml:space="preserve">To extend the time bar limiting Inland Revenue’s ability to adjust a taxpayer’s transfer pricing position from </w:t>
            </w:r>
            <w:r w:rsidR="00E34380">
              <w:rPr>
                <w:sz w:val="22"/>
                <w:szCs w:val="22"/>
                <w:lang w:val="en-NZ"/>
              </w:rPr>
              <w:t>four</w:t>
            </w:r>
            <w:r w:rsidRPr="00717358">
              <w:rPr>
                <w:sz w:val="22"/>
                <w:szCs w:val="22"/>
                <w:lang w:val="en-NZ"/>
              </w:rPr>
              <w:t xml:space="preserve"> years to </w:t>
            </w:r>
            <w:r w:rsidR="00E34380">
              <w:rPr>
                <w:sz w:val="22"/>
                <w:szCs w:val="22"/>
                <w:lang w:val="en-NZ"/>
              </w:rPr>
              <w:t>seven</w:t>
            </w:r>
            <w:r w:rsidRPr="00717358">
              <w:rPr>
                <w:sz w:val="22"/>
                <w:szCs w:val="22"/>
                <w:lang w:val="en-NZ"/>
              </w:rPr>
              <w:t xml:space="preserve"> years.</w:t>
            </w:r>
          </w:p>
        </w:tc>
        <w:tc>
          <w:tcPr>
            <w:tcW w:w="5283" w:type="dxa"/>
          </w:tcPr>
          <w:p w:rsidR="00B4540D" w:rsidRPr="00717358" w:rsidRDefault="00B4540D" w:rsidP="008C28F7">
            <w:pPr>
              <w:spacing w:before="80" w:after="80"/>
              <w:jc w:val="left"/>
              <w:rPr>
                <w:sz w:val="22"/>
                <w:szCs w:val="22"/>
                <w:lang w:val="en-NZ"/>
              </w:rPr>
            </w:pPr>
            <w:r w:rsidRPr="00717358">
              <w:rPr>
                <w:sz w:val="22"/>
                <w:szCs w:val="22"/>
                <w:lang w:val="en-NZ"/>
              </w:rPr>
              <w:t xml:space="preserve">Submitters argued the time bar should remain at </w:t>
            </w:r>
            <w:r w:rsidR="00E34380">
              <w:rPr>
                <w:sz w:val="22"/>
                <w:szCs w:val="22"/>
                <w:lang w:val="en-NZ"/>
              </w:rPr>
              <w:t>four</w:t>
            </w:r>
            <w:r w:rsidRPr="00717358">
              <w:rPr>
                <w:sz w:val="22"/>
                <w:szCs w:val="22"/>
                <w:lang w:val="en-NZ"/>
              </w:rPr>
              <w:t xml:space="preserve"> years because:</w:t>
            </w:r>
          </w:p>
          <w:p w:rsidR="00B4540D" w:rsidRPr="00717358" w:rsidRDefault="00B4540D" w:rsidP="008C28F7">
            <w:pPr>
              <w:pStyle w:val="ListParagraph"/>
              <w:numPr>
                <w:ilvl w:val="3"/>
                <w:numId w:val="29"/>
              </w:numPr>
              <w:spacing w:before="80" w:after="80"/>
              <w:ind w:left="357" w:hanging="357"/>
              <w:contextualSpacing w:val="0"/>
              <w:jc w:val="left"/>
              <w:rPr>
                <w:sz w:val="22"/>
                <w:szCs w:val="22"/>
                <w:lang w:val="en-NZ"/>
              </w:rPr>
            </w:pPr>
            <w:r w:rsidRPr="00717358">
              <w:rPr>
                <w:sz w:val="22"/>
                <w:szCs w:val="22"/>
                <w:lang w:val="en-NZ"/>
              </w:rPr>
              <w:t>A longer time bar increases uncertainty for taxpayers and could delay the</w:t>
            </w:r>
            <w:r w:rsidR="00765777" w:rsidRPr="00717358">
              <w:rPr>
                <w:sz w:val="22"/>
                <w:szCs w:val="22"/>
                <w:lang w:val="en-NZ"/>
              </w:rPr>
              <w:t xml:space="preserve"> timely resolution of disputes.</w:t>
            </w:r>
          </w:p>
          <w:p w:rsidR="00B4540D" w:rsidRPr="00717358" w:rsidRDefault="00B4540D" w:rsidP="008C28F7">
            <w:pPr>
              <w:pStyle w:val="ListParagraph"/>
              <w:numPr>
                <w:ilvl w:val="3"/>
                <w:numId w:val="29"/>
              </w:numPr>
              <w:spacing w:before="80" w:after="80"/>
              <w:ind w:left="357" w:hanging="357"/>
              <w:contextualSpacing w:val="0"/>
              <w:jc w:val="left"/>
              <w:rPr>
                <w:sz w:val="22"/>
                <w:szCs w:val="22"/>
                <w:lang w:val="en-NZ"/>
              </w:rPr>
            </w:pPr>
            <w:r w:rsidRPr="00717358">
              <w:rPr>
                <w:sz w:val="22"/>
                <w:szCs w:val="22"/>
                <w:lang w:val="en-NZ"/>
              </w:rPr>
              <w:t>Other complex areas</w:t>
            </w:r>
            <w:r w:rsidR="00765777" w:rsidRPr="00717358">
              <w:rPr>
                <w:sz w:val="22"/>
                <w:szCs w:val="22"/>
                <w:lang w:val="en-NZ"/>
              </w:rPr>
              <w:t xml:space="preserve"> of tax have a </w:t>
            </w:r>
            <w:r w:rsidR="00E34380">
              <w:rPr>
                <w:sz w:val="22"/>
                <w:szCs w:val="22"/>
                <w:lang w:val="en-NZ"/>
              </w:rPr>
              <w:t>four</w:t>
            </w:r>
            <w:r w:rsidR="00765777" w:rsidRPr="00717358">
              <w:rPr>
                <w:sz w:val="22"/>
                <w:szCs w:val="22"/>
                <w:lang w:val="en-NZ"/>
              </w:rPr>
              <w:t xml:space="preserve"> year time bar.</w:t>
            </w:r>
          </w:p>
          <w:p w:rsidR="00B4540D" w:rsidRPr="00717358" w:rsidRDefault="00B4540D" w:rsidP="008C28F7">
            <w:pPr>
              <w:pStyle w:val="ListParagraph"/>
              <w:numPr>
                <w:ilvl w:val="3"/>
                <w:numId w:val="29"/>
              </w:numPr>
              <w:spacing w:before="80" w:after="80"/>
              <w:ind w:left="357" w:hanging="357"/>
              <w:contextualSpacing w:val="0"/>
              <w:jc w:val="left"/>
              <w:rPr>
                <w:sz w:val="22"/>
                <w:szCs w:val="22"/>
                <w:lang w:val="en-NZ"/>
              </w:rPr>
            </w:pPr>
            <w:r w:rsidRPr="00717358">
              <w:rPr>
                <w:sz w:val="22"/>
                <w:szCs w:val="22"/>
                <w:lang w:val="en-NZ"/>
              </w:rPr>
              <w:t>The taxpayer will be at risk of double tax in jurisdictions where the time bar has already passed.</w:t>
            </w:r>
          </w:p>
        </w:tc>
        <w:tc>
          <w:tcPr>
            <w:tcW w:w="5284" w:type="dxa"/>
          </w:tcPr>
          <w:p w:rsidR="00B4540D" w:rsidRPr="00717358" w:rsidRDefault="00B4540D" w:rsidP="008C28F7">
            <w:pPr>
              <w:spacing w:before="80" w:after="80"/>
              <w:jc w:val="left"/>
              <w:rPr>
                <w:sz w:val="22"/>
                <w:szCs w:val="22"/>
                <w:lang w:val="en-NZ"/>
              </w:rPr>
            </w:pPr>
            <w:r w:rsidRPr="00717358">
              <w:rPr>
                <w:sz w:val="22"/>
                <w:szCs w:val="22"/>
                <w:lang w:val="en-NZ"/>
              </w:rPr>
              <w:t>The Government decided that there would be no change to the original proposal.  Having a longer time bar for transfer pricing cases is consistent with both Australia and Canada (who also have a special seven year time bar for transfer pricing) and reflects the information asymmetry that exists in transfer pricing cases (especially where taxpayers may hold relevant information offshore).</w:t>
            </w:r>
          </w:p>
        </w:tc>
      </w:tr>
      <w:tr w:rsidR="00B4540D" w:rsidRPr="00717358" w:rsidTr="00E462D6">
        <w:tblPrEx>
          <w:tblLook w:val="04A0" w:firstRow="1" w:lastRow="0" w:firstColumn="1" w:lastColumn="0" w:noHBand="0" w:noVBand="1"/>
        </w:tblPrEx>
        <w:trPr>
          <w:cantSplit/>
        </w:trPr>
        <w:tc>
          <w:tcPr>
            <w:tcW w:w="4111" w:type="dxa"/>
          </w:tcPr>
          <w:p w:rsidR="00B4540D" w:rsidRPr="00717358" w:rsidRDefault="00B4540D" w:rsidP="008C28F7">
            <w:pPr>
              <w:spacing w:before="80" w:after="80"/>
              <w:jc w:val="left"/>
              <w:rPr>
                <w:b/>
                <w:sz w:val="22"/>
                <w:szCs w:val="22"/>
                <w:lang w:val="en-NZ"/>
              </w:rPr>
            </w:pPr>
            <w:r w:rsidRPr="00717358">
              <w:rPr>
                <w:b/>
                <w:sz w:val="22"/>
                <w:szCs w:val="22"/>
                <w:lang w:val="en-NZ"/>
              </w:rPr>
              <w:t>Burden of proof</w:t>
            </w:r>
          </w:p>
          <w:p w:rsidR="00B4540D" w:rsidRPr="00717358" w:rsidRDefault="00B4540D" w:rsidP="008C28F7">
            <w:pPr>
              <w:spacing w:before="80" w:after="80"/>
              <w:jc w:val="left"/>
              <w:rPr>
                <w:sz w:val="22"/>
                <w:szCs w:val="22"/>
                <w:lang w:val="en-NZ"/>
              </w:rPr>
            </w:pPr>
            <w:r w:rsidRPr="00717358">
              <w:rPr>
                <w:sz w:val="22"/>
                <w:szCs w:val="22"/>
                <w:lang w:val="en-NZ"/>
              </w:rPr>
              <w:t>To shift the burden of proof onto the taxpayer for transfer pricing matters.</w:t>
            </w:r>
          </w:p>
        </w:tc>
        <w:tc>
          <w:tcPr>
            <w:tcW w:w="5283" w:type="dxa"/>
          </w:tcPr>
          <w:p w:rsidR="00B4540D" w:rsidRPr="00717358" w:rsidRDefault="00B4540D" w:rsidP="008C28F7">
            <w:pPr>
              <w:spacing w:before="80" w:after="80"/>
              <w:jc w:val="left"/>
              <w:rPr>
                <w:sz w:val="22"/>
                <w:szCs w:val="22"/>
                <w:lang w:val="en-NZ"/>
              </w:rPr>
            </w:pPr>
            <w:r w:rsidRPr="00717358">
              <w:rPr>
                <w:sz w:val="22"/>
                <w:szCs w:val="22"/>
                <w:lang w:val="en-NZ"/>
              </w:rPr>
              <w:t>Submitters did not support this proposal and argued that the burden of proof should remain with Inland Revenue.</w:t>
            </w:r>
          </w:p>
        </w:tc>
        <w:tc>
          <w:tcPr>
            <w:tcW w:w="5284" w:type="dxa"/>
          </w:tcPr>
          <w:p w:rsidR="00B4540D" w:rsidRPr="00717358" w:rsidRDefault="00B4540D" w:rsidP="00B527D9">
            <w:pPr>
              <w:spacing w:before="80" w:after="80"/>
              <w:jc w:val="left"/>
              <w:rPr>
                <w:sz w:val="22"/>
                <w:szCs w:val="22"/>
                <w:lang w:val="en-NZ"/>
              </w:rPr>
            </w:pPr>
            <w:r w:rsidRPr="00717358">
              <w:rPr>
                <w:sz w:val="22"/>
                <w:szCs w:val="22"/>
                <w:lang w:val="en-NZ"/>
              </w:rPr>
              <w:t xml:space="preserve">The Government has decided that the burden of proof will be shifted onto the taxpayer for transfer pricing matters.  This is consistent with both international practice and other taxation matters under New Zealand’s tax </w:t>
            </w:r>
            <w:r w:rsidR="00B527D9">
              <w:rPr>
                <w:sz w:val="22"/>
                <w:szCs w:val="22"/>
                <w:lang w:val="en-NZ"/>
              </w:rPr>
              <w:t>A</w:t>
            </w:r>
            <w:r w:rsidRPr="00717358">
              <w:rPr>
                <w:sz w:val="22"/>
                <w:szCs w:val="22"/>
                <w:lang w:val="en-NZ"/>
              </w:rPr>
              <w:t>cts.</w:t>
            </w:r>
          </w:p>
        </w:tc>
      </w:tr>
      <w:tr w:rsidR="00B4540D" w:rsidRPr="00717358" w:rsidTr="00E462D6">
        <w:tblPrEx>
          <w:tblLook w:val="04A0" w:firstRow="1" w:lastRow="0" w:firstColumn="1" w:lastColumn="0" w:noHBand="0" w:noVBand="1"/>
        </w:tblPrEx>
        <w:trPr>
          <w:cantSplit/>
        </w:trPr>
        <w:tc>
          <w:tcPr>
            <w:tcW w:w="4111" w:type="dxa"/>
          </w:tcPr>
          <w:p w:rsidR="00B4540D" w:rsidRPr="00717358" w:rsidRDefault="00B4540D" w:rsidP="008C28F7">
            <w:pPr>
              <w:spacing w:before="80" w:after="80"/>
              <w:jc w:val="left"/>
              <w:rPr>
                <w:b/>
                <w:sz w:val="22"/>
                <w:szCs w:val="22"/>
                <w:lang w:val="en-NZ"/>
              </w:rPr>
            </w:pPr>
            <w:r w:rsidRPr="00717358">
              <w:rPr>
                <w:b/>
                <w:sz w:val="22"/>
                <w:szCs w:val="22"/>
                <w:lang w:val="en-NZ"/>
              </w:rPr>
              <w:lastRenderedPageBreak/>
              <w:t>Power of reconstruction</w:t>
            </w:r>
          </w:p>
          <w:p w:rsidR="00B4540D" w:rsidRPr="00717358" w:rsidRDefault="00B4540D" w:rsidP="008C28F7">
            <w:pPr>
              <w:spacing w:before="80" w:after="80"/>
              <w:jc w:val="left"/>
              <w:rPr>
                <w:sz w:val="22"/>
                <w:szCs w:val="22"/>
                <w:lang w:val="en-NZ"/>
              </w:rPr>
            </w:pPr>
            <w:r w:rsidRPr="00717358">
              <w:rPr>
                <w:sz w:val="22"/>
                <w:szCs w:val="22"/>
                <w:lang w:val="en-NZ"/>
              </w:rPr>
              <w:t xml:space="preserve">To introduce a rule giving Inland Revenue the power to reconstruct transfer pricing arrangements which are not commercially rational because they include unrealistic terms that would not be agreed to by unrelated parties. </w:t>
            </w:r>
            <w:r w:rsidR="00E024A7" w:rsidRPr="00717358">
              <w:rPr>
                <w:sz w:val="22"/>
                <w:szCs w:val="22"/>
                <w:lang w:val="en-NZ"/>
              </w:rPr>
              <w:t xml:space="preserve"> </w:t>
            </w:r>
            <w:r w:rsidRPr="00717358">
              <w:rPr>
                <w:sz w:val="22"/>
                <w:szCs w:val="22"/>
                <w:lang w:val="en-NZ"/>
              </w:rPr>
              <w:t>This rule was based on Australia’s reconstruction provision.</w:t>
            </w:r>
          </w:p>
        </w:tc>
        <w:tc>
          <w:tcPr>
            <w:tcW w:w="5283" w:type="dxa"/>
          </w:tcPr>
          <w:p w:rsidR="00B4540D" w:rsidRPr="00717358" w:rsidRDefault="00B4540D" w:rsidP="008C28F7">
            <w:pPr>
              <w:spacing w:before="80" w:after="80"/>
              <w:jc w:val="left"/>
              <w:rPr>
                <w:sz w:val="22"/>
                <w:szCs w:val="22"/>
                <w:lang w:val="en-NZ"/>
              </w:rPr>
            </w:pPr>
            <w:r w:rsidRPr="00717358">
              <w:rPr>
                <w:sz w:val="22"/>
                <w:szCs w:val="22"/>
                <w:lang w:val="en-NZ"/>
              </w:rPr>
              <w:t>Submitters argued that the test for reconstructing a transfer pricing arrangement should align with the OECD’s transfer pricing guidelines.</w:t>
            </w:r>
          </w:p>
        </w:tc>
        <w:tc>
          <w:tcPr>
            <w:tcW w:w="5284" w:type="dxa"/>
          </w:tcPr>
          <w:p w:rsidR="00B4540D" w:rsidRPr="00717358" w:rsidRDefault="00B4540D" w:rsidP="008C28F7">
            <w:pPr>
              <w:spacing w:before="80" w:after="80"/>
              <w:jc w:val="left"/>
              <w:rPr>
                <w:sz w:val="22"/>
                <w:szCs w:val="22"/>
                <w:lang w:val="en-NZ"/>
              </w:rPr>
            </w:pPr>
            <w:r w:rsidRPr="00717358">
              <w:rPr>
                <w:sz w:val="22"/>
                <w:szCs w:val="22"/>
                <w:lang w:val="en-NZ"/>
              </w:rPr>
              <w:t>The Government has agreed that the test should be based on the corresponding test in the OECD’s transfer pricing guidelines – rather than on the Australian reconstruction provision.</w:t>
            </w:r>
          </w:p>
        </w:tc>
      </w:tr>
      <w:tr w:rsidR="00B4540D" w:rsidRPr="00717358" w:rsidTr="00E462D6">
        <w:tblPrEx>
          <w:tblLook w:val="04A0" w:firstRow="1" w:lastRow="0" w:firstColumn="1" w:lastColumn="0" w:noHBand="0" w:noVBand="1"/>
        </w:tblPrEx>
        <w:trPr>
          <w:cantSplit/>
        </w:trPr>
        <w:tc>
          <w:tcPr>
            <w:tcW w:w="4111" w:type="dxa"/>
          </w:tcPr>
          <w:p w:rsidR="00B4540D" w:rsidRPr="00717358" w:rsidRDefault="00B4540D" w:rsidP="008C28F7">
            <w:pPr>
              <w:spacing w:before="80" w:after="80"/>
              <w:jc w:val="left"/>
              <w:rPr>
                <w:b/>
                <w:sz w:val="22"/>
                <w:szCs w:val="22"/>
                <w:lang w:val="en-NZ"/>
              </w:rPr>
            </w:pPr>
            <w:r w:rsidRPr="00717358">
              <w:rPr>
                <w:b/>
                <w:sz w:val="22"/>
                <w:szCs w:val="22"/>
                <w:lang w:val="en-NZ"/>
              </w:rPr>
              <w:t>Paying tax upfront</w:t>
            </w:r>
          </w:p>
          <w:p w:rsidR="00B4540D" w:rsidRPr="00717358" w:rsidRDefault="00B4540D" w:rsidP="008C28F7">
            <w:pPr>
              <w:spacing w:before="80" w:after="80"/>
              <w:jc w:val="left"/>
              <w:rPr>
                <w:sz w:val="22"/>
                <w:szCs w:val="22"/>
                <w:lang w:val="en-NZ"/>
              </w:rPr>
            </w:pPr>
            <w:r w:rsidRPr="00717358">
              <w:rPr>
                <w:sz w:val="22"/>
                <w:szCs w:val="22"/>
                <w:lang w:val="en-NZ"/>
              </w:rPr>
              <w:t>To require large multinationals to pay disputed tax upfront.</w:t>
            </w:r>
          </w:p>
        </w:tc>
        <w:tc>
          <w:tcPr>
            <w:tcW w:w="5283" w:type="dxa"/>
          </w:tcPr>
          <w:p w:rsidR="00B4540D" w:rsidRPr="00717358" w:rsidRDefault="00B4540D" w:rsidP="008C28F7">
            <w:pPr>
              <w:spacing w:before="80" w:after="80"/>
              <w:jc w:val="left"/>
              <w:rPr>
                <w:sz w:val="22"/>
                <w:szCs w:val="22"/>
                <w:lang w:val="en-NZ"/>
              </w:rPr>
            </w:pPr>
            <w:r w:rsidRPr="00717358">
              <w:rPr>
                <w:sz w:val="22"/>
                <w:szCs w:val="22"/>
                <w:lang w:val="en-NZ"/>
              </w:rPr>
              <w:t>Submitters argued that the proposal was unnecessary and should not proceed.</w:t>
            </w:r>
          </w:p>
        </w:tc>
        <w:tc>
          <w:tcPr>
            <w:tcW w:w="5284" w:type="dxa"/>
          </w:tcPr>
          <w:p w:rsidR="00B4540D" w:rsidRPr="00717358" w:rsidRDefault="00B4540D" w:rsidP="00E34380">
            <w:pPr>
              <w:spacing w:before="80" w:after="80"/>
              <w:jc w:val="left"/>
              <w:rPr>
                <w:sz w:val="22"/>
                <w:szCs w:val="22"/>
                <w:lang w:val="en-NZ"/>
              </w:rPr>
            </w:pPr>
            <w:r w:rsidRPr="00717358">
              <w:rPr>
                <w:sz w:val="22"/>
                <w:szCs w:val="22"/>
                <w:lang w:val="en-NZ"/>
              </w:rPr>
              <w:t xml:space="preserve">This proposal will not proceed.  </w:t>
            </w:r>
            <w:r w:rsidR="00E34380">
              <w:rPr>
                <w:sz w:val="22"/>
                <w:szCs w:val="22"/>
                <w:lang w:val="en-NZ"/>
              </w:rPr>
              <w:t xml:space="preserve">Inland Revenue already charges </w:t>
            </w:r>
            <w:r w:rsidRPr="00717358">
              <w:rPr>
                <w:sz w:val="22"/>
                <w:szCs w:val="22"/>
                <w:lang w:val="en-NZ"/>
              </w:rPr>
              <w:t>use</w:t>
            </w:r>
            <w:r w:rsidR="00E34380">
              <w:rPr>
                <w:sz w:val="22"/>
                <w:szCs w:val="22"/>
                <w:lang w:val="en-NZ"/>
              </w:rPr>
              <w:t>-of-</w:t>
            </w:r>
            <w:r w:rsidRPr="00717358">
              <w:rPr>
                <w:sz w:val="22"/>
                <w:szCs w:val="22"/>
                <w:lang w:val="en-NZ"/>
              </w:rPr>
              <w:t>money interest on tax owing, which provides a sufficient disincentive for multinationals to prolong disputes.</w:t>
            </w:r>
          </w:p>
        </w:tc>
      </w:tr>
      <w:tr w:rsidR="00B4540D" w:rsidRPr="00717358" w:rsidTr="00E462D6">
        <w:tblPrEx>
          <w:tblLook w:val="04A0" w:firstRow="1" w:lastRow="0" w:firstColumn="1" w:lastColumn="0" w:noHBand="0" w:noVBand="1"/>
        </w:tblPrEx>
        <w:trPr>
          <w:cantSplit/>
        </w:trPr>
        <w:tc>
          <w:tcPr>
            <w:tcW w:w="4111" w:type="dxa"/>
          </w:tcPr>
          <w:p w:rsidR="00B4540D" w:rsidRPr="00717358" w:rsidRDefault="00B4540D" w:rsidP="008C28F7">
            <w:pPr>
              <w:spacing w:before="80" w:after="80"/>
              <w:jc w:val="left"/>
              <w:rPr>
                <w:b/>
                <w:sz w:val="22"/>
                <w:szCs w:val="22"/>
                <w:lang w:val="en-NZ"/>
              </w:rPr>
            </w:pPr>
            <w:r w:rsidRPr="00717358">
              <w:rPr>
                <w:b/>
                <w:sz w:val="22"/>
                <w:szCs w:val="22"/>
                <w:lang w:val="en-NZ"/>
              </w:rPr>
              <w:t xml:space="preserve">Tax collected from </w:t>
            </w:r>
            <w:r w:rsidR="00B527D9">
              <w:rPr>
                <w:b/>
                <w:sz w:val="22"/>
                <w:szCs w:val="22"/>
                <w:lang w:val="en-NZ"/>
              </w:rPr>
              <w:t xml:space="preserve">the </w:t>
            </w:r>
            <w:r w:rsidRPr="00717358">
              <w:rPr>
                <w:b/>
                <w:sz w:val="22"/>
                <w:szCs w:val="22"/>
                <w:lang w:val="en-NZ"/>
              </w:rPr>
              <w:t>N</w:t>
            </w:r>
            <w:r w:rsidR="00E34380">
              <w:rPr>
                <w:b/>
                <w:sz w:val="22"/>
                <w:szCs w:val="22"/>
                <w:lang w:val="en-NZ"/>
              </w:rPr>
              <w:t xml:space="preserve">ew </w:t>
            </w:r>
            <w:r w:rsidRPr="00717358">
              <w:rPr>
                <w:b/>
                <w:sz w:val="22"/>
                <w:szCs w:val="22"/>
                <w:lang w:val="en-NZ"/>
              </w:rPr>
              <w:t>Z</w:t>
            </w:r>
            <w:r w:rsidR="00E34380">
              <w:rPr>
                <w:b/>
                <w:sz w:val="22"/>
                <w:szCs w:val="22"/>
                <w:lang w:val="en-NZ"/>
              </w:rPr>
              <w:t>ealand</w:t>
            </w:r>
            <w:r w:rsidRPr="00717358">
              <w:rPr>
                <w:b/>
                <w:sz w:val="22"/>
                <w:szCs w:val="22"/>
                <w:lang w:val="en-NZ"/>
              </w:rPr>
              <w:t xml:space="preserve"> member of a multinational group</w:t>
            </w:r>
          </w:p>
          <w:p w:rsidR="00B4540D" w:rsidRPr="00717358" w:rsidRDefault="00B4540D" w:rsidP="008C28F7">
            <w:pPr>
              <w:spacing w:before="80" w:after="80"/>
              <w:jc w:val="left"/>
              <w:rPr>
                <w:sz w:val="22"/>
                <w:szCs w:val="22"/>
                <w:lang w:val="en-NZ"/>
              </w:rPr>
            </w:pPr>
            <w:r w:rsidRPr="00717358">
              <w:rPr>
                <w:sz w:val="22"/>
                <w:szCs w:val="22"/>
                <w:lang w:val="en-NZ"/>
              </w:rPr>
              <w:t>To introduce a rule that would require a New Zealand member of a multinational group to pay tax owed by a related non-resident group.</w:t>
            </w:r>
          </w:p>
        </w:tc>
        <w:tc>
          <w:tcPr>
            <w:tcW w:w="5283" w:type="dxa"/>
          </w:tcPr>
          <w:p w:rsidR="00B4540D" w:rsidRPr="00717358" w:rsidRDefault="00B4540D" w:rsidP="008C28F7">
            <w:pPr>
              <w:spacing w:before="80" w:after="80"/>
              <w:jc w:val="left"/>
              <w:rPr>
                <w:sz w:val="22"/>
                <w:szCs w:val="22"/>
                <w:lang w:val="en-NZ"/>
              </w:rPr>
            </w:pPr>
            <w:r w:rsidRPr="00717358">
              <w:rPr>
                <w:sz w:val="22"/>
                <w:szCs w:val="22"/>
                <w:lang w:val="en-NZ"/>
              </w:rPr>
              <w:t xml:space="preserve">Submitters argued that the proposal should not proceed as it undermines the separate legal identity of corporate subsidiaries and could </w:t>
            </w:r>
            <w:r w:rsidR="00174ED3">
              <w:rPr>
                <w:sz w:val="22"/>
                <w:szCs w:val="22"/>
                <w:lang w:val="en-NZ"/>
              </w:rPr>
              <w:t xml:space="preserve">pose </w:t>
            </w:r>
            <w:r w:rsidRPr="00717358">
              <w:rPr>
                <w:sz w:val="22"/>
                <w:szCs w:val="22"/>
                <w:lang w:val="en-NZ"/>
              </w:rPr>
              <w:t>risk assessment and banki</w:t>
            </w:r>
            <w:r w:rsidR="00E024A7" w:rsidRPr="00717358">
              <w:rPr>
                <w:sz w:val="22"/>
                <w:szCs w:val="22"/>
                <w:lang w:val="en-NZ"/>
              </w:rPr>
              <w:t>ng covenant issues for lenders.</w:t>
            </w:r>
          </w:p>
        </w:tc>
        <w:tc>
          <w:tcPr>
            <w:tcW w:w="5284" w:type="dxa"/>
          </w:tcPr>
          <w:p w:rsidR="00B4540D" w:rsidRPr="00717358" w:rsidRDefault="00B4540D" w:rsidP="008C28F7">
            <w:pPr>
              <w:spacing w:before="80" w:after="80"/>
              <w:jc w:val="left"/>
              <w:rPr>
                <w:sz w:val="22"/>
                <w:szCs w:val="22"/>
                <w:lang w:val="en-NZ"/>
              </w:rPr>
            </w:pPr>
            <w:r w:rsidRPr="00717358">
              <w:rPr>
                <w:sz w:val="22"/>
                <w:szCs w:val="22"/>
                <w:lang w:val="en-NZ"/>
              </w:rPr>
              <w:t>The Government has decided to proceed with the original proposal.  However, it has agreed that the rule should only apply if the non-resident fails to pay the tax itself.  Also</w:t>
            </w:r>
            <w:r w:rsidR="00111EF8">
              <w:rPr>
                <w:sz w:val="22"/>
                <w:szCs w:val="22"/>
                <w:lang w:val="en-NZ"/>
              </w:rPr>
              <w:t>,</w:t>
            </w:r>
            <w:r w:rsidRPr="00717358">
              <w:rPr>
                <w:sz w:val="22"/>
                <w:szCs w:val="22"/>
                <w:lang w:val="en-NZ"/>
              </w:rPr>
              <w:t xml:space="preserve"> the rule should only if the New Zealand member and the non-resident are part of the same wholly owned group.</w:t>
            </w:r>
          </w:p>
        </w:tc>
      </w:tr>
      <w:tr w:rsidR="00B4540D" w:rsidRPr="00717358" w:rsidTr="00E462D6">
        <w:tblPrEx>
          <w:tblLook w:val="04A0" w:firstRow="1" w:lastRow="0" w:firstColumn="1" w:lastColumn="0" w:noHBand="0" w:noVBand="1"/>
        </w:tblPrEx>
        <w:trPr>
          <w:cantSplit/>
        </w:trPr>
        <w:tc>
          <w:tcPr>
            <w:tcW w:w="4111" w:type="dxa"/>
          </w:tcPr>
          <w:p w:rsidR="00B4540D" w:rsidRPr="00717358" w:rsidRDefault="00B4540D" w:rsidP="008C28F7">
            <w:pPr>
              <w:spacing w:before="80" w:after="80"/>
              <w:jc w:val="left"/>
              <w:rPr>
                <w:b/>
                <w:sz w:val="22"/>
                <w:szCs w:val="22"/>
                <w:lang w:val="en-NZ"/>
              </w:rPr>
            </w:pPr>
            <w:r w:rsidRPr="00717358">
              <w:rPr>
                <w:b/>
                <w:sz w:val="22"/>
                <w:szCs w:val="22"/>
                <w:lang w:val="en-NZ"/>
              </w:rPr>
              <w:t>Information collection</w:t>
            </w:r>
          </w:p>
          <w:p w:rsidR="00B4540D" w:rsidRPr="00717358" w:rsidRDefault="00B4540D" w:rsidP="008C28F7">
            <w:pPr>
              <w:spacing w:before="80" w:after="80"/>
              <w:jc w:val="left"/>
              <w:rPr>
                <w:sz w:val="22"/>
                <w:szCs w:val="22"/>
                <w:lang w:val="en-NZ"/>
              </w:rPr>
            </w:pPr>
            <w:r w:rsidRPr="00717358">
              <w:rPr>
                <w:sz w:val="22"/>
                <w:szCs w:val="22"/>
                <w:lang w:val="en-NZ"/>
              </w:rPr>
              <w:t>The discussion document proposed extending Inland Revenue’s information collection powers to allow Inland Revenue to request information held offshore by a related group member.  The discussion document also proposed imposing a civil penalty of up to $100,000 (replacing the current $12,000 maximum criminal penalty) on taxpayer that failed to provide requested information.</w:t>
            </w:r>
          </w:p>
        </w:tc>
        <w:tc>
          <w:tcPr>
            <w:tcW w:w="5283" w:type="dxa"/>
          </w:tcPr>
          <w:p w:rsidR="00B4540D" w:rsidRPr="00717358" w:rsidRDefault="00B4540D" w:rsidP="008C28F7">
            <w:pPr>
              <w:spacing w:before="80" w:after="80"/>
              <w:jc w:val="left"/>
              <w:rPr>
                <w:sz w:val="22"/>
                <w:szCs w:val="22"/>
                <w:lang w:val="en-NZ"/>
              </w:rPr>
            </w:pPr>
            <w:r w:rsidRPr="00717358">
              <w:rPr>
                <w:sz w:val="22"/>
                <w:szCs w:val="22"/>
                <w:lang w:val="en-NZ"/>
              </w:rPr>
              <w:t>Submitters argued that the information collection proposals should not proceed as the rules were unnecessary in light of enhanced international information sharing protocols (</w:t>
            </w:r>
            <w:r w:rsidR="00E024A7" w:rsidRPr="00717358">
              <w:rPr>
                <w:sz w:val="22"/>
                <w:szCs w:val="22"/>
                <w:lang w:val="en-NZ"/>
              </w:rPr>
              <w:t xml:space="preserve">for example, </w:t>
            </w:r>
            <w:r w:rsidRPr="00717358">
              <w:rPr>
                <w:sz w:val="22"/>
                <w:szCs w:val="22"/>
                <w:lang w:val="en-NZ"/>
              </w:rPr>
              <w:t>country-by-country reporting), would be unworkable in practice, and would unfairly penalise the New Zealand resident who may not be able to get the information from their multinational group members.</w:t>
            </w:r>
          </w:p>
          <w:p w:rsidR="00B4540D" w:rsidRPr="00717358" w:rsidRDefault="00B4540D" w:rsidP="008C28F7">
            <w:pPr>
              <w:spacing w:before="80" w:after="80"/>
              <w:jc w:val="left"/>
              <w:rPr>
                <w:sz w:val="22"/>
                <w:szCs w:val="22"/>
                <w:lang w:val="en-NZ"/>
              </w:rPr>
            </w:pPr>
            <w:r w:rsidRPr="00717358">
              <w:rPr>
                <w:sz w:val="22"/>
                <w:szCs w:val="22"/>
                <w:lang w:val="en-NZ"/>
              </w:rPr>
              <w:t>Submitters also raised concerns about the new civil penalty, arguing against the increase from $12,000 to $100,000 because the New Zealand subsidiary may not co</w:t>
            </w:r>
            <w:r w:rsidR="00E024A7" w:rsidRPr="00717358">
              <w:rPr>
                <w:sz w:val="22"/>
                <w:szCs w:val="22"/>
                <w:lang w:val="en-NZ"/>
              </w:rPr>
              <w:t>ntrol the relevant information.</w:t>
            </w:r>
          </w:p>
        </w:tc>
        <w:tc>
          <w:tcPr>
            <w:tcW w:w="5284" w:type="dxa"/>
          </w:tcPr>
          <w:p w:rsidR="00B4540D" w:rsidRPr="00717358" w:rsidRDefault="00B4540D" w:rsidP="008C28F7">
            <w:pPr>
              <w:spacing w:before="80" w:after="80"/>
              <w:jc w:val="left"/>
              <w:rPr>
                <w:sz w:val="22"/>
                <w:szCs w:val="22"/>
                <w:lang w:val="en-NZ"/>
              </w:rPr>
            </w:pPr>
            <w:r w:rsidRPr="00717358">
              <w:rPr>
                <w:sz w:val="22"/>
                <w:szCs w:val="22"/>
                <w:lang w:val="en-NZ"/>
              </w:rPr>
              <w:t xml:space="preserve">The Government considers that the information collection powers are necessary to ensure that the multinational group is required to provide Inland Revenue with the information required to determine its tax obligations.  There also needs to be appropriate incentives for the multinational to comply with these requests.  Further, the consequences of non-compliance with the proposals will be economically borne by the multinational which controls the relevant information. </w:t>
            </w:r>
            <w:r w:rsidR="00E024A7" w:rsidRPr="00717358">
              <w:rPr>
                <w:sz w:val="22"/>
                <w:szCs w:val="22"/>
                <w:lang w:val="en-NZ"/>
              </w:rPr>
              <w:t xml:space="preserve"> </w:t>
            </w:r>
            <w:r w:rsidRPr="00717358">
              <w:rPr>
                <w:sz w:val="22"/>
                <w:szCs w:val="22"/>
                <w:lang w:val="en-NZ"/>
              </w:rPr>
              <w:t>However, the Government has agreed to allow taxpayers to appeal the penalty.</w:t>
            </w:r>
          </w:p>
        </w:tc>
      </w:tr>
    </w:tbl>
    <w:p w:rsidR="00B4540D" w:rsidRPr="00E40119" w:rsidRDefault="00B4540D" w:rsidP="00463F8C">
      <w:pPr>
        <w:pStyle w:val="Chapter5"/>
        <w:numPr>
          <w:ilvl w:val="0"/>
          <w:numId w:val="0"/>
        </w:numPr>
        <w:ind w:left="851" w:hanging="851"/>
        <w:jc w:val="left"/>
      </w:pPr>
    </w:p>
    <w:p w:rsidR="00765777" w:rsidRPr="00E40119" w:rsidRDefault="00765777">
      <w:pPr>
        <w:jc w:val="left"/>
        <w:rPr>
          <w:lang w:val="en-NZ"/>
        </w:rPr>
      </w:pPr>
      <w:r w:rsidRPr="00E40119">
        <w:rPr>
          <w:lang w:val="en-NZ"/>
        </w:rPr>
        <w:br w:type="page"/>
      </w:r>
    </w:p>
    <w:p w:rsidR="00765777" w:rsidRPr="00E40119" w:rsidRDefault="008C28F7" w:rsidP="003272EC">
      <w:pPr>
        <w:pStyle w:val="Heading1"/>
        <w:rPr>
          <w:caps/>
        </w:rPr>
      </w:pPr>
      <w:bookmarkStart w:id="11" w:name="_Toc490467265"/>
      <w:r w:rsidRPr="00E40119">
        <w:lastRenderedPageBreak/>
        <w:t>Addressing hybrid mismatch arrangements</w:t>
      </w:r>
      <w:bookmarkEnd w:id="11"/>
    </w:p>
    <w:p w:rsidR="008C28F7" w:rsidRDefault="008C28F7" w:rsidP="00463F8C">
      <w:pPr>
        <w:pStyle w:val="Chapter5"/>
        <w:numPr>
          <w:ilvl w:val="0"/>
          <w:numId w:val="0"/>
        </w:numPr>
        <w:ind w:left="851" w:hanging="851"/>
        <w:jc w:val="left"/>
      </w:pPr>
    </w:p>
    <w:p w:rsidR="00DE1D76" w:rsidRDefault="00DE1D76" w:rsidP="00463F8C">
      <w:pPr>
        <w:pStyle w:val="Chapter5"/>
        <w:numPr>
          <w:ilvl w:val="0"/>
          <w:numId w:val="0"/>
        </w:numPr>
        <w:ind w:left="851" w:hanging="851"/>
        <w:jc w:val="left"/>
      </w:pPr>
    </w:p>
    <w:p w:rsidR="00144BD7" w:rsidRDefault="00DE1D76" w:rsidP="00DE1D76">
      <w:pPr>
        <w:pStyle w:val="Chapter5"/>
        <w:numPr>
          <w:ilvl w:val="0"/>
          <w:numId w:val="0"/>
        </w:numPr>
        <w:jc w:val="left"/>
      </w:pPr>
      <w:r>
        <w:t xml:space="preserve">The Cabinet paper with </w:t>
      </w:r>
      <w:r w:rsidRPr="00DE1D76">
        <w:t xml:space="preserve">the details of all the policy decisions </w:t>
      </w:r>
      <w:r>
        <w:t>is available at http</w:t>
      </w:r>
      <w:r w:rsidRPr="00DE1D76">
        <w:t>://taxpolicy.ird.govt.nz/publications/2017-other-beps/19-cabinet-paper-hybrids</w:t>
      </w:r>
    </w:p>
    <w:p w:rsidR="00DE1D76" w:rsidRPr="00E40119" w:rsidRDefault="00DE1D76" w:rsidP="00463F8C">
      <w:pPr>
        <w:pStyle w:val="Chapter5"/>
        <w:numPr>
          <w:ilvl w:val="0"/>
          <w:numId w:val="0"/>
        </w:numPr>
        <w:ind w:left="851" w:hanging="851"/>
        <w:jc w:val="left"/>
      </w:pPr>
    </w:p>
    <w:tbl>
      <w:tblPr>
        <w:tblStyle w:val="TableGrid"/>
        <w:tblW w:w="0" w:type="auto"/>
        <w:tblInd w:w="108" w:type="dxa"/>
        <w:tblLook w:val="0620" w:firstRow="1" w:lastRow="0" w:firstColumn="0" w:lastColumn="0" w:noHBand="1" w:noVBand="1"/>
      </w:tblPr>
      <w:tblGrid>
        <w:gridCol w:w="4111"/>
        <w:gridCol w:w="5283"/>
        <w:gridCol w:w="5284"/>
      </w:tblGrid>
      <w:tr w:rsidR="00765777" w:rsidRPr="00626D29" w:rsidTr="00765777">
        <w:trPr>
          <w:cantSplit/>
          <w:tblHeader/>
        </w:trPr>
        <w:tc>
          <w:tcPr>
            <w:tcW w:w="4111" w:type="dxa"/>
          </w:tcPr>
          <w:p w:rsidR="00765777" w:rsidRPr="00626D29" w:rsidRDefault="00765777" w:rsidP="00D92996">
            <w:pPr>
              <w:spacing w:before="120" w:after="120"/>
              <w:rPr>
                <w:b/>
                <w:sz w:val="22"/>
                <w:szCs w:val="22"/>
                <w:lang w:val="en-NZ"/>
              </w:rPr>
            </w:pPr>
            <w:r w:rsidRPr="00626D29">
              <w:rPr>
                <w:b/>
                <w:sz w:val="22"/>
                <w:szCs w:val="22"/>
                <w:lang w:val="en-NZ"/>
              </w:rPr>
              <w:t>Proposal</w:t>
            </w:r>
          </w:p>
        </w:tc>
        <w:tc>
          <w:tcPr>
            <w:tcW w:w="5283" w:type="dxa"/>
          </w:tcPr>
          <w:p w:rsidR="00765777" w:rsidRPr="00626D29" w:rsidRDefault="00765777" w:rsidP="00D92996">
            <w:pPr>
              <w:spacing w:before="120" w:after="120"/>
              <w:rPr>
                <w:b/>
                <w:sz w:val="22"/>
                <w:szCs w:val="22"/>
                <w:lang w:val="en-NZ"/>
              </w:rPr>
            </w:pPr>
            <w:r w:rsidRPr="00626D29">
              <w:rPr>
                <w:b/>
                <w:sz w:val="22"/>
                <w:szCs w:val="22"/>
                <w:lang w:val="en-NZ"/>
              </w:rPr>
              <w:t>Summary of submissions</w:t>
            </w:r>
          </w:p>
        </w:tc>
        <w:tc>
          <w:tcPr>
            <w:tcW w:w="5284" w:type="dxa"/>
          </w:tcPr>
          <w:p w:rsidR="00765777" w:rsidRPr="00626D29" w:rsidRDefault="00765777" w:rsidP="00D92996">
            <w:pPr>
              <w:spacing w:before="120" w:after="120"/>
              <w:rPr>
                <w:b/>
                <w:sz w:val="22"/>
                <w:szCs w:val="22"/>
                <w:lang w:val="en-NZ"/>
              </w:rPr>
            </w:pPr>
            <w:r w:rsidRPr="00626D29">
              <w:rPr>
                <w:b/>
                <w:sz w:val="22"/>
                <w:szCs w:val="22"/>
                <w:lang w:val="en-NZ"/>
              </w:rPr>
              <w:t>Final decision</w:t>
            </w:r>
          </w:p>
        </w:tc>
      </w:tr>
      <w:tr w:rsidR="00765777" w:rsidRPr="00626D29" w:rsidTr="00765777">
        <w:tblPrEx>
          <w:tblLook w:val="04A0" w:firstRow="1" w:lastRow="0" w:firstColumn="1" w:lastColumn="0" w:noHBand="0" w:noVBand="1"/>
        </w:tblPrEx>
        <w:trPr>
          <w:cantSplit/>
        </w:trPr>
        <w:tc>
          <w:tcPr>
            <w:tcW w:w="4111" w:type="dxa"/>
          </w:tcPr>
          <w:p w:rsidR="00765777" w:rsidRPr="00626D29" w:rsidRDefault="00765777" w:rsidP="00E14BEF">
            <w:pPr>
              <w:spacing w:before="80" w:after="80"/>
              <w:jc w:val="left"/>
              <w:rPr>
                <w:b/>
                <w:sz w:val="22"/>
                <w:szCs w:val="22"/>
                <w:lang w:val="en-NZ"/>
              </w:rPr>
            </w:pPr>
            <w:r w:rsidRPr="00626D29">
              <w:rPr>
                <w:b/>
                <w:sz w:val="22"/>
                <w:szCs w:val="22"/>
                <w:lang w:val="en-NZ"/>
              </w:rPr>
              <w:t>Scope of rules</w:t>
            </w:r>
          </w:p>
          <w:p w:rsidR="00765777" w:rsidRPr="00626D29" w:rsidRDefault="00765777" w:rsidP="00E14BEF">
            <w:pPr>
              <w:spacing w:before="80" w:after="80"/>
              <w:jc w:val="left"/>
              <w:rPr>
                <w:rFonts w:eastAsiaTheme="minorEastAsia"/>
                <w:sz w:val="22"/>
                <w:szCs w:val="22"/>
                <w:lang w:val="en-NZ"/>
              </w:rPr>
            </w:pPr>
            <w:r w:rsidRPr="00626D29">
              <w:rPr>
                <w:rFonts w:eastAsiaTheme="minorEastAsia"/>
                <w:sz w:val="22"/>
                <w:szCs w:val="22"/>
                <w:lang w:val="en-NZ"/>
              </w:rPr>
              <w:t>New Zealand will introduce the full suite of OECD recommendations on hybrid and branch mismatches.</w:t>
            </w:r>
          </w:p>
        </w:tc>
        <w:tc>
          <w:tcPr>
            <w:tcW w:w="5283" w:type="dxa"/>
          </w:tcPr>
          <w:p w:rsidR="00765777" w:rsidRPr="00626D29" w:rsidRDefault="00765777" w:rsidP="00E14BEF">
            <w:pPr>
              <w:spacing w:before="80" w:after="80"/>
              <w:jc w:val="left"/>
              <w:rPr>
                <w:sz w:val="22"/>
                <w:szCs w:val="22"/>
                <w:lang w:val="en-NZ"/>
              </w:rPr>
            </w:pPr>
            <w:r w:rsidRPr="00626D29">
              <w:rPr>
                <w:sz w:val="22"/>
                <w:szCs w:val="22"/>
                <w:lang w:val="en-NZ"/>
              </w:rPr>
              <w:t>Some submitters were supportive of New Zealand taking action in line with the OECD hybrids package, but many submitters were in favour of adopting a targeted or phased approach to the OECD hybrids package focused on countering hybrid arrangements that are of most concern to New Zealand.</w:t>
            </w:r>
          </w:p>
          <w:p w:rsidR="00765777" w:rsidRPr="00626D29" w:rsidRDefault="00765777" w:rsidP="00E14BEF">
            <w:pPr>
              <w:spacing w:before="80" w:after="80"/>
              <w:jc w:val="left"/>
              <w:rPr>
                <w:sz w:val="22"/>
                <w:szCs w:val="22"/>
                <w:lang w:val="en-NZ"/>
              </w:rPr>
            </w:pPr>
            <w:r w:rsidRPr="00626D29">
              <w:rPr>
                <w:sz w:val="22"/>
                <w:szCs w:val="22"/>
                <w:lang w:val="en-NZ"/>
              </w:rPr>
              <w:t>Submitters also argued that the proposals would be complex and would raise the cost of capital in some instances.</w:t>
            </w:r>
          </w:p>
          <w:p w:rsidR="00765777" w:rsidRPr="00626D29" w:rsidRDefault="00765777" w:rsidP="00E14BEF">
            <w:pPr>
              <w:spacing w:before="80" w:after="80"/>
              <w:jc w:val="left"/>
              <w:rPr>
                <w:sz w:val="22"/>
                <w:szCs w:val="22"/>
                <w:lang w:val="en-NZ"/>
              </w:rPr>
            </w:pPr>
            <w:r w:rsidRPr="00626D29">
              <w:rPr>
                <w:sz w:val="22"/>
                <w:szCs w:val="22"/>
                <w:lang w:val="en-NZ"/>
              </w:rPr>
              <w:t xml:space="preserve">Some submitters suggested that the rules should incorporate a </w:t>
            </w:r>
            <w:r w:rsidRPr="00111EF8">
              <w:rPr>
                <w:i/>
                <w:sz w:val="22"/>
                <w:szCs w:val="22"/>
                <w:lang w:val="en-NZ"/>
              </w:rPr>
              <w:t>de minimis</w:t>
            </w:r>
            <w:r w:rsidRPr="00626D29">
              <w:rPr>
                <w:sz w:val="22"/>
                <w:szCs w:val="22"/>
                <w:lang w:val="en-NZ"/>
              </w:rPr>
              <w:t xml:space="preserve"> to reduce compliance costs.</w:t>
            </w:r>
          </w:p>
        </w:tc>
        <w:tc>
          <w:tcPr>
            <w:tcW w:w="5284" w:type="dxa"/>
          </w:tcPr>
          <w:p w:rsidR="00765777" w:rsidRPr="00626D29" w:rsidRDefault="00765777" w:rsidP="00E14BEF">
            <w:pPr>
              <w:spacing w:before="80" w:after="80"/>
              <w:jc w:val="left"/>
              <w:rPr>
                <w:sz w:val="22"/>
                <w:szCs w:val="22"/>
                <w:lang w:val="en-NZ"/>
              </w:rPr>
            </w:pPr>
            <w:r w:rsidRPr="00626D29">
              <w:rPr>
                <w:sz w:val="22"/>
                <w:szCs w:val="22"/>
                <w:lang w:val="en-NZ"/>
              </w:rPr>
              <w:t>The Government has decided that the best approach is a comprehensive adoption of the OECD recommendations with suitable modifications for the New Zealand context.</w:t>
            </w:r>
          </w:p>
          <w:p w:rsidR="00765777" w:rsidRPr="00626D29" w:rsidRDefault="00765777" w:rsidP="00E14BEF">
            <w:pPr>
              <w:spacing w:before="80" w:after="80"/>
              <w:jc w:val="left"/>
              <w:rPr>
                <w:sz w:val="22"/>
                <w:szCs w:val="22"/>
                <w:lang w:val="en-NZ"/>
              </w:rPr>
            </w:pPr>
            <w:r w:rsidRPr="00626D29">
              <w:rPr>
                <w:sz w:val="22"/>
                <w:szCs w:val="22"/>
                <w:lang w:val="en-NZ"/>
              </w:rPr>
              <w:t xml:space="preserve">The Government does not consider that a general </w:t>
            </w:r>
            <w:r w:rsidRPr="00111EF8">
              <w:rPr>
                <w:i/>
                <w:sz w:val="22"/>
                <w:szCs w:val="22"/>
                <w:lang w:val="en-NZ"/>
              </w:rPr>
              <w:t>de minimis</w:t>
            </w:r>
            <w:r w:rsidRPr="00626D29">
              <w:rPr>
                <w:sz w:val="22"/>
                <w:szCs w:val="22"/>
                <w:lang w:val="en-NZ"/>
              </w:rPr>
              <w:t xml:space="preserve"> is needed for the hybrid rules. </w:t>
            </w:r>
            <w:r w:rsidR="00E024A7" w:rsidRPr="00626D29">
              <w:rPr>
                <w:sz w:val="22"/>
                <w:szCs w:val="22"/>
                <w:lang w:val="en-NZ"/>
              </w:rPr>
              <w:t xml:space="preserve"> </w:t>
            </w:r>
            <w:r w:rsidRPr="00626D29">
              <w:rPr>
                <w:sz w:val="22"/>
                <w:szCs w:val="22"/>
                <w:lang w:val="en-NZ"/>
              </w:rPr>
              <w:t xml:space="preserve">(Although see below as to the specific </w:t>
            </w:r>
            <w:r w:rsidRPr="00111EF8">
              <w:rPr>
                <w:i/>
                <w:sz w:val="22"/>
                <w:szCs w:val="22"/>
                <w:lang w:val="en-NZ"/>
              </w:rPr>
              <w:t>de minimis</w:t>
            </w:r>
            <w:r w:rsidRPr="00626D29">
              <w:rPr>
                <w:sz w:val="22"/>
                <w:szCs w:val="22"/>
                <w:lang w:val="en-NZ"/>
              </w:rPr>
              <w:t xml:space="preserve"> for foreign trusts and limited partnerships.)</w:t>
            </w:r>
          </w:p>
        </w:tc>
      </w:tr>
      <w:tr w:rsidR="00765777" w:rsidRPr="00626D29" w:rsidTr="00765777">
        <w:tblPrEx>
          <w:tblLook w:val="04A0" w:firstRow="1" w:lastRow="0" w:firstColumn="1" w:lastColumn="0" w:noHBand="0" w:noVBand="1"/>
        </w:tblPrEx>
        <w:trPr>
          <w:cantSplit/>
        </w:trPr>
        <w:tc>
          <w:tcPr>
            <w:tcW w:w="4111" w:type="dxa"/>
          </w:tcPr>
          <w:p w:rsidR="00765777" w:rsidRPr="00626D29" w:rsidRDefault="00765777" w:rsidP="00E14BEF">
            <w:pPr>
              <w:spacing w:before="80" w:after="80"/>
              <w:jc w:val="left"/>
              <w:rPr>
                <w:b/>
                <w:sz w:val="22"/>
                <w:szCs w:val="22"/>
                <w:lang w:val="en-NZ"/>
              </w:rPr>
            </w:pPr>
            <w:r w:rsidRPr="00626D29">
              <w:rPr>
                <w:b/>
                <w:sz w:val="22"/>
                <w:szCs w:val="22"/>
                <w:lang w:val="en-NZ"/>
              </w:rPr>
              <w:t>Foreign trusts</w:t>
            </w:r>
          </w:p>
          <w:p w:rsidR="00765777" w:rsidRPr="00626D29" w:rsidRDefault="00765777" w:rsidP="00E14BEF">
            <w:pPr>
              <w:spacing w:before="80" w:after="80"/>
              <w:jc w:val="left"/>
              <w:rPr>
                <w:sz w:val="22"/>
                <w:szCs w:val="22"/>
                <w:lang w:val="en-NZ"/>
              </w:rPr>
            </w:pPr>
            <w:r w:rsidRPr="00626D29">
              <w:rPr>
                <w:sz w:val="22"/>
                <w:szCs w:val="22"/>
                <w:lang w:val="en-NZ"/>
              </w:rPr>
              <w:t>Foreign trusts will often be a “reverse hybrid” for the purposes of the hybrids rules and so should be subject to tax in New Zealand in certain circumstances.  This would effectively eliminate the current non-taxation of foreign trusts (on foreign sourced income) in most cases.</w:t>
            </w:r>
          </w:p>
        </w:tc>
        <w:tc>
          <w:tcPr>
            <w:tcW w:w="5283" w:type="dxa"/>
          </w:tcPr>
          <w:p w:rsidR="00765777" w:rsidRPr="00626D29" w:rsidRDefault="00765777" w:rsidP="00E14BEF">
            <w:pPr>
              <w:spacing w:before="80" w:after="80"/>
              <w:jc w:val="left"/>
              <w:rPr>
                <w:sz w:val="22"/>
                <w:szCs w:val="22"/>
                <w:lang w:val="en-NZ"/>
              </w:rPr>
            </w:pPr>
            <w:r w:rsidRPr="00626D29">
              <w:rPr>
                <w:sz w:val="22"/>
                <w:szCs w:val="22"/>
                <w:lang w:val="en-NZ"/>
              </w:rPr>
              <w:t>Submissions argued that foreign trusts are not actually reverse hybrids.</w:t>
            </w:r>
            <w:r w:rsidR="00E024A7" w:rsidRPr="00626D29">
              <w:rPr>
                <w:sz w:val="22"/>
                <w:szCs w:val="22"/>
                <w:lang w:val="en-NZ"/>
              </w:rPr>
              <w:t xml:space="preserve"> </w:t>
            </w:r>
            <w:r w:rsidRPr="00626D29">
              <w:rPr>
                <w:sz w:val="22"/>
                <w:szCs w:val="22"/>
                <w:lang w:val="en-NZ"/>
              </w:rPr>
              <w:t xml:space="preserve"> It was also argued that </w:t>
            </w:r>
            <w:r w:rsidR="00174ED3">
              <w:rPr>
                <w:sz w:val="22"/>
                <w:szCs w:val="22"/>
                <w:lang w:val="en-NZ"/>
              </w:rPr>
              <w:t xml:space="preserve">the </w:t>
            </w:r>
            <w:r w:rsidRPr="00626D29">
              <w:rPr>
                <w:sz w:val="22"/>
                <w:szCs w:val="22"/>
                <w:lang w:val="en-NZ"/>
              </w:rPr>
              <w:t>existing tax treatment of foreign trusts is conceptually appropriate and was co</w:t>
            </w:r>
            <w:r w:rsidR="00E34380">
              <w:rPr>
                <w:sz w:val="22"/>
                <w:szCs w:val="22"/>
                <w:lang w:val="en-NZ"/>
              </w:rPr>
              <w:t>nfirmed to be so by the Shewan I</w:t>
            </w:r>
            <w:r w:rsidRPr="00626D29">
              <w:rPr>
                <w:sz w:val="22"/>
                <w:szCs w:val="22"/>
                <w:lang w:val="en-NZ"/>
              </w:rPr>
              <w:t>nquiry (</w:t>
            </w:r>
            <w:r w:rsidRPr="00E34380">
              <w:rPr>
                <w:i/>
                <w:sz w:val="22"/>
                <w:szCs w:val="22"/>
                <w:lang w:val="en-NZ"/>
              </w:rPr>
              <w:t>Government Inquiry into Foreign Trust Disclosure Rules</w:t>
            </w:r>
            <w:r w:rsidRPr="00626D29">
              <w:rPr>
                <w:sz w:val="22"/>
                <w:szCs w:val="22"/>
                <w:lang w:val="en-NZ"/>
              </w:rPr>
              <w:t>).</w:t>
            </w:r>
          </w:p>
        </w:tc>
        <w:tc>
          <w:tcPr>
            <w:tcW w:w="5284" w:type="dxa"/>
          </w:tcPr>
          <w:p w:rsidR="00765777" w:rsidRPr="00626D29" w:rsidRDefault="00765777" w:rsidP="00E14BEF">
            <w:pPr>
              <w:spacing w:before="80" w:after="80"/>
              <w:jc w:val="left"/>
              <w:rPr>
                <w:sz w:val="22"/>
                <w:szCs w:val="22"/>
                <w:lang w:val="en-NZ"/>
              </w:rPr>
            </w:pPr>
            <w:r w:rsidRPr="00626D29">
              <w:rPr>
                <w:sz w:val="22"/>
                <w:szCs w:val="22"/>
                <w:lang w:val="en-NZ"/>
              </w:rPr>
              <w:t>The Government has decided that foreign trusts will be included within the scope of the rules where their treatment outside of New Zealand means income of the trust is not taxed anywhere in the world.</w:t>
            </w:r>
          </w:p>
          <w:p w:rsidR="00765777" w:rsidRPr="00626D29" w:rsidRDefault="00765777" w:rsidP="00E14BEF">
            <w:pPr>
              <w:spacing w:before="80" w:after="80"/>
              <w:jc w:val="left"/>
              <w:rPr>
                <w:sz w:val="22"/>
                <w:szCs w:val="22"/>
                <w:lang w:val="en-NZ"/>
              </w:rPr>
            </w:pPr>
            <w:r w:rsidRPr="00626D29">
              <w:rPr>
                <w:sz w:val="22"/>
                <w:szCs w:val="22"/>
                <w:lang w:val="en-NZ"/>
              </w:rPr>
              <w:t xml:space="preserve">A specific </w:t>
            </w:r>
            <w:r w:rsidRPr="00111EF8">
              <w:rPr>
                <w:i/>
                <w:sz w:val="22"/>
                <w:szCs w:val="22"/>
                <w:lang w:val="en-NZ"/>
              </w:rPr>
              <w:t>de minimis</w:t>
            </w:r>
            <w:r w:rsidRPr="00626D29">
              <w:rPr>
                <w:sz w:val="22"/>
                <w:szCs w:val="22"/>
                <w:lang w:val="en-NZ"/>
              </w:rPr>
              <w:t xml:space="preserve"> will be provided such that foreign trusts and limited partnerships are not subject to the rules if their foreign-sourced income does not exceed a certain threshold.</w:t>
            </w:r>
          </w:p>
          <w:p w:rsidR="00765777" w:rsidRPr="00626D29" w:rsidRDefault="00765777" w:rsidP="00E34380">
            <w:pPr>
              <w:spacing w:before="80" w:after="80"/>
              <w:jc w:val="left"/>
              <w:rPr>
                <w:sz w:val="22"/>
                <w:szCs w:val="22"/>
                <w:lang w:val="en-NZ"/>
              </w:rPr>
            </w:pPr>
            <w:r w:rsidRPr="00626D29">
              <w:rPr>
                <w:sz w:val="22"/>
                <w:szCs w:val="22"/>
                <w:lang w:val="en-NZ"/>
              </w:rPr>
              <w:t>The application of this rule will be delayed until 1</w:t>
            </w:r>
            <w:r w:rsidR="00E34380">
              <w:rPr>
                <w:sz w:val="22"/>
                <w:szCs w:val="22"/>
                <w:lang w:val="en-NZ"/>
              </w:rPr>
              <w:t> </w:t>
            </w:r>
            <w:r w:rsidRPr="00626D29">
              <w:rPr>
                <w:sz w:val="22"/>
                <w:szCs w:val="22"/>
                <w:lang w:val="en-NZ"/>
              </w:rPr>
              <w:t>April</w:t>
            </w:r>
            <w:r w:rsidR="00E34380">
              <w:rPr>
                <w:sz w:val="22"/>
                <w:szCs w:val="22"/>
                <w:lang w:val="en-NZ"/>
              </w:rPr>
              <w:t> </w:t>
            </w:r>
            <w:r w:rsidRPr="00626D29">
              <w:rPr>
                <w:sz w:val="22"/>
                <w:szCs w:val="22"/>
                <w:lang w:val="en-NZ"/>
              </w:rPr>
              <w:t>2019 to allow parties affected by this rule more time to assess their options.</w:t>
            </w:r>
          </w:p>
        </w:tc>
      </w:tr>
      <w:tr w:rsidR="00765777" w:rsidRPr="00626D29" w:rsidTr="00765777">
        <w:tblPrEx>
          <w:tblLook w:val="04A0" w:firstRow="1" w:lastRow="0" w:firstColumn="1" w:lastColumn="0" w:noHBand="0" w:noVBand="1"/>
        </w:tblPrEx>
        <w:trPr>
          <w:cantSplit/>
        </w:trPr>
        <w:tc>
          <w:tcPr>
            <w:tcW w:w="4111" w:type="dxa"/>
          </w:tcPr>
          <w:p w:rsidR="00765777" w:rsidRPr="00626D29" w:rsidRDefault="00765777" w:rsidP="00E14BEF">
            <w:pPr>
              <w:spacing w:before="80" w:after="80"/>
              <w:jc w:val="left"/>
              <w:rPr>
                <w:b/>
                <w:sz w:val="22"/>
                <w:szCs w:val="22"/>
                <w:lang w:val="en-NZ"/>
              </w:rPr>
            </w:pPr>
            <w:r w:rsidRPr="00626D29">
              <w:rPr>
                <w:b/>
                <w:sz w:val="22"/>
                <w:szCs w:val="22"/>
                <w:lang w:val="en-NZ"/>
              </w:rPr>
              <w:lastRenderedPageBreak/>
              <w:t>Foreign branches of N</w:t>
            </w:r>
            <w:r w:rsidR="00E34380">
              <w:rPr>
                <w:b/>
                <w:sz w:val="22"/>
                <w:szCs w:val="22"/>
                <w:lang w:val="en-NZ"/>
              </w:rPr>
              <w:t xml:space="preserve">ew </w:t>
            </w:r>
            <w:r w:rsidRPr="00626D29">
              <w:rPr>
                <w:b/>
                <w:sz w:val="22"/>
                <w:szCs w:val="22"/>
                <w:lang w:val="en-NZ"/>
              </w:rPr>
              <w:t>Z</w:t>
            </w:r>
            <w:r w:rsidR="00E34380">
              <w:rPr>
                <w:b/>
                <w:sz w:val="22"/>
                <w:szCs w:val="22"/>
                <w:lang w:val="en-NZ"/>
              </w:rPr>
              <w:t>ealand</w:t>
            </w:r>
            <w:r w:rsidRPr="00626D29">
              <w:rPr>
                <w:b/>
                <w:sz w:val="22"/>
                <w:szCs w:val="22"/>
                <w:lang w:val="en-NZ"/>
              </w:rPr>
              <w:t xml:space="preserve"> companies</w:t>
            </w:r>
          </w:p>
          <w:p w:rsidR="00765777" w:rsidRPr="00626D29" w:rsidRDefault="00765777" w:rsidP="00E14BEF">
            <w:pPr>
              <w:spacing w:before="80" w:after="80"/>
              <w:jc w:val="left"/>
              <w:rPr>
                <w:sz w:val="22"/>
                <w:szCs w:val="22"/>
                <w:lang w:val="en-NZ"/>
              </w:rPr>
            </w:pPr>
            <w:r w:rsidRPr="00626D29">
              <w:rPr>
                <w:sz w:val="22"/>
                <w:szCs w:val="22"/>
                <w:lang w:val="en-NZ"/>
              </w:rPr>
              <w:t>New Zealand companies will not be able to claim deductions for foreign branch losses.</w:t>
            </w:r>
          </w:p>
          <w:p w:rsidR="00765777" w:rsidRPr="00626D29" w:rsidRDefault="00765777" w:rsidP="00E14BEF">
            <w:pPr>
              <w:spacing w:before="80" w:after="80"/>
              <w:jc w:val="left"/>
              <w:rPr>
                <w:sz w:val="22"/>
                <w:szCs w:val="22"/>
                <w:lang w:val="en-NZ"/>
              </w:rPr>
            </w:pPr>
            <w:r w:rsidRPr="00626D29">
              <w:rPr>
                <w:sz w:val="22"/>
                <w:szCs w:val="22"/>
                <w:lang w:val="en-NZ"/>
              </w:rPr>
              <w:t>Submissions were sought on an active income exemption for branches.</w:t>
            </w:r>
          </w:p>
        </w:tc>
        <w:tc>
          <w:tcPr>
            <w:tcW w:w="5283" w:type="dxa"/>
          </w:tcPr>
          <w:p w:rsidR="00765777" w:rsidRPr="00626D29" w:rsidRDefault="00765777" w:rsidP="00E14BEF">
            <w:pPr>
              <w:spacing w:before="80" w:after="80"/>
              <w:jc w:val="left"/>
              <w:rPr>
                <w:sz w:val="22"/>
                <w:szCs w:val="22"/>
                <w:lang w:val="en-NZ"/>
              </w:rPr>
            </w:pPr>
            <w:r w:rsidRPr="00626D29">
              <w:rPr>
                <w:sz w:val="22"/>
                <w:szCs w:val="22"/>
                <w:lang w:val="en-NZ"/>
              </w:rPr>
              <w:t>In submissions and at subsequent consultation meetings, submitters were concerned about the proposal due to the relatively common structure of a New Zealand company with a simple foreign branch structure (and no ability to offset foreign losses).</w:t>
            </w:r>
          </w:p>
          <w:p w:rsidR="00765777" w:rsidRPr="00626D29" w:rsidRDefault="00765777" w:rsidP="00E14BEF">
            <w:pPr>
              <w:spacing w:before="80" w:after="80"/>
              <w:jc w:val="left"/>
              <w:rPr>
                <w:sz w:val="22"/>
                <w:szCs w:val="22"/>
                <w:lang w:val="en-NZ"/>
              </w:rPr>
            </w:pPr>
            <w:r w:rsidRPr="00626D29">
              <w:rPr>
                <w:sz w:val="22"/>
                <w:szCs w:val="22"/>
                <w:lang w:val="en-NZ"/>
              </w:rPr>
              <w:t>Submitters generally supported an active income exemption for branches.</w:t>
            </w:r>
          </w:p>
          <w:p w:rsidR="00765777" w:rsidRPr="00626D29" w:rsidRDefault="00765777" w:rsidP="00E14BEF">
            <w:pPr>
              <w:spacing w:before="80" w:after="80"/>
              <w:jc w:val="left"/>
              <w:rPr>
                <w:sz w:val="22"/>
                <w:szCs w:val="22"/>
                <w:lang w:val="en-NZ"/>
              </w:rPr>
            </w:pPr>
            <w:r w:rsidRPr="00626D29">
              <w:rPr>
                <w:sz w:val="22"/>
                <w:szCs w:val="22"/>
                <w:lang w:val="en-NZ"/>
              </w:rPr>
              <w:t xml:space="preserve">Submitters also thought a </w:t>
            </w:r>
            <w:r w:rsidRPr="00111EF8">
              <w:rPr>
                <w:i/>
                <w:sz w:val="22"/>
                <w:szCs w:val="22"/>
                <w:lang w:val="en-NZ"/>
              </w:rPr>
              <w:t>de minimis</w:t>
            </w:r>
            <w:r w:rsidRPr="00626D29">
              <w:rPr>
                <w:sz w:val="22"/>
                <w:szCs w:val="22"/>
                <w:lang w:val="en-NZ"/>
              </w:rPr>
              <w:t xml:space="preserve"> would be helpful to rule out SMEs with foreign branches.</w:t>
            </w:r>
          </w:p>
        </w:tc>
        <w:tc>
          <w:tcPr>
            <w:tcW w:w="5284" w:type="dxa"/>
          </w:tcPr>
          <w:p w:rsidR="00765777" w:rsidRPr="00626D29" w:rsidRDefault="00765777" w:rsidP="00E14BEF">
            <w:pPr>
              <w:spacing w:before="80" w:after="80"/>
              <w:jc w:val="left"/>
              <w:rPr>
                <w:sz w:val="22"/>
                <w:szCs w:val="22"/>
                <w:lang w:val="en-NZ"/>
              </w:rPr>
            </w:pPr>
            <w:r w:rsidRPr="00626D29">
              <w:rPr>
                <w:sz w:val="22"/>
                <w:szCs w:val="22"/>
                <w:lang w:val="en-NZ"/>
              </w:rPr>
              <w:t>An active income exemption for branches was decided to be outside the scope of the project.</w:t>
            </w:r>
            <w:r w:rsidR="00E024A7" w:rsidRPr="00626D29">
              <w:rPr>
                <w:sz w:val="22"/>
                <w:szCs w:val="22"/>
                <w:lang w:val="en-NZ"/>
              </w:rPr>
              <w:t xml:space="preserve"> </w:t>
            </w:r>
            <w:r w:rsidRPr="00626D29">
              <w:rPr>
                <w:sz w:val="22"/>
                <w:szCs w:val="22"/>
                <w:lang w:val="en-NZ"/>
              </w:rPr>
              <w:t xml:space="preserve"> This led to a consideration of alternative options in consultation with submitters.</w:t>
            </w:r>
          </w:p>
          <w:p w:rsidR="00765777" w:rsidRPr="00626D29" w:rsidRDefault="00765777" w:rsidP="00E14BEF">
            <w:pPr>
              <w:spacing w:before="80" w:after="80"/>
              <w:jc w:val="left"/>
              <w:rPr>
                <w:sz w:val="22"/>
                <w:szCs w:val="22"/>
                <w:lang w:val="en-NZ"/>
              </w:rPr>
            </w:pPr>
            <w:r w:rsidRPr="00626D29">
              <w:rPr>
                <w:sz w:val="22"/>
                <w:szCs w:val="22"/>
                <w:lang w:val="en-NZ"/>
              </w:rPr>
              <w:t>The Government has agreed to vary the OECD-recommended initial proposal so that taxpayers who have simple foreign branch structures that do not present a hybrid mismatch problem are not covered by the rules.</w:t>
            </w:r>
          </w:p>
        </w:tc>
      </w:tr>
      <w:tr w:rsidR="00765777" w:rsidRPr="00626D29" w:rsidTr="00765777">
        <w:tblPrEx>
          <w:tblLook w:val="04A0" w:firstRow="1" w:lastRow="0" w:firstColumn="1" w:lastColumn="0" w:noHBand="0" w:noVBand="1"/>
        </w:tblPrEx>
        <w:trPr>
          <w:cantSplit/>
        </w:trPr>
        <w:tc>
          <w:tcPr>
            <w:tcW w:w="4111" w:type="dxa"/>
          </w:tcPr>
          <w:p w:rsidR="00765777" w:rsidRPr="00626D29" w:rsidRDefault="00765777" w:rsidP="00E14BEF">
            <w:pPr>
              <w:spacing w:before="80" w:after="80"/>
              <w:jc w:val="left"/>
              <w:rPr>
                <w:b/>
                <w:sz w:val="22"/>
                <w:szCs w:val="22"/>
                <w:lang w:val="en-NZ"/>
              </w:rPr>
            </w:pPr>
            <w:r w:rsidRPr="00626D29">
              <w:rPr>
                <w:b/>
                <w:sz w:val="22"/>
                <w:szCs w:val="22"/>
                <w:lang w:val="en-NZ"/>
              </w:rPr>
              <w:t>Regulatory capital</w:t>
            </w:r>
          </w:p>
          <w:p w:rsidR="00765777" w:rsidRPr="00626D29" w:rsidRDefault="00765777" w:rsidP="00E14BEF">
            <w:pPr>
              <w:spacing w:before="80" w:after="80"/>
              <w:jc w:val="left"/>
              <w:rPr>
                <w:sz w:val="22"/>
                <w:szCs w:val="22"/>
                <w:lang w:val="en-NZ"/>
              </w:rPr>
            </w:pPr>
            <w:r w:rsidRPr="00626D29">
              <w:rPr>
                <w:sz w:val="22"/>
                <w:szCs w:val="22"/>
                <w:lang w:val="en-NZ"/>
              </w:rPr>
              <w:t>No exclusion from the hybrid rules should be made for bank regulatory capital.</w:t>
            </w:r>
          </w:p>
        </w:tc>
        <w:tc>
          <w:tcPr>
            <w:tcW w:w="5283" w:type="dxa"/>
          </w:tcPr>
          <w:p w:rsidR="00765777" w:rsidRPr="00626D29" w:rsidRDefault="00765777" w:rsidP="00E14BEF">
            <w:pPr>
              <w:spacing w:before="80" w:after="80"/>
              <w:jc w:val="left"/>
              <w:rPr>
                <w:sz w:val="22"/>
                <w:szCs w:val="22"/>
                <w:lang w:val="en-NZ"/>
              </w:rPr>
            </w:pPr>
            <w:r w:rsidRPr="00626D29">
              <w:rPr>
                <w:sz w:val="22"/>
                <w:szCs w:val="22"/>
                <w:lang w:val="en-NZ"/>
              </w:rPr>
              <w:t>Submitters argued that bank regulatory capital should be excluded from the scope of the rules.</w:t>
            </w:r>
          </w:p>
          <w:p w:rsidR="00765777" w:rsidRPr="00626D29" w:rsidRDefault="00765777" w:rsidP="00E14BEF">
            <w:pPr>
              <w:spacing w:before="80" w:after="80"/>
              <w:jc w:val="left"/>
              <w:rPr>
                <w:sz w:val="22"/>
                <w:szCs w:val="22"/>
                <w:lang w:val="en-NZ"/>
              </w:rPr>
            </w:pPr>
            <w:r w:rsidRPr="00626D29">
              <w:rPr>
                <w:sz w:val="22"/>
                <w:szCs w:val="22"/>
                <w:lang w:val="en-NZ"/>
              </w:rPr>
              <w:t xml:space="preserve">Submitters also argued that if bank regulatory </w:t>
            </w:r>
            <w:r w:rsidR="00174ED3">
              <w:rPr>
                <w:sz w:val="22"/>
                <w:szCs w:val="22"/>
                <w:lang w:val="en-NZ"/>
              </w:rPr>
              <w:t xml:space="preserve">capital </w:t>
            </w:r>
            <w:r w:rsidRPr="00626D29">
              <w:rPr>
                <w:sz w:val="22"/>
                <w:szCs w:val="22"/>
                <w:lang w:val="en-NZ"/>
              </w:rPr>
              <w:t>is not excluded from the rules, then there should be grandparented treatment for existing regulatory capital.</w:t>
            </w:r>
          </w:p>
        </w:tc>
        <w:tc>
          <w:tcPr>
            <w:tcW w:w="5284" w:type="dxa"/>
          </w:tcPr>
          <w:p w:rsidR="00765777" w:rsidRPr="00626D29" w:rsidRDefault="00765777" w:rsidP="00E14BEF">
            <w:pPr>
              <w:spacing w:before="80" w:after="80"/>
              <w:jc w:val="left"/>
              <w:rPr>
                <w:sz w:val="22"/>
                <w:szCs w:val="22"/>
                <w:lang w:val="en-NZ"/>
              </w:rPr>
            </w:pPr>
            <w:r w:rsidRPr="00626D29">
              <w:rPr>
                <w:sz w:val="22"/>
                <w:szCs w:val="22"/>
                <w:lang w:val="en-NZ"/>
              </w:rPr>
              <w:t>The Government has decided that there will be no general exclusion for regulatory capital.</w:t>
            </w:r>
          </w:p>
          <w:p w:rsidR="00765777" w:rsidRPr="00626D29" w:rsidRDefault="00765777" w:rsidP="00E14BEF">
            <w:pPr>
              <w:spacing w:before="80" w:after="80"/>
              <w:jc w:val="left"/>
              <w:rPr>
                <w:sz w:val="22"/>
                <w:szCs w:val="22"/>
                <w:lang w:val="en-NZ"/>
              </w:rPr>
            </w:pPr>
            <w:r w:rsidRPr="00626D29">
              <w:rPr>
                <w:sz w:val="22"/>
                <w:szCs w:val="22"/>
                <w:lang w:val="en-NZ"/>
              </w:rPr>
              <w:t>The Government has agreed with submissions in favour of grandparented treatment, meaning that for regulatory capital issued before 6 September 2016 (the date of the discussion document release) current tax treatment will continue until the next call date of the issue.</w:t>
            </w:r>
          </w:p>
        </w:tc>
      </w:tr>
      <w:tr w:rsidR="00765777" w:rsidRPr="00626D29" w:rsidTr="00765777">
        <w:tblPrEx>
          <w:tblLook w:val="04A0" w:firstRow="1" w:lastRow="0" w:firstColumn="1" w:lastColumn="0" w:noHBand="0" w:noVBand="1"/>
        </w:tblPrEx>
        <w:trPr>
          <w:cantSplit/>
        </w:trPr>
        <w:tc>
          <w:tcPr>
            <w:tcW w:w="4111" w:type="dxa"/>
          </w:tcPr>
          <w:p w:rsidR="00765777" w:rsidRPr="00626D29" w:rsidRDefault="00765777" w:rsidP="00E14BEF">
            <w:pPr>
              <w:spacing w:before="80" w:after="80"/>
              <w:jc w:val="left"/>
              <w:rPr>
                <w:b/>
                <w:sz w:val="22"/>
                <w:szCs w:val="22"/>
                <w:lang w:val="en-NZ"/>
              </w:rPr>
            </w:pPr>
            <w:r w:rsidRPr="00626D29">
              <w:rPr>
                <w:b/>
                <w:sz w:val="22"/>
                <w:szCs w:val="22"/>
                <w:lang w:val="en-NZ"/>
              </w:rPr>
              <w:t>Imported mismatches</w:t>
            </w:r>
          </w:p>
          <w:p w:rsidR="00765777" w:rsidRPr="00626D29" w:rsidRDefault="00765777" w:rsidP="00E14BEF">
            <w:pPr>
              <w:spacing w:before="80" w:after="80"/>
              <w:jc w:val="left"/>
              <w:rPr>
                <w:sz w:val="22"/>
                <w:szCs w:val="22"/>
                <w:lang w:val="en-NZ"/>
              </w:rPr>
            </w:pPr>
            <w:r w:rsidRPr="00626D29">
              <w:rPr>
                <w:sz w:val="22"/>
                <w:szCs w:val="22"/>
                <w:lang w:val="en-NZ"/>
              </w:rPr>
              <w:t>To introduce an imported mismatch rule to preserve the integrity of the other hybrid mismatch rules, as recommended by the OECD.</w:t>
            </w:r>
          </w:p>
        </w:tc>
        <w:tc>
          <w:tcPr>
            <w:tcW w:w="5283" w:type="dxa"/>
          </w:tcPr>
          <w:p w:rsidR="00765777" w:rsidRPr="00626D29" w:rsidRDefault="00765777" w:rsidP="00E14BEF">
            <w:pPr>
              <w:spacing w:before="80" w:after="80"/>
              <w:jc w:val="left"/>
              <w:rPr>
                <w:sz w:val="22"/>
                <w:szCs w:val="22"/>
                <w:lang w:val="en-NZ"/>
              </w:rPr>
            </w:pPr>
            <w:r w:rsidRPr="00626D29">
              <w:rPr>
                <w:sz w:val="22"/>
                <w:szCs w:val="22"/>
                <w:lang w:val="en-NZ"/>
              </w:rPr>
              <w:t>Submissions argued that the imported mismatch rule is complicated, i</w:t>
            </w:r>
            <w:r w:rsidR="00E024A7" w:rsidRPr="00626D29">
              <w:rPr>
                <w:sz w:val="22"/>
                <w:szCs w:val="22"/>
                <w:lang w:val="en-NZ"/>
              </w:rPr>
              <w:t>mpractical and is an overreach.</w:t>
            </w:r>
          </w:p>
        </w:tc>
        <w:tc>
          <w:tcPr>
            <w:tcW w:w="5284" w:type="dxa"/>
          </w:tcPr>
          <w:p w:rsidR="00765777" w:rsidRPr="00626D29" w:rsidRDefault="00765777" w:rsidP="00E14BEF">
            <w:pPr>
              <w:spacing w:before="80" w:after="80"/>
              <w:jc w:val="left"/>
              <w:rPr>
                <w:sz w:val="22"/>
                <w:szCs w:val="22"/>
                <w:lang w:val="en-NZ"/>
              </w:rPr>
            </w:pPr>
            <w:r w:rsidRPr="00626D29">
              <w:rPr>
                <w:sz w:val="22"/>
                <w:szCs w:val="22"/>
                <w:lang w:val="en-NZ"/>
              </w:rPr>
              <w:t>The Government has agreed that the imported mismatch rule will be introduced in full, but its application will be deferred for non-structured imported mismatch arrangements until 1 January 2020.</w:t>
            </w:r>
          </w:p>
        </w:tc>
      </w:tr>
    </w:tbl>
    <w:p w:rsidR="00765777" w:rsidRPr="00E40119" w:rsidRDefault="00765777" w:rsidP="00463F8C">
      <w:pPr>
        <w:pStyle w:val="Chapter5"/>
        <w:numPr>
          <w:ilvl w:val="0"/>
          <w:numId w:val="0"/>
        </w:numPr>
        <w:ind w:left="851" w:hanging="851"/>
        <w:jc w:val="left"/>
      </w:pPr>
    </w:p>
    <w:sectPr w:rsidR="00765777" w:rsidRPr="00E40119" w:rsidSect="00144BD7">
      <w:pgSz w:w="16838" w:h="11906" w:orient="landscape" w:code="9"/>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8CA" w:rsidRDefault="003318CA">
      <w:r>
        <w:separator/>
      </w:r>
    </w:p>
  </w:endnote>
  <w:endnote w:type="continuationSeparator" w:id="0">
    <w:p w:rsidR="003318CA" w:rsidRDefault="0033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CA" w:rsidRDefault="003318CA"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DB" w:rsidRDefault="00A44EDB" w:rsidP="00725975">
    <w:pPr>
      <w:pStyle w:val="Footer"/>
      <w:tabs>
        <w:tab w:val="clear" w:pos="4153"/>
      </w:tabs>
      <w:ind w:right="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DB" w:rsidRPr="00A44EDB" w:rsidRDefault="00A44EDB" w:rsidP="00A44EDB">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480730"/>
      <w:docPartObj>
        <w:docPartGallery w:val="Page Numbers (Bottom of Page)"/>
        <w:docPartUnique/>
      </w:docPartObj>
    </w:sdtPr>
    <w:sdtEndPr>
      <w:rPr>
        <w:noProof/>
        <w:sz w:val="20"/>
      </w:rPr>
    </w:sdtEndPr>
    <w:sdtContent>
      <w:p w:rsidR="00A44EDB" w:rsidRPr="00A44EDB" w:rsidRDefault="00A44EDB" w:rsidP="00A44EDB">
        <w:pPr>
          <w:pStyle w:val="Footer"/>
          <w:jc w:val="center"/>
          <w:rPr>
            <w:sz w:val="20"/>
          </w:rPr>
        </w:pPr>
        <w:r w:rsidRPr="00A44EDB">
          <w:rPr>
            <w:sz w:val="20"/>
          </w:rPr>
          <w:fldChar w:fldCharType="begin"/>
        </w:r>
        <w:r w:rsidRPr="00A44EDB">
          <w:rPr>
            <w:sz w:val="20"/>
          </w:rPr>
          <w:instrText xml:space="preserve"> PAGE   \* MERGEFORMAT </w:instrText>
        </w:r>
        <w:r w:rsidRPr="00A44EDB">
          <w:rPr>
            <w:sz w:val="20"/>
          </w:rPr>
          <w:fldChar w:fldCharType="separate"/>
        </w:r>
        <w:r>
          <w:rPr>
            <w:noProof/>
            <w:sz w:val="20"/>
          </w:rPr>
          <w:t>i</w:t>
        </w:r>
        <w:r w:rsidRPr="00A44EDB">
          <w:rPr>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CA" w:rsidRPr="00DB07D0" w:rsidRDefault="003318CA" w:rsidP="00DB07D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45990"/>
      <w:docPartObj>
        <w:docPartGallery w:val="Page Numbers (Bottom of Page)"/>
        <w:docPartUnique/>
      </w:docPartObj>
    </w:sdtPr>
    <w:sdtEndPr>
      <w:rPr>
        <w:noProof/>
        <w:sz w:val="22"/>
        <w:szCs w:val="22"/>
      </w:rPr>
    </w:sdtEndPr>
    <w:sdtContent>
      <w:p w:rsidR="003318CA" w:rsidRPr="008C28F7" w:rsidRDefault="008C28F7" w:rsidP="008C28F7">
        <w:pPr>
          <w:pStyle w:val="Footer"/>
          <w:jc w:val="center"/>
          <w:rPr>
            <w:sz w:val="22"/>
            <w:szCs w:val="22"/>
          </w:rPr>
        </w:pPr>
        <w:r w:rsidRPr="008C28F7">
          <w:rPr>
            <w:sz w:val="22"/>
            <w:szCs w:val="22"/>
          </w:rPr>
          <w:fldChar w:fldCharType="begin"/>
        </w:r>
        <w:r w:rsidRPr="008C28F7">
          <w:rPr>
            <w:sz w:val="22"/>
            <w:szCs w:val="22"/>
          </w:rPr>
          <w:instrText xml:space="preserve"> PAGE   \* MERGEFORMAT </w:instrText>
        </w:r>
        <w:r w:rsidRPr="008C28F7">
          <w:rPr>
            <w:sz w:val="22"/>
            <w:szCs w:val="22"/>
          </w:rPr>
          <w:fldChar w:fldCharType="separate"/>
        </w:r>
        <w:r w:rsidR="0016537E">
          <w:rPr>
            <w:noProof/>
            <w:sz w:val="22"/>
            <w:szCs w:val="22"/>
          </w:rPr>
          <w:t>8</w:t>
        </w:r>
        <w:r w:rsidRPr="008C28F7">
          <w:rPr>
            <w:noProof/>
            <w:sz w:val="22"/>
            <w:szCs w:val="22"/>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89873"/>
      <w:docPartObj>
        <w:docPartGallery w:val="Page Numbers (Bottom of Page)"/>
        <w:docPartUnique/>
      </w:docPartObj>
    </w:sdtPr>
    <w:sdtEndPr>
      <w:rPr>
        <w:noProof/>
      </w:rPr>
    </w:sdtEndPr>
    <w:sdtContent>
      <w:p w:rsidR="003318CA" w:rsidRPr="00C95521" w:rsidRDefault="008C28F7" w:rsidP="008C28F7">
        <w:pPr>
          <w:pStyle w:val="Footer"/>
          <w:jc w:val="center"/>
        </w:pPr>
        <w:r w:rsidRPr="008C28F7">
          <w:rPr>
            <w:sz w:val="22"/>
            <w:szCs w:val="22"/>
          </w:rPr>
          <w:fldChar w:fldCharType="begin"/>
        </w:r>
        <w:r w:rsidRPr="008C28F7">
          <w:rPr>
            <w:sz w:val="22"/>
            <w:szCs w:val="22"/>
          </w:rPr>
          <w:instrText xml:space="preserve"> PAGE   \* MERGEFORMAT </w:instrText>
        </w:r>
        <w:r w:rsidRPr="008C28F7">
          <w:rPr>
            <w:sz w:val="22"/>
            <w:szCs w:val="22"/>
          </w:rPr>
          <w:fldChar w:fldCharType="separate"/>
        </w:r>
        <w:r>
          <w:rPr>
            <w:noProof/>
            <w:sz w:val="22"/>
            <w:szCs w:val="22"/>
          </w:rPr>
          <w:t>1</w:t>
        </w:r>
        <w:r w:rsidRPr="008C28F7">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8CA" w:rsidRDefault="003318CA">
      <w:r>
        <w:separator/>
      </w:r>
    </w:p>
  </w:footnote>
  <w:footnote w:type="continuationSeparator" w:id="0">
    <w:p w:rsidR="003318CA" w:rsidRDefault="003318CA">
      <w:r>
        <w:continuationSeparator/>
      </w:r>
    </w:p>
  </w:footnote>
  <w:footnote w:id="1">
    <w:p w:rsidR="00144BD7" w:rsidRDefault="00144BD7">
      <w:pPr>
        <w:pStyle w:val="FootnoteText"/>
      </w:pPr>
      <w:r>
        <w:rPr>
          <w:rStyle w:val="FootnoteReference"/>
        </w:rPr>
        <w:footnoteRef/>
      </w:r>
      <w:r>
        <w:t xml:space="preserve"> </w:t>
      </w:r>
      <w:r w:rsidRPr="00144BD7">
        <w:rPr>
          <w:i/>
        </w:rPr>
        <w:t>Govt announces BEPS decisions</w:t>
      </w:r>
      <w:r>
        <w:t xml:space="preserve"> (3 August 2017), available at </w:t>
      </w:r>
      <w:r w:rsidRPr="00144BD7">
        <w:t>http://taxpolicy.ird.govt.nz/news/2017-08-03-govt-announces-beps-decisions</w:t>
      </w:r>
    </w:p>
  </w:footnote>
  <w:footnote w:id="2">
    <w:p w:rsidR="00144BD7" w:rsidRDefault="00144BD7">
      <w:pPr>
        <w:pStyle w:val="FootnoteText"/>
      </w:pPr>
      <w:r>
        <w:rPr>
          <w:rStyle w:val="FootnoteReference"/>
        </w:rPr>
        <w:footnoteRef/>
      </w:r>
      <w:r>
        <w:t xml:space="preserve"> </w:t>
      </w:r>
      <w:r w:rsidRPr="00144BD7">
        <w:rPr>
          <w:i/>
        </w:rPr>
        <w:t>BEPS – Policy reports, Cabinet papers and regulatory impact assessments</w:t>
      </w:r>
      <w:r>
        <w:t xml:space="preserve"> (August 2017), available at </w:t>
      </w:r>
      <w:r w:rsidRPr="00144BD7">
        <w:t>http://taxpolicy.ird.govt.nz/publications/2017-other-beps/overview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1">
    <w:nsid w:val="13B96319"/>
    <w:multiLevelType w:val="multilevel"/>
    <w:tmpl w:val="EDEE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66D7C7E"/>
    <w:multiLevelType w:val="multilevel"/>
    <w:tmpl w:val="F466844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Calibri" w:hAnsi="Calibri" w:hint="default"/>
      </w:rPr>
    </w:lvl>
    <w:lvl w:ilvl="2">
      <w:start w:val="1"/>
      <w:numFmt w:val="bullet"/>
      <w:lvlText w:val="–"/>
      <w:lvlJc w:val="left"/>
      <w:pPr>
        <w:tabs>
          <w:tab w:val="num" w:pos="1135"/>
        </w:tabs>
        <w:ind w:left="1135" w:hanging="284"/>
      </w:pPr>
      <w:rPr>
        <w:rFonts w:ascii="Times New Roman" w:hAnsi="Times New Roman" w:cs="Times New Roman" w:hint="default"/>
      </w:rPr>
    </w:lvl>
    <w:lvl w:ilvl="3">
      <w:start w:val="1"/>
      <w:numFmt w:val="decimal"/>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lowerRoman"/>
      <w:lvlText w:val="%6."/>
      <w:lvlJc w:val="right"/>
      <w:pPr>
        <w:tabs>
          <w:tab w:val="num" w:pos="1987"/>
        </w:tabs>
        <w:ind w:left="1987" w:hanging="567"/>
      </w:pPr>
      <w:rPr>
        <w:rFonts w:hint="default"/>
      </w:rPr>
    </w:lvl>
    <w:lvl w:ilvl="6">
      <w:start w:val="1"/>
      <w:numFmt w:val="decimal"/>
      <w:lvlText w:val="%7."/>
      <w:lvlJc w:val="left"/>
      <w:pPr>
        <w:tabs>
          <w:tab w:val="num" w:pos="2271"/>
        </w:tabs>
        <w:ind w:left="2271" w:hanging="567"/>
      </w:pPr>
      <w:rPr>
        <w:rFonts w:hint="default"/>
      </w:rPr>
    </w:lvl>
    <w:lvl w:ilvl="7">
      <w:start w:val="1"/>
      <w:numFmt w:val="lowerLetter"/>
      <w:lvlText w:val="%8."/>
      <w:lvlJc w:val="left"/>
      <w:pPr>
        <w:tabs>
          <w:tab w:val="num" w:pos="2555"/>
        </w:tabs>
        <w:ind w:left="2555" w:hanging="567"/>
      </w:pPr>
      <w:rPr>
        <w:rFonts w:hint="default"/>
      </w:rPr>
    </w:lvl>
    <w:lvl w:ilvl="8">
      <w:start w:val="1"/>
      <w:numFmt w:val="lowerRoman"/>
      <w:lvlText w:val="%9."/>
      <w:lvlJc w:val="right"/>
      <w:pPr>
        <w:tabs>
          <w:tab w:val="num" w:pos="2839"/>
        </w:tabs>
        <w:ind w:left="2839" w:hanging="567"/>
      </w:pPr>
      <w:rPr>
        <w:rFonts w:hint="default"/>
      </w:rPr>
    </w:lvl>
  </w:abstractNum>
  <w:abstractNum w:abstractNumId="4">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5">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CB146AC"/>
    <w:multiLevelType w:val="hybridMultilevel"/>
    <w:tmpl w:val="0E1834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CB034F"/>
    <w:multiLevelType w:val="hybridMultilevel"/>
    <w:tmpl w:val="7C70641C"/>
    <w:lvl w:ilvl="0" w:tplc="DA883CCA">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10">
    <w:nsid w:val="32175971"/>
    <w:multiLevelType w:val="hybridMultilevel"/>
    <w:tmpl w:val="0CEE6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7172E99"/>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75C0126"/>
    <w:multiLevelType w:val="hybridMultilevel"/>
    <w:tmpl w:val="03EAA1A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39095580"/>
    <w:multiLevelType w:val="hybridMultilevel"/>
    <w:tmpl w:val="92924EF4"/>
    <w:lvl w:ilvl="0" w:tplc="6BECC6D8">
      <w:start w:val="1"/>
      <w:numFmt w:val="decimal"/>
      <w:pStyle w:val="Heading1"/>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nsid w:val="4E56784C"/>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551850B7"/>
    <w:multiLevelType w:val="hybridMultilevel"/>
    <w:tmpl w:val="9DE6EF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22">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06D78D5"/>
    <w:multiLevelType w:val="hybridMultilevel"/>
    <w:tmpl w:val="FF1C63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25">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A2A2A77"/>
    <w:multiLevelType w:val="hybridMultilevel"/>
    <w:tmpl w:val="A22E4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F09054B"/>
    <w:multiLevelType w:val="hybridMultilevel"/>
    <w:tmpl w:val="86722BDC"/>
    <w:lvl w:ilvl="0" w:tplc="A8F6750E">
      <w:start w:val="1"/>
      <w:numFmt w:val="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1">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8"/>
  </w:num>
  <w:num w:numId="4">
    <w:abstractNumId w:val="20"/>
  </w:num>
  <w:num w:numId="5">
    <w:abstractNumId w:val="28"/>
  </w:num>
  <w:num w:numId="6">
    <w:abstractNumId w:val="4"/>
  </w:num>
  <w:num w:numId="7">
    <w:abstractNumId w:val="24"/>
  </w:num>
  <w:num w:numId="8">
    <w:abstractNumId w:val="11"/>
  </w:num>
  <w:num w:numId="9">
    <w:abstractNumId w:val="0"/>
  </w:num>
  <w:num w:numId="10">
    <w:abstractNumId w:val="2"/>
  </w:num>
  <w:num w:numId="11">
    <w:abstractNumId w:val="6"/>
  </w:num>
  <w:num w:numId="12">
    <w:abstractNumId w:val="22"/>
  </w:num>
  <w:num w:numId="13">
    <w:abstractNumId w:val="29"/>
  </w:num>
  <w:num w:numId="14">
    <w:abstractNumId w:val="25"/>
  </w:num>
  <w:num w:numId="15">
    <w:abstractNumId w:val="26"/>
  </w:num>
  <w:num w:numId="16">
    <w:abstractNumId w:val="15"/>
  </w:num>
  <w:num w:numId="17">
    <w:abstractNumId w:val="30"/>
  </w:num>
  <w:num w:numId="18">
    <w:abstractNumId w:val="21"/>
  </w:num>
  <w:num w:numId="19">
    <w:abstractNumId w:val="8"/>
  </w:num>
  <w:num w:numId="20">
    <w:abstractNumId w:val="31"/>
  </w:num>
  <w:num w:numId="21">
    <w:abstractNumId w:val="17"/>
  </w:num>
  <w:num w:numId="22">
    <w:abstractNumId w:val="12"/>
  </w:num>
  <w:num w:numId="23">
    <w:abstractNumId w:val="9"/>
  </w:num>
  <w:num w:numId="24">
    <w:abstractNumId w:val="18"/>
  </w:num>
  <w:num w:numId="25">
    <w:abstractNumId w:val="13"/>
  </w:num>
  <w:num w:numId="26">
    <w:abstractNumId w:val="1"/>
  </w:num>
  <w:num w:numId="27">
    <w:abstractNumId w:val="19"/>
  </w:num>
  <w:num w:numId="28">
    <w:abstractNumId w:val="27"/>
  </w:num>
  <w:num w:numId="29">
    <w:abstractNumId w:val="7"/>
  </w:num>
  <w:num w:numId="30">
    <w:abstractNumId w:val="3"/>
  </w:num>
  <w:num w:numId="31">
    <w:abstractNumId w:val="23"/>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A1"/>
    <w:rsid w:val="000022EC"/>
    <w:rsid w:val="0000377B"/>
    <w:rsid w:val="00003908"/>
    <w:rsid w:val="00006422"/>
    <w:rsid w:val="00007351"/>
    <w:rsid w:val="00007FF7"/>
    <w:rsid w:val="00012289"/>
    <w:rsid w:val="00014230"/>
    <w:rsid w:val="00015410"/>
    <w:rsid w:val="00015F50"/>
    <w:rsid w:val="0001695D"/>
    <w:rsid w:val="000171CE"/>
    <w:rsid w:val="00017767"/>
    <w:rsid w:val="0002323A"/>
    <w:rsid w:val="0002340B"/>
    <w:rsid w:val="00023739"/>
    <w:rsid w:val="000250E7"/>
    <w:rsid w:val="000251CA"/>
    <w:rsid w:val="0002735F"/>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7CC7"/>
    <w:rsid w:val="00047FF9"/>
    <w:rsid w:val="00050129"/>
    <w:rsid w:val="00050E51"/>
    <w:rsid w:val="00051E9F"/>
    <w:rsid w:val="000523E0"/>
    <w:rsid w:val="00053A26"/>
    <w:rsid w:val="00053BF5"/>
    <w:rsid w:val="0005471A"/>
    <w:rsid w:val="00055518"/>
    <w:rsid w:val="000570B4"/>
    <w:rsid w:val="0005761B"/>
    <w:rsid w:val="000578D5"/>
    <w:rsid w:val="00064C13"/>
    <w:rsid w:val="00064CDF"/>
    <w:rsid w:val="00067972"/>
    <w:rsid w:val="00070A6E"/>
    <w:rsid w:val="00072271"/>
    <w:rsid w:val="00074205"/>
    <w:rsid w:val="0007577B"/>
    <w:rsid w:val="00081340"/>
    <w:rsid w:val="00083D81"/>
    <w:rsid w:val="00084ED4"/>
    <w:rsid w:val="000852A1"/>
    <w:rsid w:val="00090841"/>
    <w:rsid w:val="00091439"/>
    <w:rsid w:val="000936CF"/>
    <w:rsid w:val="00096603"/>
    <w:rsid w:val="00096828"/>
    <w:rsid w:val="000972F9"/>
    <w:rsid w:val="00097D6E"/>
    <w:rsid w:val="000A1039"/>
    <w:rsid w:val="000A1771"/>
    <w:rsid w:val="000A1D11"/>
    <w:rsid w:val="000A21B8"/>
    <w:rsid w:val="000A2369"/>
    <w:rsid w:val="000A55B7"/>
    <w:rsid w:val="000A69BB"/>
    <w:rsid w:val="000A7407"/>
    <w:rsid w:val="000B0C18"/>
    <w:rsid w:val="000B1DE7"/>
    <w:rsid w:val="000B38A9"/>
    <w:rsid w:val="000B4164"/>
    <w:rsid w:val="000B5747"/>
    <w:rsid w:val="000C009E"/>
    <w:rsid w:val="000C0168"/>
    <w:rsid w:val="000C0315"/>
    <w:rsid w:val="000C3FFB"/>
    <w:rsid w:val="000C5DF3"/>
    <w:rsid w:val="000C5EB7"/>
    <w:rsid w:val="000C73AB"/>
    <w:rsid w:val="000C78C9"/>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1EF8"/>
    <w:rsid w:val="001142E4"/>
    <w:rsid w:val="00117C16"/>
    <w:rsid w:val="001201B6"/>
    <w:rsid w:val="00121752"/>
    <w:rsid w:val="0012550F"/>
    <w:rsid w:val="00126F60"/>
    <w:rsid w:val="00131B6A"/>
    <w:rsid w:val="001324ED"/>
    <w:rsid w:val="001348E3"/>
    <w:rsid w:val="00134C59"/>
    <w:rsid w:val="001353EA"/>
    <w:rsid w:val="00136CB8"/>
    <w:rsid w:val="00140748"/>
    <w:rsid w:val="001425E7"/>
    <w:rsid w:val="00143CAA"/>
    <w:rsid w:val="00144BD7"/>
    <w:rsid w:val="001455DB"/>
    <w:rsid w:val="0014563C"/>
    <w:rsid w:val="0015001E"/>
    <w:rsid w:val="00150A63"/>
    <w:rsid w:val="001526C7"/>
    <w:rsid w:val="0015532D"/>
    <w:rsid w:val="00157C9A"/>
    <w:rsid w:val="00160D92"/>
    <w:rsid w:val="00162125"/>
    <w:rsid w:val="0016327A"/>
    <w:rsid w:val="0016537E"/>
    <w:rsid w:val="00166D50"/>
    <w:rsid w:val="00166FD2"/>
    <w:rsid w:val="001702CB"/>
    <w:rsid w:val="00170CFB"/>
    <w:rsid w:val="001713B3"/>
    <w:rsid w:val="001722B8"/>
    <w:rsid w:val="00174ED3"/>
    <w:rsid w:val="00176CEC"/>
    <w:rsid w:val="00176E74"/>
    <w:rsid w:val="00177C80"/>
    <w:rsid w:val="00180ED9"/>
    <w:rsid w:val="00182551"/>
    <w:rsid w:val="001836E5"/>
    <w:rsid w:val="00183F66"/>
    <w:rsid w:val="00196612"/>
    <w:rsid w:val="00197444"/>
    <w:rsid w:val="001A2A81"/>
    <w:rsid w:val="001A2BCA"/>
    <w:rsid w:val="001A3053"/>
    <w:rsid w:val="001A385F"/>
    <w:rsid w:val="001A6A36"/>
    <w:rsid w:val="001A721B"/>
    <w:rsid w:val="001B57E9"/>
    <w:rsid w:val="001C23A1"/>
    <w:rsid w:val="001C38AE"/>
    <w:rsid w:val="001C6F6F"/>
    <w:rsid w:val="001C74B8"/>
    <w:rsid w:val="001D02C2"/>
    <w:rsid w:val="001D0512"/>
    <w:rsid w:val="001D47CB"/>
    <w:rsid w:val="001D4B71"/>
    <w:rsid w:val="001D5A37"/>
    <w:rsid w:val="001D72DE"/>
    <w:rsid w:val="001D768A"/>
    <w:rsid w:val="001D799C"/>
    <w:rsid w:val="001E193C"/>
    <w:rsid w:val="001E1CE3"/>
    <w:rsid w:val="001E3029"/>
    <w:rsid w:val="001E7D14"/>
    <w:rsid w:val="001F0321"/>
    <w:rsid w:val="001F1432"/>
    <w:rsid w:val="001F1B9D"/>
    <w:rsid w:val="001F35C8"/>
    <w:rsid w:val="001F6CB4"/>
    <w:rsid w:val="001F7F76"/>
    <w:rsid w:val="00200688"/>
    <w:rsid w:val="00200C96"/>
    <w:rsid w:val="00200EE6"/>
    <w:rsid w:val="002025E9"/>
    <w:rsid w:val="002033D4"/>
    <w:rsid w:val="002040FD"/>
    <w:rsid w:val="00205799"/>
    <w:rsid w:val="0020641A"/>
    <w:rsid w:val="002137D1"/>
    <w:rsid w:val="0021414A"/>
    <w:rsid w:val="002152CE"/>
    <w:rsid w:val="0021548E"/>
    <w:rsid w:val="00216D5E"/>
    <w:rsid w:val="00217C12"/>
    <w:rsid w:val="00225465"/>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4391"/>
    <w:rsid w:val="0025084A"/>
    <w:rsid w:val="002516B4"/>
    <w:rsid w:val="00253969"/>
    <w:rsid w:val="00254177"/>
    <w:rsid w:val="0026027E"/>
    <w:rsid w:val="00260B59"/>
    <w:rsid w:val="00260ED8"/>
    <w:rsid w:val="00263E47"/>
    <w:rsid w:val="00267C0F"/>
    <w:rsid w:val="0027067F"/>
    <w:rsid w:val="00271089"/>
    <w:rsid w:val="00273349"/>
    <w:rsid w:val="002770F2"/>
    <w:rsid w:val="00277C44"/>
    <w:rsid w:val="00283A2A"/>
    <w:rsid w:val="00286748"/>
    <w:rsid w:val="00290180"/>
    <w:rsid w:val="00291A59"/>
    <w:rsid w:val="0029316E"/>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491"/>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3A75"/>
    <w:rsid w:val="002F082A"/>
    <w:rsid w:val="002F102C"/>
    <w:rsid w:val="002F2C39"/>
    <w:rsid w:val="002F46B3"/>
    <w:rsid w:val="002F5A43"/>
    <w:rsid w:val="0030295B"/>
    <w:rsid w:val="003048A8"/>
    <w:rsid w:val="0030508B"/>
    <w:rsid w:val="0030535A"/>
    <w:rsid w:val="0030684E"/>
    <w:rsid w:val="00311DBB"/>
    <w:rsid w:val="003120D8"/>
    <w:rsid w:val="00317CA5"/>
    <w:rsid w:val="00320319"/>
    <w:rsid w:val="0032154C"/>
    <w:rsid w:val="0032499B"/>
    <w:rsid w:val="00325904"/>
    <w:rsid w:val="003265FB"/>
    <w:rsid w:val="003272EC"/>
    <w:rsid w:val="00331093"/>
    <w:rsid w:val="0033150F"/>
    <w:rsid w:val="003318CA"/>
    <w:rsid w:val="0033227F"/>
    <w:rsid w:val="00333F40"/>
    <w:rsid w:val="003356AC"/>
    <w:rsid w:val="003413ED"/>
    <w:rsid w:val="00341557"/>
    <w:rsid w:val="0034165E"/>
    <w:rsid w:val="00343FC6"/>
    <w:rsid w:val="0034639D"/>
    <w:rsid w:val="003473DB"/>
    <w:rsid w:val="00354453"/>
    <w:rsid w:val="003563D9"/>
    <w:rsid w:val="0036156A"/>
    <w:rsid w:val="00362461"/>
    <w:rsid w:val="00367337"/>
    <w:rsid w:val="00367C7B"/>
    <w:rsid w:val="00370F9D"/>
    <w:rsid w:val="00371125"/>
    <w:rsid w:val="0037173A"/>
    <w:rsid w:val="00373D19"/>
    <w:rsid w:val="00373E7D"/>
    <w:rsid w:val="00373F5D"/>
    <w:rsid w:val="003742E3"/>
    <w:rsid w:val="00374BD9"/>
    <w:rsid w:val="00374E66"/>
    <w:rsid w:val="003754D0"/>
    <w:rsid w:val="00380CAC"/>
    <w:rsid w:val="00381ABC"/>
    <w:rsid w:val="00384C7E"/>
    <w:rsid w:val="0038645D"/>
    <w:rsid w:val="00387D1E"/>
    <w:rsid w:val="00390F8D"/>
    <w:rsid w:val="00391A22"/>
    <w:rsid w:val="00391B92"/>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C055A"/>
    <w:rsid w:val="003C3352"/>
    <w:rsid w:val="003C3693"/>
    <w:rsid w:val="003C37C2"/>
    <w:rsid w:val="003C4126"/>
    <w:rsid w:val="003C502F"/>
    <w:rsid w:val="003C5519"/>
    <w:rsid w:val="003C594A"/>
    <w:rsid w:val="003C6105"/>
    <w:rsid w:val="003C6A12"/>
    <w:rsid w:val="003C75F6"/>
    <w:rsid w:val="003D0B49"/>
    <w:rsid w:val="003D1452"/>
    <w:rsid w:val="003D1CC8"/>
    <w:rsid w:val="003D6323"/>
    <w:rsid w:val="003D684E"/>
    <w:rsid w:val="003D6EF5"/>
    <w:rsid w:val="003D73BF"/>
    <w:rsid w:val="003E0056"/>
    <w:rsid w:val="003E02BB"/>
    <w:rsid w:val="003E44F6"/>
    <w:rsid w:val="003E51E2"/>
    <w:rsid w:val="003E7906"/>
    <w:rsid w:val="003E7977"/>
    <w:rsid w:val="003F03E7"/>
    <w:rsid w:val="003F5739"/>
    <w:rsid w:val="003F6AB6"/>
    <w:rsid w:val="003F6E87"/>
    <w:rsid w:val="0040117C"/>
    <w:rsid w:val="00401F0F"/>
    <w:rsid w:val="0040231F"/>
    <w:rsid w:val="00403468"/>
    <w:rsid w:val="00404CDB"/>
    <w:rsid w:val="00405235"/>
    <w:rsid w:val="0040742C"/>
    <w:rsid w:val="00413004"/>
    <w:rsid w:val="004137E5"/>
    <w:rsid w:val="0041492E"/>
    <w:rsid w:val="00414AC0"/>
    <w:rsid w:val="00414F89"/>
    <w:rsid w:val="0042286D"/>
    <w:rsid w:val="004243F7"/>
    <w:rsid w:val="004258D6"/>
    <w:rsid w:val="004306CC"/>
    <w:rsid w:val="00430BB2"/>
    <w:rsid w:val="00431555"/>
    <w:rsid w:val="00431E1A"/>
    <w:rsid w:val="004326C9"/>
    <w:rsid w:val="00432F19"/>
    <w:rsid w:val="00434294"/>
    <w:rsid w:val="00434570"/>
    <w:rsid w:val="00435C8B"/>
    <w:rsid w:val="00436FCD"/>
    <w:rsid w:val="0044126B"/>
    <w:rsid w:val="0044537A"/>
    <w:rsid w:val="00445690"/>
    <w:rsid w:val="0044726A"/>
    <w:rsid w:val="00447865"/>
    <w:rsid w:val="004478AE"/>
    <w:rsid w:val="00450226"/>
    <w:rsid w:val="00452856"/>
    <w:rsid w:val="00453713"/>
    <w:rsid w:val="00454686"/>
    <w:rsid w:val="00455B3C"/>
    <w:rsid w:val="00456DE8"/>
    <w:rsid w:val="004603E1"/>
    <w:rsid w:val="00463F8C"/>
    <w:rsid w:val="004649DC"/>
    <w:rsid w:val="004714F2"/>
    <w:rsid w:val="00477B93"/>
    <w:rsid w:val="00477FEA"/>
    <w:rsid w:val="00482460"/>
    <w:rsid w:val="00482B21"/>
    <w:rsid w:val="00482CDA"/>
    <w:rsid w:val="00485CD4"/>
    <w:rsid w:val="004865E4"/>
    <w:rsid w:val="00493A9F"/>
    <w:rsid w:val="004955E2"/>
    <w:rsid w:val="00495F1D"/>
    <w:rsid w:val="004A0BAE"/>
    <w:rsid w:val="004A11C8"/>
    <w:rsid w:val="004A1DEC"/>
    <w:rsid w:val="004A4529"/>
    <w:rsid w:val="004A6E86"/>
    <w:rsid w:val="004B0926"/>
    <w:rsid w:val="004B1B92"/>
    <w:rsid w:val="004B2F23"/>
    <w:rsid w:val="004B36B0"/>
    <w:rsid w:val="004B37FB"/>
    <w:rsid w:val="004B659E"/>
    <w:rsid w:val="004B684C"/>
    <w:rsid w:val="004B6F8B"/>
    <w:rsid w:val="004C1701"/>
    <w:rsid w:val="004C2444"/>
    <w:rsid w:val="004C2DB8"/>
    <w:rsid w:val="004C5738"/>
    <w:rsid w:val="004D2B7A"/>
    <w:rsid w:val="004D6158"/>
    <w:rsid w:val="004D773C"/>
    <w:rsid w:val="004E10A4"/>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6D4E"/>
    <w:rsid w:val="0050746B"/>
    <w:rsid w:val="00507805"/>
    <w:rsid w:val="005105C2"/>
    <w:rsid w:val="00512EC7"/>
    <w:rsid w:val="00513EFC"/>
    <w:rsid w:val="00514F79"/>
    <w:rsid w:val="00517261"/>
    <w:rsid w:val="005209B8"/>
    <w:rsid w:val="00521C06"/>
    <w:rsid w:val="00530A3D"/>
    <w:rsid w:val="0053146F"/>
    <w:rsid w:val="0053156B"/>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926"/>
    <w:rsid w:val="0057281A"/>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3A53"/>
    <w:rsid w:val="005B46A5"/>
    <w:rsid w:val="005C1D28"/>
    <w:rsid w:val="005C3DE8"/>
    <w:rsid w:val="005C64E5"/>
    <w:rsid w:val="005C6E37"/>
    <w:rsid w:val="005D1902"/>
    <w:rsid w:val="005D1BD6"/>
    <w:rsid w:val="005D1CBA"/>
    <w:rsid w:val="005D2143"/>
    <w:rsid w:val="005D3A47"/>
    <w:rsid w:val="005D51C1"/>
    <w:rsid w:val="005D6E01"/>
    <w:rsid w:val="005E0A51"/>
    <w:rsid w:val="005E0ADA"/>
    <w:rsid w:val="005E1382"/>
    <w:rsid w:val="005E168D"/>
    <w:rsid w:val="005E3C39"/>
    <w:rsid w:val="005E52FB"/>
    <w:rsid w:val="005E559F"/>
    <w:rsid w:val="005E6722"/>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31E5"/>
    <w:rsid w:val="00616004"/>
    <w:rsid w:val="006169BE"/>
    <w:rsid w:val="00617CE2"/>
    <w:rsid w:val="00617DFC"/>
    <w:rsid w:val="00617FD2"/>
    <w:rsid w:val="00620585"/>
    <w:rsid w:val="00624899"/>
    <w:rsid w:val="00626D29"/>
    <w:rsid w:val="00627E1F"/>
    <w:rsid w:val="00631AD7"/>
    <w:rsid w:val="00632A6B"/>
    <w:rsid w:val="006350A3"/>
    <w:rsid w:val="00635E6E"/>
    <w:rsid w:val="00635EB8"/>
    <w:rsid w:val="0063605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5264"/>
    <w:rsid w:val="0067654C"/>
    <w:rsid w:val="006772F4"/>
    <w:rsid w:val="00681F0D"/>
    <w:rsid w:val="00683EB1"/>
    <w:rsid w:val="00686E61"/>
    <w:rsid w:val="00690DC4"/>
    <w:rsid w:val="006922FB"/>
    <w:rsid w:val="00692772"/>
    <w:rsid w:val="006A23A6"/>
    <w:rsid w:val="006A2BE5"/>
    <w:rsid w:val="006A3B4D"/>
    <w:rsid w:val="006A6B54"/>
    <w:rsid w:val="006B0566"/>
    <w:rsid w:val="006B1316"/>
    <w:rsid w:val="006B2A85"/>
    <w:rsid w:val="006B5427"/>
    <w:rsid w:val="006B598A"/>
    <w:rsid w:val="006C0008"/>
    <w:rsid w:val="006D1287"/>
    <w:rsid w:val="006D5E8F"/>
    <w:rsid w:val="006D6102"/>
    <w:rsid w:val="006D69D1"/>
    <w:rsid w:val="006D75D7"/>
    <w:rsid w:val="006E19D8"/>
    <w:rsid w:val="006E1C6B"/>
    <w:rsid w:val="006E2848"/>
    <w:rsid w:val="006E44FA"/>
    <w:rsid w:val="006E50E7"/>
    <w:rsid w:val="006E6038"/>
    <w:rsid w:val="006F02AD"/>
    <w:rsid w:val="006F1D5A"/>
    <w:rsid w:val="006F3442"/>
    <w:rsid w:val="006F3E59"/>
    <w:rsid w:val="006F4D00"/>
    <w:rsid w:val="006F50C5"/>
    <w:rsid w:val="006F6822"/>
    <w:rsid w:val="0070017E"/>
    <w:rsid w:val="00701E76"/>
    <w:rsid w:val="007022BF"/>
    <w:rsid w:val="0070247E"/>
    <w:rsid w:val="00704AD1"/>
    <w:rsid w:val="007055A3"/>
    <w:rsid w:val="007056D0"/>
    <w:rsid w:val="00706992"/>
    <w:rsid w:val="00713702"/>
    <w:rsid w:val="00715279"/>
    <w:rsid w:val="00715D61"/>
    <w:rsid w:val="007161D3"/>
    <w:rsid w:val="00717358"/>
    <w:rsid w:val="00717673"/>
    <w:rsid w:val="00725975"/>
    <w:rsid w:val="00725B0D"/>
    <w:rsid w:val="00726C4D"/>
    <w:rsid w:val="007276C0"/>
    <w:rsid w:val="00727914"/>
    <w:rsid w:val="00727B0E"/>
    <w:rsid w:val="00727F7E"/>
    <w:rsid w:val="0073368E"/>
    <w:rsid w:val="007343A9"/>
    <w:rsid w:val="007351D5"/>
    <w:rsid w:val="007357CF"/>
    <w:rsid w:val="00736162"/>
    <w:rsid w:val="007369E2"/>
    <w:rsid w:val="007444CE"/>
    <w:rsid w:val="007452FA"/>
    <w:rsid w:val="007465AB"/>
    <w:rsid w:val="00746725"/>
    <w:rsid w:val="00746D40"/>
    <w:rsid w:val="0074770F"/>
    <w:rsid w:val="00747BCE"/>
    <w:rsid w:val="00750168"/>
    <w:rsid w:val="007510CF"/>
    <w:rsid w:val="007526F1"/>
    <w:rsid w:val="00753E8F"/>
    <w:rsid w:val="0075609C"/>
    <w:rsid w:val="00757846"/>
    <w:rsid w:val="00757E1F"/>
    <w:rsid w:val="007620E8"/>
    <w:rsid w:val="0076265A"/>
    <w:rsid w:val="00764FC2"/>
    <w:rsid w:val="00765777"/>
    <w:rsid w:val="007658B3"/>
    <w:rsid w:val="007664F6"/>
    <w:rsid w:val="00766F65"/>
    <w:rsid w:val="00776D47"/>
    <w:rsid w:val="007809E0"/>
    <w:rsid w:val="00780E1E"/>
    <w:rsid w:val="00782A42"/>
    <w:rsid w:val="0078345B"/>
    <w:rsid w:val="00783C1E"/>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B0045"/>
    <w:rsid w:val="007B06B7"/>
    <w:rsid w:val="007B3F45"/>
    <w:rsid w:val="007B454F"/>
    <w:rsid w:val="007B5A67"/>
    <w:rsid w:val="007B6B9F"/>
    <w:rsid w:val="007C033B"/>
    <w:rsid w:val="007C0792"/>
    <w:rsid w:val="007C23A7"/>
    <w:rsid w:val="007C2425"/>
    <w:rsid w:val="007C28DB"/>
    <w:rsid w:val="007C2F1B"/>
    <w:rsid w:val="007C5126"/>
    <w:rsid w:val="007E3625"/>
    <w:rsid w:val="007F0D94"/>
    <w:rsid w:val="007F1E98"/>
    <w:rsid w:val="007F5EF1"/>
    <w:rsid w:val="007F68CB"/>
    <w:rsid w:val="0080092E"/>
    <w:rsid w:val="008064B7"/>
    <w:rsid w:val="00811AAE"/>
    <w:rsid w:val="00813605"/>
    <w:rsid w:val="00816367"/>
    <w:rsid w:val="008164DA"/>
    <w:rsid w:val="008177B1"/>
    <w:rsid w:val="008201B3"/>
    <w:rsid w:val="00820687"/>
    <w:rsid w:val="00821169"/>
    <w:rsid w:val="00830AC3"/>
    <w:rsid w:val="00831363"/>
    <w:rsid w:val="00832939"/>
    <w:rsid w:val="00833BEF"/>
    <w:rsid w:val="00834092"/>
    <w:rsid w:val="00834C8A"/>
    <w:rsid w:val="00837387"/>
    <w:rsid w:val="00837D98"/>
    <w:rsid w:val="008421B3"/>
    <w:rsid w:val="008423EA"/>
    <w:rsid w:val="0084257B"/>
    <w:rsid w:val="008430E9"/>
    <w:rsid w:val="008464AB"/>
    <w:rsid w:val="0085013C"/>
    <w:rsid w:val="00850F10"/>
    <w:rsid w:val="00851B2F"/>
    <w:rsid w:val="00852377"/>
    <w:rsid w:val="008525B1"/>
    <w:rsid w:val="008529E2"/>
    <w:rsid w:val="008537EA"/>
    <w:rsid w:val="0085447D"/>
    <w:rsid w:val="00854C43"/>
    <w:rsid w:val="00854D7E"/>
    <w:rsid w:val="00854DFA"/>
    <w:rsid w:val="008569FB"/>
    <w:rsid w:val="00856C3E"/>
    <w:rsid w:val="00861702"/>
    <w:rsid w:val="00863BEF"/>
    <w:rsid w:val="008654D3"/>
    <w:rsid w:val="00873A37"/>
    <w:rsid w:val="008740E7"/>
    <w:rsid w:val="0087438E"/>
    <w:rsid w:val="00882647"/>
    <w:rsid w:val="008840A1"/>
    <w:rsid w:val="00886A68"/>
    <w:rsid w:val="00890CD7"/>
    <w:rsid w:val="00891892"/>
    <w:rsid w:val="008938CF"/>
    <w:rsid w:val="00893C67"/>
    <w:rsid w:val="0089509C"/>
    <w:rsid w:val="00895302"/>
    <w:rsid w:val="00896B56"/>
    <w:rsid w:val="008A3229"/>
    <w:rsid w:val="008A339E"/>
    <w:rsid w:val="008A36A9"/>
    <w:rsid w:val="008A58F1"/>
    <w:rsid w:val="008B371A"/>
    <w:rsid w:val="008B60D9"/>
    <w:rsid w:val="008C03D1"/>
    <w:rsid w:val="008C1ACF"/>
    <w:rsid w:val="008C28F7"/>
    <w:rsid w:val="008C3D45"/>
    <w:rsid w:val="008C44B8"/>
    <w:rsid w:val="008C4809"/>
    <w:rsid w:val="008C49ED"/>
    <w:rsid w:val="008C59DF"/>
    <w:rsid w:val="008C639C"/>
    <w:rsid w:val="008C7648"/>
    <w:rsid w:val="008C78BD"/>
    <w:rsid w:val="008D004A"/>
    <w:rsid w:val="008D4E6B"/>
    <w:rsid w:val="008E29D4"/>
    <w:rsid w:val="008E520E"/>
    <w:rsid w:val="008E5FD9"/>
    <w:rsid w:val="008E6715"/>
    <w:rsid w:val="008F0649"/>
    <w:rsid w:val="008F12F0"/>
    <w:rsid w:val="008F1B05"/>
    <w:rsid w:val="008F3A34"/>
    <w:rsid w:val="008F64CF"/>
    <w:rsid w:val="008F691D"/>
    <w:rsid w:val="00900193"/>
    <w:rsid w:val="00902A72"/>
    <w:rsid w:val="0091275E"/>
    <w:rsid w:val="009165B1"/>
    <w:rsid w:val="00921EBA"/>
    <w:rsid w:val="009234BB"/>
    <w:rsid w:val="00924AC6"/>
    <w:rsid w:val="00925651"/>
    <w:rsid w:val="00925E43"/>
    <w:rsid w:val="00926D28"/>
    <w:rsid w:val="00930D24"/>
    <w:rsid w:val="00933E77"/>
    <w:rsid w:val="009368ED"/>
    <w:rsid w:val="00937E27"/>
    <w:rsid w:val="009430F5"/>
    <w:rsid w:val="00943723"/>
    <w:rsid w:val="0094413F"/>
    <w:rsid w:val="0094416A"/>
    <w:rsid w:val="00945302"/>
    <w:rsid w:val="009523C4"/>
    <w:rsid w:val="00952BCD"/>
    <w:rsid w:val="00952BDA"/>
    <w:rsid w:val="00953AA6"/>
    <w:rsid w:val="00954411"/>
    <w:rsid w:val="00955F81"/>
    <w:rsid w:val="00956AA6"/>
    <w:rsid w:val="00957B8D"/>
    <w:rsid w:val="009620DD"/>
    <w:rsid w:val="0096344E"/>
    <w:rsid w:val="0096690D"/>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6335"/>
    <w:rsid w:val="009A68D0"/>
    <w:rsid w:val="009A69BB"/>
    <w:rsid w:val="009B05E1"/>
    <w:rsid w:val="009B08CA"/>
    <w:rsid w:val="009B14AC"/>
    <w:rsid w:val="009B32A4"/>
    <w:rsid w:val="009B408D"/>
    <w:rsid w:val="009B7311"/>
    <w:rsid w:val="009C1A5E"/>
    <w:rsid w:val="009C2842"/>
    <w:rsid w:val="009C5032"/>
    <w:rsid w:val="009C69CB"/>
    <w:rsid w:val="009C7462"/>
    <w:rsid w:val="009D34C0"/>
    <w:rsid w:val="009D4F0D"/>
    <w:rsid w:val="009D5D6E"/>
    <w:rsid w:val="009E0AD0"/>
    <w:rsid w:val="009E0D89"/>
    <w:rsid w:val="009E11B3"/>
    <w:rsid w:val="009E1E3B"/>
    <w:rsid w:val="009E3C5E"/>
    <w:rsid w:val="009E4DD2"/>
    <w:rsid w:val="009E59BC"/>
    <w:rsid w:val="009E59D6"/>
    <w:rsid w:val="009E79DB"/>
    <w:rsid w:val="009F0E76"/>
    <w:rsid w:val="009F2FD1"/>
    <w:rsid w:val="009F471E"/>
    <w:rsid w:val="009F5253"/>
    <w:rsid w:val="009F54C0"/>
    <w:rsid w:val="009F5816"/>
    <w:rsid w:val="00A01DB8"/>
    <w:rsid w:val="00A0205D"/>
    <w:rsid w:val="00A0658C"/>
    <w:rsid w:val="00A06F5B"/>
    <w:rsid w:val="00A071FB"/>
    <w:rsid w:val="00A11690"/>
    <w:rsid w:val="00A11BB8"/>
    <w:rsid w:val="00A13880"/>
    <w:rsid w:val="00A15951"/>
    <w:rsid w:val="00A23F7A"/>
    <w:rsid w:val="00A24CA9"/>
    <w:rsid w:val="00A2727C"/>
    <w:rsid w:val="00A27E9E"/>
    <w:rsid w:val="00A32DB0"/>
    <w:rsid w:val="00A331A0"/>
    <w:rsid w:val="00A33724"/>
    <w:rsid w:val="00A35A6F"/>
    <w:rsid w:val="00A36B22"/>
    <w:rsid w:val="00A36C68"/>
    <w:rsid w:val="00A3741A"/>
    <w:rsid w:val="00A37AFC"/>
    <w:rsid w:val="00A4184E"/>
    <w:rsid w:val="00A429E0"/>
    <w:rsid w:val="00A44DA0"/>
    <w:rsid w:val="00A44EDB"/>
    <w:rsid w:val="00A46BEC"/>
    <w:rsid w:val="00A47873"/>
    <w:rsid w:val="00A524BD"/>
    <w:rsid w:val="00A53438"/>
    <w:rsid w:val="00A56B86"/>
    <w:rsid w:val="00A57421"/>
    <w:rsid w:val="00A603D5"/>
    <w:rsid w:val="00A6138F"/>
    <w:rsid w:val="00A61A7A"/>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2D9B"/>
    <w:rsid w:val="00A94E6A"/>
    <w:rsid w:val="00A97A29"/>
    <w:rsid w:val="00A97A68"/>
    <w:rsid w:val="00AA0311"/>
    <w:rsid w:val="00AA0C0C"/>
    <w:rsid w:val="00AA0E96"/>
    <w:rsid w:val="00AA5C50"/>
    <w:rsid w:val="00AA79D8"/>
    <w:rsid w:val="00AB4BE6"/>
    <w:rsid w:val="00AB531F"/>
    <w:rsid w:val="00AB6656"/>
    <w:rsid w:val="00AC22BF"/>
    <w:rsid w:val="00AC2600"/>
    <w:rsid w:val="00AC4AFF"/>
    <w:rsid w:val="00AC65A1"/>
    <w:rsid w:val="00AC7AF4"/>
    <w:rsid w:val="00AE0153"/>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15E3"/>
    <w:rsid w:val="00B07A0B"/>
    <w:rsid w:val="00B13479"/>
    <w:rsid w:val="00B22A79"/>
    <w:rsid w:val="00B22D45"/>
    <w:rsid w:val="00B260AF"/>
    <w:rsid w:val="00B31398"/>
    <w:rsid w:val="00B32385"/>
    <w:rsid w:val="00B37D85"/>
    <w:rsid w:val="00B41A2D"/>
    <w:rsid w:val="00B41FA8"/>
    <w:rsid w:val="00B43E3E"/>
    <w:rsid w:val="00B44ABC"/>
    <w:rsid w:val="00B45404"/>
    <w:rsid w:val="00B4540D"/>
    <w:rsid w:val="00B46566"/>
    <w:rsid w:val="00B465D6"/>
    <w:rsid w:val="00B4770F"/>
    <w:rsid w:val="00B505E2"/>
    <w:rsid w:val="00B51BDC"/>
    <w:rsid w:val="00B527D9"/>
    <w:rsid w:val="00B539DE"/>
    <w:rsid w:val="00B53D41"/>
    <w:rsid w:val="00B55968"/>
    <w:rsid w:val="00B566D9"/>
    <w:rsid w:val="00B60E0C"/>
    <w:rsid w:val="00B61516"/>
    <w:rsid w:val="00B6161E"/>
    <w:rsid w:val="00B62657"/>
    <w:rsid w:val="00B65BA0"/>
    <w:rsid w:val="00B6659E"/>
    <w:rsid w:val="00B75517"/>
    <w:rsid w:val="00B80202"/>
    <w:rsid w:val="00B82CE2"/>
    <w:rsid w:val="00B82D7E"/>
    <w:rsid w:val="00B83BAD"/>
    <w:rsid w:val="00B84903"/>
    <w:rsid w:val="00B854CC"/>
    <w:rsid w:val="00B9700A"/>
    <w:rsid w:val="00B97CF9"/>
    <w:rsid w:val="00B97E0D"/>
    <w:rsid w:val="00BA0664"/>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34B3"/>
    <w:rsid w:val="00BC40EC"/>
    <w:rsid w:val="00BC496E"/>
    <w:rsid w:val="00BC4FA2"/>
    <w:rsid w:val="00BC5DD5"/>
    <w:rsid w:val="00BD04C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213D1"/>
    <w:rsid w:val="00C2295C"/>
    <w:rsid w:val="00C2477F"/>
    <w:rsid w:val="00C30A17"/>
    <w:rsid w:val="00C31F9D"/>
    <w:rsid w:val="00C33442"/>
    <w:rsid w:val="00C35A93"/>
    <w:rsid w:val="00C40C63"/>
    <w:rsid w:val="00C41427"/>
    <w:rsid w:val="00C41571"/>
    <w:rsid w:val="00C43493"/>
    <w:rsid w:val="00C44DCF"/>
    <w:rsid w:val="00C468BD"/>
    <w:rsid w:val="00C50DBF"/>
    <w:rsid w:val="00C540CC"/>
    <w:rsid w:val="00C55759"/>
    <w:rsid w:val="00C55E01"/>
    <w:rsid w:val="00C56D16"/>
    <w:rsid w:val="00C62970"/>
    <w:rsid w:val="00C727C3"/>
    <w:rsid w:val="00C748C2"/>
    <w:rsid w:val="00C74BA9"/>
    <w:rsid w:val="00C7580C"/>
    <w:rsid w:val="00C76B4F"/>
    <w:rsid w:val="00C77CF4"/>
    <w:rsid w:val="00C81DDE"/>
    <w:rsid w:val="00C83FA4"/>
    <w:rsid w:val="00C86B11"/>
    <w:rsid w:val="00C86C43"/>
    <w:rsid w:val="00C86EA7"/>
    <w:rsid w:val="00C86FB2"/>
    <w:rsid w:val="00C912FB"/>
    <w:rsid w:val="00C92BAA"/>
    <w:rsid w:val="00C93EEC"/>
    <w:rsid w:val="00C9417E"/>
    <w:rsid w:val="00C94D20"/>
    <w:rsid w:val="00C95521"/>
    <w:rsid w:val="00C97186"/>
    <w:rsid w:val="00CA040E"/>
    <w:rsid w:val="00CA2FDE"/>
    <w:rsid w:val="00CA33EC"/>
    <w:rsid w:val="00CA429C"/>
    <w:rsid w:val="00CA62FA"/>
    <w:rsid w:val="00CA6A71"/>
    <w:rsid w:val="00CA6D27"/>
    <w:rsid w:val="00CB0403"/>
    <w:rsid w:val="00CB4711"/>
    <w:rsid w:val="00CB659D"/>
    <w:rsid w:val="00CB66E1"/>
    <w:rsid w:val="00CB7A06"/>
    <w:rsid w:val="00CB7AFB"/>
    <w:rsid w:val="00CC08C3"/>
    <w:rsid w:val="00CC0F7B"/>
    <w:rsid w:val="00CC1226"/>
    <w:rsid w:val="00CC160E"/>
    <w:rsid w:val="00CC3062"/>
    <w:rsid w:val="00CC42CC"/>
    <w:rsid w:val="00CC5B57"/>
    <w:rsid w:val="00CD0F2D"/>
    <w:rsid w:val="00CD1568"/>
    <w:rsid w:val="00CD53FC"/>
    <w:rsid w:val="00CD54FB"/>
    <w:rsid w:val="00CD6895"/>
    <w:rsid w:val="00CD7BE9"/>
    <w:rsid w:val="00CD7C3C"/>
    <w:rsid w:val="00CE0083"/>
    <w:rsid w:val="00CE0435"/>
    <w:rsid w:val="00CE272B"/>
    <w:rsid w:val="00CE3301"/>
    <w:rsid w:val="00CE369C"/>
    <w:rsid w:val="00CE52B3"/>
    <w:rsid w:val="00CE56DF"/>
    <w:rsid w:val="00CE5C4D"/>
    <w:rsid w:val="00CE62AE"/>
    <w:rsid w:val="00CF0525"/>
    <w:rsid w:val="00CF2E35"/>
    <w:rsid w:val="00CF767D"/>
    <w:rsid w:val="00D01708"/>
    <w:rsid w:val="00D01D38"/>
    <w:rsid w:val="00D03B5C"/>
    <w:rsid w:val="00D05FF5"/>
    <w:rsid w:val="00D06CB1"/>
    <w:rsid w:val="00D10025"/>
    <w:rsid w:val="00D142DF"/>
    <w:rsid w:val="00D143EC"/>
    <w:rsid w:val="00D159C4"/>
    <w:rsid w:val="00D15E55"/>
    <w:rsid w:val="00D178A8"/>
    <w:rsid w:val="00D21CEF"/>
    <w:rsid w:val="00D227C1"/>
    <w:rsid w:val="00D2582C"/>
    <w:rsid w:val="00D25ADF"/>
    <w:rsid w:val="00D25D7B"/>
    <w:rsid w:val="00D27C1F"/>
    <w:rsid w:val="00D343C2"/>
    <w:rsid w:val="00D34A62"/>
    <w:rsid w:val="00D34BF2"/>
    <w:rsid w:val="00D34FD8"/>
    <w:rsid w:val="00D36967"/>
    <w:rsid w:val="00D40395"/>
    <w:rsid w:val="00D40489"/>
    <w:rsid w:val="00D40CED"/>
    <w:rsid w:val="00D40D21"/>
    <w:rsid w:val="00D40DEA"/>
    <w:rsid w:val="00D44877"/>
    <w:rsid w:val="00D44AA1"/>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9AA"/>
    <w:rsid w:val="00D674A1"/>
    <w:rsid w:val="00D739A9"/>
    <w:rsid w:val="00D73AEC"/>
    <w:rsid w:val="00D7474C"/>
    <w:rsid w:val="00D75FED"/>
    <w:rsid w:val="00D86C38"/>
    <w:rsid w:val="00D872DE"/>
    <w:rsid w:val="00D92359"/>
    <w:rsid w:val="00D9235C"/>
    <w:rsid w:val="00D923F3"/>
    <w:rsid w:val="00D92DBB"/>
    <w:rsid w:val="00D931AC"/>
    <w:rsid w:val="00D9428D"/>
    <w:rsid w:val="00D95D4A"/>
    <w:rsid w:val="00D96E48"/>
    <w:rsid w:val="00D972B1"/>
    <w:rsid w:val="00D97734"/>
    <w:rsid w:val="00D97F80"/>
    <w:rsid w:val="00DA01A3"/>
    <w:rsid w:val="00DA05CA"/>
    <w:rsid w:val="00DA0AC5"/>
    <w:rsid w:val="00DA5729"/>
    <w:rsid w:val="00DA67EF"/>
    <w:rsid w:val="00DA6FC7"/>
    <w:rsid w:val="00DA701D"/>
    <w:rsid w:val="00DA7AFB"/>
    <w:rsid w:val="00DA7C69"/>
    <w:rsid w:val="00DB07D0"/>
    <w:rsid w:val="00DB2E6B"/>
    <w:rsid w:val="00DB3494"/>
    <w:rsid w:val="00DB4B7D"/>
    <w:rsid w:val="00DC0193"/>
    <w:rsid w:val="00DC0AE9"/>
    <w:rsid w:val="00DC257B"/>
    <w:rsid w:val="00DC2AA9"/>
    <w:rsid w:val="00DC4C41"/>
    <w:rsid w:val="00DC5A64"/>
    <w:rsid w:val="00DC645C"/>
    <w:rsid w:val="00DC7B11"/>
    <w:rsid w:val="00DD0318"/>
    <w:rsid w:val="00DD0B87"/>
    <w:rsid w:val="00DD2224"/>
    <w:rsid w:val="00DD24AA"/>
    <w:rsid w:val="00DD3074"/>
    <w:rsid w:val="00DD30AA"/>
    <w:rsid w:val="00DD36E6"/>
    <w:rsid w:val="00DD37AC"/>
    <w:rsid w:val="00DD4609"/>
    <w:rsid w:val="00DD7B6D"/>
    <w:rsid w:val="00DE18C3"/>
    <w:rsid w:val="00DE1D76"/>
    <w:rsid w:val="00DE27E9"/>
    <w:rsid w:val="00DE7BB3"/>
    <w:rsid w:val="00DF1E8F"/>
    <w:rsid w:val="00DF3470"/>
    <w:rsid w:val="00DF3FBD"/>
    <w:rsid w:val="00E013D5"/>
    <w:rsid w:val="00E016B7"/>
    <w:rsid w:val="00E024A7"/>
    <w:rsid w:val="00E0570F"/>
    <w:rsid w:val="00E07D47"/>
    <w:rsid w:val="00E109A5"/>
    <w:rsid w:val="00E1246F"/>
    <w:rsid w:val="00E13118"/>
    <w:rsid w:val="00E13EBD"/>
    <w:rsid w:val="00E14BEF"/>
    <w:rsid w:val="00E17C9F"/>
    <w:rsid w:val="00E202F4"/>
    <w:rsid w:val="00E205BA"/>
    <w:rsid w:val="00E210FE"/>
    <w:rsid w:val="00E253EA"/>
    <w:rsid w:val="00E301A5"/>
    <w:rsid w:val="00E34380"/>
    <w:rsid w:val="00E3614C"/>
    <w:rsid w:val="00E371C8"/>
    <w:rsid w:val="00E40119"/>
    <w:rsid w:val="00E40A6C"/>
    <w:rsid w:val="00E40BF5"/>
    <w:rsid w:val="00E432F5"/>
    <w:rsid w:val="00E44E50"/>
    <w:rsid w:val="00E45366"/>
    <w:rsid w:val="00E462D6"/>
    <w:rsid w:val="00E511A0"/>
    <w:rsid w:val="00E53DD6"/>
    <w:rsid w:val="00E546C9"/>
    <w:rsid w:val="00E54DD0"/>
    <w:rsid w:val="00E55DF2"/>
    <w:rsid w:val="00E56819"/>
    <w:rsid w:val="00E570E8"/>
    <w:rsid w:val="00E5753C"/>
    <w:rsid w:val="00E6063A"/>
    <w:rsid w:val="00E65978"/>
    <w:rsid w:val="00E65B69"/>
    <w:rsid w:val="00E67A2D"/>
    <w:rsid w:val="00E749F0"/>
    <w:rsid w:val="00E75715"/>
    <w:rsid w:val="00E76BE8"/>
    <w:rsid w:val="00E82596"/>
    <w:rsid w:val="00E833E7"/>
    <w:rsid w:val="00E939A9"/>
    <w:rsid w:val="00E93E6B"/>
    <w:rsid w:val="00EA014C"/>
    <w:rsid w:val="00EA0226"/>
    <w:rsid w:val="00EA287A"/>
    <w:rsid w:val="00EA2C69"/>
    <w:rsid w:val="00EA2C7B"/>
    <w:rsid w:val="00EA330F"/>
    <w:rsid w:val="00EA3913"/>
    <w:rsid w:val="00EA492C"/>
    <w:rsid w:val="00EA546F"/>
    <w:rsid w:val="00EA6D27"/>
    <w:rsid w:val="00EB2A2E"/>
    <w:rsid w:val="00EB2A90"/>
    <w:rsid w:val="00EB2CEA"/>
    <w:rsid w:val="00EB39C6"/>
    <w:rsid w:val="00EB4577"/>
    <w:rsid w:val="00EB4672"/>
    <w:rsid w:val="00EB62F5"/>
    <w:rsid w:val="00EB7C38"/>
    <w:rsid w:val="00EC192C"/>
    <w:rsid w:val="00EC1D0C"/>
    <w:rsid w:val="00EC3CE3"/>
    <w:rsid w:val="00EC3F04"/>
    <w:rsid w:val="00EC4084"/>
    <w:rsid w:val="00EC6C95"/>
    <w:rsid w:val="00ED0B7F"/>
    <w:rsid w:val="00ED2ECA"/>
    <w:rsid w:val="00ED3065"/>
    <w:rsid w:val="00ED34D4"/>
    <w:rsid w:val="00ED45F2"/>
    <w:rsid w:val="00ED6BCA"/>
    <w:rsid w:val="00EE0020"/>
    <w:rsid w:val="00EE0128"/>
    <w:rsid w:val="00EE0CF4"/>
    <w:rsid w:val="00EE1B7B"/>
    <w:rsid w:val="00EE1C9E"/>
    <w:rsid w:val="00EE75AF"/>
    <w:rsid w:val="00EE7A56"/>
    <w:rsid w:val="00EF2E52"/>
    <w:rsid w:val="00EF3B15"/>
    <w:rsid w:val="00EF45E5"/>
    <w:rsid w:val="00EF4832"/>
    <w:rsid w:val="00EF4BC6"/>
    <w:rsid w:val="00EF6574"/>
    <w:rsid w:val="00EF69A0"/>
    <w:rsid w:val="00EF78D5"/>
    <w:rsid w:val="00EF7CD8"/>
    <w:rsid w:val="00EF7FF3"/>
    <w:rsid w:val="00F03A3A"/>
    <w:rsid w:val="00F044D3"/>
    <w:rsid w:val="00F06362"/>
    <w:rsid w:val="00F066BF"/>
    <w:rsid w:val="00F10C04"/>
    <w:rsid w:val="00F10FEA"/>
    <w:rsid w:val="00F11255"/>
    <w:rsid w:val="00F11498"/>
    <w:rsid w:val="00F11C72"/>
    <w:rsid w:val="00F156B4"/>
    <w:rsid w:val="00F15772"/>
    <w:rsid w:val="00F2131E"/>
    <w:rsid w:val="00F22381"/>
    <w:rsid w:val="00F24F51"/>
    <w:rsid w:val="00F276D3"/>
    <w:rsid w:val="00F33841"/>
    <w:rsid w:val="00F348C4"/>
    <w:rsid w:val="00F41228"/>
    <w:rsid w:val="00F413EE"/>
    <w:rsid w:val="00F42493"/>
    <w:rsid w:val="00F44E85"/>
    <w:rsid w:val="00F4543B"/>
    <w:rsid w:val="00F46053"/>
    <w:rsid w:val="00F46CDD"/>
    <w:rsid w:val="00F470B1"/>
    <w:rsid w:val="00F470C9"/>
    <w:rsid w:val="00F506B7"/>
    <w:rsid w:val="00F5748F"/>
    <w:rsid w:val="00F6425E"/>
    <w:rsid w:val="00F651C3"/>
    <w:rsid w:val="00F66195"/>
    <w:rsid w:val="00F67FF3"/>
    <w:rsid w:val="00F70596"/>
    <w:rsid w:val="00F7068F"/>
    <w:rsid w:val="00F752FE"/>
    <w:rsid w:val="00F772FD"/>
    <w:rsid w:val="00F800F8"/>
    <w:rsid w:val="00F82570"/>
    <w:rsid w:val="00F84DCA"/>
    <w:rsid w:val="00F862CB"/>
    <w:rsid w:val="00F86D96"/>
    <w:rsid w:val="00F90F96"/>
    <w:rsid w:val="00F92BED"/>
    <w:rsid w:val="00F967D5"/>
    <w:rsid w:val="00FA145B"/>
    <w:rsid w:val="00FB12F1"/>
    <w:rsid w:val="00FB1DF6"/>
    <w:rsid w:val="00FB1ECA"/>
    <w:rsid w:val="00FB1F12"/>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3687"/>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7914"/>
    <w:pPr>
      <w:jc w:val="both"/>
    </w:pPr>
    <w:rPr>
      <w:sz w:val="24"/>
      <w:lang w:val="en-GB" w:eastAsia="en-AU"/>
    </w:rPr>
  </w:style>
  <w:style w:type="paragraph" w:styleId="Heading1">
    <w:name w:val="heading 1"/>
    <w:basedOn w:val="Chapterheading"/>
    <w:next w:val="Normal"/>
    <w:link w:val="Heading1Char"/>
    <w:qFormat/>
    <w:rsid w:val="00DD24AA"/>
    <w:pPr>
      <w:numPr>
        <w:numId w:val="33"/>
      </w:numPr>
      <w:pBdr>
        <w:bottom w:val="single" w:sz="4" w:space="1" w:color="auto"/>
      </w:pBdr>
      <w:ind w:left="567" w:hanging="567"/>
      <w:jc w:val="left"/>
      <w:outlineLvl w:val="0"/>
    </w:pPr>
    <w:rPr>
      <w:caps w:val="0"/>
    </w:rPr>
  </w:style>
  <w:style w:type="paragraph" w:styleId="Heading2">
    <w:name w:val="heading 2"/>
    <w:basedOn w:val="Normal"/>
    <w:next w:val="Normal"/>
    <w:link w:val="Heading2Char"/>
    <w:qFormat/>
    <w:rsid w:val="00ED0B7F"/>
    <w:pPr>
      <w:keepNext/>
      <w:outlineLvl w:val="1"/>
    </w:pPr>
    <w:rPr>
      <w:b/>
      <w:i/>
      <w:szCs w:val="24"/>
      <w:lang w:val="en-NZ"/>
    </w:rPr>
  </w:style>
  <w:style w:type="paragraph" w:styleId="Heading3">
    <w:name w:val="heading 3"/>
    <w:basedOn w:val="Normal"/>
    <w:next w:val="Normal"/>
    <w:link w:val="Heading3Char"/>
    <w:qFormat/>
    <w:rsid w:val="00ED0B7F"/>
    <w:pPr>
      <w:keepNext/>
      <w:outlineLvl w:val="2"/>
    </w:pPr>
    <w:rPr>
      <w:i/>
      <w:lang w:val="en-NZ"/>
    </w:rPr>
  </w:style>
  <w:style w:type="paragraph" w:styleId="Heading4">
    <w:name w:val="heading 4"/>
    <w:next w:val="Normal"/>
    <w:qFormat/>
    <w:rsid w:val="00ED0B7F"/>
    <w:pPr>
      <w:keepNext/>
      <w:outlineLvl w:val="3"/>
    </w:pPr>
    <w:rPr>
      <w:bCs/>
      <w:sz w:val="24"/>
      <w:szCs w:val="28"/>
      <w:lang w:eastAsia="en-AU"/>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33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link w:val="FooterChar"/>
    <w:uiPriority w:val="99"/>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144BD7"/>
    <w:pPr>
      <w:tabs>
        <w:tab w:val="left" w:pos="851"/>
        <w:tab w:val="right" w:pos="8296"/>
      </w:tabs>
      <w:spacing w:before="240" w:after="240"/>
      <w:ind w:left="851" w:hanging="851"/>
      <w:jc w:val="left"/>
    </w:pPr>
    <w:rPr>
      <w:rFonts w:ascii="Times New Roman Bold" w:hAnsi="Times New Roman Bold"/>
      <w:b/>
      <w:noProof/>
      <w:szCs w:val="24"/>
      <w:lang w:val="en-NZ"/>
    </w:rPr>
  </w:style>
  <w:style w:type="paragraph" w:styleId="TOC2">
    <w:name w:val="toc 2"/>
    <w:basedOn w:val="Normal"/>
    <w:next w:val="Normal"/>
    <w:autoRedefine/>
    <w:uiPriority w:val="39"/>
    <w:rsid w:val="008F12F0"/>
    <w:pPr>
      <w:tabs>
        <w:tab w:val="left" w:pos="1701"/>
        <w:tab w:val="right" w:pos="8301"/>
      </w:tabs>
      <w:spacing w:before="40" w:after="40"/>
      <w:ind w:left="1701"/>
      <w:jc w:val="left"/>
    </w:pPr>
    <w:rPr>
      <w:sz w:val="22"/>
      <w:szCs w:val="24"/>
      <w:lang w:val="en-NZ"/>
    </w:rPr>
  </w:style>
  <w:style w:type="paragraph" w:styleId="TOC3">
    <w:name w:val="toc 3"/>
    <w:basedOn w:val="Normal"/>
    <w:next w:val="Normal"/>
    <w:autoRedefine/>
    <w:uiPriority w:val="39"/>
    <w:rsid w:val="008F12F0"/>
    <w:pPr>
      <w:tabs>
        <w:tab w:val="right" w:pos="8302"/>
      </w:tabs>
      <w:spacing w:before="20" w:after="20"/>
      <w:ind w:left="1701"/>
    </w:pPr>
    <w:rPr>
      <w:sz w:val="20"/>
      <w:szCs w:val="22"/>
      <w:lang w:val="en-NZ"/>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8F12F0"/>
    <w:pPr>
      <w:numPr>
        <w:numId w:val="2"/>
      </w:numPr>
      <w:tabs>
        <w:tab w:val="clear" w:pos="567"/>
        <w:tab w:val="left" w:pos="1418"/>
      </w:tabs>
      <w:spacing w:after="140"/>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val="en-NZ" w:eastAsia="en-US" w:bidi="ar-SA"/>
    </w:rPr>
  </w:style>
  <w:style w:type="character" w:customStyle="1" w:styleId="Chapter3Char1">
    <w:name w:val="Chapter 3 Char1"/>
    <w:basedOn w:val="Chapter2Char"/>
    <w:link w:val="Chapter3"/>
    <w:rsid w:val="000852A1"/>
    <w:rPr>
      <w:snapToGrid w:val="0"/>
      <w:sz w:val="24"/>
      <w:lang w:val="en-NZ" w:eastAsia="en-US" w:bidi="ar-SA"/>
    </w:rPr>
  </w:style>
  <w:style w:type="character" w:customStyle="1" w:styleId="Chapter5Char">
    <w:name w:val="Chapter 5 Char"/>
    <w:basedOn w:val="Chapter1Char1"/>
    <w:link w:val="Chapter5"/>
    <w:rsid w:val="000852A1"/>
    <w:rPr>
      <w:sz w:val="24"/>
      <w:lang w:val="en-NZ" w:eastAsia="en-AU" w:bidi="ar-SA"/>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DD24AA"/>
    <w:rPr>
      <w:rFonts w:ascii="Times New Roman Bold" w:hAnsi="Times New Roman Bold"/>
      <w:b/>
      <w:bCs/>
      <w:sz w:val="28"/>
      <w:szCs w:val="28"/>
      <w:lang w:eastAsia="en-AU"/>
    </w:rPr>
  </w:style>
  <w:style w:type="character" w:customStyle="1" w:styleId="Heading2Char">
    <w:name w:val="Heading 2 Char"/>
    <w:basedOn w:val="DefaultParagraphFont"/>
    <w:link w:val="Heading2"/>
    <w:rsid w:val="00ED0B7F"/>
    <w:rPr>
      <w:b/>
      <w:i/>
      <w:sz w:val="24"/>
      <w:szCs w:val="24"/>
      <w:lang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8F12F0"/>
    <w:rPr>
      <w:sz w:val="24"/>
      <w:lang w:eastAsia="en-AU"/>
    </w:rPr>
  </w:style>
  <w:style w:type="character" w:customStyle="1" w:styleId="Heading3Char">
    <w:name w:val="Heading 3 Char"/>
    <w:basedOn w:val="DefaultParagraphFont"/>
    <w:link w:val="Heading3"/>
    <w:rsid w:val="00ED0B7F"/>
    <w:rPr>
      <w:i/>
      <w:sz w:val="24"/>
      <w:lang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 w:type="paragraph" w:styleId="ListParagraph">
    <w:name w:val="List Paragraph"/>
    <w:basedOn w:val="Normal"/>
    <w:uiPriority w:val="34"/>
    <w:qFormat/>
    <w:rsid w:val="005C64E5"/>
    <w:pPr>
      <w:ind w:left="720"/>
      <w:contextualSpacing/>
    </w:pPr>
  </w:style>
  <w:style w:type="character" w:customStyle="1" w:styleId="FooterChar">
    <w:name w:val="Footer Char"/>
    <w:basedOn w:val="DefaultParagraphFont"/>
    <w:link w:val="Footer"/>
    <w:uiPriority w:val="99"/>
    <w:rsid w:val="00A44EDB"/>
    <w:rPr>
      <w:sz w:val="24"/>
      <w:lang w:val="en-GB" w:eastAsia="en-AU"/>
    </w:rPr>
  </w:style>
  <w:style w:type="paragraph" w:styleId="ListBullet">
    <w:name w:val="List Bullet"/>
    <w:basedOn w:val="Normal"/>
    <w:uiPriority w:val="99"/>
    <w:qFormat/>
    <w:rsid w:val="00B4540D"/>
    <w:pPr>
      <w:tabs>
        <w:tab w:val="num" w:pos="851"/>
      </w:tabs>
      <w:spacing w:after="60"/>
      <w:ind w:left="851" w:hanging="284"/>
      <w:jc w:val="left"/>
    </w:pPr>
    <w:rPr>
      <w:rFonts w:ascii="Verdana" w:hAnsi="Verdana" w:cs="Arial"/>
      <w:sz w:val="20"/>
      <w:lang w:val="en-NZ"/>
    </w:rPr>
  </w:style>
  <w:style w:type="paragraph" w:styleId="ListBullet2">
    <w:name w:val="List Bullet 2"/>
    <w:basedOn w:val="Normal"/>
    <w:uiPriority w:val="99"/>
    <w:qFormat/>
    <w:rsid w:val="00B4540D"/>
    <w:pPr>
      <w:tabs>
        <w:tab w:val="num" w:pos="1135"/>
        <w:tab w:val="left" w:pos="1418"/>
      </w:tabs>
      <w:spacing w:after="60"/>
      <w:ind w:left="1135" w:hanging="284"/>
      <w:jc w:val="left"/>
    </w:pPr>
    <w:rPr>
      <w:rFonts w:ascii="Verdana" w:hAnsi="Verdana" w:cs="Arial"/>
      <w:sz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7914"/>
    <w:pPr>
      <w:jc w:val="both"/>
    </w:pPr>
    <w:rPr>
      <w:sz w:val="24"/>
      <w:lang w:val="en-GB" w:eastAsia="en-AU"/>
    </w:rPr>
  </w:style>
  <w:style w:type="paragraph" w:styleId="Heading1">
    <w:name w:val="heading 1"/>
    <w:basedOn w:val="Chapterheading"/>
    <w:next w:val="Normal"/>
    <w:link w:val="Heading1Char"/>
    <w:qFormat/>
    <w:rsid w:val="00DD24AA"/>
    <w:pPr>
      <w:numPr>
        <w:numId w:val="33"/>
      </w:numPr>
      <w:pBdr>
        <w:bottom w:val="single" w:sz="4" w:space="1" w:color="auto"/>
      </w:pBdr>
      <w:ind w:left="567" w:hanging="567"/>
      <w:jc w:val="left"/>
      <w:outlineLvl w:val="0"/>
    </w:pPr>
    <w:rPr>
      <w:caps w:val="0"/>
    </w:rPr>
  </w:style>
  <w:style w:type="paragraph" w:styleId="Heading2">
    <w:name w:val="heading 2"/>
    <w:basedOn w:val="Normal"/>
    <w:next w:val="Normal"/>
    <w:link w:val="Heading2Char"/>
    <w:qFormat/>
    <w:rsid w:val="00ED0B7F"/>
    <w:pPr>
      <w:keepNext/>
      <w:outlineLvl w:val="1"/>
    </w:pPr>
    <w:rPr>
      <w:b/>
      <w:i/>
      <w:szCs w:val="24"/>
      <w:lang w:val="en-NZ"/>
    </w:rPr>
  </w:style>
  <w:style w:type="paragraph" w:styleId="Heading3">
    <w:name w:val="heading 3"/>
    <w:basedOn w:val="Normal"/>
    <w:next w:val="Normal"/>
    <w:link w:val="Heading3Char"/>
    <w:qFormat/>
    <w:rsid w:val="00ED0B7F"/>
    <w:pPr>
      <w:keepNext/>
      <w:outlineLvl w:val="2"/>
    </w:pPr>
    <w:rPr>
      <w:i/>
      <w:lang w:val="en-NZ"/>
    </w:rPr>
  </w:style>
  <w:style w:type="paragraph" w:styleId="Heading4">
    <w:name w:val="heading 4"/>
    <w:next w:val="Normal"/>
    <w:qFormat/>
    <w:rsid w:val="00ED0B7F"/>
    <w:pPr>
      <w:keepNext/>
      <w:outlineLvl w:val="3"/>
    </w:pPr>
    <w:rPr>
      <w:bCs/>
      <w:sz w:val="24"/>
      <w:szCs w:val="28"/>
      <w:lang w:eastAsia="en-AU"/>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33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link w:val="FooterChar"/>
    <w:uiPriority w:val="99"/>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144BD7"/>
    <w:pPr>
      <w:tabs>
        <w:tab w:val="left" w:pos="851"/>
        <w:tab w:val="right" w:pos="8296"/>
      </w:tabs>
      <w:spacing w:before="240" w:after="240"/>
      <w:ind w:left="851" w:hanging="851"/>
      <w:jc w:val="left"/>
    </w:pPr>
    <w:rPr>
      <w:rFonts w:ascii="Times New Roman Bold" w:hAnsi="Times New Roman Bold"/>
      <w:b/>
      <w:noProof/>
      <w:szCs w:val="24"/>
      <w:lang w:val="en-NZ"/>
    </w:rPr>
  </w:style>
  <w:style w:type="paragraph" w:styleId="TOC2">
    <w:name w:val="toc 2"/>
    <w:basedOn w:val="Normal"/>
    <w:next w:val="Normal"/>
    <w:autoRedefine/>
    <w:uiPriority w:val="39"/>
    <w:rsid w:val="008F12F0"/>
    <w:pPr>
      <w:tabs>
        <w:tab w:val="left" w:pos="1701"/>
        <w:tab w:val="right" w:pos="8301"/>
      </w:tabs>
      <w:spacing w:before="40" w:after="40"/>
      <w:ind w:left="1701"/>
      <w:jc w:val="left"/>
    </w:pPr>
    <w:rPr>
      <w:sz w:val="22"/>
      <w:szCs w:val="24"/>
      <w:lang w:val="en-NZ"/>
    </w:rPr>
  </w:style>
  <w:style w:type="paragraph" w:styleId="TOC3">
    <w:name w:val="toc 3"/>
    <w:basedOn w:val="Normal"/>
    <w:next w:val="Normal"/>
    <w:autoRedefine/>
    <w:uiPriority w:val="39"/>
    <w:rsid w:val="008F12F0"/>
    <w:pPr>
      <w:tabs>
        <w:tab w:val="right" w:pos="8302"/>
      </w:tabs>
      <w:spacing w:before="20" w:after="20"/>
      <w:ind w:left="1701"/>
    </w:pPr>
    <w:rPr>
      <w:sz w:val="20"/>
      <w:szCs w:val="22"/>
      <w:lang w:val="en-NZ"/>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8F12F0"/>
    <w:pPr>
      <w:numPr>
        <w:numId w:val="2"/>
      </w:numPr>
      <w:tabs>
        <w:tab w:val="clear" w:pos="567"/>
        <w:tab w:val="left" w:pos="1418"/>
      </w:tabs>
      <w:spacing w:after="140"/>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val="en-NZ" w:eastAsia="en-US" w:bidi="ar-SA"/>
    </w:rPr>
  </w:style>
  <w:style w:type="character" w:customStyle="1" w:styleId="Chapter3Char1">
    <w:name w:val="Chapter 3 Char1"/>
    <w:basedOn w:val="Chapter2Char"/>
    <w:link w:val="Chapter3"/>
    <w:rsid w:val="000852A1"/>
    <w:rPr>
      <w:snapToGrid w:val="0"/>
      <w:sz w:val="24"/>
      <w:lang w:val="en-NZ" w:eastAsia="en-US" w:bidi="ar-SA"/>
    </w:rPr>
  </w:style>
  <w:style w:type="character" w:customStyle="1" w:styleId="Chapter5Char">
    <w:name w:val="Chapter 5 Char"/>
    <w:basedOn w:val="Chapter1Char1"/>
    <w:link w:val="Chapter5"/>
    <w:rsid w:val="000852A1"/>
    <w:rPr>
      <w:sz w:val="24"/>
      <w:lang w:val="en-NZ" w:eastAsia="en-AU" w:bidi="ar-SA"/>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DD24AA"/>
    <w:rPr>
      <w:rFonts w:ascii="Times New Roman Bold" w:hAnsi="Times New Roman Bold"/>
      <w:b/>
      <w:bCs/>
      <w:sz w:val="28"/>
      <w:szCs w:val="28"/>
      <w:lang w:eastAsia="en-AU"/>
    </w:rPr>
  </w:style>
  <w:style w:type="character" w:customStyle="1" w:styleId="Heading2Char">
    <w:name w:val="Heading 2 Char"/>
    <w:basedOn w:val="DefaultParagraphFont"/>
    <w:link w:val="Heading2"/>
    <w:rsid w:val="00ED0B7F"/>
    <w:rPr>
      <w:b/>
      <w:i/>
      <w:sz w:val="24"/>
      <w:szCs w:val="24"/>
      <w:lang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8F12F0"/>
    <w:rPr>
      <w:sz w:val="24"/>
      <w:lang w:eastAsia="en-AU"/>
    </w:rPr>
  </w:style>
  <w:style w:type="character" w:customStyle="1" w:styleId="Heading3Char">
    <w:name w:val="Heading 3 Char"/>
    <w:basedOn w:val="DefaultParagraphFont"/>
    <w:link w:val="Heading3"/>
    <w:rsid w:val="00ED0B7F"/>
    <w:rPr>
      <w:i/>
      <w:sz w:val="24"/>
      <w:lang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 w:type="paragraph" w:styleId="ListParagraph">
    <w:name w:val="List Paragraph"/>
    <w:basedOn w:val="Normal"/>
    <w:uiPriority w:val="34"/>
    <w:qFormat/>
    <w:rsid w:val="005C64E5"/>
    <w:pPr>
      <w:ind w:left="720"/>
      <w:contextualSpacing/>
    </w:pPr>
  </w:style>
  <w:style w:type="character" w:customStyle="1" w:styleId="FooterChar">
    <w:name w:val="Footer Char"/>
    <w:basedOn w:val="DefaultParagraphFont"/>
    <w:link w:val="Footer"/>
    <w:uiPriority w:val="99"/>
    <w:rsid w:val="00A44EDB"/>
    <w:rPr>
      <w:sz w:val="24"/>
      <w:lang w:val="en-GB" w:eastAsia="en-AU"/>
    </w:rPr>
  </w:style>
  <w:style w:type="paragraph" w:styleId="ListBullet">
    <w:name w:val="List Bullet"/>
    <w:basedOn w:val="Normal"/>
    <w:uiPriority w:val="99"/>
    <w:qFormat/>
    <w:rsid w:val="00B4540D"/>
    <w:pPr>
      <w:tabs>
        <w:tab w:val="num" w:pos="851"/>
      </w:tabs>
      <w:spacing w:after="60"/>
      <w:ind w:left="851" w:hanging="284"/>
      <w:jc w:val="left"/>
    </w:pPr>
    <w:rPr>
      <w:rFonts w:ascii="Verdana" w:hAnsi="Verdana" w:cs="Arial"/>
      <w:sz w:val="20"/>
      <w:lang w:val="en-NZ"/>
    </w:rPr>
  </w:style>
  <w:style w:type="paragraph" w:styleId="ListBullet2">
    <w:name w:val="List Bullet 2"/>
    <w:basedOn w:val="Normal"/>
    <w:uiPriority w:val="99"/>
    <w:qFormat/>
    <w:rsid w:val="00B4540D"/>
    <w:pPr>
      <w:tabs>
        <w:tab w:val="num" w:pos="1135"/>
        <w:tab w:val="left" w:pos="1418"/>
      </w:tabs>
      <w:spacing w:after="60"/>
      <w:ind w:left="1135" w:hanging="284"/>
      <w:jc w:val="left"/>
    </w:pPr>
    <w:rPr>
      <w:rFonts w:ascii="Verdana" w:hAnsi="Verdana" w:cs="Arial"/>
      <w:sz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260064871">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5648665">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 w:id="21203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2717</Words>
  <Characters>15192</Characters>
  <Application>Microsoft Office Word</Application>
  <DocSecurity>0</DocSecurity>
  <Lines>542</Lines>
  <Paragraphs>159</Paragraphs>
  <ScaleCrop>false</ScaleCrop>
  <HeadingPairs>
    <vt:vector size="2" baseType="variant">
      <vt:variant>
        <vt:lpstr>Title</vt:lpstr>
      </vt:variant>
      <vt:variant>
        <vt:i4>1</vt:i4>
      </vt:variant>
    </vt:vector>
  </HeadingPairs>
  <TitlesOfParts>
    <vt:vector size="1" baseType="lpstr">
      <vt:lpstr>Base erosion and profit shifting - A summary of the key policy decisions (August 2017)</vt:lpstr>
    </vt:vector>
  </TitlesOfParts>
  <Company>Inland Revenue</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erosion and profit shifting - A summary of the key policy decisions (August 2017)</dc:title>
  <dc:subject/>
  <dc:creator>Policy and Strategy</dc:creator>
  <cp:keywords/>
  <cp:lastModifiedBy>Wendy Watkin</cp:lastModifiedBy>
  <cp:revision>2</cp:revision>
  <dcterms:created xsi:type="dcterms:W3CDTF">2017-08-13T22:58:00Z</dcterms:created>
  <dcterms:modified xsi:type="dcterms:W3CDTF">2017-08-13T23:00:00Z</dcterms:modified>
</cp:coreProperties>
</file>