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A2" w:rsidRDefault="00BD5DA2" w:rsidP="003B3058">
      <w:pPr>
        <w:jc w:val="right"/>
      </w:pPr>
      <w:bookmarkStart w:id="0" w:name="_GoBack"/>
      <w:bookmarkEnd w:id="0"/>
    </w:p>
    <w:p w:rsidR="003B3058" w:rsidRDefault="00CF4A6F" w:rsidP="003B3058">
      <w:pPr>
        <w:jc w:val="right"/>
      </w:pPr>
      <w:r w:rsidRPr="002D4514">
        <w:rPr>
          <w:rFonts w:ascii="Verdana" w:hAnsi="Verdana" w:cs="Times New Roman"/>
          <w:b/>
          <w:noProof/>
          <w:sz w:val="32"/>
          <w:szCs w:val="20"/>
          <w:lang w:eastAsia="en-NZ"/>
        </w:rPr>
        <w:drawing>
          <wp:anchor distT="0" distB="0" distL="114300" distR="114300" simplePos="0" relativeHeight="251659264" behindDoc="0" locked="0" layoutInCell="1" allowOverlap="1" wp14:anchorId="1FA5F843" wp14:editId="3D31E733">
            <wp:simplePos x="0" y="0"/>
            <wp:positionH relativeFrom="margin">
              <wp:align>left</wp:align>
            </wp:positionH>
            <wp:positionV relativeFrom="margin">
              <wp:align>top</wp:align>
            </wp:positionV>
            <wp:extent cx="2042160" cy="570230"/>
            <wp:effectExtent l="0" t="0" r="0" b="1270"/>
            <wp:wrapSquare wrapText="bothSides"/>
            <wp:docPr id="1" name="Picture 1" descr="Inland Revenue logo with Māori name, Te Tari Taake." title="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ogo black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160" cy="570230"/>
                    </a:xfrm>
                    <a:prstGeom prst="rect">
                      <a:avLst/>
                    </a:prstGeom>
                  </pic:spPr>
                </pic:pic>
              </a:graphicData>
            </a:graphic>
            <wp14:sizeRelH relativeFrom="page">
              <wp14:pctWidth>0</wp14:pctWidth>
            </wp14:sizeRelH>
            <wp14:sizeRelV relativeFrom="page">
              <wp14:pctHeight>0</wp14:pctHeight>
            </wp14:sizeRelV>
          </wp:anchor>
        </w:drawing>
      </w:r>
      <w:r w:rsidR="00BD5DA2">
        <w:t>February 2017</w:t>
      </w:r>
    </w:p>
    <w:p w:rsidR="00BD5DA2" w:rsidRDefault="00BD5DA2" w:rsidP="003B3058">
      <w:pPr>
        <w:jc w:val="right"/>
      </w:pPr>
    </w:p>
    <w:p w:rsidR="00BD5DA2" w:rsidRDefault="00BD5DA2" w:rsidP="00CF4A6F"/>
    <w:p w:rsidR="00BD5DA2" w:rsidRDefault="00BD5DA2" w:rsidP="00CF4A6F"/>
    <w:p w:rsidR="005313CC" w:rsidRDefault="00AC005F" w:rsidP="00CE5DA5">
      <w:pPr>
        <w:jc w:val="center"/>
        <w:rPr>
          <w:b/>
          <w:sz w:val="36"/>
          <w:szCs w:val="36"/>
        </w:rPr>
      </w:pPr>
      <w:r w:rsidRPr="00CE5DA5">
        <w:rPr>
          <w:b/>
          <w:sz w:val="36"/>
          <w:szCs w:val="36"/>
        </w:rPr>
        <w:t>Automatic Exchange of Information</w:t>
      </w:r>
    </w:p>
    <w:p w:rsidR="009D27A0" w:rsidRDefault="009D27A0" w:rsidP="00CE5DA5">
      <w:pPr>
        <w:jc w:val="center"/>
        <w:rPr>
          <w:b/>
          <w:sz w:val="36"/>
          <w:szCs w:val="36"/>
        </w:rPr>
      </w:pPr>
    </w:p>
    <w:p w:rsidR="00CC64BF" w:rsidRPr="00E30C37" w:rsidRDefault="00BD5DA2" w:rsidP="00E30C37">
      <w:pPr>
        <w:pStyle w:val="Title"/>
      </w:pPr>
      <w:r w:rsidRPr="00E30C37">
        <w:t>Changes to the Common Reporting Standard User Guide and CRS XML Schema v1.0</w:t>
      </w:r>
    </w:p>
    <w:p w:rsidR="00536C26" w:rsidRDefault="00536C26" w:rsidP="00536C26"/>
    <w:p w:rsidR="00BD5DA2" w:rsidRDefault="00BD5DA2" w:rsidP="00BD5DA2"/>
    <w:p w:rsidR="00BD5DA2" w:rsidRDefault="00BD5DA2" w:rsidP="00BD5DA2">
      <w:pPr>
        <w:pStyle w:val="Heading1"/>
      </w:pPr>
      <w:r>
        <w:t>Introduction</w:t>
      </w:r>
    </w:p>
    <w:p w:rsidR="00BD5DA2" w:rsidRDefault="00BD5DA2" w:rsidP="00BD5DA2"/>
    <w:p w:rsidR="00BD5DA2" w:rsidRDefault="00BD5DA2" w:rsidP="00BD5DA2">
      <w:r>
        <w:t>The Standard for Automatic Exchange of Financial Account Information in Tax Matters (in short, Automatic Exchange of Information, or AEOI) was developed by the Organisation for Economic Co-operation and Development (OECD) to assist countries in the detection and prevention of ‘offshore’ tax evasion.  It is a global initiative for the automated exchange of financial account information between international tax treaty partners.  New Zealand has committed to supporting this initiative.</w:t>
      </w:r>
    </w:p>
    <w:p w:rsidR="00BD5DA2" w:rsidRDefault="00BD5DA2" w:rsidP="00BD5DA2"/>
    <w:p w:rsidR="00BD5DA2" w:rsidRDefault="00BD5DA2" w:rsidP="00BD5DA2">
      <w:r>
        <w:t>The Standard for Automatic Exchange of Financial Account Information in Tax Matters (the “Standard”) is a document that the OECD has published to assist jurisdictions with their implementation of AEOI.  The Standard contains the Model Competent Authority Agreement and Common Reporting Standard, Commentaries on the MCAA and the CRS, and guidance on the technical solution.</w:t>
      </w:r>
    </w:p>
    <w:p w:rsidR="00BD5DA2" w:rsidRDefault="00BD5DA2" w:rsidP="00BD5DA2"/>
    <w:p w:rsidR="00BD5DA2" w:rsidRDefault="00BD5DA2" w:rsidP="00BD5DA2">
      <w:r>
        <w:t>Part of the technical solution to support the Standard is an XML schema, which is to be used for the automatic exchange of financial account information between NZ’s exchange partners.  This schema can also be used by NZ financial institutions to submit their disclosure information to Inland Revenue.  The Common Reporting Standard User Guide to using this schema can be found in Annex 3 of the Standard.</w:t>
      </w:r>
    </w:p>
    <w:p w:rsidR="00BD5DA2" w:rsidRDefault="00BD5DA2" w:rsidP="00BD5DA2"/>
    <w:p w:rsidR="00BD5DA2" w:rsidRDefault="00BD5DA2" w:rsidP="00BD5DA2">
      <w:r>
        <w:t>Subsequent to the publishing of the Standard, delegates to the Expert Sub-Group on Mutual Administrative Assistance in Tax Matters (the “ESG”) have requested certain changes to how the schema is used.  The changes to the Common Reporting Standard User Guide were approved by the Expert Sub-Group on Mutual Administrative Assistance in Tax Matters and Working Party 10, and will need to be reflected in XML disclosures that New Zealand financial institutions submit to Inland Revenue.</w:t>
      </w:r>
    </w:p>
    <w:p w:rsidR="00BD5DA2" w:rsidRDefault="00BD5DA2" w:rsidP="00BD5DA2"/>
    <w:p w:rsidR="00BD5DA2" w:rsidRDefault="00BD5DA2" w:rsidP="00BD5DA2"/>
    <w:p w:rsidR="00BD5DA2" w:rsidRDefault="00BD5DA2" w:rsidP="00BD5DA2">
      <w:pPr>
        <w:pStyle w:val="Heading1"/>
      </w:pPr>
      <w:r>
        <w:t>Correcting and deleting information</w:t>
      </w:r>
    </w:p>
    <w:p w:rsidR="00BD5DA2" w:rsidRDefault="00BD5DA2" w:rsidP="00BD5DA2"/>
    <w:p w:rsidR="00BD5DA2" w:rsidRDefault="00BD5DA2" w:rsidP="00BD5DA2">
      <w:r>
        <w:t>These changes have been made to how financial institutions and reporting jurisdictions can correct disclosure information that has already been submitted:</w:t>
      </w:r>
    </w:p>
    <w:p w:rsidR="00BD5DA2" w:rsidRDefault="00BD5DA2" w:rsidP="00BD5DA2"/>
    <w:p w:rsidR="00BD5DA2" w:rsidRDefault="00BD5DA2" w:rsidP="00BD5DA2">
      <w:pPr>
        <w:pStyle w:val="List-Bullet"/>
      </w:pPr>
      <w:r>
        <w:t xml:space="preserve">The CorrMessageRefId is no longer required, as every correctable element can be identified by its unique DocRefId.  This means that the CorrMessageRefId cannot be </w:t>
      </w:r>
      <w:r>
        <w:lastRenderedPageBreak/>
        <w:t>used to delete an entire disclosure.  Instead, a corrected disclosure should be sent deleting all of the records (using the original DocRefIds) of the original disclosure.</w:t>
      </w:r>
    </w:p>
    <w:p w:rsidR="00BD5DA2" w:rsidRDefault="00BD5DA2" w:rsidP="00BD5DA2">
      <w:pPr>
        <w:pStyle w:val="List-Bullet"/>
      </w:pPr>
      <w:r>
        <w:t>Uncorrected information (such as when resubmitting reporting FI information) will not require the use of a new DocRefID.</w:t>
      </w:r>
    </w:p>
    <w:p w:rsidR="00BD5DA2" w:rsidRDefault="00BD5DA2" w:rsidP="00E30C37">
      <w:pPr>
        <w:pStyle w:val="List-Bullet"/>
        <w:spacing w:after="0"/>
      </w:pPr>
      <w:r>
        <w:t>The Resend function in the DocTypeIndic element of the schema can now be used.  Therefore, the following changes should be made to page 253 of the User Guide:</w:t>
      </w:r>
    </w:p>
    <w:p w:rsidR="00BD5DA2" w:rsidRDefault="00BD5DA2" w:rsidP="008C4807">
      <w:pPr>
        <w:tabs>
          <w:tab w:val="left" w:pos="567"/>
        </w:tabs>
        <w:ind w:left="567"/>
      </w:pPr>
    </w:p>
    <w:p w:rsidR="00BD5DA2" w:rsidRPr="008C4807" w:rsidRDefault="00BD5DA2" w:rsidP="008C4807">
      <w:pPr>
        <w:tabs>
          <w:tab w:val="left" w:pos="567"/>
        </w:tabs>
        <w:ind w:left="567"/>
        <w:rPr>
          <w:u w:val="single"/>
        </w:rPr>
      </w:pPr>
      <w:r w:rsidRPr="008C4807">
        <w:rPr>
          <w:u w:val="single"/>
        </w:rPr>
        <w:t>DocTypeIndic</w:t>
      </w:r>
    </w:p>
    <w:p w:rsidR="00BD5DA2" w:rsidRDefault="00BD5DA2" w:rsidP="008C4807">
      <w:pPr>
        <w:tabs>
          <w:tab w:val="left" w:pos="567"/>
        </w:tabs>
        <w:ind w:left="567"/>
      </w:pPr>
    </w:p>
    <w:p w:rsidR="00BD5DA2" w:rsidRDefault="00BD5DA2" w:rsidP="008C4807">
      <w:pPr>
        <w:tabs>
          <w:tab w:val="left" w:pos="567"/>
        </w:tabs>
        <w:ind w:left="567"/>
      </w:pPr>
      <w:r>
        <w:t>This element specifies the type of data being submitted.  Allowable entries are:</w:t>
      </w:r>
    </w:p>
    <w:p w:rsidR="00E30C37" w:rsidRDefault="00E30C37" w:rsidP="008C4807">
      <w:pPr>
        <w:tabs>
          <w:tab w:val="left" w:pos="567"/>
        </w:tabs>
        <w:ind w:left="567"/>
      </w:pPr>
    </w:p>
    <w:p w:rsidR="00BD5DA2" w:rsidRDefault="00BD5DA2" w:rsidP="00E30C37">
      <w:pPr>
        <w:pStyle w:val="List-Bullet"/>
        <w:numPr>
          <w:ilvl w:val="0"/>
          <w:numId w:val="21"/>
        </w:numPr>
        <w:tabs>
          <w:tab w:val="left" w:pos="851"/>
        </w:tabs>
        <w:spacing w:after="0"/>
        <w:ind w:left="851" w:hanging="284"/>
      </w:pPr>
      <w:r>
        <w:t>OECD0 = Resend Data (only used when resending the Reporting FI element)</w:t>
      </w:r>
    </w:p>
    <w:p w:rsidR="00BD5DA2" w:rsidRDefault="00BD5DA2" w:rsidP="00E30C37">
      <w:pPr>
        <w:pStyle w:val="List-Bullet"/>
        <w:numPr>
          <w:ilvl w:val="0"/>
          <w:numId w:val="21"/>
        </w:numPr>
        <w:tabs>
          <w:tab w:val="left" w:pos="851"/>
        </w:tabs>
        <w:spacing w:after="0"/>
        <w:ind w:left="851" w:hanging="284"/>
      </w:pPr>
      <w:r>
        <w:t>OECD1 = New Data</w:t>
      </w:r>
    </w:p>
    <w:p w:rsidR="00BD5DA2" w:rsidRDefault="00BD5DA2" w:rsidP="00E30C37">
      <w:pPr>
        <w:pStyle w:val="List-Bullet"/>
        <w:numPr>
          <w:ilvl w:val="0"/>
          <w:numId w:val="21"/>
        </w:numPr>
        <w:tabs>
          <w:tab w:val="left" w:pos="851"/>
        </w:tabs>
        <w:spacing w:after="0"/>
        <w:ind w:left="851" w:hanging="284"/>
      </w:pPr>
      <w:r>
        <w:t>OECD2 = Corrected Data</w:t>
      </w:r>
    </w:p>
    <w:p w:rsidR="00BD5DA2" w:rsidRDefault="00BD5DA2" w:rsidP="00E30C37">
      <w:pPr>
        <w:pStyle w:val="List-Bullet"/>
        <w:numPr>
          <w:ilvl w:val="0"/>
          <w:numId w:val="21"/>
        </w:numPr>
        <w:tabs>
          <w:tab w:val="left" w:pos="851"/>
        </w:tabs>
        <w:spacing w:after="0"/>
        <w:ind w:left="851" w:hanging="284"/>
      </w:pPr>
      <w:r>
        <w:t>OECD3 = Deletion of Data</w:t>
      </w:r>
    </w:p>
    <w:p w:rsidR="00BD5DA2" w:rsidRDefault="00BD5DA2" w:rsidP="00E30C37">
      <w:pPr>
        <w:pStyle w:val="List-Bullet"/>
        <w:numPr>
          <w:ilvl w:val="0"/>
          <w:numId w:val="21"/>
        </w:numPr>
        <w:tabs>
          <w:tab w:val="left" w:pos="851"/>
        </w:tabs>
        <w:spacing w:after="0"/>
        <w:ind w:left="851" w:hanging="284"/>
      </w:pPr>
      <w:r>
        <w:t>OECD10 = Resent Test Data (only used when resending the Reporting FI element)</w:t>
      </w:r>
    </w:p>
    <w:p w:rsidR="00BD5DA2" w:rsidRDefault="00BD5DA2" w:rsidP="00E30C37">
      <w:pPr>
        <w:pStyle w:val="List-Bullet"/>
        <w:numPr>
          <w:ilvl w:val="0"/>
          <w:numId w:val="21"/>
        </w:numPr>
        <w:tabs>
          <w:tab w:val="left" w:pos="851"/>
        </w:tabs>
        <w:spacing w:after="0"/>
        <w:ind w:left="851" w:hanging="284"/>
      </w:pPr>
      <w:r>
        <w:t>OECD11 = New Test Data</w:t>
      </w:r>
    </w:p>
    <w:p w:rsidR="00BD5DA2" w:rsidRDefault="00BD5DA2" w:rsidP="00E30C37">
      <w:pPr>
        <w:pStyle w:val="List-Bullet"/>
        <w:numPr>
          <w:ilvl w:val="0"/>
          <w:numId w:val="21"/>
        </w:numPr>
        <w:tabs>
          <w:tab w:val="left" w:pos="851"/>
        </w:tabs>
        <w:spacing w:after="0"/>
        <w:ind w:left="851" w:hanging="284"/>
      </w:pPr>
      <w:r>
        <w:t>OECD12 = Corrected Test Data</w:t>
      </w:r>
    </w:p>
    <w:p w:rsidR="00BD5DA2" w:rsidRDefault="00BD5DA2" w:rsidP="00E30C37">
      <w:pPr>
        <w:pStyle w:val="List-Bullet"/>
        <w:numPr>
          <w:ilvl w:val="0"/>
          <w:numId w:val="21"/>
        </w:numPr>
        <w:tabs>
          <w:tab w:val="left" w:pos="851"/>
        </w:tabs>
        <w:spacing w:after="0"/>
        <w:ind w:left="851" w:hanging="284"/>
      </w:pPr>
      <w:r>
        <w:t>OECD13 = Deletion of Test Data</w:t>
      </w:r>
    </w:p>
    <w:p w:rsidR="00BD5DA2" w:rsidRDefault="00BD5DA2" w:rsidP="00BD5DA2"/>
    <w:p w:rsidR="0039370B" w:rsidRDefault="0039370B" w:rsidP="0039370B">
      <w:pPr>
        <w:pStyle w:val="Heading2"/>
      </w:pPr>
      <w:r>
        <w:t xml:space="preserve">Combinations of DocTypeIndics </w:t>
      </w:r>
      <w:r w:rsidR="000421DC">
        <w:t>allowed</w:t>
      </w:r>
    </w:p>
    <w:p w:rsidR="0039370B" w:rsidRDefault="0039370B" w:rsidP="00BD5DA2"/>
    <w:p w:rsidR="00BD5DA2" w:rsidRDefault="00BD5DA2" w:rsidP="00BD5DA2">
      <w:r>
        <w:t>When correcting a previously submitted disclosure, the</w:t>
      </w:r>
      <w:r w:rsidR="00E30C37">
        <w:t>se</w:t>
      </w:r>
      <w:r>
        <w:t xml:space="preserve"> combinations</w:t>
      </w:r>
      <w:r w:rsidR="00E30C37">
        <w:t xml:space="preserve"> of DocTypeIndics are </w:t>
      </w:r>
      <w:r w:rsidR="000421DC">
        <w:t>allowed</w:t>
      </w:r>
      <w:r w:rsidR="00E30C37">
        <w:t>:</w:t>
      </w:r>
    </w:p>
    <w:p w:rsidR="00BD5DA2" w:rsidRDefault="00BD5DA2" w:rsidP="00BD5DA2"/>
    <w:tbl>
      <w:tblPr>
        <w:tblStyle w:val="TableGrid"/>
        <w:tblW w:w="0" w:type="auto"/>
        <w:tblLayout w:type="fixed"/>
        <w:tblLook w:val="04A0" w:firstRow="1" w:lastRow="0" w:firstColumn="1" w:lastColumn="0" w:noHBand="0" w:noVBand="1"/>
      </w:tblPr>
      <w:tblGrid>
        <w:gridCol w:w="1650"/>
        <w:gridCol w:w="1152"/>
        <w:gridCol w:w="1179"/>
        <w:gridCol w:w="1166"/>
        <w:gridCol w:w="1166"/>
        <w:gridCol w:w="1166"/>
        <w:gridCol w:w="1763"/>
      </w:tblGrid>
      <w:tr w:rsidR="008C4807" w:rsidRPr="008C4807" w:rsidTr="008C4807">
        <w:trPr>
          <w:tblHeader/>
        </w:trPr>
        <w:tc>
          <w:tcPr>
            <w:tcW w:w="2802" w:type="dxa"/>
            <w:gridSpan w:val="2"/>
            <w:vMerge w:val="restart"/>
            <w:tcBorders>
              <w:top w:val="nil"/>
              <w:left w:val="nil"/>
            </w:tcBorders>
          </w:tcPr>
          <w:p w:rsidR="008C4807" w:rsidRPr="008C4807" w:rsidRDefault="008C4807" w:rsidP="00E80364">
            <w:pPr>
              <w:rPr>
                <w:sz w:val="20"/>
                <w:szCs w:val="20"/>
              </w:rPr>
            </w:pPr>
          </w:p>
        </w:tc>
        <w:tc>
          <w:tcPr>
            <w:tcW w:w="6440" w:type="dxa"/>
            <w:gridSpan w:val="5"/>
          </w:tcPr>
          <w:p w:rsidR="008C4807" w:rsidRPr="008C4807" w:rsidRDefault="008C4807" w:rsidP="008C4807">
            <w:pPr>
              <w:spacing w:before="80" w:after="80"/>
              <w:jc w:val="center"/>
              <w:rPr>
                <w:b/>
                <w:sz w:val="20"/>
                <w:szCs w:val="20"/>
              </w:rPr>
            </w:pPr>
            <w:r w:rsidRPr="008C4807">
              <w:rPr>
                <w:b/>
                <w:sz w:val="20"/>
                <w:szCs w:val="20"/>
              </w:rPr>
              <w:t>Account Report</w:t>
            </w:r>
          </w:p>
        </w:tc>
      </w:tr>
      <w:tr w:rsidR="008C4807" w:rsidRPr="008C4807" w:rsidTr="008C4807">
        <w:trPr>
          <w:tblHeader/>
        </w:trPr>
        <w:tc>
          <w:tcPr>
            <w:tcW w:w="2802" w:type="dxa"/>
            <w:gridSpan w:val="2"/>
            <w:vMerge/>
            <w:tcBorders>
              <w:left w:val="nil"/>
            </w:tcBorders>
          </w:tcPr>
          <w:p w:rsidR="008C4807" w:rsidRPr="008C4807" w:rsidRDefault="008C4807" w:rsidP="008C4807">
            <w:pPr>
              <w:spacing w:before="80" w:after="80"/>
              <w:rPr>
                <w:sz w:val="20"/>
                <w:szCs w:val="20"/>
              </w:rPr>
            </w:pPr>
          </w:p>
        </w:tc>
        <w:tc>
          <w:tcPr>
            <w:tcW w:w="1179" w:type="dxa"/>
          </w:tcPr>
          <w:p w:rsidR="008C4807" w:rsidRPr="008C4807" w:rsidRDefault="008C4807" w:rsidP="008C4807">
            <w:pPr>
              <w:spacing w:before="80" w:after="80"/>
              <w:rPr>
                <w:sz w:val="20"/>
                <w:szCs w:val="20"/>
              </w:rPr>
            </w:pPr>
            <w:r w:rsidRPr="008C4807">
              <w:rPr>
                <w:sz w:val="20"/>
                <w:szCs w:val="20"/>
              </w:rPr>
              <w:t>OECD1</w:t>
            </w:r>
          </w:p>
        </w:tc>
        <w:tc>
          <w:tcPr>
            <w:tcW w:w="1166" w:type="dxa"/>
          </w:tcPr>
          <w:p w:rsidR="008C4807" w:rsidRPr="008C4807" w:rsidRDefault="008C4807" w:rsidP="008C4807">
            <w:pPr>
              <w:spacing w:before="80" w:after="80"/>
              <w:rPr>
                <w:sz w:val="20"/>
                <w:szCs w:val="20"/>
              </w:rPr>
            </w:pPr>
            <w:r w:rsidRPr="008C4807">
              <w:rPr>
                <w:sz w:val="20"/>
                <w:szCs w:val="20"/>
              </w:rPr>
              <w:t>OECD2</w:t>
            </w:r>
          </w:p>
        </w:tc>
        <w:tc>
          <w:tcPr>
            <w:tcW w:w="1166" w:type="dxa"/>
          </w:tcPr>
          <w:p w:rsidR="008C4807" w:rsidRPr="008C4807" w:rsidRDefault="008C4807" w:rsidP="008C4807">
            <w:pPr>
              <w:spacing w:before="80" w:after="80"/>
              <w:rPr>
                <w:sz w:val="20"/>
                <w:szCs w:val="20"/>
              </w:rPr>
            </w:pPr>
            <w:r w:rsidRPr="008C4807">
              <w:rPr>
                <w:sz w:val="20"/>
                <w:szCs w:val="20"/>
              </w:rPr>
              <w:t>OECD3</w:t>
            </w:r>
          </w:p>
        </w:tc>
        <w:tc>
          <w:tcPr>
            <w:tcW w:w="1166" w:type="dxa"/>
          </w:tcPr>
          <w:p w:rsidR="008C4807" w:rsidRPr="008C4807" w:rsidRDefault="008C4807" w:rsidP="008C4807">
            <w:pPr>
              <w:spacing w:before="80" w:after="80"/>
              <w:rPr>
                <w:sz w:val="20"/>
                <w:szCs w:val="20"/>
              </w:rPr>
            </w:pPr>
            <w:r w:rsidRPr="008C4807">
              <w:rPr>
                <w:sz w:val="20"/>
                <w:szCs w:val="20"/>
              </w:rPr>
              <w:t>OECD0</w:t>
            </w:r>
          </w:p>
        </w:tc>
        <w:tc>
          <w:tcPr>
            <w:tcW w:w="1763" w:type="dxa"/>
          </w:tcPr>
          <w:p w:rsidR="008C4807" w:rsidRPr="008C4807" w:rsidRDefault="008C4807" w:rsidP="008C4807">
            <w:pPr>
              <w:spacing w:before="80" w:after="80"/>
              <w:rPr>
                <w:sz w:val="20"/>
                <w:szCs w:val="20"/>
              </w:rPr>
            </w:pPr>
            <w:r w:rsidRPr="008C4807">
              <w:rPr>
                <w:sz w:val="20"/>
                <w:szCs w:val="20"/>
              </w:rPr>
              <w:t>Account Report can be omitted?</w:t>
            </w:r>
          </w:p>
        </w:tc>
      </w:tr>
      <w:tr w:rsidR="008C4807" w:rsidRPr="008C4807" w:rsidTr="008C4807">
        <w:tc>
          <w:tcPr>
            <w:tcW w:w="1650" w:type="dxa"/>
            <w:vMerge w:val="restart"/>
            <w:vAlign w:val="center"/>
          </w:tcPr>
          <w:p w:rsidR="008C4807" w:rsidRPr="008C4807" w:rsidRDefault="008C4807" w:rsidP="008C4807">
            <w:pPr>
              <w:spacing w:before="80" w:after="80"/>
              <w:rPr>
                <w:b/>
                <w:sz w:val="20"/>
                <w:szCs w:val="20"/>
              </w:rPr>
            </w:pPr>
            <w:r w:rsidRPr="008C4807">
              <w:rPr>
                <w:b/>
                <w:sz w:val="20"/>
                <w:szCs w:val="20"/>
              </w:rPr>
              <w:t>Reporting FI</w:t>
            </w:r>
          </w:p>
        </w:tc>
        <w:tc>
          <w:tcPr>
            <w:tcW w:w="1152" w:type="dxa"/>
          </w:tcPr>
          <w:p w:rsidR="008C4807" w:rsidRPr="008C4807" w:rsidRDefault="008C4807" w:rsidP="008C4807">
            <w:pPr>
              <w:spacing w:before="80" w:after="80"/>
              <w:rPr>
                <w:sz w:val="20"/>
                <w:szCs w:val="20"/>
              </w:rPr>
            </w:pPr>
            <w:r w:rsidRPr="008C4807">
              <w:rPr>
                <w:sz w:val="20"/>
                <w:szCs w:val="20"/>
              </w:rPr>
              <w:t>OECD1</w:t>
            </w:r>
          </w:p>
        </w:tc>
        <w:tc>
          <w:tcPr>
            <w:tcW w:w="1179" w:type="dxa"/>
          </w:tcPr>
          <w:p w:rsidR="008C4807" w:rsidRPr="008C4807" w:rsidRDefault="008C4807" w:rsidP="0039370B">
            <w:pPr>
              <w:spacing w:before="80" w:after="80"/>
              <w:jc w:val="center"/>
              <w:rPr>
                <w:sz w:val="20"/>
                <w:szCs w:val="20"/>
              </w:rPr>
            </w:pPr>
          </w:p>
        </w:tc>
        <w:tc>
          <w:tcPr>
            <w:tcW w:w="1166" w:type="dxa"/>
          </w:tcPr>
          <w:p w:rsidR="008C4807" w:rsidRPr="008C4807" w:rsidRDefault="008C4807" w:rsidP="0039370B">
            <w:pPr>
              <w:spacing w:before="80" w:after="80"/>
              <w:jc w:val="center"/>
              <w:rPr>
                <w:sz w:val="20"/>
                <w:szCs w:val="20"/>
              </w:rPr>
            </w:pPr>
          </w:p>
        </w:tc>
        <w:tc>
          <w:tcPr>
            <w:tcW w:w="1166" w:type="dxa"/>
          </w:tcPr>
          <w:p w:rsidR="008C4807" w:rsidRPr="008C4807" w:rsidRDefault="008C4807" w:rsidP="0039370B">
            <w:pPr>
              <w:spacing w:before="80" w:after="80"/>
              <w:jc w:val="center"/>
              <w:rPr>
                <w:sz w:val="20"/>
                <w:szCs w:val="20"/>
              </w:rPr>
            </w:pPr>
          </w:p>
        </w:tc>
        <w:tc>
          <w:tcPr>
            <w:tcW w:w="1166" w:type="dxa"/>
          </w:tcPr>
          <w:p w:rsidR="008C4807" w:rsidRPr="008C4807" w:rsidRDefault="008C4807" w:rsidP="0039370B">
            <w:pPr>
              <w:spacing w:before="80" w:after="80"/>
              <w:jc w:val="center"/>
              <w:rPr>
                <w:sz w:val="20"/>
                <w:szCs w:val="20"/>
              </w:rPr>
            </w:pPr>
          </w:p>
        </w:tc>
        <w:tc>
          <w:tcPr>
            <w:tcW w:w="1763" w:type="dxa"/>
          </w:tcPr>
          <w:p w:rsidR="008C4807" w:rsidRPr="008C4807" w:rsidRDefault="008C4807" w:rsidP="0039370B">
            <w:pPr>
              <w:spacing w:before="80" w:after="80"/>
              <w:jc w:val="center"/>
              <w:rPr>
                <w:sz w:val="20"/>
                <w:szCs w:val="20"/>
              </w:rPr>
            </w:pPr>
          </w:p>
        </w:tc>
      </w:tr>
      <w:tr w:rsidR="008C4807" w:rsidRPr="008C4807" w:rsidTr="008C4807">
        <w:tc>
          <w:tcPr>
            <w:tcW w:w="1650" w:type="dxa"/>
            <w:vMerge/>
          </w:tcPr>
          <w:p w:rsidR="008C4807" w:rsidRPr="008C4807" w:rsidRDefault="008C4807" w:rsidP="008C4807">
            <w:pPr>
              <w:spacing w:before="80" w:after="80"/>
              <w:rPr>
                <w:sz w:val="20"/>
                <w:szCs w:val="20"/>
              </w:rPr>
            </w:pPr>
          </w:p>
        </w:tc>
        <w:tc>
          <w:tcPr>
            <w:tcW w:w="1152" w:type="dxa"/>
          </w:tcPr>
          <w:p w:rsidR="008C4807" w:rsidRPr="008C4807" w:rsidRDefault="008C4807" w:rsidP="008C4807">
            <w:pPr>
              <w:spacing w:before="80" w:after="80"/>
              <w:rPr>
                <w:sz w:val="20"/>
                <w:szCs w:val="20"/>
              </w:rPr>
            </w:pPr>
            <w:r w:rsidRPr="008C4807">
              <w:rPr>
                <w:sz w:val="20"/>
                <w:szCs w:val="20"/>
              </w:rPr>
              <w:t>OECD2</w:t>
            </w:r>
          </w:p>
        </w:tc>
        <w:tc>
          <w:tcPr>
            <w:tcW w:w="1179" w:type="dxa"/>
          </w:tcPr>
          <w:p w:rsidR="008C4807" w:rsidRPr="008C4807" w:rsidRDefault="008C4807" w:rsidP="0039370B">
            <w:pPr>
              <w:spacing w:before="80" w:after="80"/>
              <w:jc w:val="center"/>
              <w:rPr>
                <w:sz w:val="20"/>
                <w:szCs w:val="20"/>
              </w:rPr>
            </w:pPr>
          </w:p>
        </w:tc>
        <w:tc>
          <w:tcPr>
            <w:tcW w:w="1166" w:type="dxa"/>
          </w:tcPr>
          <w:p w:rsidR="008C4807" w:rsidRPr="008C4807" w:rsidRDefault="008C4807" w:rsidP="0039370B">
            <w:pPr>
              <w:spacing w:before="80" w:after="80"/>
              <w:jc w:val="center"/>
              <w:rPr>
                <w:sz w:val="20"/>
                <w:szCs w:val="20"/>
              </w:rPr>
            </w:pPr>
            <w:r w:rsidRPr="008C4807">
              <w:rPr>
                <w:sz w:val="20"/>
                <w:szCs w:val="20"/>
              </w:rPr>
              <w:sym w:font="Wingdings" w:char="F0FC"/>
            </w:r>
          </w:p>
        </w:tc>
        <w:tc>
          <w:tcPr>
            <w:tcW w:w="1166" w:type="dxa"/>
          </w:tcPr>
          <w:p w:rsidR="008C4807" w:rsidRPr="008C4807" w:rsidRDefault="008C4807" w:rsidP="0039370B">
            <w:pPr>
              <w:spacing w:before="80" w:after="80"/>
              <w:jc w:val="center"/>
              <w:rPr>
                <w:sz w:val="20"/>
                <w:szCs w:val="20"/>
              </w:rPr>
            </w:pPr>
            <w:r w:rsidRPr="008C4807">
              <w:rPr>
                <w:sz w:val="20"/>
                <w:szCs w:val="20"/>
              </w:rPr>
              <w:sym w:font="Wingdings" w:char="F0FC"/>
            </w:r>
          </w:p>
        </w:tc>
        <w:tc>
          <w:tcPr>
            <w:tcW w:w="1166" w:type="dxa"/>
          </w:tcPr>
          <w:p w:rsidR="008C4807" w:rsidRPr="008C4807" w:rsidRDefault="008C4807" w:rsidP="0039370B">
            <w:pPr>
              <w:spacing w:before="80" w:after="80"/>
              <w:jc w:val="center"/>
              <w:rPr>
                <w:sz w:val="20"/>
                <w:szCs w:val="20"/>
              </w:rPr>
            </w:pPr>
          </w:p>
        </w:tc>
        <w:tc>
          <w:tcPr>
            <w:tcW w:w="1763" w:type="dxa"/>
          </w:tcPr>
          <w:p w:rsidR="008C4807" w:rsidRPr="008C4807" w:rsidRDefault="008C4807" w:rsidP="0039370B">
            <w:pPr>
              <w:spacing w:before="80" w:after="80"/>
              <w:jc w:val="center"/>
              <w:rPr>
                <w:sz w:val="20"/>
                <w:szCs w:val="20"/>
              </w:rPr>
            </w:pPr>
            <w:r w:rsidRPr="008C4807">
              <w:rPr>
                <w:sz w:val="20"/>
                <w:szCs w:val="20"/>
              </w:rPr>
              <w:sym w:font="Wingdings" w:char="F0FC"/>
            </w:r>
          </w:p>
        </w:tc>
      </w:tr>
      <w:tr w:rsidR="008C4807" w:rsidRPr="008C4807" w:rsidTr="008C4807">
        <w:tc>
          <w:tcPr>
            <w:tcW w:w="1650" w:type="dxa"/>
            <w:vMerge/>
          </w:tcPr>
          <w:p w:rsidR="008C4807" w:rsidRPr="008C4807" w:rsidRDefault="008C4807" w:rsidP="008C4807">
            <w:pPr>
              <w:spacing w:before="80" w:after="80"/>
              <w:rPr>
                <w:sz w:val="20"/>
                <w:szCs w:val="20"/>
              </w:rPr>
            </w:pPr>
          </w:p>
        </w:tc>
        <w:tc>
          <w:tcPr>
            <w:tcW w:w="1152" w:type="dxa"/>
          </w:tcPr>
          <w:p w:rsidR="008C4807" w:rsidRPr="008C4807" w:rsidRDefault="008C4807" w:rsidP="008C4807">
            <w:pPr>
              <w:spacing w:before="80" w:after="80"/>
              <w:rPr>
                <w:sz w:val="20"/>
                <w:szCs w:val="20"/>
              </w:rPr>
            </w:pPr>
            <w:r w:rsidRPr="008C4807">
              <w:rPr>
                <w:sz w:val="20"/>
                <w:szCs w:val="20"/>
              </w:rPr>
              <w:t>OECD3</w:t>
            </w:r>
          </w:p>
        </w:tc>
        <w:tc>
          <w:tcPr>
            <w:tcW w:w="1179" w:type="dxa"/>
          </w:tcPr>
          <w:p w:rsidR="008C4807" w:rsidRPr="008C4807" w:rsidRDefault="008C4807" w:rsidP="0039370B">
            <w:pPr>
              <w:spacing w:before="80" w:after="80"/>
              <w:jc w:val="center"/>
              <w:rPr>
                <w:sz w:val="20"/>
                <w:szCs w:val="20"/>
              </w:rPr>
            </w:pPr>
          </w:p>
        </w:tc>
        <w:tc>
          <w:tcPr>
            <w:tcW w:w="1166" w:type="dxa"/>
          </w:tcPr>
          <w:p w:rsidR="008C4807" w:rsidRPr="008C4807" w:rsidRDefault="008C4807" w:rsidP="0039370B">
            <w:pPr>
              <w:spacing w:before="80" w:after="80"/>
              <w:jc w:val="center"/>
              <w:rPr>
                <w:sz w:val="20"/>
                <w:szCs w:val="20"/>
              </w:rPr>
            </w:pPr>
          </w:p>
        </w:tc>
        <w:tc>
          <w:tcPr>
            <w:tcW w:w="1166" w:type="dxa"/>
          </w:tcPr>
          <w:p w:rsidR="008C4807" w:rsidRPr="008C4807" w:rsidRDefault="008C4807" w:rsidP="0039370B">
            <w:pPr>
              <w:spacing w:before="80" w:after="80"/>
              <w:jc w:val="center"/>
              <w:rPr>
                <w:sz w:val="20"/>
                <w:szCs w:val="20"/>
              </w:rPr>
            </w:pPr>
            <w:r w:rsidRPr="008C4807">
              <w:rPr>
                <w:sz w:val="20"/>
                <w:szCs w:val="20"/>
              </w:rPr>
              <w:sym w:font="Wingdings" w:char="F0FC"/>
            </w:r>
          </w:p>
        </w:tc>
        <w:tc>
          <w:tcPr>
            <w:tcW w:w="1166" w:type="dxa"/>
          </w:tcPr>
          <w:p w:rsidR="008C4807" w:rsidRPr="008C4807" w:rsidRDefault="008C4807" w:rsidP="0039370B">
            <w:pPr>
              <w:spacing w:before="80" w:after="80"/>
              <w:jc w:val="center"/>
              <w:rPr>
                <w:sz w:val="20"/>
                <w:szCs w:val="20"/>
              </w:rPr>
            </w:pPr>
          </w:p>
        </w:tc>
        <w:tc>
          <w:tcPr>
            <w:tcW w:w="1763" w:type="dxa"/>
          </w:tcPr>
          <w:p w:rsidR="008C4807" w:rsidRPr="008C4807" w:rsidRDefault="008C4807" w:rsidP="0039370B">
            <w:pPr>
              <w:spacing w:before="80" w:after="80"/>
              <w:jc w:val="center"/>
              <w:rPr>
                <w:sz w:val="20"/>
                <w:szCs w:val="20"/>
              </w:rPr>
            </w:pPr>
            <w:r w:rsidRPr="008C4807">
              <w:rPr>
                <w:sz w:val="20"/>
                <w:szCs w:val="20"/>
              </w:rPr>
              <w:sym w:font="Wingdings" w:char="F0FC"/>
            </w:r>
          </w:p>
        </w:tc>
      </w:tr>
      <w:tr w:rsidR="008C4807" w:rsidRPr="008C4807" w:rsidTr="008C4807">
        <w:tc>
          <w:tcPr>
            <w:tcW w:w="1650" w:type="dxa"/>
            <w:vMerge/>
          </w:tcPr>
          <w:p w:rsidR="008C4807" w:rsidRPr="008C4807" w:rsidRDefault="008C4807" w:rsidP="008C4807">
            <w:pPr>
              <w:spacing w:before="80" w:after="80"/>
              <w:rPr>
                <w:sz w:val="20"/>
                <w:szCs w:val="20"/>
              </w:rPr>
            </w:pPr>
          </w:p>
        </w:tc>
        <w:tc>
          <w:tcPr>
            <w:tcW w:w="1152" w:type="dxa"/>
          </w:tcPr>
          <w:p w:rsidR="008C4807" w:rsidRPr="008C4807" w:rsidRDefault="008C4807" w:rsidP="008C4807">
            <w:pPr>
              <w:spacing w:before="80" w:after="80"/>
              <w:rPr>
                <w:sz w:val="20"/>
                <w:szCs w:val="20"/>
              </w:rPr>
            </w:pPr>
            <w:r w:rsidRPr="008C4807">
              <w:rPr>
                <w:sz w:val="20"/>
                <w:szCs w:val="20"/>
              </w:rPr>
              <w:t>OECD0</w:t>
            </w:r>
          </w:p>
        </w:tc>
        <w:tc>
          <w:tcPr>
            <w:tcW w:w="1179" w:type="dxa"/>
          </w:tcPr>
          <w:p w:rsidR="008C4807" w:rsidRPr="008C4807" w:rsidRDefault="008C4807" w:rsidP="0039370B">
            <w:pPr>
              <w:spacing w:before="80" w:after="80"/>
              <w:jc w:val="center"/>
              <w:rPr>
                <w:sz w:val="20"/>
                <w:szCs w:val="20"/>
              </w:rPr>
            </w:pPr>
          </w:p>
        </w:tc>
        <w:tc>
          <w:tcPr>
            <w:tcW w:w="1166" w:type="dxa"/>
          </w:tcPr>
          <w:p w:rsidR="008C4807" w:rsidRPr="008C4807" w:rsidRDefault="008C4807" w:rsidP="0039370B">
            <w:pPr>
              <w:spacing w:before="80" w:after="80"/>
              <w:jc w:val="center"/>
              <w:rPr>
                <w:sz w:val="20"/>
                <w:szCs w:val="20"/>
              </w:rPr>
            </w:pPr>
            <w:r w:rsidRPr="008C4807">
              <w:rPr>
                <w:sz w:val="20"/>
                <w:szCs w:val="20"/>
              </w:rPr>
              <w:sym w:font="Wingdings" w:char="F0FC"/>
            </w:r>
          </w:p>
        </w:tc>
        <w:tc>
          <w:tcPr>
            <w:tcW w:w="1166" w:type="dxa"/>
          </w:tcPr>
          <w:p w:rsidR="008C4807" w:rsidRPr="008C4807" w:rsidRDefault="008C4807" w:rsidP="0039370B">
            <w:pPr>
              <w:spacing w:before="80" w:after="80"/>
              <w:jc w:val="center"/>
              <w:rPr>
                <w:sz w:val="20"/>
                <w:szCs w:val="20"/>
              </w:rPr>
            </w:pPr>
            <w:r w:rsidRPr="008C4807">
              <w:rPr>
                <w:sz w:val="20"/>
                <w:szCs w:val="20"/>
              </w:rPr>
              <w:sym w:font="Wingdings" w:char="F0FC"/>
            </w:r>
          </w:p>
        </w:tc>
        <w:tc>
          <w:tcPr>
            <w:tcW w:w="1166" w:type="dxa"/>
          </w:tcPr>
          <w:p w:rsidR="008C4807" w:rsidRPr="008C4807" w:rsidRDefault="008C4807" w:rsidP="0039370B">
            <w:pPr>
              <w:spacing w:before="80" w:after="80"/>
              <w:jc w:val="center"/>
              <w:rPr>
                <w:sz w:val="20"/>
                <w:szCs w:val="20"/>
              </w:rPr>
            </w:pPr>
          </w:p>
        </w:tc>
        <w:tc>
          <w:tcPr>
            <w:tcW w:w="1763" w:type="dxa"/>
          </w:tcPr>
          <w:p w:rsidR="008C4807" w:rsidRPr="008C4807" w:rsidRDefault="008C4807" w:rsidP="0039370B">
            <w:pPr>
              <w:spacing w:before="80" w:after="80"/>
              <w:jc w:val="center"/>
              <w:rPr>
                <w:sz w:val="20"/>
                <w:szCs w:val="20"/>
              </w:rPr>
            </w:pPr>
          </w:p>
        </w:tc>
      </w:tr>
    </w:tbl>
    <w:p w:rsidR="00BD5DA2" w:rsidRDefault="00BD5DA2" w:rsidP="00BD5DA2"/>
    <w:p w:rsidR="00BD5DA2" w:rsidRDefault="00BD5DA2" w:rsidP="00BD5DA2">
      <w:r>
        <w:t>For example, using the table as a guide, a disclosure that has a corrected Reporting FI element (DocTypeIndic=OECD2) can contain both corrected (OECD2) and deleted (OECD3) Account Reports, or could even contain no Account Report element.  However, a corrected Reporting FI element cannot contain new data</w:t>
      </w:r>
      <w:r w:rsidR="00E30C37">
        <w:t xml:space="preserve"> records (OECD1).</w:t>
      </w:r>
    </w:p>
    <w:p w:rsidR="00BD5DA2" w:rsidRDefault="00BD5DA2" w:rsidP="00BD5DA2"/>
    <w:p w:rsidR="00E30C37" w:rsidRDefault="00E30C37">
      <w:pPr>
        <w:spacing w:after="200" w:line="276" w:lineRule="auto"/>
        <w:rPr>
          <w:b/>
        </w:rPr>
      </w:pPr>
      <w:r>
        <w:rPr>
          <w:i/>
        </w:rPr>
        <w:br w:type="page"/>
      </w:r>
    </w:p>
    <w:p w:rsidR="00BD5DA2" w:rsidRPr="008C4807" w:rsidRDefault="00BD5DA2" w:rsidP="00E30C37">
      <w:pPr>
        <w:pStyle w:val="Heading2"/>
        <w:pBdr>
          <w:top w:val="single" w:sz="4" w:space="10" w:color="auto"/>
          <w:left w:val="single" w:sz="4" w:space="10" w:color="auto"/>
          <w:bottom w:val="single" w:sz="4" w:space="10" w:color="auto"/>
          <w:right w:val="single" w:sz="4" w:space="10" w:color="auto"/>
        </w:pBdr>
        <w:rPr>
          <w:i w:val="0"/>
        </w:rPr>
      </w:pPr>
      <w:r w:rsidRPr="008C4807">
        <w:rPr>
          <w:i w:val="0"/>
        </w:rPr>
        <w:lastRenderedPageBreak/>
        <w:t>Example 1 – Change to Reporting FI and Account Report information</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8C4807" w:rsidP="00E30C37">
      <w:pPr>
        <w:pBdr>
          <w:top w:val="single" w:sz="4" w:space="10" w:color="auto"/>
          <w:left w:val="single" w:sz="4" w:space="10" w:color="auto"/>
          <w:bottom w:val="single" w:sz="4" w:space="10" w:color="auto"/>
          <w:right w:val="single" w:sz="4" w:space="10" w:color="auto"/>
        </w:pBdr>
      </w:pPr>
      <w:r>
        <w:t>This</w:t>
      </w:r>
      <w:r w:rsidR="00BD5DA2">
        <w:t xml:space="preserve"> example illustrates a situation where a change needs to be made to a previously submitted disclosure.  A correction is being made to the Reporting FI address and to one of the controlling persons’ date of birth.</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F02751" w:rsidP="00E30C37">
      <w:pPr>
        <w:pBdr>
          <w:top w:val="single" w:sz="4" w:space="10" w:color="auto"/>
          <w:left w:val="single" w:sz="4" w:space="10" w:color="auto"/>
          <w:bottom w:val="single" w:sz="4" w:space="10" w:color="auto"/>
          <w:right w:val="single" w:sz="4" w:space="10" w:color="auto"/>
        </w:pBdr>
      </w:pPr>
      <w:r>
        <w:object w:dxaOrig="11595" w:dyaOrig="15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409.5pt" o:ole="">
            <v:imagedata r:id="rId10" o:title=""/>
          </v:shape>
          <o:OLEObject Type="Embed" ProgID="Visio.Drawing.15" ShapeID="_x0000_i1025" DrawAspect="Content" ObjectID="_1548685356" r:id="rId11"/>
        </w:object>
      </w:r>
    </w:p>
    <w:p w:rsidR="008C4807" w:rsidRDefault="008C4807" w:rsidP="00E30C37">
      <w:pPr>
        <w:pBdr>
          <w:top w:val="single" w:sz="4" w:space="10" w:color="auto"/>
          <w:left w:val="single" w:sz="4" w:space="10" w:color="auto"/>
          <w:bottom w:val="single" w:sz="4" w:space="10" w:color="auto"/>
          <w:right w:val="single" w:sz="4" w:space="10" w:color="auto"/>
        </w:pBdr>
      </w:pPr>
    </w:p>
    <w:p w:rsidR="00BD5DA2" w:rsidRDefault="008C4807" w:rsidP="00E30C37">
      <w:pPr>
        <w:pBdr>
          <w:top w:val="single" w:sz="4" w:space="10" w:color="auto"/>
          <w:left w:val="single" w:sz="4" w:space="10" w:color="auto"/>
          <w:bottom w:val="single" w:sz="4" w:space="10" w:color="auto"/>
          <w:right w:val="single" w:sz="4" w:space="10" w:color="auto"/>
        </w:pBdr>
      </w:pPr>
      <w:r>
        <w:t>P</w:t>
      </w:r>
      <w:r w:rsidR="00BD5DA2">
        <w:t>oints to note about the correction:</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BD5DA2" w:rsidP="00E30C37">
      <w:pPr>
        <w:pStyle w:val="List-Bullet"/>
        <w:pBdr>
          <w:top w:val="single" w:sz="4" w:space="10" w:color="auto"/>
          <w:left w:val="single" w:sz="4" w:space="10" w:color="auto"/>
          <w:bottom w:val="single" w:sz="4" w:space="10" w:color="auto"/>
          <w:right w:val="single" w:sz="4" w:space="10" w:color="auto"/>
        </w:pBdr>
      </w:pPr>
      <w:r>
        <w:t>The CorrMessageRefID element is not used for CRS.  This is because the DocRefID of a record is unique and therefore sufficient for identifying the record.</w:t>
      </w:r>
    </w:p>
    <w:p w:rsidR="00BD5DA2" w:rsidRDefault="00BD5DA2" w:rsidP="00E30C37">
      <w:pPr>
        <w:pStyle w:val="List-Bullet"/>
        <w:pBdr>
          <w:top w:val="single" w:sz="4" w:space="10" w:color="auto"/>
          <w:left w:val="single" w:sz="4" w:space="10" w:color="auto"/>
          <w:bottom w:val="single" w:sz="4" w:space="10" w:color="auto"/>
          <w:right w:val="single" w:sz="4" w:space="10" w:color="auto"/>
        </w:pBdr>
        <w:spacing w:after="0"/>
      </w:pPr>
      <w:r>
        <w:t>The AccountReport element in the corrected disclosures should be repeated in its entirety, with only the corrected elements changing from the previous disclosures.  In this example, all account information and controlling persons must be repeated in the corrected disclosure, even though only one controlling person element is being corrected.</w:t>
      </w:r>
    </w:p>
    <w:p w:rsidR="00E30C37" w:rsidRDefault="00E30C37">
      <w:pPr>
        <w:spacing w:after="200" w:line="276" w:lineRule="auto"/>
        <w:rPr>
          <w:b/>
        </w:rPr>
      </w:pPr>
      <w:r>
        <w:rPr>
          <w:i/>
        </w:rPr>
        <w:br w:type="page"/>
      </w:r>
    </w:p>
    <w:p w:rsidR="00BD5DA2" w:rsidRPr="008C4807" w:rsidRDefault="00BD5DA2" w:rsidP="00E30C37">
      <w:pPr>
        <w:pStyle w:val="Heading2"/>
        <w:pBdr>
          <w:top w:val="single" w:sz="4" w:space="10" w:color="auto"/>
          <w:left w:val="single" w:sz="4" w:space="10" w:color="auto"/>
          <w:bottom w:val="single" w:sz="4" w:space="10" w:color="auto"/>
          <w:right w:val="single" w:sz="4" w:space="10" w:color="auto"/>
        </w:pBdr>
        <w:rPr>
          <w:i w:val="0"/>
        </w:rPr>
      </w:pPr>
      <w:r w:rsidRPr="008C4807">
        <w:rPr>
          <w:i w:val="0"/>
        </w:rPr>
        <w:t>Example 2 – Multiple corrected disclosures</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8C4807" w:rsidP="00E30C37">
      <w:pPr>
        <w:pBdr>
          <w:top w:val="single" w:sz="4" w:space="10" w:color="auto"/>
          <w:left w:val="single" w:sz="4" w:space="10" w:color="auto"/>
          <w:bottom w:val="single" w:sz="4" w:space="10" w:color="auto"/>
          <w:right w:val="single" w:sz="4" w:space="10" w:color="auto"/>
        </w:pBdr>
      </w:pPr>
      <w:r>
        <w:t>This</w:t>
      </w:r>
      <w:r w:rsidR="00BD5DA2">
        <w:t xml:space="preserve"> example illustrates a situation where a change needs to be made to a previously submitted disclosure, and then a second change made to the same disclosure.</w:t>
      </w:r>
    </w:p>
    <w:p w:rsidR="00BD5DA2" w:rsidRDefault="00BD5DA2" w:rsidP="00E30C37">
      <w:pPr>
        <w:pBdr>
          <w:top w:val="single" w:sz="4" w:space="10" w:color="auto"/>
          <w:left w:val="single" w:sz="4" w:space="10" w:color="auto"/>
          <w:bottom w:val="single" w:sz="4" w:space="10" w:color="auto"/>
          <w:right w:val="single" w:sz="4" w:space="10" w:color="auto"/>
        </w:pBdr>
      </w:pPr>
    </w:p>
    <w:p w:rsidR="008C4807" w:rsidRDefault="007336A5" w:rsidP="00E30C37">
      <w:pPr>
        <w:pBdr>
          <w:top w:val="single" w:sz="4" w:space="10" w:color="auto"/>
          <w:left w:val="single" w:sz="4" w:space="10" w:color="auto"/>
          <w:bottom w:val="single" w:sz="4" w:space="10" w:color="auto"/>
          <w:right w:val="single" w:sz="4" w:space="10" w:color="auto"/>
        </w:pBdr>
      </w:pPr>
      <w:r>
        <w:object w:dxaOrig="16410" w:dyaOrig="10801">
          <v:shape id="_x0000_i1026" type="#_x0000_t75" style="width:451.5pt;height:297pt" o:ole="">
            <v:imagedata r:id="rId12" o:title=""/>
          </v:shape>
          <o:OLEObject Type="Embed" ProgID="Visio.Drawing.15" ShapeID="_x0000_i1026" DrawAspect="Content" ObjectID="_1548685357" r:id="rId13"/>
        </w:object>
      </w:r>
    </w:p>
    <w:p w:rsidR="009A47EF" w:rsidRDefault="009A47EF" w:rsidP="00E30C37">
      <w:pPr>
        <w:pBdr>
          <w:top w:val="single" w:sz="4" w:space="10" w:color="auto"/>
          <w:left w:val="single" w:sz="4" w:space="10" w:color="auto"/>
          <w:bottom w:val="single" w:sz="4" w:space="10" w:color="auto"/>
          <w:right w:val="single" w:sz="4" w:space="10" w:color="auto"/>
        </w:pBdr>
      </w:pPr>
    </w:p>
    <w:p w:rsidR="00BD5DA2" w:rsidRDefault="008C4807" w:rsidP="00E30C37">
      <w:pPr>
        <w:pBdr>
          <w:top w:val="single" w:sz="4" w:space="10" w:color="auto"/>
          <w:left w:val="single" w:sz="4" w:space="10" w:color="auto"/>
          <w:bottom w:val="single" w:sz="4" w:space="10" w:color="auto"/>
          <w:right w:val="single" w:sz="4" w:space="10" w:color="auto"/>
        </w:pBdr>
      </w:pPr>
      <w:r>
        <w:t>P</w:t>
      </w:r>
      <w:r w:rsidR="00BD5DA2">
        <w:t>oints to note about the correction:</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BD5DA2" w:rsidP="00E30C37">
      <w:pPr>
        <w:pStyle w:val="List-Bullet"/>
        <w:pBdr>
          <w:top w:val="single" w:sz="4" w:space="10" w:color="auto"/>
          <w:left w:val="single" w:sz="4" w:space="10" w:color="auto"/>
          <w:bottom w:val="single" w:sz="4" w:space="10" w:color="auto"/>
          <w:right w:val="single" w:sz="4" w:space="10" w:color="auto"/>
        </w:pBdr>
      </w:pPr>
      <w:r>
        <w:t>The CorrMessageRefID element is not to be used for CRS.  This is because the DocRefID of a record is unique and therefore sufficient for identifying the record.</w:t>
      </w:r>
    </w:p>
    <w:p w:rsidR="00BD5DA2" w:rsidRDefault="00BD5DA2" w:rsidP="00E30C37">
      <w:pPr>
        <w:pStyle w:val="List-Bullet"/>
        <w:pBdr>
          <w:top w:val="single" w:sz="4" w:space="10" w:color="auto"/>
          <w:left w:val="single" w:sz="4" w:space="10" w:color="auto"/>
          <w:bottom w:val="single" w:sz="4" w:space="10" w:color="auto"/>
          <w:right w:val="single" w:sz="4" w:space="10" w:color="auto"/>
        </w:pBdr>
      </w:pPr>
      <w:r>
        <w:t>The ReportingFI element must always be included in a disclosure, regardless of whether it requires correction.  In this example, the ReportingFI element does not change in the corrected disclosures, therefore the DocTypeIndic is OECD0 (Resent Data) and the DocRefId remains the same.</w:t>
      </w:r>
    </w:p>
    <w:p w:rsidR="00BD5DA2" w:rsidRDefault="00BD5DA2" w:rsidP="00E30C37">
      <w:pPr>
        <w:pStyle w:val="List-Bullet"/>
        <w:pBdr>
          <w:top w:val="single" w:sz="4" w:space="10" w:color="auto"/>
          <w:left w:val="single" w:sz="4" w:space="10" w:color="auto"/>
          <w:bottom w:val="single" w:sz="4" w:space="10" w:color="auto"/>
          <w:right w:val="single" w:sz="4" w:space="10" w:color="auto"/>
        </w:pBdr>
      </w:pPr>
      <w:r>
        <w:t>The CorrDocRefId in the second correction references the disclosure immediately preceding it, instead of the original disclosure.  This should always be the case for CRS reporting.</w:t>
      </w:r>
    </w:p>
    <w:p w:rsidR="00BD5DA2" w:rsidRDefault="00BD5DA2" w:rsidP="00E30C37">
      <w:pPr>
        <w:pStyle w:val="List-Bullet"/>
        <w:pBdr>
          <w:top w:val="single" w:sz="4" w:space="10" w:color="auto"/>
          <w:left w:val="single" w:sz="4" w:space="10" w:color="auto"/>
          <w:bottom w:val="single" w:sz="4" w:space="10" w:color="auto"/>
          <w:right w:val="single" w:sz="4" w:space="10" w:color="auto"/>
        </w:pBdr>
        <w:spacing w:after="0"/>
      </w:pPr>
      <w:r>
        <w:t>Only the AccountReports that require correction should be included in the corrected disclosure.  Any AccountReport element that requires correction and is included in the corrected disclosure should be included in its entirety, with only the corrected fields and values changing from the previous disclosure.</w:t>
      </w:r>
    </w:p>
    <w:p w:rsidR="00BD5DA2" w:rsidRDefault="00BD5DA2" w:rsidP="00BD5DA2"/>
    <w:p w:rsidR="00E30C37" w:rsidRDefault="00E30C37">
      <w:pPr>
        <w:spacing w:after="200" w:line="276" w:lineRule="auto"/>
        <w:rPr>
          <w:b/>
        </w:rPr>
      </w:pPr>
      <w:r>
        <w:rPr>
          <w:i/>
        </w:rPr>
        <w:br w:type="page"/>
      </w:r>
    </w:p>
    <w:p w:rsidR="00BD5DA2" w:rsidRPr="008C4807" w:rsidRDefault="00BD5DA2" w:rsidP="00E30C37">
      <w:pPr>
        <w:pStyle w:val="Heading2"/>
        <w:pBdr>
          <w:top w:val="single" w:sz="4" w:space="10" w:color="auto"/>
          <w:left w:val="single" w:sz="4" w:space="10" w:color="auto"/>
          <w:bottom w:val="single" w:sz="4" w:space="10" w:color="auto"/>
          <w:right w:val="single" w:sz="4" w:space="10" w:color="auto"/>
        </w:pBdr>
        <w:rPr>
          <w:i w:val="0"/>
        </w:rPr>
      </w:pPr>
      <w:r w:rsidRPr="008C4807">
        <w:rPr>
          <w:i w:val="0"/>
        </w:rPr>
        <w:t>Example 3 – Change to Reporting FI information only</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8C4807" w:rsidP="00E30C37">
      <w:pPr>
        <w:pBdr>
          <w:top w:val="single" w:sz="4" w:space="10" w:color="auto"/>
          <w:left w:val="single" w:sz="4" w:space="10" w:color="auto"/>
          <w:bottom w:val="single" w:sz="4" w:space="10" w:color="auto"/>
          <w:right w:val="single" w:sz="4" w:space="10" w:color="auto"/>
        </w:pBdr>
      </w:pPr>
      <w:r>
        <w:t>This</w:t>
      </w:r>
      <w:r w:rsidR="00BD5DA2">
        <w:t xml:space="preserve"> example demonstrates a corrected disclosure, where only the Reporting FI address needs to be corrected.</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F02751" w:rsidP="00E30C37">
      <w:pPr>
        <w:pBdr>
          <w:top w:val="single" w:sz="4" w:space="10" w:color="auto"/>
          <w:left w:val="single" w:sz="4" w:space="10" w:color="auto"/>
          <w:bottom w:val="single" w:sz="4" w:space="10" w:color="auto"/>
          <w:right w:val="single" w:sz="4" w:space="10" w:color="auto"/>
        </w:pBdr>
      </w:pPr>
      <w:r>
        <w:object w:dxaOrig="11595" w:dyaOrig="10801">
          <v:shape id="_x0000_i1027" type="#_x0000_t75" style="width:379.5pt;height:354pt" o:ole="">
            <v:imagedata r:id="rId14" o:title=""/>
          </v:shape>
          <o:OLEObject Type="Embed" ProgID="Visio.Drawing.15" ShapeID="_x0000_i1027" DrawAspect="Content" ObjectID="_1548685358" r:id="rId15"/>
        </w:objec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8C4807" w:rsidP="00E30C37">
      <w:pPr>
        <w:pBdr>
          <w:top w:val="single" w:sz="4" w:space="10" w:color="auto"/>
          <w:left w:val="single" w:sz="4" w:space="10" w:color="auto"/>
          <w:bottom w:val="single" w:sz="4" w:space="10" w:color="auto"/>
          <w:right w:val="single" w:sz="4" w:space="10" w:color="auto"/>
        </w:pBdr>
      </w:pPr>
      <w:r>
        <w:t>P</w:t>
      </w:r>
      <w:r w:rsidR="00BD5DA2">
        <w:t>oints to note about the correction:</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BD5DA2" w:rsidP="00E30C37">
      <w:pPr>
        <w:pStyle w:val="List-Bullet"/>
        <w:pBdr>
          <w:top w:val="single" w:sz="4" w:space="10" w:color="auto"/>
          <w:left w:val="single" w:sz="4" w:space="10" w:color="auto"/>
          <w:bottom w:val="single" w:sz="4" w:space="10" w:color="auto"/>
          <w:right w:val="single" w:sz="4" w:space="10" w:color="auto"/>
        </w:pBdr>
      </w:pPr>
      <w:r>
        <w:t>The CorrMessageRefID element is not used for CRS.  This is because the DocRefID of a record will always be unique and is therefore sufficient for identifying the record.</w:t>
      </w:r>
    </w:p>
    <w:p w:rsidR="00BD5DA2" w:rsidRDefault="00BD5DA2" w:rsidP="00E30C37">
      <w:pPr>
        <w:pStyle w:val="List-Bullet"/>
        <w:pBdr>
          <w:top w:val="single" w:sz="4" w:space="10" w:color="auto"/>
          <w:left w:val="single" w:sz="4" w:space="10" w:color="auto"/>
          <w:bottom w:val="single" w:sz="4" w:space="10" w:color="auto"/>
          <w:right w:val="single" w:sz="4" w:space="10" w:color="auto"/>
        </w:pBdr>
      </w:pPr>
      <w:r>
        <w:t>The DocTypeIndic for the ReportingFI element is OECD2 (Corrected Data) in the corrected disclosure.  This is because the ReportingFI address details have changed from the original disclosure.</w:t>
      </w:r>
    </w:p>
    <w:p w:rsidR="00BD5DA2" w:rsidRDefault="00BD5DA2" w:rsidP="00E30C37">
      <w:pPr>
        <w:pStyle w:val="List-Bullet"/>
        <w:pBdr>
          <w:top w:val="single" w:sz="4" w:space="10" w:color="auto"/>
          <w:left w:val="single" w:sz="4" w:space="10" w:color="auto"/>
          <w:bottom w:val="single" w:sz="4" w:space="10" w:color="auto"/>
          <w:right w:val="single" w:sz="4" w:space="10" w:color="auto"/>
        </w:pBdr>
        <w:spacing w:after="0"/>
      </w:pPr>
      <w:r>
        <w:t>Only AccountReports that require correction need to be included in corrected disclosures.  In this example, the AccountReport does not require correcting, so it has not been included.</w:t>
      </w:r>
    </w:p>
    <w:p w:rsidR="00BD5DA2" w:rsidRDefault="00BD5DA2" w:rsidP="00BD5DA2"/>
    <w:p w:rsidR="009A47EF" w:rsidRDefault="009A47EF">
      <w:pPr>
        <w:spacing w:after="200" w:line="276" w:lineRule="auto"/>
        <w:rPr>
          <w:b/>
        </w:rPr>
      </w:pPr>
      <w:r>
        <w:rPr>
          <w:i/>
        </w:rPr>
        <w:br w:type="page"/>
      </w:r>
    </w:p>
    <w:p w:rsidR="00BD5DA2" w:rsidRPr="008C4807" w:rsidRDefault="00BD5DA2" w:rsidP="00E30C37">
      <w:pPr>
        <w:pStyle w:val="Heading2"/>
        <w:pBdr>
          <w:top w:val="single" w:sz="4" w:space="10" w:color="auto"/>
          <w:left w:val="single" w:sz="4" w:space="10" w:color="auto"/>
          <w:bottom w:val="single" w:sz="4" w:space="10" w:color="auto"/>
          <w:right w:val="single" w:sz="4" w:space="10" w:color="auto"/>
        </w:pBdr>
        <w:rPr>
          <w:i w:val="0"/>
        </w:rPr>
      </w:pPr>
      <w:r w:rsidRPr="008C4807">
        <w:rPr>
          <w:i w:val="0"/>
        </w:rPr>
        <w:t>Example 4 – Deleting an entire disclosure</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8C4807" w:rsidP="00E30C37">
      <w:pPr>
        <w:pBdr>
          <w:top w:val="single" w:sz="4" w:space="10" w:color="auto"/>
          <w:left w:val="single" w:sz="4" w:space="10" w:color="auto"/>
          <w:bottom w:val="single" w:sz="4" w:space="10" w:color="auto"/>
          <w:right w:val="single" w:sz="4" w:space="10" w:color="auto"/>
        </w:pBdr>
      </w:pPr>
      <w:r>
        <w:t>This</w:t>
      </w:r>
      <w:r w:rsidR="00BD5DA2">
        <w:t xml:space="preserve"> example shows how an entire disclosure can be deleted.</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F02751" w:rsidP="00E30C37">
      <w:pPr>
        <w:pBdr>
          <w:top w:val="single" w:sz="4" w:space="10" w:color="auto"/>
          <w:left w:val="single" w:sz="4" w:space="10" w:color="auto"/>
          <w:bottom w:val="single" w:sz="4" w:space="10" w:color="auto"/>
          <w:right w:val="single" w:sz="4" w:space="10" w:color="auto"/>
        </w:pBdr>
      </w:pPr>
      <w:r>
        <w:object w:dxaOrig="11595" w:dyaOrig="10801">
          <v:shape id="_x0000_i1028" type="#_x0000_t75" style="width:385.5pt;height:358.5pt" o:ole="">
            <v:imagedata r:id="rId16" o:title=""/>
          </v:shape>
          <o:OLEObject Type="Embed" ProgID="Visio.Drawing.15" ShapeID="_x0000_i1028" DrawAspect="Content" ObjectID="_1548685359" r:id="rId17"/>
        </w:object>
      </w:r>
    </w:p>
    <w:p w:rsidR="009A47EF" w:rsidRDefault="009A47EF" w:rsidP="00E30C37">
      <w:pPr>
        <w:pBdr>
          <w:top w:val="single" w:sz="4" w:space="10" w:color="auto"/>
          <w:left w:val="single" w:sz="4" w:space="10" w:color="auto"/>
          <w:bottom w:val="single" w:sz="4" w:space="10" w:color="auto"/>
          <w:right w:val="single" w:sz="4" w:space="10" w:color="auto"/>
        </w:pBdr>
      </w:pPr>
    </w:p>
    <w:p w:rsidR="00BD5DA2" w:rsidRDefault="008C4807" w:rsidP="00E30C37">
      <w:pPr>
        <w:pBdr>
          <w:top w:val="single" w:sz="4" w:space="10" w:color="auto"/>
          <w:left w:val="single" w:sz="4" w:space="10" w:color="auto"/>
          <w:bottom w:val="single" w:sz="4" w:space="10" w:color="auto"/>
          <w:right w:val="single" w:sz="4" w:space="10" w:color="auto"/>
        </w:pBdr>
      </w:pPr>
      <w:r>
        <w:t>P</w:t>
      </w:r>
      <w:r w:rsidR="00BD5DA2">
        <w:t xml:space="preserve">oints to note about the </w:t>
      </w:r>
      <w:r>
        <w:t>c</w:t>
      </w:r>
      <w:r w:rsidR="00BD5DA2">
        <w:t>orrection:</w:t>
      </w:r>
    </w:p>
    <w:p w:rsidR="00BD5DA2" w:rsidRDefault="00BD5DA2" w:rsidP="00E30C37">
      <w:pPr>
        <w:pBdr>
          <w:top w:val="single" w:sz="4" w:space="10" w:color="auto"/>
          <w:left w:val="single" w:sz="4" w:space="10" w:color="auto"/>
          <w:bottom w:val="single" w:sz="4" w:space="10" w:color="auto"/>
          <w:right w:val="single" w:sz="4" w:space="10" w:color="auto"/>
        </w:pBdr>
      </w:pPr>
    </w:p>
    <w:p w:rsidR="00BD5DA2" w:rsidRDefault="00BD5DA2" w:rsidP="00E30C37">
      <w:pPr>
        <w:pStyle w:val="List-Bullet"/>
        <w:pBdr>
          <w:top w:val="single" w:sz="4" w:space="10" w:color="auto"/>
          <w:left w:val="single" w:sz="4" w:space="10" w:color="auto"/>
          <w:bottom w:val="single" w:sz="4" w:space="10" w:color="auto"/>
          <w:right w:val="single" w:sz="4" w:space="10" w:color="auto"/>
        </w:pBdr>
      </w:pPr>
      <w:r>
        <w:t>Every account report that requires deletion should be included in the corrected disclosure, with a DocTypeIndic of OECD3 (deletion of data).</w:t>
      </w:r>
    </w:p>
    <w:p w:rsidR="00CE5DA5" w:rsidRPr="00536C26" w:rsidRDefault="00BD5DA2" w:rsidP="00E30C37">
      <w:pPr>
        <w:pStyle w:val="List-Bullet"/>
        <w:pBdr>
          <w:top w:val="single" w:sz="4" w:space="10" w:color="auto"/>
          <w:left w:val="single" w:sz="4" w:space="10" w:color="auto"/>
          <w:bottom w:val="single" w:sz="4" w:space="10" w:color="auto"/>
          <w:right w:val="single" w:sz="4" w:space="10" w:color="auto"/>
        </w:pBdr>
        <w:spacing w:after="0"/>
      </w:pPr>
      <w:r>
        <w:t>The Reporting FI element can only be deleted if all of the associated Account Reports from the original disclosure have also been deleted.</w:t>
      </w:r>
    </w:p>
    <w:sectPr w:rsidR="00CE5DA5" w:rsidRPr="00536C26" w:rsidSect="009D27A0">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C4" w:rsidRDefault="00413BC4" w:rsidP="00DE5454">
      <w:r>
        <w:separator/>
      </w:r>
    </w:p>
  </w:endnote>
  <w:endnote w:type="continuationSeparator" w:id="0">
    <w:p w:rsidR="00413BC4" w:rsidRDefault="00413BC4" w:rsidP="00DE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59102"/>
      <w:docPartObj>
        <w:docPartGallery w:val="Page Numbers (Bottom of Page)"/>
        <w:docPartUnique/>
      </w:docPartObj>
    </w:sdtPr>
    <w:sdtEndPr>
      <w:rPr>
        <w:noProof/>
        <w:sz w:val="22"/>
      </w:rPr>
    </w:sdtEndPr>
    <w:sdtContent>
      <w:p w:rsidR="00413BC4" w:rsidRPr="00984A50" w:rsidRDefault="00413BC4" w:rsidP="00984A50">
        <w:pPr>
          <w:pStyle w:val="Footer"/>
          <w:jc w:val="center"/>
          <w:rPr>
            <w:sz w:val="22"/>
          </w:rPr>
        </w:pPr>
        <w:r w:rsidRPr="00984A50">
          <w:rPr>
            <w:sz w:val="22"/>
          </w:rPr>
          <w:fldChar w:fldCharType="begin"/>
        </w:r>
        <w:r w:rsidRPr="00984A50">
          <w:rPr>
            <w:sz w:val="22"/>
          </w:rPr>
          <w:instrText xml:space="preserve"> PAGE   \* MERGEFORMAT </w:instrText>
        </w:r>
        <w:r w:rsidRPr="00984A50">
          <w:rPr>
            <w:sz w:val="22"/>
          </w:rPr>
          <w:fldChar w:fldCharType="separate"/>
        </w:r>
        <w:r w:rsidR="00351C53">
          <w:rPr>
            <w:noProof/>
            <w:sz w:val="22"/>
          </w:rPr>
          <w:t>1</w:t>
        </w:r>
        <w:r w:rsidRPr="00984A50">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C4" w:rsidRDefault="00413BC4" w:rsidP="00DE5454">
      <w:r>
        <w:separator/>
      </w:r>
    </w:p>
  </w:footnote>
  <w:footnote w:type="continuationSeparator" w:id="0">
    <w:p w:rsidR="00413BC4" w:rsidRDefault="00413BC4" w:rsidP="00DE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19"/>
    <w:multiLevelType w:val="hybridMultilevel"/>
    <w:tmpl w:val="70FE57FA"/>
    <w:lvl w:ilvl="0" w:tplc="825C818A">
      <w:start w:val="1"/>
      <w:numFmt w:val="bullet"/>
      <w:pStyle w:val="List-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C028CE"/>
    <w:multiLevelType w:val="multilevel"/>
    <w:tmpl w:val="3BF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F016E"/>
    <w:multiLevelType w:val="hybridMultilevel"/>
    <w:tmpl w:val="10E09D46"/>
    <w:lvl w:ilvl="0" w:tplc="14090001">
      <w:start w:val="1"/>
      <w:numFmt w:val="bullet"/>
      <w:lvlText w:val=""/>
      <w:lvlJc w:val="left"/>
      <w:pPr>
        <w:ind w:left="270" w:hanging="360"/>
      </w:pPr>
      <w:rPr>
        <w:rFonts w:ascii="Symbol" w:hAnsi="Symbol" w:hint="default"/>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3">
    <w:nsid w:val="0F05583C"/>
    <w:multiLevelType w:val="hybridMultilevel"/>
    <w:tmpl w:val="9AA6533A"/>
    <w:lvl w:ilvl="0" w:tplc="40845E0C">
      <w:start w:val="1"/>
      <w:numFmt w:val="bullet"/>
      <w:lvlText w:val="•"/>
      <w:lvlJc w:val="left"/>
      <w:pPr>
        <w:ind w:left="360" w:hanging="360"/>
      </w:pPr>
      <w:rPr>
        <w:rFonts w:ascii="Times New Roman" w:hAnsi="Times New Roman"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24E6CC1"/>
    <w:multiLevelType w:val="hybridMultilevel"/>
    <w:tmpl w:val="6114AE74"/>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5">
    <w:nsid w:val="17A84E67"/>
    <w:multiLevelType w:val="multilevel"/>
    <w:tmpl w:val="F61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7509E"/>
    <w:multiLevelType w:val="hybridMultilevel"/>
    <w:tmpl w:val="E9BEC7FC"/>
    <w:lvl w:ilvl="0" w:tplc="1876BB9C">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F11DAE"/>
    <w:multiLevelType w:val="multilevel"/>
    <w:tmpl w:val="907E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63DB6"/>
    <w:multiLevelType w:val="hybridMultilevel"/>
    <w:tmpl w:val="EEC2104E"/>
    <w:lvl w:ilvl="0" w:tplc="C0365B8E">
      <w:start w:val="1"/>
      <w:numFmt w:val="decimal"/>
      <w:lvlText w:val="%1."/>
      <w:lvlJc w:val="left"/>
      <w:pPr>
        <w:ind w:left="-88" w:hanging="360"/>
      </w:pPr>
      <w:rPr>
        <w:rFonts w:hint="default"/>
      </w:rPr>
    </w:lvl>
    <w:lvl w:ilvl="1" w:tplc="14090019" w:tentative="1">
      <w:start w:val="1"/>
      <w:numFmt w:val="lowerLetter"/>
      <w:lvlText w:val="%2."/>
      <w:lvlJc w:val="left"/>
      <w:pPr>
        <w:ind w:left="632" w:hanging="360"/>
      </w:pPr>
    </w:lvl>
    <w:lvl w:ilvl="2" w:tplc="1409001B" w:tentative="1">
      <w:start w:val="1"/>
      <w:numFmt w:val="lowerRoman"/>
      <w:lvlText w:val="%3."/>
      <w:lvlJc w:val="right"/>
      <w:pPr>
        <w:ind w:left="1352" w:hanging="180"/>
      </w:pPr>
    </w:lvl>
    <w:lvl w:ilvl="3" w:tplc="1409000F" w:tentative="1">
      <w:start w:val="1"/>
      <w:numFmt w:val="decimal"/>
      <w:lvlText w:val="%4."/>
      <w:lvlJc w:val="left"/>
      <w:pPr>
        <w:ind w:left="2072" w:hanging="360"/>
      </w:pPr>
    </w:lvl>
    <w:lvl w:ilvl="4" w:tplc="14090019" w:tentative="1">
      <w:start w:val="1"/>
      <w:numFmt w:val="lowerLetter"/>
      <w:lvlText w:val="%5."/>
      <w:lvlJc w:val="left"/>
      <w:pPr>
        <w:ind w:left="2792" w:hanging="360"/>
      </w:pPr>
    </w:lvl>
    <w:lvl w:ilvl="5" w:tplc="1409001B" w:tentative="1">
      <w:start w:val="1"/>
      <w:numFmt w:val="lowerRoman"/>
      <w:lvlText w:val="%6."/>
      <w:lvlJc w:val="right"/>
      <w:pPr>
        <w:ind w:left="3512" w:hanging="180"/>
      </w:pPr>
    </w:lvl>
    <w:lvl w:ilvl="6" w:tplc="1409000F" w:tentative="1">
      <w:start w:val="1"/>
      <w:numFmt w:val="decimal"/>
      <w:lvlText w:val="%7."/>
      <w:lvlJc w:val="left"/>
      <w:pPr>
        <w:ind w:left="4232" w:hanging="360"/>
      </w:pPr>
    </w:lvl>
    <w:lvl w:ilvl="7" w:tplc="14090019" w:tentative="1">
      <w:start w:val="1"/>
      <w:numFmt w:val="lowerLetter"/>
      <w:lvlText w:val="%8."/>
      <w:lvlJc w:val="left"/>
      <w:pPr>
        <w:ind w:left="4952" w:hanging="360"/>
      </w:pPr>
    </w:lvl>
    <w:lvl w:ilvl="8" w:tplc="1409001B" w:tentative="1">
      <w:start w:val="1"/>
      <w:numFmt w:val="lowerRoman"/>
      <w:lvlText w:val="%9."/>
      <w:lvlJc w:val="right"/>
      <w:pPr>
        <w:ind w:left="5672" w:hanging="180"/>
      </w:pPr>
    </w:lvl>
  </w:abstractNum>
  <w:abstractNum w:abstractNumId="9">
    <w:nsid w:val="2AC04AA9"/>
    <w:multiLevelType w:val="multilevel"/>
    <w:tmpl w:val="176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3E5373"/>
    <w:multiLevelType w:val="hybridMultilevel"/>
    <w:tmpl w:val="60A2B422"/>
    <w:lvl w:ilvl="0" w:tplc="34981EF6">
      <w:start w:val="1"/>
      <w:numFmt w:val="decimal"/>
      <w:pStyle w:val="List-Numbered"/>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E6212F7"/>
    <w:multiLevelType w:val="hybridMultilevel"/>
    <w:tmpl w:val="8B62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09F7EFF"/>
    <w:multiLevelType w:val="multilevel"/>
    <w:tmpl w:val="83E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D277A1"/>
    <w:multiLevelType w:val="hybridMultilevel"/>
    <w:tmpl w:val="72688B92"/>
    <w:lvl w:ilvl="0" w:tplc="4378E7BA">
      <w:start w:val="1"/>
      <w:numFmt w:val="bullet"/>
      <w:lvlText w:val=""/>
      <w:lvlJc w:val="left"/>
      <w:pPr>
        <w:ind w:left="135" w:hanging="585"/>
      </w:pPr>
      <w:rPr>
        <w:rFonts w:ascii="Symbol" w:hAnsi="Symbol"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27421B8"/>
    <w:multiLevelType w:val="hybridMultilevel"/>
    <w:tmpl w:val="96C45C90"/>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C423DC7"/>
    <w:multiLevelType w:val="hybridMultilevel"/>
    <w:tmpl w:val="96281EDE"/>
    <w:lvl w:ilvl="0" w:tplc="14090005">
      <w:start w:val="1"/>
      <w:numFmt w:val="bullet"/>
      <w:lvlText w:val=""/>
      <w:lvlJc w:val="left"/>
      <w:pPr>
        <w:ind w:left="-90" w:hanging="360"/>
      </w:pPr>
      <w:rPr>
        <w:rFonts w:ascii="Wingdings" w:hAnsi="Wingdings"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16">
    <w:nsid w:val="57C14008"/>
    <w:multiLevelType w:val="multilevel"/>
    <w:tmpl w:val="8348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190B92"/>
    <w:multiLevelType w:val="hybridMultilevel"/>
    <w:tmpl w:val="1BF28D2E"/>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C087A91"/>
    <w:multiLevelType w:val="multilevel"/>
    <w:tmpl w:val="DB2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6E39D7"/>
    <w:multiLevelType w:val="hybridMultilevel"/>
    <w:tmpl w:val="50E4BAA2"/>
    <w:lvl w:ilvl="0" w:tplc="6CD0EBE4">
      <w:numFmt w:val="bullet"/>
      <w:lvlText w:val=""/>
      <w:lvlJc w:val="left"/>
      <w:pPr>
        <w:ind w:left="-90" w:hanging="360"/>
      </w:pPr>
      <w:rPr>
        <w:rFonts w:ascii="Symbol" w:eastAsia="Times New Roman" w:hAnsi="Symbol"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num w:numId="1">
    <w:abstractNumId w:val="5"/>
  </w:num>
  <w:num w:numId="2">
    <w:abstractNumId w:val="7"/>
  </w:num>
  <w:num w:numId="3">
    <w:abstractNumId w:val="18"/>
  </w:num>
  <w:num w:numId="4">
    <w:abstractNumId w:val="16"/>
  </w:num>
  <w:num w:numId="5">
    <w:abstractNumId w:val="12"/>
  </w:num>
  <w:num w:numId="6">
    <w:abstractNumId w:val="9"/>
  </w:num>
  <w:num w:numId="7">
    <w:abstractNumId w:val="1"/>
  </w:num>
  <w:num w:numId="8">
    <w:abstractNumId w:val="11"/>
  </w:num>
  <w:num w:numId="9">
    <w:abstractNumId w:val="6"/>
  </w:num>
  <w:num w:numId="10">
    <w:abstractNumId w:val="2"/>
  </w:num>
  <w:num w:numId="11">
    <w:abstractNumId w:val="19"/>
  </w:num>
  <w:num w:numId="12">
    <w:abstractNumId w:val="15"/>
  </w:num>
  <w:num w:numId="13">
    <w:abstractNumId w:val="17"/>
  </w:num>
  <w:num w:numId="14">
    <w:abstractNumId w:val="4"/>
  </w:num>
  <w:num w:numId="15">
    <w:abstractNumId w:val="14"/>
  </w:num>
  <w:num w:numId="16">
    <w:abstractNumId w:val="13"/>
  </w:num>
  <w:num w:numId="17">
    <w:abstractNumId w:val="8"/>
  </w:num>
  <w:num w:numId="18">
    <w:abstractNumId w:val="0"/>
  </w:num>
  <w:num w:numId="19">
    <w:abstractNumId w:val="10"/>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4"/>
    <w:rsid w:val="00002079"/>
    <w:rsid w:val="00006191"/>
    <w:rsid w:val="0001280B"/>
    <w:rsid w:val="00013177"/>
    <w:rsid w:val="00015940"/>
    <w:rsid w:val="00016356"/>
    <w:rsid w:val="00022AF1"/>
    <w:rsid w:val="00027780"/>
    <w:rsid w:val="00030175"/>
    <w:rsid w:val="00033206"/>
    <w:rsid w:val="00035741"/>
    <w:rsid w:val="00036F33"/>
    <w:rsid w:val="000376CF"/>
    <w:rsid w:val="000421DC"/>
    <w:rsid w:val="000528E7"/>
    <w:rsid w:val="00057993"/>
    <w:rsid w:val="00060748"/>
    <w:rsid w:val="00074C85"/>
    <w:rsid w:val="000763E4"/>
    <w:rsid w:val="00080FD4"/>
    <w:rsid w:val="00086E10"/>
    <w:rsid w:val="00087D2D"/>
    <w:rsid w:val="00092E76"/>
    <w:rsid w:val="0009575F"/>
    <w:rsid w:val="00096503"/>
    <w:rsid w:val="000B3705"/>
    <w:rsid w:val="000D58A6"/>
    <w:rsid w:val="000D6405"/>
    <w:rsid w:val="000E0D64"/>
    <w:rsid w:val="000E502B"/>
    <w:rsid w:val="000E7654"/>
    <w:rsid w:val="000F65D5"/>
    <w:rsid w:val="000F6A34"/>
    <w:rsid w:val="00100EE1"/>
    <w:rsid w:val="001077D3"/>
    <w:rsid w:val="0011124E"/>
    <w:rsid w:val="00113F43"/>
    <w:rsid w:val="00114BC1"/>
    <w:rsid w:val="00121D85"/>
    <w:rsid w:val="00124B7B"/>
    <w:rsid w:val="00142313"/>
    <w:rsid w:val="00143855"/>
    <w:rsid w:val="001614EC"/>
    <w:rsid w:val="00161D0E"/>
    <w:rsid w:val="00165A55"/>
    <w:rsid w:val="00177C8D"/>
    <w:rsid w:val="00181CF4"/>
    <w:rsid w:val="001837F8"/>
    <w:rsid w:val="00187ADC"/>
    <w:rsid w:val="00192B82"/>
    <w:rsid w:val="001A0B89"/>
    <w:rsid w:val="001A2332"/>
    <w:rsid w:val="001B05D5"/>
    <w:rsid w:val="001B459A"/>
    <w:rsid w:val="001C08DF"/>
    <w:rsid w:val="001C3B96"/>
    <w:rsid w:val="001C55B7"/>
    <w:rsid w:val="001D23B2"/>
    <w:rsid w:val="001E0E24"/>
    <w:rsid w:val="001E2E4B"/>
    <w:rsid w:val="001E64F7"/>
    <w:rsid w:val="001E6677"/>
    <w:rsid w:val="001F40E4"/>
    <w:rsid w:val="00202EF8"/>
    <w:rsid w:val="00206CBF"/>
    <w:rsid w:val="0021248F"/>
    <w:rsid w:val="00220606"/>
    <w:rsid w:val="002425EF"/>
    <w:rsid w:val="00255AA9"/>
    <w:rsid w:val="00262330"/>
    <w:rsid w:val="0026598F"/>
    <w:rsid w:val="002878FE"/>
    <w:rsid w:val="00292F10"/>
    <w:rsid w:val="002A5C9E"/>
    <w:rsid w:val="002B5BC2"/>
    <w:rsid w:val="002C6A49"/>
    <w:rsid w:val="002C6FE8"/>
    <w:rsid w:val="002C7D72"/>
    <w:rsid w:val="002D4514"/>
    <w:rsid w:val="002F145B"/>
    <w:rsid w:val="002F68F7"/>
    <w:rsid w:val="00300092"/>
    <w:rsid w:val="00301D4E"/>
    <w:rsid w:val="003032DC"/>
    <w:rsid w:val="003058D6"/>
    <w:rsid w:val="00311093"/>
    <w:rsid w:val="00312578"/>
    <w:rsid w:val="00321880"/>
    <w:rsid w:val="00321A32"/>
    <w:rsid w:val="00322169"/>
    <w:rsid w:val="00332C80"/>
    <w:rsid w:val="00335CCA"/>
    <w:rsid w:val="00341003"/>
    <w:rsid w:val="00351C53"/>
    <w:rsid w:val="003579EC"/>
    <w:rsid w:val="00360ECD"/>
    <w:rsid w:val="003614D4"/>
    <w:rsid w:val="00365971"/>
    <w:rsid w:val="00372588"/>
    <w:rsid w:val="0037398D"/>
    <w:rsid w:val="0037484F"/>
    <w:rsid w:val="003834B3"/>
    <w:rsid w:val="003834CD"/>
    <w:rsid w:val="00383ABC"/>
    <w:rsid w:val="0038477F"/>
    <w:rsid w:val="003865F7"/>
    <w:rsid w:val="003910FD"/>
    <w:rsid w:val="00391EBC"/>
    <w:rsid w:val="0039370B"/>
    <w:rsid w:val="00395981"/>
    <w:rsid w:val="003B3058"/>
    <w:rsid w:val="003B6D42"/>
    <w:rsid w:val="003C2144"/>
    <w:rsid w:val="003C4FCE"/>
    <w:rsid w:val="003C60AF"/>
    <w:rsid w:val="003C732A"/>
    <w:rsid w:val="003D277A"/>
    <w:rsid w:val="003D356A"/>
    <w:rsid w:val="003D3FB2"/>
    <w:rsid w:val="003D5A89"/>
    <w:rsid w:val="003E21AE"/>
    <w:rsid w:val="003E2A82"/>
    <w:rsid w:val="003E5D03"/>
    <w:rsid w:val="003E6B37"/>
    <w:rsid w:val="003F30C4"/>
    <w:rsid w:val="003F6FA5"/>
    <w:rsid w:val="003F790C"/>
    <w:rsid w:val="00413BC4"/>
    <w:rsid w:val="00415445"/>
    <w:rsid w:val="0043583A"/>
    <w:rsid w:val="00442BD6"/>
    <w:rsid w:val="00444100"/>
    <w:rsid w:val="004537E4"/>
    <w:rsid w:val="0045723C"/>
    <w:rsid w:val="004622D6"/>
    <w:rsid w:val="00465D8A"/>
    <w:rsid w:val="0046627B"/>
    <w:rsid w:val="00467300"/>
    <w:rsid w:val="00472A3A"/>
    <w:rsid w:val="00475918"/>
    <w:rsid w:val="00480BC9"/>
    <w:rsid w:val="00487397"/>
    <w:rsid w:val="00491114"/>
    <w:rsid w:val="004A271F"/>
    <w:rsid w:val="004A2E00"/>
    <w:rsid w:val="004A3628"/>
    <w:rsid w:val="004A456E"/>
    <w:rsid w:val="004B469A"/>
    <w:rsid w:val="004B4A12"/>
    <w:rsid w:val="004B5EF7"/>
    <w:rsid w:val="004D3D47"/>
    <w:rsid w:val="004E5620"/>
    <w:rsid w:val="004F66FE"/>
    <w:rsid w:val="005010D3"/>
    <w:rsid w:val="00502706"/>
    <w:rsid w:val="0050338F"/>
    <w:rsid w:val="005150B8"/>
    <w:rsid w:val="00516EF9"/>
    <w:rsid w:val="00525A43"/>
    <w:rsid w:val="00527AAC"/>
    <w:rsid w:val="005313CC"/>
    <w:rsid w:val="005352EF"/>
    <w:rsid w:val="00536C26"/>
    <w:rsid w:val="005548B3"/>
    <w:rsid w:val="005623B1"/>
    <w:rsid w:val="00570515"/>
    <w:rsid w:val="00576E43"/>
    <w:rsid w:val="005864A5"/>
    <w:rsid w:val="005A08EF"/>
    <w:rsid w:val="005A2397"/>
    <w:rsid w:val="005A7BE5"/>
    <w:rsid w:val="005B52C3"/>
    <w:rsid w:val="005B5E58"/>
    <w:rsid w:val="005C471C"/>
    <w:rsid w:val="005D3EAE"/>
    <w:rsid w:val="005E5CA0"/>
    <w:rsid w:val="005E6253"/>
    <w:rsid w:val="005E6340"/>
    <w:rsid w:val="005F69B8"/>
    <w:rsid w:val="00602E87"/>
    <w:rsid w:val="00616A8B"/>
    <w:rsid w:val="0062112A"/>
    <w:rsid w:val="00626055"/>
    <w:rsid w:val="00643756"/>
    <w:rsid w:val="00651FF1"/>
    <w:rsid w:val="00652401"/>
    <w:rsid w:val="00661255"/>
    <w:rsid w:val="00661E3A"/>
    <w:rsid w:val="00674B2F"/>
    <w:rsid w:val="00685B1F"/>
    <w:rsid w:val="0069022E"/>
    <w:rsid w:val="00692CD2"/>
    <w:rsid w:val="00695E5D"/>
    <w:rsid w:val="006A1097"/>
    <w:rsid w:val="006A31BE"/>
    <w:rsid w:val="006B01B5"/>
    <w:rsid w:val="006C0967"/>
    <w:rsid w:val="006C2AAB"/>
    <w:rsid w:val="006C72EE"/>
    <w:rsid w:val="006D651E"/>
    <w:rsid w:val="006E4A97"/>
    <w:rsid w:val="006E7DB6"/>
    <w:rsid w:val="006F22B0"/>
    <w:rsid w:val="006F55A6"/>
    <w:rsid w:val="00702593"/>
    <w:rsid w:val="007336A5"/>
    <w:rsid w:val="00735D05"/>
    <w:rsid w:val="0073730A"/>
    <w:rsid w:val="00753448"/>
    <w:rsid w:val="007537DE"/>
    <w:rsid w:val="00763F88"/>
    <w:rsid w:val="00775EFE"/>
    <w:rsid w:val="00794D1A"/>
    <w:rsid w:val="00795E88"/>
    <w:rsid w:val="007A04BC"/>
    <w:rsid w:val="007A2D42"/>
    <w:rsid w:val="007A41E9"/>
    <w:rsid w:val="007A6CC2"/>
    <w:rsid w:val="007B1DE9"/>
    <w:rsid w:val="007B632C"/>
    <w:rsid w:val="007D26BD"/>
    <w:rsid w:val="007D429F"/>
    <w:rsid w:val="007F7301"/>
    <w:rsid w:val="007F7B44"/>
    <w:rsid w:val="00805A6F"/>
    <w:rsid w:val="00814D68"/>
    <w:rsid w:val="00817DEB"/>
    <w:rsid w:val="00827A88"/>
    <w:rsid w:val="00830B04"/>
    <w:rsid w:val="00832A9E"/>
    <w:rsid w:val="008378FA"/>
    <w:rsid w:val="00844789"/>
    <w:rsid w:val="00846723"/>
    <w:rsid w:val="00850CF3"/>
    <w:rsid w:val="008523B3"/>
    <w:rsid w:val="00856366"/>
    <w:rsid w:val="0085671A"/>
    <w:rsid w:val="00856E9F"/>
    <w:rsid w:val="008579E8"/>
    <w:rsid w:val="00872C25"/>
    <w:rsid w:val="0087339C"/>
    <w:rsid w:val="00885938"/>
    <w:rsid w:val="00890BE1"/>
    <w:rsid w:val="00891253"/>
    <w:rsid w:val="00896BD0"/>
    <w:rsid w:val="008A2922"/>
    <w:rsid w:val="008A70B1"/>
    <w:rsid w:val="008A7DE5"/>
    <w:rsid w:val="008B033F"/>
    <w:rsid w:val="008C194A"/>
    <w:rsid w:val="008C1EB7"/>
    <w:rsid w:val="008C4807"/>
    <w:rsid w:val="008D0610"/>
    <w:rsid w:val="008D1873"/>
    <w:rsid w:val="008D4A59"/>
    <w:rsid w:val="008E256C"/>
    <w:rsid w:val="008E613C"/>
    <w:rsid w:val="008F4A3E"/>
    <w:rsid w:val="00901D62"/>
    <w:rsid w:val="00906F60"/>
    <w:rsid w:val="00907D3D"/>
    <w:rsid w:val="00923A7C"/>
    <w:rsid w:val="00940050"/>
    <w:rsid w:val="009420DC"/>
    <w:rsid w:val="0094210B"/>
    <w:rsid w:val="00946D8B"/>
    <w:rsid w:val="00950842"/>
    <w:rsid w:val="009650EF"/>
    <w:rsid w:val="00966933"/>
    <w:rsid w:val="0097037A"/>
    <w:rsid w:val="00974DB1"/>
    <w:rsid w:val="00977C16"/>
    <w:rsid w:val="00981B46"/>
    <w:rsid w:val="0098452E"/>
    <w:rsid w:val="00984A50"/>
    <w:rsid w:val="0099635E"/>
    <w:rsid w:val="00996526"/>
    <w:rsid w:val="00996606"/>
    <w:rsid w:val="009A1A35"/>
    <w:rsid w:val="009A47EF"/>
    <w:rsid w:val="009A4DDE"/>
    <w:rsid w:val="009A5020"/>
    <w:rsid w:val="009A75EE"/>
    <w:rsid w:val="009A79A5"/>
    <w:rsid w:val="009A7DFC"/>
    <w:rsid w:val="009B7341"/>
    <w:rsid w:val="009C3FDA"/>
    <w:rsid w:val="009C60A5"/>
    <w:rsid w:val="009D0A43"/>
    <w:rsid w:val="009D1008"/>
    <w:rsid w:val="009D27A0"/>
    <w:rsid w:val="009D315F"/>
    <w:rsid w:val="009D5C0D"/>
    <w:rsid w:val="009E2847"/>
    <w:rsid w:val="009E2F8F"/>
    <w:rsid w:val="009F351A"/>
    <w:rsid w:val="00A12572"/>
    <w:rsid w:val="00A14944"/>
    <w:rsid w:val="00A14F5D"/>
    <w:rsid w:val="00A16E25"/>
    <w:rsid w:val="00A2278C"/>
    <w:rsid w:val="00A245E5"/>
    <w:rsid w:val="00A2711D"/>
    <w:rsid w:val="00A372E9"/>
    <w:rsid w:val="00A52041"/>
    <w:rsid w:val="00A53077"/>
    <w:rsid w:val="00A53F73"/>
    <w:rsid w:val="00A65AE9"/>
    <w:rsid w:val="00A722F1"/>
    <w:rsid w:val="00A76692"/>
    <w:rsid w:val="00A807D8"/>
    <w:rsid w:val="00A82635"/>
    <w:rsid w:val="00A85141"/>
    <w:rsid w:val="00A85827"/>
    <w:rsid w:val="00A904E6"/>
    <w:rsid w:val="00A96F43"/>
    <w:rsid w:val="00A97E7B"/>
    <w:rsid w:val="00AB108F"/>
    <w:rsid w:val="00AB2F1E"/>
    <w:rsid w:val="00AB30F1"/>
    <w:rsid w:val="00AB6982"/>
    <w:rsid w:val="00AC005F"/>
    <w:rsid w:val="00AC0CE8"/>
    <w:rsid w:val="00AC25C9"/>
    <w:rsid w:val="00AD0DBA"/>
    <w:rsid w:val="00AE06DF"/>
    <w:rsid w:val="00AE1E12"/>
    <w:rsid w:val="00AE39A7"/>
    <w:rsid w:val="00AE62C1"/>
    <w:rsid w:val="00AF232F"/>
    <w:rsid w:val="00B00E5E"/>
    <w:rsid w:val="00B10A07"/>
    <w:rsid w:val="00B12BEF"/>
    <w:rsid w:val="00B335BF"/>
    <w:rsid w:val="00B376E5"/>
    <w:rsid w:val="00B45501"/>
    <w:rsid w:val="00B50EA2"/>
    <w:rsid w:val="00B511E6"/>
    <w:rsid w:val="00B5187C"/>
    <w:rsid w:val="00B73352"/>
    <w:rsid w:val="00B77449"/>
    <w:rsid w:val="00B84084"/>
    <w:rsid w:val="00B85565"/>
    <w:rsid w:val="00B85D42"/>
    <w:rsid w:val="00B93331"/>
    <w:rsid w:val="00B97279"/>
    <w:rsid w:val="00BA0940"/>
    <w:rsid w:val="00BA1D49"/>
    <w:rsid w:val="00BA44C3"/>
    <w:rsid w:val="00BA7F57"/>
    <w:rsid w:val="00BB4C63"/>
    <w:rsid w:val="00BD1E70"/>
    <w:rsid w:val="00BD2AB8"/>
    <w:rsid w:val="00BD5DA2"/>
    <w:rsid w:val="00BE1291"/>
    <w:rsid w:val="00BF360F"/>
    <w:rsid w:val="00BF38BC"/>
    <w:rsid w:val="00C11261"/>
    <w:rsid w:val="00C13F9F"/>
    <w:rsid w:val="00C400F8"/>
    <w:rsid w:val="00C460CA"/>
    <w:rsid w:val="00C46814"/>
    <w:rsid w:val="00C51739"/>
    <w:rsid w:val="00C55F6F"/>
    <w:rsid w:val="00C578AD"/>
    <w:rsid w:val="00C61440"/>
    <w:rsid w:val="00C633B8"/>
    <w:rsid w:val="00C640CF"/>
    <w:rsid w:val="00C72997"/>
    <w:rsid w:val="00C77057"/>
    <w:rsid w:val="00C82E37"/>
    <w:rsid w:val="00C86311"/>
    <w:rsid w:val="00C97E3C"/>
    <w:rsid w:val="00CA0847"/>
    <w:rsid w:val="00CA62BB"/>
    <w:rsid w:val="00CA6BED"/>
    <w:rsid w:val="00CB1DB0"/>
    <w:rsid w:val="00CC4C50"/>
    <w:rsid w:val="00CC64BF"/>
    <w:rsid w:val="00CC735A"/>
    <w:rsid w:val="00CD2F9F"/>
    <w:rsid w:val="00CE2DA8"/>
    <w:rsid w:val="00CE5DA5"/>
    <w:rsid w:val="00CF4A6F"/>
    <w:rsid w:val="00D036F0"/>
    <w:rsid w:val="00D17E5A"/>
    <w:rsid w:val="00D36B68"/>
    <w:rsid w:val="00D60FE1"/>
    <w:rsid w:val="00D62F43"/>
    <w:rsid w:val="00D66354"/>
    <w:rsid w:val="00D66749"/>
    <w:rsid w:val="00D73442"/>
    <w:rsid w:val="00D83534"/>
    <w:rsid w:val="00D865BF"/>
    <w:rsid w:val="00DA68C6"/>
    <w:rsid w:val="00DB1DC8"/>
    <w:rsid w:val="00DB3159"/>
    <w:rsid w:val="00DB640D"/>
    <w:rsid w:val="00DC22B6"/>
    <w:rsid w:val="00DC6F08"/>
    <w:rsid w:val="00DE2D1B"/>
    <w:rsid w:val="00DE2D26"/>
    <w:rsid w:val="00DE39E0"/>
    <w:rsid w:val="00DE5454"/>
    <w:rsid w:val="00DF21C9"/>
    <w:rsid w:val="00E00A20"/>
    <w:rsid w:val="00E03B22"/>
    <w:rsid w:val="00E14C1D"/>
    <w:rsid w:val="00E14DAC"/>
    <w:rsid w:val="00E20DC6"/>
    <w:rsid w:val="00E228E8"/>
    <w:rsid w:val="00E30C37"/>
    <w:rsid w:val="00E315C2"/>
    <w:rsid w:val="00E325DD"/>
    <w:rsid w:val="00E32D0E"/>
    <w:rsid w:val="00E32EED"/>
    <w:rsid w:val="00E369B0"/>
    <w:rsid w:val="00E36F33"/>
    <w:rsid w:val="00E61F79"/>
    <w:rsid w:val="00E65F60"/>
    <w:rsid w:val="00E775CB"/>
    <w:rsid w:val="00E84B04"/>
    <w:rsid w:val="00E85304"/>
    <w:rsid w:val="00E9152D"/>
    <w:rsid w:val="00E9164F"/>
    <w:rsid w:val="00E96AFC"/>
    <w:rsid w:val="00EA1BCC"/>
    <w:rsid w:val="00EA31C4"/>
    <w:rsid w:val="00EC3CAC"/>
    <w:rsid w:val="00EC461B"/>
    <w:rsid w:val="00EC6B63"/>
    <w:rsid w:val="00ED14A1"/>
    <w:rsid w:val="00ED1784"/>
    <w:rsid w:val="00ED209B"/>
    <w:rsid w:val="00EE3ECC"/>
    <w:rsid w:val="00EF1367"/>
    <w:rsid w:val="00EF1F34"/>
    <w:rsid w:val="00EF67BE"/>
    <w:rsid w:val="00F02751"/>
    <w:rsid w:val="00F04E12"/>
    <w:rsid w:val="00F10896"/>
    <w:rsid w:val="00F14A59"/>
    <w:rsid w:val="00F24A25"/>
    <w:rsid w:val="00F41643"/>
    <w:rsid w:val="00F436AE"/>
    <w:rsid w:val="00F6031F"/>
    <w:rsid w:val="00F624AD"/>
    <w:rsid w:val="00F64628"/>
    <w:rsid w:val="00F670FE"/>
    <w:rsid w:val="00F76CBC"/>
    <w:rsid w:val="00F93A36"/>
    <w:rsid w:val="00FA026E"/>
    <w:rsid w:val="00FB16D3"/>
    <w:rsid w:val="00FB4161"/>
    <w:rsid w:val="00FC3FD5"/>
    <w:rsid w:val="00FD152E"/>
    <w:rsid w:val="00FD2431"/>
    <w:rsid w:val="00FD4B03"/>
    <w:rsid w:val="00FD6C31"/>
    <w:rsid w:val="00FE0137"/>
    <w:rsid w:val="00FF5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F4A6F"/>
    <w:pPr>
      <w:outlineLvl w:val="0"/>
    </w:pPr>
    <w:rPr>
      <w:b/>
    </w:rPr>
  </w:style>
  <w:style w:type="paragraph" w:styleId="Heading2">
    <w:name w:val="heading 2"/>
    <w:basedOn w:val="Normal"/>
    <w:next w:val="Normal"/>
    <w:link w:val="Heading2Char"/>
    <w:uiPriority w:val="9"/>
    <w:qFormat/>
    <w:rsid w:val="00096503"/>
    <w:pPr>
      <w:outlineLvl w:val="1"/>
    </w:pPr>
    <w:rPr>
      <w:b/>
      <w:i/>
    </w:rPr>
  </w:style>
  <w:style w:type="paragraph" w:styleId="Heading3">
    <w:name w:val="heading 3"/>
    <w:basedOn w:val="Normal"/>
    <w:next w:val="Normal"/>
    <w:link w:val="Heading3Char"/>
    <w:uiPriority w:val="9"/>
    <w:unhideWhenUsed/>
    <w:qFormat/>
    <w:rsid w:val="000965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096503"/>
    <w:rPr>
      <w:rFonts w:ascii="Times New Roman" w:hAnsi="Times New Roman"/>
      <w:b/>
      <w:i/>
      <w:sz w:val="24"/>
    </w:rPr>
  </w:style>
  <w:style w:type="paragraph" w:styleId="Title">
    <w:name w:val="Title"/>
    <w:basedOn w:val="Normal"/>
    <w:next w:val="Normal"/>
    <w:link w:val="TitleChar"/>
    <w:uiPriority w:val="10"/>
    <w:qFormat/>
    <w:rsid w:val="00E30C37"/>
    <w:pPr>
      <w:jc w:val="center"/>
    </w:pPr>
    <w:rPr>
      <w:b/>
      <w:sz w:val="36"/>
      <w:szCs w:val="36"/>
    </w:rPr>
  </w:style>
  <w:style w:type="character" w:customStyle="1" w:styleId="TitleChar">
    <w:name w:val="Title Char"/>
    <w:basedOn w:val="DefaultParagraphFont"/>
    <w:link w:val="Title"/>
    <w:uiPriority w:val="10"/>
    <w:rsid w:val="00E30C37"/>
    <w:rPr>
      <w:rFonts w:ascii="Times New Roman" w:hAnsi="Times New Roman"/>
      <w:b/>
      <w:sz w:val="36"/>
      <w:szCs w:val="36"/>
    </w:rPr>
  </w:style>
  <w:style w:type="character" w:customStyle="1" w:styleId="Heading1Char">
    <w:name w:val="Heading 1 Char"/>
    <w:basedOn w:val="DefaultParagraphFont"/>
    <w:link w:val="Heading1"/>
    <w:uiPriority w:val="9"/>
    <w:rsid w:val="00CF4A6F"/>
    <w:rPr>
      <w:rFonts w:ascii="Times New Roman" w:hAnsi="Times New Roman"/>
      <w:b/>
      <w:sz w:val="24"/>
    </w:rPr>
  </w:style>
  <w:style w:type="character" w:customStyle="1" w:styleId="Heading3Char">
    <w:name w:val="Heading 3 Char"/>
    <w:basedOn w:val="DefaultParagraphFont"/>
    <w:link w:val="Heading3"/>
    <w:uiPriority w:val="9"/>
    <w:rsid w:val="00096503"/>
    <w:rPr>
      <w:rFonts w:ascii="Times New Roman" w:hAnsi="Times New Roman"/>
      <w:i/>
      <w:sz w:val="24"/>
    </w:rPr>
  </w:style>
  <w:style w:type="paragraph" w:customStyle="1" w:styleId="List-Numbered">
    <w:name w:val="List - Numbered"/>
    <w:basedOn w:val="Normal"/>
    <w:qFormat/>
    <w:rsid w:val="00CE5DA5"/>
    <w:pPr>
      <w:numPr>
        <w:numId w:val="19"/>
      </w:numPr>
      <w:ind w:left="567" w:hanging="567"/>
    </w:pPr>
  </w:style>
  <w:style w:type="paragraph" w:customStyle="1" w:styleId="List-Bullet">
    <w:name w:val="List - Bullet"/>
    <w:basedOn w:val="Normal"/>
    <w:qFormat/>
    <w:rsid w:val="00CE5DA5"/>
    <w:pPr>
      <w:numPr>
        <w:numId w:val="18"/>
      </w:numPr>
      <w:spacing w:after="140"/>
      <w:ind w:left="567" w:hanging="567"/>
    </w:pPr>
  </w:style>
  <w:style w:type="table" w:styleId="TableGrid">
    <w:name w:val="Table Grid"/>
    <w:basedOn w:val="TableNormal"/>
    <w:uiPriority w:val="59"/>
    <w:rsid w:val="00CE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F4A6F"/>
    <w:pPr>
      <w:outlineLvl w:val="0"/>
    </w:pPr>
    <w:rPr>
      <w:b/>
    </w:rPr>
  </w:style>
  <w:style w:type="paragraph" w:styleId="Heading2">
    <w:name w:val="heading 2"/>
    <w:basedOn w:val="Normal"/>
    <w:next w:val="Normal"/>
    <w:link w:val="Heading2Char"/>
    <w:uiPriority w:val="9"/>
    <w:qFormat/>
    <w:rsid w:val="00096503"/>
    <w:pPr>
      <w:outlineLvl w:val="1"/>
    </w:pPr>
    <w:rPr>
      <w:b/>
      <w:i/>
    </w:rPr>
  </w:style>
  <w:style w:type="paragraph" w:styleId="Heading3">
    <w:name w:val="heading 3"/>
    <w:basedOn w:val="Normal"/>
    <w:next w:val="Normal"/>
    <w:link w:val="Heading3Char"/>
    <w:uiPriority w:val="9"/>
    <w:unhideWhenUsed/>
    <w:qFormat/>
    <w:rsid w:val="000965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096503"/>
    <w:rPr>
      <w:rFonts w:ascii="Times New Roman" w:hAnsi="Times New Roman"/>
      <w:b/>
      <w:i/>
      <w:sz w:val="24"/>
    </w:rPr>
  </w:style>
  <w:style w:type="paragraph" w:styleId="Title">
    <w:name w:val="Title"/>
    <w:basedOn w:val="Normal"/>
    <w:next w:val="Normal"/>
    <w:link w:val="TitleChar"/>
    <w:uiPriority w:val="10"/>
    <w:qFormat/>
    <w:rsid w:val="00E30C37"/>
    <w:pPr>
      <w:jc w:val="center"/>
    </w:pPr>
    <w:rPr>
      <w:b/>
      <w:sz w:val="36"/>
      <w:szCs w:val="36"/>
    </w:rPr>
  </w:style>
  <w:style w:type="character" w:customStyle="1" w:styleId="TitleChar">
    <w:name w:val="Title Char"/>
    <w:basedOn w:val="DefaultParagraphFont"/>
    <w:link w:val="Title"/>
    <w:uiPriority w:val="10"/>
    <w:rsid w:val="00E30C37"/>
    <w:rPr>
      <w:rFonts w:ascii="Times New Roman" w:hAnsi="Times New Roman"/>
      <w:b/>
      <w:sz w:val="36"/>
      <w:szCs w:val="36"/>
    </w:rPr>
  </w:style>
  <w:style w:type="character" w:customStyle="1" w:styleId="Heading1Char">
    <w:name w:val="Heading 1 Char"/>
    <w:basedOn w:val="DefaultParagraphFont"/>
    <w:link w:val="Heading1"/>
    <w:uiPriority w:val="9"/>
    <w:rsid w:val="00CF4A6F"/>
    <w:rPr>
      <w:rFonts w:ascii="Times New Roman" w:hAnsi="Times New Roman"/>
      <w:b/>
      <w:sz w:val="24"/>
    </w:rPr>
  </w:style>
  <w:style w:type="character" w:customStyle="1" w:styleId="Heading3Char">
    <w:name w:val="Heading 3 Char"/>
    <w:basedOn w:val="DefaultParagraphFont"/>
    <w:link w:val="Heading3"/>
    <w:uiPriority w:val="9"/>
    <w:rsid w:val="00096503"/>
    <w:rPr>
      <w:rFonts w:ascii="Times New Roman" w:hAnsi="Times New Roman"/>
      <w:i/>
      <w:sz w:val="24"/>
    </w:rPr>
  </w:style>
  <w:style w:type="paragraph" w:customStyle="1" w:styleId="List-Numbered">
    <w:name w:val="List - Numbered"/>
    <w:basedOn w:val="Normal"/>
    <w:qFormat/>
    <w:rsid w:val="00CE5DA5"/>
    <w:pPr>
      <w:numPr>
        <w:numId w:val="19"/>
      </w:numPr>
      <w:ind w:left="567" w:hanging="567"/>
    </w:pPr>
  </w:style>
  <w:style w:type="paragraph" w:customStyle="1" w:styleId="List-Bullet">
    <w:name w:val="List - Bullet"/>
    <w:basedOn w:val="Normal"/>
    <w:qFormat/>
    <w:rsid w:val="00CE5DA5"/>
    <w:pPr>
      <w:numPr>
        <w:numId w:val="18"/>
      </w:numPr>
      <w:spacing w:after="140"/>
      <w:ind w:left="567" w:hanging="567"/>
    </w:pPr>
  </w:style>
  <w:style w:type="table" w:styleId="TableGrid">
    <w:name w:val="Table Grid"/>
    <w:basedOn w:val="TableNormal"/>
    <w:uiPriority w:val="59"/>
    <w:rsid w:val="00CE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3494">
      <w:bodyDiv w:val="1"/>
      <w:marLeft w:val="0"/>
      <w:marRight w:val="0"/>
      <w:marTop w:val="0"/>
      <w:marBottom w:val="0"/>
      <w:divBdr>
        <w:top w:val="none" w:sz="0" w:space="0" w:color="auto"/>
        <w:left w:val="none" w:sz="0" w:space="0" w:color="auto"/>
        <w:bottom w:val="none" w:sz="0" w:space="0" w:color="auto"/>
        <w:right w:val="none" w:sz="0" w:space="0" w:color="auto"/>
      </w:divBdr>
    </w:div>
    <w:div w:id="343939925">
      <w:bodyDiv w:val="1"/>
      <w:marLeft w:val="0"/>
      <w:marRight w:val="0"/>
      <w:marTop w:val="0"/>
      <w:marBottom w:val="0"/>
      <w:divBdr>
        <w:top w:val="none" w:sz="0" w:space="0" w:color="auto"/>
        <w:left w:val="none" w:sz="0" w:space="0" w:color="auto"/>
        <w:bottom w:val="none" w:sz="0" w:space="0" w:color="auto"/>
        <w:right w:val="none" w:sz="0" w:space="0" w:color="auto"/>
      </w:divBdr>
    </w:div>
    <w:div w:id="676427384">
      <w:bodyDiv w:val="1"/>
      <w:marLeft w:val="0"/>
      <w:marRight w:val="0"/>
      <w:marTop w:val="0"/>
      <w:marBottom w:val="0"/>
      <w:divBdr>
        <w:top w:val="none" w:sz="0" w:space="0" w:color="auto"/>
        <w:left w:val="none" w:sz="0" w:space="0" w:color="auto"/>
        <w:bottom w:val="none" w:sz="0" w:space="0" w:color="auto"/>
        <w:right w:val="none" w:sz="0" w:space="0" w:color="auto"/>
      </w:divBdr>
      <w:divsChild>
        <w:div w:id="1345670152">
          <w:marLeft w:val="0"/>
          <w:marRight w:val="0"/>
          <w:marTop w:val="0"/>
          <w:marBottom w:val="0"/>
          <w:divBdr>
            <w:top w:val="none" w:sz="0" w:space="0" w:color="auto"/>
            <w:left w:val="none" w:sz="0" w:space="0" w:color="auto"/>
            <w:bottom w:val="none" w:sz="0" w:space="0" w:color="auto"/>
            <w:right w:val="none" w:sz="0" w:space="0" w:color="auto"/>
          </w:divBdr>
          <w:divsChild>
            <w:div w:id="374308094">
              <w:marLeft w:val="0"/>
              <w:marRight w:val="0"/>
              <w:marTop w:val="0"/>
              <w:marBottom w:val="0"/>
              <w:divBdr>
                <w:top w:val="none" w:sz="0" w:space="0" w:color="auto"/>
                <w:left w:val="none" w:sz="0" w:space="0" w:color="auto"/>
                <w:bottom w:val="none" w:sz="0" w:space="0" w:color="auto"/>
                <w:right w:val="none" w:sz="0" w:space="0" w:color="auto"/>
              </w:divBdr>
              <w:divsChild>
                <w:div w:id="1095322373">
                  <w:marLeft w:val="0"/>
                  <w:marRight w:val="0"/>
                  <w:marTop w:val="0"/>
                  <w:marBottom w:val="0"/>
                  <w:divBdr>
                    <w:top w:val="none" w:sz="0" w:space="0" w:color="auto"/>
                    <w:left w:val="none" w:sz="0" w:space="0" w:color="auto"/>
                    <w:bottom w:val="none" w:sz="0" w:space="0" w:color="auto"/>
                    <w:right w:val="none" w:sz="0" w:space="0" w:color="auto"/>
                  </w:divBdr>
                  <w:divsChild>
                    <w:div w:id="2038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2422">
      <w:bodyDiv w:val="1"/>
      <w:marLeft w:val="0"/>
      <w:marRight w:val="0"/>
      <w:marTop w:val="0"/>
      <w:marBottom w:val="0"/>
      <w:divBdr>
        <w:top w:val="none" w:sz="0" w:space="0" w:color="auto"/>
        <w:left w:val="none" w:sz="0" w:space="0" w:color="auto"/>
        <w:bottom w:val="none" w:sz="0" w:space="0" w:color="auto"/>
        <w:right w:val="none" w:sz="0" w:space="0" w:color="auto"/>
      </w:divBdr>
      <w:divsChild>
        <w:div w:id="1357274389">
          <w:marLeft w:val="0"/>
          <w:marRight w:val="0"/>
          <w:marTop w:val="0"/>
          <w:marBottom w:val="0"/>
          <w:divBdr>
            <w:top w:val="none" w:sz="0" w:space="0" w:color="auto"/>
            <w:left w:val="none" w:sz="0" w:space="0" w:color="auto"/>
            <w:bottom w:val="none" w:sz="0" w:space="0" w:color="auto"/>
            <w:right w:val="none" w:sz="0" w:space="0" w:color="auto"/>
          </w:divBdr>
          <w:divsChild>
            <w:div w:id="167260899">
              <w:marLeft w:val="0"/>
              <w:marRight w:val="0"/>
              <w:marTop w:val="0"/>
              <w:marBottom w:val="0"/>
              <w:divBdr>
                <w:top w:val="none" w:sz="0" w:space="0" w:color="auto"/>
                <w:left w:val="none" w:sz="0" w:space="0" w:color="auto"/>
                <w:bottom w:val="none" w:sz="0" w:space="0" w:color="auto"/>
                <w:right w:val="none" w:sz="0" w:space="0" w:color="auto"/>
              </w:divBdr>
              <w:divsChild>
                <w:div w:id="126896427">
                  <w:marLeft w:val="0"/>
                  <w:marRight w:val="0"/>
                  <w:marTop w:val="0"/>
                  <w:marBottom w:val="0"/>
                  <w:divBdr>
                    <w:top w:val="none" w:sz="0" w:space="0" w:color="auto"/>
                    <w:left w:val="none" w:sz="0" w:space="0" w:color="auto"/>
                    <w:bottom w:val="none" w:sz="0" w:space="0" w:color="auto"/>
                    <w:right w:val="none" w:sz="0" w:space="0" w:color="auto"/>
                  </w:divBdr>
                  <w:divsChild>
                    <w:div w:id="10023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928">
      <w:bodyDiv w:val="1"/>
      <w:marLeft w:val="0"/>
      <w:marRight w:val="0"/>
      <w:marTop w:val="0"/>
      <w:marBottom w:val="0"/>
      <w:divBdr>
        <w:top w:val="none" w:sz="0" w:space="0" w:color="auto"/>
        <w:left w:val="none" w:sz="0" w:space="0" w:color="auto"/>
        <w:bottom w:val="none" w:sz="0" w:space="0" w:color="auto"/>
        <w:right w:val="none" w:sz="0" w:space="0" w:color="auto"/>
      </w:divBdr>
    </w:div>
    <w:div w:id="977566165">
      <w:bodyDiv w:val="1"/>
      <w:marLeft w:val="0"/>
      <w:marRight w:val="0"/>
      <w:marTop w:val="0"/>
      <w:marBottom w:val="0"/>
      <w:divBdr>
        <w:top w:val="none" w:sz="0" w:space="0" w:color="auto"/>
        <w:left w:val="none" w:sz="0" w:space="0" w:color="auto"/>
        <w:bottom w:val="none" w:sz="0" w:space="0" w:color="auto"/>
        <w:right w:val="none" w:sz="0" w:space="0" w:color="auto"/>
      </w:divBdr>
    </w:div>
    <w:div w:id="1655447199">
      <w:bodyDiv w:val="1"/>
      <w:marLeft w:val="0"/>
      <w:marRight w:val="0"/>
      <w:marTop w:val="0"/>
      <w:marBottom w:val="0"/>
      <w:divBdr>
        <w:top w:val="none" w:sz="0" w:space="0" w:color="auto"/>
        <w:left w:val="none" w:sz="0" w:space="0" w:color="auto"/>
        <w:bottom w:val="none" w:sz="0" w:space="0" w:color="auto"/>
        <w:right w:val="none" w:sz="0" w:space="0" w:color="auto"/>
      </w:divBdr>
      <w:divsChild>
        <w:div w:id="518979690">
          <w:marLeft w:val="0"/>
          <w:marRight w:val="0"/>
          <w:marTop w:val="0"/>
          <w:marBottom w:val="0"/>
          <w:divBdr>
            <w:top w:val="none" w:sz="0" w:space="0" w:color="auto"/>
            <w:left w:val="none" w:sz="0" w:space="0" w:color="auto"/>
            <w:bottom w:val="none" w:sz="0" w:space="0" w:color="auto"/>
            <w:right w:val="none" w:sz="0" w:space="0" w:color="auto"/>
          </w:divBdr>
          <w:divsChild>
            <w:div w:id="1038623517">
              <w:marLeft w:val="0"/>
              <w:marRight w:val="0"/>
              <w:marTop w:val="0"/>
              <w:marBottom w:val="0"/>
              <w:divBdr>
                <w:top w:val="none" w:sz="0" w:space="0" w:color="auto"/>
                <w:left w:val="none" w:sz="0" w:space="0" w:color="auto"/>
                <w:bottom w:val="none" w:sz="0" w:space="0" w:color="auto"/>
                <w:right w:val="none" w:sz="0" w:space="0" w:color="auto"/>
              </w:divBdr>
              <w:divsChild>
                <w:div w:id="528883892">
                  <w:marLeft w:val="0"/>
                  <w:marRight w:val="0"/>
                  <w:marTop w:val="0"/>
                  <w:marBottom w:val="0"/>
                  <w:divBdr>
                    <w:top w:val="none" w:sz="0" w:space="0" w:color="auto"/>
                    <w:left w:val="none" w:sz="0" w:space="0" w:color="auto"/>
                    <w:bottom w:val="none" w:sz="0" w:space="0" w:color="auto"/>
                    <w:right w:val="none" w:sz="0" w:space="0" w:color="auto"/>
                  </w:divBdr>
                  <w:divsChild>
                    <w:div w:id="1179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8009">
      <w:bodyDiv w:val="1"/>
      <w:marLeft w:val="0"/>
      <w:marRight w:val="0"/>
      <w:marTop w:val="0"/>
      <w:marBottom w:val="0"/>
      <w:divBdr>
        <w:top w:val="none" w:sz="0" w:space="0" w:color="auto"/>
        <w:left w:val="none" w:sz="0" w:space="0" w:color="auto"/>
        <w:bottom w:val="none" w:sz="0" w:space="0" w:color="auto"/>
        <w:right w:val="none" w:sz="0" w:space="0" w:color="auto"/>
      </w:divBdr>
    </w:div>
    <w:div w:id="20833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4.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FFE3-0E2C-41FF-B017-8C1207E2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1074</Words>
  <Characters>5943</Characters>
  <Application>Microsoft Office Word</Application>
  <DocSecurity>0</DocSecurity>
  <Lines>198</Lines>
  <Paragraphs>80</Paragraphs>
  <ScaleCrop>false</ScaleCrop>
  <HeadingPairs>
    <vt:vector size="2" baseType="variant">
      <vt:variant>
        <vt:lpstr>Title</vt:lpstr>
      </vt:variant>
      <vt:variant>
        <vt:i4>1</vt:i4>
      </vt:variant>
    </vt:vector>
  </HeadingPairs>
  <TitlesOfParts>
    <vt:vector size="1" baseType="lpstr">
      <vt:lpstr>Automatic exchange of information - Changes to the Common Reporting Standard User Guide and CRS XML Schema v1.0 (February 2017)</vt:lpstr>
    </vt:vector>
  </TitlesOfParts>
  <Company>Inland Revenue</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exchange of information - Changes to the Common Reporting Standard User Guide and CRS XML Schema v1.0 (February 2017)</dc:title>
  <dc:creator/>
  <dc:description>Published on 15 February 2017.</dc:description>
  <cp:lastModifiedBy>David Nind</cp:lastModifiedBy>
  <cp:revision>2</cp:revision>
  <dcterms:created xsi:type="dcterms:W3CDTF">2017-02-15T04:35:00Z</dcterms:created>
  <dcterms:modified xsi:type="dcterms:W3CDTF">2017-02-15T04:36:00Z</dcterms:modified>
</cp:coreProperties>
</file>