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C6F" w:rsidRDefault="00E94C6F" w:rsidP="00E94C6F">
      <w:pPr>
        <w:jc w:val="center"/>
        <w:rPr>
          <w:b/>
        </w:rPr>
      </w:pPr>
    </w:p>
    <w:p w:rsidR="002204DA" w:rsidRPr="00E94C6F" w:rsidRDefault="002204DA" w:rsidP="00E94C6F">
      <w:pPr>
        <w:jc w:val="center"/>
        <w:rPr>
          <w:b/>
        </w:rPr>
      </w:pPr>
    </w:p>
    <w:p w:rsidR="00E94C6F" w:rsidRPr="00E94C6F" w:rsidRDefault="00E94C6F" w:rsidP="00E94C6F">
      <w:pPr>
        <w:jc w:val="center"/>
        <w:rPr>
          <w:b/>
        </w:rPr>
      </w:pPr>
    </w:p>
    <w:p w:rsidR="00E94C6F" w:rsidRPr="00E94C6F" w:rsidRDefault="00E94C6F" w:rsidP="00E94C6F">
      <w:pPr>
        <w:jc w:val="center"/>
        <w:rPr>
          <w:b/>
        </w:rPr>
      </w:pPr>
    </w:p>
    <w:p w:rsidR="00E94C6F" w:rsidRPr="00E94C6F" w:rsidRDefault="00E94C6F" w:rsidP="00E94C6F">
      <w:pPr>
        <w:jc w:val="center"/>
        <w:rPr>
          <w:b/>
        </w:rPr>
      </w:pPr>
    </w:p>
    <w:p w:rsidR="00E94C6F" w:rsidRPr="00E94C6F" w:rsidRDefault="00E549D0" w:rsidP="00E94C6F">
      <w:pPr>
        <w:pBdr>
          <w:bottom w:val="single" w:sz="4" w:space="5" w:color="auto"/>
        </w:pBdr>
        <w:jc w:val="center"/>
        <w:rPr>
          <w:sz w:val="68"/>
          <w:szCs w:val="68"/>
        </w:rPr>
      </w:pPr>
      <w:r>
        <w:rPr>
          <w:sz w:val="68"/>
          <w:szCs w:val="68"/>
        </w:rPr>
        <w:t>Minimum f</w:t>
      </w:r>
      <w:r w:rsidR="00E94C6F" w:rsidRPr="00E94C6F">
        <w:rPr>
          <w:sz w:val="68"/>
          <w:szCs w:val="68"/>
        </w:rPr>
        <w:t xml:space="preserve">inancial reporting requirements for </w:t>
      </w:r>
      <w:r w:rsidR="0091231B">
        <w:rPr>
          <w:sz w:val="68"/>
          <w:szCs w:val="68"/>
        </w:rPr>
        <w:t>foreign trusts</w:t>
      </w:r>
    </w:p>
    <w:p w:rsidR="00E94C6F" w:rsidRPr="00E94C6F" w:rsidRDefault="00E94C6F" w:rsidP="00E94C6F">
      <w:pPr>
        <w:jc w:val="center"/>
        <w:rPr>
          <w:b/>
          <w:sz w:val="40"/>
          <w:szCs w:val="40"/>
        </w:rPr>
      </w:pPr>
    </w:p>
    <w:p w:rsidR="00E94C6F" w:rsidRPr="00E94C6F" w:rsidRDefault="00E94C6F" w:rsidP="00E94C6F">
      <w:pPr>
        <w:jc w:val="center"/>
        <w:rPr>
          <w:i/>
          <w:sz w:val="28"/>
          <w:szCs w:val="28"/>
        </w:rPr>
      </w:pPr>
      <w:bookmarkStart w:id="0" w:name="_GoBack"/>
      <w:r w:rsidRPr="00E94C6F">
        <w:rPr>
          <w:i/>
          <w:sz w:val="28"/>
          <w:szCs w:val="28"/>
        </w:rPr>
        <w:t>An officials’ issues paper</w:t>
      </w:r>
      <w:r w:rsidR="00E577BD">
        <w:rPr>
          <w:i/>
          <w:sz w:val="28"/>
          <w:szCs w:val="28"/>
        </w:rPr>
        <w:t xml:space="preserve"> on </w:t>
      </w:r>
      <w:r w:rsidR="00B17273">
        <w:rPr>
          <w:i/>
          <w:sz w:val="28"/>
          <w:szCs w:val="28"/>
        </w:rPr>
        <w:t>proposed requirements for</w:t>
      </w:r>
      <w:r w:rsidR="00E577BD">
        <w:rPr>
          <w:i/>
          <w:sz w:val="28"/>
          <w:szCs w:val="28"/>
        </w:rPr>
        <w:t xml:space="preserve"> the </w:t>
      </w:r>
      <w:r w:rsidR="006F641E">
        <w:rPr>
          <w:i/>
          <w:sz w:val="28"/>
          <w:szCs w:val="28"/>
        </w:rPr>
        <w:br/>
      </w:r>
      <w:r w:rsidR="00E577BD">
        <w:rPr>
          <w:i/>
          <w:sz w:val="28"/>
          <w:szCs w:val="28"/>
        </w:rPr>
        <w:t>preparation of financial statements</w:t>
      </w:r>
      <w:bookmarkEnd w:id="0"/>
    </w:p>
    <w:p w:rsidR="00E94C6F" w:rsidRPr="00E94C6F" w:rsidRDefault="00E94C6F" w:rsidP="00E94C6F">
      <w:pPr>
        <w:jc w:val="center"/>
        <w:rPr>
          <w:b/>
          <w:sz w:val="40"/>
          <w:szCs w:val="40"/>
        </w:rPr>
      </w:pPr>
    </w:p>
    <w:p w:rsidR="00E94C6F" w:rsidRPr="00E94C6F" w:rsidRDefault="00E94C6F" w:rsidP="00E94C6F">
      <w:pPr>
        <w:jc w:val="center"/>
        <w:rPr>
          <w:b/>
        </w:rPr>
      </w:pPr>
    </w:p>
    <w:p w:rsidR="00E94C6F" w:rsidRPr="00E94C6F" w:rsidRDefault="00E94C6F" w:rsidP="00E94C6F">
      <w:pPr>
        <w:jc w:val="center"/>
        <w:rPr>
          <w:b/>
        </w:rPr>
      </w:pPr>
    </w:p>
    <w:p w:rsidR="00E94C6F" w:rsidRPr="00E94C6F" w:rsidRDefault="00E94C6F" w:rsidP="00E94C6F"/>
    <w:p w:rsidR="00E94C6F" w:rsidRPr="00E94C6F" w:rsidRDefault="00E94C6F" w:rsidP="00E94C6F"/>
    <w:p w:rsidR="00E94C6F" w:rsidRPr="00E94C6F" w:rsidRDefault="00E94C6F" w:rsidP="00E94C6F"/>
    <w:p w:rsidR="00E94C6F" w:rsidRPr="00E94C6F" w:rsidRDefault="00E94C6F" w:rsidP="00E94C6F"/>
    <w:p w:rsidR="00E94C6F" w:rsidRPr="00E94C6F" w:rsidRDefault="00E94C6F" w:rsidP="00E94C6F"/>
    <w:p w:rsidR="00E94C6F" w:rsidRPr="00E94C6F" w:rsidRDefault="00E94C6F" w:rsidP="00E94C6F"/>
    <w:p w:rsidR="00E94C6F" w:rsidRPr="00E94C6F" w:rsidRDefault="00E94C6F" w:rsidP="00E94C6F"/>
    <w:p w:rsidR="00E94C6F" w:rsidRPr="00E94C6F" w:rsidRDefault="00E94C6F" w:rsidP="00E94C6F"/>
    <w:p w:rsidR="00E94C6F" w:rsidRPr="00E94C6F" w:rsidRDefault="00E94C6F" w:rsidP="00E94C6F"/>
    <w:p w:rsidR="00E94C6F" w:rsidRPr="00E94C6F" w:rsidRDefault="00E94C6F" w:rsidP="00E94C6F"/>
    <w:p w:rsidR="00E94C6F" w:rsidRPr="00E94C6F" w:rsidRDefault="00E94C6F" w:rsidP="00E94C6F"/>
    <w:p w:rsidR="00E94C6F" w:rsidRPr="00E94C6F" w:rsidRDefault="00E94C6F" w:rsidP="00E94C6F"/>
    <w:p w:rsidR="00E94C6F" w:rsidRPr="00E94C6F" w:rsidRDefault="00E94C6F" w:rsidP="00E94C6F"/>
    <w:p w:rsidR="00E94C6F" w:rsidRPr="00E94C6F" w:rsidRDefault="00E94C6F" w:rsidP="00E94C6F"/>
    <w:p w:rsidR="00E94C6F" w:rsidRPr="00E94C6F" w:rsidRDefault="00E94C6F" w:rsidP="00E94C6F"/>
    <w:p w:rsidR="00E94C6F" w:rsidRPr="00E94C6F" w:rsidRDefault="00E94C6F" w:rsidP="00E94C6F"/>
    <w:p w:rsidR="00E94C6F" w:rsidRPr="00E94C6F" w:rsidRDefault="00E94C6F" w:rsidP="00E94C6F"/>
    <w:p w:rsidR="00E94C6F" w:rsidRPr="00E94C6F" w:rsidRDefault="00E94C6F" w:rsidP="00E94C6F"/>
    <w:p w:rsidR="00E94C6F" w:rsidRPr="00E94C6F" w:rsidRDefault="00E94C6F" w:rsidP="00E94C6F"/>
    <w:p w:rsidR="00E94C6F" w:rsidRPr="00E94C6F" w:rsidRDefault="00E94C6F" w:rsidP="00E94C6F"/>
    <w:p w:rsidR="00E94C6F" w:rsidRPr="00E94C6F" w:rsidRDefault="00E94C6F" w:rsidP="00E94C6F"/>
    <w:p w:rsidR="00E94C6F" w:rsidRPr="00E94C6F" w:rsidRDefault="00E94C6F" w:rsidP="00E94C6F"/>
    <w:p w:rsidR="00E94C6F" w:rsidRDefault="00E94C6F" w:rsidP="00E94C6F"/>
    <w:p w:rsidR="00967940" w:rsidRDefault="00967940" w:rsidP="00E94C6F"/>
    <w:p w:rsidR="00967940" w:rsidRPr="00E94C6F" w:rsidRDefault="00967940" w:rsidP="00E94C6F"/>
    <w:p w:rsidR="00E94C6F" w:rsidRPr="00E94C6F" w:rsidRDefault="00E94C6F" w:rsidP="00E94C6F"/>
    <w:p w:rsidR="00E94C6F" w:rsidRPr="00E94C6F" w:rsidRDefault="00E94C6F" w:rsidP="00E94C6F"/>
    <w:p w:rsidR="00E94C6F" w:rsidRPr="00E94C6F" w:rsidRDefault="00E94C6F" w:rsidP="00E94C6F"/>
    <w:p w:rsidR="00E94C6F" w:rsidRPr="00E94C6F" w:rsidRDefault="00E94C6F" w:rsidP="00E94C6F"/>
    <w:p w:rsidR="00E94C6F" w:rsidRPr="00E94C6F" w:rsidRDefault="00B17273" w:rsidP="00E94C6F">
      <w:pPr>
        <w:tabs>
          <w:tab w:val="left" w:pos="6237"/>
        </w:tabs>
        <w:rPr>
          <w:sz w:val="28"/>
          <w:szCs w:val="28"/>
        </w:rPr>
      </w:pPr>
      <w:r>
        <w:rPr>
          <w:sz w:val="28"/>
          <w:szCs w:val="28"/>
        </w:rPr>
        <w:t>May</w:t>
      </w:r>
      <w:r w:rsidR="00E94C6F" w:rsidRPr="00BB3890">
        <w:rPr>
          <w:sz w:val="28"/>
          <w:szCs w:val="28"/>
        </w:rPr>
        <w:t xml:space="preserve"> </w:t>
      </w:r>
      <w:r w:rsidR="00057B34" w:rsidRPr="00BB3890">
        <w:rPr>
          <w:sz w:val="28"/>
          <w:szCs w:val="28"/>
        </w:rPr>
        <w:t>201</w:t>
      </w:r>
      <w:r w:rsidR="0091231B">
        <w:rPr>
          <w:sz w:val="28"/>
          <w:szCs w:val="28"/>
        </w:rPr>
        <w:t>7</w:t>
      </w:r>
    </w:p>
    <w:p w:rsidR="00C26F85" w:rsidRDefault="00C26F85" w:rsidP="00A74980">
      <w:pPr>
        <w:tabs>
          <w:tab w:val="left" w:pos="6237"/>
        </w:tabs>
        <w:rPr>
          <w:i/>
        </w:rPr>
      </w:pPr>
    </w:p>
    <w:p w:rsidR="00E94C6F" w:rsidRPr="00E94C6F" w:rsidRDefault="00EC1318" w:rsidP="00C02169">
      <w:pPr>
        <w:tabs>
          <w:tab w:val="left" w:pos="6237"/>
        </w:tabs>
        <w:jc w:val="left"/>
      </w:pPr>
      <w:r>
        <w:rPr>
          <w:i/>
        </w:rPr>
        <w:t xml:space="preserve">Prepared by </w:t>
      </w:r>
      <w:r w:rsidR="00E94C6F" w:rsidRPr="00E94C6F">
        <w:rPr>
          <w:i/>
        </w:rPr>
        <w:t xml:space="preserve">Policy </w:t>
      </w:r>
      <w:r w:rsidR="00960262">
        <w:rPr>
          <w:i/>
        </w:rPr>
        <w:t xml:space="preserve">and </w:t>
      </w:r>
      <w:r>
        <w:rPr>
          <w:i/>
        </w:rPr>
        <w:t>Strategy</w:t>
      </w:r>
      <w:r w:rsidR="00960262">
        <w:rPr>
          <w:i/>
        </w:rPr>
        <w:t>,</w:t>
      </w:r>
      <w:r w:rsidR="00E94C6F" w:rsidRPr="00E94C6F">
        <w:rPr>
          <w:i/>
        </w:rPr>
        <w:t xml:space="preserve"> Inland Revenue</w:t>
      </w:r>
      <w:r w:rsidR="00E94C6F" w:rsidRPr="00E94C6F">
        <w:br w:type="page"/>
      </w:r>
    </w:p>
    <w:p w:rsidR="00E94C6F" w:rsidRPr="00E94C6F" w:rsidRDefault="00E94C6F" w:rsidP="00E94C6F">
      <w:pPr>
        <w:rPr>
          <w:szCs w:val="24"/>
        </w:rPr>
      </w:pPr>
    </w:p>
    <w:p w:rsidR="00E94C6F" w:rsidRPr="00E94C6F" w:rsidRDefault="00E94C6F" w:rsidP="00E94C6F">
      <w:pPr>
        <w:tabs>
          <w:tab w:val="left" w:pos="2450"/>
        </w:tabs>
        <w:rPr>
          <w:szCs w:val="24"/>
        </w:rPr>
      </w:pPr>
    </w:p>
    <w:p w:rsidR="00E94C6F" w:rsidRPr="00E94C6F" w:rsidRDefault="00E94C6F" w:rsidP="00E94C6F">
      <w:pPr>
        <w:rPr>
          <w:szCs w:val="24"/>
        </w:rPr>
      </w:pPr>
    </w:p>
    <w:p w:rsidR="00E94C6F" w:rsidRPr="00E94C6F" w:rsidRDefault="00E94C6F" w:rsidP="00E94C6F">
      <w:pPr>
        <w:rPr>
          <w:szCs w:val="24"/>
        </w:rPr>
      </w:pPr>
    </w:p>
    <w:p w:rsidR="00E94C6F" w:rsidRPr="00E94C6F" w:rsidRDefault="00E94C6F" w:rsidP="00E94C6F">
      <w:pPr>
        <w:rPr>
          <w:szCs w:val="24"/>
        </w:rPr>
      </w:pPr>
    </w:p>
    <w:p w:rsidR="00E94C6F" w:rsidRPr="00E94C6F" w:rsidRDefault="00E94C6F" w:rsidP="00E94C6F">
      <w:pPr>
        <w:rPr>
          <w:szCs w:val="24"/>
        </w:rPr>
      </w:pPr>
    </w:p>
    <w:p w:rsidR="00E94C6F" w:rsidRPr="00E94C6F" w:rsidRDefault="00E94C6F" w:rsidP="00E94C6F">
      <w:pPr>
        <w:rPr>
          <w:szCs w:val="24"/>
        </w:rPr>
      </w:pPr>
    </w:p>
    <w:p w:rsidR="00E94C6F" w:rsidRPr="00E94C6F" w:rsidRDefault="00E94C6F" w:rsidP="00E94C6F">
      <w:pPr>
        <w:rPr>
          <w:szCs w:val="24"/>
        </w:rPr>
      </w:pPr>
    </w:p>
    <w:p w:rsidR="00E94C6F" w:rsidRPr="00E94C6F" w:rsidRDefault="00E94C6F" w:rsidP="00E94C6F">
      <w:pPr>
        <w:rPr>
          <w:szCs w:val="24"/>
        </w:rPr>
      </w:pPr>
    </w:p>
    <w:p w:rsidR="00E94C6F" w:rsidRPr="00E94C6F" w:rsidRDefault="00E94C6F" w:rsidP="00E94C6F">
      <w:pPr>
        <w:rPr>
          <w:szCs w:val="24"/>
        </w:rPr>
      </w:pPr>
    </w:p>
    <w:p w:rsidR="00E94C6F" w:rsidRPr="00E94C6F" w:rsidRDefault="00E94C6F" w:rsidP="00E94C6F">
      <w:pPr>
        <w:rPr>
          <w:szCs w:val="24"/>
        </w:rPr>
      </w:pPr>
    </w:p>
    <w:p w:rsidR="00E94C6F" w:rsidRPr="00E94C6F" w:rsidRDefault="00E94C6F" w:rsidP="00E94C6F">
      <w:pPr>
        <w:rPr>
          <w:szCs w:val="24"/>
        </w:rPr>
      </w:pPr>
    </w:p>
    <w:p w:rsidR="00E94C6F" w:rsidRPr="00E94C6F" w:rsidRDefault="00E94C6F" w:rsidP="00E94C6F">
      <w:pPr>
        <w:rPr>
          <w:szCs w:val="24"/>
        </w:rPr>
      </w:pPr>
    </w:p>
    <w:p w:rsidR="00E94C6F" w:rsidRPr="00E94C6F" w:rsidRDefault="00E94C6F" w:rsidP="00E94C6F">
      <w:pPr>
        <w:rPr>
          <w:szCs w:val="24"/>
        </w:rPr>
      </w:pPr>
    </w:p>
    <w:p w:rsidR="00E94C6F" w:rsidRPr="00E94C6F" w:rsidRDefault="00E94C6F" w:rsidP="00E94C6F">
      <w:pPr>
        <w:rPr>
          <w:szCs w:val="24"/>
        </w:rPr>
      </w:pPr>
    </w:p>
    <w:p w:rsidR="00E94C6F" w:rsidRPr="00E94C6F" w:rsidRDefault="00E94C6F" w:rsidP="00E94C6F">
      <w:pPr>
        <w:rPr>
          <w:szCs w:val="24"/>
        </w:rPr>
      </w:pPr>
    </w:p>
    <w:p w:rsidR="00E94C6F" w:rsidRPr="00E94C6F" w:rsidRDefault="00E94C6F" w:rsidP="00E94C6F">
      <w:pPr>
        <w:rPr>
          <w:szCs w:val="24"/>
        </w:rPr>
      </w:pPr>
    </w:p>
    <w:p w:rsidR="00E94C6F" w:rsidRPr="00E94C6F" w:rsidRDefault="00E94C6F" w:rsidP="00E94C6F">
      <w:pPr>
        <w:rPr>
          <w:szCs w:val="24"/>
        </w:rPr>
      </w:pPr>
    </w:p>
    <w:p w:rsidR="00E94C6F" w:rsidRPr="00E94C6F" w:rsidRDefault="00E94C6F" w:rsidP="00E94C6F">
      <w:pPr>
        <w:rPr>
          <w:szCs w:val="24"/>
        </w:rPr>
      </w:pPr>
    </w:p>
    <w:p w:rsidR="00E94C6F" w:rsidRPr="00E94C6F" w:rsidRDefault="00E94C6F" w:rsidP="00E94C6F">
      <w:pPr>
        <w:rPr>
          <w:szCs w:val="24"/>
        </w:rPr>
      </w:pPr>
    </w:p>
    <w:p w:rsidR="00E94C6F" w:rsidRPr="00E94C6F" w:rsidRDefault="00E94C6F" w:rsidP="00E94C6F">
      <w:pPr>
        <w:rPr>
          <w:szCs w:val="24"/>
        </w:rPr>
      </w:pPr>
    </w:p>
    <w:p w:rsidR="00E94C6F" w:rsidRPr="00E94C6F" w:rsidRDefault="00E94C6F" w:rsidP="00E94C6F">
      <w:pPr>
        <w:rPr>
          <w:szCs w:val="24"/>
        </w:rPr>
      </w:pPr>
    </w:p>
    <w:p w:rsidR="00E94C6F" w:rsidRPr="00E94C6F" w:rsidRDefault="00E94C6F" w:rsidP="00E94C6F">
      <w:pPr>
        <w:rPr>
          <w:szCs w:val="24"/>
        </w:rPr>
      </w:pPr>
    </w:p>
    <w:p w:rsidR="00E94C6F" w:rsidRPr="00E94C6F" w:rsidRDefault="00E94C6F" w:rsidP="00E94C6F">
      <w:pPr>
        <w:rPr>
          <w:szCs w:val="24"/>
        </w:rPr>
      </w:pPr>
    </w:p>
    <w:p w:rsidR="00E94C6F" w:rsidRPr="00E94C6F" w:rsidRDefault="00E94C6F" w:rsidP="00E94C6F">
      <w:pPr>
        <w:rPr>
          <w:szCs w:val="24"/>
        </w:rPr>
      </w:pPr>
    </w:p>
    <w:p w:rsidR="00E94C6F" w:rsidRPr="00E94C6F" w:rsidRDefault="00E94C6F" w:rsidP="00E94C6F">
      <w:pPr>
        <w:rPr>
          <w:szCs w:val="24"/>
        </w:rPr>
      </w:pPr>
    </w:p>
    <w:p w:rsidR="00E94C6F" w:rsidRPr="00E94C6F" w:rsidRDefault="00E94C6F" w:rsidP="00E94C6F">
      <w:pPr>
        <w:rPr>
          <w:szCs w:val="24"/>
        </w:rPr>
      </w:pPr>
    </w:p>
    <w:p w:rsidR="00E94C6F" w:rsidRPr="00E94C6F" w:rsidRDefault="00E94C6F" w:rsidP="00E94C6F">
      <w:pPr>
        <w:rPr>
          <w:szCs w:val="24"/>
        </w:rPr>
      </w:pPr>
    </w:p>
    <w:p w:rsidR="00E94C6F" w:rsidRPr="00E94C6F" w:rsidRDefault="00E94C6F" w:rsidP="00E94C6F">
      <w:pPr>
        <w:rPr>
          <w:szCs w:val="24"/>
        </w:rPr>
      </w:pPr>
    </w:p>
    <w:p w:rsidR="00E94C6F" w:rsidRPr="00E94C6F" w:rsidRDefault="00E94C6F" w:rsidP="00E94C6F">
      <w:pPr>
        <w:rPr>
          <w:szCs w:val="24"/>
        </w:rPr>
      </w:pPr>
    </w:p>
    <w:p w:rsidR="00E94C6F" w:rsidRPr="00E94C6F" w:rsidRDefault="00E94C6F" w:rsidP="00E94C6F">
      <w:pPr>
        <w:rPr>
          <w:szCs w:val="24"/>
        </w:rPr>
      </w:pPr>
    </w:p>
    <w:p w:rsidR="00E94C6F" w:rsidRPr="00E94C6F" w:rsidRDefault="00E94C6F" w:rsidP="00E94C6F">
      <w:pPr>
        <w:rPr>
          <w:szCs w:val="24"/>
        </w:rPr>
      </w:pPr>
    </w:p>
    <w:p w:rsidR="00E94C6F" w:rsidRPr="00E94C6F" w:rsidRDefault="00E94C6F" w:rsidP="00E94C6F">
      <w:pPr>
        <w:tabs>
          <w:tab w:val="left" w:pos="3569"/>
        </w:tabs>
        <w:rPr>
          <w:szCs w:val="24"/>
        </w:rPr>
      </w:pPr>
    </w:p>
    <w:p w:rsidR="00E94C6F" w:rsidRPr="00E94C6F" w:rsidRDefault="00E94C6F" w:rsidP="00E94C6F">
      <w:pPr>
        <w:rPr>
          <w:szCs w:val="24"/>
        </w:rPr>
      </w:pPr>
    </w:p>
    <w:p w:rsidR="00E94C6F" w:rsidRPr="00E94C6F" w:rsidRDefault="00E94C6F" w:rsidP="00E94C6F">
      <w:pPr>
        <w:rPr>
          <w:szCs w:val="24"/>
        </w:rPr>
      </w:pPr>
    </w:p>
    <w:p w:rsidR="00E94C6F" w:rsidRPr="00E94C6F" w:rsidRDefault="00E94C6F" w:rsidP="00E94C6F">
      <w:pPr>
        <w:rPr>
          <w:szCs w:val="24"/>
        </w:rPr>
      </w:pPr>
    </w:p>
    <w:p w:rsidR="00E94C6F" w:rsidRPr="00E94C6F" w:rsidRDefault="00E94C6F" w:rsidP="00E94C6F">
      <w:pPr>
        <w:rPr>
          <w:szCs w:val="24"/>
        </w:rPr>
      </w:pPr>
    </w:p>
    <w:p w:rsidR="00E94C6F" w:rsidRPr="00E94C6F" w:rsidRDefault="00E94C6F" w:rsidP="00E94C6F">
      <w:pPr>
        <w:rPr>
          <w:szCs w:val="24"/>
        </w:rPr>
      </w:pPr>
    </w:p>
    <w:p w:rsidR="00E94C6F" w:rsidRPr="00E94C6F" w:rsidRDefault="00E94C6F" w:rsidP="00E94C6F">
      <w:pPr>
        <w:rPr>
          <w:szCs w:val="24"/>
        </w:rPr>
      </w:pPr>
    </w:p>
    <w:p w:rsidR="00E94C6F" w:rsidRPr="00E94C6F" w:rsidRDefault="00E94C6F" w:rsidP="00E94C6F">
      <w:pPr>
        <w:rPr>
          <w:szCs w:val="24"/>
        </w:rPr>
      </w:pPr>
    </w:p>
    <w:p w:rsidR="00E94C6F" w:rsidRPr="00E94C6F" w:rsidRDefault="00E94C6F" w:rsidP="00E94C6F">
      <w:pPr>
        <w:rPr>
          <w:szCs w:val="24"/>
        </w:rPr>
      </w:pPr>
    </w:p>
    <w:p w:rsidR="00E94C6F" w:rsidRPr="00E94C6F" w:rsidRDefault="00E94C6F" w:rsidP="00E94C6F">
      <w:pPr>
        <w:rPr>
          <w:szCs w:val="24"/>
        </w:rPr>
      </w:pPr>
    </w:p>
    <w:p w:rsidR="00E94C6F" w:rsidRPr="00E94C6F" w:rsidRDefault="00E94C6F" w:rsidP="00E94C6F">
      <w:pPr>
        <w:rPr>
          <w:szCs w:val="24"/>
        </w:rPr>
      </w:pPr>
    </w:p>
    <w:p w:rsidR="00E94C6F" w:rsidRPr="00E94C6F" w:rsidRDefault="00E94C6F" w:rsidP="00E94C6F">
      <w:pPr>
        <w:rPr>
          <w:szCs w:val="24"/>
        </w:rPr>
      </w:pPr>
    </w:p>
    <w:p w:rsidR="00E94C6F" w:rsidRPr="00E94C6F" w:rsidRDefault="00E94C6F" w:rsidP="00E94C6F">
      <w:pPr>
        <w:rPr>
          <w:szCs w:val="24"/>
        </w:rPr>
      </w:pPr>
    </w:p>
    <w:p w:rsidR="00E94C6F" w:rsidRPr="00E94C6F" w:rsidRDefault="00E94C6F" w:rsidP="00E94C6F">
      <w:pPr>
        <w:rPr>
          <w:szCs w:val="24"/>
        </w:rPr>
      </w:pPr>
    </w:p>
    <w:p w:rsidR="00E94C6F" w:rsidRPr="00E94C6F" w:rsidRDefault="00E94C6F" w:rsidP="00E94C6F">
      <w:pPr>
        <w:rPr>
          <w:szCs w:val="24"/>
        </w:rPr>
      </w:pPr>
    </w:p>
    <w:p w:rsidR="00E94C6F" w:rsidRPr="00E94C6F" w:rsidRDefault="00E94C6F" w:rsidP="00E94C6F">
      <w:pPr>
        <w:rPr>
          <w:sz w:val="20"/>
          <w:szCs w:val="20"/>
        </w:rPr>
      </w:pPr>
      <w:r w:rsidRPr="00E94C6F">
        <w:rPr>
          <w:sz w:val="20"/>
          <w:szCs w:val="20"/>
        </w:rPr>
        <w:t xml:space="preserve">First published in </w:t>
      </w:r>
      <w:r w:rsidR="00CD070A">
        <w:rPr>
          <w:sz w:val="20"/>
          <w:szCs w:val="20"/>
        </w:rPr>
        <w:t>May</w:t>
      </w:r>
      <w:r w:rsidRPr="00E94C6F">
        <w:rPr>
          <w:sz w:val="20"/>
          <w:szCs w:val="20"/>
        </w:rPr>
        <w:t xml:space="preserve"> 201</w:t>
      </w:r>
      <w:r w:rsidR="00CD070A">
        <w:rPr>
          <w:sz w:val="20"/>
          <w:szCs w:val="20"/>
        </w:rPr>
        <w:t>7</w:t>
      </w:r>
      <w:r w:rsidR="00EC1318">
        <w:rPr>
          <w:sz w:val="20"/>
          <w:szCs w:val="20"/>
        </w:rPr>
        <w:t xml:space="preserve"> by </w:t>
      </w:r>
      <w:r w:rsidRPr="00E94C6F">
        <w:rPr>
          <w:sz w:val="20"/>
          <w:szCs w:val="20"/>
        </w:rPr>
        <w:t xml:space="preserve">Policy </w:t>
      </w:r>
      <w:r w:rsidR="00960262">
        <w:rPr>
          <w:sz w:val="20"/>
          <w:szCs w:val="20"/>
        </w:rPr>
        <w:t xml:space="preserve">and </w:t>
      </w:r>
      <w:r w:rsidR="00EC1318">
        <w:rPr>
          <w:sz w:val="20"/>
          <w:szCs w:val="20"/>
        </w:rPr>
        <w:t>Strategy</w:t>
      </w:r>
      <w:r w:rsidR="00960262">
        <w:rPr>
          <w:sz w:val="20"/>
          <w:szCs w:val="20"/>
        </w:rPr>
        <w:t>,</w:t>
      </w:r>
      <w:r w:rsidRPr="00E94C6F">
        <w:rPr>
          <w:sz w:val="20"/>
          <w:szCs w:val="20"/>
        </w:rPr>
        <w:t xml:space="preserve"> Inland Revenue, PO Box 2198, Wellington 6140.  </w:t>
      </w:r>
    </w:p>
    <w:p w:rsidR="00E94C6F" w:rsidRPr="00E94C6F" w:rsidRDefault="00E94C6F" w:rsidP="00E94C6F">
      <w:pPr>
        <w:rPr>
          <w:sz w:val="20"/>
          <w:szCs w:val="20"/>
        </w:rPr>
      </w:pPr>
    </w:p>
    <w:p w:rsidR="00E94C6F" w:rsidRPr="00E94C6F" w:rsidRDefault="00387EAD" w:rsidP="00E94C6F">
      <w:pPr>
        <w:rPr>
          <w:sz w:val="20"/>
          <w:szCs w:val="20"/>
        </w:rPr>
      </w:pPr>
      <w:r>
        <w:rPr>
          <w:sz w:val="20"/>
          <w:szCs w:val="20"/>
        </w:rPr>
        <w:t>Minimum f</w:t>
      </w:r>
      <w:r w:rsidR="00E94C6F" w:rsidRPr="00E94C6F">
        <w:rPr>
          <w:sz w:val="20"/>
          <w:szCs w:val="20"/>
        </w:rPr>
        <w:t xml:space="preserve">inancial reporting requirements for </w:t>
      </w:r>
      <w:r w:rsidR="00CD070A">
        <w:rPr>
          <w:sz w:val="20"/>
          <w:szCs w:val="20"/>
        </w:rPr>
        <w:t>foreign trusts</w:t>
      </w:r>
      <w:r w:rsidR="00DE7616">
        <w:rPr>
          <w:sz w:val="20"/>
          <w:szCs w:val="20"/>
        </w:rPr>
        <w:t xml:space="preserve"> </w:t>
      </w:r>
      <w:r w:rsidR="00E94C6F" w:rsidRPr="00E94C6F">
        <w:rPr>
          <w:sz w:val="20"/>
          <w:szCs w:val="20"/>
        </w:rPr>
        <w:t>– an officials’ issues paper.</w:t>
      </w:r>
    </w:p>
    <w:p w:rsidR="00E94C6F" w:rsidRPr="00E94C6F" w:rsidRDefault="00E94C6F" w:rsidP="00E94C6F">
      <w:pPr>
        <w:rPr>
          <w:sz w:val="20"/>
          <w:szCs w:val="20"/>
          <w:lang w:val="fr-FR"/>
        </w:rPr>
      </w:pPr>
      <w:r w:rsidRPr="00E94C6F">
        <w:rPr>
          <w:sz w:val="20"/>
          <w:szCs w:val="20"/>
          <w:lang w:val="fr-FR"/>
        </w:rPr>
        <w:t xml:space="preserve">ISBN </w:t>
      </w:r>
      <w:r w:rsidR="006E1517">
        <w:rPr>
          <w:sz w:val="20"/>
          <w:szCs w:val="20"/>
          <w:lang w:val="fr-FR"/>
        </w:rPr>
        <w:t>978-0-478-42446-1</w:t>
      </w:r>
    </w:p>
    <w:p w:rsidR="00E94C6F" w:rsidRPr="00E94C6F" w:rsidRDefault="00E94C6F" w:rsidP="00E94C6F">
      <w:pPr>
        <w:jc w:val="center"/>
        <w:rPr>
          <w:b/>
          <w:sz w:val="28"/>
          <w:szCs w:val="28"/>
          <w:lang w:val="fr-FR"/>
        </w:rPr>
      </w:pPr>
      <w:r w:rsidRPr="00E94C6F">
        <w:rPr>
          <w:lang w:val="fr-FR"/>
        </w:rPr>
        <w:br w:type="page"/>
      </w:r>
      <w:r w:rsidRPr="00E94C6F">
        <w:rPr>
          <w:b/>
          <w:sz w:val="28"/>
          <w:szCs w:val="28"/>
          <w:lang w:val="fr-FR"/>
        </w:rPr>
        <w:t>CONTENTS</w:t>
      </w:r>
      <w:r w:rsidR="005751C6">
        <w:rPr>
          <w:b/>
          <w:sz w:val="28"/>
          <w:szCs w:val="28"/>
          <w:lang w:val="fr-FR"/>
        </w:rPr>
        <w:t xml:space="preserve">  </w:t>
      </w:r>
    </w:p>
    <w:p w:rsidR="00E94C6F" w:rsidRPr="00E94C6F" w:rsidRDefault="00E94C6F" w:rsidP="00E94C6F">
      <w:pPr>
        <w:jc w:val="center"/>
        <w:rPr>
          <w:b/>
          <w:sz w:val="14"/>
          <w:szCs w:val="14"/>
          <w:lang w:val="fr-FR"/>
        </w:rPr>
      </w:pPr>
    </w:p>
    <w:p w:rsidR="00231D51" w:rsidRPr="00FC0765" w:rsidRDefault="00E94C6F">
      <w:pPr>
        <w:pStyle w:val="TOC1"/>
        <w:rPr>
          <w:rFonts w:ascii="Calibri" w:hAnsi="Calibri"/>
          <w:b w:val="0"/>
          <w:sz w:val="22"/>
          <w:szCs w:val="22"/>
          <w:lang w:eastAsia="en-NZ"/>
        </w:rPr>
      </w:pPr>
      <w:r w:rsidRPr="00E94C6F">
        <w:fldChar w:fldCharType="begin"/>
      </w:r>
      <w:r w:rsidRPr="00E94C6F">
        <w:instrText xml:space="preserve"> TOC \t "Heading 1,2,Heading 2,3,Chapter heading,1" </w:instrText>
      </w:r>
      <w:r w:rsidRPr="00E94C6F">
        <w:fldChar w:fldCharType="separate"/>
      </w:r>
      <w:r w:rsidR="006E1517">
        <w:t xml:space="preserve">CHAPTER </w:t>
      </w:r>
      <w:r w:rsidR="00231D51">
        <w:fldChar w:fldCharType="begin"/>
      </w:r>
      <w:r w:rsidR="00231D51">
        <w:instrText xml:space="preserve"> PAGEREF _Toc481578405 \h </w:instrText>
      </w:r>
      <w:r w:rsidR="00231D51">
        <w:fldChar w:fldCharType="separate"/>
      </w:r>
      <w:r w:rsidR="00D3360D">
        <w:t>1</w:t>
      </w:r>
      <w:r w:rsidR="00231D51">
        <w:fldChar w:fldCharType="end"/>
      </w:r>
      <w:r w:rsidR="006E1517">
        <w:tab/>
      </w:r>
      <w:r w:rsidR="00231D51" w:rsidRPr="00DC383E">
        <w:t>Introduction and summary</w:t>
      </w:r>
      <w:r w:rsidR="00231D51">
        <w:tab/>
      </w:r>
      <w:r w:rsidR="00231D51">
        <w:fldChar w:fldCharType="begin"/>
      </w:r>
      <w:r w:rsidR="00231D51">
        <w:instrText xml:space="preserve"> PAGEREF _Toc481578406 \h </w:instrText>
      </w:r>
      <w:r w:rsidR="00231D51">
        <w:fldChar w:fldCharType="separate"/>
      </w:r>
      <w:r w:rsidR="00D3360D">
        <w:t>1</w:t>
      </w:r>
      <w:r w:rsidR="00231D51">
        <w:fldChar w:fldCharType="end"/>
      </w:r>
    </w:p>
    <w:p w:rsidR="00231D51" w:rsidRPr="00FC0765" w:rsidRDefault="00231D51">
      <w:pPr>
        <w:pStyle w:val="TOC2"/>
        <w:rPr>
          <w:rFonts w:ascii="Calibri" w:hAnsi="Calibri"/>
          <w:sz w:val="22"/>
          <w:szCs w:val="22"/>
          <w:lang w:val="en-NZ" w:eastAsia="en-NZ"/>
        </w:rPr>
      </w:pPr>
      <w:r>
        <w:t>Tax Administration Act</w:t>
      </w:r>
      <w:r>
        <w:tab/>
      </w:r>
      <w:r>
        <w:fldChar w:fldCharType="begin"/>
      </w:r>
      <w:r>
        <w:instrText xml:space="preserve"> PAGEREF _Toc481578407 \h </w:instrText>
      </w:r>
      <w:r>
        <w:fldChar w:fldCharType="separate"/>
      </w:r>
      <w:r w:rsidR="00D3360D">
        <w:t>1</w:t>
      </w:r>
      <w:r>
        <w:fldChar w:fldCharType="end"/>
      </w:r>
    </w:p>
    <w:p w:rsidR="00231D51" w:rsidRPr="00FC0765" w:rsidRDefault="00231D51">
      <w:pPr>
        <w:pStyle w:val="TOC2"/>
        <w:rPr>
          <w:rFonts w:ascii="Calibri" w:hAnsi="Calibri"/>
          <w:sz w:val="22"/>
          <w:szCs w:val="22"/>
          <w:lang w:val="en-NZ" w:eastAsia="en-NZ"/>
        </w:rPr>
      </w:pPr>
      <w:r>
        <w:t>The proposals in summary</w:t>
      </w:r>
      <w:r>
        <w:tab/>
      </w:r>
      <w:r>
        <w:fldChar w:fldCharType="begin"/>
      </w:r>
      <w:r>
        <w:instrText xml:space="preserve"> PAGEREF _Toc481578408 \h </w:instrText>
      </w:r>
      <w:r>
        <w:fldChar w:fldCharType="separate"/>
      </w:r>
      <w:r w:rsidR="00D3360D">
        <w:t>2</w:t>
      </w:r>
      <w:r>
        <w:fldChar w:fldCharType="end"/>
      </w:r>
    </w:p>
    <w:p w:rsidR="00231D51" w:rsidRPr="00FC0765" w:rsidRDefault="00231D51">
      <w:pPr>
        <w:pStyle w:val="TOC2"/>
        <w:rPr>
          <w:rFonts w:ascii="Calibri" w:hAnsi="Calibri"/>
          <w:sz w:val="22"/>
          <w:szCs w:val="22"/>
          <w:lang w:val="en-NZ" w:eastAsia="en-NZ"/>
        </w:rPr>
      </w:pPr>
      <w:r>
        <w:t>How to make a submission</w:t>
      </w:r>
      <w:r>
        <w:tab/>
      </w:r>
      <w:r>
        <w:fldChar w:fldCharType="begin"/>
      </w:r>
      <w:r>
        <w:instrText xml:space="preserve"> PAGEREF _Toc481578409 \h </w:instrText>
      </w:r>
      <w:r>
        <w:fldChar w:fldCharType="separate"/>
      </w:r>
      <w:r w:rsidR="00D3360D">
        <w:t>2</w:t>
      </w:r>
      <w:r>
        <w:fldChar w:fldCharType="end"/>
      </w:r>
    </w:p>
    <w:p w:rsidR="00231D51" w:rsidRPr="00FC0765" w:rsidRDefault="00231D51">
      <w:pPr>
        <w:pStyle w:val="TOC1"/>
        <w:rPr>
          <w:rFonts w:ascii="Calibri" w:hAnsi="Calibri"/>
          <w:b w:val="0"/>
          <w:sz w:val="22"/>
          <w:szCs w:val="22"/>
          <w:lang w:eastAsia="en-NZ"/>
        </w:rPr>
      </w:pPr>
      <w:r>
        <w:t>CHAPTER 2</w:t>
      </w:r>
      <w:r>
        <w:tab/>
      </w:r>
      <w:r w:rsidRPr="00DC383E">
        <w:t>Proposed minimum financial reporting requirements</w:t>
      </w:r>
      <w:r>
        <w:tab/>
      </w:r>
      <w:r>
        <w:fldChar w:fldCharType="begin"/>
      </w:r>
      <w:r>
        <w:instrText xml:space="preserve"> PAGEREF _Toc481578411 \h </w:instrText>
      </w:r>
      <w:r>
        <w:fldChar w:fldCharType="separate"/>
      </w:r>
      <w:r w:rsidR="00D3360D">
        <w:t>4</w:t>
      </w:r>
      <w:r>
        <w:fldChar w:fldCharType="end"/>
      </w:r>
    </w:p>
    <w:p w:rsidR="00231D51" w:rsidRPr="00FC0765" w:rsidRDefault="00231D51">
      <w:pPr>
        <w:pStyle w:val="TOC1"/>
        <w:rPr>
          <w:rFonts w:ascii="Calibri" w:hAnsi="Calibri"/>
          <w:b w:val="0"/>
          <w:sz w:val="22"/>
          <w:szCs w:val="22"/>
          <w:lang w:eastAsia="en-NZ"/>
        </w:rPr>
      </w:pPr>
      <w:r>
        <w:t>APPENDIX</w:t>
      </w:r>
      <w:r>
        <w:tab/>
      </w:r>
      <w:r w:rsidRPr="00DC383E">
        <w:t>Extract from special report on “Foreign trust disclosure rules”</w:t>
      </w:r>
      <w:r>
        <w:tab/>
      </w:r>
      <w:r>
        <w:fldChar w:fldCharType="begin"/>
      </w:r>
      <w:r>
        <w:instrText xml:space="preserve"> PAGEREF _Toc481578413 \h </w:instrText>
      </w:r>
      <w:r>
        <w:fldChar w:fldCharType="separate"/>
      </w:r>
      <w:r w:rsidR="00D3360D">
        <w:t>6</w:t>
      </w:r>
      <w:r>
        <w:fldChar w:fldCharType="end"/>
      </w:r>
    </w:p>
    <w:p w:rsidR="00403419" w:rsidRDefault="00E94C6F" w:rsidP="00BD6CC1">
      <w:pPr>
        <w:rPr>
          <w:noProof/>
          <w:szCs w:val="24"/>
        </w:rPr>
      </w:pPr>
      <w:r w:rsidRPr="00E94C6F">
        <w:rPr>
          <w:noProof/>
          <w:szCs w:val="24"/>
        </w:rPr>
        <w:fldChar w:fldCharType="end"/>
      </w:r>
    </w:p>
    <w:p w:rsidR="00403419" w:rsidRDefault="00403419" w:rsidP="00A84896">
      <w:pPr>
        <w:spacing w:after="120" w:line="276" w:lineRule="auto"/>
        <w:jc w:val="center"/>
        <w:rPr>
          <w:noProof/>
          <w:szCs w:val="24"/>
        </w:rPr>
      </w:pPr>
    </w:p>
    <w:p w:rsidR="00E94C6F" w:rsidRPr="00E94C6F" w:rsidRDefault="00E94C6F" w:rsidP="00E94C6F"/>
    <w:p w:rsidR="00E94C6F" w:rsidRPr="00E94C6F" w:rsidRDefault="00E94C6F" w:rsidP="00E94C6F">
      <w:pPr>
        <w:jc w:val="center"/>
        <w:rPr>
          <w:b/>
        </w:rPr>
      </w:pPr>
    </w:p>
    <w:p w:rsidR="00E94C6F" w:rsidRPr="00E94C6F" w:rsidRDefault="00E94C6F" w:rsidP="00E94C6F">
      <w:pPr>
        <w:jc w:val="center"/>
        <w:rPr>
          <w:b/>
        </w:rPr>
        <w:sectPr w:rsidR="00E94C6F" w:rsidRPr="00E94C6F" w:rsidSect="00E94C6F">
          <w:footerReference w:type="even" r:id="rId10"/>
          <w:footerReference w:type="default" r:id="rId11"/>
          <w:pgSz w:w="11906" w:h="16838" w:code="9"/>
          <w:pgMar w:top="1134" w:right="1797" w:bottom="567" w:left="1797" w:header="709" w:footer="709" w:gutter="0"/>
          <w:cols w:space="708"/>
          <w:titlePg/>
          <w:docGrid w:linePitch="360"/>
        </w:sectPr>
      </w:pPr>
    </w:p>
    <w:p w:rsidR="00DD145F" w:rsidRPr="00C26F85" w:rsidRDefault="0072301B" w:rsidP="00C26F85">
      <w:pPr>
        <w:pStyle w:val="Chapterheading"/>
      </w:pPr>
      <w:bookmarkStart w:id="1" w:name="_Toc336257468"/>
      <w:bookmarkStart w:id="2" w:name="_Toc343090199"/>
      <w:bookmarkStart w:id="3" w:name="_Toc370197178"/>
      <w:bookmarkStart w:id="4" w:name="_Toc370197238"/>
      <w:bookmarkStart w:id="5" w:name="_Toc370377415"/>
      <w:bookmarkStart w:id="6" w:name="_Toc370968618"/>
      <w:bookmarkStart w:id="7" w:name="_Toc371507988"/>
      <w:bookmarkStart w:id="8" w:name="_Toc371518370"/>
      <w:bookmarkStart w:id="9" w:name="_Toc371930476"/>
      <w:bookmarkStart w:id="10" w:name="_Toc372010212"/>
      <w:bookmarkStart w:id="11" w:name="_Toc481054025"/>
      <w:bookmarkStart w:id="12" w:name="_Toc481578405"/>
      <w:r w:rsidRPr="00C26F85">
        <w:t xml:space="preserve">CHAPTER </w:t>
      </w:r>
      <w:r w:rsidR="00BB56C9" w:rsidRPr="00C26F85">
        <w:t>1</w:t>
      </w:r>
      <w:bookmarkEnd w:id="1"/>
      <w:bookmarkEnd w:id="2"/>
      <w:bookmarkEnd w:id="3"/>
      <w:bookmarkEnd w:id="4"/>
      <w:bookmarkEnd w:id="5"/>
      <w:bookmarkEnd w:id="6"/>
      <w:bookmarkEnd w:id="7"/>
      <w:bookmarkEnd w:id="8"/>
      <w:bookmarkEnd w:id="9"/>
      <w:bookmarkEnd w:id="10"/>
      <w:bookmarkEnd w:id="11"/>
      <w:bookmarkEnd w:id="12"/>
    </w:p>
    <w:p w:rsidR="00BD6CC1" w:rsidRPr="00C26F85" w:rsidRDefault="00BD6CC1" w:rsidP="00C26F85">
      <w:pPr>
        <w:pStyle w:val="Chapterheading"/>
      </w:pPr>
    </w:p>
    <w:p w:rsidR="00DD145F" w:rsidRDefault="00C26F85" w:rsidP="00C26F85">
      <w:pPr>
        <w:pStyle w:val="Chapterheading"/>
        <w:rPr>
          <w:caps w:val="0"/>
        </w:rPr>
      </w:pPr>
      <w:bookmarkStart w:id="13" w:name="_Toc481578406"/>
      <w:r w:rsidRPr="00C26F85">
        <w:rPr>
          <w:caps w:val="0"/>
        </w:rPr>
        <w:t>Introduction</w:t>
      </w:r>
      <w:r w:rsidR="00A26B78">
        <w:rPr>
          <w:caps w:val="0"/>
        </w:rPr>
        <w:t xml:space="preserve"> and summary</w:t>
      </w:r>
      <w:bookmarkEnd w:id="13"/>
    </w:p>
    <w:p w:rsidR="004B0256" w:rsidRPr="00C26F85" w:rsidRDefault="004B0256" w:rsidP="006E1517">
      <w:pPr>
        <w:pStyle w:val="BodyText1"/>
      </w:pPr>
    </w:p>
    <w:p w:rsidR="00BD6CC1" w:rsidRPr="00BD6CC1" w:rsidRDefault="00BD6CC1" w:rsidP="006E1517">
      <w:pPr>
        <w:pStyle w:val="BodyText1"/>
      </w:pPr>
    </w:p>
    <w:p w:rsidR="00B73B50" w:rsidRDefault="00CD070A" w:rsidP="00BD6CC1">
      <w:pPr>
        <w:pStyle w:val="Chapter1"/>
      </w:pPr>
      <w:r>
        <w:t xml:space="preserve">The </w:t>
      </w:r>
      <w:r w:rsidR="00B17273">
        <w:t xml:space="preserve">Government </w:t>
      </w:r>
      <w:r>
        <w:t xml:space="preserve">Inquiry </w:t>
      </w:r>
      <w:r w:rsidR="00B17273">
        <w:t>into Foreign Trust Disclosure Rules</w:t>
      </w:r>
      <w:r w:rsidR="0087491F">
        <w:t xml:space="preserve"> </w:t>
      </w:r>
      <w:r w:rsidR="005D3016">
        <w:t xml:space="preserve">recommended, amongst other things, that foreign trusts </w:t>
      </w:r>
      <w:r w:rsidR="007B71C9">
        <w:t xml:space="preserve">that have a New Zealand-resident trustee </w:t>
      </w:r>
      <w:r w:rsidR="005D3016">
        <w:t>should have to fil</w:t>
      </w:r>
      <w:r w:rsidR="00E92789">
        <w:t>e an annual return with Inland R</w:t>
      </w:r>
      <w:r w:rsidR="005D3016">
        <w:t>evenue</w:t>
      </w:r>
      <w:r w:rsidR="00695234">
        <w:t>,</w:t>
      </w:r>
      <w:r w:rsidR="005D3016">
        <w:t xml:space="preserve"> which includes </w:t>
      </w:r>
      <w:r w:rsidR="00434F47">
        <w:t xml:space="preserve">the trust’s </w:t>
      </w:r>
      <w:r w:rsidR="005D3016">
        <w:t xml:space="preserve">financial statements.  </w:t>
      </w:r>
      <w:r w:rsidR="00E92789">
        <w:t>Th</w:t>
      </w:r>
      <w:r w:rsidR="00E2136F">
        <w:t>e Government</w:t>
      </w:r>
      <w:r w:rsidR="00E92789">
        <w:t xml:space="preserve"> </w:t>
      </w:r>
      <w:r w:rsidR="00E2136F">
        <w:t>adopted the</w:t>
      </w:r>
      <w:r w:rsidR="00434F47">
        <w:t xml:space="preserve"> Inquiry’s</w:t>
      </w:r>
      <w:r w:rsidR="00E2136F">
        <w:t xml:space="preserve"> recommendations and </w:t>
      </w:r>
      <w:r w:rsidR="00B73B50">
        <w:t xml:space="preserve">the resultant </w:t>
      </w:r>
      <w:r w:rsidR="00E73791">
        <w:t>amendments</w:t>
      </w:r>
      <w:r w:rsidR="00E92789">
        <w:t xml:space="preserve"> ha</w:t>
      </w:r>
      <w:r w:rsidR="00E73791">
        <w:t>ve</w:t>
      </w:r>
      <w:r w:rsidR="00E92789">
        <w:t xml:space="preserve"> </w:t>
      </w:r>
      <w:r w:rsidR="00B73B50">
        <w:t xml:space="preserve">recently </w:t>
      </w:r>
      <w:r w:rsidR="00E92789">
        <w:t xml:space="preserve">been enacted.  </w:t>
      </w:r>
    </w:p>
    <w:p w:rsidR="00B73B50" w:rsidRDefault="00B73B50" w:rsidP="00BA3709">
      <w:pPr>
        <w:pStyle w:val="Chapter1"/>
        <w:numPr>
          <w:ilvl w:val="0"/>
          <w:numId w:val="0"/>
        </w:numPr>
        <w:ind w:left="851"/>
      </w:pPr>
    </w:p>
    <w:p w:rsidR="00132DF2" w:rsidRDefault="00E92789" w:rsidP="00BD6CC1">
      <w:pPr>
        <w:pStyle w:val="Chapter1"/>
      </w:pPr>
      <w:r>
        <w:t>Th</w:t>
      </w:r>
      <w:r w:rsidR="00E73791">
        <w:t>ese amendments</w:t>
      </w:r>
      <w:r>
        <w:t xml:space="preserve"> require</w:t>
      </w:r>
      <w:r w:rsidR="00CF371C">
        <w:t xml:space="preserve"> </w:t>
      </w:r>
      <w:r w:rsidR="00434F47">
        <w:t xml:space="preserve">on-going disclosures by </w:t>
      </w:r>
      <w:r w:rsidR="00CF371C">
        <w:t>re</w:t>
      </w:r>
      <w:r>
        <w:t>s</w:t>
      </w:r>
      <w:r w:rsidR="00CF371C">
        <w:t>ident</w:t>
      </w:r>
      <w:r>
        <w:t xml:space="preserve"> foreign trust</w:t>
      </w:r>
      <w:r w:rsidR="00CF371C">
        <w:t>ee</w:t>
      </w:r>
      <w:r>
        <w:t>s</w:t>
      </w:r>
      <w:r w:rsidR="002C789B">
        <w:t>, including the requirement</w:t>
      </w:r>
      <w:r>
        <w:t xml:space="preserve"> to file, as part of </w:t>
      </w:r>
      <w:r w:rsidR="002C789B">
        <w:t xml:space="preserve">an </w:t>
      </w:r>
      <w:r>
        <w:t>annual return</w:t>
      </w:r>
      <w:r w:rsidR="00CF371C">
        <w:t xml:space="preserve"> for the foreign trust</w:t>
      </w:r>
      <w:r>
        <w:t xml:space="preserve">, financial statements </w:t>
      </w:r>
      <w:r w:rsidR="00CF371C">
        <w:t xml:space="preserve">of the trust </w:t>
      </w:r>
      <w:r>
        <w:t>if the trust</w:t>
      </w:r>
      <w:r w:rsidR="00CF371C">
        <w:t>ee</w:t>
      </w:r>
      <w:r>
        <w:t xml:space="preserve"> prepares them, or is required to prepare them.</w:t>
      </w:r>
    </w:p>
    <w:p w:rsidR="00F14BEA" w:rsidRDefault="00F14BEA" w:rsidP="006E1517">
      <w:pPr>
        <w:pStyle w:val="BodyText1"/>
      </w:pPr>
    </w:p>
    <w:p w:rsidR="00F14BEA" w:rsidRDefault="00F14BEA" w:rsidP="00BD6CC1">
      <w:pPr>
        <w:pStyle w:val="Chapter1"/>
      </w:pPr>
      <w:r>
        <w:t xml:space="preserve">This paper proposes </w:t>
      </w:r>
      <w:r w:rsidR="007557F8">
        <w:t xml:space="preserve">that </w:t>
      </w:r>
      <w:r w:rsidR="002C789B">
        <w:t xml:space="preserve">resident foreign trustees of </w:t>
      </w:r>
      <w:r>
        <w:t xml:space="preserve">foreign trusts </w:t>
      </w:r>
      <w:r w:rsidR="007557F8">
        <w:t xml:space="preserve">be required </w:t>
      </w:r>
      <w:r w:rsidR="00A26B78">
        <w:t>to</w:t>
      </w:r>
      <w:r>
        <w:t xml:space="preserve"> prepare financial statements </w:t>
      </w:r>
      <w:r w:rsidR="009677B2">
        <w:t xml:space="preserve">for the trust </w:t>
      </w:r>
      <w:r>
        <w:t xml:space="preserve">and </w:t>
      </w:r>
      <w:r w:rsidR="00C82817">
        <w:t xml:space="preserve">specifies the </w:t>
      </w:r>
      <w:r>
        <w:t>suggest</w:t>
      </w:r>
      <w:r w:rsidR="00C82817">
        <w:t>ed</w:t>
      </w:r>
      <w:r>
        <w:t xml:space="preserve"> minimum requirements for those financial statements.  </w:t>
      </w:r>
      <w:r w:rsidR="00421CE6">
        <w:t xml:space="preserve">The purpose of this paper is to consult on these minimum requirements.  </w:t>
      </w:r>
    </w:p>
    <w:p w:rsidR="007B71C9" w:rsidRDefault="007B71C9" w:rsidP="007B71C9">
      <w:pPr>
        <w:pStyle w:val="Chapter1"/>
        <w:numPr>
          <w:ilvl w:val="0"/>
          <w:numId w:val="0"/>
        </w:numPr>
        <w:ind w:left="851"/>
      </w:pPr>
    </w:p>
    <w:p w:rsidR="007B71C9" w:rsidRPr="00294E81" w:rsidRDefault="002C789B" w:rsidP="00BD6CC1">
      <w:pPr>
        <w:pStyle w:val="Chapter1"/>
      </w:pPr>
      <w:r>
        <w:t xml:space="preserve">“Foreign trusts” are defined in section HC 11 of the Income Tax Act 2007.  </w:t>
      </w:r>
      <w:r w:rsidR="007B71C9">
        <w:t xml:space="preserve">The term </w:t>
      </w:r>
      <w:r w:rsidR="00E2136F">
        <w:t>“</w:t>
      </w:r>
      <w:r w:rsidR="007B71C9">
        <w:t xml:space="preserve">foreign trusts” </w:t>
      </w:r>
      <w:r w:rsidR="00E2136F">
        <w:t xml:space="preserve">as </w:t>
      </w:r>
      <w:r w:rsidR="007B71C9">
        <w:t xml:space="preserve">used in this </w:t>
      </w:r>
      <w:r w:rsidR="00E2136F">
        <w:t>p</w:t>
      </w:r>
      <w:r w:rsidR="007B71C9">
        <w:t>aper is limited to foreign trusts that have a New Zealand-resident trustee</w:t>
      </w:r>
      <w:r>
        <w:t xml:space="preserve"> (a “resident foreign trustee” as defined in the Tax Administration Act 1994 (the TAA) at section 3)</w:t>
      </w:r>
      <w:r w:rsidR="007B71C9">
        <w:t>.</w:t>
      </w:r>
    </w:p>
    <w:p w:rsidR="00132DF2" w:rsidRDefault="00132DF2" w:rsidP="006E1517">
      <w:pPr>
        <w:pStyle w:val="BodyText1"/>
      </w:pPr>
    </w:p>
    <w:p w:rsidR="003518B1" w:rsidRDefault="003518B1" w:rsidP="006E1517">
      <w:pPr>
        <w:pStyle w:val="BodyText1"/>
      </w:pPr>
    </w:p>
    <w:p w:rsidR="003518B1" w:rsidRPr="00E94C6F" w:rsidRDefault="003518B1" w:rsidP="003518B1">
      <w:pPr>
        <w:pStyle w:val="Heading1"/>
      </w:pPr>
      <w:bookmarkStart w:id="14" w:name="_Toc481578407"/>
      <w:r>
        <w:t xml:space="preserve">Tax Administration Act </w:t>
      </w:r>
      <w:bookmarkEnd w:id="14"/>
    </w:p>
    <w:p w:rsidR="003518B1" w:rsidRDefault="003518B1" w:rsidP="006E1517">
      <w:pPr>
        <w:pStyle w:val="BodyText1"/>
      </w:pPr>
    </w:p>
    <w:p w:rsidR="003518B1" w:rsidRDefault="003518B1" w:rsidP="00286A61">
      <w:pPr>
        <w:pStyle w:val="Chapter1"/>
      </w:pPr>
      <w:r>
        <w:t xml:space="preserve">The TAA was recently amended </w:t>
      </w:r>
      <w:r w:rsidR="00695234">
        <w:t xml:space="preserve">(by the Taxation (Business Tax, Exchange of Information, and Remedial Matters) Act 2017) </w:t>
      </w:r>
      <w:r>
        <w:t xml:space="preserve">to increase the disclosure rules for foreign trusts as recommended by the Inquiry.  </w:t>
      </w:r>
    </w:p>
    <w:p w:rsidR="003518B1" w:rsidRDefault="003518B1" w:rsidP="006E1517">
      <w:pPr>
        <w:pStyle w:val="BodyText1"/>
      </w:pPr>
    </w:p>
    <w:p w:rsidR="003518B1" w:rsidRDefault="003518B1" w:rsidP="00286A61">
      <w:pPr>
        <w:pStyle w:val="Chapter1"/>
      </w:pPr>
      <w:r>
        <w:t>New section 59D of the TAA requires that resident foreign trustees must file an annual return for the foreign trust that must include a set of financial statements if they are prepared or required to be prepared, and provide detail</w:t>
      </w:r>
      <w:r w:rsidR="00695234">
        <w:t>s</w:t>
      </w:r>
      <w:r>
        <w:t xml:space="preserve"> on the foreign trust’s settlements and beneficiary distributions.</w:t>
      </w:r>
      <w:r w:rsidR="004B3659">
        <w:t xml:space="preserve">  For further </w:t>
      </w:r>
      <w:r w:rsidR="00CA2122">
        <w:t xml:space="preserve">information </w:t>
      </w:r>
      <w:r w:rsidR="004B3659">
        <w:t>o</w:t>
      </w:r>
      <w:r w:rsidR="00F53AFA">
        <w:t>n</w:t>
      </w:r>
      <w:r w:rsidR="004B3659">
        <w:t xml:space="preserve"> this section</w:t>
      </w:r>
      <w:r w:rsidR="00CA2122">
        <w:t>’s requirements</w:t>
      </w:r>
      <w:r w:rsidR="004B3659">
        <w:t xml:space="preserve"> refer to the Appendix.  </w:t>
      </w:r>
    </w:p>
    <w:p w:rsidR="0056592E" w:rsidRDefault="0056592E" w:rsidP="006E1517">
      <w:pPr>
        <w:pStyle w:val="BodyText1"/>
      </w:pPr>
    </w:p>
    <w:p w:rsidR="0056592E" w:rsidRDefault="00CA2122" w:rsidP="00286A61">
      <w:pPr>
        <w:pStyle w:val="Chapter1"/>
      </w:pPr>
      <w:r>
        <w:t>It is expected that the Government would enable th</w:t>
      </w:r>
      <w:r w:rsidR="00421CE6">
        <w:t>e requirement for resident foreign trustees of foreign trusts</w:t>
      </w:r>
      <w:r>
        <w:t xml:space="preserve"> </w:t>
      </w:r>
      <w:r w:rsidR="00421CE6">
        <w:t xml:space="preserve">to prepare financial statements for the trust </w:t>
      </w:r>
      <w:r>
        <w:t>by Order in Council (OIC)</w:t>
      </w:r>
      <w:r w:rsidR="00421CE6">
        <w:t xml:space="preserve"> </w:t>
      </w:r>
      <w:r w:rsidR="00421CE6" w:rsidRPr="002D0BFB">
        <w:t>using the generic provisions of the TAA at sections 21B and 21C</w:t>
      </w:r>
      <w:r w:rsidR="0056592E">
        <w:t xml:space="preserve">.  The </w:t>
      </w:r>
      <w:r w:rsidR="00A4552A">
        <w:t xml:space="preserve">OIC </w:t>
      </w:r>
      <w:r w:rsidR="0056592E">
        <w:t>w</w:t>
      </w:r>
      <w:r w:rsidR="00421CE6">
        <w:t>ould</w:t>
      </w:r>
      <w:r w:rsidR="0056592E">
        <w:t xml:space="preserve"> specify a minimum level of </w:t>
      </w:r>
      <w:r>
        <w:t xml:space="preserve">required </w:t>
      </w:r>
      <w:r w:rsidR="0056592E">
        <w:t>detail</w:t>
      </w:r>
      <w:r>
        <w:t xml:space="preserve"> for the financial statements</w:t>
      </w:r>
      <w:r w:rsidR="0056592E">
        <w:t xml:space="preserve">.  </w:t>
      </w:r>
    </w:p>
    <w:p w:rsidR="002252DC" w:rsidRDefault="002252DC" w:rsidP="006E1517">
      <w:pPr>
        <w:pStyle w:val="BodyText1"/>
      </w:pPr>
    </w:p>
    <w:p w:rsidR="00B73B50" w:rsidRDefault="00B73B50" w:rsidP="006E1517">
      <w:pPr>
        <w:pStyle w:val="BodyText1"/>
        <w:rPr>
          <w:rFonts w:eastAsia="Times New Roman"/>
          <w:b/>
          <w:bCs/>
          <w:szCs w:val="28"/>
        </w:rPr>
      </w:pPr>
      <w:bookmarkStart w:id="15" w:name="_Toc481578408"/>
      <w:r>
        <w:br w:type="page"/>
      </w:r>
    </w:p>
    <w:p w:rsidR="003518B1" w:rsidRDefault="00A26B78" w:rsidP="003518B1">
      <w:pPr>
        <w:pStyle w:val="Heading1"/>
      </w:pPr>
      <w:r>
        <w:t>The proposals in summary</w:t>
      </w:r>
      <w:bookmarkEnd w:id="15"/>
    </w:p>
    <w:p w:rsidR="003518B1" w:rsidRDefault="003518B1" w:rsidP="006E1517">
      <w:pPr>
        <w:pStyle w:val="BodyText1"/>
      </w:pPr>
    </w:p>
    <w:p w:rsidR="003518B1" w:rsidRDefault="003518B1" w:rsidP="00286A61">
      <w:pPr>
        <w:pStyle w:val="Chapter1"/>
      </w:pPr>
      <w:r>
        <w:t>For periods commencing 1 April 2017 and later, all resident foreign trustees that have an obligation to file an annual return in 2018 and subsequent years should have financial statements</w:t>
      </w:r>
      <w:r w:rsidRPr="00E93BC7">
        <w:t xml:space="preserve"> </w:t>
      </w:r>
      <w:r>
        <w:t xml:space="preserve">prepared to at least the </w:t>
      </w:r>
      <w:r w:rsidR="00EA7CEB">
        <w:t xml:space="preserve">specified </w:t>
      </w:r>
      <w:r>
        <w:t xml:space="preserve">minimum requirements.  There will be an exception to this where the trust has a statutory obligation to prepare financial statements.  </w:t>
      </w:r>
    </w:p>
    <w:p w:rsidR="003518B1" w:rsidRPr="00BA3709" w:rsidRDefault="003518B1" w:rsidP="003518B1">
      <w:pPr>
        <w:rPr>
          <w:sz w:val="22"/>
        </w:rPr>
      </w:pPr>
    </w:p>
    <w:p w:rsidR="003518B1" w:rsidRPr="00F1621F" w:rsidRDefault="003518B1" w:rsidP="00286A61">
      <w:pPr>
        <w:pStyle w:val="Chapter1"/>
      </w:pPr>
      <w:r w:rsidRPr="00F1621F">
        <w:t xml:space="preserve">We suggest that the minimum requirements for these financial statements would be relatively straightforward historical cost, accrual-based financial statements that would constitute special-purpose financial statements.  </w:t>
      </w:r>
    </w:p>
    <w:p w:rsidR="003518B1" w:rsidRPr="00BA3709" w:rsidRDefault="003518B1" w:rsidP="006E1517">
      <w:pPr>
        <w:pStyle w:val="BodyText1"/>
      </w:pPr>
    </w:p>
    <w:p w:rsidR="003518B1" w:rsidRDefault="003518B1" w:rsidP="00286A61">
      <w:pPr>
        <w:pStyle w:val="Chapter1"/>
      </w:pPr>
      <w:r w:rsidRPr="00E94C6F">
        <w:t xml:space="preserve">Notes to the financial statements </w:t>
      </w:r>
      <w:r>
        <w:t xml:space="preserve">or separate schedules </w:t>
      </w:r>
      <w:r w:rsidRPr="00E94C6F">
        <w:t xml:space="preserve">would include a statement of accounting policies </w:t>
      </w:r>
      <w:r>
        <w:t>and detailed reconciliations of settlors’ and beneficiaries’ current accounts</w:t>
      </w:r>
      <w:r w:rsidRPr="00E94C6F">
        <w:t xml:space="preserve">.  </w:t>
      </w:r>
    </w:p>
    <w:p w:rsidR="003518B1" w:rsidRPr="00BA3709" w:rsidRDefault="003518B1" w:rsidP="00286A61">
      <w:pPr>
        <w:pStyle w:val="Chapter1"/>
        <w:numPr>
          <w:ilvl w:val="0"/>
          <w:numId w:val="0"/>
        </w:numPr>
        <w:ind w:left="851"/>
        <w:rPr>
          <w:sz w:val="22"/>
          <w:szCs w:val="22"/>
        </w:rPr>
      </w:pPr>
    </w:p>
    <w:p w:rsidR="003518B1" w:rsidRDefault="003518B1" w:rsidP="00286A61">
      <w:pPr>
        <w:pStyle w:val="Chapter1"/>
      </w:pPr>
      <w:r>
        <w:t xml:space="preserve">We propose that the financial statements will require that all accounts with settlors and beneficiaries be reconciled for movements through the reporting period.  This is in addition to the specific disclosure requirements about settlements and distributions to beneficiaries that are required under </w:t>
      </w:r>
      <w:r w:rsidR="009416B1">
        <w:t xml:space="preserve">the new </w:t>
      </w:r>
      <w:r>
        <w:t xml:space="preserve">section 59D of the </w:t>
      </w:r>
      <w:r w:rsidR="009416B1">
        <w:t>TAA</w:t>
      </w:r>
      <w:r w:rsidR="004B3659">
        <w:t xml:space="preserve"> (refer to the Appendix for the detail of this)</w:t>
      </w:r>
      <w:r>
        <w:t xml:space="preserve">.  </w:t>
      </w:r>
    </w:p>
    <w:p w:rsidR="003518B1" w:rsidRPr="00BA3709" w:rsidRDefault="003518B1" w:rsidP="00286A61">
      <w:pPr>
        <w:pStyle w:val="Chapter1"/>
        <w:numPr>
          <w:ilvl w:val="0"/>
          <w:numId w:val="0"/>
        </w:numPr>
        <w:ind w:left="851"/>
        <w:rPr>
          <w:sz w:val="22"/>
          <w:szCs w:val="22"/>
        </w:rPr>
      </w:pPr>
    </w:p>
    <w:p w:rsidR="003518B1" w:rsidRDefault="003518B1" w:rsidP="00286A61">
      <w:pPr>
        <w:pStyle w:val="Chapter1"/>
      </w:pPr>
      <w:r>
        <w:t xml:space="preserve">Requirements would be principles-based, although </w:t>
      </w:r>
      <w:r w:rsidRPr="006E1517">
        <w:t>some detail would be required</w:t>
      </w:r>
      <w:r>
        <w:t xml:space="preserve">.  This is because it is inappropriate for Inland Revenue to attempt to set the format of financial statements or tell accountants the specific detail of what should be in financial statements.  Rather, it is envisaged that Inland Revenue would set the principles and the </w:t>
      </w:r>
      <w:r w:rsidR="00581525">
        <w:t xml:space="preserve">foreign trust specific </w:t>
      </w:r>
      <w:r>
        <w:t xml:space="preserve">detail </w:t>
      </w:r>
      <w:r w:rsidRPr="006E1517">
        <w:t>and then rely on the judgement of the person</w:t>
      </w:r>
      <w:r>
        <w:t xml:space="preserve"> preparing the financial statements</w:t>
      </w:r>
      <w:r w:rsidR="00581525">
        <w:t xml:space="preserve"> for the general accounting detail</w:t>
      </w:r>
      <w:r>
        <w:t xml:space="preserve">.  The proposed detail about the level of reporting and associated disclosures is contained in </w:t>
      </w:r>
      <w:r w:rsidR="0056592E">
        <w:t xml:space="preserve">Chapter </w:t>
      </w:r>
      <w:r>
        <w:t xml:space="preserve">2.  </w:t>
      </w:r>
    </w:p>
    <w:p w:rsidR="00421CE6" w:rsidRDefault="00421CE6" w:rsidP="006E1517">
      <w:pPr>
        <w:pStyle w:val="BodyText1"/>
      </w:pPr>
    </w:p>
    <w:p w:rsidR="00421CE6" w:rsidRDefault="00421CE6" w:rsidP="00286A61">
      <w:pPr>
        <w:pStyle w:val="Chapter1"/>
      </w:pPr>
      <w:r>
        <w:t xml:space="preserve">A higher standard may be adopted (or required by other law) in which case, so long as the required disclosures are incorporated, these minimum requirements are superseded.  </w:t>
      </w:r>
    </w:p>
    <w:p w:rsidR="00A26B78" w:rsidRPr="006E1517" w:rsidRDefault="00A26B78" w:rsidP="006E1517"/>
    <w:p w:rsidR="00E73791" w:rsidRPr="006E1517" w:rsidRDefault="00E73791" w:rsidP="006E1517"/>
    <w:p w:rsidR="00E73791" w:rsidRPr="00C26F85" w:rsidRDefault="00E73791" w:rsidP="00E73791">
      <w:pPr>
        <w:pStyle w:val="Heading1"/>
      </w:pPr>
      <w:bookmarkStart w:id="16" w:name="_Toc481578409"/>
      <w:r>
        <w:t>How to make a s</w:t>
      </w:r>
      <w:r w:rsidRPr="00C26F85">
        <w:t>ubmission</w:t>
      </w:r>
      <w:bookmarkEnd w:id="16"/>
    </w:p>
    <w:p w:rsidR="00E73791" w:rsidRPr="00BA3709" w:rsidRDefault="00E73791" w:rsidP="006E1517">
      <w:pPr>
        <w:pStyle w:val="BodyText1"/>
      </w:pPr>
    </w:p>
    <w:p w:rsidR="00E73791" w:rsidRDefault="00E73791" w:rsidP="00E73791">
      <w:pPr>
        <w:pStyle w:val="Chapter1"/>
      </w:pPr>
      <w:r>
        <w:t>Submissions are invited on the level of detail that is suggested for the financial statements.</w:t>
      </w:r>
      <w:r w:rsidR="00064796">
        <w:t xml:space="preserve">  </w:t>
      </w:r>
      <w:r w:rsidR="00F14BEA">
        <w:t>While anyone may submit on it</w:t>
      </w:r>
      <w:r w:rsidR="003518B1">
        <w:t xml:space="preserve">, </w:t>
      </w:r>
      <w:r w:rsidR="00C82817">
        <w:t>this paper</w:t>
      </w:r>
      <w:r w:rsidR="00F14BEA">
        <w:t xml:space="preserve"> </w:t>
      </w:r>
      <w:r w:rsidR="00350704">
        <w:t>has been</w:t>
      </w:r>
      <w:r w:rsidR="00064796">
        <w:t xml:space="preserve"> </w:t>
      </w:r>
      <w:r w:rsidR="00350704">
        <w:t>provided to interested parties as determined by</w:t>
      </w:r>
      <w:r w:rsidR="00064796">
        <w:t xml:space="preserve"> all those who made a submission to the Finance and Expenditure Committee on the recent amendments to the Tax Administration Act </w:t>
      </w:r>
      <w:r w:rsidR="00A26B78">
        <w:t xml:space="preserve">1994 </w:t>
      </w:r>
      <w:r w:rsidR="00064796">
        <w:t xml:space="preserve">concerning foreign trusts.  </w:t>
      </w:r>
    </w:p>
    <w:p w:rsidR="00E73791" w:rsidRPr="00BA3709" w:rsidRDefault="00E73791" w:rsidP="006E1517">
      <w:pPr>
        <w:pStyle w:val="BodyText1"/>
      </w:pPr>
    </w:p>
    <w:p w:rsidR="00DD145F" w:rsidRPr="00E94C6F" w:rsidRDefault="00DD145F" w:rsidP="00175D07">
      <w:pPr>
        <w:pStyle w:val="Chapter1"/>
      </w:pPr>
      <w:r w:rsidRPr="00E94C6F">
        <w:t>Submissions on this paper should be made by</w:t>
      </w:r>
      <w:r w:rsidR="00D456F3">
        <w:t xml:space="preserve"> 2</w:t>
      </w:r>
      <w:r w:rsidR="0082102C">
        <w:t>9</w:t>
      </w:r>
      <w:r w:rsidR="00D456F3">
        <w:t xml:space="preserve"> </w:t>
      </w:r>
      <w:r w:rsidR="0082102C">
        <w:t>June</w:t>
      </w:r>
      <w:r w:rsidR="00D456F3">
        <w:t xml:space="preserve"> 201</w:t>
      </w:r>
      <w:r w:rsidR="0082102C">
        <w:t>7</w:t>
      </w:r>
      <w:r w:rsidR="00D456F3">
        <w:t xml:space="preserve"> </w:t>
      </w:r>
      <w:r w:rsidRPr="00E94C6F">
        <w:t xml:space="preserve">and can be </w:t>
      </w:r>
      <w:r w:rsidR="00CC081D">
        <w:t>sent</w:t>
      </w:r>
      <w:r w:rsidR="00CC081D" w:rsidRPr="00E94C6F">
        <w:t xml:space="preserve"> </w:t>
      </w:r>
      <w:r w:rsidRPr="00E94C6F">
        <w:t>to:</w:t>
      </w:r>
    </w:p>
    <w:p w:rsidR="00CC081D" w:rsidRDefault="00CC081D" w:rsidP="00175D07">
      <w:pPr>
        <w:ind w:left="851"/>
        <w:rPr>
          <w:szCs w:val="24"/>
        </w:rPr>
      </w:pPr>
      <w:r w:rsidRPr="00175D07">
        <w:rPr>
          <w:szCs w:val="24"/>
          <w:u w:val="single"/>
        </w:rPr>
        <w:t>policy.webmaster@ird.govt.nz</w:t>
      </w:r>
      <w:r w:rsidRPr="00E94C6F">
        <w:rPr>
          <w:szCs w:val="24"/>
        </w:rPr>
        <w:t xml:space="preserve"> with “Financial reporting</w:t>
      </w:r>
      <w:r w:rsidR="003518B1">
        <w:rPr>
          <w:szCs w:val="24"/>
        </w:rPr>
        <w:t xml:space="preserve"> for foreign trusts</w:t>
      </w:r>
      <w:r w:rsidRPr="00E94C6F">
        <w:rPr>
          <w:szCs w:val="24"/>
        </w:rPr>
        <w:t>” in the subject line.</w:t>
      </w:r>
    </w:p>
    <w:p w:rsidR="00CC081D" w:rsidRPr="00BA3709" w:rsidRDefault="00CC081D" w:rsidP="006E1517">
      <w:pPr>
        <w:pStyle w:val="BodyText1"/>
        <w:ind w:left="851"/>
      </w:pPr>
    </w:p>
    <w:p w:rsidR="00421CE6" w:rsidRDefault="00421CE6" w:rsidP="006E1517">
      <w:pPr>
        <w:pStyle w:val="BodyText1"/>
        <w:ind w:left="851"/>
        <w:rPr>
          <w:szCs w:val="24"/>
        </w:rPr>
      </w:pPr>
      <w:r>
        <w:rPr>
          <w:szCs w:val="24"/>
        </w:rPr>
        <w:br w:type="page"/>
      </w:r>
    </w:p>
    <w:p w:rsidR="00CC081D" w:rsidRDefault="00CC081D" w:rsidP="006E1517">
      <w:pPr>
        <w:pStyle w:val="BodyText1"/>
        <w:ind w:left="851"/>
        <w:rPr>
          <w:szCs w:val="24"/>
        </w:rPr>
      </w:pPr>
      <w:r>
        <w:rPr>
          <w:szCs w:val="24"/>
        </w:rPr>
        <w:t>Alternatively they can be sent to:</w:t>
      </w:r>
    </w:p>
    <w:p w:rsidR="00F14BEA" w:rsidRPr="00BA3709" w:rsidRDefault="00F14BEA" w:rsidP="006E1517">
      <w:pPr>
        <w:pStyle w:val="BodyText1"/>
        <w:ind w:left="851"/>
      </w:pPr>
    </w:p>
    <w:p w:rsidR="00DD145F" w:rsidRPr="00E94C6F" w:rsidRDefault="00DD145F" w:rsidP="006E1517">
      <w:pPr>
        <w:pStyle w:val="BodyText1"/>
        <w:ind w:left="1440"/>
        <w:rPr>
          <w:szCs w:val="24"/>
        </w:rPr>
      </w:pPr>
      <w:r w:rsidRPr="00E94C6F">
        <w:rPr>
          <w:szCs w:val="24"/>
        </w:rPr>
        <w:t xml:space="preserve">Financial reporting </w:t>
      </w:r>
      <w:r w:rsidR="0082102C">
        <w:rPr>
          <w:szCs w:val="24"/>
        </w:rPr>
        <w:t>for foreign trusts</w:t>
      </w:r>
    </w:p>
    <w:p w:rsidR="00DD145F" w:rsidRPr="00E94C6F" w:rsidRDefault="00DD145F" w:rsidP="006E1517">
      <w:pPr>
        <w:pStyle w:val="BodyText1"/>
        <w:ind w:left="1440"/>
        <w:rPr>
          <w:szCs w:val="24"/>
        </w:rPr>
      </w:pPr>
      <w:r w:rsidRPr="00E94C6F">
        <w:rPr>
          <w:szCs w:val="24"/>
        </w:rPr>
        <w:t>C/- Deputy Commissioner</w:t>
      </w:r>
    </w:p>
    <w:p w:rsidR="00DD145F" w:rsidRPr="00E94C6F" w:rsidRDefault="00DD145F" w:rsidP="006E1517">
      <w:pPr>
        <w:pStyle w:val="BodyText1"/>
        <w:ind w:left="1440"/>
        <w:rPr>
          <w:szCs w:val="24"/>
        </w:rPr>
      </w:pPr>
      <w:r w:rsidRPr="00E94C6F">
        <w:rPr>
          <w:szCs w:val="24"/>
        </w:rPr>
        <w:t xml:space="preserve">Policy </w:t>
      </w:r>
      <w:r w:rsidR="00C416B3">
        <w:rPr>
          <w:szCs w:val="24"/>
        </w:rPr>
        <w:t xml:space="preserve">and Strategy </w:t>
      </w:r>
    </w:p>
    <w:p w:rsidR="00DD145F" w:rsidRPr="00E94C6F" w:rsidRDefault="00DD145F" w:rsidP="006E1517">
      <w:pPr>
        <w:pStyle w:val="BodyText1"/>
        <w:ind w:left="1440"/>
        <w:rPr>
          <w:szCs w:val="24"/>
        </w:rPr>
      </w:pPr>
      <w:r w:rsidRPr="00E94C6F">
        <w:rPr>
          <w:szCs w:val="24"/>
        </w:rPr>
        <w:t xml:space="preserve">Inland Revenue </w:t>
      </w:r>
    </w:p>
    <w:p w:rsidR="00DD145F" w:rsidRPr="00E94C6F" w:rsidRDefault="00DD145F" w:rsidP="006E1517">
      <w:pPr>
        <w:pStyle w:val="BodyText1"/>
        <w:ind w:left="1440"/>
        <w:rPr>
          <w:szCs w:val="24"/>
        </w:rPr>
      </w:pPr>
      <w:r w:rsidRPr="00E94C6F">
        <w:rPr>
          <w:szCs w:val="24"/>
        </w:rPr>
        <w:t>P O Box 2198</w:t>
      </w:r>
    </w:p>
    <w:p w:rsidR="00DD145F" w:rsidRPr="00E94C6F" w:rsidRDefault="00DD145F" w:rsidP="006E1517">
      <w:pPr>
        <w:pStyle w:val="BodyText1"/>
        <w:ind w:left="1440"/>
        <w:rPr>
          <w:szCs w:val="24"/>
        </w:rPr>
      </w:pPr>
      <w:r w:rsidRPr="00E94C6F">
        <w:rPr>
          <w:szCs w:val="24"/>
        </w:rPr>
        <w:t>Wellington 6140</w:t>
      </w:r>
    </w:p>
    <w:p w:rsidR="00175D07" w:rsidRDefault="00175D07" w:rsidP="006E1517">
      <w:pPr>
        <w:pStyle w:val="BodyText1"/>
        <w:ind w:left="851"/>
        <w:rPr>
          <w:rFonts w:eastAsia="Times New Roman"/>
          <w:szCs w:val="20"/>
          <w:lang w:eastAsia="en-AU"/>
        </w:rPr>
      </w:pPr>
    </w:p>
    <w:p w:rsidR="00DD145F" w:rsidRPr="00E94C6F" w:rsidRDefault="00DD145F" w:rsidP="00175D07">
      <w:pPr>
        <w:pStyle w:val="Chapter1"/>
      </w:pPr>
      <w:r w:rsidRPr="00E94C6F">
        <w:t>Submissions may be the subject of a request under the Official Information Act 1982, which may result in their publication.  The withholding of particular submissions on the grounds of privacy, or for any other reason, will be determined in accordance with that Act.  Those making a submission who consider there is any part of it that should properly be withheld under the Act should clearly indicate this.</w:t>
      </w:r>
    </w:p>
    <w:p w:rsidR="00E93EDE" w:rsidRPr="00E94C6F" w:rsidRDefault="00E93EDE" w:rsidP="00D8013D">
      <w:pPr>
        <w:rPr>
          <w:szCs w:val="24"/>
        </w:rPr>
      </w:pPr>
    </w:p>
    <w:p w:rsidR="00DD145F" w:rsidRPr="00C02169" w:rsidRDefault="00DD145F">
      <w:pPr>
        <w:rPr>
          <w:b/>
          <w:sz w:val="2"/>
          <w:szCs w:val="2"/>
        </w:rPr>
      </w:pPr>
      <w:r w:rsidRPr="00E94C6F">
        <w:rPr>
          <w:b/>
          <w:szCs w:val="24"/>
        </w:rPr>
        <w:br w:type="page"/>
      </w:r>
    </w:p>
    <w:p w:rsidR="003518B1" w:rsidRDefault="003518B1" w:rsidP="003518B1">
      <w:pPr>
        <w:pStyle w:val="Chapterheading"/>
      </w:pPr>
      <w:bookmarkStart w:id="17" w:name="_Toc481578410"/>
      <w:bookmarkStart w:id="18" w:name="_Toc336257471"/>
      <w:bookmarkStart w:id="19" w:name="_Toc343090202"/>
      <w:bookmarkStart w:id="20" w:name="_Toc370197181"/>
      <w:bookmarkStart w:id="21" w:name="_Toc370197241"/>
      <w:bookmarkStart w:id="22" w:name="_Toc370377419"/>
      <w:bookmarkStart w:id="23" w:name="_Toc370968622"/>
      <w:bookmarkStart w:id="24" w:name="_Toc371507992"/>
      <w:bookmarkStart w:id="25" w:name="_Toc371518374"/>
      <w:bookmarkStart w:id="26" w:name="_Toc371930480"/>
      <w:bookmarkStart w:id="27" w:name="_Toc372010216"/>
      <w:bookmarkStart w:id="28" w:name="_Toc481054029"/>
      <w:r>
        <w:t>CHAPTER 2</w:t>
      </w:r>
      <w:bookmarkEnd w:id="17"/>
    </w:p>
    <w:p w:rsidR="003518B1" w:rsidRDefault="003518B1" w:rsidP="003518B1">
      <w:pPr>
        <w:pStyle w:val="Chapterheading"/>
      </w:pPr>
    </w:p>
    <w:p w:rsidR="003518B1" w:rsidRPr="000879E2" w:rsidRDefault="003518B1" w:rsidP="003518B1">
      <w:pPr>
        <w:pStyle w:val="Chapterheading"/>
      </w:pPr>
      <w:bookmarkStart w:id="29" w:name="_Toc481578411"/>
      <w:r>
        <w:rPr>
          <w:caps w:val="0"/>
        </w:rPr>
        <w:t>Proposed m</w:t>
      </w:r>
      <w:r w:rsidRPr="000879E2">
        <w:rPr>
          <w:caps w:val="0"/>
        </w:rPr>
        <w:t>inimum financial reporting requirements</w:t>
      </w:r>
      <w:bookmarkEnd w:id="29"/>
      <w:r>
        <w:rPr>
          <w:caps w:val="0"/>
        </w:rPr>
        <w:t xml:space="preserve"> </w:t>
      </w:r>
    </w:p>
    <w:p w:rsidR="003518B1" w:rsidRDefault="003518B1" w:rsidP="006E1517">
      <w:pPr>
        <w:pStyle w:val="BodyText1"/>
      </w:pPr>
    </w:p>
    <w:p w:rsidR="003518B1" w:rsidRDefault="003518B1" w:rsidP="006E1517">
      <w:pPr>
        <w:pStyle w:val="BodyText1"/>
      </w:pPr>
    </w:p>
    <w:p w:rsidR="003518B1" w:rsidRPr="0056592E" w:rsidRDefault="003518B1" w:rsidP="006E1517">
      <w:pPr>
        <w:pStyle w:val="Chapter2"/>
      </w:pPr>
      <w:r w:rsidRPr="00CD3625">
        <w:t>These are the proposed minimum financial reporting requirements for special-purpose financial statements for foreign trusts</w:t>
      </w:r>
      <w:r w:rsidRPr="0056592E">
        <w:t xml:space="preserve">.  </w:t>
      </w:r>
    </w:p>
    <w:p w:rsidR="003518B1" w:rsidRPr="0056592E" w:rsidRDefault="003518B1" w:rsidP="006E1517">
      <w:pPr>
        <w:pStyle w:val="Chapter2"/>
        <w:numPr>
          <w:ilvl w:val="0"/>
          <w:numId w:val="0"/>
        </w:numPr>
        <w:ind w:left="851"/>
      </w:pPr>
    </w:p>
    <w:p w:rsidR="003518B1" w:rsidRPr="004B3659" w:rsidRDefault="003518B1" w:rsidP="006E1517">
      <w:pPr>
        <w:pStyle w:val="Chapter2"/>
      </w:pPr>
      <w:r w:rsidRPr="0056592E">
        <w:t>These minimum requirements are high-level and, while financial statements and accompanying schedules must be prepared to at least these minimum requirements, they may be prepared to a higher standard or even be general-purpose financial statement</w:t>
      </w:r>
      <w:r w:rsidRPr="004B3659">
        <w:t xml:space="preserve">s, so long as the required information is provided.  </w:t>
      </w:r>
    </w:p>
    <w:p w:rsidR="003518B1" w:rsidRDefault="003518B1" w:rsidP="006E1517">
      <w:pPr>
        <w:pStyle w:val="Chapter2"/>
        <w:numPr>
          <w:ilvl w:val="0"/>
          <w:numId w:val="0"/>
        </w:numPr>
        <w:ind w:left="851"/>
        <w:rPr>
          <w:szCs w:val="24"/>
        </w:rPr>
      </w:pPr>
    </w:p>
    <w:p w:rsidR="003518B1" w:rsidRDefault="003518B1" w:rsidP="006E1517">
      <w:pPr>
        <w:pStyle w:val="Chapter2"/>
        <w:rPr>
          <w:szCs w:val="24"/>
        </w:rPr>
      </w:pPr>
      <w:r>
        <w:rPr>
          <w:szCs w:val="24"/>
        </w:rPr>
        <w:t>The minimum requirements proposed are:</w:t>
      </w:r>
    </w:p>
    <w:p w:rsidR="003518B1" w:rsidRDefault="003518B1" w:rsidP="006E1517">
      <w:pPr>
        <w:pStyle w:val="Chapter2"/>
        <w:numPr>
          <w:ilvl w:val="0"/>
          <w:numId w:val="0"/>
        </w:numPr>
        <w:ind w:left="851"/>
        <w:rPr>
          <w:szCs w:val="24"/>
        </w:rPr>
      </w:pPr>
    </w:p>
    <w:p w:rsidR="003518B1" w:rsidRPr="00BA3709" w:rsidRDefault="003518B1" w:rsidP="00286A61">
      <w:pPr>
        <w:spacing w:line="360" w:lineRule="auto"/>
        <w:jc w:val="left"/>
        <w:rPr>
          <w:b/>
          <w:szCs w:val="24"/>
        </w:rPr>
      </w:pPr>
      <w:r w:rsidRPr="00BA3709">
        <w:rPr>
          <w:b/>
          <w:i/>
          <w:szCs w:val="24"/>
        </w:rPr>
        <w:t>Form of financial statements</w:t>
      </w:r>
    </w:p>
    <w:p w:rsidR="003518B1" w:rsidRPr="00993AD8" w:rsidRDefault="003518B1" w:rsidP="006E1517">
      <w:pPr>
        <w:pStyle w:val="Bullets"/>
        <w:numPr>
          <w:ilvl w:val="0"/>
          <w:numId w:val="12"/>
        </w:numPr>
        <w:ind w:left="851" w:hanging="851"/>
      </w:pPr>
      <w:r w:rsidRPr="00993AD8">
        <w:t xml:space="preserve">The financial statements must consist of – </w:t>
      </w:r>
    </w:p>
    <w:p w:rsidR="003518B1" w:rsidRPr="00993AD8" w:rsidRDefault="009416B1" w:rsidP="006E1517">
      <w:pPr>
        <w:pStyle w:val="Bullets"/>
        <w:numPr>
          <w:ilvl w:val="0"/>
          <w:numId w:val="14"/>
        </w:numPr>
        <w:tabs>
          <w:tab w:val="clear" w:pos="1418"/>
          <w:tab w:val="left" w:pos="1701"/>
        </w:tabs>
        <w:ind w:left="1701"/>
      </w:pPr>
      <w:r>
        <w:t>a</w:t>
      </w:r>
      <w:r w:rsidRPr="00993AD8">
        <w:t xml:space="preserve"> </w:t>
      </w:r>
      <w:r w:rsidR="003518B1" w:rsidRPr="00993AD8">
        <w:t xml:space="preserve">balance sheet setting out the assets, liabilities and net assets of the </w:t>
      </w:r>
      <w:r w:rsidR="003518B1">
        <w:t>foreign trust</w:t>
      </w:r>
      <w:r w:rsidR="003518B1" w:rsidRPr="00993AD8">
        <w:t xml:space="preserve"> as at the end of the income year; and</w:t>
      </w:r>
    </w:p>
    <w:p w:rsidR="003518B1" w:rsidRPr="00993AD8" w:rsidRDefault="009416B1" w:rsidP="006E1517">
      <w:pPr>
        <w:pStyle w:val="Bullets"/>
        <w:numPr>
          <w:ilvl w:val="0"/>
          <w:numId w:val="14"/>
        </w:numPr>
        <w:tabs>
          <w:tab w:val="clear" w:pos="1418"/>
          <w:tab w:val="left" w:pos="1701"/>
        </w:tabs>
        <w:spacing w:after="0"/>
        <w:ind w:left="1701"/>
      </w:pPr>
      <w:r>
        <w:t>a</w:t>
      </w:r>
      <w:r w:rsidRPr="00993AD8">
        <w:t xml:space="preserve"> </w:t>
      </w:r>
      <w:r w:rsidR="003518B1" w:rsidRPr="00993AD8">
        <w:t xml:space="preserve">profit and loss statement showing income derived, and expenditure incurred, by the </w:t>
      </w:r>
      <w:r w:rsidR="003518B1">
        <w:t>foreign trust</w:t>
      </w:r>
      <w:r w:rsidR="003518B1" w:rsidRPr="00993AD8">
        <w:t xml:space="preserve"> during the income year</w:t>
      </w:r>
      <w:r w:rsidR="003518B1">
        <w:t>.</w:t>
      </w:r>
    </w:p>
    <w:p w:rsidR="006E1517" w:rsidRDefault="006E1517" w:rsidP="00212EAF">
      <w:pPr>
        <w:pStyle w:val="BodyText1"/>
      </w:pPr>
    </w:p>
    <w:p w:rsidR="003518B1" w:rsidRPr="00BA3709" w:rsidRDefault="003518B1" w:rsidP="00286A61">
      <w:pPr>
        <w:spacing w:line="360" w:lineRule="auto"/>
        <w:rPr>
          <w:b/>
          <w:szCs w:val="24"/>
        </w:rPr>
      </w:pPr>
      <w:r w:rsidRPr="00BA3709">
        <w:rPr>
          <w:b/>
          <w:i/>
          <w:szCs w:val="24"/>
        </w:rPr>
        <w:t>Principles with which statements must comply</w:t>
      </w:r>
    </w:p>
    <w:p w:rsidR="003518B1" w:rsidRPr="00993AD8" w:rsidRDefault="003518B1" w:rsidP="00212EAF">
      <w:pPr>
        <w:pStyle w:val="Bullets"/>
        <w:numPr>
          <w:ilvl w:val="0"/>
          <w:numId w:val="12"/>
        </w:numPr>
        <w:spacing w:after="0"/>
        <w:ind w:left="851" w:hanging="851"/>
      </w:pPr>
      <w:r w:rsidRPr="00993AD8">
        <w:t>The financial statements must be prepared applying the principles of accrual accounting</w:t>
      </w:r>
      <w:r>
        <w:t>.</w:t>
      </w:r>
    </w:p>
    <w:p w:rsidR="006E1517" w:rsidRDefault="006E1517" w:rsidP="00212EAF">
      <w:pPr>
        <w:pStyle w:val="BodyText1"/>
      </w:pPr>
    </w:p>
    <w:p w:rsidR="003518B1" w:rsidRPr="00BA3709" w:rsidRDefault="003518B1" w:rsidP="00286A61">
      <w:pPr>
        <w:spacing w:line="360" w:lineRule="auto"/>
        <w:rPr>
          <w:b/>
          <w:szCs w:val="24"/>
        </w:rPr>
      </w:pPr>
      <w:r w:rsidRPr="00BA3709">
        <w:rPr>
          <w:b/>
          <w:i/>
          <w:szCs w:val="24"/>
        </w:rPr>
        <w:t>Valuations</w:t>
      </w:r>
    </w:p>
    <w:p w:rsidR="003518B1" w:rsidRPr="00993AD8" w:rsidRDefault="003518B1" w:rsidP="00212EAF">
      <w:pPr>
        <w:pStyle w:val="Bullets"/>
        <w:numPr>
          <w:ilvl w:val="0"/>
          <w:numId w:val="12"/>
        </w:numPr>
        <w:ind w:left="851" w:hanging="851"/>
      </w:pPr>
      <w:r w:rsidRPr="00993AD8">
        <w:t>The financial statements may, however, disclose amounts using the following valuation principles:</w:t>
      </w:r>
    </w:p>
    <w:p w:rsidR="003518B1" w:rsidRPr="00993AD8" w:rsidRDefault="009416B1" w:rsidP="00212EAF">
      <w:pPr>
        <w:pStyle w:val="Bullets"/>
        <w:numPr>
          <w:ilvl w:val="0"/>
          <w:numId w:val="17"/>
        </w:numPr>
        <w:tabs>
          <w:tab w:val="clear" w:pos="1418"/>
          <w:tab w:val="left" w:pos="1701"/>
        </w:tabs>
        <w:ind w:left="1701"/>
      </w:pPr>
      <w:r>
        <w:t>t</w:t>
      </w:r>
      <w:r w:rsidRPr="00993AD8">
        <w:t xml:space="preserve">ax </w:t>
      </w:r>
      <w:r w:rsidR="003518B1" w:rsidRPr="00993AD8">
        <w:t>values, when those values are consistent with double-entry and accrual accounting; and</w:t>
      </w:r>
    </w:p>
    <w:p w:rsidR="003518B1" w:rsidRPr="00993AD8" w:rsidRDefault="009416B1" w:rsidP="00212EAF">
      <w:pPr>
        <w:pStyle w:val="Bullets"/>
        <w:numPr>
          <w:ilvl w:val="0"/>
          <w:numId w:val="17"/>
        </w:numPr>
        <w:tabs>
          <w:tab w:val="clear" w:pos="1418"/>
          <w:tab w:val="left" w:pos="1701"/>
        </w:tabs>
        <w:ind w:left="1701"/>
      </w:pPr>
      <w:r>
        <w:t>h</w:t>
      </w:r>
      <w:r w:rsidRPr="00993AD8">
        <w:t xml:space="preserve">istorical </w:t>
      </w:r>
      <w:r w:rsidR="003518B1" w:rsidRPr="00993AD8">
        <w:t xml:space="preserve">cost </w:t>
      </w:r>
      <w:r w:rsidR="003518B1">
        <w:t>with impairment or depreciation as appropriate</w:t>
      </w:r>
      <w:r w:rsidR="003518B1" w:rsidRPr="00993AD8">
        <w:t>; and</w:t>
      </w:r>
    </w:p>
    <w:p w:rsidR="003518B1" w:rsidRPr="00993AD8" w:rsidRDefault="009416B1" w:rsidP="00212EAF">
      <w:pPr>
        <w:pStyle w:val="Bullets"/>
        <w:numPr>
          <w:ilvl w:val="0"/>
          <w:numId w:val="17"/>
        </w:numPr>
        <w:tabs>
          <w:tab w:val="clear" w:pos="1418"/>
          <w:tab w:val="left" w:pos="1701"/>
        </w:tabs>
        <w:spacing w:after="0"/>
        <w:ind w:left="1701"/>
      </w:pPr>
      <w:r>
        <w:t>m</w:t>
      </w:r>
      <w:r w:rsidRPr="00993AD8">
        <w:t xml:space="preserve">arket </w:t>
      </w:r>
      <w:r w:rsidR="003518B1" w:rsidRPr="00993AD8">
        <w:t>values, when, in the preparer’s opinion, market values provide a better basis of valuation than those in subparagraphs (i) and (ii)</w:t>
      </w:r>
      <w:r w:rsidR="003518B1">
        <w:t>.</w:t>
      </w:r>
    </w:p>
    <w:p w:rsidR="006E1517" w:rsidRDefault="006E1517" w:rsidP="00212EAF">
      <w:pPr>
        <w:pStyle w:val="BodyText1"/>
      </w:pPr>
    </w:p>
    <w:p w:rsidR="003518B1" w:rsidRPr="00BA3709" w:rsidRDefault="003518B1" w:rsidP="00286A61">
      <w:pPr>
        <w:spacing w:line="360" w:lineRule="auto"/>
        <w:jc w:val="left"/>
        <w:rPr>
          <w:b/>
          <w:szCs w:val="24"/>
        </w:rPr>
      </w:pPr>
      <w:r w:rsidRPr="00BA3709">
        <w:rPr>
          <w:b/>
          <w:i/>
          <w:szCs w:val="24"/>
        </w:rPr>
        <w:t>Statement of accounting policies</w:t>
      </w:r>
    </w:p>
    <w:p w:rsidR="003518B1" w:rsidRPr="00993AD8" w:rsidRDefault="003518B1" w:rsidP="00212EAF">
      <w:pPr>
        <w:pStyle w:val="Bullets"/>
        <w:numPr>
          <w:ilvl w:val="0"/>
          <w:numId w:val="12"/>
        </w:numPr>
        <w:ind w:left="851" w:hanging="851"/>
      </w:pPr>
      <w:r w:rsidRPr="00993AD8">
        <w:t>The financial statements must contain a statement of accounting policies setting out, in sufficient detail so that a user can understand the material policies that have been applied or changed</w:t>
      </w:r>
      <w:r w:rsidR="004B3659">
        <w:t>:</w:t>
      </w:r>
    </w:p>
    <w:p w:rsidR="003518B1" w:rsidRPr="00993AD8" w:rsidRDefault="009416B1" w:rsidP="00212EAF">
      <w:pPr>
        <w:pStyle w:val="Bullets"/>
        <w:numPr>
          <w:ilvl w:val="0"/>
          <w:numId w:val="19"/>
        </w:numPr>
        <w:tabs>
          <w:tab w:val="clear" w:pos="1418"/>
          <w:tab w:val="left" w:pos="1701"/>
        </w:tabs>
        <w:ind w:left="1701"/>
      </w:pPr>
      <w:r>
        <w:t>t</w:t>
      </w:r>
      <w:r w:rsidRPr="00993AD8">
        <w:t xml:space="preserve">he </w:t>
      </w:r>
      <w:r w:rsidR="003518B1" w:rsidRPr="00993AD8">
        <w:t>policies and assumptions that have been used in the preparation of the financial statements; and</w:t>
      </w:r>
    </w:p>
    <w:p w:rsidR="003518B1" w:rsidRPr="00993AD8" w:rsidRDefault="009416B1" w:rsidP="00212EAF">
      <w:pPr>
        <w:pStyle w:val="Bullets"/>
        <w:numPr>
          <w:ilvl w:val="0"/>
          <w:numId w:val="19"/>
        </w:numPr>
        <w:tabs>
          <w:tab w:val="clear" w:pos="1418"/>
          <w:tab w:val="left" w:pos="1701"/>
        </w:tabs>
        <w:spacing w:after="0"/>
        <w:ind w:left="1701"/>
      </w:pPr>
      <w:r>
        <w:t>a</w:t>
      </w:r>
      <w:r w:rsidRPr="00993AD8">
        <w:t xml:space="preserve"> </w:t>
      </w:r>
      <w:r w:rsidR="003518B1" w:rsidRPr="00993AD8">
        <w:t>description of the effect of any material changes in the accounting policies used since the financial statements prepared for the previous income year</w:t>
      </w:r>
      <w:r w:rsidR="003518B1">
        <w:t>.</w:t>
      </w:r>
    </w:p>
    <w:p w:rsidR="006E1517" w:rsidRDefault="006E1517" w:rsidP="00212EAF">
      <w:pPr>
        <w:pStyle w:val="BodyText1"/>
      </w:pPr>
    </w:p>
    <w:p w:rsidR="003518B1" w:rsidRPr="00BA3709" w:rsidRDefault="003518B1" w:rsidP="00286A61">
      <w:pPr>
        <w:pStyle w:val="ListParagraph"/>
        <w:spacing w:line="360" w:lineRule="auto"/>
        <w:ind w:left="0"/>
        <w:rPr>
          <w:b/>
          <w:szCs w:val="24"/>
        </w:rPr>
      </w:pPr>
      <w:r w:rsidRPr="00BA3709">
        <w:rPr>
          <w:b/>
          <w:i/>
          <w:szCs w:val="24"/>
        </w:rPr>
        <w:t>Matters that statements must show</w:t>
      </w:r>
    </w:p>
    <w:p w:rsidR="003518B1" w:rsidRPr="00993AD8" w:rsidRDefault="003518B1" w:rsidP="00212EAF">
      <w:pPr>
        <w:pStyle w:val="Bullets"/>
        <w:numPr>
          <w:ilvl w:val="0"/>
          <w:numId w:val="12"/>
        </w:numPr>
        <w:ind w:left="851" w:hanging="851"/>
      </w:pPr>
      <w:r w:rsidRPr="00993AD8">
        <w:t>The financial statements must show the matters prescribed</w:t>
      </w:r>
      <w:r>
        <w:t>.</w:t>
      </w:r>
    </w:p>
    <w:p w:rsidR="003518B1" w:rsidRPr="00993AD8" w:rsidRDefault="003518B1" w:rsidP="00212EAF">
      <w:pPr>
        <w:pStyle w:val="Bullets"/>
        <w:numPr>
          <w:ilvl w:val="0"/>
          <w:numId w:val="12"/>
        </w:numPr>
        <w:spacing w:after="0"/>
        <w:ind w:left="851" w:hanging="851"/>
      </w:pPr>
      <w:r w:rsidRPr="00993AD8">
        <w:t>The financial statements must disclose comparable figures for the previous income year</w:t>
      </w:r>
      <w:r>
        <w:t xml:space="preserve"> where financial statements have been prepared for that previous year.</w:t>
      </w:r>
    </w:p>
    <w:p w:rsidR="006E1517" w:rsidRDefault="006E1517" w:rsidP="006E1517">
      <w:pPr>
        <w:pStyle w:val="BodyText1"/>
      </w:pPr>
    </w:p>
    <w:p w:rsidR="003518B1" w:rsidRPr="00BA3709" w:rsidRDefault="003518B1" w:rsidP="00286A61">
      <w:pPr>
        <w:spacing w:line="360" w:lineRule="auto"/>
        <w:rPr>
          <w:b/>
          <w:szCs w:val="24"/>
        </w:rPr>
      </w:pPr>
      <w:r w:rsidRPr="00BA3709">
        <w:rPr>
          <w:b/>
          <w:i/>
          <w:szCs w:val="24"/>
        </w:rPr>
        <w:t>Reconciliations</w:t>
      </w:r>
    </w:p>
    <w:p w:rsidR="003518B1" w:rsidRDefault="003518B1" w:rsidP="00212EAF">
      <w:pPr>
        <w:pStyle w:val="Bullets"/>
        <w:numPr>
          <w:ilvl w:val="0"/>
          <w:numId w:val="12"/>
        </w:numPr>
        <w:tabs>
          <w:tab w:val="clear" w:pos="1418"/>
          <w:tab w:val="left" w:pos="851"/>
        </w:tabs>
        <w:ind w:left="851" w:hanging="851"/>
      </w:pPr>
      <w:r w:rsidRPr="00993AD8">
        <w:t xml:space="preserve">A </w:t>
      </w:r>
      <w:r>
        <w:t xml:space="preserve">statement of the foreign trust’s New Zealand </w:t>
      </w:r>
      <w:r w:rsidRPr="00993AD8">
        <w:t xml:space="preserve">taxable income </w:t>
      </w:r>
      <w:r>
        <w:t xml:space="preserve">(if any) in </w:t>
      </w:r>
      <w:r w:rsidR="009416B1">
        <w:t>NZD</w:t>
      </w:r>
      <w:r>
        <w:t xml:space="preserve"> </w:t>
      </w:r>
      <w:r w:rsidRPr="00993AD8">
        <w:t>for the income year</w:t>
      </w:r>
      <w:r>
        <w:t>.</w:t>
      </w:r>
    </w:p>
    <w:p w:rsidR="003518B1" w:rsidRDefault="003518B1" w:rsidP="00212EAF">
      <w:pPr>
        <w:pStyle w:val="Bullets"/>
        <w:numPr>
          <w:ilvl w:val="0"/>
          <w:numId w:val="12"/>
        </w:numPr>
        <w:tabs>
          <w:tab w:val="clear" w:pos="1418"/>
          <w:tab w:val="left" w:pos="851"/>
        </w:tabs>
        <w:spacing w:after="0"/>
        <w:ind w:left="851" w:hanging="851"/>
      </w:pPr>
      <w:r>
        <w:t xml:space="preserve">Reconciliations from opening to closing balance for all settlor and beneficiary accounts and of the corpus on a line by line basis.  </w:t>
      </w:r>
    </w:p>
    <w:p w:rsidR="006E1517" w:rsidRDefault="006E1517" w:rsidP="006E1517">
      <w:pPr>
        <w:pStyle w:val="BodyText1"/>
      </w:pPr>
    </w:p>
    <w:p w:rsidR="003518B1" w:rsidRPr="00BA3709" w:rsidRDefault="003518B1" w:rsidP="00286A61">
      <w:pPr>
        <w:pStyle w:val="ListParagraph"/>
        <w:spacing w:line="360" w:lineRule="auto"/>
        <w:ind w:left="0"/>
        <w:rPr>
          <w:b/>
          <w:i/>
          <w:szCs w:val="24"/>
        </w:rPr>
      </w:pPr>
      <w:r w:rsidRPr="00BA3709">
        <w:rPr>
          <w:b/>
          <w:i/>
          <w:szCs w:val="24"/>
        </w:rPr>
        <w:t>Currency</w:t>
      </w:r>
    </w:p>
    <w:p w:rsidR="003518B1" w:rsidRPr="00993AD8" w:rsidRDefault="003518B1" w:rsidP="00212EAF">
      <w:pPr>
        <w:pStyle w:val="Bullets"/>
        <w:numPr>
          <w:ilvl w:val="0"/>
          <w:numId w:val="12"/>
        </w:numPr>
        <w:spacing w:after="0"/>
        <w:ind w:left="851" w:hanging="851"/>
      </w:pPr>
      <w:r>
        <w:t>The financial statements may be prepared in any currency that is appropriate having regard to the circumstances of the foreign trust and its settlors and beneficiaries.</w:t>
      </w:r>
    </w:p>
    <w:bookmarkEnd w:id="18"/>
    <w:bookmarkEnd w:id="19"/>
    <w:bookmarkEnd w:id="20"/>
    <w:bookmarkEnd w:id="21"/>
    <w:bookmarkEnd w:id="22"/>
    <w:bookmarkEnd w:id="23"/>
    <w:bookmarkEnd w:id="24"/>
    <w:bookmarkEnd w:id="25"/>
    <w:bookmarkEnd w:id="26"/>
    <w:bookmarkEnd w:id="27"/>
    <w:bookmarkEnd w:id="28"/>
    <w:p w:rsidR="008028DC" w:rsidRPr="00E94C6F" w:rsidRDefault="008028DC" w:rsidP="000145F7">
      <w:pPr>
        <w:pStyle w:val="Chapter3"/>
        <w:numPr>
          <w:ilvl w:val="0"/>
          <w:numId w:val="0"/>
        </w:numPr>
        <w:ind w:left="851"/>
      </w:pPr>
    </w:p>
    <w:p w:rsidR="004B0256" w:rsidRDefault="007B71C9" w:rsidP="007B71C9">
      <w:pPr>
        <w:pStyle w:val="Chapterheading"/>
      </w:pPr>
      <w:r>
        <w:br w:type="page"/>
      </w:r>
      <w:bookmarkStart w:id="30" w:name="_Toc481054033"/>
    </w:p>
    <w:p w:rsidR="007B71C9" w:rsidRDefault="007B71C9" w:rsidP="007B71C9">
      <w:pPr>
        <w:pStyle w:val="Chapterheading"/>
      </w:pPr>
      <w:bookmarkStart w:id="31" w:name="_Toc481578412"/>
      <w:r>
        <w:t>APPENDIX</w:t>
      </w:r>
      <w:bookmarkEnd w:id="30"/>
      <w:bookmarkEnd w:id="31"/>
    </w:p>
    <w:p w:rsidR="007B71C9" w:rsidRDefault="007B71C9" w:rsidP="007B71C9">
      <w:pPr>
        <w:pStyle w:val="Chapterheading"/>
      </w:pPr>
    </w:p>
    <w:p w:rsidR="007B71C9" w:rsidRPr="000879E2" w:rsidRDefault="007B71C9" w:rsidP="007B71C9">
      <w:pPr>
        <w:pStyle w:val="Chapterheading"/>
      </w:pPr>
      <w:bookmarkStart w:id="32" w:name="_Toc481578413"/>
      <w:r>
        <w:rPr>
          <w:caps w:val="0"/>
        </w:rPr>
        <w:t xml:space="preserve">Extract from special report </w:t>
      </w:r>
      <w:r w:rsidR="00BD7041">
        <w:rPr>
          <w:rFonts w:ascii="Courier New" w:hAnsi="Courier New" w:cs="Courier New"/>
          <w:caps w:val="0"/>
        </w:rPr>
        <w:t>­</w:t>
      </w:r>
      <w:r w:rsidR="00747721">
        <w:rPr>
          <w:caps w:val="0"/>
        </w:rPr>
        <w:t xml:space="preserve"> </w:t>
      </w:r>
      <w:r w:rsidRPr="00421CE6">
        <w:rPr>
          <w:i/>
          <w:caps w:val="0"/>
        </w:rPr>
        <w:t>Foreign trust disclosure rules</w:t>
      </w:r>
      <w:r>
        <w:rPr>
          <w:rStyle w:val="FootnoteReference"/>
          <w:caps w:val="0"/>
        </w:rPr>
        <w:footnoteReference w:id="1"/>
      </w:r>
      <w:bookmarkEnd w:id="32"/>
    </w:p>
    <w:p w:rsidR="007B71C9" w:rsidRPr="004B0256" w:rsidRDefault="007B71C9" w:rsidP="007B71C9">
      <w:pPr>
        <w:rPr>
          <w:sz w:val="28"/>
          <w:szCs w:val="28"/>
        </w:rPr>
      </w:pPr>
    </w:p>
    <w:p w:rsidR="007B71C9" w:rsidRDefault="00C534B0" w:rsidP="007B71C9">
      <w:r>
        <w:t>“</w:t>
      </w:r>
      <w:r w:rsidR="007B71C9">
        <w:t>An ongoing requirement for the contact trustee following the registration of a foreign trust is to prepare an annual return for the foreign trust and send it to the Commissioner of Inland Revenue.  This is set out in new section 59D [of the Tax Administration Act 1994].</w:t>
      </w:r>
    </w:p>
    <w:p w:rsidR="007B71C9" w:rsidRDefault="007B71C9" w:rsidP="007B71C9"/>
    <w:p w:rsidR="007B71C9" w:rsidRDefault="007B71C9" w:rsidP="007B71C9">
      <w:r>
        <w:t>Section 59D(2) states that the annual return must be in a form prescribed by the Commissioner of Inland Revenue and must include the following.</w:t>
      </w:r>
    </w:p>
    <w:p w:rsidR="007B71C9" w:rsidRDefault="007B71C9" w:rsidP="007B71C9"/>
    <w:tbl>
      <w:tblP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176"/>
        <w:gridCol w:w="5151"/>
      </w:tblGrid>
      <w:tr w:rsidR="007B71C9" w:rsidRPr="00AC4740" w:rsidTr="0089169A">
        <w:trPr>
          <w:cantSplit/>
          <w:tblHeader/>
        </w:trPr>
        <w:tc>
          <w:tcPr>
            <w:tcW w:w="4176" w:type="dxa"/>
            <w:shd w:val="clear" w:color="auto" w:fill="D9D9D9"/>
          </w:tcPr>
          <w:p w:rsidR="007B71C9" w:rsidRPr="0089169A" w:rsidRDefault="007B71C9" w:rsidP="0089169A">
            <w:pPr>
              <w:pStyle w:val="ListParagraph"/>
              <w:ind w:left="0"/>
              <w:contextualSpacing w:val="0"/>
              <w:rPr>
                <w:rFonts w:eastAsia="Times New Roman"/>
                <w:b/>
                <w:sz w:val="20"/>
                <w:szCs w:val="20"/>
              </w:rPr>
            </w:pPr>
            <w:r w:rsidRPr="0089169A">
              <w:rPr>
                <w:rFonts w:eastAsia="Times New Roman"/>
                <w:b/>
                <w:sz w:val="20"/>
                <w:szCs w:val="20"/>
              </w:rPr>
              <w:t>Information</w:t>
            </w:r>
          </w:p>
        </w:tc>
        <w:tc>
          <w:tcPr>
            <w:tcW w:w="5151" w:type="dxa"/>
            <w:shd w:val="clear" w:color="auto" w:fill="D9D9D9"/>
          </w:tcPr>
          <w:p w:rsidR="007B71C9" w:rsidRPr="0089169A" w:rsidRDefault="007B71C9" w:rsidP="0089169A">
            <w:pPr>
              <w:pStyle w:val="ListParagraph"/>
              <w:ind w:left="0"/>
              <w:contextualSpacing w:val="0"/>
              <w:rPr>
                <w:rFonts w:eastAsia="Times New Roman"/>
                <w:b/>
                <w:sz w:val="20"/>
                <w:szCs w:val="20"/>
              </w:rPr>
            </w:pPr>
            <w:r w:rsidRPr="0089169A">
              <w:rPr>
                <w:rFonts w:eastAsia="Times New Roman"/>
                <w:b/>
                <w:sz w:val="20"/>
                <w:szCs w:val="20"/>
              </w:rPr>
              <w:t>Detail</w:t>
            </w:r>
          </w:p>
        </w:tc>
      </w:tr>
      <w:tr w:rsidR="007B71C9" w:rsidRPr="00AC4740" w:rsidTr="0089169A">
        <w:trPr>
          <w:cantSplit/>
        </w:trPr>
        <w:tc>
          <w:tcPr>
            <w:tcW w:w="4176" w:type="dxa"/>
            <w:shd w:val="clear" w:color="auto" w:fill="auto"/>
          </w:tcPr>
          <w:p w:rsidR="007B71C9" w:rsidRPr="0089169A" w:rsidRDefault="007B71C9" w:rsidP="0089169A">
            <w:pPr>
              <w:pStyle w:val="ListParagraph"/>
              <w:ind w:left="0"/>
              <w:contextualSpacing w:val="0"/>
              <w:rPr>
                <w:rFonts w:eastAsia="Times New Roman"/>
                <w:sz w:val="20"/>
                <w:szCs w:val="20"/>
              </w:rPr>
            </w:pPr>
            <w:r w:rsidRPr="0089169A">
              <w:rPr>
                <w:rFonts w:eastAsia="Times New Roman"/>
                <w:sz w:val="20"/>
                <w:szCs w:val="20"/>
              </w:rPr>
              <w:t>Financial statements for the trust for the return year (section 59D(2)(a)).</w:t>
            </w:r>
          </w:p>
        </w:tc>
        <w:tc>
          <w:tcPr>
            <w:tcW w:w="5151" w:type="dxa"/>
            <w:shd w:val="clear" w:color="auto" w:fill="auto"/>
          </w:tcPr>
          <w:p w:rsidR="007B71C9" w:rsidRPr="0089169A" w:rsidRDefault="007B71C9" w:rsidP="0089169A">
            <w:pPr>
              <w:pStyle w:val="ListParagraph"/>
              <w:ind w:left="0"/>
              <w:contextualSpacing w:val="0"/>
              <w:rPr>
                <w:rFonts w:eastAsia="Times New Roman"/>
                <w:sz w:val="20"/>
                <w:szCs w:val="20"/>
              </w:rPr>
            </w:pPr>
            <w:r w:rsidRPr="0089169A">
              <w:rPr>
                <w:rFonts w:eastAsia="Times New Roman"/>
                <w:sz w:val="20"/>
                <w:szCs w:val="20"/>
              </w:rPr>
              <w:t>If the trustee prepares financial statements or is required to prepare financial statements.</w:t>
            </w:r>
          </w:p>
        </w:tc>
      </w:tr>
      <w:tr w:rsidR="007B71C9" w:rsidRPr="00AC4740" w:rsidTr="0089169A">
        <w:trPr>
          <w:cantSplit/>
        </w:trPr>
        <w:tc>
          <w:tcPr>
            <w:tcW w:w="4176" w:type="dxa"/>
            <w:shd w:val="clear" w:color="auto" w:fill="auto"/>
          </w:tcPr>
          <w:p w:rsidR="007B71C9" w:rsidRPr="0089169A" w:rsidRDefault="007B71C9" w:rsidP="0089169A">
            <w:pPr>
              <w:pStyle w:val="ListParagraph"/>
              <w:ind w:left="0"/>
              <w:contextualSpacing w:val="0"/>
              <w:rPr>
                <w:rFonts w:eastAsia="Times New Roman"/>
                <w:sz w:val="20"/>
                <w:szCs w:val="20"/>
              </w:rPr>
            </w:pPr>
            <w:r w:rsidRPr="0089169A">
              <w:rPr>
                <w:rFonts w:eastAsia="Times New Roman"/>
                <w:sz w:val="20"/>
                <w:szCs w:val="20"/>
              </w:rPr>
              <w:t>Settlements made on the trust in the return year, excluding the provision of minor services incidental to the activities of the trust (section 59D(2)(b) and (c)).</w:t>
            </w:r>
          </w:p>
        </w:tc>
        <w:tc>
          <w:tcPr>
            <w:tcW w:w="5151" w:type="dxa"/>
            <w:shd w:val="clear" w:color="auto" w:fill="auto"/>
          </w:tcPr>
          <w:p w:rsidR="007B71C9" w:rsidRPr="0089169A" w:rsidRDefault="007B71C9" w:rsidP="0089169A">
            <w:pPr>
              <w:rPr>
                <w:rFonts w:eastAsia="Times New Roman"/>
                <w:sz w:val="20"/>
                <w:szCs w:val="20"/>
              </w:rPr>
            </w:pPr>
            <w:r w:rsidRPr="0089169A">
              <w:rPr>
                <w:rFonts w:eastAsia="Times New Roman"/>
                <w:sz w:val="20"/>
                <w:szCs w:val="20"/>
              </w:rPr>
              <w:t>Each settlement:</w:t>
            </w:r>
          </w:p>
          <w:p w:rsidR="007B71C9" w:rsidRPr="0089169A" w:rsidRDefault="007B71C9" w:rsidP="004B3659">
            <w:pPr>
              <w:pStyle w:val="ListParagraph"/>
              <w:numPr>
                <w:ilvl w:val="0"/>
                <w:numId w:val="8"/>
              </w:numPr>
              <w:ind w:left="360"/>
              <w:contextualSpacing w:val="0"/>
              <w:jc w:val="left"/>
              <w:rPr>
                <w:rFonts w:eastAsia="Times New Roman"/>
                <w:sz w:val="20"/>
                <w:szCs w:val="20"/>
              </w:rPr>
            </w:pPr>
            <w:r w:rsidRPr="0089169A">
              <w:rPr>
                <w:rFonts w:eastAsia="Times New Roman"/>
                <w:sz w:val="20"/>
                <w:szCs w:val="20"/>
              </w:rPr>
              <w:t>date</w:t>
            </w:r>
          </w:p>
          <w:p w:rsidR="007B71C9" w:rsidRPr="0089169A" w:rsidRDefault="007B71C9" w:rsidP="004B3659">
            <w:pPr>
              <w:pStyle w:val="ListParagraph"/>
              <w:numPr>
                <w:ilvl w:val="0"/>
                <w:numId w:val="8"/>
              </w:numPr>
              <w:ind w:left="360"/>
              <w:contextualSpacing w:val="0"/>
              <w:jc w:val="left"/>
              <w:rPr>
                <w:rFonts w:eastAsia="Times New Roman"/>
                <w:sz w:val="20"/>
                <w:szCs w:val="20"/>
              </w:rPr>
            </w:pPr>
            <w:r w:rsidRPr="0089169A">
              <w:rPr>
                <w:rFonts w:eastAsia="Times New Roman"/>
                <w:sz w:val="20"/>
                <w:szCs w:val="20"/>
              </w:rPr>
              <w:t>nature</w:t>
            </w:r>
          </w:p>
          <w:p w:rsidR="007B71C9" w:rsidRPr="0089169A" w:rsidRDefault="007B71C9" w:rsidP="004B3659">
            <w:pPr>
              <w:pStyle w:val="ListParagraph"/>
              <w:numPr>
                <w:ilvl w:val="0"/>
                <w:numId w:val="8"/>
              </w:numPr>
              <w:ind w:left="360"/>
              <w:contextualSpacing w:val="0"/>
              <w:jc w:val="left"/>
              <w:rPr>
                <w:rFonts w:eastAsia="Times New Roman"/>
                <w:sz w:val="20"/>
                <w:szCs w:val="20"/>
              </w:rPr>
            </w:pPr>
            <w:r w:rsidRPr="0089169A">
              <w:rPr>
                <w:rFonts w:eastAsia="Times New Roman"/>
                <w:sz w:val="20"/>
                <w:szCs w:val="20"/>
              </w:rPr>
              <w:t>amount</w:t>
            </w:r>
          </w:p>
          <w:p w:rsidR="007B71C9" w:rsidRPr="0089169A" w:rsidRDefault="007B71C9" w:rsidP="004B3659">
            <w:pPr>
              <w:pStyle w:val="ListParagraph"/>
              <w:numPr>
                <w:ilvl w:val="0"/>
                <w:numId w:val="8"/>
              </w:numPr>
              <w:ind w:left="360"/>
              <w:contextualSpacing w:val="0"/>
              <w:jc w:val="left"/>
              <w:rPr>
                <w:rFonts w:eastAsia="Times New Roman"/>
                <w:sz w:val="20"/>
                <w:szCs w:val="20"/>
              </w:rPr>
            </w:pPr>
            <w:r w:rsidRPr="0089169A">
              <w:rPr>
                <w:rFonts w:eastAsia="Times New Roman"/>
                <w:sz w:val="20"/>
                <w:szCs w:val="20"/>
              </w:rPr>
              <w:t>settlor’s name</w:t>
            </w:r>
          </w:p>
          <w:p w:rsidR="007B71C9" w:rsidRPr="0089169A" w:rsidRDefault="007B71C9" w:rsidP="004B3659">
            <w:pPr>
              <w:pStyle w:val="ListParagraph"/>
              <w:numPr>
                <w:ilvl w:val="0"/>
                <w:numId w:val="8"/>
              </w:numPr>
              <w:ind w:left="360"/>
              <w:contextualSpacing w:val="0"/>
              <w:jc w:val="left"/>
              <w:rPr>
                <w:rFonts w:eastAsia="Times New Roman"/>
                <w:sz w:val="20"/>
                <w:szCs w:val="20"/>
              </w:rPr>
            </w:pPr>
            <w:r w:rsidRPr="0089169A">
              <w:rPr>
                <w:rFonts w:eastAsia="Times New Roman"/>
                <w:sz w:val="20"/>
                <w:szCs w:val="20"/>
              </w:rPr>
              <w:t>settlor’s email address</w:t>
            </w:r>
          </w:p>
          <w:p w:rsidR="007B71C9" w:rsidRPr="0089169A" w:rsidRDefault="007B71C9" w:rsidP="004B3659">
            <w:pPr>
              <w:pStyle w:val="ListParagraph"/>
              <w:numPr>
                <w:ilvl w:val="0"/>
                <w:numId w:val="8"/>
              </w:numPr>
              <w:ind w:left="360"/>
              <w:contextualSpacing w:val="0"/>
              <w:jc w:val="left"/>
              <w:rPr>
                <w:rFonts w:eastAsia="Times New Roman"/>
                <w:sz w:val="20"/>
                <w:szCs w:val="20"/>
              </w:rPr>
            </w:pPr>
            <w:r w:rsidRPr="0089169A">
              <w:rPr>
                <w:rFonts w:eastAsia="Times New Roman"/>
                <w:sz w:val="20"/>
                <w:szCs w:val="20"/>
              </w:rPr>
              <w:t>settlor’s physical residential or business address</w:t>
            </w:r>
          </w:p>
          <w:p w:rsidR="007B71C9" w:rsidRPr="0089169A" w:rsidRDefault="007B71C9" w:rsidP="004B3659">
            <w:pPr>
              <w:pStyle w:val="ListParagraph"/>
              <w:numPr>
                <w:ilvl w:val="0"/>
                <w:numId w:val="8"/>
              </w:numPr>
              <w:ind w:left="360"/>
              <w:contextualSpacing w:val="0"/>
              <w:jc w:val="left"/>
              <w:rPr>
                <w:rFonts w:eastAsia="Times New Roman"/>
                <w:sz w:val="20"/>
                <w:szCs w:val="20"/>
              </w:rPr>
            </w:pPr>
            <w:r w:rsidRPr="0089169A">
              <w:rPr>
                <w:rFonts w:eastAsia="Times New Roman"/>
                <w:sz w:val="20"/>
                <w:szCs w:val="20"/>
              </w:rPr>
              <w:t>settlor’s jurisdiction of tax residence</w:t>
            </w:r>
          </w:p>
          <w:p w:rsidR="007B71C9" w:rsidRPr="0089169A" w:rsidRDefault="007B71C9" w:rsidP="004B3659">
            <w:pPr>
              <w:pStyle w:val="ListParagraph"/>
              <w:numPr>
                <w:ilvl w:val="0"/>
                <w:numId w:val="8"/>
              </w:numPr>
              <w:ind w:left="360"/>
              <w:contextualSpacing w:val="0"/>
              <w:jc w:val="left"/>
              <w:rPr>
                <w:rFonts w:eastAsia="Times New Roman"/>
                <w:sz w:val="20"/>
                <w:szCs w:val="20"/>
              </w:rPr>
            </w:pPr>
            <w:r w:rsidRPr="0089169A">
              <w:rPr>
                <w:rFonts w:eastAsia="Times New Roman"/>
                <w:sz w:val="20"/>
                <w:szCs w:val="20"/>
              </w:rPr>
              <w:t>settlor’s taxpayer identification number.</w:t>
            </w:r>
          </w:p>
        </w:tc>
      </w:tr>
      <w:tr w:rsidR="007B71C9" w:rsidRPr="00AC4740" w:rsidTr="0089169A">
        <w:trPr>
          <w:cantSplit/>
        </w:trPr>
        <w:tc>
          <w:tcPr>
            <w:tcW w:w="4176" w:type="dxa"/>
            <w:shd w:val="clear" w:color="auto" w:fill="auto"/>
          </w:tcPr>
          <w:p w:rsidR="007B71C9" w:rsidRPr="0089169A" w:rsidRDefault="007B71C9" w:rsidP="0089169A">
            <w:pPr>
              <w:pStyle w:val="ListParagraph"/>
              <w:ind w:left="0"/>
              <w:contextualSpacing w:val="0"/>
              <w:rPr>
                <w:rFonts w:eastAsia="Times New Roman"/>
                <w:sz w:val="20"/>
                <w:szCs w:val="20"/>
              </w:rPr>
            </w:pPr>
            <w:r w:rsidRPr="0089169A">
              <w:rPr>
                <w:rFonts w:eastAsia="Times New Roman"/>
                <w:sz w:val="20"/>
                <w:szCs w:val="20"/>
              </w:rPr>
              <w:t>Distributions to beneficiaries made during the return year (section 59D(2)(d) and (e)).</w:t>
            </w:r>
          </w:p>
        </w:tc>
        <w:tc>
          <w:tcPr>
            <w:tcW w:w="5151" w:type="dxa"/>
            <w:shd w:val="clear" w:color="auto" w:fill="auto"/>
          </w:tcPr>
          <w:p w:rsidR="007B71C9" w:rsidRPr="0089169A" w:rsidRDefault="007B71C9" w:rsidP="0089169A">
            <w:pPr>
              <w:pStyle w:val="ListParagraph"/>
              <w:ind w:left="0"/>
              <w:contextualSpacing w:val="0"/>
              <w:rPr>
                <w:rFonts w:eastAsia="Times New Roman"/>
                <w:sz w:val="20"/>
                <w:szCs w:val="20"/>
              </w:rPr>
            </w:pPr>
            <w:r w:rsidRPr="0089169A">
              <w:rPr>
                <w:rFonts w:eastAsia="Times New Roman"/>
                <w:sz w:val="20"/>
                <w:szCs w:val="20"/>
              </w:rPr>
              <w:t>Each distribution:</w:t>
            </w:r>
          </w:p>
          <w:p w:rsidR="007B71C9" w:rsidRPr="0089169A" w:rsidRDefault="007B71C9" w:rsidP="004B3659">
            <w:pPr>
              <w:pStyle w:val="ListParagraph"/>
              <w:numPr>
                <w:ilvl w:val="0"/>
                <w:numId w:val="8"/>
              </w:numPr>
              <w:ind w:left="360"/>
              <w:contextualSpacing w:val="0"/>
              <w:jc w:val="left"/>
              <w:rPr>
                <w:rFonts w:eastAsia="Times New Roman"/>
                <w:sz w:val="20"/>
                <w:szCs w:val="20"/>
              </w:rPr>
            </w:pPr>
            <w:r w:rsidRPr="0089169A">
              <w:rPr>
                <w:rFonts w:eastAsia="Times New Roman"/>
                <w:sz w:val="20"/>
                <w:szCs w:val="20"/>
              </w:rPr>
              <w:t>date</w:t>
            </w:r>
          </w:p>
          <w:p w:rsidR="007B71C9" w:rsidRPr="0089169A" w:rsidRDefault="007B71C9" w:rsidP="004B3659">
            <w:pPr>
              <w:pStyle w:val="ListParagraph"/>
              <w:numPr>
                <w:ilvl w:val="0"/>
                <w:numId w:val="8"/>
              </w:numPr>
              <w:ind w:left="360"/>
              <w:contextualSpacing w:val="0"/>
              <w:jc w:val="left"/>
              <w:rPr>
                <w:rFonts w:eastAsia="Times New Roman"/>
                <w:sz w:val="20"/>
                <w:szCs w:val="20"/>
              </w:rPr>
            </w:pPr>
            <w:r w:rsidRPr="0089169A">
              <w:rPr>
                <w:rFonts w:eastAsia="Times New Roman"/>
                <w:sz w:val="20"/>
                <w:szCs w:val="20"/>
              </w:rPr>
              <w:t>amount</w:t>
            </w:r>
          </w:p>
          <w:p w:rsidR="007B71C9" w:rsidRPr="0089169A" w:rsidRDefault="007B71C9" w:rsidP="004B3659">
            <w:pPr>
              <w:pStyle w:val="ListParagraph"/>
              <w:numPr>
                <w:ilvl w:val="0"/>
                <w:numId w:val="8"/>
              </w:numPr>
              <w:ind w:left="360"/>
              <w:contextualSpacing w:val="0"/>
              <w:jc w:val="left"/>
              <w:rPr>
                <w:rFonts w:eastAsia="Times New Roman"/>
                <w:sz w:val="20"/>
                <w:szCs w:val="20"/>
              </w:rPr>
            </w:pPr>
            <w:r w:rsidRPr="0089169A">
              <w:rPr>
                <w:rFonts w:eastAsia="Times New Roman"/>
                <w:sz w:val="20"/>
                <w:szCs w:val="20"/>
              </w:rPr>
              <w:t>nature</w:t>
            </w:r>
          </w:p>
          <w:p w:rsidR="007B71C9" w:rsidRPr="0089169A" w:rsidRDefault="007B71C9" w:rsidP="004B3659">
            <w:pPr>
              <w:pStyle w:val="ListParagraph"/>
              <w:numPr>
                <w:ilvl w:val="0"/>
                <w:numId w:val="8"/>
              </w:numPr>
              <w:ind w:left="360"/>
              <w:contextualSpacing w:val="0"/>
              <w:jc w:val="left"/>
              <w:rPr>
                <w:rFonts w:eastAsia="Times New Roman"/>
                <w:sz w:val="20"/>
                <w:szCs w:val="20"/>
              </w:rPr>
            </w:pPr>
            <w:r w:rsidRPr="0089169A">
              <w:rPr>
                <w:rFonts w:eastAsia="Times New Roman"/>
                <w:sz w:val="20"/>
                <w:szCs w:val="20"/>
              </w:rPr>
              <w:t>beneficiary’s name</w:t>
            </w:r>
          </w:p>
          <w:p w:rsidR="007B71C9" w:rsidRPr="0089169A" w:rsidRDefault="007B71C9" w:rsidP="004B3659">
            <w:pPr>
              <w:pStyle w:val="ListParagraph"/>
              <w:numPr>
                <w:ilvl w:val="0"/>
                <w:numId w:val="8"/>
              </w:numPr>
              <w:ind w:left="360"/>
              <w:contextualSpacing w:val="0"/>
              <w:jc w:val="left"/>
              <w:rPr>
                <w:rFonts w:eastAsia="Times New Roman"/>
                <w:sz w:val="20"/>
                <w:szCs w:val="20"/>
              </w:rPr>
            </w:pPr>
            <w:r w:rsidRPr="0089169A">
              <w:rPr>
                <w:rFonts w:eastAsia="Times New Roman"/>
                <w:sz w:val="20"/>
                <w:szCs w:val="20"/>
              </w:rPr>
              <w:t>beneficiary’s email address</w:t>
            </w:r>
          </w:p>
          <w:p w:rsidR="007B71C9" w:rsidRPr="0089169A" w:rsidRDefault="007B71C9" w:rsidP="004B3659">
            <w:pPr>
              <w:pStyle w:val="ListParagraph"/>
              <w:numPr>
                <w:ilvl w:val="0"/>
                <w:numId w:val="8"/>
              </w:numPr>
              <w:ind w:left="360"/>
              <w:contextualSpacing w:val="0"/>
              <w:jc w:val="left"/>
              <w:rPr>
                <w:rFonts w:eastAsia="Times New Roman"/>
                <w:sz w:val="20"/>
                <w:szCs w:val="20"/>
              </w:rPr>
            </w:pPr>
            <w:r w:rsidRPr="0089169A">
              <w:rPr>
                <w:rFonts w:eastAsia="Times New Roman"/>
                <w:sz w:val="20"/>
                <w:szCs w:val="20"/>
              </w:rPr>
              <w:t>beneficiary’s physical residential address</w:t>
            </w:r>
          </w:p>
          <w:p w:rsidR="007B71C9" w:rsidRPr="0089169A" w:rsidRDefault="007B71C9" w:rsidP="004B3659">
            <w:pPr>
              <w:pStyle w:val="ListParagraph"/>
              <w:numPr>
                <w:ilvl w:val="0"/>
                <w:numId w:val="8"/>
              </w:numPr>
              <w:ind w:left="360"/>
              <w:contextualSpacing w:val="0"/>
              <w:jc w:val="left"/>
              <w:rPr>
                <w:rFonts w:eastAsia="Times New Roman"/>
                <w:sz w:val="20"/>
                <w:szCs w:val="20"/>
              </w:rPr>
            </w:pPr>
            <w:r w:rsidRPr="0089169A">
              <w:rPr>
                <w:rFonts w:eastAsia="Times New Roman"/>
                <w:sz w:val="20"/>
                <w:szCs w:val="20"/>
              </w:rPr>
              <w:t>beneficiary’s jurisdiction of tax residence</w:t>
            </w:r>
          </w:p>
          <w:p w:rsidR="007B71C9" w:rsidRPr="0089169A" w:rsidRDefault="007B71C9" w:rsidP="004B3659">
            <w:pPr>
              <w:pStyle w:val="ListParagraph"/>
              <w:numPr>
                <w:ilvl w:val="0"/>
                <w:numId w:val="8"/>
              </w:numPr>
              <w:ind w:left="360"/>
              <w:contextualSpacing w:val="0"/>
              <w:jc w:val="left"/>
              <w:rPr>
                <w:rFonts w:eastAsia="Times New Roman"/>
                <w:sz w:val="20"/>
                <w:szCs w:val="20"/>
              </w:rPr>
            </w:pPr>
            <w:r w:rsidRPr="0089169A">
              <w:rPr>
                <w:rFonts w:eastAsia="Times New Roman"/>
                <w:sz w:val="20"/>
                <w:szCs w:val="20"/>
              </w:rPr>
              <w:t>beneficiary’s taxpayer identification number.</w:t>
            </w:r>
          </w:p>
          <w:p w:rsidR="007B71C9" w:rsidRPr="0089169A" w:rsidRDefault="007B71C9" w:rsidP="0089169A">
            <w:pPr>
              <w:pStyle w:val="ListParagraph"/>
              <w:ind w:left="360"/>
              <w:contextualSpacing w:val="0"/>
              <w:rPr>
                <w:rFonts w:eastAsia="Times New Roman"/>
                <w:sz w:val="20"/>
                <w:szCs w:val="20"/>
              </w:rPr>
            </w:pPr>
          </w:p>
          <w:p w:rsidR="007B71C9" w:rsidRPr="0089169A" w:rsidRDefault="007B71C9" w:rsidP="0089169A">
            <w:pPr>
              <w:rPr>
                <w:rFonts w:eastAsia="Times New Roman"/>
                <w:sz w:val="20"/>
                <w:szCs w:val="20"/>
              </w:rPr>
            </w:pPr>
            <w:r w:rsidRPr="0089169A">
              <w:rPr>
                <w:rFonts w:eastAsia="Times New Roman"/>
                <w:sz w:val="20"/>
                <w:szCs w:val="20"/>
              </w:rPr>
              <w:t>If the beneficiary is a minor:</w:t>
            </w:r>
          </w:p>
          <w:p w:rsidR="007B71C9" w:rsidRPr="0089169A" w:rsidRDefault="007B71C9" w:rsidP="004B3659">
            <w:pPr>
              <w:pStyle w:val="ListParagraph"/>
              <w:numPr>
                <w:ilvl w:val="0"/>
                <w:numId w:val="8"/>
              </w:numPr>
              <w:ind w:left="360"/>
              <w:contextualSpacing w:val="0"/>
              <w:jc w:val="left"/>
              <w:rPr>
                <w:rFonts w:eastAsia="Times New Roman"/>
                <w:sz w:val="20"/>
                <w:szCs w:val="20"/>
              </w:rPr>
            </w:pPr>
            <w:r w:rsidRPr="0089169A">
              <w:rPr>
                <w:rFonts w:eastAsia="Times New Roman"/>
                <w:sz w:val="20"/>
                <w:szCs w:val="20"/>
              </w:rPr>
              <w:t>minor’s age</w:t>
            </w:r>
          </w:p>
          <w:p w:rsidR="007B71C9" w:rsidRPr="0089169A" w:rsidRDefault="007B71C9" w:rsidP="004B3659">
            <w:pPr>
              <w:pStyle w:val="ListParagraph"/>
              <w:numPr>
                <w:ilvl w:val="0"/>
                <w:numId w:val="8"/>
              </w:numPr>
              <w:ind w:left="360"/>
              <w:contextualSpacing w:val="0"/>
              <w:jc w:val="left"/>
              <w:rPr>
                <w:rFonts w:eastAsia="Times New Roman"/>
                <w:sz w:val="20"/>
                <w:szCs w:val="20"/>
              </w:rPr>
            </w:pPr>
            <w:r w:rsidRPr="0089169A">
              <w:rPr>
                <w:rFonts w:eastAsia="Times New Roman"/>
                <w:sz w:val="20"/>
                <w:szCs w:val="20"/>
              </w:rPr>
              <w:t>minor’s jurisdiction of tax residence</w:t>
            </w:r>
          </w:p>
          <w:p w:rsidR="007B71C9" w:rsidRPr="0089169A" w:rsidRDefault="007B71C9" w:rsidP="004B3659">
            <w:pPr>
              <w:pStyle w:val="ListParagraph"/>
              <w:numPr>
                <w:ilvl w:val="0"/>
                <w:numId w:val="8"/>
              </w:numPr>
              <w:ind w:left="360"/>
              <w:contextualSpacing w:val="0"/>
              <w:jc w:val="left"/>
              <w:rPr>
                <w:rFonts w:eastAsia="Times New Roman"/>
                <w:sz w:val="20"/>
                <w:szCs w:val="20"/>
              </w:rPr>
            </w:pPr>
            <w:r w:rsidRPr="0089169A">
              <w:rPr>
                <w:rFonts w:eastAsia="Times New Roman"/>
                <w:sz w:val="20"/>
                <w:szCs w:val="20"/>
              </w:rPr>
              <w:t>minor’s taxpayer identification number</w:t>
            </w:r>
          </w:p>
          <w:p w:rsidR="007B71C9" w:rsidRPr="0089169A" w:rsidRDefault="007B71C9" w:rsidP="004B3659">
            <w:pPr>
              <w:pStyle w:val="ListParagraph"/>
              <w:numPr>
                <w:ilvl w:val="0"/>
                <w:numId w:val="8"/>
              </w:numPr>
              <w:ind w:left="360"/>
              <w:contextualSpacing w:val="0"/>
              <w:jc w:val="left"/>
              <w:rPr>
                <w:rFonts w:eastAsia="Times New Roman"/>
                <w:sz w:val="20"/>
                <w:szCs w:val="20"/>
              </w:rPr>
            </w:pPr>
            <w:r w:rsidRPr="0089169A">
              <w:rPr>
                <w:rFonts w:eastAsia="Times New Roman"/>
                <w:sz w:val="20"/>
                <w:szCs w:val="20"/>
              </w:rPr>
              <w:t>parent or guardian’s name</w:t>
            </w:r>
          </w:p>
          <w:p w:rsidR="007B71C9" w:rsidRPr="0089169A" w:rsidRDefault="007B71C9" w:rsidP="004B3659">
            <w:pPr>
              <w:pStyle w:val="ListParagraph"/>
              <w:numPr>
                <w:ilvl w:val="0"/>
                <w:numId w:val="8"/>
              </w:numPr>
              <w:ind w:left="360"/>
              <w:contextualSpacing w:val="0"/>
              <w:jc w:val="left"/>
              <w:rPr>
                <w:rFonts w:eastAsia="Times New Roman"/>
                <w:sz w:val="20"/>
                <w:szCs w:val="20"/>
              </w:rPr>
            </w:pPr>
            <w:r w:rsidRPr="0089169A">
              <w:rPr>
                <w:rFonts w:eastAsia="Times New Roman"/>
                <w:sz w:val="20"/>
                <w:szCs w:val="20"/>
              </w:rPr>
              <w:t>parent or guardian’s email address</w:t>
            </w:r>
          </w:p>
          <w:p w:rsidR="007B71C9" w:rsidRPr="0089169A" w:rsidRDefault="007B71C9" w:rsidP="004B3659">
            <w:pPr>
              <w:pStyle w:val="ListParagraph"/>
              <w:numPr>
                <w:ilvl w:val="0"/>
                <w:numId w:val="8"/>
              </w:numPr>
              <w:ind w:left="360"/>
              <w:contextualSpacing w:val="0"/>
              <w:jc w:val="left"/>
              <w:rPr>
                <w:rFonts w:eastAsia="Times New Roman"/>
                <w:sz w:val="20"/>
                <w:szCs w:val="20"/>
              </w:rPr>
            </w:pPr>
            <w:r w:rsidRPr="0089169A">
              <w:rPr>
                <w:rFonts w:eastAsia="Times New Roman"/>
                <w:sz w:val="20"/>
                <w:szCs w:val="20"/>
              </w:rPr>
              <w:t>parent or guardian’s physical residential address</w:t>
            </w:r>
          </w:p>
          <w:p w:rsidR="007B71C9" w:rsidRPr="0089169A" w:rsidRDefault="007B71C9" w:rsidP="004B3659">
            <w:pPr>
              <w:pStyle w:val="ListParagraph"/>
              <w:numPr>
                <w:ilvl w:val="0"/>
                <w:numId w:val="8"/>
              </w:numPr>
              <w:ind w:left="360"/>
              <w:contextualSpacing w:val="0"/>
              <w:jc w:val="left"/>
              <w:rPr>
                <w:rFonts w:eastAsia="Times New Roman"/>
                <w:sz w:val="20"/>
                <w:szCs w:val="20"/>
              </w:rPr>
            </w:pPr>
            <w:r w:rsidRPr="0089169A">
              <w:rPr>
                <w:rFonts w:eastAsia="Times New Roman"/>
                <w:sz w:val="20"/>
                <w:szCs w:val="20"/>
              </w:rPr>
              <w:t>parent or guardian’s jurisdiction of tax residence</w:t>
            </w:r>
          </w:p>
          <w:p w:rsidR="007B71C9" w:rsidRPr="0089169A" w:rsidRDefault="007B71C9" w:rsidP="004B3659">
            <w:pPr>
              <w:pStyle w:val="ListParagraph"/>
              <w:numPr>
                <w:ilvl w:val="0"/>
                <w:numId w:val="8"/>
              </w:numPr>
              <w:ind w:left="360"/>
              <w:contextualSpacing w:val="0"/>
              <w:jc w:val="left"/>
              <w:rPr>
                <w:rFonts w:eastAsia="Times New Roman"/>
                <w:sz w:val="20"/>
                <w:szCs w:val="20"/>
              </w:rPr>
            </w:pPr>
            <w:r w:rsidRPr="0089169A">
              <w:rPr>
                <w:rFonts w:eastAsia="Times New Roman"/>
                <w:sz w:val="20"/>
                <w:szCs w:val="20"/>
              </w:rPr>
              <w:t>parent or guardian’s taxpayer identification number.</w:t>
            </w:r>
          </w:p>
        </w:tc>
      </w:tr>
    </w:tbl>
    <w:p w:rsidR="007B71C9" w:rsidRDefault="007B71C9" w:rsidP="007B71C9">
      <w:pPr>
        <w:pStyle w:val="ListParagraph"/>
      </w:pPr>
    </w:p>
    <w:p w:rsidR="007B71C9" w:rsidRDefault="007B71C9" w:rsidP="007B71C9">
      <w:r>
        <w:t xml:space="preserve">At the time of registration, the contact trustee for a foreign trust must provide information about settlements made on the trust before the trust’s registration.  To ensure that the information held by the Commissioner of Inland Revenue is kept up to date, subsequent settlements must be reported in the annual return.  Consistent with the disclosure of historical settlements, information relating to the provision of minor services at less than market value that are incidental to the activities of the trust does not need to be provided.  Also see the section </w:t>
      </w:r>
      <w:r w:rsidR="00747721">
        <w:t>‘</w:t>
      </w:r>
      <w:r>
        <w:t>Information required on registration</w:t>
      </w:r>
      <w:r w:rsidR="00747721">
        <w:t>’</w:t>
      </w:r>
      <w:r>
        <w:t>.</w:t>
      </w:r>
    </w:p>
    <w:p w:rsidR="007B71C9" w:rsidRDefault="007B71C9" w:rsidP="007B71C9"/>
    <w:p w:rsidR="007B71C9" w:rsidRDefault="007B71C9" w:rsidP="007B71C9">
      <w:r>
        <w:t>Likewise, detailed information about distributions made during the return year need to be included in the annual return.  This includes identifying information about beneficiaries, in line with the information provided at the time of registration.</w:t>
      </w:r>
    </w:p>
    <w:p w:rsidR="007B71C9" w:rsidRDefault="007B71C9" w:rsidP="007B71C9"/>
    <w:p w:rsidR="007B71C9" w:rsidRPr="004361B9" w:rsidRDefault="007B71C9" w:rsidP="004361B9">
      <w:pPr>
        <w:rPr>
          <w:b/>
        </w:rPr>
      </w:pPr>
      <w:r w:rsidRPr="004361B9">
        <w:rPr>
          <w:b/>
        </w:rPr>
        <w:t>Financial statements</w:t>
      </w:r>
    </w:p>
    <w:p w:rsidR="007B71C9" w:rsidRPr="00543178" w:rsidRDefault="007B71C9" w:rsidP="007B71C9"/>
    <w:p w:rsidR="007B71C9" w:rsidRDefault="007B71C9" w:rsidP="007B71C9">
      <w:r>
        <w:t>As noted above, section 59D(2)(a) requires that if the trustee of a foreign trust prepares financial statements or is required to prepare financial statements, these must be provided with the annual return.  The intent is that even if a trust does not prepare financial statements for other purposes, they must prepare financial statements in order to meet their obligations under the foreign trust disclosure requirements.</w:t>
      </w:r>
    </w:p>
    <w:p w:rsidR="007B71C9" w:rsidRDefault="007B71C9" w:rsidP="007B71C9"/>
    <w:p w:rsidR="007B71C9" w:rsidRDefault="007B71C9" w:rsidP="007B71C9">
      <w:r>
        <w:t>An Order in Council will be made under section 21C of the Tax Administration Act 1994 to specify the minimum standards for financial statements for foreign trusts.  The Order in Council will make it clear for foreign trusts, including those that do not ordinarily prepare financial statements, what information must be provided.</w:t>
      </w:r>
    </w:p>
    <w:p w:rsidR="007B71C9" w:rsidRDefault="007B71C9" w:rsidP="007B71C9"/>
    <w:p w:rsidR="007B71C9" w:rsidRPr="004361B9" w:rsidRDefault="007B71C9" w:rsidP="004361B9">
      <w:pPr>
        <w:rPr>
          <w:b/>
        </w:rPr>
      </w:pPr>
      <w:r w:rsidRPr="004361B9">
        <w:rPr>
          <w:b/>
        </w:rPr>
        <w:t>Due dates</w:t>
      </w:r>
    </w:p>
    <w:p w:rsidR="007B71C9" w:rsidRDefault="007B71C9" w:rsidP="007B71C9"/>
    <w:p w:rsidR="007B71C9" w:rsidRDefault="007B71C9" w:rsidP="007B71C9">
      <w:r>
        <w:t>Section 59D(3) requires the annual return, including the financial statements, to be filed with the Commissioner of Inland Revenue within six months after the trust’s balance date, or by 30 September if the trust does not have a balance date (which is six months after the end of the tax year).  This should allow resident foreign trustees adequate time to gather required documentation and meet their obligations, as it is acknowledged that much of the information may be held overseas.</w:t>
      </w:r>
    </w:p>
    <w:p w:rsidR="007B71C9" w:rsidRDefault="007B71C9" w:rsidP="007B71C9"/>
    <w:p w:rsidR="007B71C9" w:rsidRDefault="007B71C9" w:rsidP="007B71C9">
      <w:r>
        <w:t>Annual returns must be provided for every year that includes a period which the foreign trust is registered, or is required to register under section 59B.  However, a transitional rule in 59D(1)(c) allows resident foreign trustees who become liable to register a trust on the date of enactment, to file returns only for years that begin after 31 March 2017.</w:t>
      </w:r>
    </w:p>
    <w:p w:rsidR="007B71C9" w:rsidRDefault="007B71C9" w:rsidP="007B71C9"/>
    <w:p w:rsidR="000159BB" w:rsidRPr="00212EAF" w:rsidRDefault="007B71C9" w:rsidP="00212EAF">
      <w:r w:rsidRPr="00A46B21">
        <w:t>No additional time is provided to non-professional trustees, or those with tax agents.</w:t>
      </w:r>
      <w:r w:rsidR="00C534B0">
        <w:t>”</w:t>
      </w:r>
    </w:p>
    <w:sectPr w:rsidR="000159BB" w:rsidRPr="00212EAF" w:rsidSect="004C7595">
      <w:headerReference w:type="even" r:id="rId12"/>
      <w:headerReference w:type="default" r:id="rId13"/>
      <w:footerReference w:type="default" r:id="rId14"/>
      <w:headerReference w:type="first" r:id="rId15"/>
      <w:pgSz w:w="11906" w:h="16838"/>
      <w:pgMar w:top="1440" w:right="1440" w:bottom="1440" w:left="1440" w:header="708" w:footer="708"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2"/>
    </wne:keymap>
    <wne:keymap wne:kcmPrimary="0232">
      <wne:acd wne:acdName="acd3"/>
    </wne:keymap>
    <wne:keymap wne:kcmPrimary="0431">
      <wne:acd wne:acdName="acd0"/>
    </wne:keymap>
    <wne:keymap wne:kcmPrimary="0432">
      <wne:acd wne:acdName="acd1"/>
    </wne:keymap>
    <wne:keymap wne:kcmPrimary="0433">
      <wne:acd wne:acdName="acd5"/>
    </wne:keymap>
    <wne:keymap wne:kcmPrimary="0434">
      <wne:acd wne:acdName="acd4"/>
    </wne:keymap>
  </wne:keymaps>
  <wne:toolbars>
    <wne:acdManifest>
      <wne:acdEntry wne:acdName="acd0"/>
      <wne:acdEntry wne:acdName="acd1"/>
      <wne:acdEntry wne:acdName="acd2"/>
      <wne:acdEntry wne:acdName="acd3"/>
      <wne:acdEntry wne:acdName="acd4"/>
      <wne:acdEntry wne:acdName="acd5"/>
    </wne:acdManifest>
  </wne:toolbars>
  <wne:acds>
    <wne:acd wne:argValue="AgBDAGgAYQBwAHQAZQByACAAMQA=" wne:acdName="acd0" wne:fciIndexBasedOn="0065"/>
    <wne:acd wne:argValue="AgBDAGgAYQBwAHQAZQByACAAMgA=" wne:acdName="acd1" wne:fciIndexBasedOn="0065"/>
    <wne:acd wne:argValue="AQAAAAEA" wne:acdName="acd2" wne:fciIndexBasedOn="0065"/>
    <wne:acd wne:argValue="AQAAAAIA" wne:acdName="acd3" wne:fciIndexBasedOn="0065"/>
    <wne:acd wne:argValue="AgBDAGgAYQBwAHQAZQByACAANAA=" wne:acdName="acd4" wne:fciIndexBasedOn="0065"/>
    <wne:acd wne:argValue="AgBDAGgAYQBwAHQAZQByACAAMw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34B" w:rsidRDefault="007D134B" w:rsidP="00141011">
      <w:r>
        <w:separator/>
      </w:r>
    </w:p>
  </w:endnote>
  <w:endnote w:type="continuationSeparator" w:id="0">
    <w:p w:rsidR="007D134B" w:rsidRDefault="007D134B" w:rsidP="00141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830" w:rsidRDefault="005F5830" w:rsidP="00175D07">
    <w:pPr>
      <w:pStyle w:val="Footer"/>
      <w:tabs>
        <w:tab w:val="clear" w:pos="4153"/>
      </w:tabs>
      <w:ind w:right="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830" w:rsidRPr="00403419" w:rsidRDefault="005F5830">
    <w:pPr>
      <w:pStyle w:val="Footer"/>
      <w:jc w:val="center"/>
      <w:rPr>
        <w:sz w:val="22"/>
        <w:szCs w:val="22"/>
      </w:rPr>
    </w:pPr>
  </w:p>
  <w:p w:rsidR="005F5830" w:rsidRDefault="005F58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830" w:rsidRPr="007848FC" w:rsidRDefault="005F5830" w:rsidP="007848FC">
    <w:pPr>
      <w:pStyle w:val="Footer"/>
      <w:jc w:val="center"/>
      <w:rPr>
        <w:sz w:val="22"/>
        <w:szCs w:val="22"/>
      </w:rPr>
    </w:pPr>
    <w:r w:rsidRPr="00403419">
      <w:rPr>
        <w:sz w:val="22"/>
        <w:szCs w:val="22"/>
      </w:rPr>
      <w:fldChar w:fldCharType="begin"/>
    </w:r>
    <w:r w:rsidRPr="00403419">
      <w:rPr>
        <w:sz w:val="22"/>
        <w:szCs w:val="22"/>
      </w:rPr>
      <w:instrText xml:space="preserve"> PAGE   \* MERGEFORMAT </w:instrText>
    </w:r>
    <w:r w:rsidRPr="00403419">
      <w:rPr>
        <w:sz w:val="22"/>
        <w:szCs w:val="22"/>
      </w:rPr>
      <w:fldChar w:fldCharType="separate"/>
    </w:r>
    <w:r w:rsidR="00626455">
      <w:rPr>
        <w:noProof/>
        <w:sz w:val="22"/>
        <w:szCs w:val="22"/>
      </w:rPr>
      <w:t>6</w:t>
    </w:r>
    <w:r w:rsidRPr="00403419">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34B" w:rsidRDefault="007D134B" w:rsidP="00141011">
      <w:r>
        <w:separator/>
      </w:r>
    </w:p>
  </w:footnote>
  <w:footnote w:type="continuationSeparator" w:id="0">
    <w:p w:rsidR="007D134B" w:rsidRDefault="007D134B" w:rsidP="00141011">
      <w:r>
        <w:continuationSeparator/>
      </w:r>
    </w:p>
  </w:footnote>
  <w:footnote w:id="1">
    <w:p w:rsidR="007B71C9" w:rsidRDefault="007B71C9">
      <w:pPr>
        <w:pStyle w:val="FootnoteText"/>
      </w:pPr>
      <w:r>
        <w:rPr>
          <w:rStyle w:val="FootnoteReference"/>
        </w:rPr>
        <w:footnoteRef/>
      </w:r>
      <w:r>
        <w:t xml:space="preserve"> </w:t>
      </w:r>
      <w:r w:rsidRPr="007B71C9">
        <w:rPr>
          <w:i/>
        </w:rPr>
        <w:t>Foreign trust disclosure rules</w:t>
      </w:r>
      <w:r>
        <w:t xml:space="preserve"> – </w:t>
      </w:r>
      <w:r w:rsidR="00B73B50">
        <w:t xml:space="preserve">pages 16 &amp; 17 of </w:t>
      </w:r>
      <w:r>
        <w:t xml:space="preserve">a special report published in March 2017 at </w:t>
      </w:r>
      <w:r w:rsidR="00B73B50">
        <w:t>taxpolicy.ird.govt.nz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830" w:rsidRDefault="005F58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830" w:rsidRDefault="005F58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830" w:rsidRDefault="005F58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6C17"/>
    <w:multiLevelType w:val="hybridMultilevel"/>
    <w:tmpl w:val="169843BE"/>
    <w:lvl w:ilvl="0" w:tplc="E6D4D8F6">
      <w:start w:val="1"/>
      <w:numFmt w:val="decimal"/>
      <w:pStyle w:val="Chapter4"/>
      <w:lvlText w:val="4.%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64C3F4C"/>
    <w:multiLevelType w:val="hybridMultilevel"/>
    <w:tmpl w:val="14B0FB50"/>
    <w:lvl w:ilvl="0" w:tplc="14090017">
      <w:start w:val="1"/>
      <w:numFmt w:val="lowerLetter"/>
      <w:lvlText w:val="%1)"/>
      <w:lvlJc w:val="left"/>
      <w:pPr>
        <w:tabs>
          <w:tab w:val="num" w:pos="567"/>
        </w:tabs>
        <w:ind w:left="1418" w:hanging="567"/>
      </w:pPr>
      <w:rPr>
        <w:rFonts w:hint="default"/>
        <w:b w:val="0"/>
        <w:i w:val="0"/>
        <w:sz w:val="24"/>
        <w:szCs w:val="24"/>
      </w:rPr>
    </w:lvl>
    <w:lvl w:ilvl="1" w:tplc="0C090019">
      <w:start w:val="1"/>
      <w:numFmt w:val="bullet"/>
      <w:lvlText w:val="o"/>
      <w:lvlJc w:val="left"/>
      <w:pPr>
        <w:tabs>
          <w:tab w:val="num" w:pos="1440"/>
        </w:tabs>
        <w:ind w:left="1440" w:hanging="360"/>
      </w:pPr>
      <w:rPr>
        <w:rFonts w:ascii="Courier New" w:hAnsi="Courier New" w:cs="Courier New" w:hint="default"/>
      </w:rPr>
    </w:lvl>
    <w:lvl w:ilvl="2" w:tplc="0C09001B">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
    <w:nsid w:val="06FA50DD"/>
    <w:multiLevelType w:val="hybridMultilevel"/>
    <w:tmpl w:val="DB5CE696"/>
    <w:lvl w:ilvl="0" w:tplc="14090013">
      <w:start w:val="1"/>
      <w:numFmt w:val="upperRoman"/>
      <w:lvlText w:val="%1."/>
      <w:lvlJc w:val="right"/>
      <w:pPr>
        <w:tabs>
          <w:tab w:val="num" w:pos="567"/>
        </w:tabs>
        <w:ind w:left="1418" w:hanging="567"/>
      </w:pPr>
      <w:rPr>
        <w:rFonts w:hint="default"/>
        <w:b w:val="0"/>
        <w:i w:val="0"/>
        <w:sz w:val="24"/>
        <w:szCs w:val="24"/>
      </w:rPr>
    </w:lvl>
    <w:lvl w:ilvl="1" w:tplc="0C090019">
      <w:start w:val="1"/>
      <w:numFmt w:val="bullet"/>
      <w:lvlText w:val="o"/>
      <w:lvlJc w:val="left"/>
      <w:pPr>
        <w:tabs>
          <w:tab w:val="num" w:pos="1440"/>
        </w:tabs>
        <w:ind w:left="1440" w:hanging="360"/>
      </w:pPr>
      <w:rPr>
        <w:rFonts w:ascii="Courier New" w:hAnsi="Courier New" w:cs="Courier New" w:hint="default"/>
      </w:rPr>
    </w:lvl>
    <w:lvl w:ilvl="2" w:tplc="0C09001B">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3">
    <w:nsid w:val="08183F57"/>
    <w:multiLevelType w:val="hybridMultilevel"/>
    <w:tmpl w:val="B4049F24"/>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0BEE5837"/>
    <w:multiLevelType w:val="hybridMultilevel"/>
    <w:tmpl w:val="0896BFCC"/>
    <w:lvl w:ilvl="0" w:tplc="1409001B">
      <w:start w:val="1"/>
      <w:numFmt w:val="lowerRoman"/>
      <w:lvlText w:val="%1."/>
      <w:lvlJc w:val="right"/>
      <w:pPr>
        <w:tabs>
          <w:tab w:val="num" w:pos="567"/>
        </w:tabs>
        <w:ind w:left="1418" w:hanging="567"/>
      </w:pPr>
      <w:rPr>
        <w:rFonts w:hint="default"/>
        <w:b w:val="0"/>
        <w:i w:val="0"/>
        <w:sz w:val="24"/>
        <w:szCs w:val="24"/>
      </w:rPr>
    </w:lvl>
    <w:lvl w:ilvl="1" w:tplc="0C090019">
      <w:start w:val="1"/>
      <w:numFmt w:val="bullet"/>
      <w:lvlText w:val="o"/>
      <w:lvlJc w:val="left"/>
      <w:pPr>
        <w:tabs>
          <w:tab w:val="num" w:pos="1440"/>
        </w:tabs>
        <w:ind w:left="1440" w:hanging="360"/>
      </w:pPr>
      <w:rPr>
        <w:rFonts w:ascii="Courier New" w:hAnsi="Courier New" w:cs="Courier New" w:hint="default"/>
      </w:rPr>
    </w:lvl>
    <w:lvl w:ilvl="2" w:tplc="0C09001B">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5">
    <w:nsid w:val="10B76092"/>
    <w:multiLevelType w:val="hybridMultilevel"/>
    <w:tmpl w:val="F7F0331E"/>
    <w:lvl w:ilvl="0" w:tplc="AFD64C14">
      <w:start w:val="1"/>
      <w:numFmt w:val="decimal"/>
      <w:pStyle w:val="Chapter1"/>
      <w:lvlText w:val="1.%1"/>
      <w:lvlJc w:val="left"/>
      <w:pPr>
        <w:tabs>
          <w:tab w:val="num" w:pos="851"/>
        </w:tabs>
        <w:ind w:left="851" w:hanging="85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0D85618"/>
    <w:multiLevelType w:val="hybridMultilevel"/>
    <w:tmpl w:val="7A5227F8"/>
    <w:lvl w:ilvl="0" w:tplc="1409001B">
      <w:start w:val="1"/>
      <w:numFmt w:val="lowerRoman"/>
      <w:lvlText w:val="%1."/>
      <w:lvlJc w:val="right"/>
      <w:pPr>
        <w:ind w:left="1636" w:hanging="360"/>
      </w:pPr>
      <w:rPr>
        <w:rFonts w:hint="default"/>
      </w:rPr>
    </w:lvl>
    <w:lvl w:ilvl="1" w:tplc="14090019" w:tentative="1">
      <w:start w:val="1"/>
      <w:numFmt w:val="lowerLetter"/>
      <w:lvlText w:val="%2."/>
      <w:lvlJc w:val="left"/>
      <w:pPr>
        <w:ind w:left="2356" w:hanging="360"/>
      </w:pPr>
    </w:lvl>
    <w:lvl w:ilvl="2" w:tplc="1409001B" w:tentative="1">
      <w:start w:val="1"/>
      <w:numFmt w:val="lowerRoman"/>
      <w:lvlText w:val="%3."/>
      <w:lvlJc w:val="right"/>
      <w:pPr>
        <w:ind w:left="3076" w:hanging="180"/>
      </w:pPr>
    </w:lvl>
    <w:lvl w:ilvl="3" w:tplc="1409000F" w:tentative="1">
      <w:start w:val="1"/>
      <w:numFmt w:val="decimal"/>
      <w:lvlText w:val="%4."/>
      <w:lvlJc w:val="left"/>
      <w:pPr>
        <w:ind w:left="3796" w:hanging="360"/>
      </w:pPr>
    </w:lvl>
    <w:lvl w:ilvl="4" w:tplc="14090019" w:tentative="1">
      <w:start w:val="1"/>
      <w:numFmt w:val="lowerLetter"/>
      <w:lvlText w:val="%5."/>
      <w:lvlJc w:val="left"/>
      <w:pPr>
        <w:ind w:left="4516" w:hanging="360"/>
      </w:pPr>
    </w:lvl>
    <w:lvl w:ilvl="5" w:tplc="1409001B" w:tentative="1">
      <w:start w:val="1"/>
      <w:numFmt w:val="lowerRoman"/>
      <w:lvlText w:val="%6."/>
      <w:lvlJc w:val="right"/>
      <w:pPr>
        <w:ind w:left="5236" w:hanging="180"/>
      </w:pPr>
    </w:lvl>
    <w:lvl w:ilvl="6" w:tplc="1409000F" w:tentative="1">
      <w:start w:val="1"/>
      <w:numFmt w:val="decimal"/>
      <w:lvlText w:val="%7."/>
      <w:lvlJc w:val="left"/>
      <w:pPr>
        <w:ind w:left="5956" w:hanging="360"/>
      </w:pPr>
    </w:lvl>
    <w:lvl w:ilvl="7" w:tplc="14090019" w:tentative="1">
      <w:start w:val="1"/>
      <w:numFmt w:val="lowerLetter"/>
      <w:lvlText w:val="%8."/>
      <w:lvlJc w:val="left"/>
      <w:pPr>
        <w:ind w:left="6676" w:hanging="360"/>
      </w:pPr>
    </w:lvl>
    <w:lvl w:ilvl="8" w:tplc="1409001B" w:tentative="1">
      <w:start w:val="1"/>
      <w:numFmt w:val="lowerRoman"/>
      <w:lvlText w:val="%9."/>
      <w:lvlJc w:val="right"/>
      <w:pPr>
        <w:ind w:left="7396" w:hanging="180"/>
      </w:pPr>
    </w:lvl>
  </w:abstractNum>
  <w:abstractNum w:abstractNumId="7">
    <w:nsid w:val="15ED6A9E"/>
    <w:multiLevelType w:val="hybridMultilevel"/>
    <w:tmpl w:val="7A5227F8"/>
    <w:lvl w:ilvl="0" w:tplc="1409001B">
      <w:start w:val="1"/>
      <w:numFmt w:val="lowerRoman"/>
      <w:lvlText w:val="%1."/>
      <w:lvlJc w:val="right"/>
      <w:pPr>
        <w:ind w:left="1636" w:hanging="360"/>
      </w:pPr>
      <w:rPr>
        <w:rFonts w:hint="default"/>
      </w:rPr>
    </w:lvl>
    <w:lvl w:ilvl="1" w:tplc="14090019" w:tentative="1">
      <w:start w:val="1"/>
      <w:numFmt w:val="lowerLetter"/>
      <w:lvlText w:val="%2."/>
      <w:lvlJc w:val="left"/>
      <w:pPr>
        <w:ind w:left="2356" w:hanging="360"/>
      </w:pPr>
    </w:lvl>
    <w:lvl w:ilvl="2" w:tplc="1409001B" w:tentative="1">
      <w:start w:val="1"/>
      <w:numFmt w:val="lowerRoman"/>
      <w:lvlText w:val="%3."/>
      <w:lvlJc w:val="right"/>
      <w:pPr>
        <w:ind w:left="3076" w:hanging="180"/>
      </w:pPr>
    </w:lvl>
    <w:lvl w:ilvl="3" w:tplc="1409000F" w:tentative="1">
      <w:start w:val="1"/>
      <w:numFmt w:val="decimal"/>
      <w:lvlText w:val="%4."/>
      <w:lvlJc w:val="left"/>
      <w:pPr>
        <w:ind w:left="3796" w:hanging="360"/>
      </w:pPr>
    </w:lvl>
    <w:lvl w:ilvl="4" w:tplc="14090019" w:tentative="1">
      <w:start w:val="1"/>
      <w:numFmt w:val="lowerLetter"/>
      <w:lvlText w:val="%5."/>
      <w:lvlJc w:val="left"/>
      <w:pPr>
        <w:ind w:left="4516" w:hanging="360"/>
      </w:pPr>
    </w:lvl>
    <w:lvl w:ilvl="5" w:tplc="1409001B" w:tentative="1">
      <w:start w:val="1"/>
      <w:numFmt w:val="lowerRoman"/>
      <w:lvlText w:val="%6."/>
      <w:lvlJc w:val="right"/>
      <w:pPr>
        <w:ind w:left="5236" w:hanging="180"/>
      </w:pPr>
    </w:lvl>
    <w:lvl w:ilvl="6" w:tplc="1409000F" w:tentative="1">
      <w:start w:val="1"/>
      <w:numFmt w:val="decimal"/>
      <w:lvlText w:val="%7."/>
      <w:lvlJc w:val="left"/>
      <w:pPr>
        <w:ind w:left="5956" w:hanging="360"/>
      </w:pPr>
    </w:lvl>
    <w:lvl w:ilvl="7" w:tplc="14090019" w:tentative="1">
      <w:start w:val="1"/>
      <w:numFmt w:val="lowerLetter"/>
      <w:lvlText w:val="%8."/>
      <w:lvlJc w:val="left"/>
      <w:pPr>
        <w:ind w:left="6676" w:hanging="360"/>
      </w:pPr>
    </w:lvl>
    <w:lvl w:ilvl="8" w:tplc="1409001B" w:tentative="1">
      <w:start w:val="1"/>
      <w:numFmt w:val="lowerRoman"/>
      <w:lvlText w:val="%9."/>
      <w:lvlJc w:val="right"/>
      <w:pPr>
        <w:ind w:left="7396" w:hanging="180"/>
      </w:pPr>
    </w:lvl>
  </w:abstractNum>
  <w:abstractNum w:abstractNumId="8">
    <w:nsid w:val="192E2B11"/>
    <w:multiLevelType w:val="hybridMultilevel"/>
    <w:tmpl w:val="E05231D6"/>
    <w:lvl w:ilvl="0" w:tplc="BBD08EA2">
      <w:start w:val="1"/>
      <w:numFmt w:val="lowerLetter"/>
      <w:lvlText w:val="(%1)"/>
      <w:lvlJc w:val="left"/>
      <w:pPr>
        <w:ind w:left="1279" w:hanging="570"/>
      </w:pPr>
      <w:rPr>
        <w:rFonts w:hint="default"/>
      </w:rPr>
    </w:lvl>
    <w:lvl w:ilvl="1" w:tplc="14090019">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9">
    <w:nsid w:val="1DC37972"/>
    <w:multiLevelType w:val="singleLevel"/>
    <w:tmpl w:val="C01EC806"/>
    <w:lvl w:ilvl="0">
      <w:start w:val="1"/>
      <w:numFmt w:val="decimal"/>
      <w:pStyle w:val="Chapter2"/>
      <w:lvlText w:val="2.%1"/>
      <w:lvlJc w:val="left"/>
      <w:pPr>
        <w:tabs>
          <w:tab w:val="num" w:pos="851"/>
        </w:tabs>
        <w:ind w:left="851" w:hanging="851"/>
      </w:pPr>
      <w:rPr>
        <w:rFonts w:hint="default"/>
      </w:rPr>
    </w:lvl>
  </w:abstractNum>
  <w:abstractNum w:abstractNumId="10">
    <w:nsid w:val="1F856E30"/>
    <w:multiLevelType w:val="hybridMultilevel"/>
    <w:tmpl w:val="D84C9D68"/>
    <w:lvl w:ilvl="0" w:tplc="14090017">
      <w:start w:val="1"/>
      <w:numFmt w:val="lowerLetter"/>
      <w:lvlText w:val="%1)"/>
      <w:lvlJc w:val="left"/>
      <w:pPr>
        <w:tabs>
          <w:tab w:val="num" w:pos="567"/>
        </w:tabs>
        <w:ind w:left="1418" w:hanging="567"/>
      </w:pPr>
      <w:rPr>
        <w:rFonts w:hint="default"/>
        <w:b w:val="0"/>
        <w:i w:val="0"/>
        <w:sz w:val="24"/>
        <w:szCs w:val="24"/>
      </w:rPr>
    </w:lvl>
    <w:lvl w:ilvl="1" w:tplc="0C090019">
      <w:start w:val="1"/>
      <w:numFmt w:val="bullet"/>
      <w:lvlText w:val="o"/>
      <w:lvlJc w:val="left"/>
      <w:pPr>
        <w:tabs>
          <w:tab w:val="num" w:pos="1440"/>
        </w:tabs>
        <w:ind w:left="1440" w:hanging="360"/>
      </w:pPr>
      <w:rPr>
        <w:rFonts w:ascii="Courier New" w:hAnsi="Courier New" w:cs="Courier New" w:hint="default"/>
      </w:rPr>
    </w:lvl>
    <w:lvl w:ilvl="2" w:tplc="0C09001B">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1">
    <w:nsid w:val="23A24144"/>
    <w:multiLevelType w:val="multilevel"/>
    <w:tmpl w:val="BE9A9FC6"/>
    <w:styleLink w:val="Style1"/>
    <w:lvl w:ilvl="0">
      <w:start w:val="1"/>
      <w:numFmt w:val="decimal"/>
      <w:lvlText w:val="3.%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5695DBD"/>
    <w:multiLevelType w:val="hybridMultilevel"/>
    <w:tmpl w:val="B24EEC6C"/>
    <w:lvl w:ilvl="0" w:tplc="1409001B">
      <w:start w:val="1"/>
      <w:numFmt w:val="lowerRoman"/>
      <w:lvlText w:val="%1."/>
      <w:lvlJc w:val="right"/>
      <w:pPr>
        <w:tabs>
          <w:tab w:val="num" w:pos="567"/>
        </w:tabs>
        <w:ind w:left="1418" w:hanging="567"/>
      </w:pPr>
      <w:rPr>
        <w:rFonts w:hint="default"/>
        <w:b w:val="0"/>
        <w:i w:val="0"/>
        <w:sz w:val="24"/>
        <w:szCs w:val="24"/>
      </w:rPr>
    </w:lvl>
    <w:lvl w:ilvl="1" w:tplc="0C090019">
      <w:start w:val="1"/>
      <w:numFmt w:val="bullet"/>
      <w:lvlText w:val="o"/>
      <w:lvlJc w:val="left"/>
      <w:pPr>
        <w:tabs>
          <w:tab w:val="num" w:pos="1440"/>
        </w:tabs>
        <w:ind w:left="1440" w:hanging="360"/>
      </w:pPr>
      <w:rPr>
        <w:rFonts w:ascii="Courier New" w:hAnsi="Courier New" w:cs="Courier New" w:hint="default"/>
      </w:rPr>
    </w:lvl>
    <w:lvl w:ilvl="2" w:tplc="0C09001B">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3">
    <w:nsid w:val="2C78285E"/>
    <w:multiLevelType w:val="hybridMultilevel"/>
    <w:tmpl w:val="B1EC447A"/>
    <w:lvl w:ilvl="0" w:tplc="1409001B">
      <w:start w:val="1"/>
      <w:numFmt w:val="lowerRoman"/>
      <w:lvlText w:val="%1."/>
      <w:lvlJc w:val="right"/>
      <w:pPr>
        <w:tabs>
          <w:tab w:val="num" w:pos="567"/>
        </w:tabs>
        <w:ind w:left="1418" w:hanging="567"/>
      </w:pPr>
      <w:rPr>
        <w:rFonts w:hint="default"/>
        <w:b w:val="0"/>
        <w:i w:val="0"/>
        <w:sz w:val="24"/>
        <w:szCs w:val="24"/>
      </w:rPr>
    </w:lvl>
    <w:lvl w:ilvl="1" w:tplc="0C090019">
      <w:start w:val="1"/>
      <w:numFmt w:val="bullet"/>
      <w:lvlText w:val="o"/>
      <w:lvlJc w:val="left"/>
      <w:pPr>
        <w:tabs>
          <w:tab w:val="num" w:pos="1440"/>
        </w:tabs>
        <w:ind w:left="1440" w:hanging="360"/>
      </w:pPr>
      <w:rPr>
        <w:rFonts w:ascii="Courier New" w:hAnsi="Courier New" w:cs="Courier New" w:hint="default"/>
      </w:rPr>
    </w:lvl>
    <w:lvl w:ilvl="2" w:tplc="0C09001B">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4">
    <w:nsid w:val="3A964BCE"/>
    <w:multiLevelType w:val="hybridMultilevel"/>
    <w:tmpl w:val="C0DAE7D2"/>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nsid w:val="46864BCC"/>
    <w:multiLevelType w:val="hybridMultilevel"/>
    <w:tmpl w:val="DBA61B5A"/>
    <w:lvl w:ilvl="0" w:tplc="EAE03988">
      <w:start w:val="1"/>
      <w:numFmt w:val="bullet"/>
      <w:pStyle w:val="Bullets"/>
      <w:lvlText w:val=""/>
      <w:lvlJc w:val="left"/>
      <w:pPr>
        <w:tabs>
          <w:tab w:val="num" w:pos="567"/>
        </w:tabs>
        <w:ind w:left="1418" w:hanging="567"/>
      </w:pPr>
      <w:rPr>
        <w:rFonts w:ascii="Symbol" w:hAnsi="Symbol" w:hint="default"/>
        <w:b w:val="0"/>
        <w:i w:val="0"/>
        <w:sz w:val="24"/>
        <w:szCs w:val="24"/>
      </w:rPr>
    </w:lvl>
    <w:lvl w:ilvl="1" w:tplc="0C090019">
      <w:start w:val="1"/>
      <w:numFmt w:val="bullet"/>
      <w:lvlText w:val="o"/>
      <w:lvlJc w:val="left"/>
      <w:pPr>
        <w:tabs>
          <w:tab w:val="num" w:pos="1440"/>
        </w:tabs>
        <w:ind w:left="1440" w:hanging="360"/>
      </w:pPr>
      <w:rPr>
        <w:rFonts w:ascii="Courier New" w:hAnsi="Courier New" w:cs="Courier New" w:hint="default"/>
      </w:rPr>
    </w:lvl>
    <w:lvl w:ilvl="2" w:tplc="0C09001B">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6">
    <w:nsid w:val="5B300199"/>
    <w:multiLevelType w:val="hybridMultilevel"/>
    <w:tmpl w:val="137A8642"/>
    <w:lvl w:ilvl="0" w:tplc="14090017">
      <w:start w:val="1"/>
      <w:numFmt w:val="lowerLetter"/>
      <w:lvlText w:val="%1)"/>
      <w:lvlJc w:val="left"/>
      <w:pPr>
        <w:tabs>
          <w:tab w:val="num" w:pos="567"/>
        </w:tabs>
        <w:ind w:left="1418" w:hanging="567"/>
      </w:pPr>
      <w:rPr>
        <w:rFonts w:hint="default"/>
        <w:b w:val="0"/>
        <w:i w:val="0"/>
        <w:sz w:val="24"/>
        <w:szCs w:val="24"/>
      </w:rPr>
    </w:lvl>
    <w:lvl w:ilvl="1" w:tplc="0C090019">
      <w:start w:val="1"/>
      <w:numFmt w:val="bullet"/>
      <w:lvlText w:val="o"/>
      <w:lvlJc w:val="left"/>
      <w:pPr>
        <w:tabs>
          <w:tab w:val="num" w:pos="1440"/>
        </w:tabs>
        <w:ind w:left="1440" w:hanging="360"/>
      </w:pPr>
      <w:rPr>
        <w:rFonts w:ascii="Courier New" w:hAnsi="Courier New" w:cs="Courier New" w:hint="default"/>
      </w:rPr>
    </w:lvl>
    <w:lvl w:ilvl="2" w:tplc="0C09001B">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7">
    <w:nsid w:val="5DB94575"/>
    <w:multiLevelType w:val="hybridMultilevel"/>
    <w:tmpl w:val="7A5227F8"/>
    <w:lvl w:ilvl="0" w:tplc="1409001B">
      <w:start w:val="1"/>
      <w:numFmt w:val="lowerRoman"/>
      <w:lvlText w:val="%1."/>
      <w:lvlJc w:val="right"/>
      <w:pPr>
        <w:ind w:left="1560" w:hanging="360"/>
      </w:pPr>
      <w:rPr>
        <w:rFonts w:hint="default"/>
      </w:rPr>
    </w:lvl>
    <w:lvl w:ilvl="1" w:tplc="14090019" w:tentative="1">
      <w:start w:val="1"/>
      <w:numFmt w:val="lowerLetter"/>
      <w:lvlText w:val="%2."/>
      <w:lvlJc w:val="left"/>
      <w:pPr>
        <w:ind w:left="2280" w:hanging="360"/>
      </w:pPr>
    </w:lvl>
    <w:lvl w:ilvl="2" w:tplc="1409001B" w:tentative="1">
      <w:start w:val="1"/>
      <w:numFmt w:val="lowerRoman"/>
      <w:lvlText w:val="%3."/>
      <w:lvlJc w:val="right"/>
      <w:pPr>
        <w:ind w:left="3000" w:hanging="180"/>
      </w:pPr>
    </w:lvl>
    <w:lvl w:ilvl="3" w:tplc="1409000F" w:tentative="1">
      <w:start w:val="1"/>
      <w:numFmt w:val="decimal"/>
      <w:lvlText w:val="%4."/>
      <w:lvlJc w:val="left"/>
      <w:pPr>
        <w:ind w:left="3720" w:hanging="360"/>
      </w:pPr>
    </w:lvl>
    <w:lvl w:ilvl="4" w:tplc="14090019" w:tentative="1">
      <w:start w:val="1"/>
      <w:numFmt w:val="lowerLetter"/>
      <w:lvlText w:val="%5."/>
      <w:lvlJc w:val="left"/>
      <w:pPr>
        <w:ind w:left="4440" w:hanging="360"/>
      </w:pPr>
    </w:lvl>
    <w:lvl w:ilvl="5" w:tplc="1409001B" w:tentative="1">
      <w:start w:val="1"/>
      <w:numFmt w:val="lowerRoman"/>
      <w:lvlText w:val="%6."/>
      <w:lvlJc w:val="right"/>
      <w:pPr>
        <w:ind w:left="5160" w:hanging="180"/>
      </w:pPr>
    </w:lvl>
    <w:lvl w:ilvl="6" w:tplc="1409000F" w:tentative="1">
      <w:start w:val="1"/>
      <w:numFmt w:val="decimal"/>
      <w:lvlText w:val="%7."/>
      <w:lvlJc w:val="left"/>
      <w:pPr>
        <w:ind w:left="5880" w:hanging="360"/>
      </w:pPr>
    </w:lvl>
    <w:lvl w:ilvl="7" w:tplc="14090019" w:tentative="1">
      <w:start w:val="1"/>
      <w:numFmt w:val="lowerLetter"/>
      <w:lvlText w:val="%8."/>
      <w:lvlJc w:val="left"/>
      <w:pPr>
        <w:ind w:left="6600" w:hanging="360"/>
      </w:pPr>
    </w:lvl>
    <w:lvl w:ilvl="8" w:tplc="1409001B" w:tentative="1">
      <w:start w:val="1"/>
      <w:numFmt w:val="lowerRoman"/>
      <w:lvlText w:val="%9."/>
      <w:lvlJc w:val="right"/>
      <w:pPr>
        <w:ind w:left="7320" w:hanging="180"/>
      </w:pPr>
    </w:lvl>
  </w:abstractNum>
  <w:abstractNum w:abstractNumId="18">
    <w:nsid w:val="64902EA5"/>
    <w:multiLevelType w:val="hybridMultilevel"/>
    <w:tmpl w:val="AC5E46E6"/>
    <w:lvl w:ilvl="0" w:tplc="D6003DA0">
      <w:start w:val="1"/>
      <w:numFmt w:val="decimal"/>
      <w:pStyle w:val="Chapter3"/>
      <w:lvlText w:val="3.%1"/>
      <w:lvlJc w:val="left"/>
      <w:pPr>
        <w:ind w:left="36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69646DE6"/>
    <w:multiLevelType w:val="hybridMultilevel"/>
    <w:tmpl w:val="D0DAF958"/>
    <w:lvl w:ilvl="0" w:tplc="9C7E2188">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707B6D02"/>
    <w:multiLevelType w:val="hybridMultilevel"/>
    <w:tmpl w:val="84D8C1BC"/>
    <w:lvl w:ilvl="0" w:tplc="14090017">
      <w:start w:val="1"/>
      <w:numFmt w:val="lowerLetter"/>
      <w:lvlText w:val="%1)"/>
      <w:lvlJc w:val="left"/>
      <w:pPr>
        <w:tabs>
          <w:tab w:val="num" w:pos="567"/>
        </w:tabs>
        <w:ind w:left="1418" w:hanging="567"/>
      </w:pPr>
      <w:rPr>
        <w:rFonts w:hint="default"/>
        <w:b w:val="0"/>
        <w:i w:val="0"/>
        <w:sz w:val="24"/>
        <w:szCs w:val="24"/>
      </w:rPr>
    </w:lvl>
    <w:lvl w:ilvl="1" w:tplc="0C090019">
      <w:start w:val="1"/>
      <w:numFmt w:val="bullet"/>
      <w:lvlText w:val="o"/>
      <w:lvlJc w:val="left"/>
      <w:pPr>
        <w:tabs>
          <w:tab w:val="num" w:pos="1440"/>
        </w:tabs>
        <w:ind w:left="1440" w:hanging="360"/>
      </w:pPr>
      <w:rPr>
        <w:rFonts w:ascii="Courier New" w:hAnsi="Courier New" w:cs="Courier New" w:hint="default"/>
      </w:rPr>
    </w:lvl>
    <w:lvl w:ilvl="2" w:tplc="0C09001B">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1">
    <w:nsid w:val="72015AE8"/>
    <w:multiLevelType w:val="hybridMultilevel"/>
    <w:tmpl w:val="667E6416"/>
    <w:lvl w:ilvl="0" w:tplc="14090017">
      <w:start w:val="1"/>
      <w:numFmt w:val="lowerLetter"/>
      <w:lvlText w:val="%1)"/>
      <w:lvlJc w:val="left"/>
      <w:pPr>
        <w:tabs>
          <w:tab w:val="num" w:pos="567"/>
        </w:tabs>
        <w:ind w:left="1418" w:hanging="567"/>
      </w:pPr>
      <w:rPr>
        <w:rFonts w:hint="default"/>
        <w:b w:val="0"/>
        <w:i w:val="0"/>
        <w:sz w:val="24"/>
        <w:szCs w:val="24"/>
      </w:rPr>
    </w:lvl>
    <w:lvl w:ilvl="1" w:tplc="0C090019">
      <w:start w:val="1"/>
      <w:numFmt w:val="bullet"/>
      <w:lvlText w:val="o"/>
      <w:lvlJc w:val="left"/>
      <w:pPr>
        <w:tabs>
          <w:tab w:val="num" w:pos="1440"/>
        </w:tabs>
        <w:ind w:left="1440" w:hanging="360"/>
      </w:pPr>
      <w:rPr>
        <w:rFonts w:ascii="Courier New" w:hAnsi="Courier New" w:cs="Courier New" w:hint="default"/>
      </w:rPr>
    </w:lvl>
    <w:lvl w:ilvl="2" w:tplc="0C09001B">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11"/>
  </w:num>
  <w:num w:numId="4">
    <w:abstractNumId w:val="0"/>
  </w:num>
  <w:num w:numId="5">
    <w:abstractNumId w:val="18"/>
  </w:num>
  <w:num w:numId="6">
    <w:abstractNumId w:val="8"/>
  </w:num>
  <w:num w:numId="7">
    <w:abstractNumId w:val="17"/>
  </w:num>
  <w:num w:numId="8">
    <w:abstractNumId w:val="19"/>
  </w:num>
  <w:num w:numId="9">
    <w:abstractNumId w:val="7"/>
  </w:num>
  <w:num w:numId="10">
    <w:abstractNumId w:val="6"/>
  </w:num>
  <w:num w:numId="11">
    <w:abstractNumId w:val="5"/>
  </w:num>
  <w:num w:numId="12">
    <w:abstractNumId w:val="3"/>
  </w:num>
  <w:num w:numId="13">
    <w:abstractNumId w:val="2"/>
  </w:num>
  <w:num w:numId="14">
    <w:abstractNumId w:val="13"/>
  </w:num>
  <w:num w:numId="15">
    <w:abstractNumId w:val="14"/>
  </w:num>
  <w:num w:numId="16">
    <w:abstractNumId w:val="1"/>
  </w:num>
  <w:num w:numId="17">
    <w:abstractNumId w:val="4"/>
  </w:num>
  <w:num w:numId="18">
    <w:abstractNumId w:val="20"/>
  </w:num>
  <w:num w:numId="19">
    <w:abstractNumId w:val="12"/>
  </w:num>
  <w:num w:numId="20">
    <w:abstractNumId w:val="10"/>
  </w:num>
  <w:num w:numId="21">
    <w:abstractNumId w:val="21"/>
  </w:num>
  <w:num w:numId="22">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78"/>
    <w:rsid w:val="000051BB"/>
    <w:rsid w:val="000077F9"/>
    <w:rsid w:val="000112A2"/>
    <w:rsid w:val="000126F6"/>
    <w:rsid w:val="0001309A"/>
    <w:rsid w:val="000145F7"/>
    <w:rsid w:val="0001551E"/>
    <w:rsid w:val="000159BB"/>
    <w:rsid w:val="00020011"/>
    <w:rsid w:val="000214A5"/>
    <w:rsid w:val="00025BF5"/>
    <w:rsid w:val="00026362"/>
    <w:rsid w:val="000318D4"/>
    <w:rsid w:val="00032BFB"/>
    <w:rsid w:val="00050570"/>
    <w:rsid w:val="000525F9"/>
    <w:rsid w:val="00054FDB"/>
    <w:rsid w:val="00057B34"/>
    <w:rsid w:val="00057FB2"/>
    <w:rsid w:val="00060DD0"/>
    <w:rsid w:val="0006273B"/>
    <w:rsid w:val="0006300A"/>
    <w:rsid w:val="00064796"/>
    <w:rsid w:val="000763B7"/>
    <w:rsid w:val="00080A8A"/>
    <w:rsid w:val="000822E0"/>
    <w:rsid w:val="000879E2"/>
    <w:rsid w:val="00094DE0"/>
    <w:rsid w:val="0009773A"/>
    <w:rsid w:val="000B264F"/>
    <w:rsid w:val="000B2C45"/>
    <w:rsid w:val="000C4CEB"/>
    <w:rsid w:val="000C672F"/>
    <w:rsid w:val="000D4A50"/>
    <w:rsid w:val="000E50A8"/>
    <w:rsid w:val="0010648A"/>
    <w:rsid w:val="00111327"/>
    <w:rsid w:val="00112856"/>
    <w:rsid w:val="001152F0"/>
    <w:rsid w:val="0012393B"/>
    <w:rsid w:val="00126AF7"/>
    <w:rsid w:val="001300B2"/>
    <w:rsid w:val="0013208F"/>
    <w:rsid w:val="00132DF2"/>
    <w:rsid w:val="001361E2"/>
    <w:rsid w:val="00141011"/>
    <w:rsid w:val="00151C9E"/>
    <w:rsid w:val="001647BD"/>
    <w:rsid w:val="0017498F"/>
    <w:rsid w:val="00175D07"/>
    <w:rsid w:val="001A4E43"/>
    <w:rsid w:val="001B0DEE"/>
    <w:rsid w:val="001B18F7"/>
    <w:rsid w:val="001B26AD"/>
    <w:rsid w:val="001C2B6D"/>
    <w:rsid w:val="001C5EAD"/>
    <w:rsid w:val="001D132D"/>
    <w:rsid w:val="001D1381"/>
    <w:rsid w:val="001D2642"/>
    <w:rsid w:val="001E22A0"/>
    <w:rsid w:val="001E2C81"/>
    <w:rsid w:val="001E60B9"/>
    <w:rsid w:val="001F0283"/>
    <w:rsid w:val="001F3A02"/>
    <w:rsid w:val="00201B0F"/>
    <w:rsid w:val="00206781"/>
    <w:rsid w:val="00212EAF"/>
    <w:rsid w:val="002204DA"/>
    <w:rsid w:val="00223EC2"/>
    <w:rsid w:val="002252DC"/>
    <w:rsid w:val="0022616D"/>
    <w:rsid w:val="00231037"/>
    <w:rsid w:val="00231D51"/>
    <w:rsid w:val="00233168"/>
    <w:rsid w:val="002358C4"/>
    <w:rsid w:val="002365C5"/>
    <w:rsid w:val="00236946"/>
    <w:rsid w:val="002541FA"/>
    <w:rsid w:val="00260B55"/>
    <w:rsid w:val="00262D2F"/>
    <w:rsid w:val="00286A61"/>
    <w:rsid w:val="00294E81"/>
    <w:rsid w:val="00296AD7"/>
    <w:rsid w:val="002A04F0"/>
    <w:rsid w:val="002B3FBC"/>
    <w:rsid w:val="002B519D"/>
    <w:rsid w:val="002B5B38"/>
    <w:rsid w:val="002B60D2"/>
    <w:rsid w:val="002C45A7"/>
    <w:rsid w:val="002C789B"/>
    <w:rsid w:val="002D0BFB"/>
    <w:rsid w:val="002E287E"/>
    <w:rsid w:val="002F243E"/>
    <w:rsid w:val="002F33EC"/>
    <w:rsid w:val="002F3D40"/>
    <w:rsid w:val="002F49B9"/>
    <w:rsid w:val="00301D91"/>
    <w:rsid w:val="00302D29"/>
    <w:rsid w:val="003042F5"/>
    <w:rsid w:val="003055F1"/>
    <w:rsid w:val="00305FBE"/>
    <w:rsid w:val="00316295"/>
    <w:rsid w:val="003237F6"/>
    <w:rsid w:val="003322C9"/>
    <w:rsid w:val="003401B7"/>
    <w:rsid w:val="00344447"/>
    <w:rsid w:val="00350704"/>
    <w:rsid w:val="003518B1"/>
    <w:rsid w:val="003524F9"/>
    <w:rsid w:val="003635D0"/>
    <w:rsid w:val="00371A1E"/>
    <w:rsid w:val="00373DDD"/>
    <w:rsid w:val="00375A3B"/>
    <w:rsid w:val="00381DD3"/>
    <w:rsid w:val="00387EAD"/>
    <w:rsid w:val="0039156F"/>
    <w:rsid w:val="003940DA"/>
    <w:rsid w:val="00395CB1"/>
    <w:rsid w:val="00396C44"/>
    <w:rsid w:val="003A046F"/>
    <w:rsid w:val="003B14DC"/>
    <w:rsid w:val="003B2212"/>
    <w:rsid w:val="003C6AE3"/>
    <w:rsid w:val="003D22A9"/>
    <w:rsid w:val="003D560C"/>
    <w:rsid w:val="003D66BC"/>
    <w:rsid w:val="003E4B67"/>
    <w:rsid w:val="003E7259"/>
    <w:rsid w:val="003F2242"/>
    <w:rsid w:val="003F7C4A"/>
    <w:rsid w:val="004010B6"/>
    <w:rsid w:val="00401EB7"/>
    <w:rsid w:val="00403419"/>
    <w:rsid w:val="00404992"/>
    <w:rsid w:val="0042000C"/>
    <w:rsid w:val="004200F0"/>
    <w:rsid w:val="00421CE6"/>
    <w:rsid w:val="00422FD4"/>
    <w:rsid w:val="00433978"/>
    <w:rsid w:val="00434F47"/>
    <w:rsid w:val="004361B9"/>
    <w:rsid w:val="004368EB"/>
    <w:rsid w:val="0043703C"/>
    <w:rsid w:val="00444C84"/>
    <w:rsid w:val="00445836"/>
    <w:rsid w:val="0045453E"/>
    <w:rsid w:val="00462A5F"/>
    <w:rsid w:val="004635BE"/>
    <w:rsid w:val="0046455E"/>
    <w:rsid w:val="00467F63"/>
    <w:rsid w:val="00467FCD"/>
    <w:rsid w:val="0047165A"/>
    <w:rsid w:val="00476418"/>
    <w:rsid w:val="00476982"/>
    <w:rsid w:val="00481E8A"/>
    <w:rsid w:val="00482440"/>
    <w:rsid w:val="0048476E"/>
    <w:rsid w:val="00484E3F"/>
    <w:rsid w:val="00490F9D"/>
    <w:rsid w:val="004916AD"/>
    <w:rsid w:val="004954BE"/>
    <w:rsid w:val="00496854"/>
    <w:rsid w:val="004A0747"/>
    <w:rsid w:val="004A086A"/>
    <w:rsid w:val="004B0256"/>
    <w:rsid w:val="004B3659"/>
    <w:rsid w:val="004C0066"/>
    <w:rsid w:val="004C6C11"/>
    <w:rsid w:val="004C7595"/>
    <w:rsid w:val="004D1D3F"/>
    <w:rsid w:val="004D294A"/>
    <w:rsid w:val="004D3A42"/>
    <w:rsid w:val="004E2C1E"/>
    <w:rsid w:val="004E375F"/>
    <w:rsid w:val="004F2F7E"/>
    <w:rsid w:val="004F3FCB"/>
    <w:rsid w:val="005075C7"/>
    <w:rsid w:val="005305BE"/>
    <w:rsid w:val="00550742"/>
    <w:rsid w:val="0055595E"/>
    <w:rsid w:val="0056211E"/>
    <w:rsid w:val="0056592E"/>
    <w:rsid w:val="005669DF"/>
    <w:rsid w:val="00566B71"/>
    <w:rsid w:val="0056742A"/>
    <w:rsid w:val="005751C6"/>
    <w:rsid w:val="00581525"/>
    <w:rsid w:val="00582DB4"/>
    <w:rsid w:val="00590C91"/>
    <w:rsid w:val="0059582F"/>
    <w:rsid w:val="00596B2C"/>
    <w:rsid w:val="00597AC7"/>
    <w:rsid w:val="00597B08"/>
    <w:rsid w:val="005C7838"/>
    <w:rsid w:val="005D24C6"/>
    <w:rsid w:val="005D3016"/>
    <w:rsid w:val="005D5AF7"/>
    <w:rsid w:val="005F3584"/>
    <w:rsid w:val="005F5830"/>
    <w:rsid w:val="00606F85"/>
    <w:rsid w:val="006072F7"/>
    <w:rsid w:val="00612BFA"/>
    <w:rsid w:val="006165B7"/>
    <w:rsid w:val="00616905"/>
    <w:rsid w:val="00616A01"/>
    <w:rsid w:val="006228B3"/>
    <w:rsid w:val="0062617C"/>
    <w:rsid w:val="00626455"/>
    <w:rsid w:val="00630582"/>
    <w:rsid w:val="00630B57"/>
    <w:rsid w:val="006317C3"/>
    <w:rsid w:val="00640A3E"/>
    <w:rsid w:val="0064396D"/>
    <w:rsid w:val="006456DE"/>
    <w:rsid w:val="00645ED2"/>
    <w:rsid w:val="006536CF"/>
    <w:rsid w:val="0066312B"/>
    <w:rsid w:val="00670103"/>
    <w:rsid w:val="00672A2E"/>
    <w:rsid w:val="00672D27"/>
    <w:rsid w:val="00676A2F"/>
    <w:rsid w:val="006839D0"/>
    <w:rsid w:val="006841D7"/>
    <w:rsid w:val="00684A08"/>
    <w:rsid w:val="0068546F"/>
    <w:rsid w:val="00687CDC"/>
    <w:rsid w:val="006900B7"/>
    <w:rsid w:val="0069177A"/>
    <w:rsid w:val="00695234"/>
    <w:rsid w:val="00695389"/>
    <w:rsid w:val="00697E85"/>
    <w:rsid w:val="006A6938"/>
    <w:rsid w:val="006A73D9"/>
    <w:rsid w:val="006C411C"/>
    <w:rsid w:val="006C6CD5"/>
    <w:rsid w:val="006D0B42"/>
    <w:rsid w:val="006D3A71"/>
    <w:rsid w:val="006D4F8F"/>
    <w:rsid w:val="006D5BAC"/>
    <w:rsid w:val="006E1517"/>
    <w:rsid w:val="006E230D"/>
    <w:rsid w:val="006F2E60"/>
    <w:rsid w:val="006F3BAC"/>
    <w:rsid w:val="006F44FB"/>
    <w:rsid w:val="006F641E"/>
    <w:rsid w:val="007034B4"/>
    <w:rsid w:val="00703AB7"/>
    <w:rsid w:val="00703B54"/>
    <w:rsid w:val="0070506D"/>
    <w:rsid w:val="00705954"/>
    <w:rsid w:val="007103DB"/>
    <w:rsid w:val="00720C4E"/>
    <w:rsid w:val="0072301B"/>
    <w:rsid w:val="00726578"/>
    <w:rsid w:val="00740BCB"/>
    <w:rsid w:val="0074569C"/>
    <w:rsid w:val="00747721"/>
    <w:rsid w:val="00750323"/>
    <w:rsid w:val="007557F8"/>
    <w:rsid w:val="00756BAB"/>
    <w:rsid w:val="007606A3"/>
    <w:rsid w:val="00763AA1"/>
    <w:rsid w:val="007654A3"/>
    <w:rsid w:val="00773301"/>
    <w:rsid w:val="007735DF"/>
    <w:rsid w:val="00777EF2"/>
    <w:rsid w:val="007833FC"/>
    <w:rsid w:val="007848FC"/>
    <w:rsid w:val="007864FB"/>
    <w:rsid w:val="00790F7B"/>
    <w:rsid w:val="007A2A4A"/>
    <w:rsid w:val="007A5FB6"/>
    <w:rsid w:val="007B19E1"/>
    <w:rsid w:val="007B241D"/>
    <w:rsid w:val="007B42F0"/>
    <w:rsid w:val="007B4EAA"/>
    <w:rsid w:val="007B71C9"/>
    <w:rsid w:val="007D134B"/>
    <w:rsid w:val="007D1FAB"/>
    <w:rsid w:val="007E30A6"/>
    <w:rsid w:val="007F105C"/>
    <w:rsid w:val="007F48A7"/>
    <w:rsid w:val="008028DC"/>
    <w:rsid w:val="00813032"/>
    <w:rsid w:val="0082094E"/>
    <w:rsid w:val="0082102C"/>
    <w:rsid w:val="00832F85"/>
    <w:rsid w:val="008339D3"/>
    <w:rsid w:val="00840252"/>
    <w:rsid w:val="00841041"/>
    <w:rsid w:val="008454C8"/>
    <w:rsid w:val="00850AB1"/>
    <w:rsid w:val="00853109"/>
    <w:rsid w:val="00855EB6"/>
    <w:rsid w:val="00856BB3"/>
    <w:rsid w:val="0086569E"/>
    <w:rsid w:val="00874124"/>
    <w:rsid w:val="0087491F"/>
    <w:rsid w:val="008759DA"/>
    <w:rsid w:val="0088017E"/>
    <w:rsid w:val="00880792"/>
    <w:rsid w:val="00885E0F"/>
    <w:rsid w:val="00885E19"/>
    <w:rsid w:val="00887931"/>
    <w:rsid w:val="0089169A"/>
    <w:rsid w:val="00891A2A"/>
    <w:rsid w:val="00895244"/>
    <w:rsid w:val="008A1085"/>
    <w:rsid w:val="008A6739"/>
    <w:rsid w:val="008A69E0"/>
    <w:rsid w:val="008B3EF2"/>
    <w:rsid w:val="008C4002"/>
    <w:rsid w:val="008C6B41"/>
    <w:rsid w:val="008D0000"/>
    <w:rsid w:val="008D0B92"/>
    <w:rsid w:val="008D3B77"/>
    <w:rsid w:val="008E43D4"/>
    <w:rsid w:val="008E4DEB"/>
    <w:rsid w:val="008F08A6"/>
    <w:rsid w:val="0091231B"/>
    <w:rsid w:val="00920A84"/>
    <w:rsid w:val="0094092D"/>
    <w:rsid w:val="009416B1"/>
    <w:rsid w:val="009420B6"/>
    <w:rsid w:val="00951521"/>
    <w:rsid w:val="00953EF2"/>
    <w:rsid w:val="00960262"/>
    <w:rsid w:val="009677B2"/>
    <w:rsid w:val="00967940"/>
    <w:rsid w:val="0097608E"/>
    <w:rsid w:val="00981660"/>
    <w:rsid w:val="0099242F"/>
    <w:rsid w:val="009952CF"/>
    <w:rsid w:val="009A4508"/>
    <w:rsid w:val="009B15DD"/>
    <w:rsid w:val="009B6D3A"/>
    <w:rsid w:val="009C0523"/>
    <w:rsid w:val="009C11CB"/>
    <w:rsid w:val="009C2652"/>
    <w:rsid w:val="009E625C"/>
    <w:rsid w:val="00A0062B"/>
    <w:rsid w:val="00A054E8"/>
    <w:rsid w:val="00A06902"/>
    <w:rsid w:val="00A11C53"/>
    <w:rsid w:val="00A129DC"/>
    <w:rsid w:val="00A23338"/>
    <w:rsid w:val="00A23DB2"/>
    <w:rsid w:val="00A24639"/>
    <w:rsid w:val="00A26B78"/>
    <w:rsid w:val="00A347A6"/>
    <w:rsid w:val="00A41E9F"/>
    <w:rsid w:val="00A4552A"/>
    <w:rsid w:val="00A547C2"/>
    <w:rsid w:val="00A55DD3"/>
    <w:rsid w:val="00A74980"/>
    <w:rsid w:val="00A84896"/>
    <w:rsid w:val="00A86F78"/>
    <w:rsid w:val="00A87686"/>
    <w:rsid w:val="00A909C6"/>
    <w:rsid w:val="00A90A50"/>
    <w:rsid w:val="00AA5FC9"/>
    <w:rsid w:val="00AB0F62"/>
    <w:rsid w:val="00AB229A"/>
    <w:rsid w:val="00AB3373"/>
    <w:rsid w:val="00AD1E31"/>
    <w:rsid w:val="00AD365A"/>
    <w:rsid w:val="00AE1C6E"/>
    <w:rsid w:val="00AE2380"/>
    <w:rsid w:val="00AE458D"/>
    <w:rsid w:val="00AE5963"/>
    <w:rsid w:val="00B072AD"/>
    <w:rsid w:val="00B07C2C"/>
    <w:rsid w:val="00B1378C"/>
    <w:rsid w:val="00B17273"/>
    <w:rsid w:val="00B31625"/>
    <w:rsid w:val="00B331F8"/>
    <w:rsid w:val="00B339E9"/>
    <w:rsid w:val="00B36952"/>
    <w:rsid w:val="00B37D47"/>
    <w:rsid w:val="00B4233B"/>
    <w:rsid w:val="00B47987"/>
    <w:rsid w:val="00B53AD0"/>
    <w:rsid w:val="00B56B86"/>
    <w:rsid w:val="00B6217A"/>
    <w:rsid w:val="00B658F7"/>
    <w:rsid w:val="00B65B39"/>
    <w:rsid w:val="00B67A9B"/>
    <w:rsid w:val="00B71538"/>
    <w:rsid w:val="00B73B50"/>
    <w:rsid w:val="00B74CC2"/>
    <w:rsid w:val="00B801C7"/>
    <w:rsid w:val="00B841AE"/>
    <w:rsid w:val="00B86C10"/>
    <w:rsid w:val="00BA3709"/>
    <w:rsid w:val="00BA7AB4"/>
    <w:rsid w:val="00BB3890"/>
    <w:rsid w:val="00BB3D0F"/>
    <w:rsid w:val="00BB56C9"/>
    <w:rsid w:val="00BD6389"/>
    <w:rsid w:val="00BD6CC1"/>
    <w:rsid w:val="00BD7041"/>
    <w:rsid w:val="00BE1101"/>
    <w:rsid w:val="00BE2D67"/>
    <w:rsid w:val="00BE4C86"/>
    <w:rsid w:val="00BF2B58"/>
    <w:rsid w:val="00BF65D9"/>
    <w:rsid w:val="00C02169"/>
    <w:rsid w:val="00C1796C"/>
    <w:rsid w:val="00C25A97"/>
    <w:rsid w:val="00C26F85"/>
    <w:rsid w:val="00C416B3"/>
    <w:rsid w:val="00C47936"/>
    <w:rsid w:val="00C501BB"/>
    <w:rsid w:val="00C50649"/>
    <w:rsid w:val="00C5211D"/>
    <w:rsid w:val="00C52FE1"/>
    <w:rsid w:val="00C534B0"/>
    <w:rsid w:val="00C55876"/>
    <w:rsid w:val="00C61485"/>
    <w:rsid w:val="00C61627"/>
    <w:rsid w:val="00C65FA5"/>
    <w:rsid w:val="00C70E5A"/>
    <w:rsid w:val="00C82817"/>
    <w:rsid w:val="00C91B8A"/>
    <w:rsid w:val="00C93CA0"/>
    <w:rsid w:val="00CA2122"/>
    <w:rsid w:val="00CA6A5F"/>
    <w:rsid w:val="00CB28F0"/>
    <w:rsid w:val="00CC081D"/>
    <w:rsid w:val="00CC3A6A"/>
    <w:rsid w:val="00CD070A"/>
    <w:rsid w:val="00CD2B9A"/>
    <w:rsid w:val="00CD3625"/>
    <w:rsid w:val="00CF0DFD"/>
    <w:rsid w:val="00CF371C"/>
    <w:rsid w:val="00CF77ED"/>
    <w:rsid w:val="00D21C15"/>
    <w:rsid w:val="00D277C2"/>
    <w:rsid w:val="00D31D1C"/>
    <w:rsid w:val="00D3360D"/>
    <w:rsid w:val="00D43A7C"/>
    <w:rsid w:val="00D44803"/>
    <w:rsid w:val="00D44B8A"/>
    <w:rsid w:val="00D45016"/>
    <w:rsid w:val="00D451FB"/>
    <w:rsid w:val="00D45242"/>
    <w:rsid w:val="00D456F3"/>
    <w:rsid w:val="00D46227"/>
    <w:rsid w:val="00D470C7"/>
    <w:rsid w:val="00D52533"/>
    <w:rsid w:val="00D61015"/>
    <w:rsid w:val="00D638E2"/>
    <w:rsid w:val="00D6766E"/>
    <w:rsid w:val="00D73646"/>
    <w:rsid w:val="00D7427A"/>
    <w:rsid w:val="00D75FC8"/>
    <w:rsid w:val="00D8013D"/>
    <w:rsid w:val="00D86046"/>
    <w:rsid w:val="00D91871"/>
    <w:rsid w:val="00DB7E28"/>
    <w:rsid w:val="00DC79A1"/>
    <w:rsid w:val="00DD145F"/>
    <w:rsid w:val="00DD17A1"/>
    <w:rsid w:val="00DD2A34"/>
    <w:rsid w:val="00DD6627"/>
    <w:rsid w:val="00DE0B59"/>
    <w:rsid w:val="00DE7616"/>
    <w:rsid w:val="00DE7D46"/>
    <w:rsid w:val="00DF556E"/>
    <w:rsid w:val="00E009F0"/>
    <w:rsid w:val="00E2136F"/>
    <w:rsid w:val="00E24430"/>
    <w:rsid w:val="00E27B90"/>
    <w:rsid w:val="00E410E3"/>
    <w:rsid w:val="00E41B71"/>
    <w:rsid w:val="00E4638B"/>
    <w:rsid w:val="00E5008C"/>
    <w:rsid w:val="00E549D0"/>
    <w:rsid w:val="00E577BD"/>
    <w:rsid w:val="00E61CCA"/>
    <w:rsid w:val="00E654B0"/>
    <w:rsid w:val="00E73791"/>
    <w:rsid w:val="00E75DB7"/>
    <w:rsid w:val="00E8692B"/>
    <w:rsid w:val="00E86E9D"/>
    <w:rsid w:val="00E92789"/>
    <w:rsid w:val="00E93BC7"/>
    <w:rsid w:val="00E93DB7"/>
    <w:rsid w:val="00E93EDE"/>
    <w:rsid w:val="00E94C6F"/>
    <w:rsid w:val="00E97E46"/>
    <w:rsid w:val="00EA31FC"/>
    <w:rsid w:val="00EA5900"/>
    <w:rsid w:val="00EA7CEB"/>
    <w:rsid w:val="00EB4B9B"/>
    <w:rsid w:val="00EB6F4D"/>
    <w:rsid w:val="00EB7BF3"/>
    <w:rsid w:val="00EC1318"/>
    <w:rsid w:val="00EC2DBE"/>
    <w:rsid w:val="00EC3F5E"/>
    <w:rsid w:val="00EC7908"/>
    <w:rsid w:val="00ED5492"/>
    <w:rsid w:val="00EE4A3B"/>
    <w:rsid w:val="00F02079"/>
    <w:rsid w:val="00F04891"/>
    <w:rsid w:val="00F138A4"/>
    <w:rsid w:val="00F14BEA"/>
    <w:rsid w:val="00F151B8"/>
    <w:rsid w:val="00F1621F"/>
    <w:rsid w:val="00F20EA0"/>
    <w:rsid w:val="00F21C18"/>
    <w:rsid w:val="00F2759F"/>
    <w:rsid w:val="00F27AC2"/>
    <w:rsid w:val="00F318C2"/>
    <w:rsid w:val="00F3195A"/>
    <w:rsid w:val="00F41B82"/>
    <w:rsid w:val="00F53AFA"/>
    <w:rsid w:val="00F56F92"/>
    <w:rsid w:val="00F63138"/>
    <w:rsid w:val="00F75E4D"/>
    <w:rsid w:val="00F77584"/>
    <w:rsid w:val="00F83A3C"/>
    <w:rsid w:val="00F848DE"/>
    <w:rsid w:val="00F95A03"/>
    <w:rsid w:val="00F96E02"/>
    <w:rsid w:val="00FA1721"/>
    <w:rsid w:val="00FB4234"/>
    <w:rsid w:val="00FB7153"/>
    <w:rsid w:val="00FB772D"/>
    <w:rsid w:val="00FB7DC3"/>
    <w:rsid w:val="00FC0765"/>
    <w:rsid w:val="00FC0789"/>
    <w:rsid w:val="00FC739A"/>
    <w:rsid w:val="00FC7EC4"/>
    <w:rsid w:val="00FD0643"/>
    <w:rsid w:val="00FD2D1C"/>
    <w:rsid w:val="00FE052E"/>
    <w:rsid w:val="00FE2C6E"/>
    <w:rsid w:val="00FE6C1E"/>
    <w:rsid w:val="00FE76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6C9"/>
    <w:pPr>
      <w:jc w:val="both"/>
    </w:pPr>
    <w:rPr>
      <w:rFonts w:ascii="Times New Roman" w:hAnsi="Times New Roman"/>
      <w:sz w:val="24"/>
      <w:szCs w:val="22"/>
      <w:lang w:eastAsia="en-US"/>
    </w:rPr>
  </w:style>
  <w:style w:type="paragraph" w:styleId="Heading1">
    <w:name w:val="heading 1"/>
    <w:basedOn w:val="Normal"/>
    <w:next w:val="Normal"/>
    <w:link w:val="Heading1Char"/>
    <w:uiPriority w:val="9"/>
    <w:qFormat/>
    <w:rsid w:val="00175D07"/>
    <w:pPr>
      <w:keepNext/>
      <w:keepLines/>
      <w:outlineLvl w:val="0"/>
    </w:pPr>
    <w:rPr>
      <w:rFonts w:eastAsia="Times New Roman"/>
      <w:b/>
      <w:bCs/>
      <w:szCs w:val="28"/>
    </w:rPr>
  </w:style>
  <w:style w:type="paragraph" w:styleId="Heading2">
    <w:name w:val="heading 2"/>
    <w:basedOn w:val="Normal"/>
    <w:next w:val="Normal"/>
    <w:link w:val="Heading2Char"/>
    <w:uiPriority w:val="9"/>
    <w:unhideWhenUsed/>
    <w:qFormat/>
    <w:rsid w:val="00BB56C9"/>
    <w:pPr>
      <w:keepNext/>
      <w:keepLines/>
      <w:outlineLvl w:val="1"/>
    </w:pPr>
    <w:rPr>
      <w:rFonts w:eastAsia="Times New Roman"/>
      <w:b/>
      <w:bCs/>
      <w:i/>
      <w:szCs w:val="26"/>
    </w:rPr>
  </w:style>
  <w:style w:type="paragraph" w:styleId="Heading3">
    <w:name w:val="heading 3"/>
    <w:basedOn w:val="Normal"/>
    <w:next w:val="Normal"/>
    <w:link w:val="Heading3Char"/>
    <w:uiPriority w:val="9"/>
    <w:unhideWhenUsed/>
    <w:qFormat/>
    <w:rsid w:val="00BB56C9"/>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7B71C9"/>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393B"/>
    <w:rPr>
      <w:rFonts w:ascii="Tahoma" w:hAnsi="Tahoma" w:cs="Tahoma"/>
      <w:sz w:val="16"/>
      <w:szCs w:val="16"/>
    </w:rPr>
  </w:style>
  <w:style w:type="character" w:customStyle="1" w:styleId="BalloonTextChar">
    <w:name w:val="Balloon Text Char"/>
    <w:link w:val="BalloonText"/>
    <w:uiPriority w:val="99"/>
    <w:semiHidden/>
    <w:rsid w:val="0012393B"/>
    <w:rPr>
      <w:rFonts w:ascii="Tahoma" w:hAnsi="Tahoma" w:cs="Tahoma"/>
      <w:sz w:val="16"/>
      <w:szCs w:val="16"/>
    </w:rPr>
  </w:style>
  <w:style w:type="paragraph" w:styleId="FootnoteText">
    <w:name w:val="footnote text"/>
    <w:basedOn w:val="Normal"/>
    <w:link w:val="FootnoteTextChar"/>
    <w:uiPriority w:val="99"/>
    <w:semiHidden/>
    <w:unhideWhenUsed/>
    <w:rsid w:val="00141011"/>
    <w:rPr>
      <w:sz w:val="20"/>
      <w:szCs w:val="20"/>
    </w:rPr>
  </w:style>
  <w:style w:type="character" w:customStyle="1" w:styleId="FootnoteTextChar">
    <w:name w:val="Footnote Text Char"/>
    <w:link w:val="FootnoteText"/>
    <w:uiPriority w:val="99"/>
    <w:semiHidden/>
    <w:rsid w:val="00141011"/>
    <w:rPr>
      <w:sz w:val="20"/>
      <w:szCs w:val="20"/>
    </w:rPr>
  </w:style>
  <w:style w:type="character" w:styleId="FootnoteReference">
    <w:name w:val="footnote reference"/>
    <w:uiPriority w:val="99"/>
    <w:semiHidden/>
    <w:unhideWhenUsed/>
    <w:rsid w:val="00141011"/>
    <w:rPr>
      <w:vertAlign w:val="superscript"/>
    </w:rPr>
  </w:style>
  <w:style w:type="paragraph" w:styleId="ListParagraph">
    <w:name w:val="List Paragraph"/>
    <w:basedOn w:val="Normal"/>
    <w:uiPriority w:val="34"/>
    <w:qFormat/>
    <w:rsid w:val="005075C7"/>
    <w:pPr>
      <w:ind w:left="720"/>
      <w:contextualSpacing/>
    </w:pPr>
  </w:style>
  <w:style w:type="character" w:styleId="CommentReference">
    <w:name w:val="annotation reference"/>
    <w:uiPriority w:val="99"/>
    <w:semiHidden/>
    <w:unhideWhenUsed/>
    <w:rsid w:val="003F7C4A"/>
    <w:rPr>
      <w:sz w:val="16"/>
      <w:szCs w:val="16"/>
    </w:rPr>
  </w:style>
  <w:style w:type="paragraph" w:styleId="CommentText">
    <w:name w:val="annotation text"/>
    <w:basedOn w:val="Normal"/>
    <w:link w:val="CommentTextChar"/>
    <w:uiPriority w:val="99"/>
    <w:unhideWhenUsed/>
    <w:rsid w:val="003F7C4A"/>
    <w:rPr>
      <w:sz w:val="20"/>
      <w:szCs w:val="20"/>
    </w:rPr>
  </w:style>
  <w:style w:type="character" w:customStyle="1" w:styleId="CommentTextChar">
    <w:name w:val="Comment Text Char"/>
    <w:link w:val="CommentText"/>
    <w:uiPriority w:val="99"/>
    <w:rsid w:val="003F7C4A"/>
    <w:rPr>
      <w:sz w:val="20"/>
      <w:szCs w:val="20"/>
    </w:rPr>
  </w:style>
  <w:style w:type="paragraph" w:styleId="CommentSubject">
    <w:name w:val="annotation subject"/>
    <w:basedOn w:val="CommentText"/>
    <w:next w:val="CommentText"/>
    <w:link w:val="CommentSubjectChar"/>
    <w:uiPriority w:val="99"/>
    <w:semiHidden/>
    <w:unhideWhenUsed/>
    <w:rsid w:val="003F7C4A"/>
    <w:rPr>
      <w:b/>
      <w:bCs/>
    </w:rPr>
  </w:style>
  <w:style w:type="character" w:customStyle="1" w:styleId="CommentSubjectChar">
    <w:name w:val="Comment Subject Char"/>
    <w:link w:val="CommentSubject"/>
    <w:uiPriority w:val="99"/>
    <w:semiHidden/>
    <w:rsid w:val="003F7C4A"/>
    <w:rPr>
      <w:b/>
      <w:bCs/>
      <w:sz w:val="20"/>
      <w:szCs w:val="20"/>
    </w:rPr>
  </w:style>
  <w:style w:type="paragraph" w:styleId="Header">
    <w:name w:val="header"/>
    <w:basedOn w:val="Normal"/>
    <w:link w:val="HeaderChar"/>
    <w:rsid w:val="00E94C6F"/>
    <w:pPr>
      <w:tabs>
        <w:tab w:val="center" w:pos="4153"/>
        <w:tab w:val="right" w:pos="8306"/>
      </w:tabs>
    </w:pPr>
    <w:rPr>
      <w:rFonts w:eastAsia="Times New Roman"/>
      <w:szCs w:val="20"/>
      <w:lang w:val="en-GB" w:eastAsia="en-AU"/>
    </w:rPr>
  </w:style>
  <w:style w:type="character" w:customStyle="1" w:styleId="HeaderChar">
    <w:name w:val="Header Char"/>
    <w:link w:val="Header"/>
    <w:rsid w:val="00E94C6F"/>
    <w:rPr>
      <w:rFonts w:ascii="Times New Roman" w:eastAsia="Times New Roman" w:hAnsi="Times New Roman" w:cs="Times New Roman"/>
      <w:sz w:val="24"/>
      <w:szCs w:val="20"/>
      <w:lang w:val="en-GB" w:eastAsia="en-AU"/>
    </w:rPr>
  </w:style>
  <w:style w:type="paragraph" w:styleId="Footer">
    <w:name w:val="footer"/>
    <w:basedOn w:val="Normal"/>
    <w:link w:val="FooterChar"/>
    <w:uiPriority w:val="99"/>
    <w:rsid w:val="00E94C6F"/>
    <w:pPr>
      <w:tabs>
        <w:tab w:val="center" w:pos="4153"/>
        <w:tab w:val="right" w:pos="8306"/>
      </w:tabs>
    </w:pPr>
    <w:rPr>
      <w:rFonts w:eastAsia="Times New Roman"/>
      <w:szCs w:val="20"/>
      <w:lang w:val="en-GB" w:eastAsia="en-AU"/>
    </w:rPr>
  </w:style>
  <w:style w:type="character" w:customStyle="1" w:styleId="FooterChar">
    <w:name w:val="Footer Char"/>
    <w:link w:val="Footer"/>
    <w:uiPriority w:val="99"/>
    <w:rsid w:val="00E94C6F"/>
    <w:rPr>
      <w:rFonts w:ascii="Times New Roman" w:eastAsia="Times New Roman" w:hAnsi="Times New Roman" w:cs="Times New Roman"/>
      <w:sz w:val="24"/>
      <w:szCs w:val="20"/>
      <w:lang w:val="en-GB" w:eastAsia="en-AU"/>
    </w:rPr>
  </w:style>
  <w:style w:type="paragraph" w:styleId="TOC1">
    <w:name w:val="toc 1"/>
    <w:basedOn w:val="Normal"/>
    <w:next w:val="Normal"/>
    <w:autoRedefine/>
    <w:uiPriority w:val="39"/>
    <w:rsid w:val="00A84896"/>
    <w:pPr>
      <w:tabs>
        <w:tab w:val="left" w:pos="1701"/>
        <w:tab w:val="right" w:pos="8296"/>
      </w:tabs>
      <w:spacing w:before="440" w:after="320"/>
      <w:ind w:left="1701" w:hanging="1701"/>
      <w:jc w:val="left"/>
    </w:pPr>
    <w:rPr>
      <w:rFonts w:eastAsia="Times New Roman"/>
      <w:b/>
      <w:noProof/>
      <w:szCs w:val="24"/>
      <w:lang w:eastAsia="en-AU"/>
    </w:rPr>
  </w:style>
  <w:style w:type="paragraph" w:styleId="TOC2">
    <w:name w:val="toc 2"/>
    <w:basedOn w:val="Normal"/>
    <w:next w:val="Normal"/>
    <w:autoRedefine/>
    <w:uiPriority w:val="39"/>
    <w:rsid w:val="00A84896"/>
    <w:pPr>
      <w:tabs>
        <w:tab w:val="right" w:pos="8301"/>
      </w:tabs>
      <w:spacing w:before="80" w:after="120"/>
      <w:ind w:left="1979" w:hanging="278"/>
    </w:pPr>
    <w:rPr>
      <w:rFonts w:eastAsia="Times New Roman"/>
      <w:noProof/>
      <w:szCs w:val="24"/>
      <w:lang w:val="en-GB" w:eastAsia="en-AU"/>
    </w:rPr>
  </w:style>
  <w:style w:type="paragraph" w:styleId="TOC3">
    <w:name w:val="toc 3"/>
    <w:basedOn w:val="Normal"/>
    <w:next w:val="Normal"/>
    <w:autoRedefine/>
    <w:uiPriority w:val="39"/>
    <w:rsid w:val="00403419"/>
    <w:pPr>
      <w:tabs>
        <w:tab w:val="right" w:pos="8302"/>
      </w:tabs>
      <w:spacing w:before="20" w:after="80"/>
      <w:ind w:left="2268"/>
    </w:pPr>
    <w:rPr>
      <w:rFonts w:eastAsia="Times New Roman"/>
      <w:noProof/>
      <w:sz w:val="20"/>
      <w:lang w:val="en-GB" w:eastAsia="en-AU"/>
    </w:rPr>
  </w:style>
  <w:style w:type="paragraph" w:customStyle="1" w:styleId="Chapterheading">
    <w:name w:val="Chapter heading"/>
    <w:basedOn w:val="Normal"/>
    <w:rsid w:val="0072301B"/>
    <w:pPr>
      <w:jc w:val="center"/>
    </w:pPr>
    <w:rPr>
      <w:rFonts w:eastAsia="Times New Roman"/>
      <w:b/>
      <w:bCs/>
      <w:caps/>
      <w:sz w:val="28"/>
      <w:szCs w:val="28"/>
      <w:lang w:val="en-GB" w:eastAsia="en-AU"/>
    </w:rPr>
  </w:style>
  <w:style w:type="character" w:customStyle="1" w:styleId="ChapterheadingCharCharChar">
    <w:name w:val="Chapter heading Char Char Char"/>
    <w:rsid w:val="00E94C6F"/>
    <w:rPr>
      <w:rFonts w:ascii="Times New Roman Bold" w:hAnsi="Times New Roman Bold"/>
      <w:b/>
      <w:bCs/>
      <w:caps/>
      <w:sz w:val="28"/>
      <w:szCs w:val="28"/>
      <w:lang w:val="en-GB" w:eastAsia="en-AU" w:bidi="ar-SA"/>
    </w:rPr>
  </w:style>
  <w:style w:type="paragraph" w:customStyle="1" w:styleId="Chapter1">
    <w:name w:val="Chapter 1"/>
    <w:link w:val="Chapter1Char1"/>
    <w:rsid w:val="00BD6CC1"/>
    <w:pPr>
      <w:numPr>
        <w:numId w:val="11"/>
      </w:numPr>
      <w:jc w:val="both"/>
    </w:pPr>
    <w:rPr>
      <w:rFonts w:ascii="Times New Roman" w:eastAsia="Times New Roman" w:hAnsi="Times New Roman"/>
      <w:sz w:val="24"/>
      <w:lang w:eastAsia="en-AU"/>
    </w:rPr>
  </w:style>
  <w:style w:type="character" w:customStyle="1" w:styleId="Chapter1Char1">
    <w:name w:val="Chapter 1 Char1"/>
    <w:link w:val="Chapter1"/>
    <w:rsid w:val="00BD6CC1"/>
    <w:rPr>
      <w:rFonts w:ascii="Times New Roman" w:eastAsia="Times New Roman" w:hAnsi="Times New Roman"/>
      <w:sz w:val="24"/>
      <w:lang w:eastAsia="en-AU"/>
    </w:rPr>
  </w:style>
  <w:style w:type="paragraph" w:customStyle="1" w:styleId="Chapter2">
    <w:name w:val="Chapter 2"/>
    <w:basedOn w:val="Chapter1"/>
    <w:link w:val="Chapter2Char"/>
    <w:rsid w:val="00BD6CC1"/>
    <w:pPr>
      <w:numPr>
        <w:numId w:val="1"/>
      </w:numPr>
    </w:pPr>
    <w:rPr>
      <w:snapToGrid w:val="0"/>
    </w:rPr>
  </w:style>
  <w:style w:type="character" w:customStyle="1" w:styleId="Chapter2Char">
    <w:name w:val="Chapter 2 Char"/>
    <w:link w:val="Chapter2"/>
    <w:rsid w:val="00BD6CC1"/>
    <w:rPr>
      <w:rFonts w:ascii="Times New Roman" w:eastAsia="Times New Roman" w:hAnsi="Times New Roman"/>
      <w:snapToGrid w:val="0"/>
      <w:sz w:val="24"/>
      <w:lang w:eastAsia="en-AU"/>
    </w:rPr>
  </w:style>
  <w:style w:type="paragraph" w:customStyle="1" w:styleId="Bullets">
    <w:name w:val="Bullets"/>
    <w:basedOn w:val="Normal"/>
    <w:link w:val="BulletsChar"/>
    <w:rsid w:val="00BD6CC1"/>
    <w:pPr>
      <w:numPr>
        <w:numId w:val="2"/>
      </w:numPr>
      <w:tabs>
        <w:tab w:val="left" w:pos="1418"/>
      </w:tabs>
      <w:spacing w:after="140"/>
    </w:pPr>
    <w:rPr>
      <w:rFonts w:eastAsia="Times New Roman"/>
      <w:szCs w:val="20"/>
      <w:lang w:val="en-GB" w:eastAsia="en-AU"/>
    </w:rPr>
  </w:style>
  <w:style w:type="character" w:customStyle="1" w:styleId="BulletsChar">
    <w:name w:val="Bullets Char"/>
    <w:link w:val="Bullets"/>
    <w:rsid w:val="00BD6CC1"/>
    <w:rPr>
      <w:rFonts w:ascii="Times New Roman" w:eastAsia="Times New Roman" w:hAnsi="Times New Roman"/>
      <w:sz w:val="24"/>
      <w:lang w:val="en-GB" w:eastAsia="en-AU"/>
    </w:rPr>
  </w:style>
  <w:style w:type="paragraph" w:customStyle="1" w:styleId="BodyText1">
    <w:name w:val="Body Text1"/>
    <w:basedOn w:val="Normal"/>
    <w:qFormat/>
    <w:rsid w:val="00BD6CC1"/>
  </w:style>
  <w:style w:type="character" w:customStyle="1" w:styleId="Heading1Char">
    <w:name w:val="Heading 1 Char"/>
    <w:link w:val="Heading1"/>
    <w:uiPriority w:val="9"/>
    <w:rsid w:val="00175D07"/>
    <w:rPr>
      <w:rFonts w:ascii="Times New Roman" w:eastAsia="Times New Roman" w:hAnsi="Times New Roman" w:cs="Times New Roman"/>
      <w:b/>
      <w:bCs/>
      <w:sz w:val="24"/>
      <w:szCs w:val="28"/>
    </w:rPr>
  </w:style>
  <w:style w:type="character" w:customStyle="1" w:styleId="Heading2Char">
    <w:name w:val="Heading 2 Char"/>
    <w:link w:val="Heading2"/>
    <w:uiPriority w:val="9"/>
    <w:rsid w:val="00BB56C9"/>
    <w:rPr>
      <w:rFonts w:ascii="Times New Roman" w:eastAsia="Times New Roman" w:hAnsi="Times New Roman" w:cs="Times New Roman"/>
      <w:b/>
      <w:bCs/>
      <w:i/>
      <w:sz w:val="24"/>
      <w:szCs w:val="26"/>
    </w:rPr>
  </w:style>
  <w:style w:type="character" w:customStyle="1" w:styleId="Heading3Char">
    <w:name w:val="Heading 3 Char"/>
    <w:link w:val="Heading3"/>
    <w:uiPriority w:val="9"/>
    <w:rsid w:val="00BB56C9"/>
    <w:rPr>
      <w:rFonts w:ascii="Cambria" w:eastAsia="Times New Roman" w:hAnsi="Cambria" w:cs="Times New Roman"/>
      <w:b/>
      <w:bCs/>
      <w:color w:val="4F81BD"/>
    </w:rPr>
  </w:style>
  <w:style w:type="numbering" w:customStyle="1" w:styleId="Style1">
    <w:name w:val="Style1"/>
    <w:uiPriority w:val="99"/>
    <w:rsid w:val="00B4233B"/>
    <w:pPr>
      <w:numPr>
        <w:numId w:val="3"/>
      </w:numPr>
    </w:pPr>
  </w:style>
  <w:style w:type="paragraph" w:customStyle="1" w:styleId="Chapter4">
    <w:name w:val="Chapter 4"/>
    <w:basedOn w:val="Chapter2"/>
    <w:qFormat/>
    <w:rsid w:val="00C02169"/>
    <w:pPr>
      <w:numPr>
        <w:numId w:val="4"/>
      </w:numPr>
      <w:tabs>
        <w:tab w:val="left" w:pos="851"/>
      </w:tabs>
      <w:ind w:left="851" w:hanging="851"/>
    </w:pPr>
  </w:style>
  <w:style w:type="paragraph" w:customStyle="1" w:styleId="Chapter3">
    <w:name w:val="Chapter 3"/>
    <w:basedOn w:val="Chapter2"/>
    <w:qFormat/>
    <w:rsid w:val="00C02169"/>
    <w:pPr>
      <w:numPr>
        <w:numId w:val="5"/>
      </w:numPr>
      <w:tabs>
        <w:tab w:val="left" w:pos="851"/>
      </w:tabs>
      <w:ind w:left="851" w:hanging="851"/>
    </w:pPr>
  </w:style>
  <w:style w:type="character" w:customStyle="1" w:styleId="Heading4Char">
    <w:name w:val="Heading 4 Char"/>
    <w:link w:val="Heading4"/>
    <w:uiPriority w:val="9"/>
    <w:semiHidden/>
    <w:rsid w:val="007B71C9"/>
    <w:rPr>
      <w:rFonts w:ascii="Calibri" w:eastAsia="Times New Roman" w:hAnsi="Calibri" w:cs="Times New Roman"/>
      <w:b/>
      <w:bCs/>
      <w:sz w:val="28"/>
      <w:szCs w:val="28"/>
      <w:lang w:eastAsia="en-US"/>
    </w:rPr>
  </w:style>
  <w:style w:type="table" w:styleId="TableGrid">
    <w:name w:val="Table Grid"/>
    <w:basedOn w:val="TableNormal"/>
    <w:uiPriority w:val="39"/>
    <w:rsid w:val="007B71C9"/>
    <w:pPr>
      <w:jc w:val="both"/>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6C9"/>
    <w:pPr>
      <w:jc w:val="both"/>
    </w:pPr>
    <w:rPr>
      <w:rFonts w:ascii="Times New Roman" w:hAnsi="Times New Roman"/>
      <w:sz w:val="24"/>
      <w:szCs w:val="22"/>
      <w:lang w:eastAsia="en-US"/>
    </w:rPr>
  </w:style>
  <w:style w:type="paragraph" w:styleId="Heading1">
    <w:name w:val="heading 1"/>
    <w:basedOn w:val="Normal"/>
    <w:next w:val="Normal"/>
    <w:link w:val="Heading1Char"/>
    <w:uiPriority w:val="9"/>
    <w:qFormat/>
    <w:rsid w:val="00175D07"/>
    <w:pPr>
      <w:keepNext/>
      <w:keepLines/>
      <w:outlineLvl w:val="0"/>
    </w:pPr>
    <w:rPr>
      <w:rFonts w:eastAsia="Times New Roman"/>
      <w:b/>
      <w:bCs/>
      <w:szCs w:val="28"/>
    </w:rPr>
  </w:style>
  <w:style w:type="paragraph" w:styleId="Heading2">
    <w:name w:val="heading 2"/>
    <w:basedOn w:val="Normal"/>
    <w:next w:val="Normal"/>
    <w:link w:val="Heading2Char"/>
    <w:uiPriority w:val="9"/>
    <w:unhideWhenUsed/>
    <w:qFormat/>
    <w:rsid w:val="00BB56C9"/>
    <w:pPr>
      <w:keepNext/>
      <w:keepLines/>
      <w:outlineLvl w:val="1"/>
    </w:pPr>
    <w:rPr>
      <w:rFonts w:eastAsia="Times New Roman"/>
      <w:b/>
      <w:bCs/>
      <w:i/>
      <w:szCs w:val="26"/>
    </w:rPr>
  </w:style>
  <w:style w:type="paragraph" w:styleId="Heading3">
    <w:name w:val="heading 3"/>
    <w:basedOn w:val="Normal"/>
    <w:next w:val="Normal"/>
    <w:link w:val="Heading3Char"/>
    <w:uiPriority w:val="9"/>
    <w:unhideWhenUsed/>
    <w:qFormat/>
    <w:rsid w:val="00BB56C9"/>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7B71C9"/>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393B"/>
    <w:rPr>
      <w:rFonts w:ascii="Tahoma" w:hAnsi="Tahoma" w:cs="Tahoma"/>
      <w:sz w:val="16"/>
      <w:szCs w:val="16"/>
    </w:rPr>
  </w:style>
  <w:style w:type="character" w:customStyle="1" w:styleId="BalloonTextChar">
    <w:name w:val="Balloon Text Char"/>
    <w:link w:val="BalloonText"/>
    <w:uiPriority w:val="99"/>
    <w:semiHidden/>
    <w:rsid w:val="0012393B"/>
    <w:rPr>
      <w:rFonts w:ascii="Tahoma" w:hAnsi="Tahoma" w:cs="Tahoma"/>
      <w:sz w:val="16"/>
      <w:szCs w:val="16"/>
    </w:rPr>
  </w:style>
  <w:style w:type="paragraph" w:styleId="FootnoteText">
    <w:name w:val="footnote text"/>
    <w:basedOn w:val="Normal"/>
    <w:link w:val="FootnoteTextChar"/>
    <w:uiPriority w:val="99"/>
    <w:semiHidden/>
    <w:unhideWhenUsed/>
    <w:rsid w:val="00141011"/>
    <w:rPr>
      <w:sz w:val="20"/>
      <w:szCs w:val="20"/>
    </w:rPr>
  </w:style>
  <w:style w:type="character" w:customStyle="1" w:styleId="FootnoteTextChar">
    <w:name w:val="Footnote Text Char"/>
    <w:link w:val="FootnoteText"/>
    <w:uiPriority w:val="99"/>
    <w:semiHidden/>
    <w:rsid w:val="00141011"/>
    <w:rPr>
      <w:sz w:val="20"/>
      <w:szCs w:val="20"/>
    </w:rPr>
  </w:style>
  <w:style w:type="character" w:styleId="FootnoteReference">
    <w:name w:val="footnote reference"/>
    <w:uiPriority w:val="99"/>
    <w:semiHidden/>
    <w:unhideWhenUsed/>
    <w:rsid w:val="00141011"/>
    <w:rPr>
      <w:vertAlign w:val="superscript"/>
    </w:rPr>
  </w:style>
  <w:style w:type="paragraph" w:styleId="ListParagraph">
    <w:name w:val="List Paragraph"/>
    <w:basedOn w:val="Normal"/>
    <w:uiPriority w:val="34"/>
    <w:qFormat/>
    <w:rsid w:val="005075C7"/>
    <w:pPr>
      <w:ind w:left="720"/>
      <w:contextualSpacing/>
    </w:pPr>
  </w:style>
  <w:style w:type="character" w:styleId="CommentReference">
    <w:name w:val="annotation reference"/>
    <w:uiPriority w:val="99"/>
    <w:semiHidden/>
    <w:unhideWhenUsed/>
    <w:rsid w:val="003F7C4A"/>
    <w:rPr>
      <w:sz w:val="16"/>
      <w:szCs w:val="16"/>
    </w:rPr>
  </w:style>
  <w:style w:type="paragraph" w:styleId="CommentText">
    <w:name w:val="annotation text"/>
    <w:basedOn w:val="Normal"/>
    <w:link w:val="CommentTextChar"/>
    <w:uiPriority w:val="99"/>
    <w:unhideWhenUsed/>
    <w:rsid w:val="003F7C4A"/>
    <w:rPr>
      <w:sz w:val="20"/>
      <w:szCs w:val="20"/>
    </w:rPr>
  </w:style>
  <w:style w:type="character" w:customStyle="1" w:styleId="CommentTextChar">
    <w:name w:val="Comment Text Char"/>
    <w:link w:val="CommentText"/>
    <w:uiPriority w:val="99"/>
    <w:rsid w:val="003F7C4A"/>
    <w:rPr>
      <w:sz w:val="20"/>
      <w:szCs w:val="20"/>
    </w:rPr>
  </w:style>
  <w:style w:type="paragraph" w:styleId="CommentSubject">
    <w:name w:val="annotation subject"/>
    <w:basedOn w:val="CommentText"/>
    <w:next w:val="CommentText"/>
    <w:link w:val="CommentSubjectChar"/>
    <w:uiPriority w:val="99"/>
    <w:semiHidden/>
    <w:unhideWhenUsed/>
    <w:rsid w:val="003F7C4A"/>
    <w:rPr>
      <w:b/>
      <w:bCs/>
    </w:rPr>
  </w:style>
  <w:style w:type="character" w:customStyle="1" w:styleId="CommentSubjectChar">
    <w:name w:val="Comment Subject Char"/>
    <w:link w:val="CommentSubject"/>
    <w:uiPriority w:val="99"/>
    <w:semiHidden/>
    <w:rsid w:val="003F7C4A"/>
    <w:rPr>
      <w:b/>
      <w:bCs/>
      <w:sz w:val="20"/>
      <w:szCs w:val="20"/>
    </w:rPr>
  </w:style>
  <w:style w:type="paragraph" w:styleId="Header">
    <w:name w:val="header"/>
    <w:basedOn w:val="Normal"/>
    <w:link w:val="HeaderChar"/>
    <w:rsid w:val="00E94C6F"/>
    <w:pPr>
      <w:tabs>
        <w:tab w:val="center" w:pos="4153"/>
        <w:tab w:val="right" w:pos="8306"/>
      </w:tabs>
    </w:pPr>
    <w:rPr>
      <w:rFonts w:eastAsia="Times New Roman"/>
      <w:szCs w:val="20"/>
      <w:lang w:val="en-GB" w:eastAsia="en-AU"/>
    </w:rPr>
  </w:style>
  <w:style w:type="character" w:customStyle="1" w:styleId="HeaderChar">
    <w:name w:val="Header Char"/>
    <w:link w:val="Header"/>
    <w:rsid w:val="00E94C6F"/>
    <w:rPr>
      <w:rFonts w:ascii="Times New Roman" w:eastAsia="Times New Roman" w:hAnsi="Times New Roman" w:cs="Times New Roman"/>
      <w:sz w:val="24"/>
      <w:szCs w:val="20"/>
      <w:lang w:val="en-GB" w:eastAsia="en-AU"/>
    </w:rPr>
  </w:style>
  <w:style w:type="paragraph" w:styleId="Footer">
    <w:name w:val="footer"/>
    <w:basedOn w:val="Normal"/>
    <w:link w:val="FooterChar"/>
    <w:uiPriority w:val="99"/>
    <w:rsid w:val="00E94C6F"/>
    <w:pPr>
      <w:tabs>
        <w:tab w:val="center" w:pos="4153"/>
        <w:tab w:val="right" w:pos="8306"/>
      </w:tabs>
    </w:pPr>
    <w:rPr>
      <w:rFonts w:eastAsia="Times New Roman"/>
      <w:szCs w:val="20"/>
      <w:lang w:val="en-GB" w:eastAsia="en-AU"/>
    </w:rPr>
  </w:style>
  <w:style w:type="character" w:customStyle="1" w:styleId="FooterChar">
    <w:name w:val="Footer Char"/>
    <w:link w:val="Footer"/>
    <w:uiPriority w:val="99"/>
    <w:rsid w:val="00E94C6F"/>
    <w:rPr>
      <w:rFonts w:ascii="Times New Roman" w:eastAsia="Times New Roman" w:hAnsi="Times New Roman" w:cs="Times New Roman"/>
      <w:sz w:val="24"/>
      <w:szCs w:val="20"/>
      <w:lang w:val="en-GB" w:eastAsia="en-AU"/>
    </w:rPr>
  </w:style>
  <w:style w:type="paragraph" w:styleId="TOC1">
    <w:name w:val="toc 1"/>
    <w:basedOn w:val="Normal"/>
    <w:next w:val="Normal"/>
    <w:autoRedefine/>
    <w:uiPriority w:val="39"/>
    <w:rsid w:val="00A84896"/>
    <w:pPr>
      <w:tabs>
        <w:tab w:val="left" w:pos="1701"/>
        <w:tab w:val="right" w:pos="8296"/>
      </w:tabs>
      <w:spacing w:before="440" w:after="320"/>
      <w:ind w:left="1701" w:hanging="1701"/>
      <w:jc w:val="left"/>
    </w:pPr>
    <w:rPr>
      <w:rFonts w:eastAsia="Times New Roman"/>
      <w:b/>
      <w:noProof/>
      <w:szCs w:val="24"/>
      <w:lang w:eastAsia="en-AU"/>
    </w:rPr>
  </w:style>
  <w:style w:type="paragraph" w:styleId="TOC2">
    <w:name w:val="toc 2"/>
    <w:basedOn w:val="Normal"/>
    <w:next w:val="Normal"/>
    <w:autoRedefine/>
    <w:uiPriority w:val="39"/>
    <w:rsid w:val="00A84896"/>
    <w:pPr>
      <w:tabs>
        <w:tab w:val="right" w:pos="8301"/>
      </w:tabs>
      <w:spacing w:before="80" w:after="120"/>
      <w:ind w:left="1979" w:hanging="278"/>
    </w:pPr>
    <w:rPr>
      <w:rFonts w:eastAsia="Times New Roman"/>
      <w:noProof/>
      <w:szCs w:val="24"/>
      <w:lang w:val="en-GB" w:eastAsia="en-AU"/>
    </w:rPr>
  </w:style>
  <w:style w:type="paragraph" w:styleId="TOC3">
    <w:name w:val="toc 3"/>
    <w:basedOn w:val="Normal"/>
    <w:next w:val="Normal"/>
    <w:autoRedefine/>
    <w:uiPriority w:val="39"/>
    <w:rsid w:val="00403419"/>
    <w:pPr>
      <w:tabs>
        <w:tab w:val="right" w:pos="8302"/>
      </w:tabs>
      <w:spacing w:before="20" w:after="80"/>
      <w:ind w:left="2268"/>
    </w:pPr>
    <w:rPr>
      <w:rFonts w:eastAsia="Times New Roman"/>
      <w:noProof/>
      <w:sz w:val="20"/>
      <w:lang w:val="en-GB" w:eastAsia="en-AU"/>
    </w:rPr>
  </w:style>
  <w:style w:type="paragraph" w:customStyle="1" w:styleId="Chapterheading">
    <w:name w:val="Chapter heading"/>
    <w:basedOn w:val="Normal"/>
    <w:rsid w:val="0072301B"/>
    <w:pPr>
      <w:jc w:val="center"/>
    </w:pPr>
    <w:rPr>
      <w:rFonts w:eastAsia="Times New Roman"/>
      <w:b/>
      <w:bCs/>
      <w:caps/>
      <w:sz w:val="28"/>
      <w:szCs w:val="28"/>
      <w:lang w:val="en-GB" w:eastAsia="en-AU"/>
    </w:rPr>
  </w:style>
  <w:style w:type="character" w:customStyle="1" w:styleId="ChapterheadingCharCharChar">
    <w:name w:val="Chapter heading Char Char Char"/>
    <w:rsid w:val="00E94C6F"/>
    <w:rPr>
      <w:rFonts w:ascii="Times New Roman Bold" w:hAnsi="Times New Roman Bold"/>
      <w:b/>
      <w:bCs/>
      <w:caps/>
      <w:sz w:val="28"/>
      <w:szCs w:val="28"/>
      <w:lang w:val="en-GB" w:eastAsia="en-AU" w:bidi="ar-SA"/>
    </w:rPr>
  </w:style>
  <w:style w:type="paragraph" w:customStyle="1" w:styleId="Chapter1">
    <w:name w:val="Chapter 1"/>
    <w:link w:val="Chapter1Char1"/>
    <w:rsid w:val="00BD6CC1"/>
    <w:pPr>
      <w:numPr>
        <w:numId w:val="11"/>
      </w:numPr>
      <w:jc w:val="both"/>
    </w:pPr>
    <w:rPr>
      <w:rFonts w:ascii="Times New Roman" w:eastAsia="Times New Roman" w:hAnsi="Times New Roman"/>
      <w:sz w:val="24"/>
      <w:lang w:eastAsia="en-AU"/>
    </w:rPr>
  </w:style>
  <w:style w:type="character" w:customStyle="1" w:styleId="Chapter1Char1">
    <w:name w:val="Chapter 1 Char1"/>
    <w:link w:val="Chapter1"/>
    <w:rsid w:val="00BD6CC1"/>
    <w:rPr>
      <w:rFonts w:ascii="Times New Roman" w:eastAsia="Times New Roman" w:hAnsi="Times New Roman"/>
      <w:sz w:val="24"/>
      <w:lang w:eastAsia="en-AU"/>
    </w:rPr>
  </w:style>
  <w:style w:type="paragraph" w:customStyle="1" w:styleId="Chapter2">
    <w:name w:val="Chapter 2"/>
    <w:basedOn w:val="Chapter1"/>
    <w:link w:val="Chapter2Char"/>
    <w:rsid w:val="00BD6CC1"/>
    <w:pPr>
      <w:numPr>
        <w:numId w:val="1"/>
      </w:numPr>
    </w:pPr>
    <w:rPr>
      <w:snapToGrid w:val="0"/>
    </w:rPr>
  </w:style>
  <w:style w:type="character" w:customStyle="1" w:styleId="Chapter2Char">
    <w:name w:val="Chapter 2 Char"/>
    <w:link w:val="Chapter2"/>
    <w:rsid w:val="00BD6CC1"/>
    <w:rPr>
      <w:rFonts w:ascii="Times New Roman" w:eastAsia="Times New Roman" w:hAnsi="Times New Roman"/>
      <w:snapToGrid w:val="0"/>
      <w:sz w:val="24"/>
      <w:lang w:eastAsia="en-AU"/>
    </w:rPr>
  </w:style>
  <w:style w:type="paragraph" w:customStyle="1" w:styleId="Bullets">
    <w:name w:val="Bullets"/>
    <w:basedOn w:val="Normal"/>
    <w:link w:val="BulletsChar"/>
    <w:rsid w:val="00BD6CC1"/>
    <w:pPr>
      <w:numPr>
        <w:numId w:val="2"/>
      </w:numPr>
      <w:tabs>
        <w:tab w:val="left" w:pos="1418"/>
      </w:tabs>
      <w:spacing w:after="140"/>
    </w:pPr>
    <w:rPr>
      <w:rFonts w:eastAsia="Times New Roman"/>
      <w:szCs w:val="20"/>
      <w:lang w:val="en-GB" w:eastAsia="en-AU"/>
    </w:rPr>
  </w:style>
  <w:style w:type="character" w:customStyle="1" w:styleId="BulletsChar">
    <w:name w:val="Bullets Char"/>
    <w:link w:val="Bullets"/>
    <w:rsid w:val="00BD6CC1"/>
    <w:rPr>
      <w:rFonts w:ascii="Times New Roman" w:eastAsia="Times New Roman" w:hAnsi="Times New Roman"/>
      <w:sz w:val="24"/>
      <w:lang w:val="en-GB" w:eastAsia="en-AU"/>
    </w:rPr>
  </w:style>
  <w:style w:type="paragraph" w:customStyle="1" w:styleId="BodyText1">
    <w:name w:val="Body Text1"/>
    <w:basedOn w:val="Normal"/>
    <w:qFormat/>
    <w:rsid w:val="00BD6CC1"/>
  </w:style>
  <w:style w:type="character" w:customStyle="1" w:styleId="Heading1Char">
    <w:name w:val="Heading 1 Char"/>
    <w:link w:val="Heading1"/>
    <w:uiPriority w:val="9"/>
    <w:rsid w:val="00175D07"/>
    <w:rPr>
      <w:rFonts w:ascii="Times New Roman" w:eastAsia="Times New Roman" w:hAnsi="Times New Roman" w:cs="Times New Roman"/>
      <w:b/>
      <w:bCs/>
      <w:sz w:val="24"/>
      <w:szCs w:val="28"/>
    </w:rPr>
  </w:style>
  <w:style w:type="character" w:customStyle="1" w:styleId="Heading2Char">
    <w:name w:val="Heading 2 Char"/>
    <w:link w:val="Heading2"/>
    <w:uiPriority w:val="9"/>
    <w:rsid w:val="00BB56C9"/>
    <w:rPr>
      <w:rFonts w:ascii="Times New Roman" w:eastAsia="Times New Roman" w:hAnsi="Times New Roman" w:cs="Times New Roman"/>
      <w:b/>
      <w:bCs/>
      <w:i/>
      <w:sz w:val="24"/>
      <w:szCs w:val="26"/>
    </w:rPr>
  </w:style>
  <w:style w:type="character" w:customStyle="1" w:styleId="Heading3Char">
    <w:name w:val="Heading 3 Char"/>
    <w:link w:val="Heading3"/>
    <w:uiPriority w:val="9"/>
    <w:rsid w:val="00BB56C9"/>
    <w:rPr>
      <w:rFonts w:ascii="Cambria" w:eastAsia="Times New Roman" w:hAnsi="Cambria" w:cs="Times New Roman"/>
      <w:b/>
      <w:bCs/>
      <w:color w:val="4F81BD"/>
    </w:rPr>
  </w:style>
  <w:style w:type="numbering" w:customStyle="1" w:styleId="Style1">
    <w:name w:val="Style1"/>
    <w:uiPriority w:val="99"/>
    <w:rsid w:val="00B4233B"/>
    <w:pPr>
      <w:numPr>
        <w:numId w:val="3"/>
      </w:numPr>
    </w:pPr>
  </w:style>
  <w:style w:type="paragraph" w:customStyle="1" w:styleId="Chapter4">
    <w:name w:val="Chapter 4"/>
    <w:basedOn w:val="Chapter2"/>
    <w:qFormat/>
    <w:rsid w:val="00C02169"/>
    <w:pPr>
      <w:numPr>
        <w:numId w:val="4"/>
      </w:numPr>
      <w:tabs>
        <w:tab w:val="left" w:pos="851"/>
      </w:tabs>
      <w:ind w:left="851" w:hanging="851"/>
    </w:pPr>
  </w:style>
  <w:style w:type="paragraph" w:customStyle="1" w:styleId="Chapter3">
    <w:name w:val="Chapter 3"/>
    <w:basedOn w:val="Chapter2"/>
    <w:qFormat/>
    <w:rsid w:val="00C02169"/>
    <w:pPr>
      <w:numPr>
        <w:numId w:val="5"/>
      </w:numPr>
      <w:tabs>
        <w:tab w:val="left" w:pos="851"/>
      </w:tabs>
      <w:ind w:left="851" w:hanging="851"/>
    </w:pPr>
  </w:style>
  <w:style w:type="character" w:customStyle="1" w:styleId="Heading4Char">
    <w:name w:val="Heading 4 Char"/>
    <w:link w:val="Heading4"/>
    <w:uiPriority w:val="9"/>
    <w:semiHidden/>
    <w:rsid w:val="007B71C9"/>
    <w:rPr>
      <w:rFonts w:ascii="Calibri" w:eastAsia="Times New Roman" w:hAnsi="Calibri" w:cs="Times New Roman"/>
      <w:b/>
      <w:bCs/>
      <w:sz w:val="28"/>
      <w:szCs w:val="28"/>
      <w:lang w:eastAsia="en-US"/>
    </w:rPr>
  </w:style>
  <w:style w:type="table" w:styleId="TableGrid">
    <w:name w:val="Table Grid"/>
    <w:basedOn w:val="TableNormal"/>
    <w:uiPriority w:val="39"/>
    <w:rsid w:val="007B71C9"/>
    <w:pPr>
      <w:jc w:val="both"/>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6C2EB-B959-42A0-B519-482CFFF31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2004</Words>
  <Characters>11184</Characters>
  <Application>Microsoft Office Word</Application>
  <DocSecurity>0</DocSecurity>
  <Lines>385</Lines>
  <Paragraphs>140</Paragraphs>
  <ScaleCrop>false</ScaleCrop>
  <HeadingPairs>
    <vt:vector size="2" baseType="variant">
      <vt:variant>
        <vt:lpstr>Title</vt:lpstr>
      </vt:variant>
      <vt:variant>
        <vt:i4>1</vt:i4>
      </vt:variant>
    </vt:vector>
  </HeadingPairs>
  <TitlesOfParts>
    <vt:vector size="1" baseType="lpstr">
      <vt:lpstr>Minimum financial reporting requirements for companies - An officials’ issues paper on proposed requirements for the preparation of financial statements (May 2018)</vt:lpstr>
    </vt:vector>
  </TitlesOfParts>
  <Company>Inland Revenue</Company>
  <LinksUpToDate>false</LinksUpToDate>
  <CharactersWithSpaces>13048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financial reporting requirements for companies - An officials’ issues paper on proposed requirements for the preparation of financial statements (May 2018)</dc:title>
  <dc:subject/>
  <dc:creator>Policy and Strategy</dc:creator>
  <cp:lastModifiedBy>Policy and Strategy, Inland Revenue</cp:lastModifiedBy>
  <cp:revision>2</cp:revision>
  <dcterms:created xsi:type="dcterms:W3CDTF">2018-08-07T10:04:00Z</dcterms:created>
  <dcterms:modified xsi:type="dcterms:W3CDTF">2018-08-07T10:05:00Z</dcterms:modified>
</cp:coreProperties>
</file>