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382E2E" w:rsidRDefault="001005B7" w:rsidP="001005B7">
      <w:pPr>
        <w:jc w:val="center"/>
        <w:rPr>
          <w:b/>
          <w:lang w:val="en-NZ"/>
        </w:rPr>
      </w:pPr>
      <w:bookmarkStart w:id="0" w:name="_GoBack"/>
      <w:bookmarkEnd w:id="0"/>
    </w:p>
    <w:p w:rsidR="001005B7" w:rsidRPr="00382E2E" w:rsidRDefault="001005B7" w:rsidP="001005B7">
      <w:pPr>
        <w:jc w:val="center"/>
        <w:rPr>
          <w:b/>
          <w:lang w:val="en-NZ"/>
        </w:rPr>
      </w:pPr>
    </w:p>
    <w:p w:rsidR="001005B7" w:rsidRPr="00382E2E" w:rsidRDefault="001005B7" w:rsidP="001005B7">
      <w:pPr>
        <w:jc w:val="center"/>
        <w:rPr>
          <w:b/>
          <w:lang w:val="en-NZ"/>
        </w:rPr>
      </w:pPr>
    </w:p>
    <w:p w:rsidR="001A1E6C" w:rsidRPr="000E4CB7" w:rsidRDefault="001A1E6C" w:rsidP="001005B7">
      <w:pPr>
        <w:pBdr>
          <w:bottom w:val="single" w:sz="4" w:space="5" w:color="auto"/>
        </w:pBdr>
        <w:jc w:val="center"/>
        <w:rPr>
          <w:b/>
          <w:sz w:val="52"/>
          <w:szCs w:val="68"/>
          <w:lang w:val="en-NZ"/>
        </w:rPr>
      </w:pPr>
      <w:r w:rsidRPr="000E4CB7">
        <w:rPr>
          <w:sz w:val="52"/>
          <w:szCs w:val="68"/>
          <w:lang w:val="en-NZ"/>
        </w:rPr>
        <w:t xml:space="preserve">New Zealand’s implementation of the </w:t>
      </w:r>
      <w:r w:rsidRPr="000E4CB7">
        <w:rPr>
          <w:i/>
          <w:sz w:val="52"/>
          <w:szCs w:val="68"/>
          <w:lang w:val="en-NZ"/>
        </w:rPr>
        <w:t>Multilateral Convention to Implement Tax Treaty Related Measures to Prevent BEPS</w:t>
      </w:r>
    </w:p>
    <w:p w:rsidR="001005B7" w:rsidRPr="00382E2E" w:rsidRDefault="001005B7" w:rsidP="001005B7">
      <w:pPr>
        <w:jc w:val="center"/>
        <w:rPr>
          <w:b/>
          <w:sz w:val="40"/>
          <w:szCs w:val="40"/>
          <w:lang w:val="en-NZ"/>
        </w:rPr>
      </w:pPr>
    </w:p>
    <w:p w:rsidR="001005B7" w:rsidRPr="00382E2E" w:rsidRDefault="001005B7" w:rsidP="001005B7">
      <w:pPr>
        <w:jc w:val="center"/>
        <w:rPr>
          <w:i/>
          <w:sz w:val="28"/>
          <w:szCs w:val="28"/>
          <w:lang w:val="en-NZ"/>
        </w:rPr>
      </w:pPr>
      <w:r w:rsidRPr="00382E2E">
        <w:rPr>
          <w:i/>
          <w:sz w:val="28"/>
          <w:szCs w:val="28"/>
          <w:lang w:val="en-NZ"/>
        </w:rPr>
        <w:t>An officials’ issues paper</w:t>
      </w:r>
    </w:p>
    <w:p w:rsidR="001005B7" w:rsidRPr="00382E2E" w:rsidRDefault="001005B7" w:rsidP="001005B7">
      <w:pPr>
        <w:jc w:val="center"/>
        <w:rPr>
          <w:b/>
          <w:sz w:val="40"/>
          <w:szCs w:val="40"/>
          <w:lang w:val="en-NZ"/>
        </w:rPr>
      </w:pPr>
    </w:p>
    <w:p w:rsidR="001005B7" w:rsidRPr="00382E2E" w:rsidRDefault="001005B7" w:rsidP="001005B7">
      <w:pPr>
        <w:jc w:val="center"/>
        <w:rPr>
          <w:b/>
          <w:lang w:val="en-NZ"/>
        </w:rPr>
      </w:pPr>
    </w:p>
    <w:p w:rsidR="001005B7" w:rsidRPr="00382E2E" w:rsidRDefault="001005B7" w:rsidP="001005B7">
      <w:pPr>
        <w:jc w:val="center"/>
        <w:rPr>
          <w:b/>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Default="001005B7" w:rsidP="001005B7">
      <w:pPr>
        <w:rPr>
          <w:lang w:val="en-NZ"/>
        </w:rPr>
      </w:pPr>
    </w:p>
    <w:p w:rsidR="00746168" w:rsidRDefault="00746168" w:rsidP="001005B7">
      <w:pPr>
        <w:rPr>
          <w:lang w:val="en-NZ"/>
        </w:rPr>
      </w:pPr>
    </w:p>
    <w:p w:rsidR="00746168" w:rsidRDefault="00746168" w:rsidP="001005B7">
      <w:pPr>
        <w:rPr>
          <w:lang w:val="en-NZ"/>
        </w:rPr>
      </w:pPr>
    </w:p>
    <w:p w:rsidR="00746168" w:rsidRDefault="00746168" w:rsidP="001005B7">
      <w:pPr>
        <w:rPr>
          <w:lang w:val="en-NZ"/>
        </w:rPr>
      </w:pPr>
    </w:p>
    <w:p w:rsidR="00746168" w:rsidRDefault="00746168" w:rsidP="001005B7">
      <w:pPr>
        <w:rPr>
          <w:lang w:val="en-NZ"/>
        </w:rPr>
      </w:pPr>
    </w:p>
    <w:p w:rsidR="00FF1B36" w:rsidRDefault="00FF1B36" w:rsidP="001005B7">
      <w:pPr>
        <w:rPr>
          <w:lang w:val="en-NZ"/>
        </w:rPr>
      </w:pPr>
    </w:p>
    <w:p w:rsidR="00FF1B36" w:rsidRDefault="00FF1B36" w:rsidP="001005B7">
      <w:pPr>
        <w:rPr>
          <w:lang w:val="en-NZ"/>
        </w:rPr>
      </w:pPr>
    </w:p>
    <w:p w:rsidR="00746168" w:rsidRDefault="00746168" w:rsidP="001005B7">
      <w:pPr>
        <w:rPr>
          <w:lang w:val="en-NZ"/>
        </w:rPr>
      </w:pPr>
    </w:p>
    <w:p w:rsidR="00746168" w:rsidRDefault="00746168" w:rsidP="001005B7">
      <w:pPr>
        <w:rPr>
          <w:lang w:val="en-NZ"/>
        </w:rPr>
      </w:pPr>
    </w:p>
    <w:p w:rsidR="00746168" w:rsidRPr="00382E2E" w:rsidRDefault="00746168"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7500F9" w:rsidP="001005B7">
      <w:pPr>
        <w:tabs>
          <w:tab w:val="left" w:pos="6237"/>
        </w:tabs>
        <w:rPr>
          <w:sz w:val="28"/>
          <w:szCs w:val="28"/>
          <w:lang w:val="en-NZ"/>
        </w:rPr>
      </w:pPr>
      <w:r w:rsidRPr="001155D2">
        <w:rPr>
          <w:sz w:val="28"/>
          <w:szCs w:val="28"/>
          <w:lang w:val="en-NZ"/>
        </w:rPr>
        <w:t>March</w:t>
      </w:r>
      <w:r w:rsidR="00DB45C7" w:rsidRPr="001155D2">
        <w:rPr>
          <w:sz w:val="28"/>
          <w:szCs w:val="28"/>
          <w:lang w:val="en-NZ"/>
        </w:rPr>
        <w:t xml:space="preserve"> 2017</w:t>
      </w: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i/>
          <w:lang w:val="en-NZ"/>
        </w:rPr>
      </w:pPr>
      <w:r w:rsidRPr="00382E2E">
        <w:rPr>
          <w:i/>
          <w:lang w:val="en-NZ"/>
        </w:rPr>
        <w:t xml:space="preserve">Prepared by Policy </w:t>
      </w:r>
      <w:r w:rsidR="00B94457">
        <w:rPr>
          <w:i/>
          <w:lang w:val="en-NZ"/>
        </w:rPr>
        <w:t>and Strategy</w:t>
      </w:r>
      <w:r w:rsidR="00F41E01">
        <w:rPr>
          <w:i/>
          <w:lang w:val="en-NZ"/>
        </w:rPr>
        <w:t>,</w:t>
      </w:r>
      <w:r w:rsidR="00B94457">
        <w:rPr>
          <w:i/>
          <w:lang w:val="en-NZ"/>
        </w:rPr>
        <w:t xml:space="preserve"> </w:t>
      </w:r>
      <w:r w:rsidRPr="00382E2E">
        <w:rPr>
          <w:i/>
          <w:lang w:val="en-NZ"/>
        </w:rPr>
        <w:t>Inland Revenue</w:t>
      </w:r>
      <w:r w:rsidR="00F41E01">
        <w:rPr>
          <w:i/>
          <w:lang w:val="en-NZ"/>
        </w:rPr>
        <w:t>,</w:t>
      </w:r>
      <w:r w:rsidRPr="00382E2E">
        <w:rPr>
          <w:i/>
          <w:lang w:val="en-NZ"/>
        </w:rPr>
        <w:t xml:space="preserve"> </w:t>
      </w:r>
      <w:r w:rsidR="00B94457">
        <w:rPr>
          <w:i/>
          <w:lang w:val="en-NZ"/>
        </w:rPr>
        <w:t>a</w:t>
      </w:r>
      <w:r w:rsidRPr="00382E2E">
        <w:rPr>
          <w:i/>
          <w:lang w:val="en-NZ"/>
        </w:rPr>
        <w:t>nd the Treasury</w:t>
      </w:r>
    </w:p>
    <w:p w:rsidR="001005B7" w:rsidRPr="00382E2E" w:rsidRDefault="001005B7" w:rsidP="001005B7">
      <w:pPr>
        <w:rPr>
          <w:lang w:val="en-NZ"/>
        </w:rPr>
      </w:pPr>
      <w:r w:rsidRPr="00382E2E">
        <w:rPr>
          <w:lang w:val="en-NZ"/>
        </w:rPr>
        <w:br w:type="page"/>
      </w: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Default="001005B7" w:rsidP="001005B7">
      <w:pPr>
        <w:rPr>
          <w:lang w:val="en-NZ"/>
        </w:rPr>
      </w:pPr>
    </w:p>
    <w:p w:rsidR="00746168" w:rsidRDefault="00746168" w:rsidP="001005B7">
      <w:pPr>
        <w:rPr>
          <w:lang w:val="en-NZ"/>
        </w:rPr>
      </w:pPr>
    </w:p>
    <w:p w:rsidR="00746168" w:rsidRDefault="00746168" w:rsidP="001005B7">
      <w:pPr>
        <w:rPr>
          <w:lang w:val="en-NZ"/>
        </w:rPr>
      </w:pPr>
    </w:p>
    <w:p w:rsidR="00746168" w:rsidRPr="00382E2E" w:rsidRDefault="00746168"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8E19CE" w:rsidRDefault="001005B7" w:rsidP="001005B7">
      <w:pPr>
        <w:jc w:val="left"/>
        <w:rPr>
          <w:sz w:val="20"/>
          <w:lang w:val="en-NZ"/>
        </w:rPr>
      </w:pPr>
      <w:r w:rsidRPr="00382E2E">
        <w:rPr>
          <w:sz w:val="20"/>
          <w:lang w:val="en-NZ"/>
        </w:rPr>
        <w:t>First published in</w:t>
      </w:r>
      <w:r w:rsidR="00952A8A">
        <w:rPr>
          <w:sz w:val="20"/>
          <w:lang w:val="en-NZ"/>
        </w:rPr>
        <w:t xml:space="preserve"> </w:t>
      </w:r>
      <w:r w:rsidR="00665780" w:rsidRPr="001155D2">
        <w:rPr>
          <w:sz w:val="20"/>
          <w:lang w:val="en-NZ"/>
        </w:rPr>
        <w:t>March</w:t>
      </w:r>
      <w:r w:rsidR="00665780" w:rsidRPr="00952A8A">
        <w:rPr>
          <w:sz w:val="20"/>
          <w:lang w:val="en-NZ"/>
        </w:rPr>
        <w:t xml:space="preserve"> </w:t>
      </w:r>
      <w:r w:rsidR="001B1FAA" w:rsidRPr="00952A8A">
        <w:rPr>
          <w:sz w:val="20"/>
          <w:lang w:val="en-NZ"/>
        </w:rPr>
        <w:t>201</w:t>
      </w:r>
      <w:r w:rsidR="007500F9" w:rsidRPr="00952A8A">
        <w:rPr>
          <w:sz w:val="20"/>
          <w:lang w:val="en-NZ"/>
        </w:rPr>
        <w:t>7</w:t>
      </w:r>
      <w:r w:rsidRPr="00382E2E">
        <w:rPr>
          <w:sz w:val="20"/>
          <w:lang w:val="en-NZ"/>
        </w:rPr>
        <w:t xml:space="preserve"> by Policy </w:t>
      </w:r>
      <w:r w:rsidR="00B94457">
        <w:rPr>
          <w:sz w:val="20"/>
          <w:lang w:val="en-NZ"/>
        </w:rPr>
        <w:t>and Strategy</w:t>
      </w:r>
      <w:r w:rsidR="00F36FF2">
        <w:rPr>
          <w:sz w:val="20"/>
          <w:lang w:val="en-NZ"/>
        </w:rPr>
        <w:t>,</w:t>
      </w:r>
      <w:r w:rsidR="009A6972">
        <w:rPr>
          <w:sz w:val="20"/>
          <w:lang w:val="en-NZ"/>
        </w:rPr>
        <w:t xml:space="preserve"> Inland Revenue,</w:t>
      </w:r>
      <w:r w:rsidR="00042017">
        <w:rPr>
          <w:sz w:val="20"/>
          <w:lang w:val="en-NZ"/>
        </w:rPr>
        <w:t xml:space="preserve"> </w:t>
      </w:r>
      <w:r w:rsidR="009368ED" w:rsidRPr="00382E2E">
        <w:rPr>
          <w:sz w:val="20"/>
          <w:lang w:val="en-NZ"/>
        </w:rPr>
        <w:t>P</w:t>
      </w:r>
      <w:r w:rsidRPr="00382E2E">
        <w:rPr>
          <w:sz w:val="20"/>
          <w:lang w:val="en-NZ"/>
        </w:rPr>
        <w:t>O Box 2198,</w:t>
      </w:r>
      <w:r w:rsidR="008E19CE">
        <w:rPr>
          <w:sz w:val="20"/>
          <w:lang w:val="en-NZ"/>
        </w:rPr>
        <w:t xml:space="preserve"> </w:t>
      </w:r>
    </w:p>
    <w:p w:rsidR="001005B7" w:rsidRPr="00382E2E" w:rsidRDefault="001005B7" w:rsidP="001005B7">
      <w:pPr>
        <w:jc w:val="left"/>
        <w:rPr>
          <w:sz w:val="20"/>
          <w:lang w:val="en-NZ"/>
        </w:rPr>
      </w:pPr>
      <w:proofErr w:type="gramStart"/>
      <w:r w:rsidRPr="00382E2E">
        <w:rPr>
          <w:sz w:val="20"/>
          <w:lang w:val="en-NZ"/>
        </w:rPr>
        <w:t>Wellington</w:t>
      </w:r>
      <w:r w:rsidR="001B1FAA">
        <w:rPr>
          <w:sz w:val="20"/>
          <w:lang w:val="en-NZ"/>
        </w:rPr>
        <w:t>, 6140</w:t>
      </w:r>
      <w:r w:rsidR="00F36FF2">
        <w:rPr>
          <w:sz w:val="20"/>
          <w:lang w:val="en-NZ"/>
        </w:rPr>
        <w:t>.</w:t>
      </w:r>
      <w:proofErr w:type="gramEnd"/>
    </w:p>
    <w:p w:rsidR="001005B7" w:rsidRPr="00382E2E" w:rsidRDefault="001005B7" w:rsidP="001005B7">
      <w:pPr>
        <w:jc w:val="left"/>
        <w:rPr>
          <w:sz w:val="20"/>
          <w:lang w:val="en-NZ"/>
        </w:rPr>
      </w:pPr>
    </w:p>
    <w:p w:rsidR="001005B7" w:rsidRPr="00DB45C7" w:rsidRDefault="007500F9" w:rsidP="001005B7">
      <w:pPr>
        <w:jc w:val="left"/>
        <w:rPr>
          <w:sz w:val="20"/>
          <w:lang w:val="en-NZ"/>
        </w:rPr>
      </w:pPr>
      <w:r w:rsidRPr="00DB45C7">
        <w:rPr>
          <w:sz w:val="20"/>
          <w:lang w:val="en-NZ"/>
        </w:rPr>
        <w:t xml:space="preserve">New Zealand’s implementation of the </w:t>
      </w:r>
      <w:r w:rsidRPr="00385AED">
        <w:rPr>
          <w:i/>
          <w:sz w:val="20"/>
          <w:lang w:val="en-NZ"/>
        </w:rPr>
        <w:t>Multilateral Convention to Implement Tax Treaty Related Measures to Prevent BEPS</w:t>
      </w:r>
      <w:r w:rsidR="001005B7" w:rsidRPr="00DB45C7">
        <w:rPr>
          <w:sz w:val="20"/>
          <w:lang w:val="en-NZ"/>
        </w:rPr>
        <w:t xml:space="preserve"> – an officials’ issues paper.</w:t>
      </w:r>
    </w:p>
    <w:p w:rsidR="001005B7" w:rsidRPr="00382E2E" w:rsidRDefault="00952A8A" w:rsidP="001005B7">
      <w:pPr>
        <w:rPr>
          <w:sz w:val="20"/>
          <w:lang w:val="en-NZ"/>
        </w:rPr>
      </w:pPr>
      <w:r w:rsidRPr="00952A8A">
        <w:rPr>
          <w:sz w:val="20"/>
          <w:lang w:val="en-NZ"/>
        </w:rPr>
        <w:t>ISBN</w:t>
      </w:r>
      <w:r>
        <w:rPr>
          <w:sz w:val="20"/>
          <w:lang w:val="en-NZ"/>
        </w:rPr>
        <w:t xml:space="preserve"> </w:t>
      </w:r>
      <w:r w:rsidRPr="00952A8A">
        <w:rPr>
          <w:sz w:val="20"/>
          <w:lang w:val="en-NZ"/>
        </w:rPr>
        <w:t>978-0-478-42443-0</w:t>
      </w:r>
    </w:p>
    <w:p w:rsidR="001005B7" w:rsidRPr="00382E2E" w:rsidRDefault="001005B7" w:rsidP="001005B7">
      <w:pPr>
        <w:jc w:val="center"/>
        <w:rPr>
          <w:b/>
          <w:sz w:val="28"/>
          <w:szCs w:val="28"/>
          <w:lang w:val="en-NZ"/>
        </w:rPr>
      </w:pPr>
      <w:r w:rsidRPr="00382E2E">
        <w:rPr>
          <w:lang w:val="en-NZ"/>
        </w:rPr>
        <w:br w:type="page"/>
      </w:r>
      <w:r w:rsidRPr="00382E2E">
        <w:rPr>
          <w:b/>
          <w:sz w:val="28"/>
          <w:szCs w:val="28"/>
          <w:lang w:val="en-NZ"/>
        </w:rPr>
        <w:lastRenderedPageBreak/>
        <w:t>CONTENTS</w:t>
      </w:r>
    </w:p>
    <w:p w:rsidR="00D10025" w:rsidRDefault="00D10025" w:rsidP="001005B7">
      <w:pPr>
        <w:jc w:val="center"/>
        <w:rPr>
          <w:b/>
          <w:sz w:val="28"/>
          <w:szCs w:val="28"/>
          <w:lang w:val="en-NZ"/>
        </w:rPr>
      </w:pPr>
    </w:p>
    <w:p w:rsidR="00746168" w:rsidRPr="00746168" w:rsidRDefault="00746168" w:rsidP="00746168">
      <w:pPr>
        <w:jc w:val="left"/>
        <w:rPr>
          <w:b/>
          <w:szCs w:val="24"/>
          <w:lang w:val="en-NZ"/>
        </w:rPr>
      </w:pPr>
      <w:r w:rsidRPr="00746168">
        <w:rPr>
          <w:b/>
          <w:szCs w:val="24"/>
          <w:lang w:val="en-NZ"/>
        </w:rPr>
        <w:t>Term</w:t>
      </w:r>
      <w:r w:rsidR="008E19CE">
        <w:rPr>
          <w:b/>
          <w:szCs w:val="24"/>
          <w:lang w:val="en-NZ"/>
        </w:rPr>
        <w:t>s</w:t>
      </w:r>
      <w:r w:rsidRPr="00746168">
        <w:rPr>
          <w:b/>
          <w:szCs w:val="24"/>
          <w:lang w:val="en-NZ"/>
        </w:rPr>
        <w:t xml:space="preserve"> and abbreviations</w:t>
      </w:r>
    </w:p>
    <w:p w:rsidR="00CD51B7" w:rsidRDefault="00D10025">
      <w:pPr>
        <w:pStyle w:val="TOC1"/>
        <w:rPr>
          <w:rFonts w:asciiTheme="minorHAnsi" w:eastAsiaTheme="minorEastAsia" w:hAnsiTheme="minorHAnsi" w:cstheme="minorBidi"/>
          <w:b w:val="0"/>
          <w:sz w:val="22"/>
          <w:szCs w:val="22"/>
          <w:lang w:val="en-NZ" w:eastAsia="en-NZ"/>
        </w:rPr>
      </w:pPr>
      <w:r w:rsidRPr="00382E2E">
        <w:rPr>
          <w:sz w:val="22"/>
          <w:lang w:val="en-NZ"/>
        </w:rPr>
        <w:fldChar w:fldCharType="begin"/>
      </w:r>
      <w:r w:rsidRPr="00382E2E">
        <w:rPr>
          <w:sz w:val="22"/>
          <w:lang w:val="en-NZ"/>
        </w:rPr>
        <w:instrText xml:space="preserve"> TOC \t "Heading 1,2,Heading 2,3,Chapter heading,1" </w:instrText>
      </w:r>
      <w:r w:rsidRPr="00382E2E">
        <w:rPr>
          <w:sz w:val="22"/>
          <w:lang w:val="en-NZ"/>
        </w:rPr>
        <w:fldChar w:fldCharType="separate"/>
      </w:r>
      <w:r w:rsidR="00CD51B7" w:rsidRPr="006A307F">
        <w:rPr>
          <w:b w:val="0"/>
          <w:lang w:val="en-NZ"/>
        </w:rPr>
        <w:t>CHAPTER 1</w:t>
      </w:r>
      <w:r w:rsidR="00CD51B7">
        <w:tab/>
      </w:r>
      <w:r w:rsidR="00CD51B7" w:rsidRPr="006A307F">
        <w:rPr>
          <w:b w:val="0"/>
          <w:lang w:val="en-NZ"/>
        </w:rPr>
        <w:t>Background</w:t>
      </w:r>
      <w:r w:rsidR="00CD51B7">
        <w:tab/>
      </w:r>
      <w:r w:rsidR="00CD51B7">
        <w:fldChar w:fldCharType="begin"/>
      </w:r>
      <w:r w:rsidR="00CD51B7">
        <w:instrText xml:space="preserve"> PAGEREF _Toc476153885 \h </w:instrText>
      </w:r>
      <w:r w:rsidR="00CD51B7">
        <w:fldChar w:fldCharType="separate"/>
      </w:r>
      <w:r w:rsidR="002E6FFB">
        <w:t>1</w:t>
      </w:r>
      <w:r w:rsidR="00CD51B7">
        <w:fldChar w:fldCharType="end"/>
      </w:r>
    </w:p>
    <w:p w:rsidR="00CD51B7" w:rsidRDefault="00CD51B7">
      <w:pPr>
        <w:pStyle w:val="TOC2"/>
        <w:rPr>
          <w:rFonts w:asciiTheme="minorHAnsi" w:eastAsiaTheme="minorEastAsia" w:hAnsiTheme="minorHAnsi" w:cstheme="minorBidi"/>
          <w:szCs w:val="22"/>
          <w:lang w:val="en-NZ" w:eastAsia="en-NZ"/>
        </w:rPr>
      </w:pPr>
      <w:r>
        <w:t>Introduction</w:t>
      </w:r>
      <w:r>
        <w:tab/>
      </w:r>
      <w:r>
        <w:fldChar w:fldCharType="begin"/>
      </w:r>
      <w:r>
        <w:instrText xml:space="preserve"> PAGEREF _Toc476153886 \h </w:instrText>
      </w:r>
      <w:r>
        <w:fldChar w:fldCharType="separate"/>
      </w:r>
      <w:r w:rsidR="002E6FFB">
        <w:t>1</w:t>
      </w:r>
      <w:r>
        <w:fldChar w:fldCharType="end"/>
      </w:r>
    </w:p>
    <w:p w:rsidR="00CD51B7" w:rsidRDefault="00CD51B7">
      <w:pPr>
        <w:pStyle w:val="TOC2"/>
        <w:rPr>
          <w:rFonts w:asciiTheme="minorHAnsi" w:eastAsiaTheme="minorEastAsia" w:hAnsiTheme="minorHAnsi" w:cstheme="minorBidi"/>
          <w:szCs w:val="22"/>
          <w:lang w:val="en-NZ" w:eastAsia="en-NZ"/>
        </w:rPr>
      </w:pPr>
      <w:r>
        <w:t>OECD’s multilateral instrument</w:t>
      </w:r>
      <w:r>
        <w:tab/>
      </w:r>
      <w:r>
        <w:fldChar w:fldCharType="begin"/>
      </w:r>
      <w:r>
        <w:instrText xml:space="preserve"> PAGEREF _Toc476153887 \h </w:instrText>
      </w:r>
      <w:r>
        <w:fldChar w:fldCharType="separate"/>
      </w:r>
      <w:r w:rsidR="002E6FFB">
        <w:t>1</w:t>
      </w:r>
      <w:r>
        <w:fldChar w:fldCharType="end"/>
      </w:r>
    </w:p>
    <w:p w:rsidR="00CD51B7" w:rsidRDefault="00CD51B7">
      <w:pPr>
        <w:pStyle w:val="TOC2"/>
        <w:rPr>
          <w:rFonts w:asciiTheme="minorHAnsi" w:eastAsiaTheme="minorEastAsia" w:hAnsiTheme="minorHAnsi" w:cstheme="minorBidi"/>
          <w:szCs w:val="22"/>
          <w:lang w:val="en-NZ" w:eastAsia="en-NZ"/>
        </w:rPr>
      </w:pPr>
      <w:r w:rsidRPr="006A307F">
        <w:rPr>
          <w:lang w:val="en-NZ"/>
        </w:rPr>
        <w:t>Summary of issues paper</w:t>
      </w:r>
      <w:r>
        <w:tab/>
      </w:r>
      <w:r>
        <w:fldChar w:fldCharType="begin"/>
      </w:r>
      <w:r>
        <w:instrText xml:space="preserve"> PAGEREF _Toc476153888 \h </w:instrText>
      </w:r>
      <w:r>
        <w:fldChar w:fldCharType="separate"/>
      </w:r>
      <w:r w:rsidR="002E6FFB">
        <w:t>2</w:t>
      </w:r>
      <w:r>
        <w:fldChar w:fldCharType="end"/>
      </w:r>
    </w:p>
    <w:p w:rsidR="00CD51B7" w:rsidRDefault="00CD51B7">
      <w:pPr>
        <w:pStyle w:val="TOC2"/>
        <w:rPr>
          <w:rFonts w:asciiTheme="minorHAnsi" w:eastAsiaTheme="minorEastAsia" w:hAnsiTheme="minorHAnsi" w:cstheme="minorBidi"/>
          <w:szCs w:val="22"/>
          <w:lang w:val="en-NZ" w:eastAsia="en-NZ"/>
        </w:rPr>
      </w:pPr>
      <w:r w:rsidRPr="006A307F">
        <w:rPr>
          <w:lang w:val="en-NZ"/>
        </w:rPr>
        <w:t>How to make a submission</w:t>
      </w:r>
      <w:r>
        <w:tab/>
      </w:r>
      <w:r>
        <w:fldChar w:fldCharType="begin"/>
      </w:r>
      <w:r>
        <w:instrText xml:space="preserve"> PAGEREF _Toc476153889 \h </w:instrText>
      </w:r>
      <w:r>
        <w:fldChar w:fldCharType="separate"/>
      </w:r>
      <w:r w:rsidR="002E6FFB">
        <w:t>3</w:t>
      </w:r>
      <w:r>
        <w:fldChar w:fldCharType="end"/>
      </w:r>
    </w:p>
    <w:p w:rsidR="00CD51B7" w:rsidRDefault="00CD51B7">
      <w:pPr>
        <w:pStyle w:val="TOC1"/>
        <w:rPr>
          <w:rFonts w:asciiTheme="minorHAnsi" w:eastAsiaTheme="minorEastAsia" w:hAnsiTheme="minorHAnsi" w:cstheme="minorBidi"/>
          <w:b w:val="0"/>
          <w:sz w:val="22"/>
          <w:szCs w:val="22"/>
          <w:lang w:val="en-NZ" w:eastAsia="en-NZ"/>
        </w:rPr>
      </w:pPr>
      <w:r>
        <w:t>CHAPTER 2</w:t>
      </w:r>
      <w:r>
        <w:tab/>
      </w:r>
      <w:r w:rsidRPr="006A307F">
        <w:t>The multilateral instrument and how it will amend our DTAs</w:t>
      </w:r>
      <w:r>
        <w:tab/>
      </w:r>
      <w:r>
        <w:fldChar w:fldCharType="begin"/>
      </w:r>
      <w:r>
        <w:instrText xml:space="preserve"> PAGEREF _Toc476153891 \h </w:instrText>
      </w:r>
      <w:r>
        <w:fldChar w:fldCharType="separate"/>
      </w:r>
      <w:r w:rsidR="002E6FFB">
        <w:t>4</w:t>
      </w:r>
      <w:r>
        <w:fldChar w:fldCharType="end"/>
      </w:r>
    </w:p>
    <w:p w:rsidR="00CD51B7" w:rsidRDefault="00CD51B7">
      <w:pPr>
        <w:pStyle w:val="TOC2"/>
        <w:rPr>
          <w:rFonts w:asciiTheme="minorHAnsi" w:eastAsiaTheme="minorEastAsia" w:hAnsiTheme="minorHAnsi" w:cstheme="minorBidi"/>
          <w:szCs w:val="22"/>
          <w:lang w:val="en-NZ" w:eastAsia="en-NZ"/>
        </w:rPr>
      </w:pPr>
      <w:r w:rsidRPr="006A307F">
        <w:rPr>
          <w:lang w:val="en-NZ"/>
        </w:rPr>
        <w:t>Structure of the multilateral instrument</w:t>
      </w:r>
      <w:r>
        <w:tab/>
      </w:r>
      <w:r>
        <w:fldChar w:fldCharType="begin"/>
      </w:r>
      <w:r>
        <w:instrText xml:space="preserve"> PAGEREF _Toc476153892 \h </w:instrText>
      </w:r>
      <w:r>
        <w:fldChar w:fldCharType="separate"/>
      </w:r>
      <w:r w:rsidR="002E6FFB">
        <w:t>4</w:t>
      </w:r>
      <w:r>
        <w:fldChar w:fldCharType="end"/>
      </w:r>
    </w:p>
    <w:p w:rsidR="00CD51B7" w:rsidRDefault="00CD51B7">
      <w:pPr>
        <w:pStyle w:val="TOC2"/>
        <w:rPr>
          <w:rFonts w:asciiTheme="minorHAnsi" w:eastAsiaTheme="minorEastAsia" w:hAnsiTheme="minorHAnsi" w:cstheme="minorBidi"/>
          <w:szCs w:val="22"/>
          <w:lang w:val="en-NZ" w:eastAsia="en-NZ"/>
        </w:rPr>
      </w:pPr>
      <w:r w:rsidRPr="006A307F">
        <w:rPr>
          <w:lang w:val="en-NZ"/>
        </w:rPr>
        <w:t>Operation of substantive provisions of the multilateral instrument</w:t>
      </w:r>
      <w:r>
        <w:tab/>
      </w:r>
      <w:r>
        <w:fldChar w:fldCharType="begin"/>
      </w:r>
      <w:r>
        <w:instrText xml:space="preserve"> PAGEREF _Toc476153893 \h </w:instrText>
      </w:r>
      <w:r>
        <w:fldChar w:fldCharType="separate"/>
      </w:r>
      <w:r w:rsidR="002E6FFB">
        <w:t>5</w:t>
      </w:r>
      <w:r>
        <w:fldChar w:fldCharType="end"/>
      </w:r>
    </w:p>
    <w:p w:rsidR="00CD51B7" w:rsidRDefault="00CD51B7">
      <w:pPr>
        <w:pStyle w:val="TOC3"/>
        <w:rPr>
          <w:rFonts w:asciiTheme="minorHAnsi" w:eastAsiaTheme="minorEastAsia" w:hAnsiTheme="minorHAnsi" w:cstheme="minorBidi"/>
          <w:sz w:val="22"/>
          <w:lang w:val="en-NZ" w:eastAsia="en-NZ"/>
        </w:rPr>
      </w:pPr>
      <w:r w:rsidRPr="006A307F">
        <w:rPr>
          <w:lang w:val="en-NZ"/>
        </w:rPr>
        <w:t>Covered Tax Agreements: Part I of the MLI: Scope and Interpretation of Terms (Articles 1–2)</w:t>
      </w:r>
      <w:r>
        <w:tab/>
      </w:r>
      <w:r>
        <w:fldChar w:fldCharType="begin"/>
      </w:r>
      <w:r>
        <w:instrText xml:space="preserve"> PAGEREF _Toc476153894 \h </w:instrText>
      </w:r>
      <w:r>
        <w:fldChar w:fldCharType="separate"/>
      </w:r>
      <w:r w:rsidR="002E6FFB">
        <w:t>6</w:t>
      </w:r>
      <w:r>
        <w:fldChar w:fldCharType="end"/>
      </w:r>
    </w:p>
    <w:p w:rsidR="00CD51B7" w:rsidRDefault="00CD51B7">
      <w:pPr>
        <w:pStyle w:val="TOC3"/>
        <w:rPr>
          <w:rFonts w:asciiTheme="minorHAnsi" w:eastAsiaTheme="minorEastAsia" w:hAnsiTheme="minorHAnsi" w:cstheme="minorBidi"/>
          <w:sz w:val="22"/>
          <w:lang w:val="en-NZ" w:eastAsia="en-NZ"/>
        </w:rPr>
      </w:pPr>
      <w:r>
        <w:t>Modifying provisions: Parts II – VI of the MLI (Articles 3–26)</w:t>
      </w:r>
      <w:r>
        <w:tab/>
      </w:r>
      <w:r>
        <w:fldChar w:fldCharType="begin"/>
      </w:r>
      <w:r>
        <w:instrText xml:space="preserve"> PAGEREF _Toc476153895 \h </w:instrText>
      </w:r>
      <w:r>
        <w:fldChar w:fldCharType="separate"/>
      </w:r>
      <w:r w:rsidR="002E6FFB">
        <w:t>6</w:t>
      </w:r>
      <w:r>
        <w:fldChar w:fldCharType="end"/>
      </w:r>
    </w:p>
    <w:p w:rsidR="00CD51B7" w:rsidRDefault="00CD51B7">
      <w:pPr>
        <w:pStyle w:val="TOC1"/>
        <w:rPr>
          <w:rFonts w:asciiTheme="minorHAnsi" w:eastAsiaTheme="minorEastAsia" w:hAnsiTheme="minorHAnsi" w:cstheme="minorBidi"/>
          <w:b w:val="0"/>
          <w:sz w:val="22"/>
          <w:szCs w:val="22"/>
          <w:lang w:val="en-NZ" w:eastAsia="en-NZ"/>
        </w:rPr>
      </w:pPr>
      <w:r>
        <w:t>CHAPTER 3</w:t>
      </w:r>
      <w:r>
        <w:tab/>
      </w:r>
      <w:r w:rsidRPr="006A307F">
        <w:t>How the multilateral instrument provisions will address BEPS concerns</w:t>
      </w:r>
      <w:r>
        <w:tab/>
      </w:r>
      <w:r>
        <w:fldChar w:fldCharType="begin"/>
      </w:r>
      <w:r>
        <w:instrText xml:space="preserve"> PAGEREF _Toc476153897 \h </w:instrText>
      </w:r>
      <w:r>
        <w:fldChar w:fldCharType="separate"/>
      </w:r>
      <w:r w:rsidR="002E6FFB">
        <w:t>10</w:t>
      </w:r>
      <w:r>
        <w:fldChar w:fldCharType="end"/>
      </w:r>
    </w:p>
    <w:p w:rsidR="00CD51B7" w:rsidRDefault="00CD51B7">
      <w:pPr>
        <w:pStyle w:val="TOC1"/>
        <w:rPr>
          <w:rFonts w:asciiTheme="minorHAnsi" w:eastAsiaTheme="minorEastAsia" w:hAnsiTheme="minorHAnsi" w:cstheme="minorBidi"/>
          <w:b w:val="0"/>
          <w:sz w:val="22"/>
          <w:szCs w:val="22"/>
          <w:lang w:val="en-NZ" w:eastAsia="en-NZ"/>
        </w:rPr>
      </w:pPr>
      <w:r>
        <w:t>CHAPTER 4</w:t>
      </w:r>
      <w:r>
        <w:tab/>
      </w:r>
      <w:r w:rsidRPr="006A307F">
        <w:t>Implementation and entry into effect</w:t>
      </w:r>
      <w:r>
        <w:tab/>
      </w:r>
      <w:r>
        <w:fldChar w:fldCharType="begin"/>
      </w:r>
      <w:r>
        <w:instrText xml:space="preserve"> PAGEREF _Toc476153899 \h </w:instrText>
      </w:r>
      <w:r>
        <w:fldChar w:fldCharType="separate"/>
      </w:r>
      <w:r w:rsidR="002E6FFB">
        <w:t>12</w:t>
      </w:r>
      <w:r>
        <w:fldChar w:fldCharType="end"/>
      </w:r>
    </w:p>
    <w:p w:rsidR="00CD51B7" w:rsidRDefault="00CD51B7">
      <w:pPr>
        <w:pStyle w:val="TOC2"/>
        <w:rPr>
          <w:rFonts w:asciiTheme="minorHAnsi" w:eastAsiaTheme="minorEastAsia" w:hAnsiTheme="minorHAnsi" w:cstheme="minorBidi"/>
          <w:szCs w:val="22"/>
          <w:lang w:val="en-NZ" w:eastAsia="en-NZ"/>
        </w:rPr>
      </w:pPr>
      <w:r w:rsidRPr="006A307F">
        <w:rPr>
          <w:lang w:val="en-NZ"/>
        </w:rPr>
        <w:t>Signature and ratification</w:t>
      </w:r>
      <w:r>
        <w:tab/>
      </w:r>
      <w:r>
        <w:fldChar w:fldCharType="begin"/>
      </w:r>
      <w:r>
        <w:instrText xml:space="preserve"> PAGEREF _Toc476153900 \h </w:instrText>
      </w:r>
      <w:r>
        <w:fldChar w:fldCharType="separate"/>
      </w:r>
      <w:r w:rsidR="002E6FFB">
        <w:t>12</w:t>
      </w:r>
      <w:r>
        <w:fldChar w:fldCharType="end"/>
      </w:r>
    </w:p>
    <w:p w:rsidR="00CD51B7" w:rsidRDefault="00CD51B7">
      <w:pPr>
        <w:pStyle w:val="TOC2"/>
        <w:rPr>
          <w:rFonts w:asciiTheme="minorHAnsi" w:eastAsiaTheme="minorEastAsia" w:hAnsiTheme="minorHAnsi" w:cstheme="minorBidi"/>
          <w:szCs w:val="22"/>
          <w:lang w:val="en-NZ" w:eastAsia="en-NZ"/>
        </w:rPr>
      </w:pPr>
      <w:r w:rsidRPr="006A307F">
        <w:rPr>
          <w:lang w:val="en-NZ"/>
        </w:rPr>
        <w:t>Entry into force</w:t>
      </w:r>
      <w:r>
        <w:tab/>
      </w:r>
      <w:r>
        <w:fldChar w:fldCharType="begin"/>
      </w:r>
      <w:r>
        <w:instrText xml:space="preserve"> PAGEREF _Toc476153901 \h </w:instrText>
      </w:r>
      <w:r>
        <w:fldChar w:fldCharType="separate"/>
      </w:r>
      <w:r w:rsidR="002E6FFB">
        <w:t>12</w:t>
      </w:r>
      <w:r>
        <w:fldChar w:fldCharType="end"/>
      </w:r>
    </w:p>
    <w:p w:rsidR="00CD51B7" w:rsidRDefault="00CD51B7">
      <w:pPr>
        <w:pStyle w:val="TOC2"/>
        <w:rPr>
          <w:rFonts w:asciiTheme="minorHAnsi" w:eastAsiaTheme="minorEastAsia" w:hAnsiTheme="minorHAnsi" w:cstheme="minorBidi"/>
          <w:szCs w:val="22"/>
          <w:lang w:val="en-NZ" w:eastAsia="en-NZ"/>
        </w:rPr>
      </w:pPr>
      <w:r w:rsidRPr="006A307F">
        <w:rPr>
          <w:lang w:val="en-NZ"/>
        </w:rPr>
        <w:t>Entry into effect for a specific Covered Tax Agreement</w:t>
      </w:r>
      <w:r>
        <w:tab/>
      </w:r>
      <w:r>
        <w:fldChar w:fldCharType="begin"/>
      </w:r>
      <w:r>
        <w:instrText xml:space="preserve"> PAGEREF _Toc476153902 \h </w:instrText>
      </w:r>
      <w:r>
        <w:fldChar w:fldCharType="separate"/>
      </w:r>
      <w:r w:rsidR="002E6FFB">
        <w:t>13</w:t>
      </w:r>
      <w:r>
        <w:fldChar w:fldCharType="end"/>
      </w:r>
    </w:p>
    <w:p w:rsidR="00CD51B7" w:rsidRDefault="00CD51B7">
      <w:pPr>
        <w:pStyle w:val="TOC2"/>
        <w:rPr>
          <w:rFonts w:asciiTheme="minorHAnsi" w:eastAsiaTheme="minorEastAsia" w:hAnsiTheme="minorHAnsi" w:cstheme="minorBidi"/>
          <w:szCs w:val="22"/>
          <w:lang w:val="en-NZ" w:eastAsia="en-NZ"/>
        </w:rPr>
      </w:pPr>
      <w:r w:rsidRPr="006A307F">
        <w:rPr>
          <w:lang w:val="en-NZ"/>
        </w:rPr>
        <w:t>Notification of entry into effect for specific Covered Tax Agreements</w:t>
      </w:r>
      <w:r>
        <w:tab/>
      </w:r>
      <w:r>
        <w:fldChar w:fldCharType="begin"/>
      </w:r>
      <w:r>
        <w:instrText xml:space="preserve"> PAGEREF _Toc476153903 \h </w:instrText>
      </w:r>
      <w:r>
        <w:fldChar w:fldCharType="separate"/>
      </w:r>
      <w:r w:rsidR="002E6FFB">
        <w:t>14</w:t>
      </w:r>
      <w:r>
        <w:fldChar w:fldCharType="end"/>
      </w:r>
    </w:p>
    <w:p w:rsidR="00CD51B7" w:rsidRDefault="00CD51B7">
      <w:pPr>
        <w:pStyle w:val="TOC2"/>
        <w:rPr>
          <w:rFonts w:asciiTheme="minorHAnsi" w:eastAsiaTheme="minorEastAsia" w:hAnsiTheme="minorHAnsi" w:cstheme="minorBidi"/>
          <w:szCs w:val="22"/>
          <w:lang w:val="en-NZ" w:eastAsia="en-NZ"/>
        </w:rPr>
      </w:pPr>
      <w:r w:rsidRPr="006A307F">
        <w:rPr>
          <w:lang w:val="en-NZ"/>
        </w:rPr>
        <w:t>Domestic law changes</w:t>
      </w:r>
      <w:r>
        <w:tab/>
      </w:r>
      <w:r>
        <w:fldChar w:fldCharType="begin"/>
      </w:r>
      <w:r>
        <w:instrText xml:space="preserve"> PAGEREF _Toc476153904 \h </w:instrText>
      </w:r>
      <w:r>
        <w:fldChar w:fldCharType="separate"/>
      </w:r>
      <w:r w:rsidR="002E6FFB">
        <w:t>14</w:t>
      </w:r>
      <w:r>
        <w:fldChar w:fldCharType="end"/>
      </w:r>
    </w:p>
    <w:p w:rsidR="00CD51B7" w:rsidRDefault="00CD51B7">
      <w:pPr>
        <w:pStyle w:val="TOC2"/>
        <w:rPr>
          <w:rFonts w:asciiTheme="minorHAnsi" w:eastAsiaTheme="minorEastAsia" w:hAnsiTheme="minorHAnsi" w:cstheme="minorBidi"/>
          <w:szCs w:val="22"/>
          <w:lang w:val="en-NZ" w:eastAsia="en-NZ"/>
        </w:rPr>
      </w:pPr>
      <w:r w:rsidRPr="006A307F">
        <w:rPr>
          <w:lang w:val="en-NZ"/>
        </w:rPr>
        <w:t>Consolidated versions of DTAs</w:t>
      </w:r>
      <w:r>
        <w:tab/>
      </w:r>
      <w:r>
        <w:fldChar w:fldCharType="begin"/>
      </w:r>
      <w:r>
        <w:instrText xml:space="preserve"> PAGEREF _Toc476153905 \h </w:instrText>
      </w:r>
      <w:r>
        <w:fldChar w:fldCharType="separate"/>
      </w:r>
      <w:r w:rsidR="002E6FFB">
        <w:t>14</w:t>
      </w:r>
      <w:r>
        <w:fldChar w:fldCharType="end"/>
      </w:r>
    </w:p>
    <w:p w:rsidR="00CD51B7" w:rsidRDefault="00CD51B7">
      <w:pPr>
        <w:pStyle w:val="TOC1"/>
        <w:rPr>
          <w:rFonts w:asciiTheme="minorHAnsi" w:eastAsiaTheme="minorEastAsia" w:hAnsiTheme="minorHAnsi" w:cstheme="minorBidi"/>
          <w:b w:val="0"/>
          <w:sz w:val="22"/>
          <w:szCs w:val="22"/>
          <w:lang w:val="en-NZ" w:eastAsia="en-NZ"/>
        </w:rPr>
      </w:pPr>
      <w:r>
        <w:t>APPENDIX</w:t>
      </w:r>
      <w:r>
        <w:tab/>
      </w:r>
      <w:r w:rsidRPr="006A307F">
        <w:t xml:space="preserve">Substantive BEPS provisions in the </w:t>
      </w:r>
      <w:r w:rsidRPr="006A307F">
        <w:rPr>
          <w:lang w:val="en-NZ"/>
        </w:rPr>
        <w:t>multilateral instrument</w:t>
      </w:r>
      <w:r>
        <w:tab/>
      </w:r>
      <w:r>
        <w:fldChar w:fldCharType="begin"/>
      </w:r>
      <w:r>
        <w:instrText xml:space="preserve"> PAGEREF _Toc476153907 \h </w:instrText>
      </w:r>
      <w:r>
        <w:fldChar w:fldCharType="separate"/>
      </w:r>
      <w:r w:rsidR="002E6FFB">
        <w:t>15</w:t>
      </w:r>
      <w:r>
        <w:fldChar w:fldCharType="end"/>
      </w:r>
    </w:p>
    <w:p w:rsidR="0021414A" w:rsidRPr="00382E2E" w:rsidRDefault="00D10025" w:rsidP="0021414A">
      <w:pPr>
        <w:jc w:val="center"/>
        <w:rPr>
          <w:b/>
          <w:lang w:val="en-NZ"/>
        </w:rPr>
      </w:pPr>
      <w:r w:rsidRPr="00382E2E">
        <w:rPr>
          <w:rFonts w:ascii="Times New Roman Bold" w:hAnsi="Times New Roman Bold"/>
          <w:noProof/>
          <w:sz w:val="22"/>
          <w:szCs w:val="24"/>
          <w:lang w:val="en-NZ"/>
        </w:rPr>
        <w:fldChar w:fldCharType="end"/>
      </w:r>
    </w:p>
    <w:p w:rsidR="00047CC7" w:rsidRPr="00382E2E" w:rsidRDefault="00047CC7" w:rsidP="00E253EA">
      <w:pPr>
        <w:rPr>
          <w:lang w:val="en-NZ"/>
        </w:rPr>
      </w:pPr>
    </w:p>
    <w:p w:rsidR="00EF078F" w:rsidRDefault="00EF078F">
      <w:pPr>
        <w:jc w:val="left"/>
        <w:rPr>
          <w:b/>
          <w:lang w:val="en-NZ"/>
        </w:rPr>
      </w:pPr>
      <w:r>
        <w:rPr>
          <w:b/>
          <w:lang w:val="en-NZ"/>
        </w:rPr>
        <w:br w:type="page"/>
      </w:r>
    </w:p>
    <w:p w:rsidR="00746168" w:rsidRDefault="00746168">
      <w:pPr>
        <w:jc w:val="left"/>
        <w:rPr>
          <w:rStyle w:val="ChapterheadingCharCharChar"/>
          <w:b w:val="0"/>
          <w:bCs w:val="0"/>
          <w:caps w:val="0"/>
          <w:lang w:val="en-NZ"/>
        </w:rPr>
      </w:pPr>
      <w:bookmarkStart w:id="1" w:name="_Toc473032407"/>
      <w:r>
        <w:rPr>
          <w:rStyle w:val="ChapterheadingCharCharChar"/>
          <w:lang w:val="en-NZ"/>
        </w:rPr>
        <w:br w:type="page"/>
      </w:r>
    </w:p>
    <w:p w:rsidR="004B37FB" w:rsidRPr="00746168" w:rsidRDefault="004B754A" w:rsidP="00746168">
      <w:pPr>
        <w:jc w:val="center"/>
        <w:rPr>
          <w:rStyle w:val="ChapterheadingCharCharChar"/>
          <w:caps w:val="0"/>
          <w:lang w:val="en-NZ"/>
        </w:rPr>
      </w:pPr>
      <w:r w:rsidRPr="00746168">
        <w:rPr>
          <w:rStyle w:val="ChapterheadingCharCharChar"/>
          <w:caps w:val="0"/>
          <w:lang w:val="en-NZ"/>
        </w:rPr>
        <w:t>Term</w:t>
      </w:r>
      <w:bookmarkEnd w:id="1"/>
      <w:r w:rsidR="00042017">
        <w:rPr>
          <w:rStyle w:val="ChapterheadingCharCharChar"/>
          <w:caps w:val="0"/>
          <w:lang w:val="en-NZ"/>
        </w:rPr>
        <w:t>s</w:t>
      </w:r>
      <w:r w:rsidR="00906DC8" w:rsidRPr="00746168">
        <w:rPr>
          <w:rStyle w:val="ChapterheadingCharCharChar"/>
          <w:caps w:val="0"/>
          <w:lang w:val="en-NZ"/>
        </w:rPr>
        <w:t xml:space="preserve"> and abbreviations</w:t>
      </w:r>
    </w:p>
    <w:p w:rsidR="00EF078F" w:rsidRDefault="00EF078F" w:rsidP="00E253EA">
      <w:pPr>
        <w:jc w:val="center"/>
        <w:rPr>
          <w:b/>
          <w:lang w:val="en-NZ"/>
        </w:rPr>
      </w:pPr>
    </w:p>
    <w:p w:rsidR="00385AED" w:rsidRDefault="00385AED" w:rsidP="00E253EA">
      <w:pPr>
        <w:jc w:val="center"/>
        <w:rPr>
          <w:b/>
          <w:lang w:val="en-NZ"/>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20" w:firstRow="1" w:lastRow="0" w:firstColumn="0" w:lastColumn="0" w:noHBand="0" w:noVBand="1"/>
      </w:tblPr>
      <w:tblGrid>
        <w:gridCol w:w="2967"/>
        <w:gridCol w:w="5233"/>
      </w:tblGrid>
      <w:tr w:rsidR="00EF078F" w:rsidRPr="00DB45C7" w:rsidTr="00AD0590">
        <w:trPr>
          <w:tblHeader/>
        </w:trPr>
        <w:tc>
          <w:tcPr>
            <w:tcW w:w="1809" w:type="pct"/>
            <w:hideMark/>
          </w:tcPr>
          <w:p w:rsidR="005471C6" w:rsidRPr="00DB45C7" w:rsidRDefault="009A34F3" w:rsidP="00042017">
            <w:pPr>
              <w:jc w:val="left"/>
              <w:rPr>
                <w:b/>
                <w:sz w:val="22"/>
                <w:szCs w:val="22"/>
                <w:lang w:val="en-NZ"/>
              </w:rPr>
            </w:pPr>
            <w:r>
              <w:rPr>
                <w:b/>
                <w:bCs/>
                <w:sz w:val="22"/>
                <w:szCs w:val="22"/>
                <w:lang w:val="en-NZ"/>
              </w:rPr>
              <w:t>Term</w:t>
            </w:r>
          </w:p>
        </w:tc>
        <w:tc>
          <w:tcPr>
            <w:tcW w:w="3191" w:type="pct"/>
            <w:hideMark/>
          </w:tcPr>
          <w:p w:rsidR="005471C6" w:rsidRPr="00DB45C7" w:rsidRDefault="00EF078F" w:rsidP="00DB45C7">
            <w:pPr>
              <w:ind w:left="317"/>
              <w:jc w:val="left"/>
              <w:rPr>
                <w:b/>
                <w:sz w:val="22"/>
                <w:szCs w:val="22"/>
                <w:lang w:val="en-NZ"/>
              </w:rPr>
            </w:pPr>
            <w:r w:rsidRPr="00DB45C7">
              <w:rPr>
                <w:b/>
                <w:bCs/>
                <w:sz w:val="22"/>
                <w:szCs w:val="22"/>
                <w:lang w:val="en-NZ"/>
              </w:rPr>
              <w:t>Description</w:t>
            </w:r>
          </w:p>
        </w:tc>
      </w:tr>
      <w:tr w:rsidR="00EF078F" w:rsidRPr="00DB45C7" w:rsidTr="00DB45C7">
        <w:tc>
          <w:tcPr>
            <w:tcW w:w="1809" w:type="pct"/>
          </w:tcPr>
          <w:p w:rsidR="00EF078F" w:rsidRPr="009A34F3" w:rsidRDefault="00DB45C7" w:rsidP="00906DC8">
            <w:pPr>
              <w:jc w:val="left"/>
              <w:rPr>
                <w:sz w:val="22"/>
                <w:szCs w:val="22"/>
                <w:lang w:val="en-NZ"/>
              </w:rPr>
            </w:pPr>
            <w:r w:rsidRPr="009A34F3">
              <w:rPr>
                <w:sz w:val="22"/>
                <w:szCs w:val="22"/>
                <w:lang w:val="en-NZ"/>
              </w:rPr>
              <w:t>Competent a</w:t>
            </w:r>
            <w:r w:rsidR="00906DC8" w:rsidRPr="009A34F3">
              <w:rPr>
                <w:sz w:val="22"/>
                <w:szCs w:val="22"/>
                <w:lang w:val="en-NZ"/>
              </w:rPr>
              <w:t>uthority (CA)</w:t>
            </w:r>
          </w:p>
        </w:tc>
        <w:tc>
          <w:tcPr>
            <w:tcW w:w="3191" w:type="pct"/>
          </w:tcPr>
          <w:p w:rsidR="00EF078F" w:rsidRPr="00DB45C7" w:rsidRDefault="0044068B" w:rsidP="00DB45C7">
            <w:pPr>
              <w:ind w:left="317"/>
              <w:jc w:val="left"/>
              <w:rPr>
                <w:sz w:val="22"/>
                <w:szCs w:val="22"/>
                <w:lang w:val="en-NZ"/>
              </w:rPr>
            </w:pPr>
            <w:r w:rsidRPr="00DB45C7">
              <w:rPr>
                <w:sz w:val="22"/>
                <w:szCs w:val="22"/>
                <w:lang w:val="en-NZ"/>
              </w:rPr>
              <w:t xml:space="preserve">Person authorised by a </w:t>
            </w:r>
            <w:r w:rsidR="00665780">
              <w:rPr>
                <w:sz w:val="22"/>
                <w:szCs w:val="22"/>
                <w:lang w:val="en-NZ"/>
              </w:rPr>
              <w:t>double tax agreement (</w:t>
            </w:r>
            <w:r w:rsidRPr="00DB45C7">
              <w:rPr>
                <w:sz w:val="22"/>
                <w:szCs w:val="22"/>
                <w:lang w:val="en-NZ"/>
              </w:rPr>
              <w:t>DTA</w:t>
            </w:r>
            <w:r w:rsidR="00665780">
              <w:rPr>
                <w:sz w:val="22"/>
                <w:szCs w:val="22"/>
                <w:lang w:val="en-NZ"/>
              </w:rPr>
              <w:t>)</w:t>
            </w:r>
            <w:r w:rsidRPr="00DB45C7">
              <w:rPr>
                <w:sz w:val="22"/>
                <w:szCs w:val="22"/>
                <w:lang w:val="en-NZ"/>
              </w:rPr>
              <w:t xml:space="preserve"> to administer tax treaty p</w:t>
            </w:r>
            <w:r w:rsidR="009A6972">
              <w:rPr>
                <w:sz w:val="22"/>
                <w:szCs w:val="22"/>
                <w:lang w:val="en-NZ"/>
              </w:rPr>
              <w:t>rovisions and resolve disputes.</w:t>
            </w:r>
          </w:p>
        </w:tc>
      </w:tr>
      <w:tr w:rsidR="00EF078F" w:rsidRPr="00DB45C7" w:rsidTr="00DB45C7">
        <w:tc>
          <w:tcPr>
            <w:tcW w:w="1809" w:type="pct"/>
          </w:tcPr>
          <w:p w:rsidR="00EF078F" w:rsidRPr="009A34F3" w:rsidRDefault="00EF078F" w:rsidP="005471C6">
            <w:pPr>
              <w:jc w:val="left"/>
              <w:rPr>
                <w:sz w:val="22"/>
                <w:szCs w:val="22"/>
                <w:lang w:val="en-NZ"/>
              </w:rPr>
            </w:pPr>
            <w:r w:rsidRPr="009A34F3">
              <w:rPr>
                <w:sz w:val="22"/>
                <w:szCs w:val="22"/>
                <w:lang w:val="en-NZ"/>
              </w:rPr>
              <w:t>Compatibility clauses</w:t>
            </w:r>
          </w:p>
        </w:tc>
        <w:tc>
          <w:tcPr>
            <w:tcW w:w="3191" w:type="pct"/>
          </w:tcPr>
          <w:p w:rsidR="00EF078F" w:rsidRPr="00DB45C7" w:rsidRDefault="00EF078F" w:rsidP="00DB45C7">
            <w:pPr>
              <w:ind w:left="317"/>
              <w:jc w:val="left"/>
              <w:rPr>
                <w:sz w:val="22"/>
                <w:szCs w:val="22"/>
                <w:lang w:val="en-NZ"/>
              </w:rPr>
            </w:pPr>
            <w:r w:rsidRPr="00DB45C7">
              <w:rPr>
                <w:sz w:val="22"/>
                <w:szCs w:val="22"/>
                <w:lang w:val="en-NZ"/>
              </w:rPr>
              <w:t>Implementation clauses that explain how CTAs are modified by operative clauses</w:t>
            </w:r>
            <w:r w:rsidR="007D0893">
              <w:rPr>
                <w:sz w:val="22"/>
                <w:szCs w:val="22"/>
                <w:lang w:val="en-NZ"/>
              </w:rPr>
              <w:t>.</w:t>
            </w:r>
          </w:p>
        </w:tc>
      </w:tr>
      <w:tr w:rsidR="00906DC8" w:rsidRPr="00DB45C7" w:rsidTr="00DB45C7">
        <w:tc>
          <w:tcPr>
            <w:tcW w:w="1809" w:type="pct"/>
          </w:tcPr>
          <w:p w:rsidR="00906DC8" w:rsidRPr="009A34F3" w:rsidRDefault="00906DC8" w:rsidP="005471C6">
            <w:pPr>
              <w:jc w:val="left"/>
              <w:rPr>
                <w:sz w:val="22"/>
                <w:szCs w:val="22"/>
                <w:lang w:val="en-NZ"/>
              </w:rPr>
            </w:pPr>
            <w:r w:rsidRPr="009A34F3">
              <w:rPr>
                <w:sz w:val="22"/>
                <w:szCs w:val="22"/>
                <w:lang w:val="en-NZ"/>
              </w:rPr>
              <w:t>Covered tax agreement (CTA)</w:t>
            </w:r>
          </w:p>
        </w:tc>
        <w:tc>
          <w:tcPr>
            <w:tcW w:w="3191" w:type="pct"/>
          </w:tcPr>
          <w:p w:rsidR="00906DC8" w:rsidRPr="00DB45C7" w:rsidRDefault="00906DC8" w:rsidP="00DB45C7">
            <w:pPr>
              <w:ind w:left="317"/>
              <w:jc w:val="left"/>
              <w:rPr>
                <w:sz w:val="22"/>
                <w:szCs w:val="22"/>
                <w:lang w:val="en-NZ"/>
              </w:rPr>
            </w:pPr>
            <w:r w:rsidRPr="00DB45C7">
              <w:rPr>
                <w:sz w:val="22"/>
                <w:szCs w:val="22"/>
                <w:lang w:val="en-NZ"/>
              </w:rPr>
              <w:t>A DTA that both parties have c</w:t>
            </w:r>
            <w:r w:rsidR="007D0893">
              <w:rPr>
                <w:sz w:val="22"/>
                <w:szCs w:val="22"/>
                <w:lang w:val="en-NZ"/>
              </w:rPr>
              <w:t>hosen to be modified by the MLI.</w:t>
            </w:r>
          </w:p>
        </w:tc>
      </w:tr>
      <w:tr w:rsidR="00906DC8" w:rsidRPr="00DB45C7" w:rsidTr="00DB45C7">
        <w:tc>
          <w:tcPr>
            <w:tcW w:w="1809" w:type="pct"/>
          </w:tcPr>
          <w:p w:rsidR="00906DC8" w:rsidRPr="009A34F3" w:rsidRDefault="00906DC8" w:rsidP="005471C6">
            <w:pPr>
              <w:jc w:val="left"/>
              <w:rPr>
                <w:sz w:val="22"/>
                <w:szCs w:val="22"/>
                <w:lang w:val="en-NZ"/>
              </w:rPr>
            </w:pPr>
            <w:r w:rsidRPr="009A34F3">
              <w:rPr>
                <w:sz w:val="22"/>
                <w:szCs w:val="22"/>
                <w:lang w:val="en-NZ"/>
              </w:rPr>
              <w:t>Double tax agreement (DTA)</w:t>
            </w:r>
          </w:p>
        </w:tc>
        <w:tc>
          <w:tcPr>
            <w:tcW w:w="3191" w:type="pct"/>
          </w:tcPr>
          <w:p w:rsidR="00906DC8" w:rsidRPr="00DB45C7" w:rsidRDefault="00906DC8" w:rsidP="00DB45C7">
            <w:pPr>
              <w:ind w:left="317"/>
              <w:jc w:val="left"/>
              <w:rPr>
                <w:sz w:val="22"/>
                <w:szCs w:val="22"/>
                <w:lang w:val="en-NZ"/>
              </w:rPr>
            </w:pPr>
            <w:r w:rsidRPr="00DB45C7">
              <w:rPr>
                <w:sz w:val="22"/>
                <w:szCs w:val="22"/>
                <w:lang w:val="en-NZ"/>
              </w:rPr>
              <w:t>A bilateral tax treaty</w:t>
            </w:r>
            <w:r w:rsidR="007D0893">
              <w:rPr>
                <w:sz w:val="22"/>
                <w:szCs w:val="22"/>
                <w:lang w:val="en-NZ"/>
              </w:rPr>
              <w:t>.</w:t>
            </w:r>
          </w:p>
        </w:tc>
      </w:tr>
      <w:tr w:rsidR="00906DC8" w:rsidRPr="00DB45C7" w:rsidTr="00DB45C7">
        <w:tc>
          <w:tcPr>
            <w:tcW w:w="1809" w:type="pct"/>
          </w:tcPr>
          <w:p w:rsidR="00906DC8" w:rsidRPr="009A34F3" w:rsidRDefault="00DB45C7" w:rsidP="005471C6">
            <w:pPr>
              <w:jc w:val="left"/>
              <w:rPr>
                <w:sz w:val="22"/>
                <w:szCs w:val="22"/>
                <w:lang w:val="en-NZ"/>
              </w:rPr>
            </w:pPr>
            <w:r w:rsidRPr="009A34F3">
              <w:rPr>
                <w:sz w:val="22"/>
                <w:szCs w:val="22"/>
                <w:lang w:val="en-NZ"/>
              </w:rPr>
              <w:t>Explanatory s</w:t>
            </w:r>
            <w:r w:rsidR="00906DC8" w:rsidRPr="009A34F3">
              <w:rPr>
                <w:sz w:val="22"/>
                <w:szCs w:val="22"/>
                <w:lang w:val="en-NZ"/>
              </w:rPr>
              <w:t>tatement</w:t>
            </w:r>
          </w:p>
        </w:tc>
        <w:tc>
          <w:tcPr>
            <w:tcW w:w="3191" w:type="pct"/>
          </w:tcPr>
          <w:p w:rsidR="00906DC8" w:rsidRPr="00DB45C7" w:rsidRDefault="00906DC8" w:rsidP="00DB45C7">
            <w:pPr>
              <w:ind w:left="317"/>
              <w:jc w:val="left"/>
              <w:rPr>
                <w:sz w:val="22"/>
                <w:szCs w:val="22"/>
                <w:lang w:val="en-NZ"/>
              </w:rPr>
            </w:pPr>
            <w:r w:rsidRPr="00DB45C7">
              <w:rPr>
                <w:sz w:val="22"/>
                <w:szCs w:val="22"/>
                <w:lang w:val="en-NZ"/>
              </w:rPr>
              <w:t>Commentary accompanying the MLI to explain the operation of the instrument.  It does not address substantive issues – these are covered by the relevant OECD Action Report</w:t>
            </w:r>
            <w:r w:rsidR="007D0893">
              <w:rPr>
                <w:sz w:val="22"/>
                <w:szCs w:val="22"/>
                <w:lang w:val="en-NZ"/>
              </w:rPr>
              <w:t>.</w:t>
            </w:r>
          </w:p>
        </w:tc>
      </w:tr>
      <w:tr w:rsidR="00906DC8" w:rsidRPr="00DB45C7" w:rsidTr="00DB45C7">
        <w:tc>
          <w:tcPr>
            <w:tcW w:w="1809" w:type="pct"/>
          </w:tcPr>
          <w:p w:rsidR="00906DC8" w:rsidRPr="009A34F3" w:rsidRDefault="0044068B" w:rsidP="005471C6">
            <w:pPr>
              <w:jc w:val="left"/>
              <w:rPr>
                <w:sz w:val="22"/>
                <w:szCs w:val="22"/>
                <w:lang w:val="en-NZ"/>
              </w:rPr>
            </w:pPr>
            <w:r w:rsidRPr="009A34F3">
              <w:rPr>
                <w:sz w:val="22"/>
                <w:szCs w:val="22"/>
                <w:lang w:val="en-NZ"/>
              </w:rPr>
              <w:t>MAP</w:t>
            </w:r>
          </w:p>
        </w:tc>
        <w:tc>
          <w:tcPr>
            <w:tcW w:w="3191" w:type="pct"/>
          </w:tcPr>
          <w:p w:rsidR="00906DC8" w:rsidRPr="00DB45C7" w:rsidRDefault="000E4CB7" w:rsidP="00DB45C7">
            <w:pPr>
              <w:ind w:left="317"/>
              <w:jc w:val="left"/>
              <w:rPr>
                <w:sz w:val="22"/>
                <w:szCs w:val="22"/>
                <w:lang w:val="en-NZ"/>
              </w:rPr>
            </w:pPr>
            <w:r w:rsidRPr="00DB45C7">
              <w:rPr>
                <w:sz w:val="22"/>
                <w:szCs w:val="22"/>
                <w:lang w:val="en-NZ"/>
              </w:rPr>
              <w:t>Mutual Agreement Procedure</w:t>
            </w:r>
            <w:r w:rsidR="007D0893">
              <w:rPr>
                <w:sz w:val="22"/>
                <w:szCs w:val="22"/>
                <w:lang w:val="en-NZ"/>
              </w:rPr>
              <w:t>.</w:t>
            </w:r>
          </w:p>
        </w:tc>
      </w:tr>
      <w:tr w:rsidR="00906DC8" w:rsidRPr="00DB45C7" w:rsidTr="00DB45C7">
        <w:tc>
          <w:tcPr>
            <w:tcW w:w="1809" w:type="pct"/>
          </w:tcPr>
          <w:p w:rsidR="00906DC8" w:rsidRPr="009A34F3" w:rsidRDefault="00906DC8" w:rsidP="005471C6">
            <w:pPr>
              <w:jc w:val="left"/>
              <w:rPr>
                <w:sz w:val="22"/>
                <w:szCs w:val="22"/>
                <w:lang w:val="en-NZ"/>
              </w:rPr>
            </w:pPr>
            <w:r w:rsidRPr="009A34F3">
              <w:rPr>
                <w:sz w:val="22"/>
                <w:szCs w:val="22"/>
                <w:lang w:val="en-NZ"/>
              </w:rPr>
              <w:t>Minimum standards</w:t>
            </w:r>
          </w:p>
        </w:tc>
        <w:tc>
          <w:tcPr>
            <w:tcW w:w="3191" w:type="pct"/>
          </w:tcPr>
          <w:p w:rsidR="00906DC8" w:rsidRPr="00DB45C7" w:rsidRDefault="00906DC8" w:rsidP="00DB45C7">
            <w:pPr>
              <w:ind w:left="317"/>
              <w:jc w:val="left"/>
              <w:rPr>
                <w:sz w:val="22"/>
                <w:szCs w:val="22"/>
                <w:lang w:val="en-NZ"/>
              </w:rPr>
            </w:pPr>
            <w:r w:rsidRPr="00DB45C7">
              <w:rPr>
                <w:sz w:val="22"/>
                <w:szCs w:val="22"/>
                <w:lang w:val="en-NZ"/>
              </w:rPr>
              <w:t>BEPS Action Plan recommendations countries are expected to adopt (for example, the DTA preamble)</w:t>
            </w:r>
            <w:r w:rsidR="007D0893">
              <w:rPr>
                <w:sz w:val="22"/>
                <w:szCs w:val="22"/>
                <w:lang w:val="en-NZ"/>
              </w:rPr>
              <w:t>.</w:t>
            </w:r>
          </w:p>
        </w:tc>
      </w:tr>
      <w:tr w:rsidR="00906DC8" w:rsidRPr="00DB45C7" w:rsidTr="00DB45C7">
        <w:tc>
          <w:tcPr>
            <w:tcW w:w="1809" w:type="pct"/>
          </w:tcPr>
          <w:p w:rsidR="00906DC8" w:rsidRPr="009A34F3" w:rsidRDefault="00906DC8" w:rsidP="005471C6">
            <w:pPr>
              <w:jc w:val="left"/>
              <w:rPr>
                <w:sz w:val="22"/>
                <w:szCs w:val="22"/>
                <w:lang w:val="en-NZ"/>
              </w:rPr>
            </w:pPr>
            <w:r w:rsidRPr="009A34F3">
              <w:rPr>
                <w:sz w:val="22"/>
                <w:szCs w:val="22"/>
                <w:lang w:val="en-NZ"/>
              </w:rPr>
              <w:t>Multilateral instrument (MLI)</w:t>
            </w:r>
          </w:p>
        </w:tc>
        <w:tc>
          <w:tcPr>
            <w:tcW w:w="3191" w:type="pct"/>
          </w:tcPr>
          <w:p w:rsidR="00906DC8" w:rsidRPr="00DB45C7" w:rsidRDefault="00906DC8" w:rsidP="00DB45C7">
            <w:pPr>
              <w:ind w:left="317"/>
              <w:jc w:val="left"/>
              <w:rPr>
                <w:sz w:val="22"/>
                <w:szCs w:val="22"/>
                <w:lang w:val="en-NZ"/>
              </w:rPr>
            </w:pPr>
            <w:r w:rsidRPr="00DB45C7">
              <w:rPr>
                <w:sz w:val="22"/>
                <w:szCs w:val="22"/>
              </w:rPr>
              <w:t>The OECD Multilateral Convention to Implement Tax Treaty Related Measures to Prevent Base Erosion and Profit Shifting</w:t>
            </w:r>
            <w:r w:rsidR="007D0893">
              <w:rPr>
                <w:sz w:val="22"/>
                <w:szCs w:val="22"/>
              </w:rPr>
              <w:t>.</w:t>
            </w:r>
          </w:p>
        </w:tc>
      </w:tr>
      <w:tr w:rsidR="00906DC8" w:rsidRPr="00DB45C7" w:rsidTr="00DB45C7">
        <w:tc>
          <w:tcPr>
            <w:tcW w:w="1809" w:type="pct"/>
            <w:hideMark/>
          </w:tcPr>
          <w:p w:rsidR="00906DC8" w:rsidRPr="009A34F3" w:rsidRDefault="00906DC8" w:rsidP="00EF078F">
            <w:pPr>
              <w:jc w:val="left"/>
              <w:rPr>
                <w:sz w:val="22"/>
                <w:szCs w:val="22"/>
                <w:lang w:val="en-NZ"/>
              </w:rPr>
            </w:pPr>
            <w:r w:rsidRPr="009A34F3">
              <w:rPr>
                <w:sz w:val="22"/>
                <w:szCs w:val="22"/>
                <w:lang w:val="en-NZ"/>
              </w:rPr>
              <w:t>Notifications</w:t>
            </w:r>
          </w:p>
        </w:tc>
        <w:tc>
          <w:tcPr>
            <w:tcW w:w="3191" w:type="pct"/>
            <w:hideMark/>
          </w:tcPr>
          <w:p w:rsidR="00906DC8" w:rsidRPr="00DB45C7" w:rsidRDefault="00906DC8" w:rsidP="00DB45C7">
            <w:pPr>
              <w:ind w:left="317"/>
              <w:jc w:val="left"/>
              <w:rPr>
                <w:sz w:val="22"/>
                <w:szCs w:val="22"/>
                <w:lang w:val="en-NZ"/>
              </w:rPr>
            </w:pPr>
            <w:r w:rsidRPr="00DB45C7">
              <w:rPr>
                <w:sz w:val="22"/>
                <w:szCs w:val="22"/>
                <w:lang w:val="en-NZ"/>
              </w:rPr>
              <w:t xml:space="preserve">Each </w:t>
            </w:r>
            <w:r w:rsidR="002170A2" w:rsidRPr="00DB45C7">
              <w:rPr>
                <w:sz w:val="22"/>
                <w:szCs w:val="22"/>
                <w:lang w:val="en-NZ"/>
              </w:rPr>
              <w:t>jurisdiction</w:t>
            </w:r>
            <w:r w:rsidRPr="00DB45C7">
              <w:rPr>
                <w:sz w:val="22"/>
                <w:szCs w:val="22"/>
                <w:lang w:val="en-NZ"/>
              </w:rPr>
              <w:t xml:space="preserve"> must provide a list of CTAs, options chosen, reservations and articles of CTAs modified by the MLI to the OECD Depository</w:t>
            </w:r>
            <w:r w:rsidR="007D0893">
              <w:rPr>
                <w:sz w:val="22"/>
                <w:szCs w:val="22"/>
                <w:lang w:val="en-NZ"/>
              </w:rPr>
              <w:t>.</w:t>
            </w:r>
          </w:p>
        </w:tc>
      </w:tr>
      <w:tr w:rsidR="00906DC8" w:rsidRPr="00DB45C7" w:rsidTr="00DB45C7">
        <w:tc>
          <w:tcPr>
            <w:tcW w:w="1809" w:type="pct"/>
          </w:tcPr>
          <w:p w:rsidR="00906DC8" w:rsidRPr="009A34F3" w:rsidRDefault="00906DC8" w:rsidP="00EF078F">
            <w:pPr>
              <w:jc w:val="left"/>
              <w:rPr>
                <w:sz w:val="22"/>
                <w:szCs w:val="22"/>
                <w:lang w:val="en-NZ"/>
              </w:rPr>
            </w:pPr>
            <w:r w:rsidRPr="009A34F3">
              <w:rPr>
                <w:sz w:val="22"/>
                <w:szCs w:val="22"/>
                <w:lang w:val="en-NZ"/>
              </w:rPr>
              <w:t>OECD</w:t>
            </w:r>
          </w:p>
        </w:tc>
        <w:tc>
          <w:tcPr>
            <w:tcW w:w="3191" w:type="pct"/>
          </w:tcPr>
          <w:p w:rsidR="00906DC8" w:rsidRPr="00DB45C7" w:rsidRDefault="00906DC8" w:rsidP="00DB45C7">
            <w:pPr>
              <w:ind w:left="317"/>
              <w:jc w:val="left"/>
              <w:rPr>
                <w:sz w:val="22"/>
                <w:szCs w:val="22"/>
                <w:lang w:val="en-NZ"/>
              </w:rPr>
            </w:pPr>
            <w:r w:rsidRPr="00DB45C7">
              <w:rPr>
                <w:sz w:val="22"/>
                <w:szCs w:val="22"/>
                <w:lang w:val="en-NZ"/>
              </w:rPr>
              <w:t>Organisation for Economic Cooperation and Development</w:t>
            </w:r>
            <w:r w:rsidR="007D0893">
              <w:rPr>
                <w:sz w:val="22"/>
                <w:szCs w:val="22"/>
                <w:lang w:val="en-NZ"/>
              </w:rPr>
              <w:t>.</w:t>
            </w:r>
          </w:p>
        </w:tc>
      </w:tr>
      <w:tr w:rsidR="00906DC8" w:rsidRPr="00DB45C7" w:rsidTr="00DB45C7">
        <w:tc>
          <w:tcPr>
            <w:tcW w:w="1809" w:type="pct"/>
          </w:tcPr>
          <w:p w:rsidR="00906DC8" w:rsidRPr="009A34F3" w:rsidRDefault="00906DC8" w:rsidP="005471C6">
            <w:pPr>
              <w:jc w:val="left"/>
              <w:rPr>
                <w:sz w:val="22"/>
                <w:szCs w:val="22"/>
                <w:lang w:val="en-NZ"/>
              </w:rPr>
            </w:pPr>
            <w:r w:rsidRPr="009A34F3">
              <w:rPr>
                <w:sz w:val="22"/>
                <w:szCs w:val="22"/>
                <w:lang w:val="en-NZ"/>
              </w:rPr>
              <w:t>Operative clauses</w:t>
            </w:r>
          </w:p>
        </w:tc>
        <w:tc>
          <w:tcPr>
            <w:tcW w:w="3191" w:type="pct"/>
          </w:tcPr>
          <w:p w:rsidR="00906DC8" w:rsidRPr="00DB45C7" w:rsidRDefault="00906DC8" w:rsidP="00DB45C7">
            <w:pPr>
              <w:ind w:left="317"/>
              <w:jc w:val="left"/>
              <w:rPr>
                <w:sz w:val="22"/>
                <w:szCs w:val="22"/>
                <w:lang w:val="en-NZ"/>
              </w:rPr>
            </w:pPr>
            <w:r w:rsidRPr="00DB45C7">
              <w:rPr>
                <w:sz w:val="22"/>
                <w:szCs w:val="22"/>
                <w:lang w:val="en-NZ"/>
              </w:rPr>
              <w:t>Clauses that implement substantive changes to treaties as per the Action Plan recommendations</w:t>
            </w:r>
            <w:r w:rsidR="007D0893">
              <w:rPr>
                <w:sz w:val="22"/>
                <w:szCs w:val="22"/>
                <w:lang w:val="en-NZ"/>
              </w:rPr>
              <w:t>.</w:t>
            </w:r>
          </w:p>
        </w:tc>
      </w:tr>
      <w:tr w:rsidR="00906DC8" w:rsidRPr="00DB45C7" w:rsidTr="00ED3BB7">
        <w:tc>
          <w:tcPr>
            <w:tcW w:w="1809" w:type="pct"/>
          </w:tcPr>
          <w:p w:rsidR="00906DC8" w:rsidRPr="009A34F3" w:rsidRDefault="00906DC8" w:rsidP="005471C6">
            <w:pPr>
              <w:jc w:val="left"/>
              <w:rPr>
                <w:sz w:val="22"/>
                <w:szCs w:val="22"/>
                <w:lang w:val="en-NZ"/>
              </w:rPr>
            </w:pPr>
            <w:r w:rsidRPr="009A34F3">
              <w:rPr>
                <w:sz w:val="22"/>
                <w:szCs w:val="22"/>
                <w:lang w:val="en-NZ"/>
              </w:rPr>
              <w:t>Options</w:t>
            </w:r>
          </w:p>
        </w:tc>
        <w:tc>
          <w:tcPr>
            <w:tcW w:w="3191" w:type="pct"/>
          </w:tcPr>
          <w:p w:rsidR="00906DC8" w:rsidRPr="00DB45C7" w:rsidRDefault="00906DC8" w:rsidP="00DB45C7">
            <w:pPr>
              <w:ind w:left="317"/>
              <w:jc w:val="left"/>
              <w:rPr>
                <w:sz w:val="22"/>
                <w:szCs w:val="22"/>
                <w:lang w:val="en-NZ"/>
              </w:rPr>
            </w:pPr>
            <w:r w:rsidRPr="00DB45C7">
              <w:rPr>
                <w:sz w:val="22"/>
                <w:szCs w:val="22"/>
                <w:lang w:val="en-NZ"/>
              </w:rPr>
              <w:t>Some Action Plan items allow countries choices (for example, methods to relieve double taxation)</w:t>
            </w:r>
            <w:r w:rsidR="007D0893">
              <w:rPr>
                <w:sz w:val="22"/>
                <w:szCs w:val="22"/>
                <w:lang w:val="en-NZ"/>
              </w:rPr>
              <w:t>.</w:t>
            </w:r>
          </w:p>
        </w:tc>
      </w:tr>
      <w:tr w:rsidR="00906DC8" w:rsidRPr="00DB45C7" w:rsidTr="00ED3BB7">
        <w:tc>
          <w:tcPr>
            <w:tcW w:w="1809" w:type="pct"/>
          </w:tcPr>
          <w:p w:rsidR="00906DC8" w:rsidRPr="009A34F3" w:rsidRDefault="00906DC8" w:rsidP="005471C6">
            <w:pPr>
              <w:jc w:val="left"/>
              <w:rPr>
                <w:sz w:val="22"/>
                <w:szCs w:val="22"/>
                <w:lang w:val="en-NZ"/>
              </w:rPr>
            </w:pPr>
            <w:r w:rsidRPr="009A34F3">
              <w:rPr>
                <w:sz w:val="22"/>
                <w:szCs w:val="22"/>
                <w:lang w:val="en-NZ"/>
              </w:rPr>
              <w:t>Reservations</w:t>
            </w:r>
          </w:p>
        </w:tc>
        <w:tc>
          <w:tcPr>
            <w:tcW w:w="3191" w:type="pct"/>
          </w:tcPr>
          <w:p w:rsidR="00906DC8" w:rsidRPr="00DB45C7" w:rsidRDefault="00906DC8" w:rsidP="00DB45C7">
            <w:pPr>
              <w:ind w:left="317"/>
              <w:jc w:val="left"/>
              <w:rPr>
                <w:sz w:val="22"/>
                <w:szCs w:val="22"/>
                <w:lang w:val="en-NZ"/>
              </w:rPr>
            </w:pPr>
            <w:r w:rsidRPr="00DB45C7">
              <w:rPr>
                <w:sz w:val="22"/>
                <w:szCs w:val="22"/>
                <w:lang w:val="en-NZ"/>
              </w:rPr>
              <w:t>Countries are permitted to reserve on non-minimum standard clauses</w:t>
            </w:r>
            <w:r w:rsidR="007D0893">
              <w:rPr>
                <w:sz w:val="22"/>
                <w:szCs w:val="22"/>
                <w:lang w:val="en-NZ"/>
              </w:rPr>
              <w:t>.</w:t>
            </w:r>
          </w:p>
        </w:tc>
      </w:tr>
    </w:tbl>
    <w:p w:rsidR="00EF078F" w:rsidRPr="00EF078F" w:rsidRDefault="00EF078F" w:rsidP="00E253EA">
      <w:pPr>
        <w:jc w:val="center"/>
        <w:rPr>
          <w:lang w:val="en-NZ"/>
        </w:rPr>
      </w:pPr>
    </w:p>
    <w:p w:rsidR="00725975" w:rsidRPr="00382E2E" w:rsidRDefault="00725975" w:rsidP="00E253EA">
      <w:pPr>
        <w:jc w:val="center"/>
        <w:rPr>
          <w:b/>
          <w:lang w:val="en-NZ"/>
        </w:rPr>
        <w:sectPr w:rsidR="00725975" w:rsidRPr="00382E2E" w:rsidSect="006A0B21">
          <w:footerReference w:type="even" r:id="rId9"/>
          <w:pgSz w:w="11906" w:h="16838" w:code="9"/>
          <w:pgMar w:top="1134" w:right="2125" w:bottom="567" w:left="1797" w:header="709" w:footer="709" w:gutter="0"/>
          <w:cols w:space="708"/>
          <w:titlePg/>
          <w:docGrid w:linePitch="360"/>
        </w:sectPr>
      </w:pPr>
    </w:p>
    <w:p w:rsidR="00746168" w:rsidRDefault="00746168" w:rsidP="00D10025">
      <w:pPr>
        <w:pStyle w:val="Chapterheading"/>
        <w:rPr>
          <w:rStyle w:val="ChapterheadingCharCharChar"/>
          <w:lang w:val="en-NZ"/>
        </w:rPr>
        <w:sectPr w:rsidR="00746168" w:rsidSect="006042D1">
          <w:footerReference w:type="even" r:id="rId10"/>
          <w:footerReference w:type="default" r:id="rId11"/>
          <w:footerReference w:type="first" r:id="rId12"/>
          <w:type w:val="oddPage"/>
          <w:pgSz w:w="11906" w:h="16838" w:code="9"/>
          <w:pgMar w:top="1134" w:right="1797" w:bottom="1134" w:left="1797" w:header="709" w:footer="425" w:gutter="0"/>
          <w:pgNumType w:start="1"/>
          <w:cols w:space="708"/>
          <w:titlePg/>
          <w:docGrid w:linePitch="360"/>
        </w:sectPr>
      </w:pPr>
      <w:bookmarkStart w:id="2" w:name="_Toc147567992"/>
      <w:bookmarkStart w:id="3" w:name="_Toc473032373"/>
      <w:bookmarkStart w:id="4" w:name="_Toc473032408"/>
      <w:bookmarkStart w:id="5" w:name="_Toc473124486"/>
      <w:bookmarkStart w:id="6" w:name="_Toc473124526"/>
      <w:bookmarkStart w:id="7" w:name="_Toc473210896"/>
      <w:bookmarkStart w:id="8" w:name="_Toc474739883"/>
      <w:bookmarkStart w:id="9" w:name="_Toc474739943"/>
      <w:bookmarkStart w:id="10" w:name="_Toc474745519"/>
    </w:p>
    <w:p w:rsidR="007809E0" w:rsidRPr="00382E2E" w:rsidRDefault="00CD7C3C" w:rsidP="00D10025">
      <w:pPr>
        <w:pStyle w:val="Chapterheading"/>
        <w:rPr>
          <w:rStyle w:val="ChapterheadingCharCharChar"/>
          <w:lang w:val="en-NZ"/>
        </w:rPr>
      </w:pPr>
      <w:bookmarkStart w:id="11" w:name="_Toc474747042"/>
      <w:bookmarkStart w:id="12" w:name="_Toc474749600"/>
      <w:bookmarkStart w:id="13" w:name="_Toc475001337"/>
      <w:bookmarkStart w:id="14" w:name="_Toc476143750"/>
      <w:bookmarkStart w:id="15" w:name="_Toc476145484"/>
      <w:bookmarkStart w:id="16" w:name="_Toc476153884"/>
      <w:r w:rsidRPr="00382E2E">
        <w:rPr>
          <w:rStyle w:val="ChapterheadingCharCharChar"/>
          <w:lang w:val="en-NZ"/>
        </w:rPr>
        <w:t xml:space="preserve">CHAPTER </w:t>
      </w:r>
      <w:r w:rsidR="00C15285" w:rsidRPr="00382E2E">
        <w:rPr>
          <w:rStyle w:val="ChapterheadingCharCharChar"/>
          <w:lang w:val="en-NZ"/>
        </w:rPr>
        <w:t>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809E0" w:rsidRPr="00382E2E" w:rsidRDefault="007809E0" w:rsidP="00D10025">
      <w:pPr>
        <w:pStyle w:val="Chapterheading"/>
        <w:rPr>
          <w:rStyle w:val="ChapterheadingCharCharChar"/>
          <w:lang w:val="en-NZ"/>
        </w:rPr>
      </w:pPr>
    </w:p>
    <w:p w:rsidR="00EA330F" w:rsidRPr="00382E2E" w:rsidRDefault="00CA33EC" w:rsidP="00D10025">
      <w:pPr>
        <w:pStyle w:val="Chapterheading"/>
        <w:rPr>
          <w:rStyle w:val="ChapterheadingCharCharChar"/>
          <w:lang w:val="en-NZ"/>
        </w:rPr>
      </w:pPr>
      <w:bookmarkStart w:id="17" w:name="_Toc476153885"/>
      <w:r w:rsidRPr="00382E2E">
        <w:rPr>
          <w:rStyle w:val="ChapterheadingCharCharChar"/>
          <w:lang w:val="en-NZ"/>
        </w:rPr>
        <w:t>Background</w:t>
      </w:r>
      <w:bookmarkEnd w:id="17"/>
    </w:p>
    <w:p w:rsidR="00EA330F" w:rsidRDefault="00EA330F" w:rsidP="00846D8C"/>
    <w:p w:rsidR="00846D8C" w:rsidRPr="00382E2E" w:rsidRDefault="00846D8C" w:rsidP="00846D8C"/>
    <w:p w:rsidR="002152CE" w:rsidRDefault="009724DF" w:rsidP="00846D8C">
      <w:pPr>
        <w:pStyle w:val="Heading1"/>
      </w:pPr>
      <w:bookmarkStart w:id="18" w:name="_Toc476153886"/>
      <w:r>
        <w:t>Introduction</w:t>
      </w:r>
      <w:bookmarkEnd w:id="18"/>
    </w:p>
    <w:p w:rsidR="009724DF" w:rsidRPr="00F36FF2" w:rsidRDefault="009724DF" w:rsidP="006002F3">
      <w:pPr>
        <w:pStyle w:val="Chapter1"/>
        <w:numPr>
          <w:ilvl w:val="0"/>
          <w:numId w:val="0"/>
        </w:numPr>
      </w:pPr>
    </w:p>
    <w:p w:rsidR="003A2EB4" w:rsidRDefault="003A2EB4" w:rsidP="003A2EB4">
      <w:pPr>
        <w:pStyle w:val="Chapter1"/>
      </w:pPr>
      <w:r>
        <w:t>Since late 2012, there has been significant global media and political concern about evidence suggesting that some multinationals pay little or no tax anywhere in the world.  This problem is referred to as base erosion and profit</w:t>
      </w:r>
      <w:r w:rsidR="00042017">
        <w:t xml:space="preserve"> shifting or </w:t>
      </w:r>
      <w:r>
        <w:t>BEPS”.</w:t>
      </w:r>
    </w:p>
    <w:p w:rsidR="003A2EB4" w:rsidRPr="00BA0AEE" w:rsidRDefault="003A2EB4" w:rsidP="00BA0AEE"/>
    <w:p w:rsidR="00B4063E" w:rsidRDefault="003A2EB4" w:rsidP="003A2EB4">
      <w:pPr>
        <w:pStyle w:val="Chapter1"/>
      </w:pPr>
      <w:r>
        <w:t>BEPS is a global problem and many BEPS strategies exploit technical differences between different countries’ tax rules.  Accordingly, New Zealand has been working with the OECD and G20 to develop a co-ordinated global solution to address BEPS through the 15-point G20/OECD BEPS Action Plan.</w:t>
      </w:r>
    </w:p>
    <w:p w:rsidR="00B4063E" w:rsidRPr="00BA0AEE" w:rsidRDefault="00B4063E" w:rsidP="00BA0AEE"/>
    <w:p w:rsidR="00B4063E" w:rsidRDefault="00B4063E" w:rsidP="003A2EB4">
      <w:pPr>
        <w:pStyle w:val="Chapter1"/>
      </w:pPr>
      <w:r>
        <w:t xml:space="preserve">The Government has already implemented a number of BEPS-related policy reforms and is </w:t>
      </w:r>
      <w:r w:rsidR="008F2218">
        <w:t>working on</w:t>
      </w:r>
      <w:r>
        <w:t xml:space="preserve"> a number of other</w:t>
      </w:r>
      <w:r w:rsidR="00975A84">
        <w:t>s</w:t>
      </w:r>
      <w:r>
        <w:t xml:space="preserve">, including hybrid mismatch rules and strengthened transfer pricing and permanent establishment </w:t>
      </w:r>
      <w:r w:rsidR="00FD04EC">
        <w:t xml:space="preserve">(PE) </w:t>
      </w:r>
      <w:r>
        <w:t>rules.</w:t>
      </w:r>
    </w:p>
    <w:p w:rsidR="00B4063E" w:rsidRPr="00BA0AEE" w:rsidRDefault="00B4063E" w:rsidP="00BA0AEE"/>
    <w:p w:rsidR="003A2EB4" w:rsidRDefault="00B4063E" w:rsidP="003A2EB4">
      <w:pPr>
        <w:pStyle w:val="Chapter1"/>
      </w:pPr>
      <w:r>
        <w:t>This issues paper seeks feedback on</w:t>
      </w:r>
      <w:r w:rsidR="00FD04EC">
        <w:t xml:space="preserve"> </w:t>
      </w:r>
      <w:r w:rsidR="00E313E0">
        <w:t xml:space="preserve">New Zealand’s implementation of </w:t>
      </w:r>
      <w:r w:rsidR="00FD04EC">
        <w:t xml:space="preserve">another OECD BEPS measure </w:t>
      </w:r>
      <w:r w:rsidR="00E313E0">
        <w:t>–</w:t>
      </w:r>
      <w:r w:rsidR="00FD04EC">
        <w:t xml:space="preserve"> the </w:t>
      </w:r>
      <w:r w:rsidR="00FD04EC" w:rsidRPr="00042017">
        <w:rPr>
          <w:i/>
        </w:rPr>
        <w:t>Multilateral Convention to Implement Tax Treaty Related Measures to Prevent Base Erosion and Profit Shifting</w:t>
      </w:r>
      <w:r w:rsidR="00FD04EC">
        <w:t xml:space="preserve"> (referred to as the multilateral instrument</w:t>
      </w:r>
      <w:r w:rsidR="00E313E0">
        <w:t xml:space="preserve"> or </w:t>
      </w:r>
      <w:r w:rsidR="00FD04EC">
        <w:t>MLI)</w:t>
      </w:r>
      <w:r w:rsidR="00E313E0">
        <w:t>.</w:t>
      </w:r>
      <w:r>
        <w:t xml:space="preserve">  </w:t>
      </w:r>
      <w:r w:rsidR="00665780">
        <w:t xml:space="preserve">The MLI will </w:t>
      </w:r>
      <w:r w:rsidR="009A3677">
        <w:t>modify</w:t>
      </w:r>
      <w:r w:rsidR="00665780">
        <w:t xml:space="preserve"> </w:t>
      </w:r>
      <w:r w:rsidR="009A3677">
        <w:t>a number</w:t>
      </w:r>
      <w:r w:rsidR="00665780">
        <w:t xml:space="preserve"> of New Zealand’s existing double tax agreements </w:t>
      </w:r>
      <w:r w:rsidR="00220609">
        <w:t xml:space="preserve">(DTAs) </w:t>
      </w:r>
      <w:r w:rsidR="00665780">
        <w:t>in order to bring them into line with OECD recommendations.</w:t>
      </w:r>
    </w:p>
    <w:p w:rsidR="003A2EB4" w:rsidRPr="00BA0AEE" w:rsidRDefault="003A2EB4" w:rsidP="00BA0AEE"/>
    <w:p w:rsidR="00846D8C" w:rsidRPr="00BA0AEE" w:rsidRDefault="00846D8C" w:rsidP="00BA0AEE"/>
    <w:p w:rsidR="009724DF" w:rsidRPr="009724DF" w:rsidRDefault="00385AED" w:rsidP="00846D8C">
      <w:pPr>
        <w:pStyle w:val="Heading1"/>
      </w:pPr>
      <w:bookmarkStart w:id="19" w:name="_Toc476153887"/>
      <w:r>
        <w:t>OECD’s m</w:t>
      </w:r>
      <w:r w:rsidR="009724DF">
        <w:t xml:space="preserve">ultilateral </w:t>
      </w:r>
      <w:r>
        <w:t>i</w:t>
      </w:r>
      <w:r w:rsidR="009724DF">
        <w:t>nstrument</w:t>
      </w:r>
      <w:bookmarkEnd w:id="19"/>
    </w:p>
    <w:p w:rsidR="009724DF" w:rsidRDefault="009724DF" w:rsidP="009724DF">
      <w:pPr>
        <w:pStyle w:val="Chapter1"/>
        <w:numPr>
          <w:ilvl w:val="0"/>
          <w:numId w:val="0"/>
        </w:numPr>
      </w:pPr>
    </w:p>
    <w:p w:rsidR="003A2EB4" w:rsidRDefault="003A2EB4" w:rsidP="003A2EB4">
      <w:pPr>
        <w:pStyle w:val="Chapter1"/>
      </w:pPr>
      <w:r>
        <w:t>DTAs are bilateral agreements that aim to mitigate double tax on cross border transactions, often by requiring states to exempt income or provide tax credits.  There is the potential for these bilateral agreements to be misused to reduce or eliminate a multinational’s worldwide tax.  Misuse of DTAs in this way has been a feature of a number of cross-bor</w:t>
      </w:r>
      <w:r w:rsidR="009A6972">
        <w:t>der tax avoidance arrangements.</w:t>
      </w:r>
    </w:p>
    <w:p w:rsidR="003A2EB4" w:rsidRDefault="003A2EB4" w:rsidP="003A2EB4">
      <w:pPr>
        <w:pStyle w:val="Chapter1"/>
        <w:numPr>
          <w:ilvl w:val="0"/>
          <w:numId w:val="0"/>
        </w:numPr>
        <w:ind w:left="851"/>
      </w:pPr>
    </w:p>
    <w:p w:rsidR="003A2EB4" w:rsidRDefault="003A2EB4" w:rsidP="003A2EB4">
      <w:pPr>
        <w:pStyle w:val="Chapter1"/>
      </w:pPr>
      <w:r>
        <w:t>Therefore, addressing treaty abuse has been a major part of the BEPS project and a number of the Action items in the BEPS Action Plan make recommendations that can only be implemented through changes to DTAs, including:</w:t>
      </w:r>
    </w:p>
    <w:p w:rsidR="003A2EB4" w:rsidRPr="00287272" w:rsidRDefault="003A2EB4" w:rsidP="00287272"/>
    <w:p w:rsidR="003A2EB4" w:rsidRDefault="003A2EB4" w:rsidP="00846D8C">
      <w:pPr>
        <w:pStyle w:val="Bullets"/>
      </w:pPr>
      <w:r>
        <w:t>preventing the granting of treaty benefits in inappropriate circumstances (Action 6);</w:t>
      </w:r>
    </w:p>
    <w:p w:rsidR="003A2EB4" w:rsidRDefault="003A2EB4" w:rsidP="00846D8C">
      <w:pPr>
        <w:pStyle w:val="Bullets"/>
      </w:pPr>
      <w:r>
        <w:t xml:space="preserve">preventing the artificial avoidance of </w:t>
      </w:r>
      <w:r w:rsidR="00042017">
        <w:t>permanent establishment</w:t>
      </w:r>
      <w:r w:rsidR="007B1BC1">
        <w:t xml:space="preserve"> </w:t>
      </w:r>
      <w:r>
        <w:t>status (Action 7);</w:t>
      </w:r>
    </w:p>
    <w:p w:rsidR="003A2EB4" w:rsidRDefault="003A2EB4" w:rsidP="00846D8C">
      <w:pPr>
        <w:pStyle w:val="Bullets"/>
      </w:pPr>
      <w:r>
        <w:t>neutralising the effects of hybrid mismatch arrangements that have a treaty aspect (Action 2); and</w:t>
      </w:r>
    </w:p>
    <w:p w:rsidR="003A2EB4" w:rsidRDefault="003A2EB4" w:rsidP="00846D8C">
      <w:pPr>
        <w:pStyle w:val="Bullets"/>
        <w:spacing w:after="0"/>
      </w:pPr>
      <w:r>
        <w:t>providing improved mechanisms for effective d</w:t>
      </w:r>
      <w:r w:rsidR="009A6972">
        <w:t>ispute resolution (Action 14).</w:t>
      </w:r>
    </w:p>
    <w:p w:rsidR="00665780" w:rsidRPr="00287272" w:rsidRDefault="00665780" w:rsidP="00287272"/>
    <w:p w:rsidR="00F47C13" w:rsidRDefault="00F47C13" w:rsidP="00F47C13">
      <w:pPr>
        <w:pStyle w:val="Chapter1"/>
      </w:pPr>
      <w:r>
        <w:t xml:space="preserve">Some of these recommendations are BEPS “minimum standards” that countries that commit to solving BEPS are required to adopt.  The minimum standards are the treaty </w:t>
      </w:r>
      <w:r w:rsidRPr="001155D2">
        <w:t>abuse</w:t>
      </w:r>
      <w:r>
        <w:t xml:space="preserve"> provisions contained in the Action 6 report and certain elements of the dispute resolution provisions contained in the Action 14 report.</w:t>
      </w:r>
    </w:p>
    <w:p w:rsidR="00F47C13" w:rsidRPr="00287272" w:rsidRDefault="00F47C13" w:rsidP="00287272"/>
    <w:p w:rsidR="00F47C13" w:rsidRDefault="00F47C13" w:rsidP="00F47C13">
      <w:pPr>
        <w:pStyle w:val="Chapter1"/>
      </w:pPr>
      <w:r>
        <w:t>All other provisions are optional, but are DTA “best practice” and now form part of the OECD Model Tax Convention following adoption of the G20/OECD Action Plan.</w:t>
      </w:r>
    </w:p>
    <w:p w:rsidR="00F47C13" w:rsidRDefault="00F47C13" w:rsidP="00F47C13">
      <w:pPr>
        <w:pStyle w:val="Chapter1"/>
        <w:numPr>
          <w:ilvl w:val="0"/>
          <w:numId w:val="0"/>
        </w:numPr>
        <w:ind w:left="851"/>
      </w:pPr>
    </w:p>
    <w:p w:rsidR="00EF078F" w:rsidRDefault="002F1F3A" w:rsidP="003A2EB4">
      <w:pPr>
        <w:pStyle w:val="Chapter1"/>
      </w:pPr>
      <w:r>
        <w:t xml:space="preserve">Countries were presented with the </w:t>
      </w:r>
      <w:r w:rsidR="00665780">
        <w:t xml:space="preserve">difficulty </w:t>
      </w:r>
      <w:r>
        <w:t xml:space="preserve">of how to quickly and efficiently implement these measures without requiring the bilateral renegotiation of </w:t>
      </w:r>
      <w:r w:rsidR="009A6972">
        <w:t>several thousand existing DTAs.</w:t>
      </w:r>
    </w:p>
    <w:p w:rsidR="00EF078F" w:rsidRDefault="00EF078F" w:rsidP="00EF078F">
      <w:pPr>
        <w:pStyle w:val="Chapter1"/>
        <w:numPr>
          <w:ilvl w:val="0"/>
          <w:numId w:val="0"/>
        </w:numPr>
        <w:ind w:left="851"/>
      </w:pPr>
    </w:p>
    <w:p w:rsidR="009724DF" w:rsidRDefault="003A2EB4" w:rsidP="003A2EB4">
      <w:pPr>
        <w:pStyle w:val="Chapter1"/>
      </w:pPr>
      <w:r>
        <w:t xml:space="preserve">In this respect, Action 15 of the OECD BEPS Action Plan recommended developing a multilateral instrument that would </w:t>
      </w:r>
      <w:r w:rsidR="009724DF">
        <w:t xml:space="preserve">swiftly </w:t>
      </w:r>
      <w:r>
        <w:t>amend the DTAs of all participating jurisdictions</w:t>
      </w:r>
      <w:r w:rsidR="009724DF">
        <w:t>.</w:t>
      </w:r>
    </w:p>
    <w:p w:rsidR="009724DF" w:rsidRDefault="009724DF" w:rsidP="009724DF">
      <w:pPr>
        <w:pStyle w:val="Chapter1"/>
        <w:numPr>
          <w:ilvl w:val="0"/>
          <w:numId w:val="0"/>
        </w:numPr>
        <w:ind w:left="851"/>
      </w:pPr>
    </w:p>
    <w:p w:rsidR="009724DF" w:rsidRDefault="000B2154" w:rsidP="009724DF">
      <w:pPr>
        <w:pStyle w:val="Chapter1"/>
      </w:pPr>
      <w:r>
        <w:t>The</w:t>
      </w:r>
      <w:r w:rsidR="009724DF">
        <w:t xml:space="preserve"> </w:t>
      </w:r>
      <w:r>
        <w:t>A</w:t>
      </w:r>
      <w:r w:rsidR="009724DF">
        <w:t>d-</w:t>
      </w:r>
      <w:r>
        <w:t>H</w:t>
      </w:r>
      <w:r w:rsidR="009724DF">
        <w:t xml:space="preserve">oc </w:t>
      </w:r>
      <w:r>
        <w:t>G</w:t>
      </w:r>
      <w:r w:rsidR="009724DF">
        <w:t xml:space="preserve">roup of officials from approximately 100 </w:t>
      </w:r>
      <w:r w:rsidR="00845BE3">
        <w:t>jurisdictions</w:t>
      </w:r>
      <w:r w:rsidR="009724DF">
        <w:t xml:space="preserve"> (both OECD and non-OECD </w:t>
      </w:r>
      <w:r w:rsidR="004B4DEB">
        <w:t>jurisdictions</w:t>
      </w:r>
      <w:r w:rsidR="009724DF">
        <w:t>) was formed to develop the text of the MLI</w:t>
      </w:r>
      <w:r w:rsidR="003A2EB4">
        <w:t>.</w:t>
      </w:r>
      <w:r w:rsidR="004B21B5" w:rsidRPr="009A6972">
        <w:rPr>
          <w:rStyle w:val="FootnoteReference"/>
          <w:sz w:val="24"/>
          <w:szCs w:val="24"/>
        </w:rPr>
        <w:footnoteReference w:id="1"/>
      </w:r>
    </w:p>
    <w:p w:rsidR="003A2EB4" w:rsidRDefault="003A2EB4" w:rsidP="009E4517">
      <w:pPr>
        <w:pStyle w:val="Chapter1"/>
        <w:numPr>
          <w:ilvl w:val="0"/>
          <w:numId w:val="0"/>
        </w:numPr>
      </w:pPr>
    </w:p>
    <w:p w:rsidR="009724DF" w:rsidRDefault="000B2154" w:rsidP="00B67170">
      <w:pPr>
        <w:pStyle w:val="Chapter1"/>
      </w:pPr>
      <w:r>
        <w:t>The OECD held p</w:t>
      </w:r>
      <w:r w:rsidR="009724DF">
        <w:t>ublic consultation on the MLI concept in Paris in</w:t>
      </w:r>
      <w:r w:rsidR="00B67170">
        <w:t xml:space="preserve"> July 2016.  Material related to this consultation and a video recording of submissions is ava</w:t>
      </w:r>
      <w:r w:rsidR="009A34F3">
        <w:t>ilable on the OECD’s website at</w:t>
      </w:r>
      <w:r w:rsidR="00B67170">
        <w:t xml:space="preserve"> </w:t>
      </w:r>
      <w:hyperlink r:id="rId13" w:history="1">
        <w:r w:rsidR="008F2218" w:rsidRPr="00164CB7">
          <w:rPr>
            <w:rStyle w:val="Hyperlink"/>
          </w:rPr>
          <w:t>http://www.oecd.org/tax/treaties/public-consultation-beps-action-15-multilateral-instrument.htm</w:t>
        </w:r>
      </w:hyperlink>
      <w:r w:rsidR="006A0B21">
        <w:rPr>
          <w:rStyle w:val="Hyperlink"/>
        </w:rPr>
        <w:t>.</w:t>
      </w:r>
    </w:p>
    <w:p w:rsidR="009724DF" w:rsidRPr="00287272" w:rsidRDefault="009724DF" w:rsidP="00287272"/>
    <w:p w:rsidR="003A2EB4" w:rsidRDefault="00EF078F" w:rsidP="009724DF">
      <w:pPr>
        <w:pStyle w:val="Chapter1"/>
      </w:pPr>
      <w:r>
        <w:t>T</w:t>
      </w:r>
      <w:r w:rsidR="003A2EB4">
        <w:t xml:space="preserve">he text of the MLI and the accompanying </w:t>
      </w:r>
      <w:r w:rsidR="00290161">
        <w:t>E</w:t>
      </w:r>
      <w:r w:rsidR="003A2EB4">
        <w:t xml:space="preserve">xplanatory </w:t>
      </w:r>
      <w:r w:rsidR="00290161">
        <w:t>S</w:t>
      </w:r>
      <w:r w:rsidR="003A2EB4">
        <w:t>tatement was published by the OECD in November 2016</w:t>
      </w:r>
      <w:r w:rsidR="009A34F3">
        <w:t xml:space="preserve"> at</w:t>
      </w:r>
      <w:r w:rsidR="009724DF">
        <w:t xml:space="preserve"> </w:t>
      </w:r>
      <w:hyperlink r:id="rId14" w:history="1">
        <w:r w:rsidR="009724DF" w:rsidRPr="00BD480C">
          <w:rPr>
            <w:rStyle w:val="Hyperlink"/>
          </w:rPr>
          <w:t>http://www.oecd.org/tax/treaties/multilateral-convention-to-implement-tax-treaty-related-measures-to-prevent-beps.htm</w:t>
        </w:r>
      </w:hyperlink>
      <w:r w:rsidR="003A2EB4">
        <w:t>.</w:t>
      </w:r>
    </w:p>
    <w:p w:rsidR="003A2EB4" w:rsidRDefault="003A2EB4" w:rsidP="009E4517">
      <w:pPr>
        <w:pStyle w:val="Chapter1"/>
        <w:numPr>
          <w:ilvl w:val="0"/>
          <w:numId w:val="0"/>
        </w:numPr>
        <w:ind w:left="851"/>
      </w:pPr>
    </w:p>
    <w:p w:rsidR="003A2EB4" w:rsidRDefault="00C00E49" w:rsidP="003A2EB4">
      <w:pPr>
        <w:pStyle w:val="Chapter1"/>
      </w:pPr>
      <w:r w:rsidRPr="00C00E49">
        <w:t xml:space="preserve">New Zealand </w:t>
      </w:r>
      <w:r>
        <w:t>expects to be</w:t>
      </w:r>
      <w:r w:rsidR="003A2EB4">
        <w:t xml:space="preserve"> in a position to sign the MLI in mid-2017</w:t>
      </w:r>
      <w:r>
        <w:t xml:space="preserve">.  Following signature, the MLI will go through the domestic </w:t>
      </w:r>
      <w:r w:rsidR="003A2EB4">
        <w:t xml:space="preserve">process for ratification, including </w:t>
      </w:r>
      <w:r w:rsidR="000B2154">
        <w:t>being submitted</w:t>
      </w:r>
      <w:r w:rsidR="003A2EB4">
        <w:t xml:space="preserve"> for parliamentary treaty examination.</w:t>
      </w:r>
    </w:p>
    <w:p w:rsidR="008968AB" w:rsidRPr="009A6972" w:rsidRDefault="008968AB" w:rsidP="009A6972"/>
    <w:p w:rsidR="00846D8C" w:rsidRPr="00846D8C" w:rsidRDefault="00846D8C" w:rsidP="00846D8C">
      <w:pPr>
        <w:rPr>
          <w:lang w:val="en-NZ"/>
        </w:rPr>
      </w:pPr>
    </w:p>
    <w:p w:rsidR="008968AB" w:rsidRPr="00B4063E" w:rsidRDefault="008F2218" w:rsidP="00846D8C">
      <w:pPr>
        <w:pStyle w:val="Heading1"/>
        <w:rPr>
          <w:lang w:val="en-NZ"/>
        </w:rPr>
      </w:pPr>
      <w:bookmarkStart w:id="20" w:name="_Toc476153888"/>
      <w:r>
        <w:rPr>
          <w:lang w:val="en-NZ"/>
        </w:rPr>
        <w:t>Summary of issues pape</w:t>
      </w:r>
      <w:r w:rsidR="009A34F3">
        <w:rPr>
          <w:lang w:val="en-NZ"/>
        </w:rPr>
        <w:t>r</w:t>
      </w:r>
      <w:bookmarkEnd w:id="20"/>
    </w:p>
    <w:p w:rsidR="003A2EB4" w:rsidRDefault="003A2EB4" w:rsidP="009E4517">
      <w:pPr>
        <w:pStyle w:val="Chapter1"/>
        <w:numPr>
          <w:ilvl w:val="0"/>
          <w:numId w:val="0"/>
        </w:numPr>
        <w:ind w:left="851"/>
      </w:pPr>
    </w:p>
    <w:p w:rsidR="007F4EA5" w:rsidRPr="00FA2BF5" w:rsidRDefault="007F4EA5" w:rsidP="007F4EA5">
      <w:pPr>
        <w:pStyle w:val="Chapter1"/>
      </w:pPr>
      <w:r w:rsidRPr="00FA2BF5">
        <w:t xml:space="preserve">In </w:t>
      </w:r>
      <w:r w:rsidR="008E19CE">
        <w:t>chapter</w:t>
      </w:r>
      <w:r w:rsidRPr="00FA2BF5">
        <w:t xml:space="preserve"> 1, t</w:t>
      </w:r>
      <w:r w:rsidR="003A2EB4" w:rsidRPr="00FA2BF5">
        <w:t xml:space="preserve">his issues paper </w:t>
      </w:r>
      <w:r w:rsidR="007B1BC1" w:rsidRPr="00FA2BF5">
        <w:t>explains what the MLI is</w:t>
      </w:r>
      <w:r w:rsidRPr="00FA2BF5">
        <w:t xml:space="preserve"> and, at a high level, how it will operate to </w:t>
      </w:r>
      <w:r w:rsidR="007B1BC1" w:rsidRPr="00FA2BF5">
        <w:t>amend our DTAs</w:t>
      </w:r>
      <w:r w:rsidRPr="00FA2BF5">
        <w:t>.</w:t>
      </w:r>
      <w:r w:rsidR="007B1BC1" w:rsidRPr="00FA2BF5">
        <w:t xml:space="preserve"> </w:t>
      </w:r>
      <w:r w:rsidRPr="00FA2BF5">
        <w:t xml:space="preserve"> </w:t>
      </w:r>
      <w:r w:rsidR="008E19CE">
        <w:t>Chapter</w:t>
      </w:r>
      <w:r w:rsidRPr="00FA2BF5">
        <w:t xml:space="preserve"> 2 then explains </w:t>
      </w:r>
      <w:r w:rsidR="007B1BC1" w:rsidRPr="00FA2BF5">
        <w:t xml:space="preserve">how </w:t>
      </w:r>
      <w:r w:rsidRPr="00FA2BF5">
        <w:t xml:space="preserve">the substantive </w:t>
      </w:r>
      <w:r w:rsidR="007B1BC1" w:rsidRPr="00FA2BF5">
        <w:t xml:space="preserve">provisions will address BEPS concerns.  </w:t>
      </w:r>
      <w:r w:rsidR="008E19CE">
        <w:t>Chapter</w:t>
      </w:r>
      <w:r w:rsidRPr="00FA2BF5">
        <w:t xml:space="preserve"> 3 sets out the implementation process and next steps.</w:t>
      </w:r>
    </w:p>
    <w:p w:rsidR="008968AB" w:rsidRPr="00FA2BF5" w:rsidRDefault="008968AB" w:rsidP="002C7856">
      <w:pPr>
        <w:pStyle w:val="Chapter1"/>
        <w:numPr>
          <w:ilvl w:val="0"/>
          <w:numId w:val="0"/>
        </w:numPr>
      </w:pPr>
    </w:p>
    <w:p w:rsidR="005D3DAF" w:rsidRPr="00FA2BF5" w:rsidRDefault="005D3DAF" w:rsidP="00FA2BF5">
      <w:pPr>
        <w:pStyle w:val="Chapter1"/>
      </w:pPr>
      <w:r w:rsidRPr="00FA2BF5">
        <w:t>The MLI provides New Zealand with a unique opportunity to strengthen our DTAs and ensure they are consistent with international best practice</w:t>
      </w:r>
      <w:r w:rsidR="00FA2BF5" w:rsidRPr="00FA2BF5">
        <w:t>.</w:t>
      </w:r>
      <w:r w:rsidR="006D4999" w:rsidRPr="00FA2BF5">
        <w:t xml:space="preserve"> </w:t>
      </w:r>
      <w:r w:rsidR="00FA2BF5" w:rsidRPr="00FA2BF5">
        <w:t xml:space="preserve"> </w:t>
      </w:r>
      <w:r w:rsidRPr="00FA2BF5">
        <w:t>Accordingly, t</w:t>
      </w:r>
      <w:r w:rsidR="002C7856" w:rsidRPr="00FA2BF5">
        <w:t xml:space="preserve">he Government has already </w:t>
      </w:r>
      <w:r w:rsidR="008F2218" w:rsidRPr="00FA2BF5">
        <w:t>indicated it intends</w:t>
      </w:r>
      <w:r w:rsidR="002C7856" w:rsidRPr="00FA2BF5">
        <w:t xml:space="preserve"> to</w:t>
      </w:r>
      <w:r w:rsidR="008968AB" w:rsidRPr="00FA2BF5">
        <w:t xml:space="preserve"> sign the MLI,</w:t>
      </w:r>
      <w:r w:rsidR="003A2EB4" w:rsidRPr="00FA2BF5">
        <w:t xml:space="preserve"> </w:t>
      </w:r>
      <w:r w:rsidR="002C7856" w:rsidRPr="00FA2BF5">
        <w:t xml:space="preserve">and </w:t>
      </w:r>
      <w:r w:rsidR="008F2218" w:rsidRPr="00FA2BF5">
        <w:t xml:space="preserve">has made preliminary </w:t>
      </w:r>
      <w:r w:rsidR="002C7856" w:rsidRPr="00FA2BF5">
        <w:t>deci</w:t>
      </w:r>
      <w:r w:rsidR="008F2218" w:rsidRPr="00FA2BF5">
        <w:t>sions</w:t>
      </w:r>
      <w:r w:rsidR="002C7856" w:rsidRPr="00FA2BF5">
        <w:t xml:space="preserve"> </w:t>
      </w:r>
      <w:r w:rsidR="008F2218" w:rsidRPr="00FA2BF5">
        <w:t>on which</w:t>
      </w:r>
      <w:r w:rsidR="002C7856" w:rsidRPr="00FA2BF5">
        <w:t xml:space="preserve"> DTAs to cover and provisions to </w:t>
      </w:r>
      <w:r w:rsidR="008968AB" w:rsidRPr="00FA2BF5">
        <w:t>adopt</w:t>
      </w:r>
      <w:r w:rsidR="00765FD6" w:rsidRPr="00FA2BF5">
        <w:t xml:space="preserve">.  </w:t>
      </w:r>
      <w:r w:rsidRPr="00FA2BF5">
        <w:t>Broadly speaking, New Zealand intends the MLI to cover the majority of its DTA network and to adopt all applicable minimum standard and optional provisions.</w:t>
      </w:r>
    </w:p>
    <w:p w:rsidR="008968AB" w:rsidRPr="00FA2BF5" w:rsidRDefault="008968AB" w:rsidP="00FA2BF5"/>
    <w:p w:rsidR="003A2EB4" w:rsidRPr="00FA2BF5" w:rsidRDefault="00FA2BF5" w:rsidP="003A2EB4">
      <w:pPr>
        <w:pStyle w:val="Chapter1"/>
      </w:pPr>
      <w:r>
        <w:t>D</w:t>
      </w:r>
      <w:r w:rsidR="003A2EB4" w:rsidRPr="00FA2BF5">
        <w:t xml:space="preserve">ue to the novel nature of the MLI and its interaction with New Zealand’s DTAs, officials are interested in </w:t>
      </w:r>
      <w:r w:rsidR="008968AB" w:rsidRPr="00FA2BF5">
        <w:t>receiving submissions</w:t>
      </w:r>
      <w:r w:rsidR="003A2EB4" w:rsidRPr="00FA2BF5">
        <w:t xml:space="preserve"> on </w:t>
      </w:r>
      <w:r w:rsidR="008968AB" w:rsidRPr="00FA2BF5">
        <w:t>the implementation of the MLI and practical issues associated with its adoption</w:t>
      </w:r>
      <w:r w:rsidR="003A2EB4" w:rsidRPr="00FA2BF5">
        <w:t>.</w:t>
      </w:r>
    </w:p>
    <w:p w:rsidR="00FB231D" w:rsidRDefault="00FB231D" w:rsidP="00C76D61">
      <w:pPr>
        <w:pStyle w:val="Chapter1"/>
        <w:numPr>
          <w:ilvl w:val="0"/>
          <w:numId w:val="0"/>
        </w:numPr>
        <w:ind w:left="851"/>
      </w:pPr>
    </w:p>
    <w:p w:rsidR="00846D8C" w:rsidRPr="00C76D61" w:rsidRDefault="00846D8C" w:rsidP="00C76D61">
      <w:pPr>
        <w:pStyle w:val="Chapter1"/>
        <w:numPr>
          <w:ilvl w:val="0"/>
          <w:numId w:val="0"/>
        </w:numPr>
        <w:ind w:left="851"/>
      </w:pPr>
    </w:p>
    <w:p w:rsidR="00C76D61" w:rsidRPr="00B4063E" w:rsidRDefault="00C76D61" w:rsidP="00846D8C">
      <w:pPr>
        <w:pStyle w:val="Heading1"/>
        <w:rPr>
          <w:lang w:val="en-NZ"/>
        </w:rPr>
      </w:pPr>
      <w:bookmarkStart w:id="21" w:name="_Toc476153889"/>
      <w:r w:rsidRPr="00B4063E">
        <w:rPr>
          <w:lang w:val="en-NZ"/>
        </w:rPr>
        <w:t>How to make a submission</w:t>
      </w:r>
      <w:bookmarkEnd w:id="21"/>
    </w:p>
    <w:p w:rsidR="00FB231D" w:rsidRPr="00C76D61" w:rsidRDefault="00FB231D" w:rsidP="00FB231D">
      <w:pPr>
        <w:pStyle w:val="Chapter1"/>
        <w:numPr>
          <w:ilvl w:val="0"/>
          <w:numId w:val="0"/>
        </w:numPr>
        <w:ind w:left="851"/>
      </w:pPr>
    </w:p>
    <w:p w:rsidR="00C76D61" w:rsidRPr="00C76D61" w:rsidRDefault="00C76D61" w:rsidP="006659C0">
      <w:pPr>
        <w:pStyle w:val="Chapter1"/>
      </w:pPr>
      <w:r w:rsidRPr="00C76D61">
        <w:t>Officials invite submissions on the suggested changes and points raised in this issues paper</w:t>
      </w:r>
      <w:r w:rsidR="002D1F3E">
        <w:t>.  S</w:t>
      </w:r>
      <w:r w:rsidRPr="00C76D61">
        <w:t xml:space="preserve">ubmissions should be sent to </w:t>
      </w:r>
      <w:hyperlink r:id="rId15" w:history="1">
        <w:r w:rsidR="006659C0" w:rsidRPr="006659C0">
          <w:t>policy.webmaster@ird.govt.nz</w:t>
        </w:r>
      </w:hyperlink>
      <w:r w:rsidRPr="00C76D61">
        <w:t xml:space="preserve"> with </w:t>
      </w:r>
      <w:r w:rsidRPr="00ED3BB7">
        <w:t>“</w:t>
      </w:r>
      <w:r w:rsidR="006659C0" w:rsidRPr="004F3874">
        <w:t>N</w:t>
      </w:r>
      <w:r w:rsidR="006659C0" w:rsidRPr="00ED3BB7">
        <w:t>Z’s implementation of the M</w:t>
      </w:r>
      <w:r w:rsidR="004F3874">
        <w:t>LI</w:t>
      </w:r>
      <w:r w:rsidRPr="00ED3BB7">
        <w:t>”</w:t>
      </w:r>
      <w:r w:rsidRPr="00C76D61">
        <w:t xml:space="preserve"> in the subject line.</w:t>
      </w:r>
    </w:p>
    <w:p w:rsidR="00FB231D" w:rsidRDefault="00FB231D" w:rsidP="00FB231D">
      <w:pPr>
        <w:pStyle w:val="Chapter1"/>
        <w:numPr>
          <w:ilvl w:val="0"/>
          <w:numId w:val="0"/>
        </w:numPr>
        <w:ind w:left="851"/>
      </w:pPr>
    </w:p>
    <w:p w:rsidR="00C76D61" w:rsidRPr="00C76D61" w:rsidRDefault="00C76D61" w:rsidP="00C76D61">
      <w:pPr>
        <w:pStyle w:val="Chapter1"/>
      </w:pPr>
      <w:r w:rsidRPr="00C76D61">
        <w:t>Alternatively, submissions can be addressed to:</w:t>
      </w:r>
    </w:p>
    <w:p w:rsidR="00FB231D" w:rsidRDefault="00FB231D" w:rsidP="00FB231D">
      <w:pPr>
        <w:pStyle w:val="Chapter1"/>
        <w:numPr>
          <w:ilvl w:val="0"/>
          <w:numId w:val="0"/>
        </w:numPr>
        <w:ind w:left="851"/>
      </w:pPr>
    </w:p>
    <w:p w:rsidR="009A6972" w:rsidRDefault="00CD39C1" w:rsidP="00ED3BB7">
      <w:pPr>
        <w:pStyle w:val="Chapter1"/>
        <w:numPr>
          <w:ilvl w:val="0"/>
          <w:numId w:val="0"/>
        </w:numPr>
        <w:ind w:left="851"/>
        <w:jc w:val="left"/>
        <w:rPr>
          <w:i/>
        </w:rPr>
      </w:pPr>
      <w:r w:rsidRPr="00D934F1">
        <w:t xml:space="preserve">New Zealand’s implementation of the </w:t>
      </w:r>
      <w:r w:rsidRPr="00CE7D8F">
        <w:rPr>
          <w:i/>
        </w:rPr>
        <w:t>Multilateral Convention to Implement Tax Treaty Related Measures to Prevent BEPS</w:t>
      </w:r>
    </w:p>
    <w:p w:rsidR="009A6972" w:rsidRDefault="009A6972" w:rsidP="00ED3BB7">
      <w:pPr>
        <w:pStyle w:val="Chapter1"/>
        <w:numPr>
          <w:ilvl w:val="0"/>
          <w:numId w:val="0"/>
        </w:numPr>
        <w:ind w:left="851"/>
        <w:jc w:val="left"/>
      </w:pPr>
      <w:r>
        <w:t>c</w:t>
      </w:r>
      <w:r w:rsidR="00C76D61" w:rsidRPr="00C76D61">
        <w:t>/- Deputy Commissioner, Policy and Strategy</w:t>
      </w:r>
    </w:p>
    <w:p w:rsidR="009A6972" w:rsidRDefault="00C76D61" w:rsidP="00ED3BB7">
      <w:pPr>
        <w:pStyle w:val="Chapter1"/>
        <w:numPr>
          <w:ilvl w:val="0"/>
          <w:numId w:val="0"/>
        </w:numPr>
        <w:ind w:left="851"/>
        <w:jc w:val="left"/>
      </w:pPr>
      <w:r w:rsidRPr="00C76D61">
        <w:t>Inland Revenue Department</w:t>
      </w:r>
    </w:p>
    <w:p w:rsidR="009A6972" w:rsidRDefault="00C76D61" w:rsidP="00ED3BB7">
      <w:pPr>
        <w:pStyle w:val="Chapter1"/>
        <w:numPr>
          <w:ilvl w:val="0"/>
          <w:numId w:val="0"/>
        </w:numPr>
        <w:ind w:left="851"/>
        <w:jc w:val="left"/>
      </w:pPr>
      <w:r w:rsidRPr="00C76D61">
        <w:t>PO Box 2198</w:t>
      </w:r>
    </w:p>
    <w:p w:rsidR="00C76D61" w:rsidRPr="00C76D61" w:rsidRDefault="00C76D61" w:rsidP="00ED3BB7">
      <w:pPr>
        <w:pStyle w:val="Chapter1"/>
        <w:numPr>
          <w:ilvl w:val="0"/>
          <w:numId w:val="0"/>
        </w:numPr>
        <w:ind w:left="851"/>
        <w:jc w:val="left"/>
      </w:pPr>
      <w:r w:rsidRPr="00C76D61">
        <w:t>Wellington 6140</w:t>
      </w:r>
    </w:p>
    <w:p w:rsidR="00FB231D" w:rsidRDefault="00FB231D" w:rsidP="00FB231D">
      <w:pPr>
        <w:pStyle w:val="Chapter1"/>
        <w:numPr>
          <w:ilvl w:val="0"/>
          <w:numId w:val="0"/>
        </w:numPr>
        <w:ind w:left="851"/>
      </w:pPr>
    </w:p>
    <w:p w:rsidR="00C76D61" w:rsidRPr="00C76D61" w:rsidRDefault="00C76D61" w:rsidP="00C76D61">
      <w:pPr>
        <w:pStyle w:val="Chapter1"/>
      </w:pPr>
      <w:r w:rsidRPr="00C76D61">
        <w:t xml:space="preserve">The closing date for submissions is </w:t>
      </w:r>
      <w:r w:rsidR="009F38E4" w:rsidRPr="00ED3BB7">
        <w:rPr>
          <w:bCs/>
        </w:rPr>
        <w:t>7</w:t>
      </w:r>
      <w:r w:rsidR="00FB231D" w:rsidRPr="00ED3BB7">
        <w:rPr>
          <w:bCs/>
        </w:rPr>
        <w:t xml:space="preserve"> April 2017</w:t>
      </w:r>
      <w:r w:rsidRPr="009F38E4">
        <w:t>.</w:t>
      </w:r>
    </w:p>
    <w:p w:rsidR="00FB231D" w:rsidRDefault="00FB231D" w:rsidP="00FB231D">
      <w:pPr>
        <w:pStyle w:val="Chapter1"/>
        <w:numPr>
          <w:ilvl w:val="0"/>
          <w:numId w:val="0"/>
        </w:numPr>
        <w:ind w:left="851"/>
      </w:pPr>
    </w:p>
    <w:p w:rsidR="00C76D61" w:rsidRPr="00C76D61" w:rsidRDefault="00C76D61" w:rsidP="00C76D61">
      <w:pPr>
        <w:pStyle w:val="Chapter1"/>
      </w:pPr>
      <w:r w:rsidRPr="00C76D61">
        <w:t>Submissions should include a brief summary of major points and recommendations</w:t>
      </w:r>
      <w:r w:rsidR="002D1F3E">
        <w:t>.  T</w:t>
      </w:r>
      <w:r w:rsidRPr="00C76D61">
        <w:t>hey should also indicate whether it would be acceptable for Inland Revenue and Treasury officials to contact those making the submission to discuss the points raised, if required.</w:t>
      </w:r>
    </w:p>
    <w:p w:rsidR="006659C0" w:rsidRDefault="006659C0" w:rsidP="006659C0">
      <w:pPr>
        <w:pStyle w:val="Chapter1"/>
        <w:numPr>
          <w:ilvl w:val="0"/>
          <w:numId w:val="0"/>
        </w:numPr>
        <w:ind w:left="851"/>
      </w:pPr>
    </w:p>
    <w:p w:rsidR="00C76D61" w:rsidRPr="00C76D61" w:rsidRDefault="00C76D61" w:rsidP="00C76D61">
      <w:pPr>
        <w:pStyle w:val="Chapter1"/>
      </w:pPr>
      <w:r w:rsidRPr="00C76D61">
        <w:t>Submissions may be the subject of a request under the Official Information Act 1982, which may result in their release</w:t>
      </w:r>
      <w:r w:rsidR="002D1F3E">
        <w:t>.  T</w:t>
      </w:r>
      <w:r w:rsidRPr="00C76D61">
        <w:t>he withholding of particular submissions, or parts thereof, on the grounds of privacy, or commercial sensitivity, or for any other reason, will be determined in accordance with that Act</w:t>
      </w:r>
      <w:r w:rsidR="002D1F3E">
        <w:t>.  T</w:t>
      </w:r>
      <w:r w:rsidRPr="00C76D61">
        <w:t>hose making a submission who consider that there is any part of it that should properly be withheld under the Act should clearly indicate this.</w:t>
      </w:r>
    </w:p>
    <w:p w:rsidR="00373F5D" w:rsidRPr="00382E2E" w:rsidRDefault="00373F5D" w:rsidP="00373F5D">
      <w:pPr>
        <w:pStyle w:val="Chapter1"/>
        <w:numPr>
          <w:ilvl w:val="0"/>
          <w:numId w:val="0"/>
        </w:numPr>
      </w:pPr>
    </w:p>
    <w:p w:rsidR="00373F5D" w:rsidRPr="00241782" w:rsidRDefault="00373F5D" w:rsidP="00241782">
      <w:pPr>
        <w:pStyle w:val="Chapterheading"/>
      </w:pPr>
      <w:r w:rsidRPr="00382E2E">
        <w:rPr>
          <w:lang w:val="en-NZ"/>
        </w:rPr>
        <w:br w:type="page"/>
      </w:r>
      <w:bookmarkStart w:id="22" w:name="_Toc147567996"/>
      <w:bookmarkStart w:id="23" w:name="_Toc473032377"/>
      <w:bookmarkStart w:id="24" w:name="_Toc473032412"/>
      <w:bookmarkStart w:id="25" w:name="_Toc473124490"/>
      <w:bookmarkStart w:id="26" w:name="_Toc473124530"/>
      <w:bookmarkStart w:id="27" w:name="_Toc473210900"/>
      <w:bookmarkStart w:id="28" w:name="_Toc474739887"/>
      <w:bookmarkStart w:id="29" w:name="_Toc474739947"/>
      <w:bookmarkStart w:id="30" w:name="_Toc474745525"/>
      <w:bookmarkStart w:id="31" w:name="_Toc474747048"/>
      <w:bookmarkStart w:id="32" w:name="_Toc474749606"/>
      <w:bookmarkStart w:id="33" w:name="_Toc475001343"/>
      <w:bookmarkStart w:id="34" w:name="_Toc476143756"/>
      <w:bookmarkStart w:id="35" w:name="_Toc476145490"/>
      <w:bookmarkStart w:id="36" w:name="_Toc476153890"/>
      <w:r w:rsidR="001005B7" w:rsidRPr="00241782">
        <w:t xml:space="preserve">CHAPTER </w:t>
      </w:r>
      <w:r w:rsidRPr="00241782">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373F5D" w:rsidRPr="00241782" w:rsidRDefault="00373F5D" w:rsidP="00241782">
      <w:pPr>
        <w:pStyle w:val="Chapterheading"/>
      </w:pPr>
    </w:p>
    <w:p w:rsidR="009E4517" w:rsidRPr="00241782" w:rsidRDefault="00316A76" w:rsidP="00241782">
      <w:pPr>
        <w:pStyle w:val="Chapterheading"/>
      </w:pPr>
      <w:bookmarkStart w:id="37" w:name="_Toc476153891"/>
      <w:r>
        <w:rPr>
          <w:caps w:val="0"/>
        </w:rPr>
        <w:t>T</w:t>
      </w:r>
      <w:r w:rsidR="00241782" w:rsidRPr="00241782">
        <w:rPr>
          <w:caps w:val="0"/>
        </w:rPr>
        <w:t>he multilateral instr</w:t>
      </w:r>
      <w:r w:rsidR="00241782">
        <w:rPr>
          <w:caps w:val="0"/>
        </w:rPr>
        <w:t xml:space="preserve">ument and how it </w:t>
      </w:r>
      <w:r>
        <w:rPr>
          <w:caps w:val="0"/>
        </w:rPr>
        <w:t xml:space="preserve">will </w:t>
      </w:r>
      <w:r w:rsidR="00241782">
        <w:rPr>
          <w:caps w:val="0"/>
        </w:rPr>
        <w:t>amend our DTA</w:t>
      </w:r>
      <w:r w:rsidR="00241782" w:rsidRPr="00241782">
        <w:rPr>
          <w:caps w:val="0"/>
        </w:rPr>
        <w:t>s</w:t>
      </w:r>
      <w:bookmarkEnd w:id="37"/>
    </w:p>
    <w:p w:rsidR="009E4517" w:rsidRDefault="009E4517" w:rsidP="00846D8C">
      <w:pPr>
        <w:rPr>
          <w:lang w:val="en-NZ"/>
        </w:rPr>
      </w:pPr>
    </w:p>
    <w:p w:rsidR="007B1BC1" w:rsidRPr="00382E2E" w:rsidRDefault="007B1BC1" w:rsidP="00846D8C">
      <w:pPr>
        <w:rPr>
          <w:lang w:val="en-NZ"/>
        </w:rPr>
      </w:pPr>
    </w:p>
    <w:p w:rsidR="002760C0" w:rsidRDefault="007B1BC1" w:rsidP="00AC1099">
      <w:pPr>
        <w:pStyle w:val="Chapter2"/>
      </w:pPr>
      <w:r>
        <w:t>The MLI is a multilateral international treaty that</w:t>
      </w:r>
      <w:r w:rsidR="002760C0">
        <w:t xml:space="preserve"> will</w:t>
      </w:r>
      <w:r>
        <w:t xml:space="preserve"> </w:t>
      </w:r>
      <w:r w:rsidR="002760C0">
        <w:t xml:space="preserve">enable participating countries to quickly and efficiently </w:t>
      </w:r>
      <w:r>
        <w:t xml:space="preserve">modify </w:t>
      </w:r>
      <w:r w:rsidR="002760C0">
        <w:t xml:space="preserve">their network of </w:t>
      </w:r>
      <w:r>
        <w:t xml:space="preserve">DTAs to address </w:t>
      </w:r>
      <w:r w:rsidR="00AC1099">
        <w:t xml:space="preserve">the </w:t>
      </w:r>
      <w:r w:rsidR="002760C0">
        <w:t>treaty-specific BEPS concerns</w:t>
      </w:r>
      <w:r w:rsidR="00AC1099">
        <w:t xml:space="preserve"> outlined in the </w:t>
      </w:r>
      <w:r w:rsidR="008F2218">
        <w:t xml:space="preserve">OECD’s </w:t>
      </w:r>
      <w:r w:rsidR="00AC1099">
        <w:t>Action 6, 7, 2 and 14 reports.</w:t>
      </w:r>
    </w:p>
    <w:p w:rsidR="00F47C13" w:rsidRDefault="00F47C13" w:rsidP="00F47C13">
      <w:pPr>
        <w:pStyle w:val="Chapter2"/>
        <w:numPr>
          <w:ilvl w:val="0"/>
          <w:numId w:val="0"/>
        </w:numPr>
        <w:ind w:left="851"/>
      </w:pPr>
    </w:p>
    <w:p w:rsidR="002760C0" w:rsidRDefault="002760C0" w:rsidP="002760C0">
      <w:pPr>
        <w:pStyle w:val="Chapter2"/>
      </w:pPr>
      <w:r>
        <w:t>While t</w:t>
      </w:r>
      <w:r w:rsidR="007B1BC1">
        <w:t xml:space="preserve">his is a novel approach to </w:t>
      </w:r>
      <w:r>
        <w:t>modifying</w:t>
      </w:r>
      <w:r w:rsidR="007B1BC1">
        <w:t xml:space="preserve"> </w:t>
      </w:r>
      <w:r w:rsidR="00F47C13">
        <w:t>DTAs</w:t>
      </w:r>
      <w:r w:rsidR="007B1BC1">
        <w:t>,</w:t>
      </w:r>
      <w:r>
        <w:t xml:space="preserve"> it is not unprecedented in international law</w:t>
      </w:r>
      <w:r w:rsidR="00BA0AEE">
        <w:t>.  E</w:t>
      </w:r>
      <w:r>
        <w:t>xperts in both international tax and public international law participated in the OECD Ad Hoc Group that developed the MLI.</w:t>
      </w:r>
    </w:p>
    <w:p w:rsidR="008C25CB" w:rsidRPr="00287272" w:rsidRDefault="008C25CB" w:rsidP="00287272"/>
    <w:p w:rsidR="008C25CB" w:rsidRDefault="008C25CB" w:rsidP="008C25CB">
      <w:pPr>
        <w:pStyle w:val="Chapter2"/>
        <w:tabs>
          <w:tab w:val="clear" w:pos="851"/>
        </w:tabs>
      </w:pPr>
      <w:r>
        <w:t>The MLI is a flexible instrument that allows countries to choose:</w:t>
      </w:r>
    </w:p>
    <w:p w:rsidR="008C25CB" w:rsidRPr="00287272" w:rsidRDefault="008C25CB" w:rsidP="00287272"/>
    <w:p w:rsidR="008C25CB" w:rsidRDefault="008C25CB" w:rsidP="00846D8C">
      <w:pPr>
        <w:pStyle w:val="Bullets"/>
      </w:pPr>
      <w:r>
        <w:t xml:space="preserve">which of their existing DTAs they </w:t>
      </w:r>
      <w:r w:rsidR="009A6972">
        <w:t>wish to modify through the MLI;</w:t>
      </w:r>
    </w:p>
    <w:p w:rsidR="008C25CB" w:rsidRDefault="000061F1" w:rsidP="00846D8C">
      <w:pPr>
        <w:pStyle w:val="Bullets"/>
      </w:pPr>
      <w:r>
        <w:t>alternative</w:t>
      </w:r>
      <w:r w:rsidR="008C25CB">
        <w:t xml:space="preserve"> ways of meeting BEPS minimum standards </w:t>
      </w:r>
      <w:r>
        <w:t>on</w:t>
      </w:r>
      <w:r w:rsidR="008C25CB">
        <w:t xml:space="preserve"> treaty abuse and dispute resolution; </w:t>
      </w:r>
      <w:r>
        <w:t>and</w:t>
      </w:r>
    </w:p>
    <w:p w:rsidR="008C25CB" w:rsidRDefault="008C25CB" w:rsidP="00846D8C">
      <w:pPr>
        <w:pStyle w:val="Bullets"/>
        <w:spacing w:after="0"/>
      </w:pPr>
      <w:r>
        <w:t>whether they want to adopt the OECD-recommended provisions</w:t>
      </w:r>
      <w:r w:rsidRPr="008C25CB">
        <w:t xml:space="preserve"> </w:t>
      </w:r>
      <w:r>
        <w:t>for non-minimum standards</w:t>
      </w:r>
      <w:r w:rsidR="002D1F3E">
        <w:t>.  W</w:t>
      </w:r>
      <w:r w:rsidR="000061F1">
        <w:t>ithin some of these provisions, there are alternative ways of addressing BEPS concerns</w:t>
      </w:r>
      <w:r w:rsidR="00C90757">
        <w:t xml:space="preserve"> and the ability for countries to enter a variety of reservations</w:t>
      </w:r>
      <w:r w:rsidR="000061F1">
        <w:t>.</w:t>
      </w:r>
    </w:p>
    <w:p w:rsidR="00054A4A" w:rsidRDefault="00054A4A" w:rsidP="00054A4A">
      <w:pPr>
        <w:pStyle w:val="Chapter2"/>
        <w:numPr>
          <w:ilvl w:val="0"/>
          <w:numId w:val="0"/>
        </w:numPr>
        <w:ind w:left="851"/>
      </w:pPr>
    </w:p>
    <w:p w:rsidR="00054A4A" w:rsidRDefault="00054A4A" w:rsidP="00054A4A">
      <w:pPr>
        <w:pStyle w:val="Chapter2"/>
        <w:tabs>
          <w:tab w:val="clear" w:pos="851"/>
        </w:tabs>
      </w:pPr>
      <w:r>
        <w:t xml:space="preserve">To ensure the operation of the MLI is clear and transparent, signatories to the MLI must </w:t>
      </w:r>
      <w:r w:rsidR="008F2218">
        <w:t>notify</w:t>
      </w:r>
      <w:r>
        <w:t xml:space="preserve"> the OECD Depository</w:t>
      </w:r>
      <w:r w:rsidR="008F2218">
        <w:t xml:space="preserve"> of which DTAs it wishes to cover, which reservations </w:t>
      </w:r>
      <w:r w:rsidR="00316A76">
        <w:t xml:space="preserve">it </w:t>
      </w:r>
      <w:r w:rsidR="008F2218">
        <w:t>wishes to enter, optional provisions it wishes to choose and which provisions in its nominated DTAs will be modified by the MLI</w:t>
      </w:r>
      <w:r w:rsidR="002D1F3E">
        <w:t>.  T</w:t>
      </w:r>
      <w:r w:rsidR="008F2218">
        <w:t>he OECD</w:t>
      </w:r>
      <w:r>
        <w:t xml:space="preserve"> will publish</w:t>
      </w:r>
      <w:r w:rsidR="008F2218">
        <w:t xml:space="preserve"> this information</w:t>
      </w:r>
      <w:r>
        <w:t xml:space="preserve"> online</w:t>
      </w:r>
      <w:r w:rsidR="000B6BF6">
        <w:t xml:space="preserve"> and </w:t>
      </w:r>
      <w:r w:rsidR="008F2218">
        <w:t xml:space="preserve">it will be </w:t>
      </w:r>
      <w:r w:rsidR="000B6BF6">
        <w:t>readily accessible</w:t>
      </w:r>
      <w:r w:rsidR="008F2218">
        <w:t xml:space="preserve"> to the public</w:t>
      </w:r>
      <w:r w:rsidR="009A6972">
        <w:t>.</w:t>
      </w:r>
    </w:p>
    <w:p w:rsidR="008F2218" w:rsidRDefault="008F2218" w:rsidP="008F2218">
      <w:pPr>
        <w:pStyle w:val="Chapter2"/>
        <w:numPr>
          <w:ilvl w:val="0"/>
          <w:numId w:val="0"/>
        </w:numPr>
        <w:ind w:left="851"/>
      </w:pPr>
    </w:p>
    <w:p w:rsidR="008F2218" w:rsidRDefault="008F2218" w:rsidP="008F2218">
      <w:pPr>
        <w:pStyle w:val="Chapter2"/>
      </w:pPr>
      <w:r>
        <w:t xml:space="preserve">In addition, the OECD has adopted an </w:t>
      </w:r>
      <w:r w:rsidRPr="00F105F8">
        <w:rPr>
          <w:b/>
        </w:rPr>
        <w:t>Explanatory Statement</w:t>
      </w:r>
      <w:r>
        <w:t xml:space="preserve"> that provides detailed commentary on the operation</w:t>
      </w:r>
      <w:r w:rsidR="00CE2734">
        <w:t>,</w:t>
      </w:r>
      <w:r>
        <w:t xml:space="preserve"> and in limited cases</w:t>
      </w:r>
      <w:r w:rsidR="00316A76">
        <w:t>,</w:t>
      </w:r>
      <w:r>
        <w:t xml:space="preserve"> the substance of the MLI.  The Explanatory</w:t>
      </w:r>
      <w:r w:rsidR="00FA2BF5">
        <w:t xml:space="preserve"> Statement </w:t>
      </w:r>
      <w:r w:rsidR="009A34F3">
        <w:t>is available</w:t>
      </w:r>
      <w:r w:rsidR="00FA2BF5">
        <w:t xml:space="preserve"> </w:t>
      </w:r>
      <w:r>
        <w:t>on OECD</w:t>
      </w:r>
      <w:r w:rsidR="009A34F3">
        <w:t>’s</w:t>
      </w:r>
      <w:r>
        <w:t xml:space="preserve"> website </w:t>
      </w:r>
      <w:r w:rsidR="006A0B21">
        <w:t xml:space="preserve">at </w:t>
      </w:r>
      <w:hyperlink r:id="rId16" w:history="1">
        <w:r w:rsidRPr="00164CB7">
          <w:rPr>
            <w:rStyle w:val="Hyperlink"/>
          </w:rPr>
          <w:t>http://www.oecd.org/tax/treaties/explanatory-statement-multilateral-convention-to-implement-tax-treaty-related-measures-to-prevent-BEPS.pdf</w:t>
        </w:r>
      </w:hyperlink>
    </w:p>
    <w:p w:rsidR="008F2218" w:rsidRPr="00287272" w:rsidRDefault="008F2218" w:rsidP="00287272"/>
    <w:p w:rsidR="002F1F3A" w:rsidRDefault="002F1F3A" w:rsidP="00054A4A">
      <w:pPr>
        <w:pStyle w:val="Chapter2"/>
        <w:tabs>
          <w:tab w:val="clear" w:pos="851"/>
        </w:tabs>
      </w:pPr>
      <w:r>
        <w:t xml:space="preserve">This chapter outlines the structure and high level operation of the MLI.  </w:t>
      </w:r>
      <w:r w:rsidR="008E19CE">
        <w:t>Chapter</w:t>
      </w:r>
      <w:r>
        <w:t xml:space="preserve"> 3 </w:t>
      </w:r>
      <w:r w:rsidR="007F4EA5">
        <w:t>further explains how the substantive provisions will address BEPS concerns</w:t>
      </w:r>
      <w:r w:rsidR="00F105F8">
        <w:t xml:space="preserve"> and sets out New Zealand’s position on the MLI</w:t>
      </w:r>
      <w:r w:rsidR="007F4EA5">
        <w:t xml:space="preserve">.  </w:t>
      </w:r>
      <w:r w:rsidR="008E19CE">
        <w:t>Chapter</w:t>
      </w:r>
      <w:r w:rsidR="007F4EA5">
        <w:t xml:space="preserve"> 4 then sets out the implementation process and next steps.</w:t>
      </w:r>
    </w:p>
    <w:p w:rsidR="000061F1" w:rsidRDefault="000061F1" w:rsidP="000061F1">
      <w:pPr>
        <w:pStyle w:val="Chapter2"/>
        <w:numPr>
          <w:ilvl w:val="0"/>
          <w:numId w:val="0"/>
        </w:numPr>
        <w:ind w:left="851" w:hanging="851"/>
      </w:pPr>
    </w:p>
    <w:p w:rsidR="00241782" w:rsidRDefault="00241782" w:rsidP="000061F1">
      <w:pPr>
        <w:pStyle w:val="Chapter2"/>
        <w:numPr>
          <w:ilvl w:val="0"/>
          <w:numId w:val="0"/>
        </w:numPr>
        <w:ind w:left="851" w:hanging="851"/>
      </w:pPr>
    </w:p>
    <w:p w:rsidR="001250A8" w:rsidRDefault="00D36361" w:rsidP="00241782">
      <w:pPr>
        <w:pStyle w:val="Heading1"/>
        <w:rPr>
          <w:lang w:val="en-NZ"/>
        </w:rPr>
      </w:pPr>
      <w:bookmarkStart w:id="38" w:name="_Toc476153892"/>
      <w:r>
        <w:rPr>
          <w:lang w:val="en-NZ"/>
        </w:rPr>
        <w:t xml:space="preserve">Structure </w:t>
      </w:r>
      <w:r w:rsidR="001250A8">
        <w:rPr>
          <w:lang w:val="en-NZ"/>
        </w:rPr>
        <w:t xml:space="preserve">of the </w:t>
      </w:r>
      <w:r w:rsidR="008E19CE">
        <w:rPr>
          <w:lang w:val="en-NZ"/>
        </w:rPr>
        <w:t>multilateral instrument</w:t>
      </w:r>
      <w:bookmarkEnd w:id="38"/>
    </w:p>
    <w:p w:rsidR="001250A8" w:rsidRPr="009A6972" w:rsidRDefault="001250A8" w:rsidP="009A6972"/>
    <w:p w:rsidR="001250A8" w:rsidRDefault="007F4EA5" w:rsidP="007F4EA5">
      <w:pPr>
        <w:pStyle w:val="Chapter2"/>
        <w:tabs>
          <w:tab w:val="clear" w:pos="851"/>
        </w:tabs>
      </w:pPr>
      <w:r>
        <w:t xml:space="preserve">Before describing how the MLI operates, it is useful to understand </w:t>
      </w:r>
      <w:r w:rsidR="00316A76">
        <w:t xml:space="preserve">its </w:t>
      </w:r>
      <w:r>
        <w:t>broad structure.</w:t>
      </w:r>
    </w:p>
    <w:p w:rsidR="00F105F8" w:rsidRDefault="00F105F8" w:rsidP="00F105F8">
      <w:pPr>
        <w:pStyle w:val="Chapter2"/>
        <w:numPr>
          <w:ilvl w:val="0"/>
          <w:numId w:val="0"/>
        </w:numPr>
        <w:ind w:left="851"/>
      </w:pPr>
    </w:p>
    <w:p w:rsidR="001250A8" w:rsidRDefault="001250A8" w:rsidP="001250A8">
      <w:pPr>
        <w:pStyle w:val="Chapter2"/>
        <w:numPr>
          <w:ilvl w:val="0"/>
          <w:numId w:val="0"/>
        </w:numPr>
        <w:ind w:left="851"/>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609"/>
        <w:gridCol w:w="1134"/>
        <w:gridCol w:w="4400"/>
      </w:tblGrid>
      <w:tr w:rsidR="0005426F" w:rsidRPr="00241782" w:rsidTr="00AD05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9" w:type="dxa"/>
            <w:tcBorders>
              <w:top w:val="none" w:sz="0" w:space="0" w:color="auto"/>
              <w:left w:val="none" w:sz="0" w:space="0" w:color="auto"/>
              <w:bottom w:val="none" w:sz="0" w:space="0" w:color="auto"/>
              <w:right w:val="none" w:sz="0" w:space="0" w:color="auto"/>
            </w:tcBorders>
            <w:shd w:val="clear" w:color="auto" w:fill="auto"/>
          </w:tcPr>
          <w:p w:rsidR="0005426F" w:rsidRPr="00241782" w:rsidRDefault="006A0B21" w:rsidP="00804D55">
            <w:pPr>
              <w:pStyle w:val="Chapter2"/>
              <w:keepNext/>
              <w:numPr>
                <w:ilvl w:val="0"/>
                <w:numId w:val="0"/>
              </w:numPr>
              <w:jc w:val="left"/>
              <w:rPr>
                <w:sz w:val="20"/>
              </w:rPr>
            </w:pPr>
            <w:r>
              <w:rPr>
                <w:sz w:val="20"/>
              </w:rPr>
              <w:t>Section</w:t>
            </w:r>
          </w:p>
        </w:tc>
        <w:tc>
          <w:tcPr>
            <w:tcW w:w="1134" w:type="dxa"/>
            <w:tcBorders>
              <w:top w:val="none" w:sz="0" w:space="0" w:color="auto"/>
              <w:left w:val="none" w:sz="0" w:space="0" w:color="auto"/>
              <w:bottom w:val="none" w:sz="0" w:space="0" w:color="auto"/>
              <w:right w:val="none" w:sz="0" w:space="0" w:color="auto"/>
            </w:tcBorders>
            <w:shd w:val="clear" w:color="auto" w:fill="auto"/>
          </w:tcPr>
          <w:p w:rsidR="007F4EA5" w:rsidRPr="00241782" w:rsidRDefault="007F4EA5" w:rsidP="00804D55">
            <w:pPr>
              <w:pStyle w:val="Chapter2"/>
              <w:keepNext/>
              <w:numPr>
                <w:ilvl w:val="0"/>
                <w:numId w:val="0"/>
              </w:numPr>
              <w:jc w:val="left"/>
              <w:cnfStyle w:val="100000000000" w:firstRow="1" w:lastRow="0" w:firstColumn="0" w:lastColumn="0" w:oddVBand="0" w:evenVBand="0" w:oddHBand="0" w:evenHBand="0" w:firstRowFirstColumn="0" w:firstRowLastColumn="0" w:lastRowFirstColumn="0" w:lastRowLastColumn="0"/>
              <w:rPr>
                <w:sz w:val="20"/>
              </w:rPr>
            </w:pPr>
            <w:r w:rsidRPr="00241782">
              <w:rPr>
                <w:sz w:val="20"/>
              </w:rPr>
              <w:t xml:space="preserve">Relevant </w:t>
            </w:r>
            <w:r w:rsidR="0005426F" w:rsidRPr="00241782">
              <w:rPr>
                <w:sz w:val="20"/>
              </w:rPr>
              <w:t>Article</w:t>
            </w:r>
            <w:r w:rsidR="00241782" w:rsidRPr="00241782">
              <w:rPr>
                <w:sz w:val="20"/>
              </w:rPr>
              <w:t>(s)</w:t>
            </w:r>
          </w:p>
        </w:tc>
        <w:tc>
          <w:tcPr>
            <w:tcW w:w="4400" w:type="dxa"/>
            <w:tcBorders>
              <w:top w:val="none" w:sz="0" w:space="0" w:color="auto"/>
              <w:left w:val="none" w:sz="0" w:space="0" w:color="auto"/>
              <w:bottom w:val="none" w:sz="0" w:space="0" w:color="auto"/>
              <w:right w:val="none" w:sz="0" w:space="0" w:color="auto"/>
            </w:tcBorders>
            <w:shd w:val="clear" w:color="auto" w:fill="auto"/>
          </w:tcPr>
          <w:p w:rsidR="0005426F" w:rsidRPr="00241782" w:rsidRDefault="0005426F" w:rsidP="00804D55">
            <w:pPr>
              <w:pStyle w:val="Chapter2"/>
              <w:keepNext/>
              <w:numPr>
                <w:ilvl w:val="0"/>
                <w:numId w:val="0"/>
              </w:numPr>
              <w:jc w:val="left"/>
              <w:cnfStyle w:val="100000000000" w:firstRow="1" w:lastRow="0" w:firstColumn="0" w:lastColumn="0" w:oddVBand="0" w:evenVBand="0" w:oddHBand="0" w:evenHBand="0" w:firstRowFirstColumn="0" w:firstRowLastColumn="0" w:lastRowFirstColumn="0" w:lastRowLastColumn="0"/>
              <w:rPr>
                <w:sz w:val="20"/>
              </w:rPr>
            </w:pPr>
            <w:r w:rsidRPr="00241782">
              <w:rPr>
                <w:sz w:val="20"/>
              </w:rPr>
              <w:t>Description</w:t>
            </w:r>
          </w:p>
        </w:tc>
      </w:tr>
      <w:tr w:rsidR="001250A8" w:rsidRPr="00241782" w:rsidTr="009A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left w:val="none" w:sz="0" w:space="0" w:color="auto"/>
              <w:right w:val="none" w:sz="0" w:space="0" w:color="auto"/>
            </w:tcBorders>
            <w:shd w:val="clear" w:color="auto" w:fill="auto"/>
          </w:tcPr>
          <w:p w:rsidR="001250A8" w:rsidRPr="00241782" w:rsidRDefault="001250A8" w:rsidP="001250A8">
            <w:pPr>
              <w:pStyle w:val="Chapter2"/>
              <w:numPr>
                <w:ilvl w:val="0"/>
                <w:numId w:val="0"/>
              </w:numPr>
              <w:jc w:val="left"/>
              <w:rPr>
                <w:b w:val="0"/>
                <w:sz w:val="20"/>
              </w:rPr>
            </w:pPr>
            <w:r w:rsidRPr="00241782">
              <w:rPr>
                <w:b w:val="0"/>
                <w:sz w:val="20"/>
              </w:rPr>
              <w:t>Title and preamble</w:t>
            </w:r>
          </w:p>
        </w:tc>
        <w:tc>
          <w:tcPr>
            <w:tcW w:w="1134" w:type="dxa"/>
            <w:tcBorders>
              <w:left w:val="none" w:sz="0" w:space="0" w:color="auto"/>
              <w:right w:val="none" w:sz="0" w:space="0" w:color="auto"/>
            </w:tcBorders>
            <w:shd w:val="clear" w:color="auto" w:fill="auto"/>
          </w:tcPr>
          <w:p w:rsidR="001250A8" w:rsidRPr="00241782" w:rsidRDefault="001250A8" w:rsidP="001250A8">
            <w:pPr>
              <w:pStyle w:val="Chapter2"/>
              <w:numPr>
                <w:ilvl w:val="0"/>
                <w:numId w:val="0"/>
              </w:numPr>
              <w:jc w:val="left"/>
              <w:cnfStyle w:val="000000100000" w:firstRow="0" w:lastRow="0" w:firstColumn="0" w:lastColumn="0" w:oddVBand="0" w:evenVBand="0" w:oddHBand="1" w:evenHBand="0" w:firstRowFirstColumn="0" w:firstRowLastColumn="0" w:lastRowFirstColumn="0" w:lastRowLastColumn="0"/>
              <w:rPr>
                <w:sz w:val="20"/>
              </w:rPr>
            </w:pPr>
          </w:p>
        </w:tc>
        <w:tc>
          <w:tcPr>
            <w:tcW w:w="4400" w:type="dxa"/>
            <w:tcBorders>
              <w:left w:val="none" w:sz="0" w:space="0" w:color="auto"/>
              <w:right w:val="none" w:sz="0" w:space="0" w:color="auto"/>
            </w:tcBorders>
            <w:shd w:val="clear" w:color="auto" w:fill="auto"/>
          </w:tcPr>
          <w:p w:rsidR="007A0A8A" w:rsidRPr="00241782" w:rsidRDefault="007F4EA5" w:rsidP="007F4EA5">
            <w:pPr>
              <w:pStyle w:val="Chapter2"/>
              <w:numPr>
                <w:ilvl w:val="0"/>
                <w:numId w:val="0"/>
              </w:numPr>
              <w:jc w:val="left"/>
              <w:cnfStyle w:val="000000100000" w:firstRow="0" w:lastRow="0" w:firstColumn="0" w:lastColumn="0" w:oddVBand="0" w:evenVBand="0" w:oddHBand="1" w:evenHBand="0" w:firstRowFirstColumn="0" w:firstRowLastColumn="0" w:lastRowFirstColumn="0" w:lastRowLastColumn="0"/>
              <w:rPr>
                <w:sz w:val="20"/>
              </w:rPr>
            </w:pPr>
            <w:r w:rsidRPr="00241782">
              <w:rPr>
                <w:sz w:val="20"/>
              </w:rPr>
              <w:t>Sets out the context and purpose of the MLI</w:t>
            </w:r>
            <w:r w:rsidR="007A0A8A" w:rsidRPr="00241782">
              <w:rPr>
                <w:sz w:val="20"/>
              </w:rPr>
              <w:t>.</w:t>
            </w:r>
          </w:p>
        </w:tc>
      </w:tr>
      <w:tr w:rsidR="001250A8" w:rsidRPr="00241782" w:rsidTr="009A34F3">
        <w:tc>
          <w:tcPr>
            <w:cnfStyle w:val="001000000000" w:firstRow="0" w:lastRow="0" w:firstColumn="1" w:lastColumn="0" w:oddVBand="0" w:evenVBand="0" w:oddHBand="0" w:evenHBand="0" w:firstRowFirstColumn="0" w:firstRowLastColumn="0" w:lastRowFirstColumn="0" w:lastRowLastColumn="0"/>
            <w:tcW w:w="2609" w:type="dxa"/>
          </w:tcPr>
          <w:p w:rsidR="007A0A8A" w:rsidRPr="00241782" w:rsidRDefault="001250A8" w:rsidP="001250A8">
            <w:pPr>
              <w:pStyle w:val="Chapter2"/>
              <w:numPr>
                <w:ilvl w:val="0"/>
                <w:numId w:val="0"/>
              </w:numPr>
              <w:jc w:val="left"/>
              <w:rPr>
                <w:b w:val="0"/>
                <w:sz w:val="20"/>
              </w:rPr>
            </w:pPr>
            <w:r w:rsidRPr="00241782">
              <w:rPr>
                <w:b w:val="0"/>
                <w:sz w:val="20"/>
              </w:rPr>
              <w:t>Part I: Scope and Interpretation of Terms</w:t>
            </w:r>
          </w:p>
        </w:tc>
        <w:tc>
          <w:tcPr>
            <w:tcW w:w="1134" w:type="dxa"/>
          </w:tcPr>
          <w:p w:rsidR="001250A8" w:rsidRPr="00241782" w:rsidRDefault="007F4EA5" w:rsidP="007F4EA5">
            <w:pPr>
              <w:pStyle w:val="Chapter2"/>
              <w:numPr>
                <w:ilvl w:val="0"/>
                <w:numId w:val="0"/>
              </w:numPr>
              <w:jc w:val="left"/>
              <w:cnfStyle w:val="000000000000" w:firstRow="0" w:lastRow="0" w:firstColumn="0" w:lastColumn="0" w:oddVBand="0" w:evenVBand="0" w:oddHBand="0" w:evenHBand="0" w:firstRowFirstColumn="0" w:firstRowLastColumn="0" w:lastRowFirstColumn="0" w:lastRowLastColumn="0"/>
              <w:rPr>
                <w:sz w:val="20"/>
              </w:rPr>
            </w:pPr>
            <w:r w:rsidRPr="00241782">
              <w:rPr>
                <w:sz w:val="20"/>
              </w:rPr>
              <w:t>1</w:t>
            </w:r>
            <w:r w:rsidR="001250A8" w:rsidRPr="00241782">
              <w:rPr>
                <w:sz w:val="20"/>
              </w:rPr>
              <w:t xml:space="preserve"> </w:t>
            </w:r>
            <w:r w:rsidRPr="00241782">
              <w:rPr>
                <w:sz w:val="20"/>
              </w:rPr>
              <w:t>to</w:t>
            </w:r>
            <w:r w:rsidR="001250A8" w:rsidRPr="00241782">
              <w:rPr>
                <w:sz w:val="20"/>
              </w:rPr>
              <w:t xml:space="preserve"> 2</w:t>
            </w:r>
          </w:p>
        </w:tc>
        <w:tc>
          <w:tcPr>
            <w:tcW w:w="4400" w:type="dxa"/>
          </w:tcPr>
          <w:p w:rsidR="001250A8" w:rsidRPr="00241782" w:rsidRDefault="007F4EA5" w:rsidP="001250A8">
            <w:pPr>
              <w:pStyle w:val="Chapter2"/>
              <w:numPr>
                <w:ilvl w:val="0"/>
                <w:numId w:val="0"/>
              </w:numPr>
              <w:jc w:val="left"/>
              <w:cnfStyle w:val="000000000000" w:firstRow="0" w:lastRow="0" w:firstColumn="0" w:lastColumn="0" w:oddVBand="0" w:evenVBand="0" w:oddHBand="0" w:evenHBand="0" w:firstRowFirstColumn="0" w:firstRowLastColumn="0" w:lastRowFirstColumn="0" w:lastRowLastColumn="0"/>
              <w:rPr>
                <w:sz w:val="20"/>
              </w:rPr>
            </w:pPr>
            <w:r w:rsidRPr="00241782">
              <w:rPr>
                <w:sz w:val="20"/>
              </w:rPr>
              <w:t>Governs application of the MLI and defines key terms including Covered Tax Agreement</w:t>
            </w:r>
            <w:r w:rsidR="007A0A8A" w:rsidRPr="00241782">
              <w:rPr>
                <w:sz w:val="20"/>
              </w:rPr>
              <w:t>.</w:t>
            </w:r>
          </w:p>
        </w:tc>
      </w:tr>
      <w:tr w:rsidR="001250A8" w:rsidRPr="00241782" w:rsidTr="009A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left w:val="none" w:sz="0" w:space="0" w:color="auto"/>
              <w:right w:val="none" w:sz="0" w:space="0" w:color="auto"/>
            </w:tcBorders>
            <w:shd w:val="clear" w:color="auto" w:fill="auto"/>
          </w:tcPr>
          <w:p w:rsidR="001250A8" w:rsidRPr="00241782" w:rsidRDefault="001250A8" w:rsidP="00241782">
            <w:pPr>
              <w:pStyle w:val="Chapter2"/>
              <w:numPr>
                <w:ilvl w:val="0"/>
                <w:numId w:val="0"/>
              </w:numPr>
              <w:jc w:val="left"/>
              <w:rPr>
                <w:b w:val="0"/>
                <w:sz w:val="20"/>
              </w:rPr>
            </w:pPr>
            <w:r w:rsidRPr="00241782">
              <w:rPr>
                <w:b w:val="0"/>
                <w:sz w:val="20"/>
              </w:rPr>
              <w:t xml:space="preserve">Parts II – V: Substantive </w:t>
            </w:r>
            <w:r w:rsidR="00241782">
              <w:rPr>
                <w:b w:val="0"/>
                <w:sz w:val="20"/>
              </w:rPr>
              <w:br/>
              <w:t>B</w:t>
            </w:r>
            <w:r w:rsidRPr="00241782">
              <w:rPr>
                <w:b w:val="0"/>
                <w:sz w:val="20"/>
              </w:rPr>
              <w:t>EPS measures</w:t>
            </w:r>
          </w:p>
        </w:tc>
        <w:tc>
          <w:tcPr>
            <w:tcW w:w="1134" w:type="dxa"/>
            <w:tcBorders>
              <w:left w:val="none" w:sz="0" w:space="0" w:color="auto"/>
              <w:right w:val="none" w:sz="0" w:space="0" w:color="auto"/>
            </w:tcBorders>
            <w:shd w:val="clear" w:color="auto" w:fill="auto"/>
          </w:tcPr>
          <w:p w:rsidR="001250A8" w:rsidRPr="00241782" w:rsidRDefault="001250A8" w:rsidP="009A6972">
            <w:pPr>
              <w:pStyle w:val="Chapter2"/>
              <w:numPr>
                <w:ilvl w:val="0"/>
                <w:numId w:val="0"/>
              </w:numPr>
              <w:jc w:val="left"/>
              <w:cnfStyle w:val="000000100000" w:firstRow="0" w:lastRow="0" w:firstColumn="0" w:lastColumn="0" w:oddVBand="0" w:evenVBand="0" w:oddHBand="1" w:evenHBand="0" w:firstRowFirstColumn="0" w:firstRowLastColumn="0" w:lastRowFirstColumn="0" w:lastRowLastColumn="0"/>
              <w:rPr>
                <w:sz w:val="20"/>
              </w:rPr>
            </w:pPr>
            <w:r w:rsidRPr="00241782">
              <w:rPr>
                <w:sz w:val="20"/>
              </w:rPr>
              <w:t xml:space="preserve">3 </w:t>
            </w:r>
            <w:r w:rsidR="007F4EA5" w:rsidRPr="00241782">
              <w:rPr>
                <w:sz w:val="20"/>
              </w:rPr>
              <w:t>to</w:t>
            </w:r>
            <w:r w:rsidRPr="00241782">
              <w:rPr>
                <w:sz w:val="20"/>
              </w:rPr>
              <w:t xml:space="preserve"> </w:t>
            </w:r>
            <w:r w:rsidR="00F105F8" w:rsidRPr="00241782">
              <w:rPr>
                <w:sz w:val="20"/>
              </w:rPr>
              <w:t>17</w:t>
            </w:r>
          </w:p>
        </w:tc>
        <w:tc>
          <w:tcPr>
            <w:tcW w:w="4400" w:type="dxa"/>
            <w:tcBorders>
              <w:left w:val="none" w:sz="0" w:space="0" w:color="auto"/>
              <w:right w:val="none" w:sz="0" w:space="0" w:color="auto"/>
            </w:tcBorders>
            <w:shd w:val="clear" w:color="auto" w:fill="auto"/>
          </w:tcPr>
          <w:p w:rsidR="001250A8" w:rsidRPr="00241782" w:rsidRDefault="007F4EA5" w:rsidP="007A0A8A">
            <w:pPr>
              <w:pStyle w:val="Chapter2"/>
              <w:numPr>
                <w:ilvl w:val="0"/>
                <w:numId w:val="0"/>
              </w:numPr>
              <w:jc w:val="left"/>
              <w:cnfStyle w:val="000000100000" w:firstRow="0" w:lastRow="0" w:firstColumn="0" w:lastColumn="0" w:oddVBand="0" w:evenVBand="0" w:oddHBand="1" w:evenHBand="0" w:firstRowFirstColumn="0" w:firstRowLastColumn="0" w:lastRowFirstColumn="0" w:lastRowLastColumn="0"/>
              <w:rPr>
                <w:sz w:val="20"/>
              </w:rPr>
            </w:pPr>
            <w:r w:rsidRPr="00241782">
              <w:rPr>
                <w:sz w:val="20"/>
              </w:rPr>
              <w:t xml:space="preserve">Contains the </w:t>
            </w:r>
            <w:r w:rsidRPr="00241782">
              <w:rPr>
                <w:b/>
                <w:sz w:val="20"/>
              </w:rPr>
              <w:t>operative clauses</w:t>
            </w:r>
            <w:r w:rsidRPr="00241782">
              <w:rPr>
                <w:sz w:val="20"/>
              </w:rPr>
              <w:t xml:space="preserve"> on </w:t>
            </w:r>
            <w:r w:rsidR="007A0A8A" w:rsidRPr="00241782">
              <w:rPr>
                <w:sz w:val="20"/>
              </w:rPr>
              <w:t xml:space="preserve">hybrid mismatches, </w:t>
            </w:r>
            <w:r w:rsidRPr="00241782">
              <w:rPr>
                <w:sz w:val="20"/>
              </w:rPr>
              <w:t xml:space="preserve">treaty abuse, </w:t>
            </w:r>
            <w:r w:rsidR="007A0A8A" w:rsidRPr="00241782">
              <w:rPr>
                <w:sz w:val="20"/>
              </w:rPr>
              <w:t>PE</w:t>
            </w:r>
            <w:r w:rsidRPr="00241782">
              <w:rPr>
                <w:sz w:val="20"/>
              </w:rPr>
              <w:t xml:space="preserve"> avoidance, </w:t>
            </w:r>
            <w:r w:rsidR="007A0A8A" w:rsidRPr="00241782">
              <w:rPr>
                <w:sz w:val="20"/>
              </w:rPr>
              <w:t xml:space="preserve">and improved Mutual Agreement Procedure (MAP).  Each operative clause has a corresponding </w:t>
            </w:r>
            <w:r w:rsidR="007A0A8A" w:rsidRPr="00241782">
              <w:rPr>
                <w:b/>
                <w:sz w:val="20"/>
              </w:rPr>
              <w:t>compatibility clause</w:t>
            </w:r>
            <w:r w:rsidR="007A0A8A" w:rsidRPr="00241782">
              <w:rPr>
                <w:sz w:val="20"/>
              </w:rPr>
              <w:t xml:space="preserve">, </w:t>
            </w:r>
            <w:r w:rsidR="007A0A8A" w:rsidRPr="00241782">
              <w:rPr>
                <w:b/>
                <w:sz w:val="20"/>
              </w:rPr>
              <w:t>reservation clause</w:t>
            </w:r>
            <w:r w:rsidR="007A0A8A" w:rsidRPr="00241782">
              <w:rPr>
                <w:sz w:val="20"/>
              </w:rPr>
              <w:t xml:space="preserve"> and </w:t>
            </w:r>
            <w:r w:rsidR="007A0A8A" w:rsidRPr="00241782">
              <w:rPr>
                <w:b/>
                <w:sz w:val="20"/>
              </w:rPr>
              <w:t>notification clause</w:t>
            </w:r>
            <w:r w:rsidR="002D1F3E">
              <w:rPr>
                <w:sz w:val="20"/>
              </w:rPr>
              <w:t>.  S</w:t>
            </w:r>
            <w:r w:rsidR="007A0A8A" w:rsidRPr="00241782">
              <w:rPr>
                <w:sz w:val="20"/>
              </w:rPr>
              <w:t xml:space="preserve">ome articles also permit </w:t>
            </w:r>
            <w:r w:rsidR="007A0A8A" w:rsidRPr="00241782">
              <w:rPr>
                <w:b/>
                <w:sz w:val="20"/>
              </w:rPr>
              <w:t>choices</w:t>
            </w:r>
            <w:r w:rsidR="007A0A8A" w:rsidRPr="00241782">
              <w:rPr>
                <w:sz w:val="20"/>
              </w:rPr>
              <w:t xml:space="preserve"> between alternative clauses</w:t>
            </w:r>
            <w:r w:rsidR="002D1F3E">
              <w:rPr>
                <w:sz w:val="20"/>
              </w:rPr>
              <w:t>.  T</w:t>
            </w:r>
            <w:r w:rsidR="007A0A8A" w:rsidRPr="00241782">
              <w:rPr>
                <w:sz w:val="20"/>
              </w:rPr>
              <w:t>his structur</w:t>
            </w:r>
            <w:r w:rsidR="009A6972">
              <w:rPr>
                <w:sz w:val="20"/>
              </w:rPr>
              <w:t>e is explained further below.</w:t>
            </w:r>
          </w:p>
        </w:tc>
      </w:tr>
      <w:tr w:rsidR="0005426F" w:rsidRPr="00241782" w:rsidTr="009A34F3">
        <w:tc>
          <w:tcPr>
            <w:cnfStyle w:val="001000000000" w:firstRow="0" w:lastRow="0" w:firstColumn="1" w:lastColumn="0" w:oddVBand="0" w:evenVBand="0" w:oddHBand="0" w:evenHBand="0" w:firstRowFirstColumn="0" w:firstRowLastColumn="0" w:lastRowFirstColumn="0" w:lastRowLastColumn="0"/>
            <w:tcW w:w="2609" w:type="dxa"/>
          </w:tcPr>
          <w:p w:rsidR="0005426F" w:rsidRPr="00241782" w:rsidRDefault="009A6972" w:rsidP="009A6972">
            <w:pPr>
              <w:pStyle w:val="Chapter2"/>
              <w:numPr>
                <w:ilvl w:val="0"/>
                <w:numId w:val="0"/>
              </w:numPr>
              <w:jc w:val="left"/>
              <w:rPr>
                <w:b w:val="0"/>
                <w:sz w:val="20"/>
              </w:rPr>
            </w:pPr>
            <w:r>
              <w:rPr>
                <w:b w:val="0"/>
                <w:sz w:val="20"/>
              </w:rPr>
              <w:t>Part VI: Arbitration</w:t>
            </w:r>
          </w:p>
        </w:tc>
        <w:tc>
          <w:tcPr>
            <w:tcW w:w="1134" w:type="dxa"/>
          </w:tcPr>
          <w:p w:rsidR="0005426F" w:rsidRPr="00241782" w:rsidRDefault="007F4EA5" w:rsidP="009A69C6">
            <w:pPr>
              <w:pStyle w:val="Chapter2"/>
              <w:numPr>
                <w:ilvl w:val="0"/>
                <w:numId w:val="0"/>
              </w:numPr>
              <w:jc w:val="left"/>
              <w:cnfStyle w:val="000000000000" w:firstRow="0" w:lastRow="0" w:firstColumn="0" w:lastColumn="0" w:oddVBand="0" w:evenVBand="0" w:oddHBand="0" w:evenHBand="0" w:firstRowFirstColumn="0" w:firstRowLastColumn="0" w:lastRowFirstColumn="0" w:lastRowLastColumn="0"/>
              <w:rPr>
                <w:sz w:val="20"/>
              </w:rPr>
            </w:pPr>
            <w:r w:rsidRPr="00241782">
              <w:rPr>
                <w:sz w:val="20"/>
              </w:rPr>
              <w:t>18 to 26</w:t>
            </w:r>
          </w:p>
        </w:tc>
        <w:tc>
          <w:tcPr>
            <w:tcW w:w="4400" w:type="dxa"/>
          </w:tcPr>
          <w:p w:rsidR="0005426F" w:rsidRPr="00241782" w:rsidRDefault="007A0A8A" w:rsidP="007A0A8A">
            <w:pPr>
              <w:pStyle w:val="Chapter2"/>
              <w:numPr>
                <w:ilvl w:val="0"/>
                <w:numId w:val="0"/>
              </w:numPr>
              <w:jc w:val="left"/>
              <w:cnfStyle w:val="000000000000" w:firstRow="0" w:lastRow="0" w:firstColumn="0" w:lastColumn="0" w:oddVBand="0" w:evenVBand="0" w:oddHBand="0" w:evenHBand="0" w:firstRowFirstColumn="0" w:firstRowLastColumn="0" w:lastRowFirstColumn="0" w:lastRowLastColumn="0"/>
              <w:rPr>
                <w:sz w:val="20"/>
              </w:rPr>
            </w:pPr>
            <w:r w:rsidRPr="00241782">
              <w:rPr>
                <w:sz w:val="20"/>
              </w:rPr>
              <w:t>Contains a framework for independent binding arbitration.</w:t>
            </w:r>
          </w:p>
        </w:tc>
      </w:tr>
      <w:tr w:rsidR="0005426F" w:rsidRPr="00241782" w:rsidTr="009A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left w:val="none" w:sz="0" w:space="0" w:color="auto"/>
              <w:right w:val="none" w:sz="0" w:space="0" w:color="auto"/>
            </w:tcBorders>
            <w:shd w:val="clear" w:color="auto" w:fill="auto"/>
          </w:tcPr>
          <w:p w:rsidR="0005426F" w:rsidRPr="00241782" w:rsidRDefault="007A0A8A" w:rsidP="009A6972">
            <w:pPr>
              <w:pStyle w:val="Chapter2"/>
              <w:numPr>
                <w:ilvl w:val="0"/>
                <w:numId w:val="0"/>
              </w:numPr>
              <w:jc w:val="left"/>
              <w:rPr>
                <w:b w:val="0"/>
                <w:sz w:val="20"/>
              </w:rPr>
            </w:pPr>
            <w:r w:rsidRPr="00241782">
              <w:rPr>
                <w:b w:val="0"/>
                <w:sz w:val="20"/>
              </w:rPr>
              <w:t>Part VII: Final provisions</w:t>
            </w:r>
          </w:p>
        </w:tc>
        <w:tc>
          <w:tcPr>
            <w:tcW w:w="1134" w:type="dxa"/>
            <w:tcBorders>
              <w:left w:val="none" w:sz="0" w:space="0" w:color="auto"/>
              <w:right w:val="none" w:sz="0" w:space="0" w:color="auto"/>
            </w:tcBorders>
            <w:shd w:val="clear" w:color="auto" w:fill="auto"/>
          </w:tcPr>
          <w:p w:rsidR="0005426F" w:rsidRPr="00241782" w:rsidRDefault="007A0A8A" w:rsidP="001250A8">
            <w:pPr>
              <w:pStyle w:val="Chapter2"/>
              <w:numPr>
                <w:ilvl w:val="0"/>
                <w:numId w:val="0"/>
              </w:numPr>
              <w:jc w:val="left"/>
              <w:cnfStyle w:val="000000100000" w:firstRow="0" w:lastRow="0" w:firstColumn="0" w:lastColumn="0" w:oddVBand="0" w:evenVBand="0" w:oddHBand="1" w:evenHBand="0" w:firstRowFirstColumn="0" w:firstRowLastColumn="0" w:lastRowFirstColumn="0" w:lastRowLastColumn="0"/>
              <w:rPr>
                <w:sz w:val="20"/>
              </w:rPr>
            </w:pPr>
            <w:r w:rsidRPr="00241782">
              <w:rPr>
                <w:sz w:val="20"/>
              </w:rPr>
              <w:t>27 to 39</w:t>
            </w:r>
          </w:p>
        </w:tc>
        <w:tc>
          <w:tcPr>
            <w:tcW w:w="4400" w:type="dxa"/>
            <w:tcBorders>
              <w:left w:val="none" w:sz="0" w:space="0" w:color="auto"/>
              <w:right w:val="none" w:sz="0" w:space="0" w:color="auto"/>
            </w:tcBorders>
            <w:shd w:val="clear" w:color="auto" w:fill="auto"/>
          </w:tcPr>
          <w:p w:rsidR="0005426F" w:rsidRPr="00241782" w:rsidRDefault="007A0A8A" w:rsidP="007A0A8A">
            <w:pPr>
              <w:pStyle w:val="Chapter2"/>
              <w:numPr>
                <w:ilvl w:val="0"/>
                <w:numId w:val="0"/>
              </w:numPr>
              <w:jc w:val="left"/>
              <w:cnfStyle w:val="000000100000" w:firstRow="0" w:lastRow="0" w:firstColumn="0" w:lastColumn="0" w:oddVBand="0" w:evenVBand="0" w:oddHBand="1" w:evenHBand="0" w:firstRowFirstColumn="0" w:firstRowLastColumn="0" w:lastRowFirstColumn="0" w:lastRowLastColumn="0"/>
              <w:rPr>
                <w:sz w:val="20"/>
              </w:rPr>
            </w:pPr>
            <w:r w:rsidRPr="00241782">
              <w:rPr>
                <w:sz w:val="20"/>
              </w:rPr>
              <w:t>Contains mechanical provisions including those governing signature, ratification, amendment, notifications, language, entry into force and entry into effect.</w:t>
            </w:r>
          </w:p>
        </w:tc>
      </w:tr>
    </w:tbl>
    <w:p w:rsidR="001250A8" w:rsidRDefault="001250A8" w:rsidP="001250A8">
      <w:pPr>
        <w:pStyle w:val="Chapter2"/>
        <w:numPr>
          <w:ilvl w:val="0"/>
          <w:numId w:val="0"/>
        </w:numPr>
        <w:ind w:left="851"/>
      </w:pPr>
    </w:p>
    <w:p w:rsidR="00E1063A" w:rsidRDefault="00E1063A" w:rsidP="001250A8">
      <w:pPr>
        <w:pStyle w:val="Chapter2"/>
        <w:numPr>
          <w:ilvl w:val="0"/>
          <w:numId w:val="0"/>
        </w:numPr>
        <w:ind w:left="851"/>
      </w:pPr>
    </w:p>
    <w:p w:rsidR="00373F5D" w:rsidRPr="00382E2E" w:rsidRDefault="001250A8" w:rsidP="00E1063A">
      <w:pPr>
        <w:pStyle w:val="Heading1"/>
        <w:rPr>
          <w:lang w:val="en-NZ"/>
        </w:rPr>
      </w:pPr>
      <w:bookmarkStart w:id="39" w:name="_Toc476153893"/>
      <w:r>
        <w:rPr>
          <w:lang w:val="en-NZ"/>
        </w:rPr>
        <w:t>O</w:t>
      </w:r>
      <w:r w:rsidR="00D36361">
        <w:rPr>
          <w:lang w:val="en-NZ"/>
        </w:rPr>
        <w:t xml:space="preserve">peration of </w:t>
      </w:r>
      <w:r>
        <w:rPr>
          <w:lang w:val="en-NZ"/>
        </w:rPr>
        <w:t xml:space="preserve">substantive provisions of </w:t>
      </w:r>
      <w:r w:rsidR="00D36361">
        <w:rPr>
          <w:lang w:val="en-NZ"/>
        </w:rPr>
        <w:t xml:space="preserve">the </w:t>
      </w:r>
      <w:r w:rsidR="008E19CE">
        <w:rPr>
          <w:lang w:val="en-NZ"/>
        </w:rPr>
        <w:t>multilateral instrument</w:t>
      </w:r>
      <w:bookmarkEnd w:id="39"/>
    </w:p>
    <w:p w:rsidR="00373F5D" w:rsidRPr="009A6972" w:rsidRDefault="00373F5D" w:rsidP="009A6972"/>
    <w:p w:rsidR="002760C0" w:rsidRDefault="004823B6" w:rsidP="002760C0">
      <w:pPr>
        <w:pStyle w:val="Chapter2"/>
        <w:tabs>
          <w:tab w:val="clear" w:pos="851"/>
        </w:tabs>
      </w:pPr>
      <w:r>
        <w:t xml:space="preserve">Broadly speaking, </w:t>
      </w:r>
      <w:r w:rsidR="00910DFC">
        <w:t>the MLI</w:t>
      </w:r>
      <w:r w:rsidR="00F42E6B">
        <w:t xml:space="preserve"> </w:t>
      </w:r>
      <w:r w:rsidR="008C25CB">
        <w:t xml:space="preserve">will modify </w:t>
      </w:r>
      <w:r w:rsidR="002760C0">
        <w:t>any bilateral DTA</w:t>
      </w:r>
      <w:r w:rsidRPr="009A6972">
        <w:rPr>
          <w:rStyle w:val="FootnoteReference"/>
          <w:sz w:val="24"/>
          <w:szCs w:val="24"/>
        </w:rPr>
        <w:footnoteReference w:id="2"/>
      </w:r>
      <w:r w:rsidR="002760C0">
        <w:t xml:space="preserve"> to which New Zealand is a party to include the strengthened provisions to the extent:</w:t>
      </w:r>
    </w:p>
    <w:p w:rsidR="002760C0" w:rsidRDefault="002760C0" w:rsidP="002760C0">
      <w:pPr>
        <w:pStyle w:val="Chapter2"/>
        <w:numPr>
          <w:ilvl w:val="0"/>
          <w:numId w:val="0"/>
        </w:numPr>
        <w:ind w:left="851"/>
      </w:pPr>
    </w:p>
    <w:p w:rsidR="002760C0" w:rsidRDefault="002760C0" w:rsidP="00E1063A">
      <w:pPr>
        <w:pStyle w:val="Bullets"/>
      </w:pPr>
      <w:r>
        <w:t xml:space="preserve">both New Zealand and the other </w:t>
      </w:r>
      <w:r w:rsidR="00F105F8">
        <w:t>party</w:t>
      </w:r>
      <w:r>
        <w:t xml:space="preserve"> c</w:t>
      </w:r>
      <w:r w:rsidR="00F105F8">
        <w:t xml:space="preserve">hoose to include that DTA as a </w:t>
      </w:r>
      <w:r w:rsidR="004823B6" w:rsidRPr="004F3874">
        <w:rPr>
          <w:b/>
        </w:rPr>
        <w:t>C</w:t>
      </w:r>
      <w:r w:rsidRPr="004F3874">
        <w:rPr>
          <w:b/>
        </w:rPr>
        <w:t xml:space="preserve">overed </w:t>
      </w:r>
      <w:r w:rsidR="004823B6" w:rsidRPr="004F3874">
        <w:rPr>
          <w:b/>
        </w:rPr>
        <w:t>T</w:t>
      </w:r>
      <w:r w:rsidRPr="004F3874">
        <w:rPr>
          <w:b/>
        </w:rPr>
        <w:t xml:space="preserve">ax </w:t>
      </w:r>
      <w:r w:rsidR="004823B6" w:rsidRPr="004F3874">
        <w:rPr>
          <w:b/>
        </w:rPr>
        <w:t>A</w:t>
      </w:r>
      <w:r w:rsidRPr="004F3874">
        <w:rPr>
          <w:b/>
        </w:rPr>
        <w:t>greement</w:t>
      </w:r>
      <w:r>
        <w:t xml:space="preserve">; </w:t>
      </w:r>
      <w:r w:rsidR="00F42E6B">
        <w:t>and</w:t>
      </w:r>
    </w:p>
    <w:p w:rsidR="00845BE3" w:rsidRDefault="002760C0" w:rsidP="00E1063A">
      <w:pPr>
        <w:pStyle w:val="Bullets"/>
        <w:spacing w:after="0"/>
      </w:pPr>
      <w:r>
        <w:t xml:space="preserve">both New Zealand and the other </w:t>
      </w:r>
      <w:r w:rsidR="00F105F8">
        <w:t>party</w:t>
      </w:r>
      <w:r>
        <w:t xml:space="preserve"> choose to adopt the </w:t>
      </w:r>
      <w:r w:rsidR="004823B6">
        <w:t xml:space="preserve">relevant </w:t>
      </w:r>
      <w:r w:rsidR="00CC079A">
        <w:t>article</w:t>
      </w:r>
      <w:r>
        <w:t xml:space="preserve"> in a way compatible with </w:t>
      </w:r>
      <w:r w:rsidR="009A6972">
        <w:t>each other’s choice.</w:t>
      </w:r>
    </w:p>
    <w:p w:rsidR="002760C0" w:rsidRDefault="002760C0" w:rsidP="00373F5D">
      <w:pPr>
        <w:pStyle w:val="Chapter1"/>
        <w:numPr>
          <w:ilvl w:val="0"/>
          <w:numId w:val="0"/>
        </w:numPr>
      </w:pPr>
    </w:p>
    <w:p w:rsidR="008C25CB" w:rsidRDefault="000061F1" w:rsidP="008C25CB">
      <w:pPr>
        <w:pStyle w:val="Chapter2"/>
        <w:tabs>
          <w:tab w:val="clear" w:pos="851"/>
        </w:tabs>
      </w:pPr>
      <w:r>
        <w:t xml:space="preserve">In this way, the MLI </w:t>
      </w:r>
      <w:r w:rsidR="00DC6AE1">
        <w:t>could</w:t>
      </w:r>
      <w:r>
        <w:t xml:space="preserve"> be </w:t>
      </w:r>
      <w:r w:rsidR="00FA2BF5">
        <w:t>viewed</w:t>
      </w:r>
      <w:r>
        <w:t xml:space="preserve"> as a </w:t>
      </w:r>
      <w:r w:rsidR="00DC6AE1">
        <w:t xml:space="preserve">way of facilitating a </w:t>
      </w:r>
      <w:r>
        <w:t xml:space="preserve">large scale </w:t>
      </w:r>
      <w:r w:rsidR="00FA2BF5">
        <w:t xml:space="preserve">simultaneous </w:t>
      </w:r>
      <w:r>
        <w:t xml:space="preserve">negotiation </w:t>
      </w:r>
      <w:r w:rsidR="005471C6">
        <w:t>to modify bilateral DTAs to include</w:t>
      </w:r>
      <w:r>
        <w:t xml:space="preserve"> treaty-related BEPS measures</w:t>
      </w:r>
      <w:r w:rsidR="00910DFC">
        <w:t xml:space="preserve"> (</w:t>
      </w:r>
      <w:r w:rsidR="00F105F8">
        <w:t xml:space="preserve">and </w:t>
      </w:r>
      <w:r w:rsidR="00910DFC">
        <w:t xml:space="preserve">in particular, to </w:t>
      </w:r>
      <w:r w:rsidR="00F105F8">
        <w:t xml:space="preserve">enable jurisdictions to </w:t>
      </w:r>
      <w:r w:rsidR="00910DFC">
        <w:t>meet the OECD’s minimum standards on treaty abuse and dispute resolution</w:t>
      </w:r>
      <w:r w:rsidR="00F105F8">
        <w:t>)</w:t>
      </w:r>
      <w:r w:rsidR="00910DFC">
        <w:t>.</w:t>
      </w:r>
    </w:p>
    <w:p w:rsidR="000E277E" w:rsidRDefault="000E277E" w:rsidP="000E277E">
      <w:pPr>
        <w:pStyle w:val="Chapter2"/>
        <w:numPr>
          <w:ilvl w:val="0"/>
          <w:numId w:val="0"/>
        </w:numPr>
        <w:ind w:left="851"/>
      </w:pPr>
    </w:p>
    <w:p w:rsidR="000E277E" w:rsidRDefault="000E277E" w:rsidP="000E277E">
      <w:pPr>
        <w:pStyle w:val="Chapter2"/>
        <w:tabs>
          <w:tab w:val="clear" w:pos="851"/>
        </w:tabs>
      </w:pPr>
      <w:r>
        <w:t xml:space="preserve">It is important to note that </w:t>
      </w:r>
      <w:r w:rsidR="00F105F8">
        <w:t xml:space="preserve">jurisdictions </w:t>
      </w:r>
      <w:r>
        <w:t xml:space="preserve">cannot </w:t>
      </w:r>
      <w:r w:rsidR="00C96B5E">
        <w:t xml:space="preserve">generally </w:t>
      </w:r>
      <w:r>
        <w:t xml:space="preserve">choose to apply different articles </w:t>
      </w:r>
      <w:r w:rsidR="008F2218">
        <w:t xml:space="preserve">of the MLI </w:t>
      </w:r>
      <w:r>
        <w:t xml:space="preserve">to different DTAs. </w:t>
      </w:r>
      <w:r w:rsidR="00F105F8">
        <w:t xml:space="preserve"> Jurisdictions </w:t>
      </w:r>
      <w:r>
        <w:t xml:space="preserve">must decide which DTAs they want to include as Covered Tax Agreements and what their choices of articles will be – those choices will apply for </w:t>
      </w:r>
      <w:r w:rsidRPr="007E061D">
        <w:rPr>
          <w:i/>
        </w:rPr>
        <w:t>all</w:t>
      </w:r>
      <w:r w:rsidR="009A6972">
        <w:t xml:space="preserve"> Covered Tax Agreements.</w:t>
      </w:r>
    </w:p>
    <w:p w:rsidR="000E277E" w:rsidRDefault="000E277E" w:rsidP="000E277E">
      <w:pPr>
        <w:pStyle w:val="Chapter2"/>
        <w:numPr>
          <w:ilvl w:val="0"/>
          <w:numId w:val="0"/>
        </w:numPr>
        <w:ind w:left="851"/>
      </w:pPr>
    </w:p>
    <w:p w:rsidR="000E277E" w:rsidRDefault="000E277E" w:rsidP="000E277E">
      <w:pPr>
        <w:pStyle w:val="Chapter2"/>
        <w:tabs>
          <w:tab w:val="clear" w:pos="851"/>
        </w:tabs>
      </w:pPr>
      <w:r>
        <w:t>For example, New Zealand could not choose for the MLI to apply to the New Zealand-Australia and New Zealand-Japan DTAs, but choose for the new dual resident entity provision in Article 4(1) of the MLI to be included in the New Zealand-Japan DTA, but not the New Zealand-Australia DTA.</w:t>
      </w:r>
    </w:p>
    <w:p w:rsidR="005C2F8C" w:rsidRPr="00287272" w:rsidRDefault="005C2F8C" w:rsidP="00287272"/>
    <w:p w:rsidR="00385AED" w:rsidRDefault="00385AED">
      <w:pPr>
        <w:jc w:val="left"/>
        <w:rPr>
          <w:snapToGrid w:val="0"/>
          <w:lang w:val="en-NZ" w:eastAsia="en-US"/>
        </w:rPr>
      </w:pPr>
      <w:r>
        <w:br w:type="page"/>
      </w:r>
    </w:p>
    <w:p w:rsidR="005C2F8C" w:rsidRDefault="005C2F8C" w:rsidP="000E277E">
      <w:pPr>
        <w:pStyle w:val="Chapter2"/>
        <w:tabs>
          <w:tab w:val="clear" w:pos="851"/>
        </w:tabs>
      </w:pPr>
      <w:r>
        <w:t>There are limited exceptions to this principle</w:t>
      </w:r>
      <w:r w:rsidR="002D1F3E">
        <w:t>.  S</w:t>
      </w:r>
      <w:r>
        <w:t xml:space="preserve">ome reservations allow jurisdictions to make reservations with respect to the application of specific articles in relation to certain Covered Tax Agreements or provisions within Covered Tax Agreements with certain objectively defined characteristics. </w:t>
      </w:r>
      <w:r w:rsidR="008F2218">
        <w:t xml:space="preserve"> For example, jurisdictions can choose for certain MLI provisions not to apply to Covered Tax Agreements that already contain equivalent provisions.</w:t>
      </w:r>
    </w:p>
    <w:p w:rsidR="007500F9" w:rsidRPr="00287272" w:rsidRDefault="007500F9" w:rsidP="00287272"/>
    <w:p w:rsidR="007500F9" w:rsidRDefault="007500F9" w:rsidP="007500F9">
      <w:pPr>
        <w:pStyle w:val="Chapter2"/>
        <w:tabs>
          <w:tab w:val="clear" w:pos="851"/>
        </w:tabs>
      </w:pPr>
      <w:r>
        <w:t xml:space="preserve">The OECD will maintain a public list of Covered Tax Agreements, </w:t>
      </w:r>
      <w:r w:rsidR="0042153D">
        <w:t>reservations and choices of options</w:t>
      </w:r>
      <w:r>
        <w:t xml:space="preserve"> </w:t>
      </w:r>
      <w:r w:rsidR="00845BE3">
        <w:t xml:space="preserve">and a list of affected Covered Tax Agreement provisions </w:t>
      </w:r>
      <w:r>
        <w:t>online to make it easy for the public to find out which DTAs are modified by the MLI</w:t>
      </w:r>
      <w:r w:rsidR="0042153D">
        <w:t xml:space="preserve"> and to assist in determining how a particular Covered Tax Agreement is modified</w:t>
      </w:r>
      <w:r w:rsidR="009A6972">
        <w:t>.</w:t>
      </w:r>
    </w:p>
    <w:p w:rsidR="0042153D" w:rsidRPr="00287272" w:rsidRDefault="0042153D" w:rsidP="00287272"/>
    <w:p w:rsidR="0042153D" w:rsidRDefault="0042153D" w:rsidP="007500F9">
      <w:pPr>
        <w:pStyle w:val="Chapter2"/>
        <w:tabs>
          <w:tab w:val="clear" w:pos="851"/>
        </w:tabs>
      </w:pPr>
      <w:r>
        <w:t>The following paragraphs explain in more detail the structure of the MLI and how it will operate.</w:t>
      </w:r>
    </w:p>
    <w:p w:rsidR="004823B6" w:rsidRDefault="004823B6" w:rsidP="004823B6">
      <w:pPr>
        <w:pStyle w:val="Chapter2"/>
        <w:numPr>
          <w:ilvl w:val="0"/>
          <w:numId w:val="0"/>
        </w:numPr>
        <w:ind w:left="851"/>
      </w:pPr>
    </w:p>
    <w:p w:rsidR="004823B6" w:rsidRPr="004823B6" w:rsidRDefault="004823B6" w:rsidP="00E1063A">
      <w:pPr>
        <w:pStyle w:val="Heading2"/>
        <w:rPr>
          <w:lang w:val="en-NZ"/>
        </w:rPr>
      </w:pPr>
      <w:bookmarkStart w:id="40" w:name="_Toc476153894"/>
      <w:r w:rsidRPr="004823B6">
        <w:rPr>
          <w:lang w:val="en-NZ"/>
        </w:rPr>
        <w:t>Covered Tax Agreements</w:t>
      </w:r>
      <w:r w:rsidR="0042153D">
        <w:rPr>
          <w:lang w:val="en-NZ"/>
        </w:rPr>
        <w:t>:</w:t>
      </w:r>
      <w:r w:rsidRPr="004823B6">
        <w:rPr>
          <w:lang w:val="en-NZ"/>
        </w:rPr>
        <w:t xml:space="preserve"> </w:t>
      </w:r>
      <w:r w:rsidR="00C57F48">
        <w:rPr>
          <w:lang w:val="en-NZ"/>
        </w:rPr>
        <w:t>Part I of the MLI: Scope and Interpretation of Terms</w:t>
      </w:r>
      <w:r w:rsidR="006C241F">
        <w:rPr>
          <w:lang w:val="en-NZ"/>
        </w:rPr>
        <w:t xml:space="preserve"> (Articles 1–2)</w:t>
      </w:r>
      <w:bookmarkEnd w:id="40"/>
    </w:p>
    <w:p w:rsidR="0099636F" w:rsidRDefault="0099636F" w:rsidP="0099636F">
      <w:pPr>
        <w:pStyle w:val="Chapter2"/>
        <w:numPr>
          <w:ilvl w:val="0"/>
          <w:numId w:val="0"/>
        </w:numPr>
        <w:ind w:left="851"/>
      </w:pPr>
    </w:p>
    <w:p w:rsidR="0042153D" w:rsidRDefault="0042153D" w:rsidP="008C25CB">
      <w:pPr>
        <w:pStyle w:val="Chapter2"/>
        <w:tabs>
          <w:tab w:val="clear" w:pos="851"/>
        </w:tabs>
      </w:pPr>
      <w:r>
        <w:t>In identifying the effect of the MLI on a DTA, the first question to be asked, is whether the DTA in question is a Covered Tax Agreement</w:t>
      </w:r>
      <w:r w:rsidR="002D1F3E">
        <w:t>.  T</w:t>
      </w:r>
      <w:r>
        <w:t>his is governed by Part I of the MLI.</w:t>
      </w:r>
    </w:p>
    <w:p w:rsidR="0042153D" w:rsidRDefault="0042153D" w:rsidP="0042153D">
      <w:pPr>
        <w:pStyle w:val="Chapter2"/>
        <w:numPr>
          <w:ilvl w:val="0"/>
          <w:numId w:val="0"/>
        </w:numPr>
        <w:ind w:left="851"/>
      </w:pPr>
    </w:p>
    <w:p w:rsidR="00E04991" w:rsidRDefault="00054A4A" w:rsidP="008C25CB">
      <w:pPr>
        <w:pStyle w:val="Chapter2"/>
        <w:tabs>
          <w:tab w:val="clear" w:pos="851"/>
        </w:tabs>
      </w:pPr>
      <w:r>
        <w:t>At the time of signature, every a</w:t>
      </w:r>
      <w:r w:rsidR="004823B6">
        <w:t xml:space="preserve">dopting jurisdiction must </w:t>
      </w:r>
      <w:r>
        <w:t xml:space="preserve">provide the OECD Depository with a list of the DTAs </w:t>
      </w:r>
      <w:r w:rsidR="00E04991">
        <w:t>it</w:t>
      </w:r>
      <w:r>
        <w:t xml:space="preserve"> wish</w:t>
      </w:r>
      <w:r w:rsidR="00E04991">
        <w:t>es</w:t>
      </w:r>
      <w:r>
        <w:t xml:space="preserve"> to modify via the MLI.  If a </w:t>
      </w:r>
      <w:r w:rsidR="0042153D">
        <w:t>party to a DTA does not list it</w:t>
      </w:r>
      <w:r>
        <w:t xml:space="preserve">, then it </w:t>
      </w:r>
      <w:r w:rsidR="00E04991">
        <w:t>will not</w:t>
      </w:r>
      <w:r>
        <w:t xml:space="preserve"> be a Covered Tax Agreement</w:t>
      </w:r>
      <w:r w:rsidR="0042153D">
        <w:t xml:space="preserve"> and it will not be modified by the MLI</w:t>
      </w:r>
      <w:r w:rsidR="009A6972">
        <w:t>.</w:t>
      </w:r>
    </w:p>
    <w:p w:rsidR="00E04991" w:rsidRDefault="00E04991" w:rsidP="00E04991">
      <w:pPr>
        <w:pStyle w:val="Chapter2"/>
        <w:numPr>
          <w:ilvl w:val="0"/>
          <w:numId w:val="0"/>
        </w:numPr>
        <w:ind w:left="851"/>
      </w:pPr>
    </w:p>
    <w:p w:rsidR="004823B6" w:rsidRDefault="00E04991" w:rsidP="008C25CB">
      <w:pPr>
        <w:pStyle w:val="Chapter2"/>
        <w:tabs>
          <w:tab w:val="clear" w:pos="851"/>
        </w:tabs>
      </w:pPr>
      <w:r>
        <w:t>I</w:t>
      </w:r>
      <w:r w:rsidR="00054A4A">
        <w:t>f there is a bilateral match</w:t>
      </w:r>
      <w:r w:rsidR="0042153D">
        <w:t xml:space="preserve"> (both parties list the DTA)</w:t>
      </w:r>
      <w:r w:rsidR="00054A4A">
        <w:t>, that DTA is a Covered Tax Agreement for the purpose of the MLI</w:t>
      </w:r>
      <w:r>
        <w:t xml:space="preserve"> and </w:t>
      </w:r>
      <w:r w:rsidR="0042153D">
        <w:t>will</w:t>
      </w:r>
      <w:r>
        <w:t xml:space="preserve"> be modified in accordance with the choices made by the parties to that agreement</w:t>
      </w:r>
      <w:r w:rsidR="00054A4A">
        <w:t>.</w:t>
      </w:r>
    </w:p>
    <w:p w:rsidR="004B4DEB" w:rsidRPr="00287272" w:rsidRDefault="004B4DEB" w:rsidP="00287272"/>
    <w:p w:rsidR="004B4DEB" w:rsidRPr="00FA2BF5" w:rsidRDefault="004B4DEB" w:rsidP="004B4DEB">
      <w:pPr>
        <w:pStyle w:val="Chapter2"/>
        <w:tabs>
          <w:tab w:val="clear" w:pos="851"/>
        </w:tabs>
      </w:pPr>
      <w:r w:rsidRPr="00FA2BF5">
        <w:t>New Zealand has 40 DTAs in force and New Zealand’s general approach is to include the majority of these as Covered Tax Agreements</w:t>
      </w:r>
      <w:r w:rsidR="002D1F3E">
        <w:t>.  T</w:t>
      </w:r>
      <w:r w:rsidRPr="00FA2BF5">
        <w:t>his gives New Zealand the best chance of strengthening our DTAs with as many countries as possible.  The only DTAs we propose to omit are ones where we:</w:t>
      </w:r>
    </w:p>
    <w:p w:rsidR="004B4DEB" w:rsidRPr="00FA2BF5" w:rsidRDefault="004B4DEB" w:rsidP="004B4DEB">
      <w:pPr>
        <w:pStyle w:val="Chapter2"/>
        <w:numPr>
          <w:ilvl w:val="0"/>
          <w:numId w:val="0"/>
        </w:numPr>
      </w:pPr>
    </w:p>
    <w:p w:rsidR="004B4DEB" w:rsidRPr="00FA2BF5" w:rsidRDefault="004B4DEB" w:rsidP="00E1063A">
      <w:pPr>
        <w:pStyle w:val="Bullets"/>
      </w:pPr>
      <w:r w:rsidRPr="00FA2BF5">
        <w:t xml:space="preserve">know the other </w:t>
      </w:r>
      <w:r w:rsidR="002170A2" w:rsidRPr="00FA2BF5">
        <w:t>jurisdiction</w:t>
      </w:r>
      <w:r w:rsidRPr="00FA2BF5">
        <w:t xml:space="preserve"> is not intending to sign the MLI; or</w:t>
      </w:r>
    </w:p>
    <w:p w:rsidR="004B4DEB" w:rsidRPr="00FA2BF5" w:rsidRDefault="004B4DEB" w:rsidP="00385AED">
      <w:pPr>
        <w:pStyle w:val="Bullets"/>
        <w:spacing w:after="0"/>
      </w:pPr>
      <w:r w:rsidRPr="00FA2BF5">
        <w:t>are renegotiating our DTA and the other party also agrees that it should not be covered</w:t>
      </w:r>
      <w:r w:rsidR="00FA2BF5">
        <w:t xml:space="preserve"> because the provisions are expected to be included in the new DTA</w:t>
      </w:r>
      <w:r w:rsidRPr="00FA2BF5">
        <w:t>.</w:t>
      </w:r>
    </w:p>
    <w:p w:rsidR="00FA2BF5" w:rsidRPr="00287272" w:rsidRDefault="00FA2BF5" w:rsidP="00287272"/>
    <w:p w:rsidR="0042153D" w:rsidRPr="00E1063A" w:rsidRDefault="0042153D" w:rsidP="00E1063A">
      <w:pPr>
        <w:pStyle w:val="Heading2"/>
      </w:pPr>
      <w:bookmarkStart w:id="41" w:name="_Toc476153895"/>
      <w:r w:rsidRPr="00E1063A">
        <w:t>Modifying provisions:</w:t>
      </w:r>
      <w:r w:rsidR="00D36361" w:rsidRPr="00E1063A">
        <w:t xml:space="preserve"> P</w:t>
      </w:r>
      <w:r w:rsidR="004D6564" w:rsidRPr="00E1063A">
        <w:t>arts II – V</w:t>
      </w:r>
      <w:r w:rsidRPr="00E1063A">
        <w:t>I</w:t>
      </w:r>
      <w:r w:rsidR="00D36361" w:rsidRPr="00E1063A">
        <w:t xml:space="preserve"> of the MLI</w:t>
      </w:r>
      <w:r w:rsidR="006C241F" w:rsidRPr="00E1063A">
        <w:t xml:space="preserve"> (Articles 3–</w:t>
      </w:r>
      <w:r w:rsidRPr="00E1063A">
        <w:t>26</w:t>
      </w:r>
      <w:r w:rsidR="006C241F" w:rsidRPr="00E1063A">
        <w:t>)</w:t>
      </w:r>
      <w:bookmarkEnd w:id="41"/>
    </w:p>
    <w:p w:rsidR="00E04991" w:rsidRDefault="00E04991" w:rsidP="00E04991">
      <w:pPr>
        <w:pStyle w:val="Chapter2"/>
        <w:numPr>
          <w:ilvl w:val="0"/>
          <w:numId w:val="0"/>
        </w:numPr>
        <w:ind w:left="851"/>
      </w:pPr>
    </w:p>
    <w:p w:rsidR="0042153D" w:rsidRDefault="0042153D" w:rsidP="0042153D">
      <w:pPr>
        <w:pStyle w:val="Chapter2"/>
        <w:tabs>
          <w:tab w:val="clear" w:pos="851"/>
        </w:tabs>
      </w:pPr>
      <w:r>
        <w:t xml:space="preserve">Once a DTA is identified as a Covered Tax Agreement, the second question is how </w:t>
      </w:r>
      <w:r w:rsidR="00316A76">
        <w:t xml:space="preserve">it </w:t>
      </w:r>
      <w:r w:rsidR="001155D2">
        <w:t>would be</w:t>
      </w:r>
      <w:r>
        <w:t xml:space="preserve"> modified by the MLI</w:t>
      </w:r>
      <w:r w:rsidR="00316A76">
        <w:t>.</w:t>
      </w:r>
      <w:r>
        <w:t xml:space="preserve">  This is governed by Parts II to VI of the MLI.</w:t>
      </w:r>
    </w:p>
    <w:p w:rsidR="0042153D" w:rsidRDefault="0042153D" w:rsidP="0042153D">
      <w:pPr>
        <w:pStyle w:val="Chapter2"/>
        <w:numPr>
          <w:ilvl w:val="0"/>
          <w:numId w:val="0"/>
        </w:numPr>
        <w:ind w:left="851"/>
      </w:pPr>
    </w:p>
    <w:p w:rsidR="00385AED" w:rsidRDefault="00385AED">
      <w:pPr>
        <w:jc w:val="left"/>
        <w:rPr>
          <w:i/>
          <w:lang w:val="en-NZ"/>
        </w:rPr>
      </w:pPr>
      <w:r>
        <w:rPr>
          <w:lang w:val="en-NZ"/>
        </w:rPr>
        <w:br w:type="page"/>
      </w:r>
    </w:p>
    <w:p w:rsidR="0042153D" w:rsidRDefault="0042153D" w:rsidP="00E1063A">
      <w:pPr>
        <w:pStyle w:val="Heading3"/>
      </w:pPr>
      <w:r>
        <w:rPr>
          <w:lang w:val="en-NZ"/>
        </w:rPr>
        <w:t>Specific BEPS measures: Parts II – V of the MLI (Articles 3 – 17)</w:t>
      </w:r>
    </w:p>
    <w:p w:rsidR="0042153D" w:rsidRDefault="0042153D" w:rsidP="0042153D">
      <w:pPr>
        <w:pStyle w:val="Chapter2"/>
        <w:numPr>
          <w:ilvl w:val="0"/>
          <w:numId w:val="0"/>
        </w:numPr>
        <w:ind w:left="851"/>
      </w:pPr>
    </w:p>
    <w:p w:rsidR="00D36361" w:rsidRDefault="00D36361" w:rsidP="00CC079A">
      <w:pPr>
        <w:pStyle w:val="Chapter2"/>
        <w:tabs>
          <w:tab w:val="clear" w:pos="851"/>
        </w:tabs>
      </w:pPr>
      <w:r>
        <w:t>These articles implement the measures recommended in the:</w:t>
      </w:r>
    </w:p>
    <w:p w:rsidR="00D36361" w:rsidRDefault="00D36361" w:rsidP="00D36361">
      <w:pPr>
        <w:pStyle w:val="Chapter2"/>
        <w:numPr>
          <w:ilvl w:val="0"/>
          <w:numId w:val="0"/>
        </w:numPr>
        <w:ind w:left="851"/>
      </w:pPr>
    </w:p>
    <w:p w:rsidR="00E33018" w:rsidRDefault="00E33018" w:rsidP="00E1063A">
      <w:pPr>
        <w:pStyle w:val="Bullets"/>
      </w:pPr>
      <w:r>
        <w:t>Action 2 report – neutralising the effects of hybrid mismatch arrangements that have a treaty aspect (Articles 3 to 5);</w:t>
      </w:r>
      <w:r w:rsidRPr="009A6972">
        <w:rPr>
          <w:rStyle w:val="FootnoteReference"/>
          <w:sz w:val="24"/>
          <w:szCs w:val="24"/>
        </w:rPr>
        <w:footnoteReference w:id="3"/>
      </w:r>
    </w:p>
    <w:p w:rsidR="00D36361" w:rsidRDefault="00D36361" w:rsidP="00E1063A">
      <w:pPr>
        <w:pStyle w:val="Bullets"/>
      </w:pPr>
      <w:r>
        <w:t>Action 6 report – preventing the granting of treaty benefits in inappropriate circumstances</w:t>
      </w:r>
      <w:r w:rsidR="00E33018">
        <w:t xml:space="preserve"> (Articles 6 to 11)</w:t>
      </w:r>
      <w:r>
        <w:t>;</w:t>
      </w:r>
    </w:p>
    <w:p w:rsidR="00D36361" w:rsidRDefault="00D36361" w:rsidP="00E1063A">
      <w:pPr>
        <w:pStyle w:val="Bullets"/>
      </w:pPr>
      <w:r>
        <w:t>Action 7 report – preventing the artificial avoidance of PE status</w:t>
      </w:r>
      <w:r w:rsidR="006D5113">
        <w:t xml:space="preserve"> (Articles 12 to 15)</w:t>
      </w:r>
      <w:r w:rsidR="007E061D">
        <w:t>; and</w:t>
      </w:r>
    </w:p>
    <w:p w:rsidR="007E061D" w:rsidRDefault="007E061D" w:rsidP="00E1063A">
      <w:pPr>
        <w:pStyle w:val="Bullets"/>
        <w:spacing w:after="0"/>
      </w:pPr>
      <w:r>
        <w:t>Action 14 report – improving dispute resolution (Articles 16 and 17).</w:t>
      </w:r>
    </w:p>
    <w:p w:rsidR="00D36361" w:rsidRDefault="00D36361" w:rsidP="00D36361">
      <w:pPr>
        <w:pStyle w:val="Chapter2"/>
        <w:numPr>
          <w:ilvl w:val="0"/>
          <w:numId w:val="0"/>
        </w:numPr>
        <w:ind w:left="851"/>
      </w:pPr>
    </w:p>
    <w:p w:rsidR="00C57F48" w:rsidRDefault="004D6564" w:rsidP="00CC079A">
      <w:pPr>
        <w:pStyle w:val="Chapter2"/>
        <w:tabs>
          <w:tab w:val="clear" w:pos="851"/>
        </w:tabs>
      </w:pPr>
      <w:r>
        <w:t>Generally speaking, e</w:t>
      </w:r>
      <w:r w:rsidR="00C57F48">
        <w:t>ach substantive provision contains</w:t>
      </w:r>
      <w:r w:rsidR="00316A76">
        <w:t xml:space="preserve"> an </w:t>
      </w:r>
      <w:r w:rsidR="009B7BDD">
        <w:t>operative clause, compatibility clause, a reservation clause and a notification clause</w:t>
      </w:r>
      <w:r w:rsidR="00C57F48">
        <w:t>:</w:t>
      </w:r>
    </w:p>
    <w:p w:rsidR="00C57F48" w:rsidRPr="00287272" w:rsidRDefault="00C57F48" w:rsidP="00287272"/>
    <w:p w:rsidR="00C57F48" w:rsidRDefault="009B7BDD" w:rsidP="00E1063A">
      <w:pPr>
        <w:pStyle w:val="Bullets"/>
      </w:pPr>
      <w:r>
        <w:rPr>
          <w:b/>
        </w:rPr>
        <w:t>O</w:t>
      </w:r>
      <w:r w:rsidR="00C57F48" w:rsidRPr="004D6564">
        <w:rPr>
          <w:b/>
        </w:rPr>
        <w:t xml:space="preserve">perative </w:t>
      </w:r>
      <w:r w:rsidR="004D6564">
        <w:rPr>
          <w:b/>
        </w:rPr>
        <w:t>clause</w:t>
      </w:r>
      <w:r w:rsidRPr="001155D2">
        <w:t>.</w:t>
      </w:r>
      <w:r w:rsidR="00FA2BF5" w:rsidRPr="00FA2BF5">
        <w:t xml:space="preserve"> </w:t>
      </w:r>
      <w:r>
        <w:t xml:space="preserve"> This is </w:t>
      </w:r>
      <w:r w:rsidR="00FA2BF5">
        <w:t>the substantive provision to be read into the Covered Tax Agreement.</w:t>
      </w:r>
      <w:r w:rsidR="00C57F48">
        <w:t xml:space="preserve"> </w:t>
      </w:r>
      <w:r w:rsidR="00FA2BF5">
        <w:t xml:space="preserve"> F</w:t>
      </w:r>
      <w:r w:rsidR="00C57F48">
        <w:t>or example</w:t>
      </w:r>
      <w:r w:rsidR="004D6564">
        <w:t>, Article 4(1) contains the new dual resident entity provision recommended in the Action 6 report</w:t>
      </w:r>
      <w:r>
        <w:t>.</w:t>
      </w:r>
    </w:p>
    <w:p w:rsidR="004D6564" w:rsidRDefault="009B7BDD" w:rsidP="00E1063A">
      <w:pPr>
        <w:pStyle w:val="Bullets"/>
      </w:pPr>
      <w:r>
        <w:rPr>
          <w:b/>
        </w:rPr>
        <w:t>C</w:t>
      </w:r>
      <w:r w:rsidR="004D6564" w:rsidRPr="004D6564">
        <w:rPr>
          <w:b/>
        </w:rPr>
        <w:t>ompatibility clause</w:t>
      </w:r>
      <w:r w:rsidRPr="001155D2">
        <w:t>.</w:t>
      </w:r>
      <w:r w:rsidR="004D6564">
        <w:t xml:space="preserve"> </w:t>
      </w:r>
      <w:r w:rsidR="001155D2">
        <w:t xml:space="preserve"> Explains</w:t>
      </w:r>
      <w:r w:rsidR="005D6D53" w:rsidRPr="001155D2">
        <w:t xml:space="preserve"> the</w:t>
      </w:r>
      <w:r w:rsidR="005D6D53">
        <w:t xml:space="preserve"> operative clause’s </w:t>
      </w:r>
      <w:r w:rsidR="004D6564">
        <w:t>relationship with provisions of Covered Tax Agreements</w:t>
      </w:r>
      <w:r w:rsidR="002D1F3E">
        <w:t>.  M</w:t>
      </w:r>
      <w:r w:rsidR="008F2218" w:rsidRPr="008F2218">
        <w:t xml:space="preserve">any of the </w:t>
      </w:r>
      <w:r w:rsidR="008F2218">
        <w:t xml:space="preserve">MLI </w:t>
      </w:r>
      <w:r w:rsidR="008F2218" w:rsidRPr="008F2218">
        <w:t xml:space="preserve">provisions overlap with provisions found in Covered Tax Agreements. </w:t>
      </w:r>
      <w:r w:rsidR="008F2218">
        <w:t xml:space="preserve"> </w:t>
      </w:r>
      <w:r w:rsidR="008F2218" w:rsidRPr="008F2218">
        <w:t>In some cases, they can be applied without conflict with the provisions of Covered Tax Agreements</w:t>
      </w:r>
      <w:r w:rsidR="002D1F3E">
        <w:t>.  H</w:t>
      </w:r>
      <w:r w:rsidR="008F2218">
        <w:t>owever, w</w:t>
      </w:r>
      <w:r w:rsidR="008F2218" w:rsidRPr="008F2218">
        <w:t xml:space="preserve">here the </w:t>
      </w:r>
      <w:r w:rsidR="008F2218">
        <w:t xml:space="preserve">MLI </w:t>
      </w:r>
      <w:r w:rsidR="008F2218" w:rsidRPr="008F2218">
        <w:t xml:space="preserve">provisions conflict with existing provisions covering the same subject matter, this is addressed </w:t>
      </w:r>
      <w:r w:rsidR="00AC33F8">
        <w:t>by the compatibility clauses</w:t>
      </w:r>
      <w:r w:rsidR="002D1F3E">
        <w:t>.  T</w:t>
      </w:r>
      <w:r w:rsidR="000B6BF6">
        <w:t xml:space="preserve">he language </w:t>
      </w:r>
      <w:r w:rsidR="00AC33F8">
        <w:t>in, and operation of, t</w:t>
      </w:r>
      <w:r w:rsidR="000B6BF6">
        <w:t xml:space="preserve">he compatibility clauses varies.  For example, </w:t>
      </w:r>
      <w:r w:rsidR="00AC33F8">
        <w:t xml:space="preserve">some </w:t>
      </w:r>
      <w:r w:rsidR="000B6BF6">
        <w:t xml:space="preserve">clauses use the phrases </w:t>
      </w:r>
      <w:r w:rsidR="00AC33F8">
        <w:t xml:space="preserve">“applies in the place of”, “applies to”, “modifies”, or </w:t>
      </w:r>
      <w:r w:rsidR="00803056">
        <w:t>“appl</w:t>
      </w:r>
      <w:r w:rsidR="00AC33F8">
        <w:t>ies</w:t>
      </w:r>
      <w:r w:rsidR="00803056">
        <w:t xml:space="preserve"> in </w:t>
      </w:r>
      <w:r w:rsidR="00AC33F8">
        <w:t xml:space="preserve">place of or the </w:t>
      </w:r>
      <w:r w:rsidR="00803056">
        <w:t>absence of</w:t>
      </w:r>
      <w:r>
        <w:t>”</w:t>
      </w:r>
      <w:r w:rsidR="00262FB3">
        <w:t xml:space="preserve">. </w:t>
      </w:r>
      <w:r w:rsidR="00AC33F8">
        <w:t xml:space="preserve"> </w:t>
      </w:r>
      <w:r w:rsidR="00803056">
        <w:t xml:space="preserve">Regardless of the wording used, the compatibility clauses make it clear how the MLI modifies the existing Covered Tax Agreement.  </w:t>
      </w:r>
      <w:r w:rsidR="00262FB3">
        <w:t>F</w:t>
      </w:r>
      <w:r w:rsidR="004D6564">
        <w:t>or example, Article 4(2) explains that the new Article 4(1) applies “in place of or in the absence of” an equivalent provision in a Covered Tax Agreement</w:t>
      </w:r>
      <w:r>
        <w:t>.</w:t>
      </w:r>
    </w:p>
    <w:p w:rsidR="00AC33F8" w:rsidRDefault="009B7BDD" w:rsidP="00E1063A">
      <w:pPr>
        <w:pStyle w:val="Bullets"/>
      </w:pPr>
      <w:r>
        <w:rPr>
          <w:b/>
        </w:rPr>
        <w:t>R</w:t>
      </w:r>
      <w:r w:rsidR="004D6564" w:rsidRPr="004D6564">
        <w:rPr>
          <w:b/>
        </w:rPr>
        <w:t>eservation clause</w:t>
      </w:r>
      <w:r w:rsidRPr="001155D2">
        <w:t>.</w:t>
      </w:r>
      <w:r w:rsidR="004D6564">
        <w:t xml:space="preserve"> </w:t>
      </w:r>
      <w:r>
        <w:t xml:space="preserve"> This </w:t>
      </w:r>
      <w:r w:rsidR="004D6564">
        <w:t xml:space="preserve">defines the specific reservations parties are able to make with respect to the operative clause (for example, Article 4(3) allows parties to </w:t>
      </w:r>
      <w:r w:rsidR="00E87948">
        <w:t xml:space="preserve">make five alternative reservations with respect to </w:t>
      </w:r>
      <w:r w:rsidR="004D6564">
        <w:t>Article 4</w:t>
      </w:r>
      <w:r w:rsidR="00E87948">
        <w:t>, and choose one optional alternative to the wording in Article 4(1)); and</w:t>
      </w:r>
    </w:p>
    <w:p w:rsidR="00AC33F8" w:rsidRDefault="009B7BDD" w:rsidP="009A6972">
      <w:pPr>
        <w:pStyle w:val="Bullets"/>
        <w:spacing w:after="0"/>
      </w:pPr>
      <w:r>
        <w:rPr>
          <w:b/>
        </w:rPr>
        <w:t>N</w:t>
      </w:r>
      <w:r w:rsidR="00E87948" w:rsidRPr="00AC33F8">
        <w:rPr>
          <w:b/>
        </w:rPr>
        <w:t>otification clause</w:t>
      </w:r>
      <w:r w:rsidRPr="001155D2">
        <w:t>.</w:t>
      </w:r>
      <w:r w:rsidR="00E87948">
        <w:t xml:space="preserve"> </w:t>
      </w:r>
      <w:r>
        <w:t xml:space="preserve"> The notification clause </w:t>
      </w:r>
      <w:r w:rsidR="00E87948">
        <w:t xml:space="preserve">requires parties to notify the OECD Depositary of choices of options, reservations and existing provisions in Covered Tax Agreements that are within the scope of the compatibility clause (for example, Article 4(4) requires parties to notify the OECD Depository of articles in its Covered Tax Agreements that are described in the compatibility clause and are not subject to a reservation). </w:t>
      </w:r>
      <w:r w:rsidR="00AC33F8">
        <w:t xml:space="preserve"> Notification is very important</w:t>
      </w:r>
      <w:r>
        <w:t>.  I</w:t>
      </w:r>
      <w:r w:rsidR="00FA2BF5">
        <w:t>f</w:t>
      </w:r>
      <w:r w:rsidR="00AC33F8">
        <w:t xml:space="preserve"> the notification required by an article is not completed, generally speaking, an article in a Covered Tax Agreement is not modified pursuant to the compatibility clause</w:t>
      </w:r>
      <w:r w:rsidR="002D1F3E">
        <w:t>.  T</w:t>
      </w:r>
      <w:r w:rsidR="00AC33F8">
        <w:t xml:space="preserve">he reason for this approach is to </w:t>
      </w:r>
      <w:r w:rsidR="00AC33F8" w:rsidRPr="00AC33F8">
        <w:t xml:space="preserve">ensure clarity and transparency about the application of the </w:t>
      </w:r>
      <w:r w:rsidR="00AC33F8">
        <w:t>MLI.</w:t>
      </w:r>
      <w:r w:rsidR="00EA3270">
        <w:t xml:space="preserve">  The </w:t>
      </w:r>
      <w:r>
        <w:t xml:space="preserve">table below shows </w:t>
      </w:r>
      <w:r w:rsidR="00EA3270">
        <w:t>how the compatibility clauses and notification process work together.</w:t>
      </w:r>
    </w:p>
    <w:p w:rsidR="002062DD" w:rsidRDefault="002062DD" w:rsidP="009A6972"/>
    <w:p w:rsidR="009A6972" w:rsidRPr="009A6972" w:rsidRDefault="009A6972" w:rsidP="009A6972"/>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127"/>
        <w:gridCol w:w="4299"/>
      </w:tblGrid>
      <w:tr w:rsidR="002062DD" w:rsidRPr="002062DD" w:rsidTr="00AD0590">
        <w:trPr>
          <w:tblHeader/>
        </w:trPr>
        <w:tc>
          <w:tcPr>
            <w:tcW w:w="4127" w:type="dxa"/>
            <w:shd w:val="clear" w:color="auto" w:fill="auto"/>
          </w:tcPr>
          <w:p w:rsidR="002062DD" w:rsidRPr="009A34F3" w:rsidRDefault="002062DD" w:rsidP="002062DD">
            <w:pPr>
              <w:jc w:val="left"/>
              <w:rPr>
                <w:b/>
                <w:sz w:val="20"/>
              </w:rPr>
            </w:pPr>
            <w:r w:rsidRPr="009A34F3">
              <w:rPr>
                <w:b/>
                <w:sz w:val="20"/>
              </w:rPr>
              <w:t xml:space="preserve">If the compatibility clause </w:t>
            </w:r>
            <w:r w:rsidR="00B40251">
              <w:rPr>
                <w:b/>
                <w:sz w:val="20"/>
              </w:rPr>
              <w:t>states that the MLI provision</w:t>
            </w:r>
            <w:r w:rsidR="00DD266F">
              <w:rPr>
                <w:b/>
                <w:sz w:val="20"/>
              </w:rPr>
              <w:t>…</w:t>
            </w:r>
          </w:p>
        </w:tc>
        <w:tc>
          <w:tcPr>
            <w:tcW w:w="4299" w:type="dxa"/>
            <w:shd w:val="clear" w:color="auto" w:fill="auto"/>
          </w:tcPr>
          <w:p w:rsidR="002062DD" w:rsidRPr="009A34F3" w:rsidRDefault="002062DD" w:rsidP="002062DD">
            <w:pPr>
              <w:jc w:val="left"/>
              <w:rPr>
                <w:b/>
                <w:sz w:val="20"/>
              </w:rPr>
            </w:pPr>
            <w:r w:rsidRPr="009A34F3">
              <w:rPr>
                <w:b/>
                <w:sz w:val="20"/>
              </w:rPr>
              <w:t>Then the notification provision states tha</w:t>
            </w:r>
            <w:r w:rsidR="00B40251">
              <w:rPr>
                <w:b/>
                <w:sz w:val="20"/>
              </w:rPr>
              <w:t>t the MLI provision will apply</w:t>
            </w:r>
            <w:r w:rsidR="00DD266F">
              <w:rPr>
                <w:b/>
                <w:sz w:val="20"/>
              </w:rPr>
              <w:t>…</w:t>
            </w:r>
          </w:p>
        </w:tc>
      </w:tr>
      <w:tr w:rsidR="002062DD" w:rsidRPr="002062DD" w:rsidTr="001155D2">
        <w:tc>
          <w:tcPr>
            <w:tcW w:w="4127" w:type="dxa"/>
          </w:tcPr>
          <w:p w:rsidR="002062DD" w:rsidRPr="002062DD" w:rsidRDefault="002062DD" w:rsidP="002062DD">
            <w:pPr>
              <w:jc w:val="left"/>
              <w:rPr>
                <w:sz w:val="20"/>
              </w:rPr>
            </w:pPr>
            <w:r w:rsidRPr="002062DD">
              <w:rPr>
                <w:sz w:val="20"/>
              </w:rPr>
              <w:t>applies</w:t>
            </w:r>
            <w:r w:rsidRPr="002062DD">
              <w:rPr>
                <w:b/>
                <w:sz w:val="20"/>
              </w:rPr>
              <w:t xml:space="preserve"> “in place of”</w:t>
            </w:r>
            <w:r w:rsidRPr="002062DD">
              <w:rPr>
                <w:sz w:val="20"/>
              </w:rPr>
              <w:t xml:space="preserve"> an existing provision of a Covered Tax Agreement, the provision is intended to replace an existing provision if one exists, and is not intended to apply if an existing provision does not exist</w:t>
            </w:r>
          </w:p>
        </w:tc>
        <w:tc>
          <w:tcPr>
            <w:tcW w:w="4299" w:type="dxa"/>
            <w:vMerge w:val="restart"/>
          </w:tcPr>
          <w:p w:rsidR="002062DD" w:rsidRPr="002062DD" w:rsidRDefault="002062DD" w:rsidP="00AF573A">
            <w:pPr>
              <w:jc w:val="left"/>
              <w:rPr>
                <w:sz w:val="20"/>
              </w:rPr>
            </w:pPr>
            <w:r w:rsidRPr="002062DD">
              <w:rPr>
                <w:sz w:val="20"/>
              </w:rPr>
              <w:t xml:space="preserve">only in cases where all parties to the particular Covered Tax Agreement make a notification with respect to the </w:t>
            </w:r>
            <w:r w:rsidR="00AF573A">
              <w:rPr>
                <w:sz w:val="20"/>
              </w:rPr>
              <w:t>existence or absence (as applicable) of a</w:t>
            </w:r>
            <w:r w:rsidR="00AF573A" w:rsidRPr="002062DD">
              <w:rPr>
                <w:sz w:val="20"/>
              </w:rPr>
              <w:t xml:space="preserve"> </w:t>
            </w:r>
            <w:r w:rsidR="00AF573A">
              <w:rPr>
                <w:sz w:val="20"/>
              </w:rPr>
              <w:t xml:space="preserve">relevant </w:t>
            </w:r>
            <w:r w:rsidRPr="002062DD">
              <w:rPr>
                <w:sz w:val="20"/>
              </w:rPr>
              <w:t>provision of the Covered Tax Agreement.</w:t>
            </w:r>
          </w:p>
        </w:tc>
      </w:tr>
      <w:tr w:rsidR="002062DD" w:rsidRPr="002062DD" w:rsidTr="001155D2">
        <w:tc>
          <w:tcPr>
            <w:tcW w:w="4127" w:type="dxa"/>
          </w:tcPr>
          <w:p w:rsidR="002062DD" w:rsidRPr="002062DD" w:rsidRDefault="002062DD" w:rsidP="002062DD">
            <w:pPr>
              <w:jc w:val="left"/>
              <w:rPr>
                <w:sz w:val="20"/>
              </w:rPr>
            </w:pPr>
            <w:r w:rsidRPr="002062DD">
              <w:rPr>
                <w:b/>
                <w:sz w:val="20"/>
              </w:rPr>
              <w:t>“applies to”</w:t>
            </w:r>
            <w:r w:rsidRPr="002062DD">
              <w:rPr>
                <w:sz w:val="20"/>
              </w:rPr>
              <w:t xml:space="preserve"> or </w:t>
            </w:r>
            <w:r w:rsidRPr="002062DD">
              <w:rPr>
                <w:b/>
                <w:sz w:val="20"/>
              </w:rPr>
              <w:t>“modifies”</w:t>
            </w:r>
            <w:r w:rsidRPr="002062DD">
              <w:rPr>
                <w:sz w:val="20"/>
              </w:rPr>
              <w:t xml:space="preserve"> an existing provision of a Covered Tax Agreement, the provision of the Convention is intended to change the application of an existing provision without replacing it, and therefore can only apply if there is an existing provision</w:t>
            </w:r>
          </w:p>
        </w:tc>
        <w:tc>
          <w:tcPr>
            <w:tcW w:w="4299" w:type="dxa"/>
            <w:vMerge/>
          </w:tcPr>
          <w:p w:rsidR="002062DD" w:rsidRPr="002062DD" w:rsidRDefault="002062DD" w:rsidP="002062DD">
            <w:pPr>
              <w:jc w:val="left"/>
              <w:rPr>
                <w:sz w:val="20"/>
              </w:rPr>
            </w:pPr>
          </w:p>
        </w:tc>
      </w:tr>
      <w:tr w:rsidR="002062DD" w:rsidRPr="002062DD" w:rsidTr="001155D2">
        <w:tc>
          <w:tcPr>
            <w:tcW w:w="4127" w:type="dxa"/>
          </w:tcPr>
          <w:p w:rsidR="002062DD" w:rsidRPr="002062DD" w:rsidRDefault="002062DD" w:rsidP="002062DD">
            <w:pPr>
              <w:jc w:val="left"/>
              <w:rPr>
                <w:sz w:val="20"/>
              </w:rPr>
            </w:pPr>
            <w:r w:rsidRPr="002062DD">
              <w:rPr>
                <w:sz w:val="20"/>
              </w:rPr>
              <w:t xml:space="preserve">applies </w:t>
            </w:r>
            <w:r w:rsidRPr="002062DD">
              <w:rPr>
                <w:b/>
                <w:sz w:val="20"/>
              </w:rPr>
              <w:t>“in the absence of”</w:t>
            </w:r>
            <w:r w:rsidRPr="002062DD">
              <w:rPr>
                <w:sz w:val="20"/>
              </w:rPr>
              <w:t xml:space="preserve"> an existing provision of a Covered Tax Agreement</w:t>
            </w:r>
          </w:p>
        </w:tc>
        <w:tc>
          <w:tcPr>
            <w:tcW w:w="4299" w:type="dxa"/>
            <w:vMerge/>
          </w:tcPr>
          <w:p w:rsidR="002062DD" w:rsidRPr="002062DD" w:rsidRDefault="002062DD" w:rsidP="002062DD">
            <w:pPr>
              <w:jc w:val="left"/>
              <w:rPr>
                <w:sz w:val="20"/>
              </w:rPr>
            </w:pPr>
          </w:p>
        </w:tc>
      </w:tr>
      <w:tr w:rsidR="002062DD" w:rsidRPr="002062DD" w:rsidTr="001155D2">
        <w:tc>
          <w:tcPr>
            <w:tcW w:w="4127" w:type="dxa"/>
          </w:tcPr>
          <w:p w:rsidR="002062DD" w:rsidRPr="002062DD" w:rsidRDefault="002062DD" w:rsidP="002062DD">
            <w:pPr>
              <w:jc w:val="left"/>
              <w:rPr>
                <w:sz w:val="20"/>
              </w:rPr>
            </w:pPr>
            <w:r w:rsidRPr="002062DD">
              <w:rPr>
                <w:sz w:val="20"/>
              </w:rPr>
              <w:t>applies</w:t>
            </w:r>
            <w:r w:rsidRPr="002062DD">
              <w:rPr>
                <w:b/>
                <w:sz w:val="20"/>
              </w:rPr>
              <w:t xml:space="preserve"> “in place of or in the absence of”</w:t>
            </w:r>
            <w:r w:rsidRPr="002062DD">
              <w:rPr>
                <w:sz w:val="20"/>
              </w:rPr>
              <w:t xml:space="preserve"> an existing provision of a Covered Tax Agreement</w:t>
            </w:r>
          </w:p>
        </w:tc>
        <w:tc>
          <w:tcPr>
            <w:tcW w:w="4299" w:type="dxa"/>
          </w:tcPr>
          <w:p w:rsidR="009D6BEA" w:rsidRDefault="009A6972" w:rsidP="002062DD">
            <w:pPr>
              <w:jc w:val="left"/>
              <w:rPr>
                <w:sz w:val="20"/>
                <w:lang w:val="en-NZ"/>
              </w:rPr>
            </w:pPr>
            <w:r>
              <w:rPr>
                <w:sz w:val="20"/>
                <w:lang w:val="en-NZ"/>
              </w:rPr>
              <w:t>in all cases.</w:t>
            </w:r>
          </w:p>
          <w:p w:rsidR="009D6BEA" w:rsidRDefault="009D6BEA" w:rsidP="002062DD">
            <w:pPr>
              <w:jc w:val="left"/>
              <w:rPr>
                <w:sz w:val="20"/>
                <w:lang w:val="en-NZ"/>
              </w:rPr>
            </w:pPr>
          </w:p>
          <w:p w:rsidR="009D6BEA" w:rsidRDefault="002062DD" w:rsidP="002062DD">
            <w:pPr>
              <w:jc w:val="left"/>
              <w:rPr>
                <w:sz w:val="20"/>
                <w:lang w:val="en-NZ"/>
              </w:rPr>
            </w:pPr>
            <w:r w:rsidRPr="002062DD">
              <w:rPr>
                <w:sz w:val="20"/>
                <w:lang w:val="en-NZ"/>
              </w:rPr>
              <w:t>If both parties to the particular Covered Tax Agreement notify the existence of an existing provision, that provision will be replaced by the MLI provision (to the extent described in the r</w:t>
            </w:r>
            <w:r w:rsidR="009A6972">
              <w:rPr>
                <w:sz w:val="20"/>
                <w:lang w:val="en-NZ"/>
              </w:rPr>
              <w:t>elevant compatibility clause).</w:t>
            </w:r>
          </w:p>
          <w:p w:rsidR="009D6BEA" w:rsidRDefault="009D6BEA" w:rsidP="002062DD">
            <w:pPr>
              <w:jc w:val="left"/>
              <w:rPr>
                <w:sz w:val="20"/>
                <w:lang w:val="en-NZ"/>
              </w:rPr>
            </w:pPr>
          </w:p>
          <w:p w:rsidR="002062DD" w:rsidRPr="002062DD" w:rsidRDefault="002062DD" w:rsidP="002062DD">
            <w:pPr>
              <w:jc w:val="left"/>
              <w:rPr>
                <w:sz w:val="20"/>
              </w:rPr>
            </w:pPr>
            <w:r w:rsidRPr="002062DD">
              <w:rPr>
                <w:sz w:val="20"/>
                <w:lang w:val="en-NZ"/>
              </w:rPr>
              <w:t>If the parties to a particular Covered Tax Agreement do not notify the existence of a provision, the MLI provision will still apply.  If there is a relevant existing provision which has not been notified by all parties, the MLI provision will override that existing provision if it is incompatible with the relevant MLI provision.  If there is no existing provision, the MLI provision will in effect be added to the Covered Tax Agreement.</w:t>
            </w:r>
          </w:p>
        </w:tc>
      </w:tr>
    </w:tbl>
    <w:p w:rsidR="00AC33F8" w:rsidRPr="00A12ACF" w:rsidRDefault="00AC33F8" w:rsidP="00A12ACF"/>
    <w:p w:rsidR="009A6972" w:rsidRPr="00A12ACF" w:rsidRDefault="009A6972" w:rsidP="00A12ACF"/>
    <w:p w:rsidR="008F2218" w:rsidRDefault="008F2218" w:rsidP="008F2218">
      <w:pPr>
        <w:pStyle w:val="Chapter2"/>
        <w:tabs>
          <w:tab w:val="clear" w:pos="851"/>
        </w:tabs>
      </w:pPr>
      <w:r>
        <w:t xml:space="preserve">For a more detailed discussion on how these provisions operate, see paragraphs 13 to 18 of the </w:t>
      </w:r>
      <w:r w:rsidR="004D7102">
        <w:t xml:space="preserve">OECD’s </w:t>
      </w:r>
      <w:r>
        <w:t>Explanatory Statement</w:t>
      </w:r>
      <w:r w:rsidR="004D7102">
        <w:t xml:space="preserve"> (see para</w:t>
      </w:r>
      <w:r w:rsidR="009A34F3">
        <w:t>graph</w:t>
      </w:r>
      <w:r w:rsidR="004D7102">
        <w:t xml:space="preserve"> 2.5 for details)</w:t>
      </w:r>
      <w:r>
        <w:t>.</w:t>
      </w:r>
    </w:p>
    <w:p w:rsidR="008F2218" w:rsidRPr="00287272" w:rsidRDefault="008F2218" w:rsidP="00287272"/>
    <w:p w:rsidR="0042153D" w:rsidRPr="004823B6" w:rsidRDefault="0042153D" w:rsidP="0042153D">
      <w:pPr>
        <w:pStyle w:val="Heading3"/>
        <w:rPr>
          <w:lang w:val="en-NZ"/>
        </w:rPr>
      </w:pPr>
      <w:r>
        <w:rPr>
          <w:lang w:val="en-NZ"/>
        </w:rPr>
        <w:t>Arbitration</w:t>
      </w:r>
      <w:r w:rsidRPr="004823B6">
        <w:rPr>
          <w:lang w:val="en-NZ"/>
        </w:rPr>
        <w:t xml:space="preserve"> </w:t>
      </w:r>
      <w:r w:rsidR="00A12ACF">
        <w:rPr>
          <w:lang w:val="en-NZ"/>
        </w:rPr>
        <w:t>– Part VI (Articles 18 to 26)</w:t>
      </w:r>
    </w:p>
    <w:p w:rsidR="004823B6" w:rsidRDefault="004823B6" w:rsidP="004823B6">
      <w:pPr>
        <w:pStyle w:val="Chapter2"/>
        <w:numPr>
          <w:ilvl w:val="0"/>
          <w:numId w:val="0"/>
        </w:numPr>
        <w:ind w:left="851"/>
      </w:pPr>
    </w:p>
    <w:p w:rsidR="007E061D" w:rsidRDefault="007E061D" w:rsidP="00F105F8">
      <w:pPr>
        <w:pStyle w:val="Chapter2"/>
        <w:tabs>
          <w:tab w:val="clear" w:pos="851"/>
        </w:tabs>
      </w:pPr>
      <w:r>
        <w:t>This Part of the MLI was developed by a separate OECD Sub-Group on Arbitration.  Its structure differs from that described above in respect of Parts II to V</w:t>
      </w:r>
      <w:r w:rsidR="002D1F3E">
        <w:t>.  G</w:t>
      </w:r>
      <w:r>
        <w:t>enerally speaking, it allow</w:t>
      </w:r>
      <w:r w:rsidR="000E277E">
        <w:t>s</w:t>
      </w:r>
      <w:r>
        <w:t xml:space="preserve"> parties to insert an entirely new framework for dispute resolution through mandatory binding arbitration.</w:t>
      </w:r>
    </w:p>
    <w:p w:rsidR="007E061D" w:rsidRPr="00287272" w:rsidRDefault="007E061D" w:rsidP="00287272"/>
    <w:p w:rsidR="000E277E" w:rsidRDefault="007E061D" w:rsidP="008C25CB">
      <w:pPr>
        <w:pStyle w:val="Chapter2"/>
        <w:tabs>
          <w:tab w:val="clear" w:pos="851"/>
        </w:tabs>
      </w:pPr>
      <w:r>
        <w:t xml:space="preserve">It </w:t>
      </w:r>
      <w:r w:rsidR="000E277E">
        <w:t xml:space="preserve">requires parties to “opt-in” </w:t>
      </w:r>
      <w:r w:rsidR="00EA3270">
        <w:t xml:space="preserve">to the arbitration provisions </w:t>
      </w:r>
      <w:r w:rsidR="000E277E">
        <w:t>by notifying the OECD Depository that it wishes to apply Part VI, rather than “opting-out” by making a reservation.</w:t>
      </w:r>
    </w:p>
    <w:p w:rsidR="000E277E" w:rsidRPr="00287272" w:rsidRDefault="000E277E" w:rsidP="00287272"/>
    <w:p w:rsidR="000E277E" w:rsidRDefault="000E277E" w:rsidP="008C25CB">
      <w:pPr>
        <w:pStyle w:val="Chapter2"/>
        <w:tabs>
          <w:tab w:val="clear" w:pos="851"/>
        </w:tabs>
      </w:pPr>
      <w:r>
        <w:t xml:space="preserve">It </w:t>
      </w:r>
      <w:r w:rsidR="007E061D">
        <w:t xml:space="preserve">has a single compatibility clause </w:t>
      </w:r>
      <w:r>
        <w:t xml:space="preserve">for the entire Part </w:t>
      </w:r>
      <w:r w:rsidR="007E061D">
        <w:t>in Article 26</w:t>
      </w:r>
      <w:r>
        <w:t>, rather than article-by-article compatibility clauses</w:t>
      </w:r>
      <w:r w:rsidR="002D1F3E">
        <w:t>.  I</w:t>
      </w:r>
      <w:r>
        <w:t>t also a</w:t>
      </w:r>
      <w:r w:rsidR="007E061D">
        <w:t>llows parties to make bespoke reservations</w:t>
      </w:r>
      <w:r w:rsidR="00EA3270">
        <w:t xml:space="preserve"> as to the scope of arbitration</w:t>
      </w:r>
      <w:r>
        <w:t>, subject to acceptance by DTA partners</w:t>
      </w:r>
      <w:r w:rsidR="007E061D">
        <w:t xml:space="preserve"> (rather than the set of defined reservations permitted under Parts II to V).</w:t>
      </w:r>
    </w:p>
    <w:p w:rsidR="007E061D" w:rsidRDefault="007E061D" w:rsidP="000E277E">
      <w:pPr>
        <w:pStyle w:val="Chapter2"/>
        <w:numPr>
          <w:ilvl w:val="0"/>
          <w:numId w:val="0"/>
        </w:numPr>
      </w:pPr>
    </w:p>
    <w:p w:rsidR="00803056" w:rsidRDefault="00803056" w:rsidP="00803056">
      <w:pPr>
        <w:pStyle w:val="Chapter2"/>
        <w:tabs>
          <w:tab w:val="clear" w:pos="851"/>
        </w:tabs>
      </w:pPr>
      <w:r>
        <w:t>For Parts I to VI, the OECD will maintain a public list of r</w:t>
      </w:r>
      <w:r w:rsidR="00D021E4">
        <w:t>eservations</w:t>
      </w:r>
      <w:r w:rsidR="00F42E6B">
        <w:t>,</w:t>
      </w:r>
      <w:r>
        <w:t xml:space="preserve"> choices of options</w:t>
      </w:r>
      <w:r w:rsidR="00F42E6B">
        <w:t xml:space="preserve"> and affected Covered Tax Agreement provisions</w:t>
      </w:r>
      <w:r>
        <w:t xml:space="preserve"> to assist </w:t>
      </w:r>
      <w:r w:rsidR="00836DA4">
        <w:t>all interested parties to</w:t>
      </w:r>
      <w:r>
        <w:t xml:space="preserve"> determine how Cover</w:t>
      </w:r>
      <w:r w:rsidR="00B40251">
        <w:t>ed Tax Agreements are modified.</w:t>
      </w:r>
    </w:p>
    <w:p w:rsidR="009A69C6" w:rsidRPr="00287272" w:rsidRDefault="009A69C6" w:rsidP="00287272"/>
    <w:p w:rsidR="009A69C6" w:rsidRDefault="009A69C6" w:rsidP="009A69C6">
      <w:pPr>
        <w:pStyle w:val="Chapter2"/>
        <w:tabs>
          <w:tab w:val="clear" w:pos="851"/>
        </w:tabs>
      </w:pPr>
      <w:r>
        <w:t xml:space="preserve">Once the MLI comes into effect for a particular Covered Tax Agreement (explained further in </w:t>
      </w:r>
      <w:r w:rsidR="008E19CE">
        <w:t>chapter</w:t>
      </w:r>
      <w:r>
        <w:t xml:space="preserve"> 3), the MLI will operate as a stand-alone treaty that modifies the Covered Tax Ag</w:t>
      </w:r>
      <w:r w:rsidR="00A12ACF">
        <w:t>reement according to its terms.</w:t>
      </w:r>
    </w:p>
    <w:p w:rsidR="00CA33EC" w:rsidRPr="00382E2E" w:rsidRDefault="00CA33EC" w:rsidP="00CA33EC">
      <w:pPr>
        <w:rPr>
          <w:lang w:val="en-NZ"/>
        </w:rPr>
      </w:pPr>
    </w:p>
    <w:p w:rsidR="009A69C6" w:rsidRDefault="009A69C6">
      <w:pPr>
        <w:jc w:val="left"/>
        <w:rPr>
          <w:rFonts w:ascii="Times New Roman Bold" w:hAnsi="Times New Roman Bold"/>
          <w:b/>
          <w:bCs/>
          <w:caps/>
          <w:sz w:val="28"/>
          <w:szCs w:val="28"/>
          <w:lang w:val="en-NZ"/>
        </w:rPr>
      </w:pPr>
      <w:bookmarkStart w:id="42" w:name="_Toc147568000"/>
      <w:bookmarkStart w:id="43" w:name="_Toc473032381"/>
      <w:bookmarkStart w:id="44" w:name="_Toc473032416"/>
      <w:r>
        <w:rPr>
          <w:lang w:val="en-NZ"/>
        </w:rPr>
        <w:br w:type="page"/>
      </w:r>
    </w:p>
    <w:p w:rsidR="00CA33EC" w:rsidRPr="00E1063A" w:rsidRDefault="001005B7" w:rsidP="00E1063A">
      <w:pPr>
        <w:pStyle w:val="Chapterheading"/>
      </w:pPr>
      <w:bookmarkStart w:id="45" w:name="_Toc473124496"/>
      <w:bookmarkStart w:id="46" w:name="_Toc473124536"/>
      <w:bookmarkStart w:id="47" w:name="_Toc473210906"/>
      <w:bookmarkStart w:id="48" w:name="_Toc474739893"/>
      <w:bookmarkStart w:id="49" w:name="_Toc474745531"/>
      <w:bookmarkStart w:id="50" w:name="_Toc474747054"/>
      <w:bookmarkStart w:id="51" w:name="_Toc474749612"/>
      <w:bookmarkStart w:id="52" w:name="_Toc475001349"/>
      <w:bookmarkStart w:id="53" w:name="_Toc476143762"/>
      <w:bookmarkStart w:id="54" w:name="_Toc476145496"/>
      <w:bookmarkStart w:id="55" w:name="_Toc476153896"/>
      <w:r w:rsidRPr="00E1063A">
        <w:t xml:space="preserve">CHAPTER </w:t>
      </w:r>
      <w:r w:rsidR="00CA33EC" w:rsidRPr="00E1063A">
        <w:t>3</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CA33EC" w:rsidRPr="00E1063A" w:rsidRDefault="00CA33EC" w:rsidP="00E1063A">
      <w:pPr>
        <w:pStyle w:val="Chapterheading"/>
      </w:pPr>
    </w:p>
    <w:p w:rsidR="009E4517" w:rsidRPr="00E1063A" w:rsidRDefault="00E1063A" w:rsidP="00E1063A">
      <w:pPr>
        <w:pStyle w:val="Chapterheading"/>
      </w:pPr>
      <w:bookmarkStart w:id="56" w:name="_Toc476153897"/>
      <w:r>
        <w:rPr>
          <w:caps w:val="0"/>
        </w:rPr>
        <w:t>H</w:t>
      </w:r>
      <w:r w:rsidRPr="00E1063A">
        <w:rPr>
          <w:caps w:val="0"/>
        </w:rPr>
        <w:t xml:space="preserve">ow </w:t>
      </w:r>
      <w:r w:rsidR="005D6D53">
        <w:rPr>
          <w:caps w:val="0"/>
        </w:rPr>
        <w:t xml:space="preserve">the </w:t>
      </w:r>
      <w:r w:rsidR="008E19CE">
        <w:rPr>
          <w:caps w:val="0"/>
        </w:rPr>
        <w:t>multilateral instrument</w:t>
      </w:r>
      <w:r w:rsidR="004D7102" w:rsidRPr="00E1063A">
        <w:rPr>
          <w:caps w:val="0"/>
        </w:rPr>
        <w:t xml:space="preserve"> </w:t>
      </w:r>
      <w:r w:rsidRPr="00E1063A">
        <w:rPr>
          <w:caps w:val="0"/>
        </w:rPr>
        <w:t xml:space="preserve">provisions </w:t>
      </w:r>
      <w:r w:rsidR="004D7102">
        <w:rPr>
          <w:caps w:val="0"/>
        </w:rPr>
        <w:t xml:space="preserve">will </w:t>
      </w:r>
      <w:r w:rsidRPr="00E1063A">
        <w:rPr>
          <w:caps w:val="0"/>
        </w:rPr>
        <w:t>address BEPS concerns</w:t>
      </w:r>
      <w:bookmarkEnd w:id="56"/>
    </w:p>
    <w:p w:rsidR="00CA33EC" w:rsidRPr="00382E2E" w:rsidRDefault="00CA33EC" w:rsidP="00E1063A"/>
    <w:p w:rsidR="00CA33EC" w:rsidRPr="00F36FF2" w:rsidRDefault="00CA33EC" w:rsidP="00E1063A"/>
    <w:p w:rsidR="00475CFF" w:rsidRDefault="009A69C6" w:rsidP="005D3DAF">
      <w:pPr>
        <w:pStyle w:val="Chapter3"/>
      </w:pPr>
      <w:r>
        <w:t xml:space="preserve">As discussed </w:t>
      </w:r>
      <w:r w:rsidR="004D7102">
        <w:t xml:space="preserve">in </w:t>
      </w:r>
      <w:r w:rsidR="008E19CE">
        <w:t>chapter</w:t>
      </w:r>
      <w:r w:rsidR="004D7102">
        <w:t xml:space="preserve"> 2</w:t>
      </w:r>
      <w:r>
        <w:t xml:space="preserve">, the </w:t>
      </w:r>
      <w:r w:rsidR="007D11A2">
        <w:t>MLI</w:t>
      </w:r>
      <w:r>
        <w:t>’s substantive provisions</w:t>
      </w:r>
      <w:r w:rsidR="007D11A2">
        <w:t xml:space="preserve"> fall into two categories</w:t>
      </w:r>
      <w:r w:rsidR="005D3DAF">
        <w:t>:</w:t>
      </w:r>
      <w:r w:rsidR="00CE7D8F">
        <w:t xml:space="preserve"> </w:t>
      </w:r>
      <w:r w:rsidR="007D11A2">
        <w:t>minimum standards and</w:t>
      </w:r>
      <w:r w:rsidR="00CE7D8F">
        <w:t xml:space="preserve"> </w:t>
      </w:r>
      <w:r>
        <w:t>optional provisions</w:t>
      </w:r>
      <w:r w:rsidR="007D11A2">
        <w:t xml:space="preserve">. </w:t>
      </w:r>
      <w:r w:rsidR="00CE7D8F">
        <w:t xml:space="preserve"> </w:t>
      </w:r>
      <w:r>
        <w:t>T</w:t>
      </w:r>
      <w:r w:rsidR="00E6268D">
        <w:t>he</w:t>
      </w:r>
      <w:r w:rsidR="005D3DAF">
        <w:t>se</w:t>
      </w:r>
      <w:r w:rsidR="00E6268D">
        <w:t xml:space="preserve"> provisions to address </w:t>
      </w:r>
      <w:r w:rsidR="005D3DAF">
        <w:t>BEPS concerns in four key areas</w:t>
      </w:r>
      <w:r w:rsidR="00A315ED">
        <w:t>, which are summarised at a high level in the table below</w:t>
      </w:r>
      <w:r w:rsidR="005D3DAF">
        <w:t>.</w:t>
      </w:r>
      <w:r w:rsidR="00A315ED">
        <w:t xml:space="preserve">  </w:t>
      </w:r>
      <w:r w:rsidR="009D6BEA">
        <w:t xml:space="preserve">Generally speaking, New Zealand intends to adopt </w:t>
      </w:r>
      <w:r w:rsidR="009F38E4">
        <w:t>the</w:t>
      </w:r>
      <w:r w:rsidR="009D6BEA">
        <w:t xml:space="preserve"> minimum standards and optional provisions.</w:t>
      </w:r>
    </w:p>
    <w:p w:rsidR="00475CFF" w:rsidRDefault="00475CFF" w:rsidP="00475CFF">
      <w:pPr>
        <w:pStyle w:val="Chapter3"/>
        <w:numPr>
          <w:ilvl w:val="0"/>
          <w:numId w:val="0"/>
        </w:numPr>
        <w:ind w:left="851"/>
      </w:pPr>
    </w:p>
    <w:p w:rsidR="00E6268D" w:rsidRDefault="00A315ED" w:rsidP="005D3DAF">
      <w:pPr>
        <w:pStyle w:val="Chapter3"/>
      </w:pPr>
      <w:r>
        <w:t xml:space="preserve">Further detail of each provision and New Zealand’s approach is provided in the table in </w:t>
      </w:r>
      <w:r w:rsidR="006A0B21">
        <w:t>the a</w:t>
      </w:r>
      <w:r>
        <w:t>ppendix.</w:t>
      </w:r>
    </w:p>
    <w:p w:rsidR="009A69C6" w:rsidRDefault="009A69C6" w:rsidP="009A69C6">
      <w:pPr>
        <w:pStyle w:val="Chapter3"/>
        <w:numPr>
          <w:ilvl w:val="0"/>
          <w:numId w:val="0"/>
        </w:numPr>
        <w:ind w:left="851" w:hanging="851"/>
      </w:pPr>
    </w:p>
    <w:p w:rsidR="00E1063A" w:rsidRDefault="00E1063A" w:rsidP="009A69C6">
      <w:pPr>
        <w:pStyle w:val="Chapter3"/>
        <w:numPr>
          <w:ilvl w:val="0"/>
          <w:numId w:val="0"/>
        </w:numPr>
        <w:ind w:left="851" w:hanging="851"/>
      </w:pPr>
    </w:p>
    <w:tbl>
      <w:tblPr>
        <w:tblStyle w:val="LightShading"/>
        <w:tblW w:w="0" w:type="auto"/>
        <w:tblInd w:w="113" w:type="dxa"/>
        <w:tblLayout w:type="fixed"/>
        <w:tblCellMar>
          <w:top w:w="113" w:type="dxa"/>
          <w:left w:w="113" w:type="dxa"/>
          <w:bottom w:w="113" w:type="dxa"/>
          <w:right w:w="113" w:type="dxa"/>
        </w:tblCellMar>
        <w:tblLook w:val="04A0" w:firstRow="1" w:lastRow="0" w:firstColumn="1" w:lastColumn="0" w:noHBand="0" w:noVBand="1"/>
      </w:tblPr>
      <w:tblGrid>
        <w:gridCol w:w="6521"/>
        <w:gridCol w:w="1843"/>
      </w:tblGrid>
      <w:tr w:rsidR="004D7102" w:rsidRPr="00E1063A" w:rsidTr="009A34F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D7102" w:rsidRPr="00E1063A" w:rsidRDefault="004D7102" w:rsidP="003368F1">
            <w:pPr>
              <w:pStyle w:val="Chapter3"/>
              <w:numPr>
                <w:ilvl w:val="0"/>
                <w:numId w:val="0"/>
              </w:numPr>
              <w:jc w:val="left"/>
              <w:rPr>
                <w:sz w:val="20"/>
              </w:rPr>
            </w:pPr>
            <w:r w:rsidRPr="00E1063A">
              <w:rPr>
                <w:sz w:val="20"/>
              </w:rPr>
              <w:t>Substantive BEPS provisions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7102" w:rsidRPr="00E1063A" w:rsidRDefault="004D7102" w:rsidP="00E1063A">
            <w:pPr>
              <w:pStyle w:val="Chapter3"/>
              <w:numPr>
                <w:ilvl w:val="0"/>
                <w:numId w:val="0"/>
              </w:numPr>
              <w:jc w:val="center"/>
              <w:cnfStyle w:val="100000000000" w:firstRow="1" w:lastRow="0" w:firstColumn="0" w:lastColumn="0" w:oddVBand="0" w:evenVBand="0" w:oddHBand="0" w:evenHBand="0" w:firstRowFirstColumn="0" w:firstRowLastColumn="0" w:lastRowFirstColumn="0" w:lastRowLastColumn="0"/>
              <w:rPr>
                <w:sz w:val="20"/>
              </w:rPr>
            </w:pPr>
            <w:r w:rsidRPr="00E1063A">
              <w:rPr>
                <w:sz w:val="20"/>
              </w:rPr>
              <w:t>Minimum standard?</w:t>
            </w:r>
          </w:p>
        </w:tc>
      </w:tr>
      <w:tr w:rsidR="004D7102" w:rsidRPr="00E1063A" w:rsidTr="009A34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auto"/>
              <w:left w:val="single" w:sz="4" w:space="0" w:color="auto"/>
              <w:bottom w:val="single" w:sz="4" w:space="0" w:color="auto"/>
              <w:right w:val="single" w:sz="4" w:space="0" w:color="auto"/>
            </w:tcBorders>
            <w:shd w:val="clear" w:color="auto" w:fill="auto"/>
          </w:tcPr>
          <w:p w:rsidR="004D7102" w:rsidRPr="00E1063A" w:rsidRDefault="004D7102" w:rsidP="00E1063A">
            <w:pPr>
              <w:pStyle w:val="Chapter3"/>
              <w:numPr>
                <w:ilvl w:val="0"/>
                <w:numId w:val="0"/>
              </w:numPr>
              <w:spacing w:after="140"/>
              <w:jc w:val="left"/>
              <w:rPr>
                <w:sz w:val="20"/>
              </w:rPr>
            </w:pPr>
            <w:r w:rsidRPr="00E1063A">
              <w:rPr>
                <w:sz w:val="20"/>
              </w:rPr>
              <w:t>Preventing the granting of treaty benefits in inappropriate circumstances (for example, treaty shopping)</w:t>
            </w:r>
          </w:p>
          <w:p w:rsidR="004D7102" w:rsidRPr="00E1063A" w:rsidRDefault="004D7102" w:rsidP="00E1063A">
            <w:pPr>
              <w:pStyle w:val="Chapter3"/>
              <w:numPr>
                <w:ilvl w:val="0"/>
                <w:numId w:val="0"/>
              </w:numPr>
              <w:spacing w:after="140"/>
              <w:jc w:val="left"/>
              <w:rPr>
                <w:b w:val="0"/>
                <w:sz w:val="20"/>
              </w:rPr>
            </w:pPr>
            <w:r w:rsidRPr="00E1063A">
              <w:rPr>
                <w:b w:val="0"/>
                <w:sz w:val="20"/>
              </w:rPr>
              <w:t>This will be achieved primarily by inserting a “principal purpose test” (PPT) or equivalent provision</w:t>
            </w:r>
            <w:r w:rsidR="00A12ACF">
              <w:rPr>
                <w:b w:val="0"/>
                <w:sz w:val="20"/>
              </w:rPr>
              <w:t xml:space="preserve"> into Covered Tax Agreements.</w:t>
            </w:r>
          </w:p>
          <w:p w:rsidR="004D7102" w:rsidRPr="00E1063A" w:rsidRDefault="004D7102" w:rsidP="00E1063A">
            <w:pPr>
              <w:pStyle w:val="Chapter3"/>
              <w:numPr>
                <w:ilvl w:val="0"/>
                <w:numId w:val="0"/>
              </w:numPr>
              <w:jc w:val="left"/>
              <w:rPr>
                <w:b w:val="0"/>
                <w:sz w:val="20"/>
              </w:rPr>
            </w:pPr>
            <w:r w:rsidRPr="00E1063A">
              <w:rPr>
                <w:b w:val="0"/>
                <w:sz w:val="20"/>
              </w:rPr>
              <w:t>The PPT is a treaty anti-abuse rule similar to our domestic law general anti-avoidance rule (GAAR) and New Zealand intends to adopt the PPT</w:t>
            </w:r>
            <w:r>
              <w:rPr>
                <w:b w:val="0"/>
                <w:sz w:val="20"/>
              </w:rPr>
              <w:t>.  T</w:t>
            </w:r>
            <w:r w:rsidRPr="00E1063A">
              <w:rPr>
                <w:b w:val="0"/>
                <w:sz w:val="20"/>
              </w:rPr>
              <w:t>his corresponds to Act</w:t>
            </w:r>
            <w:r w:rsidR="00A12ACF">
              <w:rPr>
                <w:b w:val="0"/>
                <w:sz w:val="20"/>
              </w:rPr>
              <w:t>ion 6 of the BEPS Action Plan.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7102" w:rsidRPr="00E1063A" w:rsidRDefault="004D7102" w:rsidP="00E1063A">
            <w:pPr>
              <w:pStyle w:val="Chapter3"/>
              <w:numPr>
                <w:ilvl w:val="0"/>
                <w:numId w:val="0"/>
              </w:numPr>
              <w:jc w:val="center"/>
              <w:cnfStyle w:val="000000100000" w:firstRow="0" w:lastRow="0" w:firstColumn="0" w:lastColumn="0" w:oddVBand="0" w:evenVBand="0" w:oddHBand="1" w:evenHBand="0" w:firstRowFirstColumn="0" w:firstRowLastColumn="0" w:lastRowFirstColumn="0" w:lastRowLastColumn="0"/>
              <w:rPr>
                <w:sz w:val="20"/>
              </w:rPr>
            </w:pPr>
            <w:r w:rsidRPr="00E1063A">
              <w:rPr>
                <w:sz w:val="20"/>
              </w:rPr>
              <w:t>Yes</w:t>
            </w:r>
          </w:p>
        </w:tc>
      </w:tr>
      <w:tr w:rsidR="004D7102" w:rsidRPr="00E1063A" w:rsidTr="009A34F3">
        <w:trPr>
          <w:cantSplit/>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auto"/>
              <w:left w:val="single" w:sz="4" w:space="0" w:color="auto"/>
              <w:bottom w:val="single" w:sz="4" w:space="0" w:color="auto"/>
              <w:right w:val="single" w:sz="4" w:space="0" w:color="auto"/>
            </w:tcBorders>
          </w:tcPr>
          <w:p w:rsidR="004D7102" w:rsidRPr="00E1063A" w:rsidRDefault="004D7102" w:rsidP="00E1063A">
            <w:pPr>
              <w:pStyle w:val="Chapter3"/>
              <w:numPr>
                <w:ilvl w:val="0"/>
                <w:numId w:val="0"/>
              </w:numPr>
              <w:spacing w:after="140"/>
              <w:jc w:val="left"/>
              <w:rPr>
                <w:sz w:val="20"/>
              </w:rPr>
            </w:pPr>
            <w:r w:rsidRPr="00E1063A">
              <w:rPr>
                <w:sz w:val="20"/>
              </w:rPr>
              <w:t xml:space="preserve">Preventing the artificial avoidance of </w:t>
            </w:r>
            <w:r>
              <w:rPr>
                <w:sz w:val="20"/>
              </w:rPr>
              <w:t>permanent establishment</w:t>
            </w:r>
            <w:r w:rsidRPr="00E1063A">
              <w:rPr>
                <w:sz w:val="20"/>
              </w:rPr>
              <w:t xml:space="preserve"> status</w:t>
            </w:r>
          </w:p>
          <w:p w:rsidR="004D7102" w:rsidRPr="00E1063A" w:rsidRDefault="004D7102" w:rsidP="00E1063A">
            <w:pPr>
              <w:pStyle w:val="Chapter3"/>
              <w:numPr>
                <w:ilvl w:val="0"/>
                <w:numId w:val="0"/>
              </w:numPr>
              <w:spacing w:after="140"/>
              <w:jc w:val="left"/>
              <w:rPr>
                <w:b w:val="0"/>
                <w:sz w:val="20"/>
              </w:rPr>
            </w:pPr>
            <w:r w:rsidRPr="00E1063A">
              <w:rPr>
                <w:b w:val="0"/>
                <w:sz w:val="20"/>
              </w:rPr>
              <w:t>Unless a multinational’s activity in a jurisdiction reaches a sufficient threshold level known as a PE, that jurisdiction cannot tax any business prof</w:t>
            </w:r>
            <w:r w:rsidR="00A12ACF">
              <w:rPr>
                <w:b w:val="0"/>
                <w:sz w:val="20"/>
              </w:rPr>
              <w:t>its made by that multinational.</w:t>
            </w:r>
          </w:p>
          <w:p w:rsidR="004D7102" w:rsidRPr="00E1063A" w:rsidRDefault="004D7102" w:rsidP="00E1063A">
            <w:pPr>
              <w:pStyle w:val="Chapter3"/>
              <w:numPr>
                <w:ilvl w:val="0"/>
                <w:numId w:val="0"/>
              </w:numPr>
              <w:spacing w:after="140"/>
              <w:jc w:val="left"/>
              <w:rPr>
                <w:b w:val="0"/>
                <w:sz w:val="20"/>
              </w:rPr>
            </w:pPr>
            <w:r w:rsidRPr="00E1063A">
              <w:rPr>
                <w:b w:val="0"/>
                <w:sz w:val="20"/>
              </w:rPr>
              <w:t xml:space="preserve">If a multinational is able to avoid having a PE in a jurisdiction, then it can avoid paying tax on its profits in that jurisdiction.  DTAs contain the definition of a PE and this needs to be strengthened to prevent </w:t>
            </w:r>
            <w:r w:rsidR="00A12ACF">
              <w:rPr>
                <w:b w:val="0"/>
                <w:sz w:val="20"/>
              </w:rPr>
              <w:t>entities structuring around it.</w:t>
            </w:r>
          </w:p>
          <w:p w:rsidR="004D7102" w:rsidRPr="00E1063A" w:rsidRDefault="004D7102" w:rsidP="00E1063A">
            <w:pPr>
              <w:pStyle w:val="Chapter3"/>
              <w:numPr>
                <w:ilvl w:val="0"/>
                <w:numId w:val="0"/>
              </w:numPr>
              <w:jc w:val="left"/>
              <w:rPr>
                <w:b w:val="0"/>
                <w:sz w:val="20"/>
              </w:rPr>
            </w:pPr>
            <w:r w:rsidRPr="00E1063A">
              <w:rPr>
                <w:b w:val="0"/>
                <w:sz w:val="20"/>
              </w:rPr>
              <w:t>This corresponds to Ac</w:t>
            </w:r>
            <w:r>
              <w:rPr>
                <w:b w:val="0"/>
                <w:sz w:val="20"/>
              </w:rPr>
              <w:t>tion 7 of the BEPS Action Plan.</w:t>
            </w:r>
          </w:p>
        </w:tc>
        <w:tc>
          <w:tcPr>
            <w:tcW w:w="1843" w:type="dxa"/>
            <w:tcBorders>
              <w:top w:val="single" w:sz="4" w:space="0" w:color="auto"/>
              <w:left w:val="single" w:sz="4" w:space="0" w:color="auto"/>
              <w:bottom w:val="single" w:sz="4" w:space="0" w:color="auto"/>
              <w:right w:val="single" w:sz="4" w:space="0" w:color="auto"/>
            </w:tcBorders>
          </w:tcPr>
          <w:p w:rsidR="004D7102" w:rsidRPr="00E1063A" w:rsidRDefault="004D7102" w:rsidP="00E1063A">
            <w:pPr>
              <w:pStyle w:val="Chapter3"/>
              <w:numPr>
                <w:ilvl w:val="0"/>
                <w:numId w:val="0"/>
              </w:numPr>
              <w:jc w:val="center"/>
              <w:cnfStyle w:val="000000000000" w:firstRow="0" w:lastRow="0" w:firstColumn="0" w:lastColumn="0" w:oddVBand="0" w:evenVBand="0" w:oddHBand="0" w:evenHBand="0" w:firstRowFirstColumn="0" w:firstRowLastColumn="0" w:lastRowFirstColumn="0" w:lastRowLastColumn="0"/>
              <w:rPr>
                <w:sz w:val="20"/>
              </w:rPr>
            </w:pPr>
            <w:r w:rsidRPr="00E1063A">
              <w:rPr>
                <w:sz w:val="20"/>
              </w:rPr>
              <w:t>No</w:t>
            </w:r>
          </w:p>
        </w:tc>
      </w:tr>
      <w:tr w:rsidR="004D7102" w:rsidRPr="00E1063A" w:rsidTr="009A34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auto"/>
              <w:left w:val="single" w:sz="4" w:space="0" w:color="auto"/>
              <w:bottom w:val="single" w:sz="4" w:space="0" w:color="auto"/>
              <w:right w:val="single" w:sz="4" w:space="0" w:color="auto"/>
            </w:tcBorders>
            <w:shd w:val="clear" w:color="auto" w:fill="auto"/>
          </w:tcPr>
          <w:p w:rsidR="004D7102" w:rsidRPr="00E1063A" w:rsidRDefault="004D7102" w:rsidP="00E1063A">
            <w:pPr>
              <w:pStyle w:val="Chapter3"/>
              <w:numPr>
                <w:ilvl w:val="0"/>
                <w:numId w:val="0"/>
              </w:numPr>
              <w:spacing w:after="140"/>
              <w:jc w:val="left"/>
              <w:rPr>
                <w:sz w:val="20"/>
              </w:rPr>
            </w:pPr>
            <w:r w:rsidRPr="00E1063A">
              <w:rPr>
                <w:sz w:val="20"/>
              </w:rPr>
              <w:t>Neutralising the effects of hybrid mismatch entities</w:t>
            </w:r>
          </w:p>
          <w:p w:rsidR="004D7102" w:rsidRPr="00E1063A" w:rsidRDefault="004D7102" w:rsidP="00E1063A">
            <w:pPr>
              <w:pStyle w:val="Chapter3"/>
              <w:numPr>
                <w:ilvl w:val="0"/>
                <w:numId w:val="0"/>
              </w:numPr>
              <w:spacing w:after="140"/>
              <w:jc w:val="left"/>
              <w:rPr>
                <w:b w:val="0"/>
                <w:sz w:val="20"/>
              </w:rPr>
            </w:pPr>
            <w:r w:rsidRPr="00E1063A">
              <w:rPr>
                <w:b w:val="0"/>
                <w:sz w:val="20"/>
              </w:rPr>
              <w:t>These arrangements allow multinationals to structure their commercial arrangements to pay little or no tax by arbitraging the different domestic law treatment of certain instruments and e</w:t>
            </w:r>
            <w:r w:rsidR="00A12ACF">
              <w:rPr>
                <w:b w:val="0"/>
                <w:sz w:val="20"/>
              </w:rPr>
              <w:t>ntities between jurisdictions.</w:t>
            </w:r>
          </w:p>
          <w:p w:rsidR="004D7102" w:rsidRPr="00E1063A" w:rsidRDefault="004D7102" w:rsidP="00E1063A">
            <w:pPr>
              <w:pStyle w:val="Chapter3"/>
              <w:numPr>
                <w:ilvl w:val="0"/>
                <w:numId w:val="0"/>
              </w:numPr>
              <w:spacing w:after="140"/>
              <w:jc w:val="left"/>
              <w:rPr>
                <w:b w:val="0"/>
                <w:sz w:val="20"/>
              </w:rPr>
            </w:pPr>
            <w:r w:rsidRPr="00E1063A">
              <w:rPr>
                <w:b w:val="0"/>
                <w:sz w:val="20"/>
              </w:rPr>
              <w:t>For example, one jurisdiction may see income as being derived by a partnership as an entity, whereas another jurisdiction may treat that income as being derived directly by the underlying partners (that is, they disregard or</w:t>
            </w:r>
            <w:r w:rsidR="00A12ACF">
              <w:rPr>
                <w:b w:val="0"/>
                <w:sz w:val="20"/>
              </w:rPr>
              <w:t xml:space="preserve"> look-through the partnership).</w:t>
            </w:r>
          </w:p>
          <w:p w:rsidR="004D7102" w:rsidRPr="00E1063A" w:rsidRDefault="004D7102" w:rsidP="00E1063A">
            <w:pPr>
              <w:pStyle w:val="Chapter3"/>
              <w:numPr>
                <w:ilvl w:val="0"/>
                <w:numId w:val="0"/>
              </w:numPr>
              <w:jc w:val="left"/>
              <w:rPr>
                <w:b w:val="0"/>
                <w:sz w:val="20"/>
              </w:rPr>
            </w:pPr>
            <w:r w:rsidRPr="00E1063A">
              <w:rPr>
                <w:b w:val="0"/>
                <w:sz w:val="20"/>
              </w:rPr>
              <w:t>The changes implemented through the MLI complement the domestic law changes outlined in the recently released officials’ issues paper on hybrid mismatch arrangements</w:t>
            </w:r>
            <w:r>
              <w:rPr>
                <w:b w:val="0"/>
                <w:sz w:val="20"/>
              </w:rPr>
              <w:t>.  T</w:t>
            </w:r>
            <w:r w:rsidRPr="00E1063A">
              <w:rPr>
                <w:b w:val="0"/>
                <w:sz w:val="20"/>
              </w:rPr>
              <w:t>his corresponds to Action 2 of the BEPS Action Plan.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7102" w:rsidRPr="00E1063A" w:rsidRDefault="004D7102" w:rsidP="00E1063A">
            <w:pPr>
              <w:pStyle w:val="Chapter3"/>
              <w:numPr>
                <w:ilvl w:val="0"/>
                <w:numId w:val="0"/>
              </w:numPr>
              <w:jc w:val="center"/>
              <w:cnfStyle w:val="000000100000" w:firstRow="0" w:lastRow="0" w:firstColumn="0" w:lastColumn="0" w:oddVBand="0" w:evenVBand="0" w:oddHBand="1" w:evenHBand="0" w:firstRowFirstColumn="0" w:firstRowLastColumn="0" w:lastRowFirstColumn="0" w:lastRowLastColumn="0"/>
              <w:rPr>
                <w:sz w:val="20"/>
              </w:rPr>
            </w:pPr>
            <w:r w:rsidRPr="00E1063A">
              <w:rPr>
                <w:sz w:val="20"/>
              </w:rPr>
              <w:t>No</w:t>
            </w:r>
          </w:p>
        </w:tc>
      </w:tr>
      <w:tr w:rsidR="004D7102" w:rsidRPr="00E1063A" w:rsidTr="009A34F3">
        <w:trPr>
          <w:cantSplit/>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auto"/>
              <w:left w:val="single" w:sz="4" w:space="0" w:color="auto"/>
              <w:bottom w:val="single" w:sz="4" w:space="0" w:color="auto"/>
              <w:right w:val="single" w:sz="4" w:space="0" w:color="auto"/>
            </w:tcBorders>
          </w:tcPr>
          <w:p w:rsidR="004D7102" w:rsidRPr="00E1063A" w:rsidRDefault="004D7102" w:rsidP="00E1063A">
            <w:pPr>
              <w:pStyle w:val="Chapter3"/>
              <w:numPr>
                <w:ilvl w:val="0"/>
                <w:numId w:val="0"/>
              </w:numPr>
              <w:spacing w:after="140"/>
              <w:jc w:val="left"/>
              <w:rPr>
                <w:sz w:val="20"/>
              </w:rPr>
            </w:pPr>
            <w:r w:rsidRPr="00E1063A">
              <w:rPr>
                <w:sz w:val="20"/>
              </w:rPr>
              <w:t>Providing improved mechanisms for effective dispute resolution</w:t>
            </w:r>
          </w:p>
          <w:p w:rsidR="004D7102" w:rsidRPr="00E1063A" w:rsidRDefault="004D7102" w:rsidP="00E1063A">
            <w:pPr>
              <w:pStyle w:val="Chapter3"/>
              <w:numPr>
                <w:ilvl w:val="0"/>
                <w:numId w:val="0"/>
              </w:numPr>
              <w:spacing w:after="140"/>
              <w:jc w:val="left"/>
              <w:rPr>
                <w:b w:val="0"/>
                <w:sz w:val="20"/>
              </w:rPr>
            </w:pPr>
            <w:r w:rsidRPr="00E1063A">
              <w:rPr>
                <w:b w:val="0"/>
                <w:sz w:val="20"/>
              </w:rPr>
              <w:t>This is a taxpayer-friendly measure allowing for mandatory binding arbitration of disagreements between competent authorities (CAs).  It recognises the fact that measures to counter BEPS should not lead to unnecessary uncertainty for compliant taxpayers and to unintended double taxation</w:t>
            </w:r>
            <w:r>
              <w:rPr>
                <w:b w:val="0"/>
                <w:sz w:val="20"/>
              </w:rPr>
              <w:t>.  I</w:t>
            </w:r>
            <w:r w:rsidRPr="00E1063A">
              <w:rPr>
                <w:b w:val="0"/>
                <w:sz w:val="20"/>
              </w:rPr>
              <w:t>mproving dispute resolution mechanisms is therefore an integral compone</w:t>
            </w:r>
            <w:r w:rsidR="00A12ACF">
              <w:rPr>
                <w:b w:val="0"/>
                <w:sz w:val="20"/>
              </w:rPr>
              <w:t>nt of the work on BEPS issues.</w:t>
            </w:r>
          </w:p>
          <w:p w:rsidR="004D7102" w:rsidRPr="00E1063A" w:rsidRDefault="004D7102" w:rsidP="00E1063A">
            <w:pPr>
              <w:pStyle w:val="Chapter3"/>
              <w:numPr>
                <w:ilvl w:val="0"/>
                <w:numId w:val="0"/>
              </w:numPr>
              <w:jc w:val="left"/>
              <w:rPr>
                <w:b w:val="0"/>
                <w:sz w:val="20"/>
              </w:rPr>
            </w:pPr>
            <w:r w:rsidRPr="00E1063A">
              <w:rPr>
                <w:b w:val="0"/>
                <w:sz w:val="20"/>
              </w:rPr>
              <w:t>The changes in the MLI will improve the MAP – which allows taxpayers to ask the CAs of each treaty partner to agree the correct interpretation and application of a DTA in a particular case – and will also allow the taxpayer to refer the case to an independent arbitrator (or panel of arbitrators) if the CAs cannot agree on the correct treaty position.  This corresponds to Act</w:t>
            </w:r>
            <w:r>
              <w:rPr>
                <w:b w:val="0"/>
                <w:sz w:val="20"/>
              </w:rPr>
              <w:t>ion 14 of the BEPS Action Plan.</w:t>
            </w:r>
          </w:p>
        </w:tc>
        <w:tc>
          <w:tcPr>
            <w:tcW w:w="1843" w:type="dxa"/>
            <w:tcBorders>
              <w:top w:val="single" w:sz="4" w:space="0" w:color="auto"/>
              <w:left w:val="single" w:sz="4" w:space="0" w:color="auto"/>
              <w:bottom w:val="single" w:sz="4" w:space="0" w:color="auto"/>
              <w:right w:val="single" w:sz="4" w:space="0" w:color="auto"/>
            </w:tcBorders>
          </w:tcPr>
          <w:p w:rsidR="004D7102" w:rsidRPr="00E1063A" w:rsidRDefault="004D7102" w:rsidP="00E1063A">
            <w:pPr>
              <w:pStyle w:val="Chapter3"/>
              <w:numPr>
                <w:ilvl w:val="0"/>
                <w:numId w:val="0"/>
              </w:numPr>
              <w:jc w:val="center"/>
              <w:cnfStyle w:val="000000000000" w:firstRow="0" w:lastRow="0" w:firstColumn="0" w:lastColumn="0" w:oddVBand="0" w:evenVBand="0" w:oddHBand="0" w:evenHBand="0" w:firstRowFirstColumn="0" w:firstRowLastColumn="0" w:lastRowFirstColumn="0" w:lastRowLastColumn="0"/>
              <w:rPr>
                <w:sz w:val="20"/>
              </w:rPr>
            </w:pPr>
            <w:r w:rsidRPr="00E1063A">
              <w:rPr>
                <w:sz w:val="20"/>
              </w:rPr>
              <w:t>Yes</w:t>
            </w:r>
          </w:p>
          <w:p w:rsidR="004D7102" w:rsidRPr="00E1063A" w:rsidRDefault="004D7102" w:rsidP="00E1063A">
            <w:pPr>
              <w:pStyle w:val="Chapter3"/>
              <w:numPr>
                <w:ilvl w:val="0"/>
                <w:numId w:val="0"/>
              </w:numPr>
              <w:jc w:val="center"/>
              <w:cnfStyle w:val="000000000000" w:firstRow="0" w:lastRow="0" w:firstColumn="0" w:lastColumn="0" w:oddVBand="0" w:evenVBand="0" w:oddHBand="0" w:evenHBand="0" w:firstRowFirstColumn="0" w:firstRowLastColumn="0" w:lastRowFirstColumn="0" w:lastRowLastColumn="0"/>
              <w:rPr>
                <w:sz w:val="20"/>
              </w:rPr>
            </w:pPr>
            <w:r w:rsidRPr="00E1063A">
              <w:rPr>
                <w:sz w:val="20"/>
              </w:rPr>
              <w:t>(in respect of MAP only, arbitration is optional)</w:t>
            </w:r>
          </w:p>
        </w:tc>
      </w:tr>
    </w:tbl>
    <w:p w:rsidR="009A69C6" w:rsidRPr="00A12ACF" w:rsidRDefault="009A69C6" w:rsidP="00A12ACF"/>
    <w:p w:rsidR="00E6268D" w:rsidRPr="00A12ACF" w:rsidRDefault="00E6268D" w:rsidP="00A12ACF"/>
    <w:p w:rsidR="00A315ED" w:rsidRDefault="00A315ED">
      <w:pPr>
        <w:jc w:val="left"/>
        <w:rPr>
          <w:rFonts w:ascii="Times New Roman Bold" w:hAnsi="Times New Roman Bold"/>
          <w:b/>
          <w:bCs/>
          <w:caps/>
          <w:sz w:val="28"/>
          <w:szCs w:val="28"/>
          <w:lang w:val="en-NZ"/>
        </w:rPr>
      </w:pPr>
      <w:bookmarkStart w:id="57" w:name="_Toc147568004"/>
      <w:bookmarkStart w:id="58" w:name="_Toc473032385"/>
      <w:bookmarkStart w:id="59" w:name="_Toc473032420"/>
      <w:r>
        <w:rPr>
          <w:lang w:val="en-NZ"/>
        </w:rPr>
        <w:br w:type="page"/>
      </w:r>
    </w:p>
    <w:p w:rsidR="00CA33EC" w:rsidRPr="00E1063A" w:rsidRDefault="001005B7" w:rsidP="00E1063A">
      <w:pPr>
        <w:pStyle w:val="Chapterheading"/>
      </w:pPr>
      <w:bookmarkStart w:id="60" w:name="_Toc473124498"/>
      <w:bookmarkStart w:id="61" w:name="_Toc473124538"/>
      <w:bookmarkStart w:id="62" w:name="_Toc473210908"/>
      <w:bookmarkStart w:id="63" w:name="_Toc474739895"/>
      <w:bookmarkStart w:id="64" w:name="_Toc474739955"/>
      <w:bookmarkStart w:id="65" w:name="_Toc474745533"/>
      <w:bookmarkStart w:id="66" w:name="_Toc474747056"/>
      <w:bookmarkStart w:id="67" w:name="_Toc474749614"/>
      <w:bookmarkStart w:id="68" w:name="_Toc475001351"/>
      <w:bookmarkStart w:id="69" w:name="_Toc476143764"/>
      <w:bookmarkStart w:id="70" w:name="_Toc476145498"/>
      <w:bookmarkStart w:id="71" w:name="_Toc476153898"/>
      <w:r w:rsidRPr="00E1063A">
        <w:t xml:space="preserve">CHAPTER </w:t>
      </w:r>
      <w:r w:rsidR="00CA33EC" w:rsidRPr="00E1063A">
        <w:t>4</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CA33EC" w:rsidRPr="00E1063A" w:rsidRDefault="00CA33EC" w:rsidP="00E1063A">
      <w:pPr>
        <w:pStyle w:val="Chapterheading"/>
      </w:pPr>
    </w:p>
    <w:p w:rsidR="00CA33EC" w:rsidRPr="00E1063A" w:rsidRDefault="00E1063A" w:rsidP="00E1063A">
      <w:pPr>
        <w:pStyle w:val="Chapterheading"/>
      </w:pPr>
      <w:bookmarkStart w:id="72" w:name="_Toc476153899"/>
      <w:r>
        <w:rPr>
          <w:caps w:val="0"/>
        </w:rPr>
        <w:t>I</w:t>
      </w:r>
      <w:r w:rsidRPr="00E1063A">
        <w:rPr>
          <w:caps w:val="0"/>
        </w:rPr>
        <w:t>mplementation and entry into effect</w:t>
      </w:r>
      <w:bookmarkEnd w:id="72"/>
    </w:p>
    <w:p w:rsidR="00CA33EC" w:rsidRDefault="00CA33EC" w:rsidP="00E1063A"/>
    <w:p w:rsidR="00E1063A" w:rsidRPr="00382E2E" w:rsidRDefault="00E1063A" w:rsidP="00E1063A"/>
    <w:p w:rsidR="00CA33EC" w:rsidRPr="001B2CD9" w:rsidRDefault="001B2CD9" w:rsidP="00E1063A">
      <w:pPr>
        <w:pStyle w:val="Heading1"/>
        <w:rPr>
          <w:lang w:val="en-NZ"/>
        </w:rPr>
      </w:pPr>
      <w:bookmarkStart w:id="73" w:name="_Toc476153900"/>
      <w:r w:rsidRPr="001B2CD9">
        <w:rPr>
          <w:lang w:val="en-NZ"/>
        </w:rPr>
        <w:t>Signature and ratification</w:t>
      </w:r>
      <w:bookmarkEnd w:id="73"/>
    </w:p>
    <w:p w:rsidR="001B2CD9" w:rsidRPr="00F36FF2" w:rsidRDefault="001B2CD9" w:rsidP="00CA33EC">
      <w:pPr>
        <w:pStyle w:val="Chapter1"/>
        <w:numPr>
          <w:ilvl w:val="0"/>
          <w:numId w:val="0"/>
        </w:numPr>
      </w:pPr>
    </w:p>
    <w:p w:rsidR="001B2CD9" w:rsidRDefault="001B2CD9" w:rsidP="00EB51B1">
      <w:pPr>
        <w:pStyle w:val="Chapter4"/>
      </w:pPr>
      <w:r>
        <w:t>The MLI will be signed by a number of participating jurisdictions in June 2017</w:t>
      </w:r>
      <w:r w:rsidR="002D1F3E">
        <w:t>.  A</w:t>
      </w:r>
      <w:r w:rsidR="0085142B">
        <w:t>t the time of signature, a list of reservations, notifications and choices will be provided to the OECD Depository.</w:t>
      </w:r>
      <w:r w:rsidR="005C2F8C" w:rsidRPr="00B40251">
        <w:rPr>
          <w:rStyle w:val="FootnoteReference"/>
          <w:sz w:val="24"/>
          <w:szCs w:val="24"/>
        </w:rPr>
        <w:footnoteReference w:id="4"/>
      </w:r>
      <w:r w:rsidR="00EA3270">
        <w:t xml:space="preserve">  Jurisdictions will also be able to sign up to the MLI at a later date.</w:t>
      </w:r>
    </w:p>
    <w:p w:rsidR="005C2F8C" w:rsidRPr="00287272" w:rsidRDefault="005C2F8C" w:rsidP="00287272"/>
    <w:p w:rsidR="001B2CD9" w:rsidRDefault="001B2CD9" w:rsidP="00EB51B1">
      <w:pPr>
        <w:pStyle w:val="Chapter4"/>
      </w:pPr>
      <w:r>
        <w:t xml:space="preserve">After signing, the MLI will need to go through New Zealand’s domestic </w:t>
      </w:r>
      <w:r w:rsidR="00975A84">
        <w:t>treaty</w:t>
      </w:r>
      <w:r w:rsidR="004D7102">
        <w:t>-</w:t>
      </w:r>
      <w:r w:rsidR="00975A84">
        <w:t xml:space="preserve">making </w:t>
      </w:r>
      <w:r>
        <w:t>process</w:t>
      </w:r>
      <w:r w:rsidR="002D1F3E">
        <w:t>.  T</w:t>
      </w:r>
      <w:r>
        <w:t>his will be the same process as for DTAs and amending protocols.  Recent amendments to section BH 1 of the Income Tax Act 2007 – the empowering provision for New Zealand’s DTAs – make it clear that multilateral agreements can be i</w:t>
      </w:r>
      <w:r w:rsidR="00A12ACF">
        <w:t>mplemented under this section.</w:t>
      </w:r>
    </w:p>
    <w:p w:rsidR="001B2CD9" w:rsidRPr="00287272" w:rsidRDefault="001B2CD9" w:rsidP="00287272"/>
    <w:p w:rsidR="0085142B" w:rsidRDefault="001B2CD9" w:rsidP="00EB51B1">
      <w:pPr>
        <w:pStyle w:val="Chapter4"/>
      </w:pPr>
      <w:r>
        <w:t xml:space="preserve">This </w:t>
      </w:r>
      <w:r w:rsidR="00975A84">
        <w:t>treaty</w:t>
      </w:r>
      <w:r w:rsidR="004D7102">
        <w:t>-</w:t>
      </w:r>
      <w:r w:rsidR="00975A84">
        <w:t xml:space="preserve">making </w:t>
      </w:r>
      <w:r>
        <w:t xml:space="preserve">process will involve </w:t>
      </w:r>
      <w:r w:rsidR="00975A84">
        <w:t xml:space="preserve">the tabling </w:t>
      </w:r>
      <w:r>
        <w:t xml:space="preserve">of the </w:t>
      </w:r>
      <w:r w:rsidRPr="00302A2D">
        <w:t xml:space="preserve">MLI and </w:t>
      </w:r>
      <w:r>
        <w:t>a national interest analysis (</w:t>
      </w:r>
      <w:r w:rsidRPr="00302A2D">
        <w:t>NIA</w:t>
      </w:r>
      <w:r>
        <w:t>)</w:t>
      </w:r>
      <w:r w:rsidRPr="00302A2D">
        <w:t xml:space="preserve"> </w:t>
      </w:r>
      <w:r w:rsidR="00975A84">
        <w:t>in the House of Representative</w:t>
      </w:r>
      <w:r w:rsidR="008F2218">
        <w:t>s</w:t>
      </w:r>
      <w:r w:rsidRPr="00302A2D">
        <w:t xml:space="preserve"> for treaty examination</w:t>
      </w:r>
      <w:r>
        <w:t xml:space="preserve">.  </w:t>
      </w:r>
      <w:r w:rsidR="0085142B">
        <w:t>Following consideration by Select Committee, a</w:t>
      </w:r>
      <w:r>
        <w:t xml:space="preserve">n </w:t>
      </w:r>
      <w:r w:rsidRPr="00302A2D">
        <w:t>O</w:t>
      </w:r>
      <w:r>
        <w:t xml:space="preserve">rder in Council will be submitted to Cabinet for approval and once this is in force, New Zealand will formally ratify the </w:t>
      </w:r>
      <w:r w:rsidRPr="00302A2D">
        <w:t>MLI by submitting an instrument of ratification</w:t>
      </w:r>
      <w:r>
        <w:t xml:space="preserve"> to the OECD Depository</w:t>
      </w:r>
      <w:r w:rsidRPr="00302A2D">
        <w:t>.</w:t>
      </w:r>
      <w:r w:rsidR="0085142B">
        <w:t xml:space="preserve"> </w:t>
      </w:r>
      <w:r w:rsidR="00804D55">
        <w:t xml:space="preserve"> </w:t>
      </w:r>
      <w:r w:rsidR="0085142B">
        <w:t>At the time of ratification, New Zealand must confirm its list of reservations, notifications and choices.</w:t>
      </w:r>
    </w:p>
    <w:p w:rsidR="00FA6D4B" w:rsidRPr="00287272" w:rsidRDefault="00FA6D4B" w:rsidP="00287272"/>
    <w:p w:rsidR="00FA6D4B" w:rsidRDefault="00FA6D4B" w:rsidP="00EB51B1">
      <w:pPr>
        <w:pStyle w:val="Chapter4"/>
      </w:pPr>
      <w:r>
        <w:t xml:space="preserve">After this point in time, jurisdictions are able to </w:t>
      </w:r>
      <w:r w:rsidR="00547A47">
        <w:t>add new DTAs a</w:t>
      </w:r>
      <w:r w:rsidR="00975A84">
        <w:t>s</w:t>
      </w:r>
      <w:r w:rsidR="00547A47">
        <w:t xml:space="preserve"> Covered Tax Agreements</w:t>
      </w:r>
      <w:r w:rsidR="00975A84">
        <w:t xml:space="preserve"> and</w:t>
      </w:r>
      <w:r w:rsidR="00547A47">
        <w:t xml:space="preserve"> </w:t>
      </w:r>
      <w:r>
        <w:t>withdraw</w:t>
      </w:r>
      <w:r w:rsidRPr="0050650D">
        <w:t xml:space="preserve"> their res</w:t>
      </w:r>
      <w:r>
        <w:t xml:space="preserve">ervations (or enter more limited reservations), but are unable to enter new reservations.  The effect of this is that, following ratification, </w:t>
      </w:r>
      <w:r w:rsidR="009A6F09">
        <w:t xml:space="preserve">New Zealand (and other) </w:t>
      </w:r>
      <w:r>
        <w:t>jurisdictions can expand, but not narrow, the application of the MLI to their DTA network.</w:t>
      </w:r>
    </w:p>
    <w:p w:rsidR="001B2CD9" w:rsidRPr="00287272" w:rsidRDefault="001B2CD9" w:rsidP="00287272"/>
    <w:p w:rsidR="00E1063A" w:rsidRPr="00287272" w:rsidRDefault="00E1063A" w:rsidP="00287272"/>
    <w:p w:rsidR="00C96B5E" w:rsidRPr="001B2CD9" w:rsidRDefault="00547A47" w:rsidP="00E1063A">
      <w:pPr>
        <w:pStyle w:val="Heading1"/>
        <w:rPr>
          <w:lang w:val="en-NZ"/>
        </w:rPr>
      </w:pPr>
      <w:bookmarkStart w:id="74" w:name="_Toc476153901"/>
      <w:r>
        <w:rPr>
          <w:lang w:val="en-NZ"/>
        </w:rPr>
        <w:t>Entry into force</w:t>
      </w:r>
      <w:bookmarkEnd w:id="74"/>
    </w:p>
    <w:p w:rsidR="001B2CD9" w:rsidRDefault="001B2CD9" w:rsidP="001B2CD9">
      <w:pPr>
        <w:pStyle w:val="ListParagraph"/>
      </w:pPr>
    </w:p>
    <w:p w:rsidR="00547A47" w:rsidRPr="00547A47" w:rsidRDefault="008F2218" w:rsidP="00EB51B1">
      <w:pPr>
        <w:pStyle w:val="Chapter4"/>
      </w:pPr>
      <w:r>
        <w:t>The MLI will enter into force generally (in its own right) and for the states that have ratified it</w:t>
      </w:r>
      <w:r w:rsidR="009A6F09">
        <w:t>,</w:t>
      </w:r>
      <w:r>
        <w:t xml:space="preserve"> three to four months after the </w:t>
      </w:r>
      <w:r w:rsidRPr="00701A75">
        <w:t xml:space="preserve">fifth </w:t>
      </w:r>
      <w:r w:rsidR="009D6BEA">
        <w:t xml:space="preserve">jurisdiction </w:t>
      </w:r>
      <w:r>
        <w:t>has ratified</w:t>
      </w:r>
      <w:r w:rsidR="009D6BEA">
        <w:t xml:space="preserve"> the MLI</w:t>
      </w:r>
      <w:r>
        <w:t>.</w:t>
      </w:r>
    </w:p>
    <w:p w:rsidR="00547A47" w:rsidRPr="00287272" w:rsidRDefault="00547A47" w:rsidP="00287272"/>
    <w:p w:rsidR="00547A47" w:rsidRPr="00547A47" w:rsidRDefault="00547A47" w:rsidP="00EB51B1">
      <w:pPr>
        <w:pStyle w:val="Chapter4"/>
      </w:pPr>
      <w:r>
        <w:t>For each jurisdiction ratifying the MLI after it has entered into force, it will enter into force three to four months after that jurisdiction deposits its instrument of ratification.</w:t>
      </w:r>
    </w:p>
    <w:p w:rsidR="00547A47" w:rsidRPr="00287272" w:rsidRDefault="00547A47" w:rsidP="00287272"/>
    <w:p w:rsidR="00E1063A" w:rsidRDefault="00E1063A">
      <w:pPr>
        <w:jc w:val="left"/>
        <w:rPr>
          <w:snapToGrid w:val="0"/>
          <w:sz w:val="23"/>
          <w:szCs w:val="23"/>
          <w:lang w:val="en-NZ" w:eastAsia="en-US"/>
        </w:rPr>
      </w:pPr>
      <w:r>
        <w:rPr>
          <w:sz w:val="23"/>
          <w:szCs w:val="23"/>
        </w:rPr>
        <w:br w:type="page"/>
      </w:r>
    </w:p>
    <w:p w:rsidR="00547A47" w:rsidRPr="00547A47" w:rsidRDefault="00547A47" w:rsidP="00EB51B1">
      <w:pPr>
        <w:pStyle w:val="Chapter4"/>
      </w:pPr>
      <w:r>
        <w:t>This entry into force does not mean that a jurisdiction’s Covered Tax Agreements are modified by the MLI at this point in time.  For a specific Covered Tax Agreement to be modified by the MLI, the MLI must have come into effect for that Covered Tax Agreement.</w:t>
      </w:r>
    </w:p>
    <w:p w:rsidR="00547A47" w:rsidRPr="00287272" w:rsidRDefault="00547A47" w:rsidP="00287272"/>
    <w:p w:rsidR="00547A47" w:rsidRPr="00287272" w:rsidRDefault="00547A47" w:rsidP="00287272"/>
    <w:p w:rsidR="00547A47" w:rsidRDefault="00547A47" w:rsidP="00E1063A">
      <w:pPr>
        <w:pStyle w:val="Heading1"/>
        <w:rPr>
          <w:lang w:val="en-NZ"/>
        </w:rPr>
      </w:pPr>
      <w:bookmarkStart w:id="75" w:name="_Toc476153902"/>
      <w:r>
        <w:rPr>
          <w:lang w:val="en-NZ"/>
        </w:rPr>
        <w:t>Entry into effect for a specific Covered Tax Agreement</w:t>
      </w:r>
      <w:bookmarkEnd w:id="75"/>
    </w:p>
    <w:p w:rsidR="00547A47" w:rsidRPr="00547A47" w:rsidRDefault="00547A47" w:rsidP="00547A47">
      <w:pPr>
        <w:rPr>
          <w:lang w:val="en-NZ"/>
        </w:rPr>
      </w:pPr>
    </w:p>
    <w:p w:rsidR="00547A47" w:rsidRDefault="00547A47" w:rsidP="00EB51B1">
      <w:pPr>
        <w:pStyle w:val="Chapter4"/>
      </w:pPr>
      <w:r>
        <w:t>The MLI will enter into effect</w:t>
      </w:r>
      <w:r w:rsidR="001B2CD9">
        <w:t xml:space="preserve"> to modify</w:t>
      </w:r>
      <w:r w:rsidR="001B2CD9" w:rsidRPr="004D1D24">
        <w:t xml:space="preserve"> each bilateral DTA</w:t>
      </w:r>
      <w:r>
        <w:t>, on a phased-in basis,</w:t>
      </w:r>
      <w:r w:rsidR="001B2CD9" w:rsidRPr="004D1D24">
        <w:t xml:space="preserve"> once both parties </w:t>
      </w:r>
      <w:r w:rsidR="00E27769">
        <w:t xml:space="preserve">to the DTA </w:t>
      </w:r>
      <w:r w:rsidR="001B2CD9" w:rsidRPr="004D1D24">
        <w:t>hav</w:t>
      </w:r>
      <w:r w:rsidR="00A12ACF">
        <w:t>e signed and ratified the MLI.</w:t>
      </w:r>
    </w:p>
    <w:p w:rsidR="00547A47" w:rsidRPr="00287272" w:rsidRDefault="00547A47" w:rsidP="00287272"/>
    <w:p w:rsidR="006A3BDB" w:rsidRDefault="006A3BDB" w:rsidP="00701A75">
      <w:pPr>
        <w:pStyle w:val="Chapter4"/>
      </w:pPr>
      <w:r>
        <w:t>F</w:t>
      </w:r>
      <w:r w:rsidR="00F12337">
        <w:t xml:space="preserve">or </w:t>
      </w:r>
      <w:r w:rsidR="001B2CD9" w:rsidRPr="004D1D24">
        <w:t>withholding tax</w:t>
      </w:r>
      <w:r w:rsidR="00F12337">
        <w:t xml:space="preserve">, it will apply where the event giving rise to the tax occurs on or after </w:t>
      </w:r>
      <w:r w:rsidR="0050650D">
        <w:t>1 January</w:t>
      </w:r>
      <w:r w:rsidR="00F12337">
        <w:t xml:space="preserve"> of the next calendar year beginning on or after the latest date on which the Convention enters into force for each of the parties to the Covered Tax Agreement</w:t>
      </w:r>
      <w:r>
        <w:t>.</w:t>
      </w:r>
    </w:p>
    <w:p w:rsidR="00F12337" w:rsidRDefault="00F12337" w:rsidP="00701A75">
      <w:pPr>
        <w:pStyle w:val="Chapter4"/>
        <w:numPr>
          <w:ilvl w:val="0"/>
          <w:numId w:val="0"/>
        </w:numPr>
        <w:ind w:left="851"/>
      </w:pPr>
    </w:p>
    <w:p w:rsidR="00F12337" w:rsidRPr="00F20DFA" w:rsidRDefault="006A3BDB" w:rsidP="00701A75">
      <w:pPr>
        <w:pStyle w:val="Chapter4"/>
      </w:pPr>
      <w:r>
        <w:t>F</w:t>
      </w:r>
      <w:r w:rsidR="00F12337">
        <w:t>or</w:t>
      </w:r>
      <w:r w:rsidR="001B2CD9" w:rsidRPr="004D1D24">
        <w:t xml:space="preserve"> income tax</w:t>
      </w:r>
      <w:r w:rsidR="00F12337">
        <w:t>,</w:t>
      </w:r>
      <w:r w:rsidR="001B2CD9" w:rsidRPr="004D1D24">
        <w:t xml:space="preserve"> </w:t>
      </w:r>
      <w:r w:rsidR="00F12337">
        <w:t xml:space="preserve">it will </w:t>
      </w:r>
      <w:r w:rsidR="00EC5E66">
        <w:t xml:space="preserve">apply </w:t>
      </w:r>
      <w:r w:rsidR="00F12337">
        <w:t xml:space="preserve">to taxable periods (in New Zealand’s case, income years) beginning on or after </w:t>
      </w:r>
      <w:r>
        <w:t xml:space="preserve">a </w:t>
      </w:r>
      <w:r w:rsidR="00F12337">
        <w:t>6 month</w:t>
      </w:r>
      <w:r>
        <w:t xml:space="preserve"> period</w:t>
      </w:r>
      <w:r w:rsidR="00F12337">
        <w:t xml:space="preserve"> from the latest date on which the Convention enters into force for each of the partie</w:t>
      </w:r>
      <w:r w:rsidR="00B40251">
        <w:t>s to the Covered Tax Agreement.</w:t>
      </w:r>
    </w:p>
    <w:p w:rsidR="001B2CD9" w:rsidRDefault="001B2CD9" w:rsidP="001B2CD9">
      <w:pPr>
        <w:pStyle w:val="Chapter4"/>
        <w:numPr>
          <w:ilvl w:val="0"/>
          <w:numId w:val="0"/>
        </w:numPr>
        <w:tabs>
          <w:tab w:val="left" w:pos="567"/>
        </w:tabs>
        <w:ind w:left="851"/>
      </w:pPr>
    </w:p>
    <w:p w:rsidR="006D5CF2" w:rsidRDefault="006D5CF2" w:rsidP="00EB51B1">
      <w:pPr>
        <w:pStyle w:val="Chapter4"/>
      </w:pPr>
      <w:r>
        <w:t xml:space="preserve">The </w:t>
      </w:r>
      <w:r w:rsidR="0050650D">
        <w:t xml:space="preserve">example below illustrates the theoretical </w:t>
      </w:r>
      <w:r>
        <w:t xml:space="preserve">timeline </w:t>
      </w:r>
      <w:r w:rsidR="0050650D">
        <w:t>for</w:t>
      </w:r>
      <w:r>
        <w:t xml:space="preserve"> how the entry into force and effect could work for a DTA between N</w:t>
      </w:r>
      <w:r w:rsidR="00A12ACF">
        <w:t>ew Zealand and Jurisdiction B.</w:t>
      </w:r>
    </w:p>
    <w:p w:rsidR="006D5CF2" w:rsidRDefault="006D5CF2" w:rsidP="001B2CD9">
      <w:pPr>
        <w:pStyle w:val="Chapter4"/>
        <w:numPr>
          <w:ilvl w:val="0"/>
          <w:numId w:val="0"/>
        </w:numPr>
        <w:tabs>
          <w:tab w:val="left" w:pos="567"/>
        </w:tabs>
        <w:ind w:left="851"/>
      </w:pPr>
    </w:p>
    <w:p w:rsidR="00DE478B" w:rsidRPr="00DE478B" w:rsidRDefault="00DE478B" w:rsidP="00CD51B7">
      <w:pPr>
        <w:pStyle w:val="Chapter4"/>
        <w:numPr>
          <w:ilvl w:val="0"/>
          <w:numId w:val="0"/>
        </w:numPr>
        <w:jc w:val="center"/>
        <w:rPr>
          <w:b/>
        </w:rPr>
      </w:pPr>
      <w:r w:rsidRPr="00DE478B">
        <w:rPr>
          <w:b/>
        </w:rPr>
        <w:t>Multilateral instrument entry into force and entry into effect for</w:t>
      </w:r>
      <w:r w:rsidRPr="00DE478B">
        <w:rPr>
          <w:b/>
        </w:rPr>
        <w:br/>
        <w:t>New Zealand–Jurisdiction B DTA</w:t>
      </w:r>
    </w:p>
    <w:p w:rsidR="00DE478B" w:rsidRDefault="00DE478B" w:rsidP="001B2CD9">
      <w:pPr>
        <w:pStyle w:val="Chapter4"/>
        <w:numPr>
          <w:ilvl w:val="0"/>
          <w:numId w:val="0"/>
        </w:numPr>
        <w:tabs>
          <w:tab w:val="left" w:pos="567"/>
        </w:tabs>
        <w:ind w:left="851"/>
      </w:pPr>
    </w:p>
    <w:p w:rsidR="006D5CF2" w:rsidRDefault="00DE478B" w:rsidP="00DE478B">
      <w:r>
        <w:rPr>
          <w:noProof/>
          <w:lang w:val="en-NZ" w:eastAsia="en-NZ"/>
        </w:rPr>
        <w:drawing>
          <wp:inline distT="0" distB="0" distL="0" distR="0" wp14:anchorId="6A726FBC">
            <wp:extent cx="5353050" cy="3591065"/>
            <wp:effectExtent l="0" t="0" r="0" b="9525"/>
            <wp:docPr id="1" name="Picture 1" descr="A theoretical timeline for how the entry into force and effect could work for a DTA between New Zealand and Jurisdiction B." title="Theoretical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53835" cy="3591591"/>
                    </a:xfrm>
                    <a:prstGeom prst="rect">
                      <a:avLst/>
                    </a:prstGeom>
                    <a:noFill/>
                  </pic:spPr>
                </pic:pic>
              </a:graphicData>
            </a:graphic>
          </wp:inline>
        </w:drawing>
      </w:r>
    </w:p>
    <w:p w:rsidR="00B00ADE" w:rsidRDefault="00B00ADE" w:rsidP="00EB51B1">
      <w:pPr>
        <w:pStyle w:val="Chapter4"/>
      </w:pPr>
      <w:r>
        <w:t>While the precise dates on which New Zealand’s DTAs will begin to be modified are unknown, it is likely that the earliest mod</w:t>
      </w:r>
      <w:r w:rsidR="00A12ACF">
        <w:t>ifications will occur in 2019.</w:t>
      </w:r>
    </w:p>
    <w:p w:rsidR="00B00ADE" w:rsidRPr="00287272" w:rsidRDefault="00B00ADE" w:rsidP="00287272"/>
    <w:p w:rsidR="00B00ADE" w:rsidRPr="00475CFF" w:rsidRDefault="00B00ADE" w:rsidP="00EB51B1">
      <w:pPr>
        <w:pStyle w:val="Chapter4"/>
      </w:pPr>
      <w:r>
        <w:t xml:space="preserve">Part VI (Arbitration) will generally apply to cases presented to </w:t>
      </w:r>
      <w:r w:rsidR="006A3BDB">
        <w:t>Competent Authorities (</w:t>
      </w:r>
      <w:r>
        <w:t>CAs</w:t>
      </w:r>
      <w:r w:rsidR="006A3BDB">
        <w:t>)</w:t>
      </w:r>
      <w:r>
        <w:t xml:space="preserve"> on or after the latest date on which the MLI enters into force for each of the parties to the Covered Tax Agreement</w:t>
      </w:r>
      <w:r w:rsidR="002D1F3E">
        <w:t>.  B</w:t>
      </w:r>
      <w:r w:rsidR="00475CFF">
        <w:t>y mutual agreement, jurisdictions can agree to submit a case to arbitration that was presented to the CAs prior to this</w:t>
      </w:r>
      <w:r>
        <w:t xml:space="preserve"> </w:t>
      </w:r>
      <w:r w:rsidR="00475CFF">
        <w:t>time.</w:t>
      </w:r>
    </w:p>
    <w:p w:rsidR="00B00ADE" w:rsidRPr="00A12ACF" w:rsidRDefault="00B00ADE" w:rsidP="00A12ACF"/>
    <w:p w:rsidR="00EB51B1" w:rsidRPr="00EB51B1" w:rsidRDefault="00EB51B1" w:rsidP="00EB51B1">
      <w:pPr>
        <w:rPr>
          <w:lang w:val="en-NZ"/>
        </w:rPr>
      </w:pPr>
    </w:p>
    <w:p w:rsidR="00F12337" w:rsidRDefault="00F12337" w:rsidP="00EB51B1">
      <w:pPr>
        <w:pStyle w:val="Heading1"/>
        <w:rPr>
          <w:lang w:val="en-NZ"/>
        </w:rPr>
      </w:pPr>
      <w:bookmarkStart w:id="76" w:name="_Toc476153903"/>
      <w:r>
        <w:rPr>
          <w:lang w:val="en-NZ"/>
        </w:rPr>
        <w:t>Notification of entry into effect for specific Covered Tax Agreement</w:t>
      </w:r>
      <w:r w:rsidR="00B00ADE">
        <w:rPr>
          <w:lang w:val="en-NZ"/>
        </w:rPr>
        <w:t>s</w:t>
      </w:r>
      <w:bookmarkEnd w:id="76"/>
    </w:p>
    <w:p w:rsidR="00DC568E" w:rsidRDefault="00DC568E" w:rsidP="00DC568E">
      <w:pPr>
        <w:pStyle w:val="Chapter4"/>
        <w:numPr>
          <w:ilvl w:val="0"/>
          <w:numId w:val="0"/>
        </w:numPr>
        <w:ind w:left="851"/>
      </w:pPr>
    </w:p>
    <w:p w:rsidR="00DC568E" w:rsidRDefault="00475CFF" w:rsidP="00DC568E">
      <w:pPr>
        <w:pStyle w:val="Chapter4"/>
      </w:pPr>
      <w:r>
        <w:t xml:space="preserve">As each jurisdiction submits its instrument of ratification to the OECD Depository, New Zealand will be notified.  </w:t>
      </w:r>
      <w:r w:rsidR="006A3BDB">
        <w:t>W</w:t>
      </w:r>
      <w:r w:rsidR="00DC568E">
        <w:t>hen the MLI comes into force for each of New Zealand’s DTAs</w:t>
      </w:r>
      <w:r w:rsidR="006A3BDB">
        <w:t xml:space="preserve"> the Government will announce the fact</w:t>
      </w:r>
      <w:r w:rsidR="00DC568E">
        <w:t>.</w:t>
      </w:r>
      <w:r w:rsidR="007722F6" w:rsidRPr="00A12ACF">
        <w:rPr>
          <w:rStyle w:val="FootnoteReference"/>
          <w:sz w:val="24"/>
          <w:szCs w:val="24"/>
        </w:rPr>
        <w:footnoteReference w:id="5"/>
      </w:r>
      <w:r w:rsidR="00DC568E">
        <w:t xml:space="preserve">  This is to advise taxpayers that the DTA has been modified.</w:t>
      </w:r>
    </w:p>
    <w:p w:rsidR="00233F47" w:rsidRPr="00233F47" w:rsidRDefault="00233F47" w:rsidP="00233F47"/>
    <w:p w:rsidR="00233F47" w:rsidRPr="00233F47" w:rsidRDefault="00233F47" w:rsidP="00233F47"/>
    <w:p w:rsidR="00301A5B" w:rsidRPr="00475CFF" w:rsidRDefault="00301A5B" w:rsidP="00EB51B1">
      <w:pPr>
        <w:pStyle w:val="Heading1"/>
        <w:rPr>
          <w:lang w:val="en-NZ"/>
        </w:rPr>
      </w:pPr>
      <w:bookmarkStart w:id="77" w:name="_Toc476153904"/>
      <w:r w:rsidRPr="00475CFF">
        <w:rPr>
          <w:lang w:val="en-NZ"/>
        </w:rPr>
        <w:t>Domestic law changes</w:t>
      </w:r>
      <w:bookmarkEnd w:id="77"/>
    </w:p>
    <w:p w:rsidR="00301A5B" w:rsidRPr="00287272" w:rsidRDefault="00301A5B" w:rsidP="00287272"/>
    <w:p w:rsidR="00475CFF" w:rsidRDefault="00475CFF" w:rsidP="00475CFF">
      <w:pPr>
        <w:pStyle w:val="Chapter4"/>
      </w:pPr>
      <w:r>
        <w:t>Some domestic law changes may be needed to facilitate the modifications to New Zealand’s DTAs by the MLI.</w:t>
      </w:r>
    </w:p>
    <w:p w:rsidR="00475CFF" w:rsidRDefault="00475CFF" w:rsidP="00475CFF">
      <w:pPr>
        <w:pStyle w:val="Chapter4"/>
        <w:numPr>
          <w:ilvl w:val="0"/>
          <w:numId w:val="0"/>
        </w:numPr>
        <w:ind w:left="851"/>
      </w:pPr>
    </w:p>
    <w:p w:rsidR="00475CFF" w:rsidRDefault="00475CFF" w:rsidP="00475CFF">
      <w:pPr>
        <w:pStyle w:val="Chapter4"/>
      </w:pPr>
      <w:r>
        <w:t>For example, officials anticipate there may need to be some amendments to the dispute procedures in Part 4A of the Tax Administration Act 1994 to enable cases to be submitted to arbitration without prejudicing taxpayer rights under the domestic law.</w:t>
      </w:r>
    </w:p>
    <w:p w:rsidR="00475CFF" w:rsidRPr="00287272" w:rsidRDefault="00475CFF" w:rsidP="00287272"/>
    <w:p w:rsidR="00475CFF" w:rsidRDefault="00475CFF" w:rsidP="00475CFF">
      <w:pPr>
        <w:pStyle w:val="Chapter4"/>
      </w:pPr>
      <w:r>
        <w:t xml:space="preserve">Officials are interested to receive submissions on </w:t>
      </w:r>
      <w:r w:rsidR="007722F6">
        <w:t xml:space="preserve">these and </w:t>
      </w:r>
      <w:r>
        <w:t>other aspects of domestic law that ma</w:t>
      </w:r>
      <w:r w:rsidR="00A12ACF">
        <w:t>y need to be similarly amended.</w:t>
      </w:r>
    </w:p>
    <w:p w:rsidR="00F105F8" w:rsidRPr="00287272" w:rsidRDefault="00F105F8" w:rsidP="00287272"/>
    <w:p w:rsidR="00EB51B1" w:rsidRPr="00287272" w:rsidRDefault="00EB51B1" w:rsidP="00287272"/>
    <w:p w:rsidR="00F105F8" w:rsidRPr="00F42E6B" w:rsidRDefault="00F105F8" w:rsidP="00EB51B1">
      <w:pPr>
        <w:pStyle w:val="Heading1"/>
        <w:rPr>
          <w:lang w:val="en-NZ"/>
        </w:rPr>
      </w:pPr>
      <w:bookmarkStart w:id="78" w:name="_Toc476153905"/>
      <w:r>
        <w:rPr>
          <w:lang w:val="en-NZ"/>
        </w:rPr>
        <w:t>Consolidated versions of DTAs</w:t>
      </w:r>
      <w:bookmarkEnd w:id="78"/>
    </w:p>
    <w:p w:rsidR="00F105F8" w:rsidRPr="00287272" w:rsidRDefault="00F105F8" w:rsidP="00287272"/>
    <w:p w:rsidR="00F105F8" w:rsidRDefault="00F105F8" w:rsidP="00EB51B1">
      <w:pPr>
        <w:pStyle w:val="Chapter4"/>
      </w:pPr>
      <w:r>
        <w:t>The Government will not be producing consolidated versions of each DTA modified by the MLI.  This is consistent with existing practice for amending protocols</w:t>
      </w:r>
      <w:r w:rsidR="002D1F3E">
        <w:t>.  C</w:t>
      </w:r>
      <w:r>
        <w:t>ommercial publishers are likely to produce consolidated versions.</w:t>
      </w:r>
    </w:p>
    <w:p w:rsidR="00DD266F" w:rsidRDefault="00DD266F">
      <w:pPr>
        <w:jc w:val="left"/>
        <w:rPr>
          <w:b/>
          <w:lang w:val="en-NZ"/>
        </w:rPr>
      </w:pPr>
    </w:p>
    <w:p w:rsidR="009A69C6" w:rsidRPr="00836DA4" w:rsidRDefault="00A12ACF" w:rsidP="00EB51B1">
      <w:pPr>
        <w:pBdr>
          <w:top w:val="single" w:sz="4" w:space="10" w:color="auto"/>
          <w:left w:val="single" w:sz="4" w:space="10" w:color="auto"/>
          <w:bottom w:val="single" w:sz="4" w:space="10" w:color="auto"/>
          <w:right w:val="single" w:sz="4" w:space="10" w:color="auto"/>
        </w:pBdr>
        <w:tabs>
          <w:tab w:val="left" w:pos="567"/>
        </w:tabs>
        <w:ind w:left="567" w:hanging="567"/>
        <w:jc w:val="left"/>
        <w:rPr>
          <w:b/>
          <w:lang w:val="en-NZ"/>
        </w:rPr>
      </w:pPr>
      <w:r>
        <w:rPr>
          <w:b/>
          <w:lang w:val="en-NZ"/>
        </w:rPr>
        <w:t>Submissions points</w:t>
      </w:r>
    </w:p>
    <w:p w:rsidR="009A69C6" w:rsidRPr="00836DA4" w:rsidRDefault="009A69C6" w:rsidP="00EB51B1">
      <w:pPr>
        <w:pBdr>
          <w:top w:val="single" w:sz="4" w:space="10" w:color="auto"/>
          <w:left w:val="single" w:sz="4" w:space="10" w:color="auto"/>
          <w:bottom w:val="single" w:sz="4" w:space="10" w:color="auto"/>
          <w:right w:val="single" w:sz="4" w:space="10" w:color="auto"/>
        </w:pBdr>
        <w:tabs>
          <w:tab w:val="left" w:pos="567"/>
        </w:tabs>
        <w:ind w:left="567" w:hanging="567"/>
        <w:jc w:val="left"/>
        <w:rPr>
          <w:lang w:val="en-NZ"/>
        </w:rPr>
      </w:pPr>
    </w:p>
    <w:p w:rsidR="00EB51B1" w:rsidRDefault="009A69C6" w:rsidP="00EB51B1">
      <w:pPr>
        <w:pBdr>
          <w:top w:val="single" w:sz="4" w:space="10" w:color="auto"/>
          <w:left w:val="single" w:sz="4" w:space="10" w:color="auto"/>
          <w:bottom w:val="single" w:sz="4" w:space="10" w:color="auto"/>
          <w:right w:val="single" w:sz="4" w:space="10" w:color="auto"/>
        </w:pBdr>
        <w:tabs>
          <w:tab w:val="left" w:pos="567"/>
        </w:tabs>
        <w:ind w:left="567" w:hanging="567"/>
        <w:jc w:val="left"/>
        <w:rPr>
          <w:lang w:val="en-NZ"/>
        </w:rPr>
      </w:pPr>
      <w:r w:rsidRPr="00836DA4">
        <w:rPr>
          <w:lang w:val="en-NZ"/>
        </w:rPr>
        <w:t>We are interested to hear from readers:</w:t>
      </w:r>
    </w:p>
    <w:p w:rsidR="00EB51B1" w:rsidRDefault="00EB51B1" w:rsidP="00EB51B1">
      <w:pPr>
        <w:pBdr>
          <w:top w:val="single" w:sz="4" w:space="10" w:color="auto"/>
          <w:left w:val="single" w:sz="4" w:space="10" w:color="auto"/>
          <w:bottom w:val="single" w:sz="4" w:space="10" w:color="auto"/>
          <w:right w:val="single" w:sz="4" w:space="10" w:color="auto"/>
        </w:pBdr>
        <w:tabs>
          <w:tab w:val="left" w:pos="567"/>
        </w:tabs>
        <w:ind w:left="567" w:hanging="567"/>
        <w:jc w:val="left"/>
        <w:rPr>
          <w:lang w:val="en-NZ"/>
        </w:rPr>
      </w:pPr>
    </w:p>
    <w:p w:rsidR="00EB51B1" w:rsidRDefault="009A69C6" w:rsidP="00EB51B1">
      <w:pPr>
        <w:pStyle w:val="Bullets"/>
        <w:pBdr>
          <w:top w:val="single" w:sz="4" w:space="10" w:color="auto"/>
          <w:left w:val="single" w:sz="4" w:space="10" w:color="auto"/>
          <w:bottom w:val="single" w:sz="4" w:space="10" w:color="auto"/>
          <w:right w:val="single" w:sz="4" w:space="10" w:color="auto"/>
        </w:pBdr>
        <w:tabs>
          <w:tab w:val="clear" w:pos="1418"/>
        </w:tabs>
        <w:ind w:left="567"/>
        <w:rPr>
          <w:lang w:val="en-NZ"/>
        </w:rPr>
      </w:pPr>
      <w:r w:rsidRPr="00836DA4">
        <w:rPr>
          <w:lang w:val="en-NZ"/>
        </w:rPr>
        <w:t>Are there any significant implementation issues the Government should consider in adopting the MLI?</w:t>
      </w:r>
    </w:p>
    <w:p w:rsidR="00EB51B1" w:rsidRDefault="009A69C6" w:rsidP="00EB51B1">
      <w:pPr>
        <w:pStyle w:val="Bullets"/>
        <w:pBdr>
          <w:top w:val="single" w:sz="4" w:space="10" w:color="auto"/>
          <w:left w:val="single" w:sz="4" w:space="10" w:color="auto"/>
          <w:bottom w:val="single" w:sz="4" w:space="10" w:color="auto"/>
          <w:right w:val="single" w:sz="4" w:space="10" w:color="auto"/>
        </w:pBdr>
        <w:tabs>
          <w:tab w:val="clear" w:pos="1418"/>
        </w:tabs>
        <w:ind w:left="567"/>
        <w:rPr>
          <w:lang w:val="en-NZ"/>
        </w:rPr>
      </w:pPr>
      <w:r w:rsidRPr="00836DA4">
        <w:rPr>
          <w:lang w:val="en-NZ"/>
        </w:rPr>
        <w:t>What practical options exist to minimise uncertainty and compliance costs associated with New Zealand adopting the MLI?</w:t>
      </w:r>
    </w:p>
    <w:p w:rsidR="009A69C6" w:rsidRPr="00EB51B1" w:rsidRDefault="00475CFF" w:rsidP="00EB51B1">
      <w:pPr>
        <w:pStyle w:val="Bullets"/>
        <w:pBdr>
          <w:top w:val="single" w:sz="4" w:space="10" w:color="auto"/>
          <w:left w:val="single" w:sz="4" w:space="10" w:color="auto"/>
          <w:bottom w:val="single" w:sz="4" w:space="10" w:color="auto"/>
          <w:right w:val="single" w:sz="4" w:space="10" w:color="auto"/>
        </w:pBdr>
        <w:tabs>
          <w:tab w:val="clear" w:pos="1418"/>
        </w:tabs>
        <w:ind w:left="567"/>
        <w:rPr>
          <w:lang w:val="en-NZ"/>
        </w:rPr>
      </w:pPr>
      <w:r w:rsidRPr="00836DA4">
        <w:rPr>
          <w:lang w:val="en-NZ"/>
        </w:rPr>
        <w:t>What domestic law changes may be needed to facilitate the implementation of the MLI?</w:t>
      </w:r>
    </w:p>
    <w:p w:rsidR="00A315ED" w:rsidRDefault="00A315ED">
      <w:pPr>
        <w:jc w:val="left"/>
        <w:rPr>
          <w:lang w:val="en-NZ"/>
        </w:rPr>
      </w:pPr>
    </w:p>
    <w:p w:rsidR="00DE6465" w:rsidRDefault="00DE6465" w:rsidP="00A315ED">
      <w:pPr>
        <w:pStyle w:val="Chapterheading"/>
        <w:rPr>
          <w:lang w:val="en-NZ"/>
        </w:rPr>
        <w:sectPr w:rsidR="00DE6465" w:rsidSect="00746168">
          <w:footerReference w:type="first" r:id="rId18"/>
          <w:pgSz w:w="11906" w:h="16838" w:code="9"/>
          <w:pgMar w:top="1134" w:right="1797" w:bottom="1134" w:left="1797" w:header="709" w:footer="425" w:gutter="0"/>
          <w:pgNumType w:start="1"/>
          <w:cols w:space="708"/>
          <w:titlePg/>
          <w:docGrid w:linePitch="360"/>
        </w:sectPr>
      </w:pPr>
    </w:p>
    <w:p w:rsidR="00CD7C3C" w:rsidRPr="00EB51B1" w:rsidRDefault="00846D8C" w:rsidP="00EB51B1">
      <w:pPr>
        <w:pStyle w:val="Chapterheading"/>
      </w:pPr>
      <w:bookmarkStart w:id="79" w:name="_Toc473124506"/>
      <w:bookmarkStart w:id="80" w:name="_Toc473124546"/>
      <w:bookmarkStart w:id="81" w:name="_Toc473210916"/>
      <w:bookmarkStart w:id="82" w:name="_Toc474739903"/>
      <w:bookmarkStart w:id="83" w:name="_Toc474739963"/>
      <w:bookmarkStart w:id="84" w:name="_Toc474745541"/>
      <w:bookmarkStart w:id="85" w:name="_Toc474747064"/>
      <w:bookmarkStart w:id="86" w:name="_Toc474749622"/>
      <w:bookmarkStart w:id="87" w:name="_Toc475001359"/>
      <w:bookmarkStart w:id="88" w:name="_Toc476143772"/>
      <w:bookmarkStart w:id="89" w:name="_Toc476145506"/>
      <w:bookmarkStart w:id="90" w:name="_Toc476153906"/>
      <w:r w:rsidRPr="00EB51B1">
        <w:t>APPENDIX</w:t>
      </w:r>
      <w:bookmarkEnd w:id="79"/>
      <w:bookmarkEnd w:id="80"/>
      <w:bookmarkEnd w:id="81"/>
      <w:bookmarkEnd w:id="82"/>
      <w:bookmarkEnd w:id="83"/>
      <w:bookmarkEnd w:id="84"/>
      <w:bookmarkEnd w:id="85"/>
      <w:bookmarkEnd w:id="86"/>
      <w:bookmarkEnd w:id="87"/>
      <w:bookmarkEnd w:id="88"/>
      <w:bookmarkEnd w:id="89"/>
      <w:bookmarkEnd w:id="90"/>
    </w:p>
    <w:p w:rsidR="006D4999" w:rsidRPr="00EB51B1" w:rsidRDefault="006D4999" w:rsidP="00EB51B1">
      <w:pPr>
        <w:pStyle w:val="Chapterheading"/>
      </w:pPr>
    </w:p>
    <w:p w:rsidR="00DE6465" w:rsidRPr="00EB51B1" w:rsidRDefault="00EB51B1" w:rsidP="00EB51B1">
      <w:pPr>
        <w:pStyle w:val="Chapterheading"/>
      </w:pPr>
      <w:bookmarkStart w:id="91" w:name="_Toc476153907"/>
      <w:r>
        <w:rPr>
          <w:caps w:val="0"/>
        </w:rPr>
        <w:t>S</w:t>
      </w:r>
      <w:r w:rsidRPr="00EB51B1">
        <w:rPr>
          <w:caps w:val="0"/>
        </w:rPr>
        <w:t xml:space="preserve">ubstantive BEPS provisions in the </w:t>
      </w:r>
      <w:r w:rsidR="008E19CE">
        <w:rPr>
          <w:caps w:val="0"/>
          <w:lang w:val="en-NZ"/>
        </w:rPr>
        <w:t>multilateral instrument</w:t>
      </w:r>
      <w:bookmarkEnd w:id="91"/>
    </w:p>
    <w:p w:rsidR="002B3AEA" w:rsidRDefault="002B3AEA" w:rsidP="003368F1">
      <w:pPr>
        <w:rPr>
          <w:lang w:val="en-NZ"/>
        </w:rPr>
      </w:pPr>
    </w:p>
    <w:p w:rsidR="003368F1" w:rsidRDefault="003368F1" w:rsidP="003368F1">
      <w:pPr>
        <w:rPr>
          <w:lang w:val="en-NZ"/>
        </w:rPr>
      </w:pPr>
    </w:p>
    <w:tbl>
      <w:tblPr>
        <w:tblStyle w:val="LightShading"/>
        <w:tblW w:w="14034" w:type="dxa"/>
        <w:tblInd w:w="-369" w:type="dxa"/>
        <w:tblLayout w:type="fixed"/>
        <w:tblCellMar>
          <w:top w:w="57" w:type="dxa"/>
          <w:left w:w="57" w:type="dxa"/>
          <w:bottom w:w="57" w:type="dxa"/>
          <w:right w:w="57" w:type="dxa"/>
        </w:tblCellMar>
        <w:tblLook w:val="04A0" w:firstRow="1" w:lastRow="0" w:firstColumn="1" w:lastColumn="0" w:noHBand="0" w:noVBand="1"/>
      </w:tblPr>
      <w:tblGrid>
        <w:gridCol w:w="2032"/>
        <w:gridCol w:w="9876"/>
        <w:gridCol w:w="1063"/>
        <w:gridCol w:w="1063"/>
      </w:tblGrid>
      <w:tr w:rsidR="003368F1" w:rsidRPr="00EB51B1" w:rsidTr="00495F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32" w:type="dxa"/>
            <w:shd w:val="clear" w:color="auto" w:fill="F2F2F2" w:themeFill="background1" w:themeFillShade="F2"/>
            <w:vAlign w:val="center"/>
          </w:tcPr>
          <w:p w:rsidR="00DE6465" w:rsidRPr="00EB51B1" w:rsidRDefault="00EF37B7" w:rsidP="003368F1">
            <w:pPr>
              <w:pStyle w:val="TRNormal"/>
              <w:tabs>
                <w:tab w:val="left" w:pos="567"/>
              </w:tabs>
              <w:ind w:left="0" w:firstLine="0"/>
              <w:rPr>
                <w:rFonts w:ascii="Times New Roman" w:hAnsi="Times New Roman"/>
                <w:b w:val="0"/>
                <w:sz w:val="20"/>
              </w:rPr>
            </w:pPr>
            <w:r>
              <w:rPr>
                <w:rFonts w:ascii="Times New Roman" w:hAnsi="Times New Roman"/>
                <w:sz w:val="20"/>
              </w:rPr>
              <w:t>BEPS m</w:t>
            </w:r>
            <w:r w:rsidR="00DE6465" w:rsidRPr="00EB51B1">
              <w:rPr>
                <w:rFonts w:ascii="Times New Roman" w:hAnsi="Times New Roman"/>
                <w:sz w:val="20"/>
              </w:rPr>
              <w:t>easure</w:t>
            </w:r>
          </w:p>
        </w:tc>
        <w:tc>
          <w:tcPr>
            <w:tcW w:w="9876" w:type="dxa"/>
            <w:shd w:val="clear" w:color="auto" w:fill="F2F2F2" w:themeFill="background1" w:themeFillShade="F2"/>
            <w:vAlign w:val="center"/>
          </w:tcPr>
          <w:p w:rsidR="00DE6465" w:rsidRPr="00EB51B1" w:rsidRDefault="00DE6465" w:rsidP="003368F1">
            <w:pPr>
              <w:pStyle w:val="TRNormal"/>
              <w:tabs>
                <w:tab w:val="left" w:pos="0"/>
              </w:tabs>
              <w:ind w:left="12" w:hanging="1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EB51B1">
              <w:rPr>
                <w:rFonts w:ascii="Times New Roman" w:hAnsi="Times New Roman"/>
                <w:sz w:val="20"/>
              </w:rPr>
              <w:t>Detail</w:t>
            </w:r>
          </w:p>
        </w:tc>
        <w:tc>
          <w:tcPr>
            <w:tcW w:w="1063" w:type="dxa"/>
            <w:shd w:val="clear" w:color="auto" w:fill="F2F2F2" w:themeFill="background1" w:themeFillShade="F2"/>
          </w:tcPr>
          <w:p w:rsidR="00DE6465" w:rsidRPr="00EB51B1" w:rsidRDefault="00DE6465" w:rsidP="00EB51B1">
            <w:pPr>
              <w:pStyle w:val="TRNormal"/>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EB51B1">
              <w:rPr>
                <w:rFonts w:ascii="Times New Roman" w:hAnsi="Times New Roman"/>
                <w:sz w:val="20"/>
              </w:rPr>
              <w:t>Minimum standard</w:t>
            </w:r>
          </w:p>
        </w:tc>
        <w:tc>
          <w:tcPr>
            <w:tcW w:w="1063" w:type="dxa"/>
            <w:shd w:val="clear" w:color="auto" w:fill="F2F2F2" w:themeFill="background1" w:themeFillShade="F2"/>
          </w:tcPr>
          <w:p w:rsidR="002B3AEA" w:rsidRPr="00EB51B1" w:rsidRDefault="00DE6465" w:rsidP="00EB51B1">
            <w:pPr>
              <w:pStyle w:val="TRNormal"/>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Should </w:t>
            </w:r>
            <w:r w:rsidR="00EB51B1">
              <w:rPr>
                <w:rFonts w:ascii="Times New Roman" w:hAnsi="Times New Roman"/>
                <w:sz w:val="20"/>
              </w:rPr>
              <w:br/>
            </w:r>
            <w:r w:rsidRPr="00EB51B1">
              <w:rPr>
                <w:rFonts w:ascii="Times New Roman" w:hAnsi="Times New Roman"/>
                <w:sz w:val="20"/>
              </w:rPr>
              <w:t>NZ adopt?</w:t>
            </w:r>
          </w:p>
        </w:tc>
      </w:tr>
      <w:tr w:rsidR="003368F1" w:rsidRPr="00EB51B1" w:rsidTr="00C80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8" w:space="0" w:color="000000" w:themeColor="text1"/>
              <w:bottom w:val="single" w:sz="4" w:space="0" w:color="000000" w:themeColor="text1"/>
            </w:tcBorders>
            <w:shd w:val="clear" w:color="auto" w:fill="auto"/>
          </w:tcPr>
          <w:p w:rsidR="00DE6465" w:rsidRPr="00EB51B1" w:rsidRDefault="00C1753E" w:rsidP="00EB51B1">
            <w:pPr>
              <w:pStyle w:val="TRNormal"/>
              <w:ind w:left="0" w:firstLine="0"/>
              <w:rPr>
                <w:rFonts w:ascii="Times New Roman" w:hAnsi="Times New Roman"/>
                <w:sz w:val="20"/>
              </w:rPr>
            </w:pPr>
            <w:r>
              <w:rPr>
                <w:rFonts w:ascii="Times New Roman" w:hAnsi="Times New Roman"/>
                <w:sz w:val="20"/>
              </w:rPr>
              <w:t xml:space="preserve">1.  </w:t>
            </w:r>
            <w:r w:rsidR="00DE6465" w:rsidRPr="00EB51B1">
              <w:rPr>
                <w:rFonts w:ascii="Times New Roman" w:hAnsi="Times New Roman"/>
                <w:sz w:val="20"/>
              </w:rPr>
              <w:t>Neutralising the effects of hybrid mismatch arrangements that have a treaty aspect</w:t>
            </w:r>
          </w:p>
          <w:p w:rsidR="00DE6465" w:rsidRPr="00EB51B1" w:rsidRDefault="00DE6465" w:rsidP="00EB51B1">
            <w:pPr>
              <w:pStyle w:val="TRNormal"/>
              <w:ind w:left="0" w:firstLine="0"/>
              <w:rPr>
                <w:rFonts w:ascii="Times New Roman" w:hAnsi="Times New Roman"/>
                <w:sz w:val="20"/>
              </w:rPr>
            </w:pPr>
            <w:r w:rsidRPr="00EB51B1">
              <w:rPr>
                <w:rFonts w:ascii="Times New Roman" w:hAnsi="Times New Roman"/>
                <w:sz w:val="20"/>
              </w:rPr>
              <w:t>(Action 2 report)</w:t>
            </w:r>
          </w:p>
        </w:tc>
        <w:tc>
          <w:tcPr>
            <w:tcW w:w="9876" w:type="dxa"/>
            <w:tcBorders>
              <w:top w:val="single" w:sz="8" w:space="0" w:color="000000" w:themeColor="text1"/>
            </w:tcBorders>
            <w:shd w:val="clear" w:color="auto" w:fill="auto"/>
          </w:tcPr>
          <w:p w:rsidR="002B3AEA" w:rsidRPr="00EB51B1" w:rsidRDefault="002B3AEA" w:rsidP="00C1753E">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sidRPr="00EB51B1">
              <w:rPr>
                <w:rFonts w:ascii="Times New Roman" w:hAnsi="Times New Roman"/>
                <w:b/>
                <w:sz w:val="20"/>
              </w:rPr>
              <w:t>Fiscally transparent entities</w:t>
            </w:r>
          </w:p>
          <w:p w:rsidR="00DE6465" w:rsidRPr="00EB51B1" w:rsidRDefault="00DE6465" w:rsidP="003368F1">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The MLI introduces or amends a fiscally transparent entity (FTE) provision.  FTEs (like trusts or partnerships) create arbitrage opportunities because they are treated differently for tax purposes by different countries</w:t>
            </w:r>
            <w:r w:rsidR="002D1F3E">
              <w:rPr>
                <w:rFonts w:ascii="Times New Roman" w:hAnsi="Times New Roman"/>
                <w:sz w:val="20"/>
              </w:rPr>
              <w:t>.  T</w:t>
            </w:r>
            <w:r w:rsidRPr="00EB51B1">
              <w:rPr>
                <w:rFonts w:ascii="Times New Roman" w:hAnsi="Times New Roman"/>
                <w:sz w:val="20"/>
              </w:rPr>
              <w:t>he MLI provision clarifies that treaty benefits will only be allowed to the extent to which the item of income is taxed in the state in which the entity is resident.  New Zealand already includes this provision (or an equivalent provision) in its DTAs with Australia, United States, Chile and Japan.</w:t>
            </w:r>
          </w:p>
          <w:p w:rsidR="00DE6465" w:rsidRPr="00EB51B1" w:rsidRDefault="00DE6465" w:rsidP="00EB51B1">
            <w:pPr>
              <w:pStyle w:val="TRNormal"/>
              <w:tabs>
                <w:tab w:val="left" w:pos="851"/>
              </w:tabs>
              <w:ind w:left="12" w:hanging="12"/>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i/>
                <w:sz w:val="20"/>
              </w:rPr>
              <w:t>Article 3 of the MLI</w:t>
            </w:r>
          </w:p>
        </w:tc>
        <w:tc>
          <w:tcPr>
            <w:tcW w:w="1063" w:type="dxa"/>
            <w:tcBorders>
              <w:top w:val="single" w:sz="8" w:space="0" w:color="000000" w:themeColor="text1"/>
            </w:tcBorders>
            <w:shd w:val="clear" w:color="auto" w:fill="auto"/>
          </w:tcPr>
          <w:p w:rsidR="00DE6465" w:rsidRPr="00EB51B1" w:rsidRDefault="00DE6465"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top w:val="single" w:sz="8" w:space="0" w:color="000000" w:themeColor="text1"/>
            </w:tcBorders>
            <w:shd w:val="clear" w:color="auto" w:fill="auto"/>
          </w:tcPr>
          <w:p w:rsidR="00DE6465" w:rsidRPr="00EB51B1" w:rsidRDefault="00DE6465"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C80B10">
        <w:tc>
          <w:tcPr>
            <w:cnfStyle w:val="001000000000" w:firstRow="0" w:lastRow="0" w:firstColumn="1" w:lastColumn="0" w:oddVBand="0" w:evenVBand="0" w:oddHBand="0" w:evenHBand="0" w:firstRowFirstColumn="0" w:firstRowLastColumn="0" w:lastRowFirstColumn="0" w:lastRowLastColumn="0"/>
            <w:tcW w:w="2032" w:type="dxa"/>
            <w:vMerge/>
            <w:tcBorders>
              <w:top w:val="nil"/>
              <w:bottom w:val="single" w:sz="4" w:space="0" w:color="000000" w:themeColor="text1"/>
            </w:tcBorders>
            <w:shd w:val="clear" w:color="auto" w:fill="auto"/>
          </w:tcPr>
          <w:p w:rsidR="00DE6465" w:rsidRPr="00EB51B1" w:rsidRDefault="00DE6465" w:rsidP="00EB51B1">
            <w:pPr>
              <w:pStyle w:val="TRNormal"/>
              <w:ind w:left="0" w:firstLine="0"/>
              <w:rPr>
                <w:rFonts w:ascii="Times New Roman" w:hAnsi="Times New Roman"/>
                <w:sz w:val="20"/>
              </w:rPr>
            </w:pPr>
          </w:p>
        </w:tc>
        <w:tc>
          <w:tcPr>
            <w:tcW w:w="9876" w:type="dxa"/>
            <w:tcBorders>
              <w:bottom w:val="nil"/>
            </w:tcBorders>
            <w:shd w:val="clear" w:color="auto" w:fill="auto"/>
          </w:tcPr>
          <w:p w:rsidR="002B3AEA" w:rsidRPr="00EB51B1" w:rsidRDefault="002B3AEA" w:rsidP="00C1753E">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b/>
                <w:sz w:val="20"/>
              </w:rPr>
              <w:t>Dual resident entities</w:t>
            </w:r>
          </w:p>
          <w:p w:rsidR="00DE6465" w:rsidRPr="00EB51B1" w:rsidRDefault="00DE6465" w:rsidP="003368F1">
            <w:pPr>
              <w:pStyle w:val="TRNormal"/>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The MLI introduces or amends a dual resident entity (DRE) tie breaker provision</w:t>
            </w:r>
            <w:r w:rsidR="002D1F3E">
              <w:rPr>
                <w:rFonts w:ascii="Times New Roman" w:hAnsi="Times New Roman"/>
                <w:sz w:val="20"/>
              </w:rPr>
              <w:t>.  L</w:t>
            </w:r>
            <w:r w:rsidRPr="00EB51B1">
              <w:rPr>
                <w:rFonts w:ascii="Times New Roman" w:hAnsi="Times New Roman"/>
                <w:sz w:val="20"/>
              </w:rPr>
              <w:t>ike FTEs, DREs can be used to take advantage of arbitrage opportunities</w:t>
            </w:r>
            <w:r w:rsidR="002D1F3E">
              <w:rPr>
                <w:rFonts w:ascii="Times New Roman" w:hAnsi="Times New Roman"/>
                <w:sz w:val="20"/>
              </w:rPr>
              <w:t>.  T</w:t>
            </w:r>
            <w:r w:rsidRPr="00EB51B1">
              <w:rPr>
                <w:rFonts w:ascii="Times New Roman" w:hAnsi="Times New Roman"/>
                <w:sz w:val="20"/>
              </w:rPr>
              <w:t>he proposed provision will require CAs to agree the residence status of a DRE and the DRE will only be entitled to such treaty benefits a</w:t>
            </w:r>
            <w:r w:rsidR="00A12ACF">
              <w:rPr>
                <w:rFonts w:ascii="Times New Roman" w:hAnsi="Times New Roman"/>
                <w:sz w:val="20"/>
              </w:rPr>
              <w:t>s the CAs agree.</w:t>
            </w:r>
          </w:p>
          <w:p w:rsidR="00DE6465" w:rsidRPr="00EB51B1" w:rsidRDefault="00DE6465" w:rsidP="00EB51B1">
            <w:pPr>
              <w:pStyle w:val="TRNormal"/>
              <w:tabs>
                <w:tab w:val="left" w:pos="851"/>
              </w:tabs>
              <w:ind w:left="12" w:hanging="12"/>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i/>
                <w:sz w:val="20"/>
              </w:rPr>
              <w:t>Article 4 of the MLI</w:t>
            </w:r>
          </w:p>
        </w:tc>
        <w:tc>
          <w:tcPr>
            <w:tcW w:w="1063" w:type="dxa"/>
            <w:tcBorders>
              <w:bottom w:val="nil"/>
            </w:tcBorders>
            <w:shd w:val="clear" w:color="auto" w:fill="auto"/>
          </w:tcPr>
          <w:p w:rsidR="00DE6465" w:rsidRPr="00EB51B1" w:rsidRDefault="00DE6465"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bottom w:val="nil"/>
            </w:tcBorders>
            <w:shd w:val="clear" w:color="auto" w:fill="auto"/>
          </w:tcPr>
          <w:p w:rsidR="00DE6465" w:rsidRPr="00EB51B1" w:rsidRDefault="00DE6465"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C1753E" w:rsidRPr="00EB51B1" w:rsidTr="00AA1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vMerge/>
            <w:tcBorders>
              <w:top w:val="nil"/>
              <w:bottom w:val="single" w:sz="8" w:space="0" w:color="000000" w:themeColor="text1"/>
            </w:tcBorders>
            <w:shd w:val="clear" w:color="auto" w:fill="auto"/>
          </w:tcPr>
          <w:p w:rsidR="00DE6465" w:rsidRPr="00EB51B1" w:rsidRDefault="00DE6465" w:rsidP="00EB51B1">
            <w:pPr>
              <w:pStyle w:val="TRNormal"/>
              <w:ind w:left="0" w:firstLine="0"/>
              <w:rPr>
                <w:rFonts w:ascii="Times New Roman" w:hAnsi="Times New Roman"/>
                <w:sz w:val="20"/>
              </w:rPr>
            </w:pPr>
          </w:p>
        </w:tc>
        <w:tc>
          <w:tcPr>
            <w:tcW w:w="9876" w:type="dxa"/>
            <w:tcBorders>
              <w:top w:val="nil"/>
              <w:bottom w:val="single" w:sz="4" w:space="0" w:color="000000" w:themeColor="text1"/>
            </w:tcBorders>
            <w:shd w:val="clear" w:color="auto" w:fill="auto"/>
          </w:tcPr>
          <w:p w:rsidR="002B3AEA" w:rsidRPr="00EB51B1" w:rsidRDefault="002B3AEA" w:rsidP="00C1753E">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sidRPr="00EB51B1">
              <w:rPr>
                <w:rFonts w:ascii="Times New Roman" w:hAnsi="Times New Roman"/>
                <w:b/>
                <w:sz w:val="20"/>
              </w:rPr>
              <w:t>Relief of double taxation</w:t>
            </w:r>
          </w:p>
          <w:p w:rsidR="00DE6465" w:rsidRPr="00EB51B1" w:rsidRDefault="00DE6465" w:rsidP="003368F1">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The MLI allows countries to strengthen their application of the exemption method to relieve double taxation</w:t>
            </w:r>
            <w:r w:rsidR="002D1F3E">
              <w:rPr>
                <w:rFonts w:ascii="Times New Roman" w:hAnsi="Times New Roman"/>
                <w:sz w:val="20"/>
              </w:rPr>
              <w:t>.  N</w:t>
            </w:r>
            <w:r w:rsidRPr="00EB51B1">
              <w:rPr>
                <w:rFonts w:ascii="Times New Roman" w:hAnsi="Times New Roman"/>
                <w:sz w:val="20"/>
              </w:rPr>
              <w:t>ew Zealand already applies the (more robust) credit method in all of its DTAs, and therefore proposes not to adopt any of the options.</w:t>
            </w:r>
          </w:p>
          <w:p w:rsidR="00DE6465" w:rsidRPr="00EB51B1" w:rsidRDefault="00DE6465" w:rsidP="00EB51B1">
            <w:pPr>
              <w:pStyle w:val="TRNormal"/>
              <w:tabs>
                <w:tab w:val="left" w:pos="851"/>
              </w:tabs>
              <w:ind w:left="12" w:hanging="12"/>
              <w:cnfStyle w:val="000000100000" w:firstRow="0" w:lastRow="0" w:firstColumn="0" w:lastColumn="0" w:oddVBand="0" w:evenVBand="0" w:oddHBand="1" w:evenHBand="0" w:firstRowFirstColumn="0" w:firstRowLastColumn="0" w:lastRowFirstColumn="0" w:lastRowLastColumn="0"/>
              <w:rPr>
                <w:rFonts w:ascii="Times New Roman" w:hAnsi="Times New Roman"/>
                <w:i/>
                <w:sz w:val="20"/>
              </w:rPr>
            </w:pPr>
            <w:r w:rsidRPr="00EB51B1">
              <w:rPr>
                <w:rFonts w:ascii="Times New Roman" w:hAnsi="Times New Roman"/>
                <w:i/>
                <w:sz w:val="20"/>
              </w:rPr>
              <w:t xml:space="preserve">Article </w:t>
            </w:r>
            <w:r w:rsidR="009026D4" w:rsidRPr="00EB51B1">
              <w:rPr>
                <w:rFonts w:ascii="Times New Roman" w:hAnsi="Times New Roman"/>
                <w:i/>
                <w:sz w:val="20"/>
              </w:rPr>
              <w:t>5</w:t>
            </w:r>
            <w:r w:rsidR="003210D1" w:rsidRPr="00EB51B1">
              <w:rPr>
                <w:rFonts w:ascii="Times New Roman" w:hAnsi="Times New Roman"/>
                <w:i/>
                <w:sz w:val="20"/>
              </w:rPr>
              <w:t xml:space="preserve"> of the MLI</w:t>
            </w:r>
          </w:p>
        </w:tc>
        <w:tc>
          <w:tcPr>
            <w:tcW w:w="1063" w:type="dxa"/>
            <w:tcBorders>
              <w:top w:val="nil"/>
              <w:bottom w:val="single" w:sz="4" w:space="0" w:color="000000" w:themeColor="text1"/>
            </w:tcBorders>
            <w:shd w:val="clear" w:color="auto" w:fill="auto"/>
          </w:tcPr>
          <w:p w:rsidR="00DE6465" w:rsidRPr="00EB51B1" w:rsidRDefault="00DE6465"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top w:val="nil"/>
              <w:bottom w:val="single" w:sz="4" w:space="0" w:color="000000" w:themeColor="text1"/>
            </w:tcBorders>
            <w:shd w:val="clear" w:color="auto" w:fill="auto"/>
          </w:tcPr>
          <w:p w:rsidR="00DE6465" w:rsidRPr="00EB51B1" w:rsidRDefault="00DE6465" w:rsidP="00C1753E">
            <w:pPr>
              <w:pStyle w:val="TRNormal"/>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Not applicable</w:t>
            </w:r>
          </w:p>
        </w:tc>
      </w:tr>
      <w:tr w:rsidR="003368F1" w:rsidRPr="00EB51B1" w:rsidTr="00AA1FD3">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8" w:space="0" w:color="000000" w:themeColor="text1"/>
              <w:bottom w:val="single" w:sz="4" w:space="0" w:color="000000" w:themeColor="text1"/>
            </w:tcBorders>
            <w:shd w:val="clear" w:color="auto" w:fill="auto"/>
          </w:tcPr>
          <w:p w:rsidR="00DE6465" w:rsidRPr="00EB51B1" w:rsidRDefault="00EB51B1" w:rsidP="00EB51B1">
            <w:pPr>
              <w:pStyle w:val="TRNormal"/>
              <w:ind w:left="0" w:firstLine="0"/>
              <w:rPr>
                <w:rFonts w:ascii="Times New Roman" w:hAnsi="Times New Roman"/>
                <w:sz w:val="20"/>
              </w:rPr>
            </w:pPr>
            <w:r>
              <w:rPr>
                <w:rFonts w:ascii="Times New Roman" w:hAnsi="Times New Roman"/>
                <w:sz w:val="20"/>
              </w:rPr>
              <w:t xml:space="preserve">2. </w:t>
            </w:r>
            <w:r w:rsidR="00C1753E">
              <w:rPr>
                <w:rFonts w:ascii="Times New Roman" w:hAnsi="Times New Roman"/>
                <w:sz w:val="20"/>
              </w:rPr>
              <w:t xml:space="preserve"> </w:t>
            </w:r>
            <w:r w:rsidR="00DE6465" w:rsidRPr="00EB51B1">
              <w:rPr>
                <w:rFonts w:ascii="Times New Roman" w:hAnsi="Times New Roman"/>
                <w:sz w:val="20"/>
              </w:rPr>
              <w:t>Preventing the granting of treaty benefits in inappropriate circumstances</w:t>
            </w:r>
            <w:r w:rsidR="009026D4" w:rsidRPr="00EB51B1">
              <w:rPr>
                <w:rFonts w:ascii="Times New Roman" w:hAnsi="Times New Roman"/>
                <w:sz w:val="20"/>
              </w:rPr>
              <w:t xml:space="preserve"> (Action 6 report)</w:t>
            </w:r>
          </w:p>
        </w:tc>
        <w:tc>
          <w:tcPr>
            <w:tcW w:w="9876" w:type="dxa"/>
            <w:tcBorders>
              <w:top w:val="single" w:sz="4" w:space="0" w:color="000000" w:themeColor="text1"/>
              <w:bottom w:val="nil"/>
            </w:tcBorders>
            <w:shd w:val="clear" w:color="auto" w:fill="auto"/>
          </w:tcPr>
          <w:p w:rsidR="002B3AEA" w:rsidRPr="00EB51B1" w:rsidRDefault="002B3AEA" w:rsidP="00C1753E">
            <w:pPr>
              <w:pStyle w:val="TRNormal"/>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sidRPr="00EB51B1">
              <w:rPr>
                <w:rFonts w:ascii="Times New Roman" w:hAnsi="Times New Roman"/>
                <w:b/>
                <w:sz w:val="20"/>
              </w:rPr>
              <w:t>Preamble language – minimum standard</w:t>
            </w:r>
          </w:p>
          <w:p w:rsidR="00DE6465" w:rsidRPr="00EB51B1" w:rsidRDefault="00DE6465" w:rsidP="003368F1">
            <w:pPr>
              <w:pStyle w:val="TRNormal"/>
              <w:spacing w:after="8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The MLI will amend the preamble to DTAs to emphasise that as well as aiming to relieve double taxation, the treaty also aims to prevent opportunities for non-taxation, reduced taxation or tax avoidance.</w:t>
            </w:r>
          </w:p>
          <w:p w:rsidR="009026D4" w:rsidRPr="00EB51B1" w:rsidRDefault="00DE6465" w:rsidP="00EB51B1">
            <w:pPr>
              <w:pStyle w:val="TRNormal"/>
              <w:ind w:left="12" w:hanging="12"/>
              <w:cnfStyle w:val="000000000000" w:firstRow="0" w:lastRow="0" w:firstColumn="0" w:lastColumn="0" w:oddVBand="0" w:evenVBand="0" w:oddHBand="0" w:evenHBand="0" w:firstRowFirstColumn="0" w:firstRowLastColumn="0" w:lastRowFirstColumn="0" w:lastRowLastColumn="0"/>
              <w:rPr>
                <w:rFonts w:ascii="Times New Roman" w:hAnsi="Times New Roman"/>
                <w:i/>
                <w:sz w:val="20"/>
              </w:rPr>
            </w:pPr>
            <w:r w:rsidRPr="00EB51B1">
              <w:rPr>
                <w:rFonts w:ascii="Times New Roman" w:hAnsi="Times New Roman"/>
                <w:i/>
                <w:sz w:val="20"/>
              </w:rPr>
              <w:t xml:space="preserve">Article 6(1) </w:t>
            </w:r>
            <w:r w:rsidR="009026D4" w:rsidRPr="00EB51B1">
              <w:rPr>
                <w:rFonts w:ascii="Times New Roman" w:hAnsi="Times New Roman"/>
                <w:i/>
                <w:sz w:val="20"/>
              </w:rPr>
              <w:t xml:space="preserve">and (2) </w:t>
            </w:r>
            <w:r w:rsidRPr="00EB51B1">
              <w:rPr>
                <w:rFonts w:ascii="Times New Roman" w:hAnsi="Times New Roman"/>
                <w:i/>
                <w:sz w:val="20"/>
              </w:rPr>
              <w:t xml:space="preserve">of the MLI </w:t>
            </w:r>
          </w:p>
        </w:tc>
        <w:tc>
          <w:tcPr>
            <w:tcW w:w="1063" w:type="dxa"/>
            <w:tcBorders>
              <w:top w:val="single" w:sz="4" w:space="0" w:color="000000" w:themeColor="text1"/>
              <w:bottom w:val="nil"/>
            </w:tcBorders>
            <w:shd w:val="clear" w:color="auto" w:fill="auto"/>
          </w:tcPr>
          <w:p w:rsidR="00DE6465" w:rsidRPr="00EB51B1" w:rsidRDefault="00DE6465"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c>
          <w:tcPr>
            <w:tcW w:w="1063" w:type="dxa"/>
            <w:tcBorders>
              <w:top w:val="single" w:sz="4" w:space="0" w:color="000000" w:themeColor="text1"/>
              <w:bottom w:val="nil"/>
            </w:tcBorders>
            <w:shd w:val="clear" w:color="auto" w:fill="auto"/>
          </w:tcPr>
          <w:p w:rsidR="00DE6465" w:rsidRPr="00EB51B1" w:rsidRDefault="00DE6465"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AA1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4" w:space="0" w:color="000000" w:themeColor="text1"/>
            </w:tcBorders>
            <w:shd w:val="clear" w:color="auto" w:fill="auto"/>
          </w:tcPr>
          <w:p w:rsidR="009026D4" w:rsidRPr="00EB51B1" w:rsidRDefault="009026D4" w:rsidP="00EB51B1">
            <w:pPr>
              <w:pStyle w:val="TRNormal"/>
              <w:numPr>
                <w:ilvl w:val="0"/>
                <w:numId w:val="30"/>
              </w:numPr>
              <w:ind w:left="0" w:firstLine="0"/>
              <w:rPr>
                <w:rFonts w:ascii="Times New Roman" w:hAnsi="Times New Roman"/>
                <w:sz w:val="20"/>
              </w:rPr>
            </w:pPr>
          </w:p>
        </w:tc>
        <w:tc>
          <w:tcPr>
            <w:tcW w:w="9876" w:type="dxa"/>
            <w:tcBorders>
              <w:top w:val="nil"/>
              <w:bottom w:val="single" w:sz="4" w:space="0" w:color="000000" w:themeColor="text1"/>
            </w:tcBorders>
            <w:shd w:val="clear" w:color="auto" w:fill="auto"/>
          </w:tcPr>
          <w:p w:rsidR="002B3AEA" w:rsidRPr="00EB51B1" w:rsidRDefault="002B3AEA" w:rsidP="00C1753E">
            <w:pPr>
              <w:pStyle w:val="TRNormal"/>
              <w:spacing w:after="14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sidRPr="00EB51B1">
              <w:rPr>
                <w:rFonts w:ascii="Times New Roman" w:hAnsi="Times New Roman"/>
                <w:b/>
                <w:sz w:val="20"/>
              </w:rPr>
              <w:t>Preamble language – optional amendment</w:t>
            </w:r>
          </w:p>
          <w:p w:rsidR="009026D4" w:rsidRPr="00EB51B1" w:rsidRDefault="009026D4" w:rsidP="003368F1">
            <w:pPr>
              <w:pStyle w:val="TRNormal"/>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The MLI allows countries to adopt the following optional ame</w:t>
            </w:r>
            <w:r w:rsidR="00FF1B36">
              <w:rPr>
                <w:rFonts w:ascii="Times New Roman" w:hAnsi="Times New Roman"/>
                <w:sz w:val="20"/>
              </w:rPr>
              <w:t>ndment to the preamble to DTAs:</w:t>
            </w:r>
          </w:p>
          <w:p w:rsidR="009026D4" w:rsidRPr="00EB51B1" w:rsidRDefault="009026D4" w:rsidP="003368F1">
            <w:pPr>
              <w:pStyle w:val="TRNormal"/>
              <w:spacing w:after="8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“Desiring to further develop their economic relationship and to enhance their co-operation in tax matters,”</w:t>
            </w:r>
          </w:p>
          <w:p w:rsidR="003368F1" w:rsidRPr="003368F1" w:rsidRDefault="009026D4" w:rsidP="003368F1">
            <w:pPr>
              <w:pStyle w:val="TRNormal"/>
              <w:ind w:left="12" w:hanging="12"/>
              <w:cnfStyle w:val="000000100000" w:firstRow="0" w:lastRow="0" w:firstColumn="0" w:lastColumn="0" w:oddVBand="0" w:evenVBand="0" w:oddHBand="1" w:evenHBand="0" w:firstRowFirstColumn="0" w:firstRowLastColumn="0" w:lastRowFirstColumn="0" w:lastRowLastColumn="0"/>
              <w:rPr>
                <w:rFonts w:ascii="Times New Roman" w:hAnsi="Times New Roman"/>
                <w:i/>
                <w:sz w:val="20"/>
              </w:rPr>
            </w:pPr>
            <w:r w:rsidRPr="00EB51B1">
              <w:rPr>
                <w:rFonts w:ascii="Times New Roman" w:hAnsi="Times New Roman"/>
                <w:i/>
                <w:sz w:val="20"/>
              </w:rPr>
              <w:t xml:space="preserve">Article 6(3) and (6) of the MLI </w:t>
            </w:r>
          </w:p>
        </w:tc>
        <w:tc>
          <w:tcPr>
            <w:tcW w:w="1063" w:type="dxa"/>
            <w:tcBorders>
              <w:top w:val="nil"/>
              <w:bottom w:val="single" w:sz="4" w:space="0" w:color="000000" w:themeColor="text1"/>
            </w:tcBorders>
            <w:shd w:val="clear" w:color="auto" w:fill="auto"/>
          </w:tcPr>
          <w:p w:rsidR="009026D4" w:rsidRPr="00EB51B1" w:rsidRDefault="009026D4"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top w:val="nil"/>
              <w:bottom w:val="single" w:sz="4" w:space="0" w:color="000000" w:themeColor="text1"/>
            </w:tcBorders>
            <w:shd w:val="clear" w:color="auto" w:fill="auto"/>
          </w:tcPr>
          <w:p w:rsidR="009026D4" w:rsidRPr="00EB51B1" w:rsidRDefault="009026D4"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AA1FD3" w:rsidRPr="00EB51B1" w:rsidTr="00AA1FD3">
        <w:trPr>
          <w:cantSplit/>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4" w:space="0" w:color="000000" w:themeColor="text1"/>
            </w:tcBorders>
            <w:shd w:val="clear" w:color="auto" w:fill="auto"/>
          </w:tcPr>
          <w:p w:rsidR="00DE6465" w:rsidRPr="00EB51B1" w:rsidRDefault="00DE6465" w:rsidP="00EB51B1">
            <w:pPr>
              <w:pStyle w:val="TRNormal"/>
              <w:ind w:left="0" w:firstLine="0"/>
              <w:rPr>
                <w:rFonts w:ascii="Times New Roman" w:hAnsi="Times New Roman"/>
                <w:sz w:val="20"/>
              </w:rPr>
            </w:pPr>
          </w:p>
        </w:tc>
        <w:tc>
          <w:tcPr>
            <w:tcW w:w="9876" w:type="dxa"/>
            <w:tcBorders>
              <w:top w:val="single" w:sz="4" w:space="0" w:color="000000" w:themeColor="text1"/>
            </w:tcBorders>
            <w:shd w:val="clear" w:color="auto" w:fill="auto"/>
          </w:tcPr>
          <w:p w:rsidR="002B3AEA" w:rsidRPr="00EB51B1" w:rsidRDefault="002B3AEA" w:rsidP="00385AED">
            <w:pPr>
              <w:pStyle w:val="TRNormal"/>
              <w:keepNext/>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sidRPr="00EB51B1">
              <w:rPr>
                <w:rFonts w:ascii="Times New Roman" w:hAnsi="Times New Roman"/>
                <w:b/>
                <w:sz w:val="20"/>
              </w:rPr>
              <w:t xml:space="preserve">Treaty anti-abuse </w:t>
            </w:r>
            <w:r w:rsidR="00F55941" w:rsidRPr="00EB51B1">
              <w:rPr>
                <w:rFonts w:ascii="Times New Roman" w:hAnsi="Times New Roman"/>
                <w:b/>
                <w:sz w:val="20"/>
              </w:rPr>
              <w:t>rules</w:t>
            </w:r>
          </w:p>
          <w:p w:rsidR="009026D4" w:rsidRPr="00EB51B1" w:rsidRDefault="00DE6465" w:rsidP="00C1753E">
            <w:pPr>
              <w:pStyle w:val="TRNormal"/>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The MLI </w:t>
            </w:r>
            <w:r w:rsidR="009026D4" w:rsidRPr="00EB51B1">
              <w:rPr>
                <w:rFonts w:ascii="Times New Roman" w:hAnsi="Times New Roman"/>
                <w:sz w:val="20"/>
              </w:rPr>
              <w:t xml:space="preserve">requires jurisdictions to </w:t>
            </w:r>
            <w:r w:rsidRPr="00EB51B1">
              <w:rPr>
                <w:rFonts w:ascii="Times New Roman" w:hAnsi="Times New Roman"/>
                <w:sz w:val="20"/>
              </w:rPr>
              <w:t>introduce an anti-abuse rule into DTAs</w:t>
            </w:r>
            <w:r w:rsidR="002D1F3E">
              <w:rPr>
                <w:rFonts w:ascii="Times New Roman" w:hAnsi="Times New Roman"/>
                <w:sz w:val="20"/>
              </w:rPr>
              <w:t>.  J</w:t>
            </w:r>
            <w:r w:rsidR="009026D4" w:rsidRPr="00EB51B1">
              <w:rPr>
                <w:rFonts w:ascii="Times New Roman" w:hAnsi="Times New Roman"/>
                <w:sz w:val="20"/>
              </w:rPr>
              <w:t>urisdictions can meet this minimum requirement in one of three ways:</w:t>
            </w:r>
          </w:p>
          <w:p w:rsidR="009026D4" w:rsidRPr="00EB51B1" w:rsidRDefault="009026D4" w:rsidP="00C1753E">
            <w:pPr>
              <w:pStyle w:val="TRNormal"/>
              <w:numPr>
                <w:ilvl w:val="0"/>
                <w:numId w:val="32"/>
              </w:numPr>
              <w:ind w:left="380" w:hanging="380"/>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a </w:t>
            </w:r>
            <w:r w:rsidR="00E27769" w:rsidRPr="00EB51B1">
              <w:rPr>
                <w:rFonts w:ascii="Times New Roman" w:hAnsi="Times New Roman"/>
                <w:sz w:val="20"/>
              </w:rPr>
              <w:t>principal purpose test (</w:t>
            </w:r>
            <w:r w:rsidRPr="00EB51B1">
              <w:rPr>
                <w:rFonts w:ascii="Times New Roman" w:hAnsi="Times New Roman"/>
                <w:sz w:val="20"/>
              </w:rPr>
              <w:t>PPT</w:t>
            </w:r>
            <w:r w:rsidR="00E27769" w:rsidRPr="00EB51B1">
              <w:rPr>
                <w:rFonts w:ascii="Times New Roman" w:hAnsi="Times New Roman"/>
                <w:sz w:val="20"/>
              </w:rPr>
              <w:t>)</w:t>
            </w:r>
            <w:r w:rsidRPr="00EB51B1">
              <w:rPr>
                <w:rFonts w:ascii="Times New Roman" w:hAnsi="Times New Roman"/>
                <w:sz w:val="20"/>
              </w:rPr>
              <w:t xml:space="preserve"> alone;</w:t>
            </w:r>
          </w:p>
          <w:p w:rsidR="009026D4" w:rsidRPr="00EB51B1" w:rsidRDefault="009026D4" w:rsidP="00C1753E">
            <w:pPr>
              <w:pStyle w:val="TRNormal"/>
              <w:numPr>
                <w:ilvl w:val="0"/>
                <w:numId w:val="32"/>
              </w:numPr>
              <w:ind w:left="380" w:hanging="380"/>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a PPT plus a “simplified limitation on benefits” (LOB) clause.  The LOB is a mechanical provision that seeks to identify, through a series of black-letter tests, whether a person is genuinely entitled to the benefits of a DTA; or</w:t>
            </w:r>
          </w:p>
          <w:p w:rsidR="009026D4" w:rsidRPr="00EB51B1" w:rsidRDefault="009026D4" w:rsidP="00C1753E">
            <w:pPr>
              <w:pStyle w:val="TRNormal"/>
              <w:numPr>
                <w:ilvl w:val="0"/>
                <w:numId w:val="32"/>
              </w:numPr>
              <w:spacing w:after="140"/>
              <w:ind w:left="378" w:hanging="378"/>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enter into bilateral negotiations to include a detailed LOB provision plus a PPT or anti-conduit rules.</w:t>
            </w:r>
          </w:p>
          <w:p w:rsidR="00DE6465" w:rsidRPr="00EB51B1" w:rsidRDefault="00DE6465" w:rsidP="003368F1">
            <w:pPr>
              <w:pStyle w:val="TRNormal"/>
              <w:spacing w:after="8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In the case of New Zealand, </w:t>
            </w:r>
            <w:r w:rsidR="00F55941" w:rsidRPr="00EB51B1">
              <w:rPr>
                <w:rFonts w:ascii="Times New Roman" w:hAnsi="Times New Roman"/>
                <w:sz w:val="20"/>
              </w:rPr>
              <w:t>officials’</w:t>
            </w:r>
            <w:r w:rsidRPr="00EB51B1">
              <w:rPr>
                <w:rFonts w:ascii="Times New Roman" w:hAnsi="Times New Roman"/>
                <w:sz w:val="20"/>
              </w:rPr>
              <w:t xml:space="preserve"> favour adopting a PPT alone.  The PPT is very similar to </w:t>
            </w:r>
            <w:r w:rsidR="009026D4" w:rsidRPr="00EB51B1">
              <w:rPr>
                <w:rFonts w:ascii="Times New Roman" w:hAnsi="Times New Roman"/>
                <w:sz w:val="20"/>
              </w:rPr>
              <w:t xml:space="preserve">New Zealand’s </w:t>
            </w:r>
            <w:r w:rsidRPr="00EB51B1">
              <w:rPr>
                <w:rFonts w:ascii="Times New Roman" w:hAnsi="Times New Roman"/>
                <w:sz w:val="20"/>
              </w:rPr>
              <w:t>domestic law GAAR and will deny treaty benefits if the principal purpose of an arrangement was to secure those benefits</w:t>
            </w:r>
            <w:r w:rsidR="002D1F3E">
              <w:rPr>
                <w:rFonts w:ascii="Times New Roman" w:hAnsi="Times New Roman"/>
                <w:sz w:val="20"/>
              </w:rPr>
              <w:t>.  A</w:t>
            </w:r>
            <w:r w:rsidRPr="00EB51B1">
              <w:rPr>
                <w:rFonts w:ascii="Times New Roman" w:hAnsi="Times New Roman"/>
                <w:sz w:val="20"/>
              </w:rPr>
              <w:t xml:space="preserve">lso, in </w:t>
            </w:r>
            <w:r w:rsidR="009026D4" w:rsidRPr="00EB51B1">
              <w:rPr>
                <w:rFonts w:ascii="Times New Roman" w:hAnsi="Times New Roman"/>
                <w:sz w:val="20"/>
              </w:rPr>
              <w:t>officials’</w:t>
            </w:r>
            <w:r w:rsidRPr="00EB51B1">
              <w:rPr>
                <w:rFonts w:ascii="Times New Roman" w:hAnsi="Times New Roman"/>
                <w:sz w:val="20"/>
              </w:rPr>
              <w:t xml:space="preserve"> view, it generally covers the same treaty shopping issues</w:t>
            </w:r>
            <w:r w:rsidR="00FF1B36">
              <w:rPr>
                <w:rFonts w:ascii="Times New Roman" w:hAnsi="Times New Roman"/>
                <w:sz w:val="20"/>
              </w:rPr>
              <w:t xml:space="preserve"> as the alternative approaches.</w:t>
            </w:r>
          </w:p>
          <w:p w:rsidR="009026D4" w:rsidRPr="00EB51B1" w:rsidRDefault="009026D4" w:rsidP="00EB51B1">
            <w:pPr>
              <w:pStyle w:val="TRNormal"/>
              <w:ind w:left="12" w:hanging="12"/>
              <w:cnfStyle w:val="000000000000" w:firstRow="0" w:lastRow="0" w:firstColumn="0" w:lastColumn="0" w:oddVBand="0" w:evenVBand="0" w:oddHBand="0" w:evenHBand="0" w:firstRowFirstColumn="0" w:firstRowLastColumn="0" w:lastRowFirstColumn="0" w:lastRowLastColumn="0"/>
              <w:rPr>
                <w:rFonts w:ascii="Times New Roman" w:hAnsi="Times New Roman"/>
                <w:i/>
                <w:sz w:val="20"/>
              </w:rPr>
            </w:pPr>
            <w:r w:rsidRPr="00EB51B1">
              <w:rPr>
                <w:rFonts w:ascii="Times New Roman" w:hAnsi="Times New Roman"/>
                <w:i/>
                <w:sz w:val="20"/>
              </w:rPr>
              <w:t xml:space="preserve">Article 7 of the MLI </w:t>
            </w:r>
          </w:p>
        </w:tc>
        <w:tc>
          <w:tcPr>
            <w:tcW w:w="1063" w:type="dxa"/>
            <w:tcBorders>
              <w:top w:val="single" w:sz="4" w:space="0" w:color="000000" w:themeColor="text1"/>
            </w:tcBorders>
            <w:shd w:val="clear" w:color="auto" w:fill="auto"/>
          </w:tcPr>
          <w:p w:rsidR="00DE6465" w:rsidRPr="00EB51B1" w:rsidRDefault="00DE6465"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c>
          <w:tcPr>
            <w:tcW w:w="1063" w:type="dxa"/>
            <w:tcBorders>
              <w:top w:val="single" w:sz="4" w:space="0" w:color="000000" w:themeColor="text1"/>
            </w:tcBorders>
            <w:shd w:val="clear" w:color="auto" w:fill="auto"/>
          </w:tcPr>
          <w:p w:rsidR="00DE6465" w:rsidRPr="00EB51B1" w:rsidRDefault="00DE6465"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AA1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4" w:space="0" w:color="000000" w:themeColor="text1"/>
            </w:tcBorders>
            <w:shd w:val="clear" w:color="auto" w:fill="auto"/>
          </w:tcPr>
          <w:p w:rsidR="00DE6465" w:rsidRPr="00EB51B1" w:rsidRDefault="00DE6465" w:rsidP="00EB51B1">
            <w:pPr>
              <w:pStyle w:val="TRNormal"/>
              <w:ind w:left="0" w:firstLine="0"/>
              <w:rPr>
                <w:rFonts w:ascii="Times New Roman" w:hAnsi="Times New Roman"/>
                <w:sz w:val="20"/>
              </w:rPr>
            </w:pPr>
          </w:p>
        </w:tc>
        <w:tc>
          <w:tcPr>
            <w:tcW w:w="9876" w:type="dxa"/>
            <w:tcBorders>
              <w:bottom w:val="nil"/>
            </w:tcBorders>
            <w:shd w:val="clear" w:color="auto" w:fill="auto"/>
          </w:tcPr>
          <w:p w:rsidR="00F55941" w:rsidRPr="00EB51B1" w:rsidRDefault="00F55941" w:rsidP="00C1753E">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b/>
                <w:sz w:val="20"/>
              </w:rPr>
              <w:t>Dividend transfer transactions</w:t>
            </w:r>
          </w:p>
          <w:p w:rsidR="00DE6465" w:rsidRPr="00EB51B1" w:rsidRDefault="00DE6465" w:rsidP="003368F1">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The MLI introduces a provision that requires shares to be held for a minimum of 365 days for the shareholder to be entitled to the reduced withholding tax (WHT) rates on dividends</w:t>
            </w:r>
            <w:r w:rsidR="002D1F3E">
              <w:rPr>
                <w:rFonts w:ascii="Times New Roman" w:hAnsi="Times New Roman"/>
                <w:sz w:val="20"/>
              </w:rPr>
              <w:t>.  T</w:t>
            </w:r>
            <w:r w:rsidRPr="00EB51B1">
              <w:rPr>
                <w:rFonts w:ascii="Times New Roman" w:hAnsi="Times New Roman"/>
                <w:sz w:val="20"/>
              </w:rPr>
              <w:t>his is to stop shareholders buying shares temporarily to access the reduced WHT rates and then immediately selling them.</w:t>
            </w:r>
          </w:p>
          <w:p w:rsidR="001145D1" w:rsidRPr="00EB51B1" w:rsidRDefault="001145D1" w:rsidP="00C1753E">
            <w:pPr>
              <w:pStyle w:val="TRNormal"/>
              <w:ind w:left="12" w:hanging="12"/>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i/>
                <w:sz w:val="20"/>
              </w:rPr>
              <w:t xml:space="preserve">Article 8 of the MLI </w:t>
            </w:r>
          </w:p>
        </w:tc>
        <w:tc>
          <w:tcPr>
            <w:tcW w:w="1063" w:type="dxa"/>
            <w:tcBorders>
              <w:bottom w:val="nil"/>
            </w:tcBorders>
            <w:shd w:val="clear" w:color="auto" w:fill="auto"/>
          </w:tcPr>
          <w:p w:rsidR="00DE6465" w:rsidRPr="00EB51B1" w:rsidRDefault="00DE6465"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bottom w:val="nil"/>
            </w:tcBorders>
            <w:shd w:val="clear" w:color="auto" w:fill="auto"/>
          </w:tcPr>
          <w:p w:rsidR="00DE6465" w:rsidRPr="00EB51B1" w:rsidRDefault="00DE6465"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DE6465" w:rsidRPr="00EB51B1" w:rsidTr="00AA1FD3">
        <w:tc>
          <w:tcPr>
            <w:cnfStyle w:val="001000000000" w:firstRow="0" w:lastRow="0" w:firstColumn="1" w:lastColumn="0" w:oddVBand="0" w:evenVBand="0" w:oddHBand="0" w:evenHBand="0" w:firstRowFirstColumn="0" w:firstRowLastColumn="0" w:lastRowFirstColumn="0" w:lastRowLastColumn="0"/>
            <w:tcW w:w="2032" w:type="dxa"/>
            <w:vMerge/>
            <w:tcBorders>
              <w:top w:val="nil"/>
              <w:bottom w:val="single" w:sz="4" w:space="0" w:color="000000" w:themeColor="text1"/>
            </w:tcBorders>
            <w:shd w:val="clear" w:color="auto" w:fill="auto"/>
          </w:tcPr>
          <w:p w:rsidR="00DE6465" w:rsidRPr="00EB51B1" w:rsidRDefault="00DE6465" w:rsidP="00EB51B1">
            <w:pPr>
              <w:pStyle w:val="TRNormal"/>
              <w:ind w:left="0" w:firstLine="0"/>
              <w:rPr>
                <w:rFonts w:ascii="Times New Roman" w:hAnsi="Times New Roman"/>
                <w:sz w:val="20"/>
              </w:rPr>
            </w:pPr>
          </w:p>
        </w:tc>
        <w:tc>
          <w:tcPr>
            <w:tcW w:w="9876" w:type="dxa"/>
            <w:tcBorders>
              <w:top w:val="nil"/>
              <w:bottom w:val="single" w:sz="4" w:space="0" w:color="000000" w:themeColor="text1"/>
            </w:tcBorders>
            <w:shd w:val="clear" w:color="auto" w:fill="auto"/>
          </w:tcPr>
          <w:p w:rsidR="00F55941" w:rsidRPr="00EB51B1" w:rsidRDefault="00F55941" w:rsidP="00C1753E">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b/>
                <w:sz w:val="20"/>
              </w:rPr>
              <w:t>Land rich company rules</w:t>
            </w:r>
          </w:p>
          <w:p w:rsidR="00DE6465" w:rsidRPr="00EB51B1" w:rsidRDefault="00DE6465" w:rsidP="00C1753E">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The MLI introduces a treaty provision that strengthens the anti-abuse “land-rich company” test (land rich companies are companies whose assets are mainly land)</w:t>
            </w:r>
            <w:r w:rsidR="002D1F3E">
              <w:rPr>
                <w:rFonts w:ascii="Times New Roman" w:hAnsi="Times New Roman"/>
                <w:sz w:val="20"/>
              </w:rPr>
              <w:t>.  S</w:t>
            </w:r>
            <w:r w:rsidRPr="00EB51B1">
              <w:rPr>
                <w:rFonts w:ascii="Times New Roman" w:hAnsi="Times New Roman"/>
                <w:sz w:val="20"/>
              </w:rPr>
              <w:t>ome treaties do not contain this provision at all, so the MLI also allows it to b</w:t>
            </w:r>
            <w:r w:rsidR="00A12ACF">
              <w:rPr>
                <w:rFonts w:ascii="Times New Roman" w:hAnsi="Times New Roman"/>
                <w:sz w:val="20"/>
              </w:rPr>
              <w:t>e inserted into those treaties.</w:t>
            </w:r>
          </w:p>
          <w:p w:rsidR="00DE6465" w:rsidRPr="00EB51B1" w:rsidRDefault="00DE6465" w:rsidP="00C1753E">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The new rule reinforces the position that the source </w:t>
            </w:r>
            <w:r w:rsidR="002170A2" w:rsidRPr="00EB51B1">
              <w:rPr>
                <w:rFonts w:ascii="Times New Roman" w:hAnsi="Times New Roman"/>
                <w:sz w:val="20"/>
              </w:rPr>
              <w:t>jurisdiction</w:t>
            </w:r>
            <w:r w:rsidRPr="00EB51B1">
              <w:rPr>
                <w:rFonts w:ascii="Times New Roman" w:hAnsi="Times New Roman"/>
                <w:sz w:val="20"/>
              </w:rPr>
              <w:t xml:space="preserve"> can tax land held by non-resident owners in the other </w:t>
            </w:r>
            <w:r w:rsidR="002170A2" w:rsidRPr="00EB51B1">
              <w:rPr>
                <w:rFonts w:ascii="Times New Roman" w:hAnsi="Times New Roman"/>
                <w:sz w:val="20"/>
              </w:rPr>
              <w:t>jurisdiction</w:t>
            </w:r>
            <w:r w:rsidRPr="00EB51B1">
              <w:rPr>
                <w:rFonts w:ascii="Times New Roman" w:hAnsi="Times New Roman"/>
                <w:sz w:val="20"/>
              </w:rPr>
              <w:t xml:space="preserve"> through corporate vehicles</w:t>
            </w:r>
            <w:r w:rsidR="002D1F3E">
              <w:rPr>
                <w:rFonts w:ascii="Times New Roman" w:hAnsi="Times New Roman"/>
                <w:sz w:val="20"/>
              </w:rPr>
              <w:t>.  T</w:t>
            </w:r>
            <w:r w:rsidRPr="00EB51B1">
              <w:rPr>
                <w:rFonts w:ascii="Times New Roman" w:hAnsi="Times New Roman"/>
                <w:sz w:val="20"/>
              </w:rPr>
              <w:t>o prevent artificial and temporary dilution of the amount of land held by a company just before sale, the MLI provision requires the threshold for the amount of land ownership which triggers the rule to be measured on every day in the 365 day period leadin</w:t>
            </w:r>
            <w:r w:rsidR="00FF1B36">
              <w:rPr>
                <w:rFonts w:ascii="Times New Roman" w:hAnsi="Times New Roman"/>
                <w:sz w:val="20"/>
              </w:rPr>
              <w:t>g up to the sale of the shares.</w:t>
            </w:r>
          </w:p>
          <w:p w:rsidR="00DE6465" w:rsidRPr="00EB51B1" w:rsidRDefault="00DE6465" w:rsidP="003368F1">
            <w:pPr>
              <w:pStyle w:val="TRNormal"/>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The MLI provision also ensures the same rule applies to other investment vehicles such as partnerships and trusts.</w:t>
            </w:r>
          </w:p>
          <w:p w:rsidR="003368F1" w:rsidRPr="003368F1" w:rsidRDefault="001145D1" w:rsidP="003368F1">
            <w:pPr>
              <w:pStyle w:val="TRNormal"/>
              <w:ind w:left="12" w:hanging="12"/>
              <w:cnfStyle w:val="000000000000" w:firstRow="0" w:lastRow="0" w:firstColumn="0" w:lastColumn="0" w:oddVBand="0" w:evenVBand="0" w:oddHBand="0" w:evenHBand="0" w:firstRowFirstColumn="0" w:firstRowLastColumn="0" w:lastRowFirstColumn="0" w:lastRowLastColumn="0"/>
              <w:rPr>
                <w:rFonts w:ascii="Times New Roman" w:hAnsi="Times New Roman"/>
                <w:i/>
                <w:sz w:val="20"/>
              </w:rPr>
            </w:pPr>
            <w:r w:rsidRPr="00EB51B1">
              <w:rPr>
                <w:rFonts w:ascii="Times New Roman" w:hAnsi="Times New Roman"/>
                <w:i/>
                <w:sz w:val="20"/>
              </w:rPr>
              <w:t xml:space="preserve">Article 9 of the MLI </w:t>
            </w:r>
          </w:p>
        </w:tc>
        <w:tc>
          <w:tcPr>
            <w:tcW w:w="1063" w:type="dxa"/>
            <w:tcBorders>
              <w:top w:val="nil"/>
              <w:bottom w:val="single" w:sz="4" w:space="0" w:color="000000" w:themeColor="text1"/>
            </w:tcBorders>
            <w:shd w:val="clear" w:color="auto" w:fill="auto"/>
          </w:tcPr>
          <w:p w:rsidR="00DE6465" w:rsidRPr="00EB51B1" w:rsidRDefault="00DE6465"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top w:val="nil"/>
              <w:bottom w:val="single" w:sz="4" w:space="0" w:color="000000" w:themeColor="text1"/>
            </w:tcBorders>
            <w:shd w:val="clear" w:color="auto" w:fill="auto"/>
          </w:tcPr>
          <w:p w:rsidR="00DE6465" w:rsidRPr="00EB51B1" w:rsidRDefault="00DE6465"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AA1F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vMerge/>
            <w:tcBorders>
              <w:top w:val="single" w:sz="4" w:space="0" w:color="000000" w:themeColor="text1"/>
              <w:bottom w:val="single" w:sz="4" w:space="0" w:color="000000" w:themeColor="text1"/>
            </w:tcBorders>
            <w:shd w:val="clear" w:color="auto" w:fill="auto"/>
          </w:tcPr>
          <w:p w:rsidR="00DE6465" w:rsidRPr="00EB51B1" w:rsidRDefault="00DE6465" w:rsidP="003368F1">
            <w:pPr>
              <w:pStyle w:val="TRNormal"/>
              <w:keepNext/>
              <w:ind w:left="0" w:firstLine="0"/>
              <w:rPr>
                <w:rFonts w:ascii="Times New Roman" w:hAnsi="Times New Roman"/>
                <w:sz w:val="20"/>
              </w:rPr>
            </w:pPr>
          </w:p>
        </w:tc>
        <w:tc>
          <w:tcPr>
            <w:tcW w:w="9876" w:type="dxa"/>
            <w:tcBorders>
              <w:top w:val="single" w:sz="4" w:space="0" w:color="000000" w:themeColor="text1"/>
              <w:bottom w:val="nil"/>
            </w:tcBorders>
            <w:shd w:val="clear" w:color="auto" w:fill="auto"/>
          </w:tcPr>
          <w:p w:rsidR="00F55941" w:rsidRPr="00EB51B1" w:rsidRDefault="00F55941" w:rsidP="00030770">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b/>
                <w:sz w:val="20"/>
              </w:rPr>
              <w:t>Third-state PE rules</w:t>
            </w:r>
          </w:p>
          <w:p w:rsidR="00DE6465" w:rsidRPr="00EB51B1" w:rsidRDefault="00DE6465" w:rsidP="00030770">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The MLI introduces a treaty provision that denies treaty benefits in the case of income derived by a PE of a resident of one of the parties to the DTA, where that PE is situated in a low tax third-state.</w:t>
            </w:r>
          </w:p>
          <w:p w:rsidR="00F55941" w:rsidRPr="00EB51B1" w:rsidRDefault="00A12ACF" w:rsidP="00030770">
            <w:pPr>
              <w:pStyle w:val="TRNormal"/>
              <w:ind w:left="12" w:hanging="12"/>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i/>
                <w:sz w:val="20"/>
              </w:rPr>
              <w:t>Article 10 of the MLI</w:t>
            </w:r>
          </w:p>
        </w:tc>
        <w:tc>
          <w:tcPr>
            <w:tcW w:w="1063" w:type="dxa"/>
            <w:tcBorders>
              <w:top w:val="single" w:sz="4" w:space="0" w:color="000000" w:themeColor="text1"/>
              <w:bottom w:val="nil"/>
            </w:tcBorders>
            <w:shd w:val="clear" w:color="auto" w:fill="auto"/>
          </w:tcPr>
          <w:p w:rsidR="00DE6465" w:rsidRPr="00EB51B1" w:rsidRDefault="00DE6465" w:rsidP="00030770">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top w:val="single" w:sz="4" w:space="0" w:color="000000" w:themeColor="text1"/>
              <w:bottom w:val="nil"/>
            </w:tcBorders>
            <w:shd w:val="clear" w:color="auto" w:fill="auto"/>
          </w:tcPr>
          <w:p w:rsidR="00DE6465" w:rsidRPr="00EB51B1" w:rsidRDefault="00DE6465" w:rsidP="00030770">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AA1FD3">
        <w:trPr>
          <w:cantSplit/>
        </w:trPr>
        <w:tc>
          <w:tcPr>
            <w:cnfStyle w:val="001000000000" w:firstRow="0" w:lastRow="0" w:firstColumn="1" w:lastColumn="0" w:oddVBand="0" w:evenVBand="0" w:oddHBand="0" w:evenHBand="0" w:firstRowFirstColumn="0" w:firstRowLastColumn="0" w:lastRowFirstColumn="0" w:lastRowLastColumn="0"/>
            <w:tcW w:w="2032" w:type="dxa"/>
            <w:vMerge/>
            <w:tcBorders>
              <w:top w:val="nil"/>
              <w:bottom w:val="single" w:sz="4" w:space="0" w:color="000000" w:themeColor="text1"/>
            </w:tcBorders>
            <w:shd w:val="clear" w:color="auto" w:fill="auto"/>
          </w:tcPr>
          <w:p w:rsidR="00DE6465" w:rsidRPr="00EB51B1" w:rsidRDefault="00DE6465" w:rsidP="00EB51B1">
            <w:pPr>
              <w:pStyle w:val="TRNormal"/>
              <w:ind w:left="0" w:firstLine="0"/>
              <w:rPr>
                <w:rFonts w:ascii="Times New Roman" w:hAnsi="Times New Roman"/>
                <w:sz w:val="20"/>
              </w:rPr>
            </w:pPr>
          </w:p>
        </w:tc>
        <w:tc>
          <w:tcPr>
            <w:tcW w:w="9876" w:type="dxa"/>
            <w:tcBorders>
              <w:top w:val="nil"/>
              <w:bottom w:val="single" w:sz="4" w:space="0" w:color="000000" w:themeColor="text1"/>
            </w:tcBorders>
            <w:shd w:val="clear" w:color="auto" w:fill="auto"/>
          </w:tcPr>
          <w:p w:rsidR="00F55941" w:rsidRPr="00EB51B1" w:rsidRDefault="00F55941" w:rsidP="003368F1">
            <w:pPr>
              <w:pStyle w:val="TRNormal"/>
              <w:keepNext/>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b/>
                <w:sz w:val="20"/>
              </w:rPr>
              <w:t>Right to tax own residents</w:t>
            </w:r>
          </w:p>
          <w:p w:rsidR="00DE6465" w:rsidRPr="00EB51B1" w:rsidRDefault="00DE6465" w:rsidP="003368F1">
            <w:pPr>
              <w:pStyle w:val="TRNormal"/>
              <w:keepNext/>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The MLI introduces a provision that preserves a </w:t>
            </w:r>
            <w:r w:rsidR="002170A2" w:rsidRPr="00EB51B1">
              <w:rPr>
                <w:rFonts w:ascii="Times New Roman" w:hAnsi="Times New Roman"/>
                <w:sz w:val="20"/>
              </w:rPr>
              <w:t>jurisdiction</w:t>
            </w:r>
            <w:r w:rsidRPr="00EB51B1">
              <w:rPr>
                <w:rFonts w:ascii="Times New Roman" w:hAnsi="Times New Roman"/>
                <w:sz w:val="20"/>
              </w:rPr>
              <w:t>’s right to tax its own residents (for example, this prevents New Zealand residents engaged in a tax avoidance arrangement claiming a DTA prevents New Zealand from using the domestic law GAAR to impose tax).</w:t>
            </w:r>
          </w:p>
          <w:p w:rsidR="001145D1" w:rsidRPr="00EB51B1" w:rsidRDefault="001145D1" w:rsidP="003368F1">
            <w:pPr>
              <w:pStyle w:val="TRNormal"/>
              <w:keepNext/>
              <w:ind w:left="12" w:hanging="12"/>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i/>
                <w:sz w:val="20"/>
              </w:rPr>
              <w:t xml:space="preserve">Article 11 of the MLI </w:t>
            </w:r>
          </w:p>
        </w:tc>
        <w:tc>
          <w:tcPr>
            <w:tcW w:w="1063" w:type="dxa"/>
            <w:tcBorders>
              <w:top w:val="nil"/>
              <w:bottom w:val="single" w:sz="4" w:space="0" w:color="000000" w:themeColor="text1"/>
            </w:tcBorders>
            <w:shd w:val="clear" w:color="auto" w:fill="auto"/>
          </w:tcPr>
          <w:p w:rsidR="00DE6465" w:rsidRPr="00EB51B1" w:rsidRDefault="00DE6465"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top w:val="nil"/>
              <w:bottom w:val="single" w:sz="4" w:space="0" w:color="000000" w:themeColor="text1"/>
            </w:tcBorders>
            <w:shd w:val="clear" w:color="auto" w:fill="auto"/>
          </w:tcPr>
          <w:p w:rsidR="00DE6465" w:rsidRPr="00EB51B1" w:rsidRDefault="00DE6465"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AA1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4" w:space="0" w:color="000000" w:themeColor="text1"/>
              <w:bottom w:val="single" w:sz="4" w:space="0" w:color="000000" w:themeColor="text1"/>
            </w:tcBorders>
            <w:shd w:val="clear" w:color="auto" w:fill="auto"/>
          </w:tcPr>
          <w:p w:rsidR="00DE6465" w:rsidRPr="00EB51B1" w:rsidRDefault="00EB51B1" w:rsidP="00EB51B1">
            <w:pPr>
              <w:pStyle w:val="TRNormal"/>
              <w:ind w:left="0" w:firstLine="0"/>
              <w:rPr>
                <w:rFonts w:ascii="Times New Roman" w:hAnsi="Times New Roman"/>
                <w:sz w:val="20"/>
              </w:rPr>
            </w:pPr>
            <w:r>
              <w:rPr>
                <w:rFonts w:ascii="Times New Roman" w:hAnsi="Times New Roman"/>
                <w:sz w:val="20"/>
              </w:rPr>
              <w:t xml:space="preserve">3. </w:t>
            </w:r>
            <w:r w:rsidR="00C1753E">
              <w:rPr>
                <w:rFonts w:ascii="Times New Roman" w:hAnsi="Times New Roman"/>
                <w:sz w:val="20"/>
              </w:rPr>
              <w:t xml:space="preserve"> </w:t>
            </w:r>
            <w:r w:rsidR="00DE6465" w:rsidRPr="00EB51B1">
              <w:rPr>
                <w:rFonts w:ascii="Times New Roman" w:hAnsi="Times New Roman"/>
                <w:sz w:val="20"/>
              </w:rPr>
              <w:t>Preventing the artificial avoidance of PE status</w:t>
            </w:r>
          </w:p>
        </w:tc>
        <w:tc>
          <w:tcPr>
            <w:tcW w:w="9876" w:type="dxa"/>
            <w:tcBorders>
              <w:top w:val="single" w:sz="4" w:space="0" w:color="000000" w:themeColor="text1"/>
            </w:tcBorders>
            <w:shd w:val="clear" w:color="auto" w:fill="auto"/>
          </w:tcPr>
          <w:p w:rsidR="00F55941" w:rsidRPr="00EB51B1" w:rsidRDefault="00F55941" w:rsidP="00C1753E">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b/>
                <w:sz w:val="20"/>
              </w:rPr>
              <w:t>Commissionaire arrangements and similar strategies</w:t>
            </w:r>
          </w:p>
          <w:p w:rsidR="00DE6465" w:rsidRPr="00EB51B1" w:rsidRDefault="00DE6465" w:rsidP="003368F1">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Currently, a number of artificial structures including the civil law concept of a “commissionaire” can be used to avoid having a PE in a </w:t>
            </w:r>
            <w:r w:rsidR="002170A2" w:rsidRPr="00EB51B1">
              <w:rPr>
                <w:rFonts w:ascii="Times New Roman" w:hAnsi="Times New Roman"/>
                <w:sz w:val="20"/>
              </w:rPr>
              <w:t>jurisdiction</w:t>
            </w:r>
            <w:r w:rsidR="002D1F3E">
              <w:rPr>
                <w:rFonts w:ascii="Times New Roman" w:hAnsi="Times New Roman"/>
                <w:sz w:val="20"/>
              </w:rPr>
              <w:t>.  A</w:t>
            </w:r>
            <w:r w:rsidRPr="00EB51B1">
              <w:rPr>
                <w:rFonts w:ascii="Times New Roman" w:hAnsi="Times New Roman"/>
                <w:sz w:val="20"/>
              </w:rPr>
              <w:t xml:space="preserve"> new provision will deem non-residents using these structures to have a PE in the </w:t>
            </w:r>
            <w:r w:rsidR="002170A2" w:rsidRPr="00EB51B1">
              <w:rPr>
                <w:rFonts w:ascii="Times New Roman" w:hAnsi="Times New Roman"/>
                <w:sz w:val="20"/>
              </w:rPr>
              <w:t>jurisdiction</w:t>
            </w:r>
            <w:r w:rsidRPr="00EB51B1">
              <w:rPr>
                <w:rFonts w:ascii="Times New Roman" w:hAnsi="Times New Roman"/>
                <w:sz w:val="20"/>
              </w:rPr>
              <w:t>.</w:t>
            </w:r>
          </w:p>
          <w:p w:rsidR="001145D1" w:rsidRPr="00EB51B1" w:rsidRDefault="001145D1" w:rsidP="00C1753E">
            <w:pPr>
              <w:pStyle w:val="TRNormal"/>
              <w:ind w:left="12" w:hanging="12"/>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i/>
                <w:sz w:val="20"/>
              </w:rPr>
              <w:t>Article</w:t>
            </w:r>
            <w:r w:rsidR="00DF3894" w:rsidRPr="00EB51B1">
              <w:rPr>
                <w:rFonts w:ascii="Times New Roman" w:hAnsi="Times New Roman"/>
                <w:i/>
                <w:sz w:val="20"/>
              </w:rPr>
              <w:t>s</w:t>
            </w:r>
            <w:r w:rsidRPr="00EB51B1">
              <w:rPr>
                <w:rFonts w:ascii="Times New Roman" w:hAnsi="Times New Roman"/>
                <w:i/>
                <w:sz w:val="20"/>
              </w:rPr>
              <w:t xml:space="preserve"> 12 </w:t>
            </w:r>
            <w:r w:rsidR="00DF3894" w:rsidRPr="00EB51B1">
              <w:rPr>
                <w:rFonts w:ascii="Times New Roman" w:hAnsi="Times New Roman"/>
                <w:i/>
                <w:sz w:val="20"/>
              </w:rPr>
              <w:t xml:space="preserve">and 15 </w:t>
            </w:r>
            <w:r w:rsidRPr="00EB51B1">
              <w:rPr>
                <w:rFonts w:ascii="Times New Roman" w:hAnsi="Times New Roman"/>
                <w:i/>
                <w:sz w:val="20"/>
              </w:rPr>
              <w:t xml:space="preserve">of the MLI </w:t>
            </w:r>
          </w:p>
        </w:tc>
        <w:tc>
          <w:tcPr>
            <w:tcW w:w="1063" w:type="dxa"/>
            <w:tcBorders>
              <w:top w:val="single" w:sz="4" w:space="0" w:color="000000" w:themeColor="text1"/>
            </w:tcBorders>
            <w:shd w:val="clear" w:color="auto" w:fill="auto"/>
          </w:tcPr>
          <w:p w:rsidR="00DE6465" w:rsidRPr="00EB51B1" w:rsidRDefault="00DE6465"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top w:val="single" w:sz="4" w:space="0" w:color="000000" w:themeColor="text1"/>
            </w:tcBorders>
            <w:shd w:val="clear" w:color="auto" w:fill="auto"/>
          </w:tcPr>
          <w:p w:rsidR="00DE6465" w:rsidRPr="00EB51B1" w:rsidRDefault="00DE6465"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233F47">
        <w:tc>
          <w:tcPr>
            <w:cnfStyle w:val="001000000000" w:firstRow="0" w:lastRow="0" w:firstColumn="1" w:lastColumn="0" w:oddVBand="0" w:evenVBand="0" w:oddHBand="0" w:evenHBand="0" w:firstRowFirstColumn="0" w:firstRowLastColumn="0" w:lastRowFirstColumn="0" w:lastRowLastColumn="0"/>
            <w:tcW w:w="2032" w:type="dxa"/>
            <w:vMerge/>
            <w:tcBorders>
              <w:top w:val="nil"/>
              <w:bottom w:val="single" w:sz="4" w:space="0" w:color="000000" w:themeColor="text1"/>
            </w:tcBorders>
            <w:shd w:val="clear" w:color="auto" w:fill="auto"/>
          </w:tcPr>
          <w:p w:rsidR="002B3AEA" w:rsidRPr="00EB51B1" w:rsidRDefault="002B3AEA" w:rsidP="00EB51B1">
            <w:pPr>
              <w:pStyle w:val="TRNormal"/>
              <w:ind w:left="0" w:firstLine="0"/>
              <w:rPr>
                <w:rFonts w:ascii="Times New Roman" w:hAnsi="Times New Roman"/>
                <w:sz w:val="20"/>
              </w:rPr>
            </w:pPr>
          </w:p>
        </w:tc>
        <w:tc>
          <w:tcPr>
            <w:tcW w:w="9876" w:type="dxa"/>
            <w:tcBorders>
              <w:bottom w:val="nil"/>
            </w:tcBorders>
            <w:shd w:val="clear" w:color="auto" w:fill="auto"/>
          </w:tcPr>
          <w:p w:rsidR="00F55941" w:rsidRPr="00EB51B1" w:rsidRDefault="00F55941" w:rsidP="00C1753E">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b/>
                <w:sz w:val="20"/>
              </w:rPr>
              <w:t>Specific activity exemptions – preparatory and auxiliary qualification</w:t>
            </w:r>
          </w:p>
          <w:p w:rsidR="002B3AEA" w:rsidRPr="00EB51B1" w:rsidRDefault="002B3AEA" w:rsidP="003368F1">
            <w:pPr>
              <w:pStyle w:val="TRNormal"/>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Certain specific activities carried on in a jurisdiction are deemed </w:t>
            </w:r>
            <w:r w:rsidRPr="00EB51B1">
              <w:rPr>
                <w:rFonts w:ascii="Times New Roman" w:hAnsi="Times New Roman"/>
                <w:b/>
                <w:sz w:val="20"/>
              </w:rPr>
              <w:t>not</w:t>
            </w:r>
            <w:r w:rsidRPr="00EB51B1">
              <w:rPr>
                <w:rFonts w:ascii="Times New Roman" w:hAnsi="Times New Roman"/>
                <w:sz w:val="20"/>
              </w:rPr>
              <w:t xml:space="preserve"> to constitute a PE (for example, premises used for simply storing goods or stock maintained for display or delivery)</w:t>
            </w:r>
            <w:r w:rsidR="002D1F3E">
              <w:rPr>
                <w:rFonts w:ascii="Times New Roman" w:hAnsi="Times New Roman"/>
                <w:sz w:val="20"/>
              </w:rPr>
              <w:t>.  T</w:t>
            </w:r>
            <w:r w:rsidRPr="00EB51B1">
              <w:rPr>
                <w:rFonts w:ascii="Times New Roman" w:hAnsi="Times New Roman"/>
                <w:sz w:val="20"/>
              </w:rPr>
              <w:t>hese specific carve-outs from the PE definition allowed quite substantial economic activities to fall within them</w:t>
            </w:r>
            <w:r w:rsidR="002D1F3E">
              <w:rPr>
                <w:rFonts w:ascii="Times New Roman" w:hAnsi="Times New Roman"/>
                <w:sz w:val="20"/>
              </w:rPr>
              <w:t>.  T</w:t>
            </w:r>
            <w:r w:rsidRPr="00EB51B1">
              <w:rPr>
                <w:rFonts w:ascii="Times New Roman" w:hAnsi="Times New Roman"/>
                <w:sz w:val="20"/>
              </w:rPr>
              <w:t>he MLI proposes clarifying that the specific carve-outs listed in the DTA must be subject to an additional requirement that they be “preparatory and auxiliary” in nature.</w:t>
            </w:r>
            <w:r w:rsidR="00F55941" w:rsidRPr="00EB51B1">
              <w:rPr>
                <w:rFonts w:ascii="Times New Roman" w:hAnsi="Times New Roman"/>
                <w:sz w:val="20"/>
              </w:rPr>
              <w:t xml:space="preserve">  </w:t>
            </w:r>
            <w:r w:rsidR="009D6BEA">
              <w:rPr>
                <w:rFonts w:ascii="Times New Roman" w:hAnsi="Times New Roman"/>
                <w:sz w:val="20"/>
              </w:rPr>
              <w:t xml:space="preserve">There are two options for </w:t>
            </w:r>
            <w:r w:rsidR="008867FC">
              <w:rPr>
                <w:rFonts w:ascii="Times New Roman" w:hAnsi="Times New Roman"/>
                <w:sz w:val="20"/>
              </w:rPr>
              <w:t>dealing with</w:t>
            </w:r>
            <w:r w:rsidR="009D6BEA">
              <w:rPr>
                <w:rFonts w:ascii="Times New Roman" w:hAnsi="Times New Roman"/>
                <w:sz w:val="20"/>
              </w:rPr>
              <w:t xml:space="preserve"> this</w:t>
            </w:r>
            <w:r w:rsidR="008867FC">
              <w:rPr>
                <w:rFonts w:ascii="Times New Roman" w:hAnsi="Times New Roman"/>
                <w:sz w:val="20"/>
              </w:rPr>
              <w:t xml:space="preserve"> issues – Option A (which New Zealand favours) which subjects all of the existing specific activities to an explicit “preparatory and auxiliary” test, and Option B</w:t>
            </w:r>
            <w:r w:rsidR="009D6BEA">
              <w:rPr>
                <w:rFonts w:ascii="Times New Roman" w:hAnsi="Times New Roman"/>
                <w:sz w:val="20"/>
              </w:rPr>
              <w:t>,</w:t>
            </w:r>
            <w:r w:rsidR="008867FC">
              <w:rPr>
                <w:rFonts w:ascii="Times New Roman" w:hAnsi="Times New Roman"/>
                <w:sz w:val="20"/>
              </w:rPr>
              <w:t xml:space="preserve"> which does not subject the specific activities to the “preparatory and auxiliary” test (because these activities are considered to be inherently preparatory and auxiliary in nature), but subjects any other activity or combination of activities to the “p</w:t>
            </w:r>
            <w:r w:rsidR="00A12ACF">
              <w:rPr>
                <w:rFonts w:ascii="Times New Roman" w:hAnsi="Times New Roman"/>
                <w:sz w:val="20"/>
              </w:rPr>
              <w:t>reparatory and auxiliary” test.</w:t>
            </w:r>
          </w:p>
          <w:p w:rsidR="002B3AEA" w:rsidRPr="00EB51B1" w:rsidRDefault="002B3AEA" w:rsidP="00C1753E">
            <w:pPr>
              <w:pStyle w:val="TRNormal"/>
              <w:ind w:left="12" w:hanging="12"/>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i/>
                <w:sz w:val="20"/>
              </w:rPr>
              <w:t>Article</w:t>
            </w:r>
            <w:r w:rsidR="00DF3894" w:rsidRPr="00EB51B1">
              <w:rPr>
                <w:rFonts w:ascii="Times New Roman" w:hAnsi="Times New Roman"/>
                <w:i/>
                <w:sz w:val="20"/>
              </w:rPr>
              <w:t xml:space="preserve">s </w:t>
            </w:r>
            <w:r w:rsidRPr="00EB51B1">
              <w:rPr>
                <w:rFonts w:ascii="Times New Roman" w:hAnsi="Times New Roman"/>
                <w:i/>
                <w:sz w:val="20"/>
              </w:rPr>
              <w:t>1</w:t>
            </w:r>
            <w:r w:rsidR="00DE2434" w:rsidRPr="00EB51B1">
              <w:rPr>
                <w:rFonts w:ascii="Times New Roman" w:hAnsi="Times New Roman"/>
                <w:i/>
                <w:sz w:val="20"/>
              </w:rPr>
              <w:t>3</w:t>
            </w:r>
            <w:r w:rsidR="00DF3894" w:rsidRPr="00EB51B1">
              <w:rPr>
                <w:rFonts w:ascii="Times New Roman" w:hAnsi="Times New Roman"/>
                <w:i/>
                <w:sz w:val="20"/>
              </w:rPr>
              <w:t xml:space="preserve"> and 15</w:t>
            </w:r>
            <w:r w:rsidR="00DE2434" w:rsidRPr="00EB51B1">
              <w:rPr>
                <w:rFonts w:ascii="Times New Roman" w:hAnsi="Times New Roman"/>
                <w:i/>
                <w:sz w:val="20"/>
              </w:rPr>
              <w:t xml:space="preserve"> </w:t>
            </w:r>
            <w:r w:rsidRPr="00EB51B1">
              <w:rPr>
                <w:rFonts w:ascii="Times New Roman" w:hAnsi="Times New Roman"/>
                <w:i/>
                <w:sz w:val="20"/>
              </w:rPr>
              <w:t xml:space="preserve">of the MLI </w:t>
            </w:r>
          </w:p>
        </w:tc>
        <w:tc>
          <w:tcPr>
            <w:tcW w:w="1063" w:type="dxa"/>
            <w:tcBorders>
              <w:bottom w:val="nil"/>
            </w:tcBorders>
            <w:shd w:val="clear" w:color="auto" w:fill="auto"/>
          </w:tcPr>
          <w:p w:rsidR="002B3AEA" w:rsidRPr="00EB51B1" w:rsidRDefault="002B3AEA"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bottom w:val="nil"/>
            </w:tcBorders>
            <w:shd w:val="clear" w:color="auto" w:fill="auto"/>
          </w:tcPr>
          <w:p w:rsidR="002B3AEA" w:rsidRPr="00EB51B1" w:rsidRDefault="002B3AEA"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233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vMerge/>
            <w:tcBorders>
              <w:top w:val="nil"/>
              <w:bottom w:val="single" w:sz="4" w:space="0" w:color="000000" w:themeColor="text1"/>
            </w:tcBorders>
            <w:shd w:val="clear" w:color="auto" w:fill="auto"/>
          </w:tcPr>
          <w:p w:rsidR="002B3AEA" w:rsidRPr="00EB51B1" w:rsidRDefault="002B3AEA" w:rsidP="00EB51B1">
            <w:pPr>
              <w:pStyle w:val="TRNormal"/>
              <w:numPr>
                <w:ilvl w:val="0"/>
                <w:numId w:val="30"/>
              </w:numPr>
              <w:ind w:left="0" w:firstLine="0"/>
              <w:rPr>
                <w:rFonts w:ascii="Times New Roman" w:hAnsi="Times New Roman"/>
                <w:sz w:val="20"/>
              </w:rPr>
            </w:pPr>
          </w:p>
        </w:tc>
        <w:tc>
          <w:tcPr>
            <w:tcW w:w="9876" w:type="dxa"/>
            <w:tcBorders>
              <w:top w:val="nil"/>
              <w:bottom w:val="single" w:sz="4" w:space="0" w:color="auto"/>
            </w:tcBorders>
            <w:shd w:val="clear" w:color="auto" w:fill="auto"/>
          </w:tcPr>
          <w:p w:rsidR="00F55941" w:rsidRPr="00EB51B1" w:rsidRDefault="00DE2434" w:rsidP="00C1753E">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b/>
                <w:sz w:val="20"/>
              </w:rPr>
              <w:t xml:space="preserve">Specific activity exemptions – </w:t>
            </w:r>
            <w:r w:rsidR="00F55941" w:rsidRPr="00EB51B1">
              <w:rPr>
                <w:rFonts w:ascii="Times New Roman" w:hAnsi="Times New Roman"/>
                <w:b/>
                <w:sz w:val="20"/>
              </w:rPr>
              <w:t>Anti-fragmentation rule</w:t>
            </w:r>
          </w:p>
          <w:p w:rsidR="002B3AEA" w:rsidRPr="00EB51B1" w:rsidRDefault="002B3AEA" w:rsidP="003368F1">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The MLI introduces an “anti-fragmentation” rule that will prevent an enterprise from dividing up all of its activities so that related parties each carry on a separate part of the business (that fall within the PE exceptions), but taken together they constitute a PE.</w:t>
            </w:r>
          </w:p>
          <w:p w:rsidR="00DE2434" w:rsidRPr="00EB51B1" w:rsidRDefault="00DE2434" w:rsidP="00C1753E">
            <w:pPr>
              <w:pStyle w:val="TRNormal"/>
              <w:ind w:left="12" w:hanging="12"/>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i/>
                <w:sz w:val="20"/>
              </w:rPr>
              <w:t>Article</w:t>
            </w:r>
            <w:r w:rsidR="00DF3894" w:rsidRPr="00EB51B1">
              <w:rPr>
                <w:rFonts w:ascii="Times New Roman" w:hAnsi="Times New Roman"/>
                <w:i/>
                <w:sz w:val="20"/>
              </w:rPr>
              <w:t xml:space="preserve">s </w:t>
            </w:r>
            <w:r w:rsidRPr="00EB51B1">
              <w:rPr>
                <w:rFonts w:ascii="Times New Roman" w:hAnsi="Times New Roman"/>
                <w:i/>
                <w:sz w:val="20"/>
              </w:rPr>
              <w:t xml:space="preserve">13 </w:t>
            </w:r>
            <w:r w:rsidR="00DF3894" w:rsidRPr="00EB51B1">
              <w:rPr>
                <w:rFonts w:ascii="Times New Roman" w:hAnsi="Times New Roman"/>
                <w:i/>
                <w:sz w:val="20"/>
              </w:rPr>
              <w:t xml:space="preserve">and 15 </w:t>
            </w:r>
            <w:r w:rsidR="00A12ACF">
              <w:rPr>
                <w:rFonts w:ascii="Times New Roman" w:hAnsi="Times New Roman"/>
                <w:i/>
                <w:sz w:val="20"/>
              </w:rPr>
              <w:t>of the MLI</w:t>
            </w:r>
          </w:p>
        </w:tc>
        <w:tc>
          <w:tcPr>
            <w:tcW w:w="1063" w:type="dxa"/>
            <w:tcBorders>
              <w:top w:val="nil"/>
              <w:bottom w:val="single" w:sz="4" w:space="0" w:color="auto"/>
            </w:tcBorders>
            <w:shd w:val="clear" w:color="auto" w:fill="auto"/>
          </w:tcPr>
          <w:p w:rsidR="002B3AEA" w:rsidRPr="00EB51B1" w:rsidRDefault="002B3AEA"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top w:val="nil"/>
              <w:bottom w:val="single" w:sz="4" w:space="0" w:color="auto"/>
            </w:tcBorders>
            <w:shd w:val="clear" w:color="auto" w:fill="auto"/>
          </w:tcPr>
          <w:p w:rsidR="002B3AEA" w:rsidRPr="00EB51B1" w:rsidRDefault="002B3AEA"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233F47">
        <w:trPr>
          <w:cantSplit/>
        </w:trPr>
        <w:tc>
          <w:tcPr>
            <w:cnfStyle w:val="001000000000" w:firstRow="0" w:lastRow="0" w:firstColumn="1" w:lastColumn="0" w:oddVBand="0" w:evenVBand="0" w:oddHBand="0" w:evenHBand="0" w:firstRowFirstColumn="0" w:firstRowLastColumn="0" w:lastRowFirstColumn="0" w:lastRowLastColumn="0"/>
            <w:tcW w:w="2032" w:type="dxa"/>
            <w:vMerge/>
            <w:tcBorders>
              <w:top w:val="nil"/>
              <w:bottom w:val="single" w:sz="4" w:space="0" w:color="000000" w:themeColor="text1"/>
            </w:tcBorders>
            <w:shd w:val="clear" w:color="auto" w:fill="auto"/>
          </w:tcPr>
          <w:p w:rsidR="002B3AEA" w:rsidRPr="00EB51B1" w:rsidRDefault="002B3AEA" w:rsidP="00EB51B1">
            <w:pPr>
              <w:pStyle w:val="TRNormal"/>
              <w:numPr>
                <w:ilvl w:val="0"/>
                <w:numId w:val="30"/>
              </w:numPr>
              <w:ind w:left="0" w:firstLine="0"/>
              <w:rPr>
                <w:rFonts w:ascii="Times New Roman" w:hAnsi="Times New Roman"/>
                <w:sz w:val="20"/>
              </w:rPr>
            </w:pPr>
          </w:p>
        </w:tc>
        <w:tc>
          <w:tcPr>
            <w:tcW w:w="9876" w:type="dxa"/>
            <w:tcBorders>
              <w:top w:val="single" w:sz="4" w:space="0" w:color="auto"/>
              <w:bottom w:val="single" w:sz="4" w:space="0" w:color="000000" w:themeColor="text1"/>
            </w:tcBorders>
            <w:shd w:val="clear" w:color="auto" w:fill="auto"/>
          </w:tcPr>
          <w:p w:rsidR="00DE2434" w:rsidRPr="00EB51B1" w:rsidRDefault="00DE2434" w:rsidP="003368F1">
            <w:pPr>
              <w:pStyle w:val="TRNormal"/>
              <w:keepNext/>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b/>
                <w:sz w:val="20"/>
              </w:rPr>
              <w:t>Anti-contract splitting rule</w:t>
            </w:r>
          </w:p>
          <w:p w:rsidR="002B3AEA" w:rsidRPr="00EB51B1" w:rsidRDefault="002B3AEA" w:rsidP="003368F1">
            <w:pPr>
              <w:pStyle w:val="TRNormal"/>
              <w:keepNext/>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Currently a construction, installation or building project does not constitute a PE unless it last for more 12 months. </w:t>
            </w:r>
            <w:r w:rsidR="00804D55">
              <w:rPr>
                <w:rFonts w:ascii="Times New Roman" w:hAnsi="Times New Roman"/>
                <w:sz w:val="20"/>
              </w:rPr>
              <w:t xml:space="preserve"> </w:t>
            </w:r>
            <w:r w:rsidRPr="00EB51B1">
              <w:rPr>
                <w:rFonts w:ascii="Times New Roman" w:hAnsi="Times New Roman"/>
                <w:sz w:val="20"/>
              </w:rPr>
              <w:t>Entities were abusing this 12 month limit by having back-to-back 12 month contracts so they never exceeded the 12 month threshold</w:t>
            </w:r>
            <w:r w:rsidR="002D1F3E">
              <w:rPr>
                <w:rFonts w:ascii="Times New Roman" w:hAnsi="Times New Roman"/>
                <w:sz w:val="20"/>
              </w:rPr>
              <w:t>.  G</w:t>
            </w:r>
            <w:r w:rsidRPr="00EB51B1">
              <w:rPr>
                <w:rFonts w:ascii="Times New Roman" w:hAnsi="Times New Roman"/>
                <w:sz w:val="20"/>
              </w:rPr>
              <w:t>enerally the contracts were undertaken by different companies within the same group of companies</w:t>
            </w:r>
            <w:r w:rsidR="002D1F3E">
              <w:rPr>
                <w:rFonts w:ascii="Times New Roman" w:hAnsi="Times New Roman"/>
                <w:sz w:val="20"/>
              </w:rPr>
              <w:t>.  T</w:t>
            </w:r>
            <w:r w:rsidRPr="00EB51B1">
              <w:rPr>
                <w:rFonts w:ascii="Times New Roman" w:hAnsi="Times New Roman"/>
                <w:sz w:val="20"/>
              </w:rPr>
              <w:t>he new an “anti-contract splitting” rule will aggregate related projects to prevent PE avoidance.</w:t>
            </w:r>
          </w:p>
          <w:p w:rsidR="002B3AEA" w:rsidRPr="00EB51B1" w:rsidRDefault="002B3AEA" w:rsidP="003368F1">
            <w:pPr>
              <w:pStyle w:val="TRNormal"/>
              <w:keepNext/>
              <w:ind w:left="12" w:hanging="12"/>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i/>
                <w:sz w:val="20"/>
              </w:rPr>
              <w:t>Article</w:t>
            </w:r>
            <w:r w:rsidR="00DF3894" w:rsidRPr="00EB51B1">
              <w:rPr>
                <w:rFonts w:ascii="Times New Roman" w:hAnsi="Times New Roman"/>
                <w:i/>
                <w:sz w:val="20"/>
              </w:rPr>
              <w:t>s</w:t>
            </w:r>
            <w:r w:rsidRPr="00EB51B1">
              <w:rPr>
                <w:rFonts w:ascii="Times New Roman" w:hAnsi="Times New Roman"/>
                <w:i/>
                <w:sz w:val="20"/>
              </w:rPr>
              <w:t xml:space="preserve"> 14 </w:t>
            </w:r>
            <w:r w:rsidR="00DF3894" w:rsidRPr="00EB51B1">
              <w:rPr>
                <w:rFonts w:ascii="Times New Roman" w:hAnsi="Times New Roman"/>
                <w:i/>
                <w:sz w:val="20"/>
              </w:rPr>
              <w:t xml:space="preserve">and 15 </w:t>
            </w:r>
            <w:r w:rsidRPr="00EB51B1">
              <w:rPr>
                <w:rFonts w:ascii="Times New Roman" w:hAnsi="Times New Roman"/>
                <w:i/>
                <w:sz w:val="20"/>
              </w:rPr>
              <w:t>of the MLI</w:t>
            </w:r>
          </w:p>
        </w:tc>
        <w:tc>
          <w:tcPr>
            <w:tcW w:w="1063" w:type="dxa"/>
            <w:tcBorders>
              <w:top w:val="single" w:sz="4" w:space="0" w:color="auto"/>
              <w:bottom w:val="single" w:sz="4" w:space="0" w:color="000000" w:themeColor="text1"/>
            </w:tcBorders>
            <w:shd w:val="clear" w:color="auto" w:fill="auto"/>
          </w:tcPr>
          <w:p w:rsidR="002B3AEA" w:rsidRPr="00EB51B1" w:rsidRDefault="002B3AEA"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top w:val="single" w:sz="4" w:space="0" w:color="auto"/>
              <w:bottom w:val="single" w:sz="4" w:space="0" w:color="000000" w:themeColor="text1"/>
            </w:tcBorders>
            <w:shd w:val="clear" w:color="auto" w:fill="auto"/>
          </w:tcPr>
          <w:p w:rsidR="002B3AEA" w:rsidRPr="00EB51B1" w:rsidRDefault="002B3AEA"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AA1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4" w:space="0" w:color="000000" w:themeColor="text1"/>
            </w:tcBorders>
            <w:shd w:val="clear" w:color="auto" w:fill="auto"/>
          </w:tcPr>
          <w:p w:rsidR="002B3AEA" w:rsidRPr="00EB51B1" w:rsidRDefault="00EB51B1" w:rsidP="00EB51B1">
            <w:pPr>
              <w:pStyle w:val="TRNormal"/>
              <w:ind w:left="0" w:firstLine="0"/>
              <w:rPr>
                <w:rFonts w:ascii="Times New Roman" w:hAnsi="Times New Roman"/>
                <w:sz w:val="20"/>
              </w:rPr>
            </w:pPr>
            <w:r>
              <w:rPr>
                <w:rFonts w:ascii="Times New Roman" w:hAnsi="Times New Roman"/>
                <w:sz w:val="20"/>
              </w:rPr>
              <w:t xml:space="preserve">4. </w:t>
            </w:r>
            <w:r w:rsidR="00C1753E">
              <w:rPr>
                <w:rFonts w:ascii="Times New Roman" w:hAnsi="Times New Roman"/>
                <w:sz w:val="20"/>
              </w:rPr>
              <w:t xml:space="preserve"> </w:t>
            </w:r>
            <w:r w:rsidR="002B3AEA" w:rsidRPr="00EB51B1">
              <w:rPr>
                <w:rFonts w:ascii="Times New Roman" w:hAnsi="Times New Roman"/>
                <w:sz w:val="20"/>
              </w:rPr>
              <w:t>Providing improved mechanisms f</w:t>
            </w:r>
            <w:r w:rsidR="00DF3894" w:rsidRPr="00EB51B1">
              <w:rPr>
                <w:rFonts w:ascii="Times New Roman" w:hAnsi="Times New Roman"/>
                <w:sz w:val="20"/>
              </w:rPr>
              <w:t>or effective dispute resolution</w:t>
            </w:r>
          </w:p>
        </w:tc>
        <w:tc>
          <w:tcPr>
            <w:tcW w:w="9876" w:type="dxa"/>
            <w:tcBorders>
              <w:top w:val="single" w:sz="4" w:space="0" w:color="000000" w:themeColor="text1"/>
            </w:tcBorders>
            <w:shd w:val="clear" w:color="auto" w:fill="auto"/>
          </w:tcPr>
          <w:p w:rsidR="005F160C" w:rsidRPr="00EB51B1" w:rsidRDefault="005F160C" w:rsidP="00C1753E">
            <w:pPr>
              <w:pStyle w:val="TRNormal"/>
              <w:spacing w:after="14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b/>
                <w:sz w:val="20"/>
              </w:rPr>
              <w:t>MAP – access to the CAs of either jurisdiction</w:t>
            </w:r>
          </w:p>
          <w:p w:rsidR="002B3AEA" w:rsidRPr="00EB51B1" w:rsidRDefault="002B3AEA" w:rsidP="003368F1">
            <w:pPr>
              <w:pStyle w:val="TRNormal"/>
              <w:spacing w:after="8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In covered tax agreements that do not already have it, the MLI will introduce a provision allowing taxpayers to request </w:t>
            </w:r>
            <w:r w:rsidR="007722F6">
              <w:rPr>
                <w:rFonts w:ascii="Times New Roman" w:hAnsi="Times New Roman"/>
                <w:sz w:val="20"/>
              </w:rPr>
              <w:t>mutual agreement procedure (</w:t>
            </w:r>
            <w:r w:rsidRPr="00EB51B1">
              <w:rPr>
                <w:rFonts w:ascii="Times New Roman" w:hAnsi="Times New Roman"/>
                <w:sz w:val="20"/>
              </w:rPr>
              <w:t>MAP</w:t>
            </w:r>
            <w:r w:rsidR="007722F6">
              <w:rPr>
                <w:rFonts w:ascii="Times New Roman" w:hAnsi="Times New Roman"/>
                <w:sz w:val="20"/>
              </w:rPr>
              <w:t>)</w:t>
            </w:r>
            <w:r w:rsidRPr="00EB51B1">
              <w:rPr>
                <w:rFonts w:ascii="Times New Roman" w:hAnsi="Times New Roman"/>
                <w:sz w:val="20"/>
              </w:rPr>
              <w:t xml:space="preserve"> in cases where they believe taxation is not in accordance with the treaty</w:t>
            </w:r>
            <w:r w:rsidR="002D1F3E">
              <w:rPr>
                <w:rFonts w:ascii="Times New Roman" w:hAnsi="Times New Roman"/>
                <w:sz w:val="20"/>
              </w:rPr>
              <w:t>.  I</w:t>
            </w:r>
            <w:r w:rsidRPr="00EB51B1">
              <w:rPr>
                <w:rFonts w:ascii="Times New Roman" w:hAnsi="Times New Roman"/>
                <w:sz w:val="20"/>
              </w:rPr>
              <w:t xml:space="preserve">f a MAP provision is already contained in a DTA, the MLI will amend it to allow taxpayers to approach the CA of </w:t>
            </w:r>
            <w:r w:rsidRPr="00EB51B1">
              <w:rPr>
                <w:rFonts w:ascii="Times New Roman" w:hAnsi="Times New Roman"/>
                <w:i/>
                <w:sz w:val="20"/>
              </w:rPr>
              <w:t>either</w:t>
            </w:r>
            <w:r w:rsidRPr="00EB51B1">
              <w:rPr>
                <w:rFonts w:ascii="Times New Roman" w:hAnsi="Times New Roman"/>
                <w:sz w:val="20"/>
              </w:rPr>
              <w:t xml:space="preserve"> jurisdiction to resolve uncertainty as to how the DTA applies (New Zealand’s DTAs currently contain MAP provisions, but taxpayers are only entitled to approach the CA of the jurisdiction</w:t>
            </w:r>
            <w:r w:rsidR="00FF1B36">
              <w:rPr>
                <w:rFonts w:ascii="Times New Roman" w:hAnsi="Times New Roman"/>
                <w:sz w:val="20"/>
              </w:rPr>
              <w:t xml:space="preserve"> of which they are a resident).</w:t>
            </w:r>
          </w:p>
          <w:p w:rsidR="00763C50" w:rsidRPr="00EB51B1" w:rsidRDefault="00DF3894" w:rsidP="00C1753E">
            <w:pPr>
              <w:pStyle w:val="TRNormal"/>
              <w:ind w:left="12" w:hanging="12"/>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i/>
                <w:sz w:val="20"/>
              </w:rPr>
              <w:t xml:space="preserve">Article </w:t>
            </w:r>
            <w:r w:rsidR="00763C50" w:rsidRPr="00EB51B1">
              <w:rPr>
                <w:rFonts w:ascii="Times New Roman" w:hAnsi="Times New Roman"/>
                <w:i/>
                <w:sz w:val="20"/>
              </w:rPr>
              <w:t>16 of the MLI</w:t>
            </w:r>
          </w:p>
        </w:tc>
        <w:tc>
          <w:tcPr>
            <w:tcW w:w="1063" w:type="dxa"/>
            <w:tcBorders>
              <w:top w:val="single" w:sz="4" w:space="0" w:color="000000" w:themeColor="text1"/>
            </w:tcBorders>
            <w:shd w:val="clear" w:color="auto" w:fill="auto"/>
          </w:tcPr>
          <w:p w:rsidR="002B3AEA" w:rsidRPr="00EB51B1" w:rsidRDefault="002B3AEA"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c>
          <w:tcPr>
            <w:tcW w:w="1063" w:type="dxa"/>
            <w:tcBorders>
              <w:top w:val="single" w:sz="4" w:space="0" w:color="000000" w:themeColor="text1"/>
            </w:tcBorders>
            <w:shd w:val="clear" w:color="auto" w:fill="auto"/>
          </w:tcPr>
          <w:p w:rsidR="002B3AEA" w:rsidRPr="00EB51B1" w:rsidRDefault="002B3AEA"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763C50" w:rsidRPr="00EB51B1" w:rsidTr="00AA1FD3">
        <w:tc>
          <w:tcPr>
            <w:cnfStyle w:val="001000000000" w:firstRow="0" w:lastRow="0" w:firstColumn="1" w:lastColumn="0" w:oddVBand="0" w:evenVBand="0" w:oddHBand="0" w:evenHBand="0" w:firstRowFirstColumn="0" w:firstRowLastColumn="0" w:lastRowFirstColumn="0" w:lastRowLastColumn="0"/>
            <w:tcW w:w="2032" w:type="dxa"/>
            <w:vMerge/>
            <w:shd w:val="clear" w:color="auto" w:fill="auto"/>
          </w:tcPr>
          <w:p w:rsidR="00763C50" w:rsidRPr="00EB51B1" w:rsidRDefault="00763C50" w:rsidP="00EB51B1">
            <w:pPr>
              <w:pStyle w:val="TRNormal"/>
              <w:numPr>
                <w:ilvl w:val="0"/>
                <w:numId w:val="30"/>
              </w:numPr>
              <w:ind w:left="0" w:firstLine="0"/>
              <w:rPr>
                <w:rFonts w:ascii="Times New Roman" w:hAnsi="Times New Roman"/>
                <w:sz w:val="20"/>
              </w:rPr>
            </w:pPr>
          </w:p>
        </w:tc>
        <w:tc>
          <w:tcPr>
            <w:tcW w:w="9876" w:type="dxa"/>
            <w:tcBorders>
              <w:bottom w:val="nil"/>
            </w:tcBorders>
            <w:shd w:val="clear" w:color="auto" w:fill="auto"/>
          </w:tcPr>
          <w:p w:rsidR="005F160C" w:rsidRPr="00EB51B1" w:rsidRDefault="005F160C" w:rsidP="00C1753E">
            <w:pPr>
              <w:pStyle w:val="TRNormal"/>
              <w:spacing w:after="14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b/>
                <w:sz w:val="20"/>
              </w:rPr>
              <w:t xml:space="preserve">MAP – corresponding adjustment </w:t>
            </w:r>
          </w:p>
          <w:p w:rsidR="00EF0012" w:rsidRPr="00EB51B1" w:rsidRDefault="00EF0012" w:rsidP="003368F1">
            <w:pPr>
              <w:pStyle w:val="TRNormal"/>
              <w:spacing w:after="80"/>
              <w:ind w:left="11" w:hanging="11"/>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Requires contracting states to make appropriate corresponding adjustments in transfer pricing cases.</w:t>
            </w:r>
          </w:p>
          <w:p w:rsidR="00763C50" w:rsidRPr="00EB51B1" w:rsidRDefault="005F160C" w:rsidP="00C1753E">
            <w:pPr>
              <w:pStyle w:val="TRNormal"/>
              <w:ind w:left="12" w:hanging="12"/>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i/>
                <w:sz w:val="20"/>
              </w:rPr>
              <w:t>Article 17</w:t>
            </w:r>
            <w:r w:rsidR="00C24C4E" w:rsidRPr="00EB51B1">
              <w:rPr>
                <w:rFonts w:ascii="Times New Roman" w:hAnsi="Times New Roman"/>
                <w:i/>
                <w:sz w:val="20"/>
              </w:rPr>
              <w:t xml:space="preserve"> </w:t>
            </w:r>
            <w:r w:rsidRPr="00EB51B1">
              <w:rPr>
                <w:rFonts w:ascii="Times New Roman" w:hAnsi="Times New Roman"/>
                <w:i/>
                <w:sz w:val="20"/>
              </w:rPr>
              <w:t>of</w:t>
            </w:r>
            <w:r w:rsidR="00C24C4E" w:rsidRPr="00EB51B1">
              <w:rPr>
                <w:rFonts w:ascii="Times New Roman" w:hAnsi="Times New Roman"/>
                <w:i/>
                <w:sz w:val="20"/>
              </w:rPr>
              <w:t xml:space="preserve"> </w:t>
            </w:r>
            <w:r w:rsidRPr="00EB51B1">
              <w:rPr>
                <w:rFonts w:ascii="Times New Roman" w:hAnsi="Times New Roman"/>
                <w:i/>
                <w:sz w:val="20"/>
              </w:rPr>
              <w:t xml:space="preserve"> the MLI</w:t>
            </w:r>
          </w:p>
        </w:tc>
        <w:tc>
          <w:tcPr>
            <w:tcW w:w="1063" w:type="dxa"/>
            <w:tcBorders>
              <w:bottom w:val="nil"/>
            </w:tcBorders>
            <w:shd w:val="clear" w:color="auto" w:fill="auto"/>
          </w:tcPr>
          <w:p w:rsidR="00763C50" w:rsidRPr="00EB51B1" w:rsidRDefault="00EF0012"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bottom w:val="nil"/>
            </w:tcBorders>
            <w:shd w:val="clear" w:color="auto" w:fill="auto"/>
          </w:tcPr>
          <w:p w:rsidR="00763C50" w:rsidRPr="00EB51B1" w:rsidRDefault="00EF0012" w:rsidP="00EB51B1">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r w:rsidR="003368F1" w:rsidRPr="00EB51B1" w:rsidTr="00AA1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4" w:space="0" w:color="000000" w:themeColor="text1"/>
            </w:tcBorders>
            <w:shd w:val="clear" w:color="auto" w:fill="auto"/>
          </w:tcPr>
          <w:p w:rsidR="002B3AEA" w:rsidRPr="00EB51B1" w:rsidRDefault="002B3AEA" w:rsidP="00EB51B1">
            <w:pPr>
              <w:pStyle w:val="TRNormal"/>
              <w:ind w:left="0" w:firstLine="0"/>
              <w:rPr>
                <w:rFonts w:ascii="Times New Roman" w:hAnsi="Times New Roman"/>
                <w:sz w:val="20"/>
              </w:rPr>
            </w:pPr>
          </w:p>
        </w:tc>
        <w:tc>
          <w:tcPr>
            <w:tcW w:w="9876" w:type="dxa"/>
            <w:tcBorders>
              <w:top w:val="nil"/>
              <w:bottom w:val="single" w:sz="4" w:space="0" w:color="000000" w:themeColor="text1"/>
            </w:tcBorders>
            <w:shd w:val="clear" w:color="auto" w:fill="auto"/>
          </w:tcPr>
          <w:p w:rsidR="00EF0012" w:rsidRPr="00EB51B1" w:rsidRDefault="00EF0012" w:rsidP="00C1753E">
            <w:pPr>
              <w:pStyle w:val="TRNormal"/>
              <w:spacing w:after="14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b/>
                <w:sz w:val="20"/>
              </w:rPr>
              <w:t>Arbitration</w:t>
            </w:r>
          </w:p>
          <w:p w:rsidR="009D4B99" w:rsidRPr="00EB51B1" w:rsidRDefault="002B3AEA" w:rsidP="003368F1">
            <w:pPr>
              <w:pStyle w:val="TRNormal"/>
              <w:tabs>
                <w:tab w:val="left" w:pos="851"/>
              </w:tabs>
              <w:spacing w:after="10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If, under the MAP process, the CAs do not agree on the correct interpretation of the DTA, the CAs can submit the matter to an </w:t>
            </w:r>
            <w:r w:rsidR="009D4B99" w:rsidRPr="00EB51B1">
              <w:rPr>
                <w:rFonts w:ascii="Times New Roman" w:hAnsi="Times New Roman"/>
                <w:sz w:val="20"/>
              </w:rPr>
              <w:t xml:space="preserve">independent </w:t>
            </w:r>
            <w:r w:rsidRPr="00EB51B1">
              <w:rPr>
                <w:rFonts w:ascii="Times New Roman" w:hAnsi="Times New Roman"/>
                <w:sz w:val="20"/>
              </w:rPr>
              <w:t>arbitrator (or a panel of three arbitrators) for decision</w:t>
            </w:r>
            <w:r w:rsidR="002D1F3E">
              <w:rPr>
                <w:rFonts w:ascii="Times New Roman" w:hAnsi="Times New Roman"/>
                <w:sz w:val="20"/>
              </w:rPr>
              <w:t>.  T</w:t>
            </w:r>
            <w:r w:rsidRPr="00EB51B1">
              <w:rPr>
                <w:rFonts w:ascii="Times New Roman" w:hAnsi="Times New Roman"/>
                <w:sz w:val="20"/>
              </w:rPr>
              <w:t>he arbitrators will decide which of the CAs is correct</w:t>
            </w:r>
            <w:r w:rsidR="002D1F3E">
              <w:rPr>
                <w:rFonts w:ascii="Times New Roman" w:hAnsi="Times New Roman"/>
                <w:sz w:val="20"/>
              </w:rPr>
              <w:t>.  T</w:t>
            </w:r>
            <w:r w:rsidRPr="00EB51B1">
              <w:rPr>
                <w:rFonts w:ascii="Times New Roman" w:hAnsi="Times New Roman"/>
                <w:sz w:val="20"/>
              </w:rPr>
              <w:t>he CAs are</w:t>
            </w:r>
            <w:r w:rsidR="009D4B99" w:rsidRPr="00EB51B1">
              <w:rPr>
                <w:rFonts w:ascii="Times New Roman" w:hAnsi="Times New Roman"/>
                <w:sz w:val="20"/>
              </w:rPr>
              <w:t xml:space="preserve"> generally</w:t>
            </w:r>
            <w:r w:rsidRPr="00EB51B1">
              <w:rPr>
                <w:rFonts w:ascii="Times New Roman" w:hAnsi="Times New Roman"/>
                <w:sz w:val="20"/>
              </w:rPr>
              <w:t xml:space="preserve"> bound by the decision of the arbitrators, but the taxpayer is not</w:t>
            </w:r>
            <w:r w:rsidR="002D1F3E">
              <w:rPr>
                <w:rFonts w:ascii="Times New Roman" w:hAnsi="Times New Roman"/>
                <w:sz w:val="20"/>
              </w:rPr>
              <w:t>.  T</w:t>
            </w:r>
            <w:r w:rsidRPr="00EB51B1">
              <w:rPr>
                <w:rFonts w:ascii="Times New Roman" w:hAnsi="Times New Roman"/>
                <w:sz w:val="20"/>
              </w:rPr>
              <w:t>herefore, the taxpayer could pursue a court case if it disagrees with the arbitrators’ decis</w:t>
            </w:r>
            <w:r w:rsidR="00EF0012" w:rsidRPr="00EB51B1">
              <w:rPr>
                <w:rFonts w:ascii="Times New Roman" w:hAnsi="Times New Roman"/>
                <w:sz w:val="20"/>
              </w:rPr>
              <w:t>ion.</w:t>
            </w:r>
          </w:p>
          <w:p w:rsidR="00301A5B" w:rsidRPr="00EB51B1" w:rsidRDefault="00EF0012" w:rsidP="003368F1">
            <w:pPr>
              <w:pStyle w:val="TRNormal"/>
              <w:tabs>
                <w:tab w:val="left" w:pos="851"/>
              </w:tabs>
              <w:spacing w:after="10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 xml:space="preserve">New Zealand’s approach is to adopt </w:t>
            </w:r>
            <w:r w:rsidR="00C24C4E" w:rsidRPr="00EB51B1">
              <w:rPr>
                <w:rFonts w:ascii="Times New Roman" w:hAnsi="Times New Roman"/>
                <w:sz w:val="20"/>
              </w:rPr>
              <w:t>what is referred to as “</w:t>
            </w:r>
            <w:r w:rsidR="00301A5B" w:rsidRPr="00EB51B1">
              <w:rPr>
                <w:rFonts w:ascii="Times New Roman" w:hAnsi="Times New Roman"/>
                <w:sz w:val="20"/>
              </w:rPr>
              <w:t>final offer” or “last best offer” arbitration (in Article 23(1))</w:t>
            </w:r>
            <w:r w:rsidR="009D4B99" w:rsidRPr="00EB51B1">
              <w:rPr>
                <w:rFonts w:ascii="Times New Roman" w:hAnsi="Times New Roman"/>
                <w:sz w:val="20"/>
              </w:rPr>
              <w:t>, but to accept “independent opinion” arbitration if the other party to the Covered Tax Agreement chooses this (by entering a reservation under Article 23(2)).  In the case of “independent opinion” arbitration, New Zealand will adopt Article 24(2) and (3) which means that the arbitrators’ decision will not be binding on the CAs if they come to an alternative resolution of all unresolved issues within 3 calendar months of the delivery of the arbitrators’ decision.</w:t>
            </w:r>
          </w:p>
          <w:p w:rsidR="00B00ADE" w:rsidRPr="00EB51B1" w:rsidRDefault="00301A5B" w:rsidP="003368F1">
            <w:pPr>
              <w:pStyle w:val="TRNormal"/>
              <w:tabs>
                <w:tab w:val="left" w:pos="851"/>
              </w:tabs>
              <w:spacing w:after="10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New Zealand also proposes to require undertakings of confidentiality by all parties involved in arbitration (Article 23(5)) and reserves the right not to include arbitration provisions in Covered Tax Agreements with jurisdictions that do not require the same (Article 23(6) and (7)).</w:t>
            </w:r>
          </w:p>
          <w:p w:rsidR="00C24C4E" w:rsidRPr="00EB51B1" w:rsidRDefault="00B00ADE" w:rsidP="003368F1">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New Zealand intends to enter a free form reservation in respect to arbitration to carve out cases that involve the application of New Zealand’s general anti-avoidance rule contained in section B</w:t>
            </w:r>
            <w:r w:rsidR="00FF1B36">
              <w:rPr>
                <w:rFonts w:ascii="Times New Roman" w:hAnsi="Times New Roman"/>
                <w:sz w:val="20"/>
              </w:rPr>
              <w:t>G 1 of the Income Tax Act 2007.</w:t>
            </w:r>
          </w:p>
          <w:p w:rsidR="00C24C4E" w:rsidRPr="00EB51B1" w:rsidRDefault="00C24C4E" w:rsidP="00C1753E">
            <w:pPr>
              <w:pStyle w:val="TRNormal"/>
              <w:ind w:left="12" w:hanging="12"/>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i/>
                <w:sz w:val="20"/>
              </w:rPr>
              <w:t>Article</w:t>
            </w:r>
            <w:r w:rsidR="00301A5B" w:rsidRPr="00EB51B1">
              <w:rPr>
                <w:rFonts w:ascii="Times New Roman" w:hAnsi="Times New Roman"/>
                <w:i/>
                <w:sz w:val="20"/>
              </w:rPr>
              <w:t>s</w:t>
            </w:r>
            <w:r w:rsidRPr="00EB51B1">
              <w:rPr>
                <w:rFonts w:ascii="Times New Roman" w:hAnsi="Times New Roman"/>
                <w:i/>
                <w:sz w:val="20"/>
              </w:rPr>
              <w:t xml:space="preserve"> 1</w:t>
            </w:r>
            <w:r w:rsidR="00301A5B" w:rsidRPr="00EB51B1">
              <w:rPr>
                <w:rFonts w:ascii="Times New Roman" w:hAnsi="Times New Roman"/>
                <w:i/>
                <w:sz w:val="20"/>
              </w:rPr>
              <w:t xml:space="preserve">8 – 26 </w:t>
            </w:r>
            <w:r w:rsidRPr="00EB51B1">
              <w:rPr>
                <w:rFonts w:ascii="Times New Roman" w:hAnsi="Times New Roman"/>
                <w:i/>
                <w:sz w:val="20"/>
              </w:rPr>
              <w:t>of the MLI</w:t>
            </w:r>
          </w:p>
        </w:tc>
        <w:tc>
          <w:tcPr>
            <w:tcW w:w="1063" w:type="dxa"/>
            <w:tcBorders>
              <w:top w:val="nil"/>
              <w:bottom w:val="single" w:sz="4" w:space="0" w:color="000000" w:themeColor="text1"/>
            </w:tcBorders>
            <w:shd w:val="clear" w:color="auto" w:fill="auto"/>
          </w:tcPr>
          <w:p w:rsidR="002B3AEA" w:rsidRPr="00EB51B1" w:rsidRDefault="002B3AEA"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No</w:t>
            </w:r>
          </w:p>
        </w:tc>
        <w:tc>
          <w:tcPr>
            <w:tcW w:w="1063" w:type="dxa"/>
            <w:tcBorders>
              <w:top w:val="nil"/>
              <w:bottom w:val="single" w:sz="4" w:space="0" w:color="000000" w:themeColor="text1"/>
            </w:tcBorders>
            <w:shd w:val="clear" w:color="auto" w:fill="auto"/>
          </w:tcPr>
          <w:p w:rsidR="002B3AEA" w:rsidRPr="00EB51B1" w:rsidRDefault="002B3AEA" w:rsidP="00EB51B1">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EB51B1">
              <w:rPr>
                <w:rFonts w:ascii="Times New Roman" w:hAnsi="Times New Roman"/>
                <w:sz w:val="20"/>
              </w:rPr>
              <w:t>Yes</w:t>
            </w:r>
          </w:p>
        </w:tc>
      </w:tr>
    </w:tbl>
    <w:p w:rsidR="00A315ED" w:rsidRPr="003368F1" w:rsidRDefault="00A315ED" w:rsidP="003368F1">
      <w:pPr>
        <w:jc w:val="left"/>
        <w:rPr>
          <w:sz w:val="20"/>
          <w:lang w:val="en-NZ"/>
        </w:rPr>
      </w:pPr>
    </w:p>
    <w:sectPr w:rsidR="00A315ED" w:rsidRPr="003368F1" w:rsidSect="00746168">
      <w:pgSz w:w="16838" w:h="11906" w:orient="landscape" w:code="9"/>
      <w:pgMar w:top="1134" w:right="1797" w:bottom="567" w:left="1797" w:header="709" w:footer="42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BE">
      <wne:acd wne:acdName="acd1"/>
    </wne:keymap>
  </wne:keymaps>
  <wne:toolbars>
    <wne:acdManifest>
      <wne:acdEntry wne:acdName="acd0"/>
      <wne:acdEntry wne:acdName="acd1"/>
    </wne:acdManifest>
  </wne:toolbars>
  <wne:acds>
    <wne:acd wne:argValue="AQAAAAEA" wne:acdName="acd0" wne:fciIndexBasedOn="0065"/>
    <wne:acd wne:argValue="AgBCAHUAbABsAGUAdABz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8B" w:rsidRDefault="00DE478B">
      <w:r>
        <w:separator/>
      </w:r>
    </w:p>
  </w:endnote>
  <w:endnote w:type="continuationSeparator" w:id="0">
    <w:p w:rsidR="00DE478B" w:rsidRDefault="00DE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B" w:rsidRDefault="00DE478B"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B" w:rsidRDefault="00DE478B"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B" w:rsidRPr="0003164B" w:rsidRDefault="00DE478B" w:rsidP="00F36FF2">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E23F66">
      <w:rPr>
        <w:rStyle w:val="PageNumber"/>
        <w:noProof/>
      </w:rPr>
      <w:t>18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B" w:rsidRPr="00746168" w:rsidRDefault="00DE478B" w:rsidP="007461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B" w:rsidRDefault="00DE478B" w:rsidP="00096603">
    <w:pPr>
      <w:pStyle w:val="Footer"/>
      <w:jc w:val="center"/>
    </w:pPr>
    <w:r>
      <w:fldChar w:fldCharType="begin"/>
    </w:r>
    <w:r>
      <w:rPr>
        <w:rStyle w:val="PageNumber"/>
      </w:rPr>
      <w:instrText xml:space="preserve"> PAGE </w:instrText>
    </w:r>
    <w:r>
      <w:fldChar w:fldCharType="separate"/>
    </w:r>
    <w:r w:rsidR="00E23F66">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8B" w:rsidRDefault="00DE478B">
      <w:r>
        <w:separator/>
      </w:r>
    </w:p>
  </w:footnote>
  <w:footnote w:type="continuationSeparator" w:id="0">
    <w:p w:rsidR="00DE478B" w:rsidRDefault="00DE478B">
      <w:r>
        <w:continuationSeparator/>
      </w:r>
    </w:p>
  </w:footnote>
  <w:footnote w:id="1">
    <w:p w:rsidR="00DE478B" w:rsidRDefault="00DE478B" w:rsidP="00ED3BB7">
      <w:pPr>
        <w:pStyle w:val="FootnoteText"/>
      </w:pPr>
      <w:r>
        <w:rPr>
          <w:rStyle w:val="FootnoteReference"/>
        </w:rPr>
        <w:footnoteRef/>
      </w:r>
      <w:r>
        <w:t xml:space="preserve"> A list of participating jurisdictions can be found in the OECD’s Brochure on the MLI published in November 2016 at </w:t>
      </w:r>
      <w:hyperlink r:id="rId1" w:history="1">
        <w:r w:rsidRPr="006A0B21">
          <w:rPr>
            <w:rStyle w:val="Hyperlink"/>
          </w:rPr>
          <w:t>http://www.oecd.org/tax/treaties/multilateral-instrument-BEPS-tax-treaty-information-brochure.pdf</w:t>
        </w:r>
      </w:hyperlink>
      <w:r>
        <w:rPr>
          <w:rStyle w:val="Hyperlink"/>
        </w:rPr>
        <w:t>.</w:t>
      </w:r>
    </w:p>
  </w:footnote>
  <w:footnote w:id="2">
    <w:p w:rsidR="00DE478B" w:rsidRDefault="00DE478B" w:rsidP="009A6972">
      <w:pPr>
        <w:pStyle w:val="FootnoteText"/>
      </w:pPr>
      <w:r>
        <w:rPr>
          <w:rStyle w:val="FootnoteReference"/>
        </w:rPr>
        <w:footnoteRef/>
      </w:r>
      <w:r>
        <w:t xml:space="preserve"> The MLI only applies to existing, full DTAs, not to future treaties or to treaties such as tax information exchange agreements (TIEAs).</w:t>
      </w:r>
    </w:p>
  </w:footnote>
  <w:footnote w:id="3">
    <w:p w:rsidR="00DE478B" w:rsidRDefault="00DE478B" w:rsidP="009A6972">
      <w:pPr>
        <w:pStyle w:val="FootnoteText"/>
      </w:pPr>
      <w:r>
        <w:rPr>
          <w:rStyle w:val="FootnoteReference"/>
        </w:rPr>
        <w:footnoteRef/>
      </w:r>
      <w:r>
        <w:t xml:space="preserve"> Article 4 relates to dual resident entities and, while it relates to a hybrid entity, the new provision originated in the Action 6, rather than the Action 2 report.</w:t>
      </w:r>
    </w:p>
  </w:footnote>
  <w:footnote w:id="4">
    <w:p w:rsidR="00DE478B" w:rsidRDefault="00DE478B" w:rsidP="00A12ACF">
      <w:pPr>
        <w:pStyle w:val="FootnoteText"/>
      </w:pPr>
      <w:r>
        <w:rPr>
          <w:rStyle w:val="FootnoteReference"/>
        </w:rPr>
        <w:footnoteRef/>
      </w:r>
      <w:r>
        <w:t xml:space="preserve"> The notification process is very important as the operation of many of the articles of the MLI turn on notification.  To facilitate the notification exercise, the OECD is hosting a meeting in February 2017 to enable jurisdictions to ensure their bilateral notifications match.</w:t>
      </w:r>
    </w:p>
  </w:footnote>
  <w:footnote w:id="5">
    <w:p w:rsidR="00DE478B" w:rsidRDefault="00DE478B" w:rsidP="00A12ACF">
      <w:pPr>
        <w:pStyle w:val="FootnoteText"/>
        <w:jc w:val="both"/>
      </w:pPr>
      <w:r>
        <w:rPr>
          <w:rStyle w:val="FootnoteReference"/>
        </w:rPr>
        <w:footnoteRef/>
      </w:r>
      <w:r>
        <w:t xml:space="preserve"> Published at </w:t>
      </w:r>
      <w:hyperlink r:id="rId2" w:history="1">
        <w:r w:rsidRPr="00B40251">
          <w:rPr>
            <w:rStyle w:val="Hyperlink"/>
          </w:rPr>
          <w:t>http://taxpolicy.ird.govt.nz</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41E"/>
    <w:multiLevelType w:val="hybridMultilevel"/>
    <w:tmpl w:val="6C7C5CCA"/>
    <w:lvl w:ilvl="0" w:tplc="209674BA">
      <w:numFmt w:val="bullet"/>
      <w:lvlText w:val=""/>
      <w:lvlJc w:val="left"/>
      <w:pPr>
        <w:ind w:left="1440" w:hanging="360"/>
      </w:pPr>
      <w:rPr>
        <w:rFonts w:ascii="Symbol" w:eastAsia="Times New Roman" w:hAnsi="Symbol"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2DA1043"/>
    <w:multiLevelType w:val="hybridMultilevel"/>
    <w:tmpl w:val="B700EF7A"/>
    <w:lvl w:ilvl="0" w:tplc="EC169B6A">
      <w:numFmt w:val="bullet"/>
      <w:lvlText w:val="-"/>
      <w:lvlJc w:val="left"/>
      <w:pPr>
        <w:ind w:left="1353" w:hanging="360"/>
      </w:pPr>
      <w:rPr>
        <w:rFonts w:ascii="Times New Roman" w:eastAsia="Times New Roman" w:hAnsi="Times New Roman" w:cs="Times New Roman"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2">
    <w:nsid w:val="07B6134C"/>
    <w:multiLevelType w:val="singleLevel"/>
    <w:tmpl w:val="7428A606"/>
    <w:lvl w:ilvl="0">
      <w:start w:val="1"/>
      <w:numFmt w:val="decimal"/>
      <w:pStyle w:val="Chapter5CharChar"/>
      <w:lvlText w:val="5.%1"/>
      <w:lvlJc w:val="left"/>
      <w:pPr>
        <w:tabs>
          <w:tab w:val="num" w:pos="851"/>
        </w:tabs>
        <w:ind w:left="851" w:hanging="851"/>
      </w:pPr>
      <w:rPr>
        <w:rFonts w:hint="default"/>
        <w:b w:val="0"/>
        <w:i w:val="0"/>
      </w:rPr>
    </w:lvl>
  </w:abstractNum>
  <w:abstractNum w:abstractNumId="3">
    <w:nsid w:val="0C486011"/>
    <w:multiLevelType w:val="hybridMultilevel"/>
    <w:tmpl w:val="6F209168"/>
    <w:lvl w:ilvl="0" w:tplc="8F88D0DE">
      <w:numFmt w:val="bullet"/>
      <w:lvlText w:val=""/>
      <w:lvlJc w:val="left"/>
      <w:pPr>
        <w:ind w:left="1211" w:hanging="360"/>
      </w:pPr>
      <w:rPr>
        <w:rFonts w:ascii="Symbol" w:eastAsia="Times New Roman" w:hAnsi="Symbol" w:cs="Times New Roman"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6">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422559D"/>
    <w:multiLevelType w:val="hybridMultilevel"/>
    <w:tmpl w:val="456A6AAA"/>
    <w:lvl w:ilvl="0" w:tplc="14090001">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2AEC4F50"/>
    <w:multiLevelType w:val="hybridMultilevel"/>
    <w:tmpl w:val="88B4F23A"/>
    <w:lvl w:ilvl="0" w:tplc="EAE03988">
      <w:start w:val="1"/>
      <w:numFmt w:val="decimal"/>
      <w:pStyle w:val="Chapter60"/>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3AC7F71"/>
    <w:multiLevelType w:val="hybridMultilevel"/>
    <w:tmpl w:val="2674B0AE"/>
    <w:lvl w:ilvl="0" w:tplc="88CA4F56">
      <w:numFmt w:val="bullet"/>
      <w:lvlText w:val=""/>
      <w:lvlJc w:val="left"/>
      <w:pPr>
        <w:ind w:left="1211" w:hanging="360"/>
      </w:pPr>
      <w:rPr>
        <w:rFonts w:ascii="Symbol" w:eastAsia="Times New Roman" w:hAnsi="Symbol" w:cs="Times New Roman"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0">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8EA20E8"/>
    <w:multiLevelType w:val="hybridMultilevel"/>
    <w:tmpl w:val="811ECCA8"/>
    <w:lvl w:ilvl="0" w:tplc="C32E3062">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2">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720575"/>
    <w:multiLevelType w:val="hybridMultilevel"/>
    <w:tmpl w:val="2B445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5">
    <w:nsid w:val="4FD96B45"/>
    <w:multiLevelType w:val="hybridMultilevel"/>
    <w:tmpl w:val="332EFD88"/>
    <w:lvl w:ilvl="0" w:tplc="0E8A3BD8">
      <w:start w:val="1"/>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50593FAD"/>
    <w:multiLevelType w:val="hybridMultilevel"/>
    <w:tmpl w:val="0B0AC570"/>
    <w:lvl w:ilvl="0" w:tplc="209674BA">
      <w:numFmt w:val="bullet"/>
      <w:lvlText w:val=""/>
      <w:lvlJc w:val="left"/>
      <w:pPr>
        <w:ind w:left="1211" w:hanging="360"/>
      </w:pPr>
      <w:rPr>
        <w:rFonts w:ascii="Symbol" w:eastAsia="Times New Roman" w:hAnsi="Symbol" w:cs="Times New Roman" w:hint="default"/>
      </w:rPr>
    </w:lvl>
    <w:lvl w:ilvl="1" w:tplc="14090003">
      <w:start w:val="1"/>
      <w:numFmt w:val="bullet"/>
      <w:lvlText w:val="o"/>
      <w:lvlJc w:val="left"/>
      <w:pPr>
        <w:ind w:left="1211" w:hanging="360"/>
      </w:pPr>
      <w:rPr>
        <w:rFonts w:ascii="Courier New" w:hAnsi="Courier New" w:cs="Courier New" w:hint="default"/>
      </w:rPr>
    </w:lvl>
    <w:lvl w:ilvl="2" w:tplc="14090005">
      <w:start w:val="1"/>
      <w:numFmt w:val="bullet"/>
      <w:lvlText w:val=""/>
      <w:lvlJc w:val="left"/>
      <w:pPr>
        <w:ind w:left="1931" w:hanging="360"/>
      </w:pPr>
      <w:rPr>
        <w:rFonts w:ascii="Wingdings" w:hAnsi="Wingdings" w:hint="default"/>
      </w:rPr>
    </w:lvl>
    <w:lvl w:ilvl="3" w:tplc="14090001" w:tentative="1">
      <w:start w:val="1"/>
      <w:numFmt w:val="bullet"/>
      <w:lvlText w:val=""/>
      <w:lvlJc w:val="left"/>
      <w:pPr>
        <w:ind w:left="2651" w:hanging="360"/>
      </w:pPr>
      <w:rPr>
        <w:rFonts w:ascii="Symbol" w:hAnsi="Symbol" w:hint="default"/>
      </w:rPr>
    </w:lvl>
    <w:lvl w:ilvl="4" w:tplc="14090003" w:tentative="1">
      <w:start w:val="1"/>
      <w:numFmt w:val="bullet"/>
      <w:lvlText w:val="o"/>
      <w:lvlJc w:val="left"/>
      <w:pPr>
        <w:ind w:left="3371" w:hanging="360"/>
      </w:pPr>
      <w:rPr>
        <w:rFonts w:ascii="Courier New" w:hAnsi="Courier New" w:cs="Courier New" w:hint="default"/>
      </w:rPr>
    </w:lvl>
    <w:lvl w:ilvl="5" w:tplc="14090005" w:tentative="1">
      <w:start w:val="1"/>
      <w:numFmt w:val="bullet"/>
      <w:lvlText w:val=""/>
      <w:lvlJc w:val="left"/>
      <w:pPr>
        <w:ind w:left="4091" w:hanging="360"/>
      </w:pPr>
      <w:rPr>
        <w:rFonts w:ascii="Wingdings" w:hAnsi="Wingdings" w:hint="default"/>
      </w:rPr>
    </w:lvl>
    <w:lvl w:ilvl="6" w:tplc="14090001" w:tentative="1">
      <w:start w:val="1"/>
      <w:numFmt w:val="bullet"/>
      <w:lvlText w:val=""/>
      <w:lvlJc w:val="left"/>
      <w:pPr>
        <w:ind w:left="4811" w:hanging="360"/>
      </w:pPr>
      <w:rPr>
        <w:rFonts w:ascii="Symbol" w:hAnsi="Symbol" w:hint="default"/>
      </w:rPr>
    </w:lvl>
    <w:lvl w:ilvl="7" w:tplc="14090003" w:tentative="1">
      <w:start w:val="1"/>
      <w:numFmt w:val="bullet"/>
      <w:lvlText w:val="o"/>
      <w:lvlJc w:val="left"/>
      <w:pPr>
        <w:ind w:left="5531" w:hanging="360"/>
      </w:pPr>
      <w:rPr>
        <w:rFonts w:ascii="Courier New" w:hAnsi="Courier New" w:cs="Courier New" w:hint="default"/>
      </w:rPr>
    </w:lvl>
    <w:lvl w:ilvl="8" w:tplc="14090005" w:tentative="1">
      <w:start w:val="1"/>
      <w:numFmt w:val="bullet"/>
      <w:lvlText w:val=""/>
      <w:lvlJc w:val="left"/>
      <w:pPr>
        <w:ind w:left="6251" w:hanging="360"/>
      </w:pPr>
      <w:rPr>
        <w:rFonts w:ascii="Wingdings" w:hAnsi="Wingdings" w:hint="default"/>
      </w:rPr>
    </w:lvl>
  </w:abstractNum>
  <w:abstractNum w:abstractNumId="17">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553A5693"/>
    <w:multiLevelType w:val="hybridMultilevel"/>
    <w:tmpl w:val="28FCB24C"/>
    <w:lvl w:ilvl="0" w:tplc="08090005">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5A6D5453"/>
    <w:multiLevelType w:val="hybridMultilevel"/>
    <w:tmpl w:val="ECAE8AE8"/>
    <w:lvl w:ilvl="0" w:tplc="7142651C">
      <w:start w:val="1"/>
      <w:numFmt w:val="decimal"/>
      <w:lvlText w:val="%1."/>
      <w:lvlJc w:val="left"/>
      <w:pPr>
        <w:ind w:left="360" w:hanging="360"/>
      </w:pPr>
      <w:rPr>
        <w:rFonts w:ascii="Times New Roman" w:eastAsia="Times New Roman" w:hAnsi="Times New Roman" w:cs="Times New Roman"/>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602C34EE"/>
    <w:multiLevelType w:val="hybridMultilevel"/>
    <w:tmpl w:val="8AE87DEC"/>
    <w:lvl w:ilvl="0" w:tplc="0809000F">
      <w:start w:val="1"/>
      <w:numFmt w:val="decimal"/>
      <w:pStyle w:val="Chapter7Char"/>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22">
    <w:nsid w:val="64C1796D"/>
    <w:multiLevelType w:val="hybridMultilevel"/>
    <w:tmpl w:val="DB829DCE"/>
    <w:lvl w:ilvl="0" w:tplc="08090005">
      <w:start w:val="1"/>
      <w:numFmt w:val="decimal"/>
      <w:pStyle w:val="Chapter8Char"/>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BA55485"/>
    <w:multiLevelType w:val="hybridMultilevel"/>
    <w:tmpl w:val="B150B6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7"/>
  </w:num>
  <w:num w:numId="4">
    <w:abstractNumId w:val="18"/>
  </w:num>
  <w:num w:numId="5">
    <w:abstractNumId w:val="24"/>
  </w:num>
  <w:num w:numId="6">
    <w:abstractNumId w:val="5"/>
  </w:num>
  <w:num w:numId="7">
    <w:abstractNumId w:val="21"/>
  </w:num>
  <w:num w:numId="8">
    <w:abstractNumId w:val="10"/>
  </w:num>
  <w:num w:numId="9">
    <w:abstractNumId w:val="2"/>
  </w:num>
  <w:num w:numId="10">
    <w:abstractNumId w:val="4"/>
  </w:num>
  <w:num w:numId="11">
    <w:abstractNumId w:val="8"/>
  </w:num>
  <w:num w:numId="12">
    <w:abstractNumId w:val="20"/>
  </w:num>
  <w:num w:numId="13">
    <w:abstractNumId w:val="26"/>
  </w:num>
  <w:num w:numId="14">
    <w:abstractNumId w:val="22"/>
  </w:num>
  <w:num w:numId="15">
    <w:abstractNumId w:val="23"/>
  </w:num>
  <w:num w:numId="16">
    <w:abstractNumId w:val="12"/>
  </w:num>
  <w:num w:numId="17">
    <w:abstractNumId w:val="9"/>
  </w:num>
  <w:num w:numId="18">
    <w:abstractNumId w:val="3"/>
  </w:num>
  <w:num w:numId="19">
    <w:abstractNumId w:val="1"/>
  </w:num>
  <w:num w:numId="20">
    <w:abstractNumId w:val="15"/>
  </w:num>
  <w:num w:numId="21">
    <w:abstractNumId w:val="5"/>
  </w:num>
  <w:num w:numId="22">
    <w:abstractNumId w:val="5"/>
  </w:num>
  <w:num w:numId="23">
    <w:abstractNumId w:val="5"/>
  </w:num>
  <w:num w:numId="24">
    <w:abstractNumId w:val="0"/>
  </w:num>
  <w:num w:numId="25">
    <w:abstractNumId w:val="17"/>
  </w:num>
  <w:num w:numId="26">
    <w:abstractNumId w:val="5"/>
  </w:num>
  <w:num w:numId="27">
    <w:abstractNumId w:val="21"/>
  </w:num>
  <w:num w:numId="28">
    <w:abstractNumId w:val="11"/>
  </w:num>
  <w:num w:numId="29">
    <w:abstractNumId w:val="21"/>
  </w:num>
  <w:num w:numId="30">
    <w:abstractNumId w:val="19"/>
  </w:num>
  <w:num w:numId="31">
    <w:abstractNumId w:val="7"/>
  </w:num>
  <w:num w:numId="32">
    <w:abstractNumId w:val="25"/>
  </w:num>
  <w:num w:numId="33">
    <w:abstractNumId w:val="10"/>
  </w:num>
  <w:num w:numId="34">
    <w:abstractNumId w:val="13"/>
  </w:num>
  <w:num w:numId="35">
    <w:abstractNumId w:val="10"/>
  </w:num>
  <w:num w:numId="36">
    <w:abstractNumId w:val="10"/>
  </w:num>
  <w:num w:numId="37">
    <w:abstractNumId w:val="10"/>
  </w:num>
  <w:num w:numId="38">
    <w:abstractNumId w:val="10"/>
  </w:num>
  <w:num w:numId="39">
    <w:abstractNumId w:val="21"/>
  </w:num>
  <w:num w:numId="40">
    <w:abstractNumId w:val="16"/>
  </w:num>
  <w:num w:numId="41">
    <w:abstractNumId w:val="21"/>
  </w:num>
  <w:num w:numId="42">
    <w:abstractNumId w:val="5"/>
  </w:num>
  <w:num w:numId="43">
    <w:abstractNumId w:val="5"/>
  </w:num>
  <w:num w:numId="44">
    <w:abstractNumId w:val="5"/>
  </w:num>
  <w:num w:numId="45">
    <w:abstractNumId w:val="21"/>
    <w:lvlOverride w:ilvl="0">
      <w:startOverride w:val="1"/>
    </w:lvlOverride>
  </w:num>
  <w:num w:numId="4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6C"/>
    <w:rsid w:val="000022EC"/>
    <w:rsid w:val="0000371F"/>
    <w:rsid w:val="0000377B"/>
    <w:rsid w:val="00003908"/>
    <w:rsid w:val="000061F1"/>
    <w:rsid w:val="00006422"/>
    <w:rsid w:val="000072AD"/>
    <w:rsid w:val="00007351"/>
    <w:rsid w:val="00012289"/>
    <w:rsid w:val="00014230"/>
    <w:rsid w:val="00015410"/>
    <w:rsid w:val="00015F50"/>
    <w:rsid w:val="0001695D"/>
    <w:rsid w:val="000171CE"/>
    <w:rsid w:val="0002323A"/>
    <w:rsid w:val="0002340B"/>
    <w:rsid w:val="00023739"/>
    <w:rsid w:val="000250E7"/>
    <w:rsid w:val="000251CA"/>
    <w:rsid w:val="00027B73"/>
    <w:rsid w:val="0003027F"/>
    <w:rsid w:val="00030770"/>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2017"/>
    <w:rsid w:val="00043BEF"/>
    <w:rsid w:val="00047CC7"/>
    <w:rsid w:val="00047FF9"/>
    <w:rsid w:val="00050E51"/>
    <w:rsid w:val="00051E9F"/>
    <w:rsid w:val="000523E0"/>
    <w:rsid w:val="00053A26"/>
    <w:rsid w:val="00053BF5"/>
    <w:rsid w:val="0005426F"/>
    <w:rsid w:val="0005471A"/>
    <w:rsid w:val="00054A4A"/>
    <w:rsid w:val="00055518"/>
    <w:rsid w:val="000570B4"/>
    <w:rsid w:val="0005761B"/>
    <w:rsid w:val="000578D5"/>
    <w:rsid w:val="00064C13"/>
    <w:rsid w:val="00064CDF"/>
    <w:rsid w:val="00067972"/>
    <w:rsid w:val="00070A6E"/>
    <w:rsid w:val="00072271"/>
    <w:rsid w:val="00074205"/>
    <w:rsid w:val="0007577B"/>
    <w:rsid w:val="00081340"/>
    <w:rsid w:val="00083D81"/>
    <w:rsid w:val="00084ED4"/>
    <w:rsid w:val="00090841"/>
    <w:rsid w:val="00091439"/>
    <w:rsid w:val="00096603"/>
    <w:rsid w:val="00096828"/>
    <w:rsid w:val="000972F9"/>
    <w:rsid w:val="000A1039"/>
    <w:rsid w:val="000A1D11"/>
    <w:rsid w:val="000A21B8"/>
    <w:rsid w:val="000A2369"/>
    <w:rsid w:val="000A55B7"/>
    <w:rsid w:val="000A7407"/>
    <w:rsid w:val="000A7767"/>
    <w:rsid w:val="000B0C18"/>
    <w:rsid w:val="000B1DE7"/>
    <w:rsid w:val="000B2154"/>
    <w:rsid w:val="000B38A9"/>
    <w:rsid w:val="000B4164"/>
    <w:rsid w:val="000B5747"/>
    <w:rsid w:val="000B6BF6"/>
    <w:rsid w:val="000C009E"/>
    <w:rsid w:val="000C0168"/>
    <w:rsid w:val="000C0315"/>
    <w:rsid w:val="000C3FFB"/>
    <w:rsid w:val="000C5DF3"/>
    <w:rsid w:val="000C5EB7"/>
    <w:rsid w:val="000C73AB"/>
    <w:rsid w:val="000C78C9"/>
    <w:rsid w:val="000D0F7B"/>
    <w:rsid w:val="000D154C"/>
    <w:rsid w:val="000D431B"/>
    <w:rsid w:val="000D477E"/>
    <w:rsid w:val="000D5566"/>
    <w:rsid w:val="000E1182"/>
    <w:rsid w:val="000E1473"/>
    <w:rsid w:val="000E277E"/>
    <w:rsid w:val="000E3A50"/>
    <w:rsid w:val="000E3D2B"/>
    <w:rsid w:val="000E4CB7"/>
    <w:rsid w:val="000E5145"/>
    <w:rsid w:val="000E5794"/>
    <w:rsid w:val="000E764D"/>
    <w:rsid w:val="000E7C71"/>
    <w:rsid w:val="000E7EAB"/>
    <w:rsid w:val="000F4BC1"/>
    <w:rsid w:val="000F7153"/>
    <w:rsid w:val="000F7771"/>
    <w:rsid w:val="001005B7"/>
    <w:rsid w:val="00100901"/>
    <w:rsid w:val="001078F8"/>
    <w:rsid w:val="00110264"/>
    <w:rsid w:val="001142E4"/>
    <w:rsid w:val="001145D1"/>
    <w:rsid w:val="001155D2"/>
    <w:rsid w:val="00117C16"/>
    <w:rsid w:val="001201B6"/>
    <w:rsid w:val="00121752"/>
    <w:rsid w:val="001250A8"/>
    <w:rsid w:val="0012550F"/>
    <w:rsid w:val="00126F60"/>
    <w:rsid w:val="00131B6A"/>
    <w:rsid w:val="001324ED"/>
    <w:rsid w:val="001340E4"/>
    <w:rsid w:val="001348E3"/>
    <w:rsid w:val="00134C59"/>
    <w:rsid w:val="001353EA"/>
    <w:rsid w:val="00136CB8"/>
    <w:rsid w:val="00140748"/>
    <w:rsid w:val="001425E7"/>
    <w:rsid w:val="00143CAA"/>
    <w:rsid w:val="001455DB"/>
    <w:rsid w:val="0014563C"/>
    <w:rsid w:val="0015001E"/>
    <w:rsid w:val="00150A63"/>
    <w:rsid w:val="001526C7"/>
    <w:rsid w:val="0015532D"/>
    <w:rsid w:val="00157C9A"/>
    <w:rsid w:val="00160D92"/>
    <w:rsid w:val="00162125"/>
    <w:rsid w:val="0016327A"/>
    <w:rsid w:val="00166D50"/>
    <w:rsid w:val="00166FD2"/>
    <w:rsid w:val="001702CB"/>
    <w:rsid w:val="001713B3"/>
    <w:rsid w:val="001722B8"/>
    <w:rsid w:val="00176CEC"/>
    <w:rsid w:val="00176E74"/>
    <w:rsid w:val="00177C80"/>
    <w:rsid w:val="00180ED9"/>
    <w:rsid w:val="00182551"/>
    <w:rsid w:val="001836E5"/>
    <w:rsid w:val="00183F66"/>
    <w:rsid w:val="00196612"/>
    <w:rsid w:val="00197444"/>
    <w:rsid w:val="001A1E6C"/>
    <w:rsid w:val="001A2A81"/>
    <w:rsid w:val="001A2BCA"/>
    <w:rsid w:val="001A3053"/>
    <w:rsid w:val="001A385F"/>
    <w:rsid w:val="001A6A36"/>
    <w:rsid w:val="001A721B"/>
    <w:rsid w:val="001B1FAA"/>
    <w:rsid w:val="001B2CD9"/>
    <w:rsid w:val="001B57E9"/>
    <w:rsid w:val="001C23A1"/>
    <w:rsid w:val="001C38AE"/>
    <w:rsid w:val="001C6F6F"/>
    <w:rsid w:val="001C74B8"/>
    <w:rsid w:val="001D02C2"/>
    <w:rsid w:val="001D0512"/>
    <w:rsid w:val="001D47CB"/>
    <w:rsid w:val="001D4B71"/>
    <w:rsid w:val="001D5A37"/>
    <w:rsid w:val="001D72DE"/>
    <w:rsid w:val="001D768A"/>
    <w:rsid w:val="001D799C"/>
    <w:rsid w:val="001E193C"/>
    <w:rsid w:val="001E1CE3"/>
    <w:rsid w:val="001E3029"/>
    <w:rsid w:val="001E7D14"/>
    <w:rsid w:val="001F0321"/>
    <w:rsid w:val="001F1432"/>
    <w:rsid w:val="001F1B9D"/>
    <w:rsid w:val="001F35C8"/>
    <w:rsid w:val="001F6CB4"/>
    <w:rsid w:val="001F7F76"/>
    <w:rsid w:val="00200688"/>
    <w:rsid w:val="00200C96"/>
    <w:rsid w:val="00200EE6"/>
    <w:rsid w:val="002025E9"/>
    <w:rsid w:val="002033D4"/>
    <w:rsid w:val="002040FD"/>
    <w:rsid w:val="00205799"/>
    <w:rsid w:val="002062DD"/>
    <w:rsid w:val="0020641A"/>
    <w:rsid w:val="002137D1"/>
    <w:rsid w:val="0021414A"/>
    <w:rsid w:val="002152CE"/>
    <w:rsid w:val="0021548E"/>
    <w:rsid w:val="00216D5E"/>
    <w:rsid w:val="002170A2"/>
    <w:rsid w:val="00217C12"/>
    <w:rsid w:val="00220609"/>
    <w:rsid w:val="002302A6"/>
    <w:rsid w:val="00231C75"/>
    <w:rsid w:val="002325A4"/>
    <w:rsid w:val="00232C5B"/>
    <w:rsid w:val="0023315E"/>
    <w:rsid w:val="00233203"/>
    <w:rsid w:val="002334CC"/>
    <w:rsid w:val="00233F47"/>
    <w:rsid w:val="002343E9"/>
    <w:rsid w:val="002357D6"/>
    <w:rsid w:val="0023589C"/>
    <w:rsid w:val="002361A0"/>
    <w:rsid w:val="0023748D"/>
    <w:rsid w:val="00237EF2"/>
    <w:rsid w:val="00240DCC"/>
    <w:rsid w:val="0024175F"/>
    <w:rsid w:val="00241782"/>
    <w:rsid w:val="00244391"/>
    <w:rsid w:val="0025084A"/>
    <w:rsid w:val="002516B4"/>
    <w:rsid w:val="00253969"/>
    <w:rsid w:val="00254177"/>
    <w:rsid w:val="002579A2"/>
    <w:rsid w:val="0026027E"/>
    <w:rsid w:val="00260B59"/>
    <w:rsid w:val="00260ED8"/>
    <w:rsid w:val="00262FB3"/>
    <w:rsid w:val="00263E47"/>
    <w:rsid w:val="00266810"/>
    <w:rsid w:val="00267C0F"/>
    <w:rsid w:val="0027067F"/>
    <w:rsid w:val="00271089"/>
    <w:rsid w:val="00273349"/>
    <w:rsid w:val="002760C0"/>
    <w:rsid w:val="00277C44"/>
    <w:rsid w:val="00283A2A"/>
    <w:rsid w:val="00283CC1"/>
    <w:rsid w:val="00286748"/>
    <w:rsid w:val="00287272"/>
    <w:rsid w:val="00290161"/>
    <w:rsid w:val="00290180"/>
    <w:rsid w:val="00291A59"/>
    <w:rsid w:val="0029316E"/>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3AEA"/>
    <w:rsid w:val="002B7250"/>
    <w:rsid w:val="002C1491"/>
    <w:rsid w:val="002C38DD"/>
    <w:rsid w:val="002C3D65"/>
    <w:rsid w:val="002C4868"/>
    <w:rsid w:val="002C5860"/>
    <w:rsid w:val="002C5E5F"/>
    <w:rsid w:val="002C723A"/>
    <w:rsid w:val="002C755E"/>
    <w:rsid w:val="002C7856"/>
    <w:rsid w:val="002C7AD2"/>
    <w:rsid w:val="002D08DF"/>
    <w:rsid w:val="002D0B41"/>
    <w:rsid w:val="002D1F3E"/>
    <w:rsid w:val="002D4D1B"/>
    <w:rsid w:val="002D78AA"/>
    <w:rsid w:val="002D7CEB"/>
    <w:rsid w:val="002E05EC"/>
    <w:rsid w:val="002E093E"/>
    <w:rsid w:val="002E102D"/>
    <w:rsid w:val="002E227E"/>
    <w:rsid w:val="002E3A75"/>
    <w:rsid w:val="002E6FFB"/>
    <w:rsid w:val="002F082A"/>
    <w:rsid w:val="002F102C"/>
    <w:rsid w:val="002F1F3A"/>
    <w:rsid w:val="002F2C39"/>
    <w:rsid w:val="002F46B3"/>
    <w:rsid w:val="002F5A43"/>
    <w:rsid w:val="00301A5B"/>
    <w:rsid w:val="0030295B"/>
    <w:rsid w:val="003048A8"/>
    <w:rsid w:val="0030508B"/>
    <w:rsid w:val="0030535A"/>
    <w:rsid w:val="0030684E"/>
    <w:rsid w:val="00311DBB"/>
    <w:rsid w:val="003120D8"/>
    <w:rsid w:val="003123C2"/>
    <w:rsid w:val="00316A76"/>
    <w:rsid w:val="00317CA5"/>
    <w:rsid w:val="00320319"/>
    <w:rsid w:val="003210D1"/>
    <w:rsid w:val="0032154C"/>
    <w:rsid w:val="0032499B"/>
    <w:rsid w:val="00325904"/>
    <w:rsid w:val="003265FB"/>
    <w:rsid w:val="00331093"/>
    <w:rsid w:val="0033227F"/>
    <w:rsid w:val="00333F40"/>
    <w:rsid w:val="003356AC"/>
    <w:rsid w:val="003368F1"/>
    <w:rsid w:val="003413ED"/>
    <w:rsid w:val="00341557"/>
    <w:rsid w:val="0034165E"/>
    <w:rsid w:val="00343FC6"/>
    <w:rsid w:val="00345CC4"/>
    <w:rsid w:val="0034639D"/>
    <w:rsid w:val="003473DB"/>
    <w:rsid w:val="00354453"/>
    <w:rsid w:val="003563D9"/>
    <w:rsid w:val="0036156A"/>
    <w:rsid w:val="00362461"/>
    <w:rsid w:val="00367337"/>
    <w:rsid w:val="00367C7B"/>
    <w:rsid w:val="00370F9D"/>
    <w:rsid w:val="00371125"/>
    <w:rsid w:val="0037173A"/>
    <w:rsid w:val="00373D19"/>
    <w:rsid w:val="00373E7D"/>
    <w:rsid w:val="00373F5D"/>
    <w:rsid w:val="003742E3"/>
    <w:rsid w:val="00374BD9"/>
    <w:rsid w:val="00374E66"/>
    <w:rsid w:val="003754D0"/>
    <w:rsid w:val="00377524"/>
    <w:rsid w:val="00380CAC"/>
    <w:rsid w:val="00381ABC"/>
    <w:rsid w:val="00382E2E"/>
    <w:rsid w:val="00384C7E"/>
    <w:rsid w:val="00385AED"/>
    <w:rsid w:val="0038645D"/>
    <w:rsid w:val="00387D1E"/>
    <w:rsid w:val="00387FDF"/>
    <w:rsid w:val="00390F8D"/>
    <w:rsid w:val="00391A22"/>
    <w:rsid w:val="00391B92"/>
    <w:rsid w:val="00392924"/>
    <w:rsid w:val="003944D6"/>
    <w:rsid w:val="00394CF8"/>
    <w:rsid w:val="00395475"/>
    <w:rsid w:val="00395B3F"/>
    <w:rsid w:val="003962BF"/>
    <w:rsid w:val="00396824"/>
    <w:rsid w:val="00397856"/>
    <w:rsid w:val="003A2EB4"/>
    <w:rsid w:val="003A31FD"/>
    <w:rsid w:val="003A48F2"/>
    <w:rsid w:val="003A4D95"/>
    <w:rsid w:val="003A5393"/>
    <w:rsid w:val="003A5488"/>
    <w:rsid w:val="003A5C2F"/>
    <w:rsid w:val="003B397F"/>
    <w:rsid w:val="003C055A"/>
    <w:rsid w:val="003C3352"/>
    <w:rsid w:val="003C3693"/>
    <w:rsid w:val="003C37C2"/>
    <w:rsid w:val="003C4126"/>
    <w:rsid w:val="003C502F"/>
    <w:rsid w:val="003C5519"/>
    <w:rsid w:val="003C6105"/>
    <w:rsid w:val="003C6A12"/>
    <w:rsid w:val="003C75F6"/>
    <w:rsid w:val="003D1452"/>
    <w:rsid w:val="003D6323"/>
    <w:rsid w:val="003D684E"/>
    <w:rsid w:val="003D6EF5"/>
    <w:rsid w:val="003D73BF"/>
    <w:rsid w:val="003E0056"/>
    <w:rsid w:val="003E02BB"/>
    <w:rsid w:val="003E44F6"/>
    <w:rsid w:val="003E51E2"/>
    <w:rsid w:val="003E7906"/>
    <w:rsid w:val="003E7977"/>
    <w:rsid w:val="003F03E7"/>
    <w:rsid w:val="003F5739"/>
    <w:rsid w:val="003F6AB6"/>
    <w:rsid w:val="003F6E87"/>
    <w:rsid w:val="00401F0F"/>
    <w:rsid w:val="0040231F"/>
    <w:rsid w:val="00403468"/>
    <w:rsid w:val="00404CDB"/>
    <w:rsid w:val="00405235"/>
    <w:rsid w:val="0040742C"/>
    <w:rsid w:val="00413004"/>
    <w:rsid w:val="004137E5"/>
    <w:rsid w:val="0041492E"/>
    <w:rsid w:val="00414AC0"/>
    <w:rsid w:val="00414F89"/>
    <w:rsid w:val="00420DF8"/>
    <w:rsid w:val="0042153D"/>
    <w:rsid w:val="00422725"/>
    <w:rsid w:val="0042286D"/>
    <w:rsid w:val="004243F7"/>
    <w:rsid w:val="004258D6"/>
    <w:rsid w:val="00427368"/>
    <w:rsid w:val="004306CC"/>
    <w:rsid w:val="00430BB2"/>
    <w:rsid w:val="00431555"/>
    <w:rsid w:val="00431E1A"/>
    <w:rsid w:val="004326C9"/>
    <w:rsid w:val="00432F19"/>
    <w:rsid w:val="00434294"/>
    <w:rsid w:val="00434570"/>
    <w:rsid w:val="00435C8B"/>
    <w:rsid w:val="00436FCD"/>
    <w:rsid w:val="0044068B"/>
    <w:rsid w:val="0044126B"/>
    <w:rsid w:val="0044537A"/>
    <w:rsid w:val="00445690"/>
    <w:rsid w:val="0044726A"/>
    <w:rsid w:val="00447865"/>
    <w:rsid w:val="004478AE"/>
    <w:rsid w:val="00450226"/>
    <w:rsid w:val="00452856"/>
    <w:rsid w:val="00453713"/>
    <w:rsid w:val="00454686"/>
    <w:rsid w:val="00455B3C"/>
    <w:rsid w:val="00456DE8"/>
    <w:rsid w:val="004603E1"/>
    <w:rsid w:val="004649DC"/>
    <w:rsid w:val="004714F2"/>
    <w:rsid w:val="00475CFF"/>
    <w:rsid w:val="00477B93"/>
    <w:rsid w:val="004823B6"/>
    <w:rsid w:val="00482460"/>
    <w:rsid w:val="00482B21"/>
    <w:rsid w:val="00485CD4"/>
    <w:rsid w:val="004865E4"/>
    <w:rsid w:val="00493A9F"/>
    <w:rsid w:val="004955E2"/>
    <w:rsid w:val="00495F1D"/>
    <w:rsid w:val="00495F75"/>
    <w:rsid w:val="004A0BAE"/>
    <w:rsid w:val="004A0DAF"/>
    <w:rsid w:val="004A11C8"/>
    <w:rsid w:val="004A1DEC"/>
    <w:rsid w:val="004A4529"/>
    <w:rsid w:val="004A6E86"/>
    <w:rsid w:val="004B0926"/>
    <w:rsid w:val="004B1B92"/>
    <w:rsid w:val="004B21B5"/>
    <w:rsid w:val="004B36B0"/>
    <w:rsid w:val="004B37FB"/>
    <w:rsid w:val="004B4DEB"/>
    <w:rsid w:val="004B659E"/>
    <w:rsid w:val="004B684C"/>
    <w:rsid w:val="004B6F8B"/>
    <w:rsid w:val="004B754A"/>
    <w:rsid w:val="004C1701"/>
    <w:rsid w:val="004C2444"/>
    <w:rsid w:val="004C2DB8"/>
    <w:rsid w:val="004C5738"/>
    <w:rsid w:val="004D2B7A"/>
    <w:rsid w:val="004D6158"/>
    <w:rsid w:val="004D6564"/>
    <w:rsid w:val="004D7102"/>
    <w:rsid w:val="004D773C"/>
    <w:rsid w:val="004E10A4"/>
    <w:rsid w:val="004E2A2B"/>
    <w:rsid w:val="004E2CEB"/>
    <w:rsid w:val="004E491E"/>
    <w:rsid w:val="004E59D9"/>
    <w:rsid w:val="004E5B10"/>
    <w:rsid w:val="004E648C"/>
    <w:rsid w:val="004E72FD"/>
    <w:rsid w:val="004F0044"/>
    <w:rsid w:val="004F3671"/>
    <w:rsid w:val="004F3874"/>
    <w:rsid w:val="004F4237"/>
    <w:rsid w:val="004F4278"/>
    <w:rsid w:val="004F4C58"/>
    <w:rsid w:val="004F5679"/>
    <w:rsid w:val="00501EBD"/>
    <w:rsid w:val="00502359"/>
    <w:rsid w:val="005025DD"/>
    <w:rsid w:val="0050650D"/>
    <w:rsid w:val="00506D4E"/>
    <w:rsid w:val="0050746B"/>
    <w:rsid w:val="005105C2"/>
    <w:rsid w:val="00512EC7"/>
    <w:rsid w:val="00513EFC"/>
    <w:rsid w:val="00514F79"/>
    <w:rsid w:val="00517261"/>
    <w:rsid w:val="005209B8"/>
    <w:rsid w:val="00521C06"/>
    <w:rsid w:val="00530A3D"/>
    <w:rsid w:val="0053146F"/>
    <w:rsid w:val="0053156B"/>
    <w:rsid w:val="0054074E"/>
    <w:rsid w:val="00541932"/>
    <w:rsid w:val="00542C0A"/>
    <w:rsid w:val="00543138"/>
    <w:rsid w:val="005453ED"/>
    <w:rsid w:val="00546600"/>
    <w:rsid w:val="00546695"/>
    <w:rsid w:val="005471C6"/>
    <w:rsid w:val="005471D8"/>
    <w:rsid w:val="00547515"/>
    <w:rsid w:val="00547A47"/>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926"/>
    <w:rsid w:val="00575170"/>
    <w:rsid w:val="00577313"/>
    <w:rsid w:val="00580AF0"/>
    <w:rsid w:val="00580B4E"/>
    <w:rsid w:val="00581E13"/>
    <w:rsid w:val="00582227"/>
    <w:rsid w:val="005827DA"/>
    <w:rsid w:val="00583305"/>
    <w:rsid w:val="00583BFC"/>
    <w:rsid w:val="00583E53"/>
    <w:rsid w:val="00586ED7"/>
    <w:rsid w:val="005871DB"/>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C1D28"/>
    <w:rsid w:val="005C2F8C"/>
    <w:rsid w:val="005C3DE8"/>
    <w:rsid w:val="005C6E37"/>
    <w:rsid w:val="005C745F"/>
    <w:rsid w:val="005D1902"/>
    <w:rsid w:val="005D1BD6"/>
    <w:rsid w:val="005D1CBA"/>
    <w:rsid w:val="005D2143"/>
    <w:rsid w:val="005D3A47"/>
    <w:rsid w:val="005D3DAF"/>
    <w:rsid w:val="005D51C1"/>
    <w:rsid w:val="005D6D53"/>
    <w:rsid w:val="005D6E01"/>
    <w:rsid w:val="005E0A51"/>
    <w:rsid w:val="005E0F6F"/>
    <w:rsid w:val="005E1382"/>
    <w:rsid w:val="005E168D"/>
    <w:rsid w:val="005E3C39"/>
    <w:rsid w:val="005E52FB"/>
    <w:rsid w:val="005E559F"/>
    <w:rsid w:val="005E6722"/>
    <w:rsid w:val="005F160C"/>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69BE"/>
    <w:rsid w:val="00617CE2"/>
    <w:rsid w:val="00617DFC"/>
    <w:rsid w:val="00617FD2"/>
    <w:rsid w:val="00620585"/>
    <w:rsid w:val="00621F11"/>
    <w:rsid w:val="00624899"/>
    <w:rsid w:val="00627E1F"/>
    <w:rsid w:val="00631AD7"/>
    <w:rsid w:val="00632A6B"/>
    <w:rsid w:val="006350A3"/>
    <w:rsid w:val="00635E6E"/>
    <w:rsid w:val="00635EB8"/>
    <w:rsid w:val="0063605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780"/>
    <w:rsid w:val="006659C0"/>
    <w:rsid w:val="00665DEA"/>
    <w:rsid w:val="00670383"/>
    <w:rsid w:val="0067137C"/>
    <w:rsid w:val="0067215C"/>
    <w:rsid w:val="0067287E"/>
    <w:rsid w:val="006735D1"/>
    <w:rsid w:val="00675216"/>
    <w:rsid w:val="00675264"/>
    <w:rsid w:val="006772F4"/>
    <w:rsid w:val="00681F0D"/>
    <w:rsid w:val="00683EB1"/>
    <w:rsid w:val="00686E61"/>
    <w:rsid w:val="00690DC4"/>
    <w:rsid w:val="006922FB"/>
    <w:rsid w:val="00692772"/>
    <w:rsid w:val="006A0B21"/>
    <w:rsid w:val="006A23A6"/>
    <w:rsid w:val="006A2BE5"/>
    <w:rsid w:val="006A3BDB"/>
    <w:rsid w:val="006A6B54"/>
    <w:rsid w:val="006B0566"/>
    <w:rsid w:val="006B1316"/>
    <w:rsid w:val="006B2A85"/>
    <w:rsid w:val="006B5427"/>
    <w:rsid w:val="006B598A"/>
    <w:rsid w:val="006C0008"/>
    <w:rsid w:val="006C241F"/>
    <w:rsid w:val="006D1287"/>
    <w:rsid w:val="006D4999"/>
    <w:rsid w:val="006D5113"/>
    <w:rsid w:val="006D5CF2"/>
    <w:rsid w:val="006D5E8F"/>
    <w:rsid w:val="006D6102"/>
    <w:rsid w:val="006D69D1"/>
    <w:rsid w:val="006D75D7"/>
    <w:rsid w:val="006E19D8"/>
    <w:rsid w:val="006E1C6B"/>
    <w:rsid w:val="006E2848"/>
    <w:rsid w:val="006E44FA"/>
    <w:rsid w:val="006E50E7"/>
    <w:rsid w:val="006E6038"/>
    <w:rsid w:val="006F02AD"/>
    <w:rsid w:val="006F1D5A"/>
    <w:rsid w:val="006F3442"/>
    <w:rsid w:val="006F3E59"/>
    <w:rsid w:val="006F4D00"/>
    <w:rsid w:val="006F50C5"/>
    <w:rsid w:val="006F6822"/>
    <w:rsid w:val="0070017E"/>
    <w:rsid w:val="00701A75"/>
    <w:rsid w:val="00701E76"/>
    <w:rsid w:val="007022BF"/>
    <w:rsid w:val="0070247E"/>
    <w:rsid w:val="00704AD1"/>
    <w:rsid w:val="007055A3"/>
    <w:rsid w:val="007056D0"/>
    <w:rsid w:val="00713702"/>
    <w:rsid w:val="00715279"/>
    <w:rsid w:val="00715D61"/>
    <w:rsid w:val="007161D3"/>
    <w:rsid w:val="00717673"/>
    <w:rsid w:val="00725975"/>
    <w:rsid w:val="00725B0D"/>
    <w:rsid w:val="00726C4D"/>
    <w:rsid w:val="007276C0"/>
    <w:rsid w:val="00727B0E"/>
    <w:rsid w:val="0073368E"/>
    <w:rsid w:val="007343A9"/>
    <w:rsid w:val="007351D5"/>
    <w:rsid w:val="007357CF"/>
    <w:rsid w:val="00736162"/>
    <w:rsid w:val="007369E2"/>
    <w:rsid w:val="007444CE"/>
    <w:rsid w:val="007452FA"/>
    <w:rsid w:val="00746168"/>
    <w:rsid w:val="00746725"/>
    <w:rsid w:val="00746D40"/>
    <w:rsid w:val="0074770F"/>
    <w:rsid w:val="00747BCE"/>
    <w:rsid w:val="007500F9"/>
    <w:rsid w:val="00750168"/>
    <w:rsid w:val="007510CF"/>
    <w:rsid w:val="007526F1"/>
    <w:rsid w:val="00753E8F"/>
    <w:rsid w:val="0075609C"/>
    <w:rsid w:val="00757846"/>
    <w:rsid w:val="00757E1F"/>
    <w:rsid w:val="007620E8"/>
    <w:rsid w:val="0076265A"/>
    <w:rsid w:val="00763C50"/>
    <w:rsid w:val="00764FC2"/>
    <w:rsid w:val="007658B3"/>
    <w:rsid w:val="00765FD6"/>
    <w:rsid w:val="007664F6"/>
    <w:rsid w:val="00766F65"/>
    <w:rsid w:val="007722F6"/>
    <w:rsid w:val="00776D47"/>
    <w:rsid w:val="007809E0"/>
    <w:rsid w:val="00780E1E"/>
    <w:rsid w:val="00782A42"/>
    <w:rsid w:val="0078345B"/>
    <w:rsid w:val="00783C1E"/>
    <w:rsid w:val="00786280"/>
    <w:rsid w:val="00790114"/>
    <w:rsid w:val="007902DC"/>
    <w:rsid w:val="007922D4"/>
    <w:rsid w:val="007935E2"/>
    <w:rsid w:val="007936EE"/>
    <w:rsid w:val="00794535"/>
    <w:rsid w:val="007958B8"/>
    <w:rsid w:val="00795D94"/>
    <w:rsid w:val="007961D3"/>
    <w:rsid w:val="007976E4"/>
    <w:rsid w:val="007A0A8A"/>
    <w:rsid w:val="007A186C"/>
    <w:rsid w:val="007A204E"/>
    <w:rsid w:val="007A3CFC"/>
    <w:rsid w:val="007A4CC6"/>
    <w:rsid w:val="007A59B3"/>
    <w:rsid w:val="007B0045"/>
    <w:rsid w:val="007B06B7"/>
    <w:rsid w:val="007B1BC1"/>
    <w:rsid w:val="007B3F45"/>
    <w:rsid w:val="007B454F"/>
    <w:rsid w:val="007B5A67"/>
    <w:rsid w:val="007B6B9F"/>
    <w:rsid w:val="007C033B"/>
    <w:rsid w:val="007C0792"/>
    <w:rsid w:val="007C23A7"/>
    <w:rsid w:val="007C2425"/>
    <w:rsid w:val="007C28DB"/>
    <w:rsid w:val="007C2F1B"/>
    <w:rsid w:val="007C5126"/>
    <w:rsid w:val="007D0893"/>
    <w:rsid w:val="007D11A2"/>
    <w:rsid w:val="007E061D"/>
    <w:rsid w:val="007E3625"/>
    <w:rsid w:val="007F1E98"/>
    <w:rsid w:val="007F4EA5"/>
    <w:rsid w:val="007F5EF1"/>
    <w:rsid w:val="007F68CB"/>
    <w:rsid w:val="0080092E"/>
    <w:rsid w:val="00803056"/>
    <w:rsid w:val="00804D55"/>
    <w:rsid w:val="00811AAE"/>
    <w:rsid w:val="00813605"/>
    <w:rsid w:val="00816367"/>
    <w:rsid w:val="008164DA"/>
    <w:rsid w:val="008177B1"/>
    <w:rsid w:val="008201B3"/>
    <w:rsid w:val="00820687"/>
    <w:rsid w:val="00821169"/>
    <w:rsid w:val="00830AC3"/>
    <w:rsid w:val="00831363"/>
    <w:rsid w:val="00832939"/>
    <w:rsid w:val="00833BEF"/>
    <w:rsid w:val="00834092"/>
    <w:rsid w:val="00834C8A"/>
    <w:rsid w:val="00836DA4"/>
    <w:rsid w:val="00837387"/>
    <w:rsid w:val="00837D98"/>
    <w:rsid w:val="008421B3"/>
    <w:rsid w:val="008423EA"/>
    <w:rsid w:val="0084257B"/>
    <w:rsid w:val="008430E9"/>
    <w:rsid w:val="00845BE3"/>
    <w:rsid w:val="008464AB"/>
    <w:rsid w:val="00846D8C"/>
    <w:rsid w:val="0085013C"/>
    <w:rsid w:val="00850F10"/>
    <w:rsid w:val="0085142B"/>
    <w:rsid w:val="00851B2F"/>
    <w:rsid w:val="00852377"/>
    <w:rsid w:val="008525B1"/>
    <w:rsid w:val="008529E2"/>
    <w:rsid w:val="008537EA"/>
    <w:rsid w:val="0085447D"/>
    <w:rsid w:val="00854C43"/>
    <w:rsid w:val="00854D7E"/>
    <w:rsid w:val="00854DFA"/>
    <w:rsid w:val="008569FB"/>
    <w:rsid w:val="00856C3E"/>
    <w:rsid w:val="00860AAF"/>
    <w:rsid w:val="00861702"/>
    <w:rsid w:val="00863BEF"/>
    <w:rsid w:val="008654D3"/>
    <w:rsid w:val="00871BBD"/>
    <w:rsid w:val="00873A37"/>
    <w:rsid w:val="008740E7"/>
    <w:rsid w:val="0087438E"/>
    <w:rsid w:val="00882647"/>
    <w:rsid w:val="008840A1"/>
    <w:rsid w:val="008867FC"/>
    <w:rsid w:val="00886A68"/>
    <w:rsid w:val="00890CD7"/>
    <w:rsid w:val="00891892"/>
    <w:rsid w:val="008938CF"/>
    <w:rsid w:val="00893C67"/>
    <w:rsid w:val="0089509C"/>
    <w:rsid w:val="00895302"/>
    <w:rsid w:val="008968AB"/>
    <w:rsid w:val="00896B56"/>
    <w:rsid w:val="008A3229"/>
    <w:rsid w:val="008A339E"/>
    <w:rsid w:val="008A36A9"/>
    <w:rsid w:val="008A58F1"/>
    <w:rsid w:val="008B371A"/>
    <w:rsid w:val="008B60D9"/>
    <w:rsid w:val="008C03D1"/>
    <w:rsid w:val="008C1ACF"/>
    <w:rsid w:val="008C25CB"/>
    <w:rsid w:val="008C3D45"/>
    <w:rsid w:val="008C44B8"/>
    <w:rsid w:val="008C4809"/>
    <w:rsid w:val="008C49ED"/>
    <w:rsid w:val="008C59DF"/>
    <w:rsid w:val="008C639C"/>
    <w:rsid w:val="008C7648"/>
    <w:rsid w:val="008C78BD"/>
    <w:rsid w:val="008D004A"/>
    <w:rsid w:val="008D4E6B"/>
    <w:rsid w:val="008E19CE"/>
    <w:rsid w:val="008E29D4"/>
    <w:rsid w:val="008E520E"/>
    <w:rsid w:val="008E5FD9"/>
    <w:rsid w:val="008E6715"/>
    <w:rsid w:val="008F0649"/>
    <w:rsid w:val="008F1B05"/>
    <w:rsid w:val="008F2218"/>
    <w:rsid w:val="008F3A34"/>
    <w:rsid w:val="008F4A5C"/>
    <w:rsid w:val="008F64CF"/>
    <w:rsid w:val="00900193"/>
    <w:rsid w:val="009026D4"/>
    <w:rsid w:val="00902A72"/>
    <w:rsid w:val="00906DC8"/>
    <w:rsid w:val="00910DFC"/>
    <w:rsid w:val="0091275E"/>
    <w:rsid w:val="009165B1"/>
    <w:rsid w:val="00921EBA"/>
    <w:rsid w:val="009234BB"/>
    <w:rsid w:val="00924AC6"/>
    <w:rsid w:val="00925651"/>
    <w:rsid w:val="00925E43"/>
    <w:rsid w:val="00926D28"/>
    <w:rsid w:val="00930D24"/>
    <w:rsid w:val="00933E77"/>
    <w:rsid w:val="009368ED"/>
    <w:rsid w:val="00937C47"/>
    <w:rsid w:val="00937E27"/>
    <w:rsid w:val="009430F5"/>
    <w:rsid w:val="00943723"/>
    <w:rsid w:val="0094413F"/>
    <w:rsid w:val="0094416A"/>
    <w:rsid w:val="00945302"/>
    <w:rsid w:val="00952A8A"/>
    <w:rsid w:val="00952BCD"/>
    <w:rsid w:val="00952BDA"/>
    <w:rsid w:val="00953AA6"/>
    <w:rsid w:val="00954411"/>
    <w:rsid w:val="00955F81"/>
    <w:rsid w:val="00956AA6"/>
    <w:rsid w:val="00957B8D"/>
    <w:rsid w:val="009620DD"/>
    <w:rsid w:val="0096344E"/>
    <w:rsid w:val="0096690D"/>
    <w:rsid w:val="009724DF"/>
    <w:rsid w:val="00975A84"/>
    <w:rsid w:val="009766AC"/>
    <w:rsid w:val="0097761A"/>
    <w:rsid w:val="00977B8A"/>
    <w:rsid w:val="00984423"/>
    <w:rsid w:val="00984554"/>
    <w:rsid w:val="00986D97"/>
    <w:rsid w:val="00987B82"/>
    <w:rsid w:val="00991CA2"/>
    <w:rsid w:val="00992959"/>
    <w:rsid w:val="00993AEC"/>
    <w:rsid w:val="0099636F"/>
    <w:rsid w:val="00996BB1"/>
    <w:rsid w:val="009974FD"/>
    <w:rsid w:val="00997952"/>
    <w:rsid w:val="009A095D"/>
    <w:rsid w:val="009A1DBB"/>
    <w:rsid w:val="009A239F"/>
    <w:rsid w:val="009A34F3"/>
    <w:rsid w:val="009A3677"/>
    <w:rsid w:val="009A38C4"/>
    <w:rsid w:val="009A4114"/>
    <w:rsid w:val="009A47E6"/>
    <w:rsid w:val="009A6335"/>
    <w:rsid w:val="009A68D0"/>
    <w:rsid w:val="009A6972"/>
    <w:rsid w:val="009A69BB"/>
    <w:rsid w:val="009A69C6"/>
    <w:rsid w:val="009A6F09"/>
    <w:rsid w:val="009B08CA"/>
    <w:rsid w:val="009B14AC"/>
    <w:rsid w:val="009B1A6B"/>
    <w:rsid w:val="009B32A4"/>
    <w:rsid w:val="009B408D"/>
    <w:rsid w:val="009B7311"/>
    <w:rsid w:val="009B7BDD"/>
    <w:rsid w:val="009C2842"/>
    <w:rsid w:val="009C5032"/>
    <w:rsid w:val="009C69CB"/>
    <w:rsid w:val="009C7462"/>
    <w:rsid w:val="009C7496"/>
    <w:rsid w:val="009D34C0"/>
    <w:rsid w:val="009D4B99"/>
    <w:rsid w:val="009D4F0D"/>
    <w:rsid w:val="009D6BEA"/>
    <w:rsid w:val="009E0AD0"/>
    <w:rsid w:val="009E11B3"/>
    <w:rsid w:val="009E1E3B"/>
    <w:rsid w:val="009E3C5E"/>
    <w:rsid w:val="009E4517"/>
    <w:rsid w:val="009E4D3B"/>
    <w:rsid w:val="009E4DD2"/>
    <w:rsid w:val="009E59BC"/>
    <w:rsid w:val="009E59D6"/>
    <w:rsid w:val="009E79DB"/>
    <w:rsid w:val="009F0E76"/>
    <w:rsid w:val="009F2FD1"/>
    <w:rsid w:val="009F38E4"/>
    <w:rsid w:val="009F471E"/>
    <w:rsid w:val="009F5253"/>
    <w:rsid w:val="009F54C0"/>
    <w:rsid w:val="009F5816"/>
    <w:rsid w:val="00A01DB8"/>
    <w:rsid w:val="00A0205D"/>
    <w:rsid w:val="00A058C6"/>
    <w:rsid w:val="00A0658C"/>
    <w:rsid w:val="00A06F5B"/>
    <w:rsid w:val="00A071FB"/>
    <w:rsid w:val="00A11690"/>
    <w:rsid w:val="00A11BB8"/>
    <w:rsid w:val="00A12ACF"/>
    <w:rsid w:val="00A13880"/>
    <w:rsid w:val="00A15951"/>
    <w:rsid w:val="00A23F7A"/>
    <w:rsid w:val="00A24CA9"/>
    <w:rsid w:val="00A27E9E"/>
    <w:rsid w:val="00A315ED"/>
    <w:rsid w:val="00A32DB0"/>
    <w:rsid w:val="00A331A0"/>
    <w:rsid w:val="00A33724"/>
    <w:rsid w:val="00A350C7"/>
    <w:rsid w:val="00A35A6F"/>
    <w:rsid w:val="00A36B22"/>
    <w:rsid w:val="00A36C68"/>
    <w:rsid w:val="00A3741A"/>
    <w:rsid w:val="00A37AFC"/>
    <w:rsid w:val="00A4184E"/>
    <w:rsid w:val="00A429E0"/>
    <w:rsid w:val="00A44DA0"/>
    <w:rsid w:val="00A46B70"/>
    <w:rsid w:val="00A46BEC"/>
    <w:rsid w:val="00A47873"/>
    <w:rsid w:val="00A524BD"/>
    <w:rsid w:val="00A53438"/>
    <w:rsid w:val="00A56B86"/>
    <w:rsid w:val="00A57421"/>
    <w:rsid w:val="00A603D5"/>
    <w:rsid w:val="00A6138F"/>
    <w:rsid w:val="00A61A7A"/>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2D9B"/>
    <w:rsid w:val="00A94E6A"/>
    <w:rsid w:val="00A97A29"/>
    <w:rsid w:val="00A97A68"/>
    <w:rsid w:val="00AA0311"/>
    <w:rsid w:val="00AA0C0C"/>
    <w:rsid w:val="00AA0E96"/>
    <w:rsid w:val="00AA1FD3"/>
    <w:rsid w:val="00AA5C50"/>
    <w:rsid w:val="00AA79D8"/>
    <w:rsid w:val="00AB4BE6"/>
    <w:rsid w:val="00AB531F"/>
    <w:rsid w:val="00AB6656"/>
    <w:rsid w:val="00AC1099"/>
    <w:rsid w:val="00AC22BF"/>
    <w:rsid w:val="00AC2600"/>
    <w:rsid w:val="00AC33F8"/>
    <w:rsid w:val="00AC4AFF"/>
    <w:rsid w:val="00AC65A1"/>
    <w:rsid w:val="00AC7AF4"/>
    <w:rsid w:val="00AD0590"/>
    <w:rsid w:val="00AD6081"/>
    <w:rsid w:val="00AE0153"/>
    <w:rsid w:val="00AE1349"/>
    <w:rsid w:val="00AE3239"/>
    <w:rsid w:val="00AE4560"/>
    <w:rsid w:val="00AE5041"/>
    <w:rsid w:val="00AE7C32"/>
    <w:rsid w:val="00AF27A9"/>
    <w:rsid w:val="00AF2CF1"/>
    <w:rsid w:val="00AF2D32"/>
    <w:rsid w:val="00AF360B"/>
    <w:rsid w:val="00AF48FB"/>
    <w:rsid w:val="00AF573A"/>
    <w:rsid w:val="00AF641C"/>
    <w:rsid w:val="00AF66E6"/>
    <w:rsid w:val="00AF7D2E"/>
    <w:rsid w:val="00B00624"/>
    <w:rsid w:val="00B00ADE"/>
    <w:rsid w:val="00B015E3"/>
    <w:rsid w:val="00B13479"/>
    <w:rsid w:val="00B22A79"/>
    <w:rsid w:val="00B22D45"/>
    <w:rsid w:val="00B260AF"/>
    <w:rsid w:val="00B31398"/>
    <w:rsid w:val="00B32385"/>
    <w:rsid w:val="00B37D85"/>
    <w:rsid w:val="00B40251"/>
    <w:rsid w:val="00B4063E"/>
    <w:rsid w:val="00B41A2D"/>
    <w:rsid w:val="00B41FA8"/>
    <w:rsid w:val="00B43E3E"/>
    <w:rsid w:val="00B44ABC"/>
    <w:rsid w:val="00B45404"/>
    <w:rsid w:val="00B46566"/>
    <w:rsid w:val="00B465D6"/>
    <w:rsid w:val="00B4770F"/>
    <w:rsid w:val="00B505E2"/>
    <w:rsid w:val="00B50BA8"/>
    <w:rsid w:val="00B51BDC"/>
    <w:rsid w:val="00B539DE"/>
    <w:rsid w:val="00B53D41"/>
    <w:rsid w:val="00B55968"/>
    <w:rsid w:val="00B566D9"/>
    <w:rsid w:val="00B60E0C"/>
    <w:rsid w:val="00B61516"/>
    <w:rsid w:val="00B6161E"/>
    <w:rsid w:val="00B62657"/>
    <w:rsid w:val="00B65BA0"/>
    <w:rsid w:val="00B6659E"/>
    <w:rsid w:val="00B67170"/>
    <w:rsid w:val="00B731AC"/>
    <w:rsid w:val="00B75517"/>
    <w:rsid w:val="00B80202"/>
    <w:rsid w:val="00B82CE2"/>
    <w:rsid w:val="00B82D7E"/>
    <w:rsid w:val="00B83BAD"/>
    <w:rsid w:val="00B84903"/>
    <w:rsid w:val="00B854CC"/>
    <w:rsid w:val="00B94457"/>
    <w:rsid w:val="00B9700A"/>
    <w:rsid w:val="00B97CF9"/>
    <w:rsid w:val="00B97E0D"/>
    <w:rsid w:val="00BA0664"/>
    <w:rsid w:val="00BA0AEE"/>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34B3"/>
    <w:rsid w:val="00BC40EC"/>
    <w:rsid w:val="00BC496E"/>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0E49"/>
    <w:rsid w:val="00C01BB5"/>
    <w:rsid w:val="00C048EF"/>
    <w:rsid w:val="00C063A1"/>
    <w:rsid w:val="00C07899"/>
    <w:rsid w:val="00C113F3"/>
    <w:rsid w:val="00C15011"/>
    <w:rsid w:val="00C15065"/>
    <w:rsid w:val="00C15285"/>
    <w:rsid w:val="00C1753E"/>
    <w:rsid w:val="00C213D1"/>
    <w:rsid w:val="00C2295C"/>
    <w:rsid w:val="00C2477F"/>
    <w:rsid w:val="00C24C4E"/>
    <w:rsid w:val="00C30A17"/>
    <w:rsid w:val="00C31F9D"/>
    <w:rsid w:val="00C33442"/>
    <w:rsid w:val="00C35A93"/>
    <w:rsid w:val="00C40C63"/>
    <w:rsid w:val="00C41427"/>
    <w:rsid w:val="00C41571"/>
    <w:rsid w:val="00C43493"/>
    <w:rsid w:val="00C44DCF"/>
    <w:rsid w:val="00C468BD"/>
    <w:rsid w:val="00C50DBF"/>
    <w:rsid w:val="00C540CC"/>
    <w:rsid w:val="00C55759"/>
    <w:rsid w:val="00C55E01"/>
    <w:rsid w:val="00C56D16"/>
    <w:rsid w:val="00C57F48"/>
    <w:rsid w:val="00C62970"/>
    <w:rsid w:val="00C65DDA"/>
    <w:rsid w:val="00C727C3"/>
    <w:rsid w:val="00C748C2"/>
    <w:rsid w:val="00C74BA9"/>
    <w:rsid w:val="00C7580C"/>
    <w:rsid w:val="00C76D61"/>
    <w:rsid w:val="00C77CF4"/>
    <w:rsid w:val="00C80B10"/>
    <w:rsid w:val="00C81DDE"/>
    <w:rsid w:val="00C83FA4"/>
    <w:rsid w:val="00C86B11"/>
    <w:rsid w:val="00C86C43"/>
    <w:rsid w:val="00C86EA7"/>
    <w:rsid w:val="00C86FB2"/>
    <w:rsid w:val="00C90757"/>
    <w:rsid w:val="00C912FB"/>
    <w:rsid w:val="00C92BAA"/>
    <w:rsid w:val="00C93EEC"/>
    <w:rsid w:val="00C9417E"/>
    <w:rsid w:val="00C94D20"/>
    <w:rsid w:val="00C96B5E"/>
    <w:rsid w:val="00C97186"/>
    <w:rsid w:val="00CA040E"/>
    <w:rsid w:val="00CA2FDE"/>
    <w:rsid w:val="00CA33EC"/>
    <w:rsid w:val="00CA429C"/>
    <w:rsid w:val="00CA62FA"/>
    <w:rsid w:val="00CA6A71"/>
    <w:rsid w:val="00CA6D27"/>
    <w:rsid w:val="00CA787D"/>
    <w:rsid w:val="00CB0403"/>
    <w:rsid w:val="00CB4711"/>
    <w:rsid w:val="00CB659D"/>
    <w:rsid w:val="00CB66E1"/>
    <w:rsid w:val="00CB7A06"/>
    <w:rsid w:val="00CB7AFB"/>
    <w:rsid w:val="00CC079A"/>
    <w:rsid w:val="00CC08C3"/>
    <w:rsid w:val="00CC0F7B"/>
    <w:rsid w:val="00CC1226"/>
    <w:rsid w:val="00CC160E"/>
    <w:rsid w:val="00CC3062"/>
    <w:rsid w:val="00CC42CC"/>
    <w:rsid w:val="00CD0F2D"/>
    <w:rsid w:val="00CD1568"/>
    <w:rsid w:val="00CD39C1"/>
    <w:rsid w:val="00CD51B7"/>
    <w:rsid w:val="00CD53FC"/>
    <w:rsid w:val="00CD54FB"/>
    <w:rsid w:val="00CD6895"/>
    <w:rsid w:val="00CD7BE9"/>
    <w:rsid w:val="00CD7C3C"/>
    <w:rsid w:val="00CE0083"/>
    <w:rsid w:val="00CE0435"/>
    <w:rsid w:val="00CE272B"/>
    <w:rsid w:val="00CE2734"/>
    <w:rsid w:val="00CE3301"/>
    <w:rsid w:val="00CE52B3"/>
    <w:rsid w:val="00CE56DF"/>
    <w:rsid w:val="00CE5C4D"/>
    <w:rsid w:val="00CE62AE"/>
    <w:rsid w:val="00CE7D8F"/>
    <w:rsid w:val="00CF0525"/>
    <w:rsid w:val="00CF2E35"/>
    <w:rsid w:val="00CF767D"/>
    <w:rsid w:val="00D01708"/>
    <w:rsid w:val="00D01D38"/>
    <w:rsid w:val="00D021E4"/>
    <w:rsid w:val="00D036DB"/>
    <w:rsid w:val="00D03B5C"/>
    <w:rsid w:val="00D05FF5"/>
    <w:rsid w:val="00D06CB1"/>
    <w:rsid w:val="00D10025"/>
    <w:rsid w:val="00D142DF"/>
    <w:rsid w:val="00D159C4"/>
    <w:rsid w:val="00D15E55"/>
    <w:rsid w:val="00D178A8"/>
    <w:rsid w:val="00D21CEF"/>
    <w:rsid w:val="00D227C1"/>
    <w:rsid w:val="00D2582C"/>
    <w:rsid w:val="00D25ADF"/>
    <w:rsid w:val="00D25D7B"/>
    <w:rsid w:val="00D27C1F"/>
    <w:rsid w:val="00D343C2"/>
    <w:rsid w:val="00D34A62"/>
    <w:rsid w:val="00D34BF2"/>
    <w:rsid w:val="00D34FD8"/>
    <w:rsid w:val="00D36361"/>
    <w:rsid w:val="00D36967"/>
    <w:rsid w:val="00D40395"/>
    <w:rsid w:val="00D40489"/>
    <w:rsid w:val="00D40CED"/>
    <w:rsid w:val="00D40D21"/>
    <w:rsid w:val="00D44877"/>
    <w:rsid w:val="00D44AA1"/>
    <w:rsid w:val="00D46FD6"/>
    <w:rsid w:val="00D47103"/>
    <w:rsid w:val="00D4713C"/>
    <w:rsid w:val="00D52FA8"/>
    <w:rsid w:val="00D53B11"/>
    <w:rsid w:val="00D54540"/>
    <w:rsid w:val="00D54F33"/>
    <w:rsid w:val="00D5555D"/>
    <w:rsid w:val="00D5583E"/>
    <w:rsid w:val="00D559C5"/>
    <w:rsid w:val="00D55DE1"/>
    <w:rsid w:val="00D56991"/>
    <w:rsid w:val="00D5737C"/>
    <w:rsid w:val="00D57852"/>
    <w:rsid w:val="00D57A20"/>
    <w:rsid w:val="00D6175C"/>
    <w:rsid w:val="00D629F2"/>
    <w:rsid w:val="00D64536"/>
    <w:rsid w:val="00D649BC"/>
    <w:rsid w:val="00D662A0"/>
    <w:rsid w:val="00D669AA"/>
    <w:rsid w:val="00D739A9"/>
    <w:rsid w:val="00D73AEC"/>
    <w:rsid w:val="00D7474C"/>
    <w:rsid w:val="00D75FED"/>
    <w:rsid w:val="00D86C38"/>
    <w:rsid w:val="00D872DE"/>
    <w:rsid w:val="00D92359"/>
    <w:rsid w:val="00D9235C"/>
    <w:rsid w:val="00D92DBB"/>
    <w:rsid w:val="00D931AC"/>
    <w:rsid w:val="00D934F1"/>
    <w:rsid w:val="00D9428D"/>
    <w:rsid w:val="00D95D4A"/>
    <w:rsid w:val="00D96E48"/>
    <w:rsid w:val="00D972B1"/>
    <w:rsid w:val="00D97734"/>
    <w:rsid w:val="00D97F80"/>
    <w:rsid w:val="00DA01A3"/>
    <w:rsid w:val="00DA05CA"/>
    <w:rsid w:val="00DA0AC5"/>
    <w:rsid w:val="00DA5729"/>
    <w:rsid w:val="00DA67EF"/>
    <w:rsid w:val="00DA701D"/>
    <w:rsid w:val="00DA7AFB"/>
    <w:rsid w:val="00DB2763"/>
    <w:rsid w:val="00DB2E6B"/>
    <w:rsid w:val="00DB3494"/>
    <w:rsid w:val="00DB45C7"/>
    <w:rsid w:val="00DB4B7D"/>
    <w:rsid w:val="00DC0193"/>
    <w:rsid w:val="00DC0AE9"/>
    <w:rsid w:val="00DC257B"/>
    <w:rsid w:val="00DC2AA9"/>
    <w:rsid w:val="00DC4C41"/>
    <w:rsid w:val="00DC568E"/>
    <w:rsid w:val="00DC5A64"/>
    <w:rsid w:val="00DC645C"/>
    <w:rsid w:val="00DC6AE1"/>
    <w:rsid w:val="00DD0318"/>
    <w:rsid w:val="00DD0B87"/>
    <w:rsid w:val="00DD2224"/>
    <w:rsid w:val="00DD266F"/>
    <w:rsid w:val="00DD3074"/>
    <w:rsid w:val="00DD30AA"/>
    <w:rsid w:val="00DD36E6"/>
    <w:rsid w:val="00DD37AC"/>
    <w:rsid w:val="00DD4609"/>
    <w:rsid w:val="00DD7B6D"/>
    <w:rsid w:val="00DE18C3"/>
    <w:rsid w:val="00DE2434"/>
    <w:rsid w:val="00DE27E9"/>
    <w:rsid w:val="00DE478B"/>
    <w:rsid w:val="00DE6465"/>
    <w:rsid w:val="00DE7BB3"/>
    <w:rsid w:val="00DF1E8F"/>
    <w:rsid w:val="00DF3470"/>
    <w:rsid w:val="00DF3894"/>
    <w:rsid w:val="00DF3FBD"/>
    <w:rsid w:val="00E0134D"/>
    <w:rsid w:val="00E013D5"/>
    <w:rsid w:val="00E016B7"/>
    <w:rsid w:val="00E04991"/>
    <w:rsid w:val="00E0570F"/>
    <w:rsid w:val="00E07D47"/>
    <w:rsid w:val="00E10139"/>
    <w:rsid w:val="00E1063A"/>
    <w:rsid w:val="00E109A5"/>
    <w:rsid w:val="00E1246F"/>
    <w:rsid w:val="00E13118"/>
    <w:rsid w:val="00E13EBD"/>
    <w:rsid w:val="00E17C9F"/>
    <w:rsid w:val="00E202F4"/>
    <w:rsid w:val="00E205BA"/>
    <w:rsid w:val="00E210FE"/>
    <w:rsid w:val="00E23F66"/>
    <w:rsid w:val="00E253EA"/>
    <w:rsid w:val="00E27769"/>
    <w:rsid w:val="00E301A5"/>
    <w:rsid w:val="00E313E0"/>
    <w:rsid w:val="00E33018"/>
    <w:rsid w:val="00E3614C"/>
    <w:rsid w:val="00E371C8"/>
    <w:rsid w:val="00E40A6C"/>
    <w:rsid w:val="00E40BF5"/>
    <w:rsid w:val="00E432F5"/>
    <w:rsid w:val="00E44389"/>
    <w:rsid w:val="00E44E50"/>
    <w:rsid w:val="00E45366"/>
    <w:rsid w:val="00E511A0"/>
    <w:rsid w:val="00E53DD6"/>
    <w:rsid w:val="00E54DD0"/>
    <w:rsid w:val="00E55DF2"/>
    <w:rsid w:val="00E56819"/>
    <w:rsid w:val="00E570E8"/>
    <w:rsid w:val="00E5753C"/>
    <w:rsid w:val="00E6063A"/>
    <w:rsid w:val="00E6268D"/>
    <w:rsid w:val="00E65978"/>
    <w:rsid w:val="00E65B69"/>
    <w:rsid w:val="00E749F0"/>
    <w:rsid w:val="00E75715"/>
    <w:rsid w:val="00E76BE8"/>
    <w:rsid w:val="00E82596"/>
    <w:rsid w:val="00E833E7"/>
    <w:rsid w:val="00E87948"/>
    <w:rsid w:val="00E939A9"/>
    <w:rsid w:val="00EA014C"/>
    <w:rsid w:val="00EA0226"/>
    <w:rsid w:val="00EA287A"/>
    <w:rsid w:val="00EA2C69"/>
    <w:rsid w:val="00EA2C7B"/>
    <w:rsid w:val="00EA3270"/>
    <w:rsid w:val="00EA330F"/>
    <w:rsid w:val="00EA3913"/>
    <w:rsid w:val="00EA492C"/>
    <w:rsid w:val="00EA546F"/>
    <w:rsid w:val="00EB2A2E"/>
    <w:rsid w:val="00EB2A90"/>
    <w:rsid w:val="00EB2CEA"/>
    <w:rsid w:val="00EB39C6"/>
    <w:rsid w:val="00EB4577"/>
    <w:rsid w:val="00EB4672"/>
    <w:rsid w:val="00EB51B1"/>
    <w:rsid w:val="00EB7C38"/>
    <w:rsid w:val="00EC192C"/>
    <w:rsid w:val="00EC1D0C"/>
    <w:rsid w:val="00EC4084"/>
    <w:rsid w:val="00EC5E66"/>
    <w:rsid w:val="00EC6C95"/>
    <w:rsid w:val="00ED2ECA"/>
    <w:rsid w:val="00ED3065"/>
    <w:rsid w:val="00ED34D4"/>
    <w:rsid w:val="00ED3BB7"/>
    <w:rsid w:val="00ED45F2"/>
    <w:rsid w:val="00ED6BCA"/>
    <w:rsid w:val="00EE0020"/>
    <w:rsid w:val="00EE0128"/>
    <w:rsid w:val="00EE0CF4"/>
    <w:rsid w:val="00EE1B7B"/>
    <w:rsid w:val="00EE1C9E"/>
    <w:rsid w:val="00EE75AF"/>
    <w:rsid w:val="00EE7A56"/>
    <w:rsid w:val="00EF0012"/>
    <w:rsid w:val="00EF078F"/>
    <w:rsid w:val="00EF2E52"/>
    <w:rsid w:val="00EF37B7"/>
    <w:rsid w:val="00EF3B15"/>
    <w:rsid w:val="00EF45E5"/>
    <w:rsid w:val="00EF4832"/>
    <w:rsid w:val="00EF4BC6"/>
    <w:rsid w:val="00EF6574"/>
    <w:rsid w:val="00EF69A0"/>
    <w:rsid w:val="00EF78D5"/>
    <w:rsid w:val="00EF7CD8"/>
    <w:rsid w:val="00EF7FF3"/>
    <w:rsid w:val="00F03A3A"/>
    <w:rsid w:val="00F044D3"/>
    <w:rsid w:val="00F066BF"/>
    <w:rsid w:val="00F105F8"/>
    <w:rsid w:val="00F10C04"/>
    <w:rsid w:val="00F10FEA"/>
    <w:rsid w:val="00F11255"/>
    <w:rsid w:val="00F11498"/>
    <w:rsid w:val="00F11C72"/>
    <w:rsid w:val="00F12337"/>
    <w:rsid w:val="00F156B4"/>
    <w:rsid w:val="00F15772"/>
    <w:rsid w:val="00F2131E"/>
    <w:rsid w:val="00F22381"/>
    <w:rsid w:val="00F248D2"/>
    <w:rsid w:val="00F24F51"/>
    <w:rsid w:val="00F276D3"/>
    <w:rsid w:val="00F33841"/>
    <w:rsid w:val="00F348C4"/>
    <w:rsid w:val="00F36FF2"/>
    <w:rsid w:val="00F41228"/>
    <w:rsid w:val="00F413EE"/>
    <w:rsid w:val="00F41E01"/>
    <w:rsid w:val="00F42493"/>
    <w:rsid w:val="00F42E6B"/>
    <w:rsid w:val="00F44E85"/>
    <w:rsid w:val="00F4543B"/>
    <w:rsid w:val="00F46053"/>
    <w:rsid w:val="00F46CDD"/>
    <w:rsid w:val="00F46F94"/>
    <w:rsid w:val="00F470B1"/>
    <w:rsid w:val="00F470C9"/>
    <w:rsid w:val="00F47C13"/>
    <w:rsid w:val="00F506B7"/>
    <w:rsid w:val="00F50AE7"/>
    <w:rsid w:val="00F55941"/>
    <w:rsid w:val="00F55A0A"/>
    <w:rsid w:val="00F5748F"/>
    <w:rsid w:val="00F6425E"/>
    <w:rsid w:val="00F651C3"/>
    <w:rsid w:val="00F66195"/>
    <w:rsid w:val="00F70596"/>
    <w:rsid w:val="00F7068F"/>
    <w:rsid w:val="00F752FE"/>
    <w:rsid w:val="00F800F8"/>
    <w:rsid w:val="00F82570"/>
    <w:rsid w:val="00F84DCA"/>
    <w:rsid w:val="00F862CB"/>
    <w:rsid w:val="00F86D96"/>
    <w:rsid w:val="00F90F96"/>
    <w:rsid w:val="00F92BED"/>
    <w:rsid w:val="00F967D5"/>
    <w:rsid w:val="00FA145B"/>
    <w:rsid w:val="00FA2BF5"/>
    <w:rsid w:val="00FA6D4B"/>
    <w:rsid w:val="00FB12F1"/>
    <w:rsid w:val="00FB1F12"/>
    <w:rsid w:val="00FB231D"/>
    <w:rsid w:val="00FB475F"/>
    <w:rsid w:val="00FB54FA"/>
    <w:rsid w:val="00FB65E5"/>
    <w:rsid w:val="00FB7A2A"/>
    <w:rsid w:val="00FC0646"/>
    <w:rsid w:val="00FC2A5D"/>
    <w:rsid w:val="00FC30C6"/>
    <w:rsid w:val="00FC39F7"/>
    <w:rsid w:val="00FC3A2C"/>
    <w:rsid w:val="00FC63C7"/>
    <w:rsid w:val="00FC7146"/>
    <w:rsid w:val="00FC76A2"/>
    <w:rsid w:val="00FD04EC"/>
    <w:rsid w:val="00FD11ED"/>
    <w:rsid w:val="00FD1414"/>
    <w:rsid w:val="00FD40B4"/>
    <w:rsid w:val="00FD5F9B"/>
    <w:rsid w:val="00FE1B44"/>
    <w:rsid w:val="00FE4758"/>
    <w:rsid w:val="00FE5296"/>
    <w:rsid w:val="00FF1B3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75"/>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uiPriority w:val="99"/>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uiPriority w:val="99"/>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uiPriority w:val="3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uiPriority w:val="22"/>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tabs>
        <w:tab w:val="clear" w:pos="567"/>
        <w:tab w:val="num" w:pos="851"/>
      </w:tabs>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385AED"/>
    <w:pPr>
      <w:tabs>
        <w:tab w:val="right" w:pos="8302"/>
      </w:tabs>
      <w:spacing w:before="20" w:after="20"/>
      <w:ind w:left="1701"/>
      <w:jc w:val="left"/>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character" w:customStyle="1" w:styleId="FootnoteTextChar">
    <w:name w:val="Footnote Text Char"/>
    <w:basedOn w:val="DefaultParagraphFont"/>
    <w:link w:val="FootnoteText"/>
    <w:uiPriority w:val="99"/>
    <w:rsid w:val="003A2EB4"/>
    <w:rPr>
      <w:rFonts w:eastAsia="MS Mincho"/>
      <w:sz w:val="18"/>
      <w:szCs w:val="18"/>
      <w:lang w:eastAsia="ja-JP"/>
    </w:rPr>
  </w:style>
  <w:style w:type="paragraph" w:styleId="ListParagraph">
    <w:name w:val="List Paragraph"/>
    <w:basedOn w:val="Normal"/>
    <w:uiPriority w:val="34"/>
    <w:qFormat/>
    <w:rsid w:val="003A2EB4"/>
    <w:pPr>
      <w:ind w:left="720"/>
      <w:contextualSpacing/>
    </w:pPr>
    <w:rPr>
      <w:rFonts w:eastAsiaTheme="minorEastAsia"/>
    </w:rPr>
  </w:style>
  <w:style w:type="table" w:styleId="LightShading">
    <w:name w:val="Light Shading"/>
    <w:basedOn w:val="TableNormal"/>
    <w:uiPriority w:val="60"/>
    <w:rsid w:val="007F4EA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BodyTextChar">
    <w:name w:val="_TRBody Text Char"/>
    <w:link w:val="TRBodyTextCharChar"/>
    <w:rsid w:val="00DC568E"/>
    <w:pPr>
      <w:spacing w:line="300" w:lineRule="atLeast"/>
      <w:jc w:val="both"/>
    </w:pPr>
    <w:rPr>
      <w:sz w:val="24"/>
      <w:lang w:eastAsia="en-AU"/>
    </w:rPr>
  </w:style>
  <w:style w:type="character" w:customStyle="1" w:styleId="TRBodyTextCharChar">
    <w:name w:val="_TRBody Text Char Char"/>
    <w:basedOn w:val="DefaultParagraphFont"/>
    <w:link w:val="TRBodyTextChar"/>
    <w:rsid w:val="00DC568E"/>
    <w:rPr>
      <w:sz w:val="24"/>
      <w:lang w:eastAsia="en-AU"/>
    </w:rPr>
  </w:style>
  <w:style w:type="character" w:styleId="FollowedHyperlink">
    <w:name w:val="FollowedHyperlink"/>
    <w:basedOn w:val="DefaultParagraphFont"/>
    <w:uiPriority w:val="99"/>
    <w:semiHidden/>
    <w:unhideWhenUsed/>
    <w:rsid w:val="008F2218"/>
    <w:rPr>
      <w:color w:val="800080" w:themeColor="followedHyperlink"/>
      <w:u w:val="single"/>
    </w:rPr>
  </w:style>
  <w:style w:type="paragraph" w:customStyle="1" w:styleId="Default">
    <w:name w:val="Default"/>
    <w:rsid w:val="008F2218"/>
    <w:pPr>
      <w:autoSpaceDE w:val="0"/>
      <w:autoSpaceDN w:val="0"/>
      <w:adjustRightInd w:val="0"/>
    </w:pPr>
    <w:rPr>
      <w:color w:val="000000"/>
      <w:sz w:val="24"/>
      <w:szCs w:val="24"/>
    </w:rPr>
  </w:style>
  <w:style w:type="paragraph" w:customStyle="1" w:styleId="TRHeading1">
    <w:name w:val="_TRHeading 1"/>
    <w:next w:val="TRNormal"/>
    <w:rsid w:val="005E0F6F"/>
    <w:pPr>
      <w:keepNext/>
      <w:widowControl w:val="0"/>
      <w:pBdr>
        <w:bottom w:val="single" w:sz="4" w:space="1" w:color="auto"/>
      </w:pBdr>
      <w:spacing w:before="720" w:after="360"/>
    </w:pPr>
    <w:rPr>
      <w:b/>
      <w:sz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75"/>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uiPriority w:val="99"/>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uiPriority w:val="99"/>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uiPriority w:val="3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uiPriority w:val="22"/>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tabs>
        <w:tab w:val="clear" w:pos="567"/>
        <w:tab w:val="num" w:pos="851"/>
      </w:tabs>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385AED"/>
    <w:pPr>
      <w:tabs>
        <w:tab w:val="right" w:pos="8302"/>
      </w:tabs>
      <w:spacing w:before="20" w:after="20"/>
      <w:ind w:left="1701"/>
      <w:jc w:val="left"/>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character" w:customStyle="1" w:styleId="FootnoteTextChar">
    <w:name w:val="Footnote Text Char"/>
    <w:basedOn w:val="DefaultParagraphFont"/>
    <w:link w:val="FootnoteText"/>
    <w:uiPriority w:val="99"/>
    <w:rsid w:val="003A2EB4"/>
    <w:rPr>
      <w:rFonts w:eastAsia="MS Mincho"/>
      <w:sz w:val="18"/>
      <w:szCs w:val="18"/>
      <w:lang w:eastAsia="ja-JP"/>
    </w:rPr>
  </w:style>
  <w:style w:type="paragraph" w:styleId="ListParagraph">
    <w:name w:val="List Paragraph"/>
    <w:basedOn w:val="Normal"/>
    <w:uiPriority w:val="34"/>
    <w:qFormat/>
    <w:rsid w:val="003A2EB4"/>
    <w:pPr>
      <w:ind w:left="720"/>
      <w:contextualSpacing/>
    </w:pPr>
    <w:rPr>
      <w:rFonts w:eastAsiaTheme="minorEastAsia"/>
    </w:rPr>
  </w:style>
  <w:style w:type="table" w:styleId="LightShading">
    <w:name w:val="Light Shading"/>
    <w:basedOn w:val="TableNormal"/>
    <w:uiPriority w:val="60"/>
    <w:rsid w:val="007F4EA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BodyTextChar">
    <w:name w:val="_TRBody Text Char"/>
    <w:link w:val="TRBodyTextCharChar"/>
    <w:rsid w:val="00DC568E"/>
    <w:pPr>
      <w:spacing w:line="300" w:lineRule="atLeast"/>
      <w:jc w:val="both"/>
    </w:pPr>
    <w:rPr>
      <w:sz w:val="24"/>
      <w:lang w:eastAsia="en-AU"/>
    </w:rPr>
  </w:style>
  <w:style w:type="character" w:customStyle="1" w:styleId="TRBodyTextCharChar">
    <w:name w:val="_TRBody Text Char Char"/>
    <w:basedOn w:val="DefaultParagraphFont"/>
    <w:link w:val="TRBodyTextChar"/>
    <w:rsid w:val="00DC568E"/>
    <w:rPr>
      <w:sz w:val="24"/>
      <w:lang w:eastAsia="en-AU"/>
    </w:rPr>
  </w:style>
  <w:style w:type="character" w:styleId="FollowedHyperlink">
    <w:name w:val="FollowedHyperlink"/>
    <w:basedOn w:val="DefaultParagraphFont"/>
    <w:uiPriority w:val="99"/>
    <w:semiHidden/>
    <w:unhideWhenUsed/>
    <w:rsid w:val="008F2218"/>
    <w:rPr>
      <w:color w:val="800080" w:themeColor="followedHyperlink"/>
      <w:u w:val="single"/>
    </w:rPr>
  </w:style>
  <w:style w:type="paragraph" w:customStyle="1" w:styleId="Default">
    <w:name w:val="Default"/>
    <w:rsid w:val="008F2218"/>
    <w:pPr>
      <w:autoSpaceDE w:val="0"/>
      <w:autoSpaceDN w:val="0"/>
      <w:adjustRightInd w:val="0"/>
    </w:pPr>
    <w:rPr>
      <w:color w:val="000000"/>
      <w:sz w:val="24"/>
      <w:szCs w:val="24"/>
    </w:rPr>
  </w:style>
  <w:style w:type="paragraph" w:customStyle="1" w:styleId="TRHeading1">
    <w:name w:val="_TRHeading 1"/>
    <w:next w:val="TRNormal"/>
    <w:rsid w:val="005E0F6F"/>
    <w:pPr>
      <w:keepNext/>
      <w:widowControl w:val="0"/>
      <w:pBdr>
        <w:bottom w:val="single" w:sz="4" w:space="1" w:color="auto"/>
      </w:pBdr>
      <w:spacing w:before="720" w:after="360"/>
    </w:pPr>
    <w:rPr>
      <w:b/>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305237791">
      <w:bodyDiv w:val="1"/>
      <w:marLeft w:val="0"/>
      <w:marRight w:val="0"/>
      <w:marTop w:val="0"/>
      <w:marBottom w:val="0"/>
      <w:divBdr>
        <w:top w:val="none" w:sz="0" w:space="0" w:color="auto"/>
        <w:left w:val="none" w:sz="0" w:space="0" w:color="auto"/>
        <w:bottom w:val="none" w:sz="0" w:space="0" w:color="auto"/>
        <w:right w:val="none" w:sz="0" w:space="0" w:color="auto"/>
      </w:divBdr>
      <w:divsChild>
        <w:div w:id="122238131">
          <w:marLeft w:val="0"/>
          <w:marRight w:val="0"/>
          <w:marTop w:val="0"/>
          <w:marBottom w:val="0"/>
          <w:divBdr>
            <w:top w:val="none" w:sz="0" w:space="0" w:color="auto"/>
            <w:left w:val="none" w:sz="0" w:space="0" w:color="auto"/>
            <w:bottom w:val="none" w:sz="0" w:space="0" w:color="auto"/>
            <w:right w:val="none" w:sz="0" w:space="0" w:color="auto"/>
          </w:divBdr>
          <w:divsChild>
            <w:div w:id="19741243">
              <w:marLeft w:val="0"/>
              <w:marRight w:val="0"/>
              <w:marTop w:val="0"/>
              <w:marBottom w:val="0"/>
              <w:divBdr>
                <w:top w:val="none" w:sz="0" w:space="0" w:color="auto"/>
                <w:left w:val="none" w:sz="0" w:space="0" w:color="auto"/>
                <w:bottom w:val="none" w:sz="0" w:space="0" w:color="auto"/>
                <w:right w:val="none" w:sz="0" w:space="0" w:color="auto"/>
              </w:divBdr>
              <w:divsChild>
                <w:div w:id="97138492">
                  <w:marLeft w:val="150"/>
                  <w:marRight w:val="0"/>
                  <w:marTop w:val="0"/>
                  <w:marBottom w:val="0"/>
                  <w:divBdr>
                    <w:top w:val="none" w:sz="0" w:space="0" w:color="auto"/>
                    <w:left w:val="none" w:sz="0" w:space="0" w:color="auto"/>
                    <w:bottom w:val="none" w:sz="0" w:space="0" w:color="auto"/>
                    <w:right w:val="none" w:sz="0" w:space="0" w:color="auto"/>
                  </w:divBdr>
                  <w:divsChild>
                    <w:div w:id="1508709738">
                      <w:marLeft w:val="0"/>
                      <w:marRight w:val="0"/>
                      <w:marTop w:val="0"/>
                      <w:marBottom w:val="0"/>
                      <w:divBdr>
                        <w:top w:val="none" w:sz="0" w:space="0" w:color="auto"/>
                        <w:left w:val="none" w:sz="0" w:space="0" w:color="auto"/>
                        <w:bottom w:val="none" w:sz="0" w:space="0" w:color="auto"/>
                        <w:right w:val="none" w:sz="0" w:space="0" w:color="auto"/>
                      </w:divBdr>
                      <w:divsChild>
                        <w:div w:id="3435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1990286764">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 w:id="2094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tax/treaties/public-consultation-beps-action-15-multilateral-instrument.htm"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oecd.org/tax/treaties/explanatory-statement-multilateral-convention-to-implement-tax-treaty-related-measures-to-prevent-BEPS.pdf"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policy.webmaster@ird.govt.nz"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ecd.org/tax/treaties/multilateral-convention-to-implement-tax-treaty-related-measures-to-prevent-beps.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axpolicy.ird.govt.nz" TargetMode="External"/><Relationship Id="rId1" Type="http://schemas.openxmlformats.org/officeDocument/2006/relationships/hyperlink" Target="http://www.oecd.org/tax/treaties/multilateral-instrument-BEPS-tax-treaty-information-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6537</Words>
  <Characters>34712</Characters>
  <Application>Microsoft Office Word</Application>
  <DocSecurity>0</DocSecurity>
  <Lines>1051</Lines>
  <Paragraphs>408</Paragraphs>
  <ScaleCrop>false</ScaleCrop>
  <HeadingPairs>
    <vt:vector size="2" baseType="variant">
      <vt:variant>
        <vt:lpstr>Title</vt:lpstr>
      </vt:variant>
      <vt:variant>
        <vt:i4>1</vt:i4>
      </vt:variant>
    </vt:vector>
  </HeadingPairs>
  <TitlesOfParts>
    <vt:vector size="1" baseType="lpstr">
      <vt:lpstr>New Zealand’s implementation of the Multilateral Convention to Implement Tax Treaty Related Measures to Prevent BEPS - an officials’ issues paper (March 2017)</vt:lpstr>
    </vt:vector>
  </TitlesOfParts>
  <Company>Inland Revenue</Company>
  <LinksUpToDate>false</LinksUpToDate>
  <CharactersWithSpaces>40841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Zealand’s implementation of the Multilateral Convention to Implement Tax Treaty Related Measures to Prevent BEPS - an officials’ issues paper (March 2017)</dc:title>
  <dc:subject/>
  <dc:creator>Policy and Strategy</dc:creator>
  <dc:description>Published March 2017.</dc:description>
  <cp:lastModifiedBy>David Nind</cp:lastModifiedBy>
  <cp:revision>2</cp:revision>
  <dcterms:created xsi:type="dcterms:W3CDTF">2017-03-01T19:59:00Z</dcterms:created>
  <dcterms:modified xsi:type="dcterms:W3CDTF">2017-03-01T19:59:00Z</dcterms:modified>
</cp:coreProperties>
</file>