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D8" w:rsidRPr="00F64C06" w:rsidRDefault="00311BFD" w:rsidP="005A3CD8">
      <w:pPr>
        <w:autoSpaceDE w:val="0"/>
        <w:autoSpaceDN w:val="0"/>
        <w:adjustRightInd w:val="0"/>
        <w:jc w:val="left"/>
        <w:rPr>
          <w:szCs w:val="24"/>
        </w:rPr>
      </w:pPr>
      <w:r>
        <w:rPr>
          <w:szCs w:val="24"/>
        </w:rPr>
        <w:t>April</w:t>
      </w:r>
      <w:r w:rsidR="00931BCF">
        <w:rPr>
          <w:szCs w:val="24"/>
        </w:rPr>
        <w:t xml:space="preserve"> </w:t>
      </w:r>
      <w:r w:rsidR="003107A4">
        <w:rPr>
          <w:szCs w:val="24"/>
        </w:rPr>
        <w:t>201</w:t>
      </w:r>
      <w:r w:rsidR="00F06C3F">
        <w:rPr>
          <w:szCs w:val="24"/>
        </w:rPr>
        <w:t>6</w:t>
      </w:r>
    </w:p>
    <w:p w:rsidR="005A3CD8" w:rsidRPr="00F64C06" w:rsidRDefault="005A3CD8" w:rsidP="005A3CD8">
      <w:pPr>
        <w:autoSpaceDE w:val="0"/>
        <w:autoSpaceDN w:val="0"/>
        <w:adjustRightInd w:val="0"/>
        <w:rPr>
          <w:i/>
          <w:iCs/>
          <w:sz w:val="28"/>
          <w:szCs w:val="28"/>
        </w:rPr>
      </w:pPr>
    </w:p>
    <w:p w:rsidR="005A3CD8" w:rsidRPr="00F64C06" w:rsidRDefault="005A3CD8" w:rsidP="005A3CD8">
      <w:pPr>
        <w:autoSpaceDE w:val="0"/>
        <w:autoSpaceDN w:val="0"/>
        <w:adjustRightInd w:val="0"/>
        <w:rPr>
          <w:i/>
          <w:iCs/>
          <w:sz w:val="28"/>
          <w:szCs w:val="28"/>
        </w:rPr>
      </w:pPr>
      <w:r w:rsidRPr="00F64C06">
        <w:rPr>
          <w:i/>
          <w:iCs/>
          <w:sz w:val="28"/>
          <w:szCs w:val="28"/>
        </w:rPr>
        <w:t>A special report from</w:t>
      </w:r>
    </w:p>
    <w:p w:rsidR="005A3CD8" w:rsidRPr="00F64C06" w:rsidRDefault="005A3CD8" w:rsidP="005A3CD8">
      <w:pPr>
        <w:rPr>
          <w:sz w:val="28"/>
          <w:szCs w:val="28"/>
        </w:rPr>
      </w:pPr>
      <w:r w:rsidRPr="00F64C06">
        <w:rPr>
          <w:sz w:val="28"/>
          <w:szCs w:val="28"/>
        </w:rPr>
        <w:t>Policy and Strategy, Inland Revenue</w:t>
      </w:r>
    </w:p>
    <w:p w:rsidR="005A3CD8" w:rsidRPr="00F64C06" w:rsidRDefault="005A3CD8" w:rsidP="005A3CD8">
      <w:pPr>
        <w:rPr>
          <w:sz w:val="28"/>
          <w:szCs w:val="28"/>
        </w:rPr>
      </w:pPr>
    </w:p>
    <w:p w:rsidR="005A3CD8" w:rsidRDefault="005A3CD8" w:rsidP="005A3CD8">
      <w:pPr>
        <w:rPr>
          <w:szCs w:val="24"/>
        </w:rPr>
      </w:pPr>
    </w:p>
    <w:p w:rsidR="005A3CD8" w:rsidRPr="005A3CD8" w:rsidRDefault="0018613C" w:rsidP="005A3CD8">
      <w:pPr>
        <w:pStyle w:val="BodyText"/>
        <w:pBdr>
          <w:top w:val="single" w:sz="18" w:space="10" w:color="auto"/>
          <w:bottom w:val="single" w:sz="8" w:space="10" w:color="auto"/>
        </w:pBdr>
        <w:rPr>
          <w:b/>
          <w:sz w:val="36"/>
          <w:szCs w:val="36"/>
        </w:rPr>
      </w:pPr>
      <w:r>
        <w:rPr>
          <w:b/>
          <w:sz w:val="36"/>
          <w:szCs w:val="36"/>
        </w:rPr>
        <w:t>“</w:t>
      </w:r>
      <w:r w:rsidR="003107A4">
        <w:rPr>
          <w:b/>
          <w:sz w:val="36"/>
          <w:szCs w:val="36"/>
        </w:rPr>
        <w:t>Cash out</w:t>
      </w:r>
      <w:r>
        <w:rPr>
          <w:b/>
          <w:sz w:val="36"/>
          <w:szCs w:val="36"/>
        </w:rPr>
        <w:t>”</w:t>
      </w:r>
      <w:r w:rsidR="003107A4">
        <w:rPr>
          <w:b/>
          <w:sz w:val="36"/>
          <w:szCs w:val="36"/>
        </w:rPr>
        <w:t xml:space="preserve"> of research and development tax losses</w:t>
      </w:r>
    </w:p>
    <w:p w:rsidR="005A3CD8" w:rsidRDefault="005A3CD8" w:rsidP="005A3CD8">
      <w:pPr>
        <w:rPr>
          <w:szCs w:val="24"/>
        </w:rPr>
      </w:pPr>
    </w:p>
    <w:p w:rsidR="006777CA" w:rsidRDefault="006777CA" w:rsidP="005A3CD8">
      <w:pPr>
        <w:rPr>
          <w:szCs w:val="24"/>
        </w:rPr>
      </w:pPr>
    </w:p>
    <w:p w:rsidR="00A10436" w:rsidRPr="000509C9" w:rsidRDefault="000509C9" w:rsidP="005A3CD8">
      <w:pPr>
        <w:rPr>
          <w:szCs w:val="24"/>
        </w:rPr>
      </w:pPr>
      <w:r w:rsidRPr="00F06C3F">
        <w:rPr>
          <w:szCs w:val="24"/>
        </w:rPr>
        <w:t xml:space="preserve">This special report provides early information on changes to the tax rules that </w:t>
      </w:r>
      <w:r w:rsidR="003107A4" w:rsidRPr="00F06C3F">
        <w:rPr>
          <w:szCs w:val="24"/>
        </w:rPr>
        <w:t>will allow start-up companies engaging in intensive r</w:t>
      </w:r>
      <w:r w:rsidR="003107A4" w:rsidRPr="008E0B86">
        <w:rPr>
          <w:szCs w:val="24"/>
        </w:rPr>
        <w:t xml:space="preserve">esearch and development activities to </w:t>
      </w:r>
      <w:r w:rsidR="0018613C">
        <w:rPr>
          <w:szCs w:val="24"/>
        </w:rPr>
        <w:t>“</w:t>
      </w:r>
      <w:r w:rsidR="003107A4" w:rsidRPr="008E0B86">
        <w:rPr>
          <w:szCs w:val="24"/>
        </w:rPr>
        <w:t>cash out</w:t>
      </w:r>
      <w:r w:rsidR="0018613C">
        <w:rPr>
          <w:szCs w:val="24"/>
        </w:rPr>
        <w:t>”</w:t>
      </w:r>
      <w:r w:rsidR="003107A4" w:rsidRPr="008E0B86">
        <w:rPr>
          <w:szCs w:val="24"/>
        </w:rPr>
        <w:t xml:space="preserve"> their tax losses for research and development expenditure</w:t>
      </w:r>
      <w:r w:rsidRPr="008E0B86">
        <w:rPr>
          <w:szCs w:val="24"/>
        </w:rPr>
        <w:t>.  The changes were introduced in the Taxation (Annual Rates</w:t>
      </w:r>
      <w:r w:rsidR="003107A4" w:rsidRPr="00993DBD">
        <w:rPr>
          <w:szCs w:val="24"/>
        </w:rPr>
        <w:t xml:space="preserve"> for 2015</w:t>
      </w:r>
      <w:r w:rsidR="00F06C3F" w:rsidRPr="00993DBD">
        <w:rPr>
          <w:szCs w:val="24"/>
        </w:rPr>
        <w:t>–</w:t>
      </w:r>
      <w:r w:rsidR="003107A4" w:rsidRPr="00993DBD">
        <w:rPr>
          <w:szCs w:val="24"/>
        </w:rPr>
        <w:t>16, Research and Development, and Remedial Matters) Bill</w:t>
      </w:r>
      <w:r w:rsidRPr="00993DBD">
        <w:rPr>
          <w:szCs w:val="24"/>
        </w:rPr>
        <w:t xml:space="preserve"> enacted on</w:t>
      </w:r>
      <w:r w:rsidR="00AE5D54">
        <w:rPr>
          <w:szCs w:val="24"/>
        </w:rPr>
        <w:t xml:space="preserve"> 24</w:t>
      </w:r>
      <w:r w:rsidRPr="00993DBD">
        <w:rPr>
          <w:szCs w:val="24"/>
        </w:rPr>
        <w:t xml:space="preserve"> </w:t>
      </w:r>
      <w:r w:rsidR="00457F35" w:rsidRPr="00993DBD">
        <w:rPr>
          <w:szCs w:val="24"/>
        </w:rPr>
        <w:t>February 2016</w:t>
      </w:r>
      <w:r w:rsidRPr="00993DBD">
        <w:rPr>
          <w:szCs w:val="24"/>
        </w:rPr>
        <w:t xml:space="preserve">.  Information in this special report precedes full coverage of the new legislation that will be published in the </w:t>
      </w:r>
      <w:r w:rsidR="000B225C" w:rsidRPr="00993DBD">
        <w:rPr>
          <w:szCs w:val="24"/>
        </w:rPr>
        <w:t>April</w:t>
      </w:r>
      <w:r w:rsidRPr="00993DBD">
        <w:rPr>
          <w:szCs w:val="24"/>
        </w:rPr>
        <w:t xml:space="preserve"> edition of the </w:t>
      </w:r>
      <w:r w:rsidRPr="00993DBD">
        <w:rPr>
          <w:i/>
          <w:szCs w:val="24"/>
        </w:rPr>
        <w:t>Tax Information Bulletin</w:t>
      </w:r>
      <w:r w:rsidRPr="00993DBD">
        <w:rPr>
          <w:szCs w:val="24"/>
        </w:rPr>
        <w:t>.</w:t>
      </w:r>
    </w:p>
    <w:p w:rsidR="00A10436" w:rsidRPr="000509C9" w:rsidRDefault="00A10436" w:rsidP="005A3CD8">
      <w:pPr>
        <w:rPr>
          <w:szCs w:val="24"/>
        </w:rPr>
      </w:pPr>
    </w:p>
    <w:p w:rsidR="00874E4E" w:rsidRPr="000509C9" w:rsidRDefault="00A10436" w:rsidP="00617F9A">
      <w:pPr>
        <w:pStyle w:val="Heading3"/>
      </w:pPr>
      <w:r w:rsidRPr="000509C9">
        <w:t xml:space="preserve">Sections </w:t>
      </w:r>
      <w:r w:rsidR="00457F35">
        <w:t>DF 1, DV 26</w:t>
      </w:r>
      <w:r w:rsidR="00ED6183">
        <w:t xml:space="preserve">, </w:t>
      </w:r>
      <w:r w:rsidR="007A58C4">
        <w:t xml:space="preserve">LA 7, LB 4B, MA 1, </w:t>
      </w:r>
      <w:r w:rsidR="00361A49">
        <w:t>MF</w:t>
      </w:r>
      <w:r w:rsidR="000B7F5E">
        <w:t xml:space="preserve"> </w:t>
      </w:r>
      <w:r w:rsidR="00361A49">
        <w:t xml:space="preserve">6, </w:t>
      </w:r>
      <w:r w:rsidR="007A58C4">
        <w:t>MX 1</w:t>
      </w:r>
      <w:r w:rsidR="00F06C3F">
        <w:t xml:space="preserve"> to </w:t>
      </w:r>
      <w:r w:rsidR="007A58C4">
        <w:t xml:space="preserve">MX </w:t>
      </w:r>
      <w:r w:rsidR="00361A49">
        <w:t>7</w:t>
      </w:r>
      <w:r w:rsidR="007A58C4">
        <w:t xml:space="preserve">, OB </w:t>
      </w:r>
      <w:r w:rsidR="00457F35">
        <w:t>47B, Table O</w:t>
      </w:r>
      <w:r w:rsidR="007A58C4">
        <w:t>2,</w:t>
      </w:r>
      <w:r w:rsidR="00457F35">
        <w:t xml:space="preserve"> </w:t>
      </w:r>
      <w:r w:rsidR="00F06C3F">
        <w:t xml:space="preserve">sections </w:t>
      </w:r>
      <w:r w:rsidR="00457F35">
        <w:t>RM 10,</w:t>
      </w:r>
      <w:r w:rsidR="007A58C4">
        <w:t xml:space="preserve"> YA</w:t>
      </w:r>
      <w:r w:rsidR="00457F35">
        <w:t xml:space="preserve"> 1</w:t>
      </w:r>
      <w:r w:rsidR="007A58C4">
        <w:t xml:space="preserve"> and schedule 22 </w:t>
      </w:r>
      <w:r w:rsidRPr="000509C9">
        <w:t>of the Income Tax Act 2007</w:t>
      </w:r>
      <w:r w:rsidR="00457F35">
        <w:t>;</w:t>
      </w:r>
      <w:r w:rsidR="00C04895" w:rsidRPr="000509C9">
        <w:t xml:space="preserve"> </w:t>
      </w:r>
      <w:r w:rsidR="007A58C4">
        <w:t>sections 70C,</w:t>
      </w:r>
      <w:r w:rsidR="00531577">
        <w:t xml:space="preserve"> 81 and</w:t>
      </w:r>
      <w:r w:rsidR="007A58C4">
        <w:t xml:space="preserve"> 97C of the Tax Administration Act 1994; </w:t>
      </w:r>
      <w:r w:rsidR="00C35E7B">
        <w:t>Goods and Services Tax (Grants and Subsidies) Order 1992</w:t>
      </w:r>
    </w:p>
    <w:p w:rsidR="00874E4E" w:rsidRPr="001C63DF" w:rsidRDefault="00874E4E" w:rsidP="005A3CD8">
      <w:pPr>
        <w:rPr>
          <w:szCs w:val="24"/>
        </w:rPr>
      </w:pPr>
    </w:p>
    <w:p w:rsidR="007A58C4" w:rsidRDefault="0044103C" w:rsidP="007A58C4">
      <w:bookmarkStart w:id="0" w:name="_Toc381807317"/>
      <w:r w:rsidRPr="0044103C">
        <w:t>Changes have been made to the Income Tax Act 2007, Tax Administration Act 1994 and</w:t>
      </w:r>
      <w:r>
        <w:t xml:space="preserve"> Goods and Services Tax (G</w:t>
      </w:r>
      <w:r w:rsidRPr="0044103C">
        <w:t>rants and Subsidies) Order 1992</w:t>
      </w:r>
      <w:r>
        <w:t xml:space="preserve"> to </w:t>
      </w:r>
      <w:r w:rsidR="007A58C4">
        <w:t xml:space="preserve">allow tax loss-making research and development start-up companies to “cash out” their tax losses arising from </w:t>
      </w:r>
      <w:r w:rsidR="0095582E">
        <w:t xml:space="preserve">research and development </w:t>
      </w:r>
      <w:r w:rsidR="007A58C4">
        <w:t>expenditure.</w:t>
      </w:r>
    </w:p>
    <w:p w:rsidR="007A58C4" w:rsidRDefault="007A58C4" w:rsidP="007A58C4"/>
    <w:p w:rsidR="006777CA" w:rsidRDefault="006777CA" w:rsidP="007A58C4"/>
    <w:p w:rsidR="008E0B86" w:rsidRDefault="008E0B86" w:rsidP="008E0B86">
      <w:pPr>
        <w:pStyle w:val="Heading1"/>
      </w:pPr>
      <w:r>
        <w:t xml:space="preserve">Key </w:t>
      </w:r>
      <w:r w:rsidRPr="00926B77">
        <w:t>features</w:t>
      </w:r>
    </w:p>
    <w:p w:rsidR="008E0B86" w:rsidRDefault="008E0B86" w:rsidP="007A58C4"/>
    <w:p w:rsidR="007A58C4" w:rsidRDefault="0044103C" w:rsidP="007A58C4">
      <w:r>
        <w:t>R</w:t>
      </w:r>
      <w:r w:rsidR="007A58C4">
        <w:t>esearch and development start-up companies will be able to</w:t>
      </w:r>
      <w:r w:rsidR="009A7434">
        <w:t xml:space="preserve"> receive a payment</w:t>
      </w:r>
      <w:r w:rsidR="001843CA">
        <w:t xml:space="preserve"> for</w:t>
      </w:r>
      <w:r w:rsidR="007A58C4">
        <w:t xml:space="preserve"> up to 28 percent (the current company tax rate) of their tax losses from research and development expenditure in any given year.</w:t>
      </w:r>
    </w:p>
    <w:p w:rsidR="007A58C4" w:rsidRDefault="007A58C4" w:rsidP="007A58C4"/>
    <w:p w:rsidR="007A58C4" w:rsidRDefault="00B9363F" w:rsidP="007A58C4">
      <w:r>
        <w:t xml:space="preserve">To be eligible, </w:t>
      </w:r>
      <w:r w:rsidR="007A58C4">
        <w:t xml:space="preserve">the company must be a loss-making company resident in New Zealand, with a sufficient proportion of </w:t>
      </w:r>
      <w:r w:rsidR="001843CA">
        <w:t xml:space="preserve">labour </w:t>
      </w:r>
      <w:r w:rsidR="007A58C4">
        <w:t>expenditure on research and development.</w:t>
      </w:r>
    </w:p>
    <w:p w:rsidR="007A58C4" w:rsidRDefault="007A58C4" w:rsidP="007A58C4"/>
    <w:p w:rsidR="007A58C4" w:rsidRDefault="007A58C4" w:rsidP="007A58C4">
      <w:r>
        <w:t>The amount of losses that can be cashed out will be cappe</w:t>
      </w:r>
      <w:r w:rsidR="0044103C">
        <w:t xml:space="preserve">d at $500,000 for the </w:t>
      </w:r>
      <w:r>
        <w:t>2015</w:t>
      </w:r>
      <w:r w:rsidR="008E0B86">
        <w:t>–</w:t>
      </w:r>
      <w:r>
        <w:t>16 year, increasing by $300,000 over the next five years</w:t>
      </w:r>
      <w:r w:rsidR="005F3407">
        <w:t>,</w:t>
      </w:r>
      <w:r>
        <w:t xml:space="preserve"> to $2 million.  The amount that can be cashed out </w:t>
      </w:r>
      <w:r w:rsidR="00AE5D54">
        <w:t xml:space="preserve">for </w:t>
      </w:r>
      <w:r>
        <w:t>any year is the smallest of that cap, the company’s net loss for the year, the company’s total research and development expenditure for the year, and 1.5 times the company’s labour costs for research and development for the year.  Because the cash-out is administered through the tax system, it is delivered in the form of a tax credit.</w:t>
      </w:r>
    </w:p>
    <w:p w:rsidR="007A58C4" w:rsidRDefault="007A58C4" w:rsidP="007A58C4"/>
    <w:p w:rsidR="007A58C4" w:rsidRDefault="007A58C4" w:rsidP="007A58C4">
      <w:r>
        <w:t xml:space="preserve">Research and development expenditure eligible </w:t>
      </w:r>
      <w:r w:rsidR="00B8101A">
        <w:t xml:space="preserve">for the </w:t>
      </w:r>
      <w:r w:rsidR="001843CA">
        <w:t xml:space="preserve">measure </w:t>
      </w:r>
      <w:r w:rsidR="00B8101A">
        <w:t>is</w:t>
      </w:r>
      <w:r>
        <w:t xml:space="preserve"> more restricted than </w:t>
      </w:r>
      <w:r w:rsidR="001843CA">
        <w:t xml:space="preserve">the research and development </w:t>
      </w:r>
      <w:r>
        <w:t xml:space="preserve">expenditure that is </w:t>
      </w:r>
      <w:r w:rsidR="001843CA">
        <w:t>deductible under s</w:t>
      </w:r>
      <w:r w:rsidR="00AE5D54">
        <w:t>ection</w:t>
      </w:r>
      <w:r w:rsidR="001843CA">
        <w:t xml:space="preserve">s DB 34 and DB 35 of </w:t>
      </w:r>
      <w:r w:rsidR="001843CA">
        <w:lastRenderedPageBreak/>
        <w:t>the Act</w:t>
      </w:r>
      <w:r>
        <w:t>.  Expenditure on certain activities and some types of expenditure are excluded</w:t>
      </w:r>
      <w:r w:rsidR="001843CA">
        <w:t xml:space="preserve"> from the measure</w:t>
      </w:r>
      <w:r>
        <w:t>.</w:t>
      </w:r>
    </w:p>
    <w:p w:rsidR="001843CA" w:rsidRDefault="001843CA" w:rsidP="007A58C4"/>
    <w:p w:rsidR="007A58C4" w:rsidRDefault="007A58C4" w:rsidP="007A58C4">
      <w:r>
        <w:t>A cashed-out loss can be thought of as an interest-free loan from the Government to be repaid from the taxpayer’s future income; it is intended to provide a cashflow timing benefit</w:t>
      </w:r>
      <w:r w:rsidR="000477AD">
        <w:t xml:space="preserve"> only</w:t>
      </w:r>
      <w:r>
        <w:t xml:space="preserve">.  </w:t>
      </w:r>
      <w:r w:rsidR="00AE5D54">
        <w:t>In economic terms, r</w:t>
      </w:r>
      <w:r w:rsidR="001843CA">
        <w:t xml:space="preserve">epayment of cashed out losses will occur when a taxpayer </w:t>
      </w:r>
      <w:r w:rsidR="002A72C2">
        <w:t xml:space="preserve">pays tax on </w:t>
      </w:r>
      <w:r w:rsidR="001843CA">
        <w:t xml:space="preserve">net income that would otherwise have been sheltered by the cashed out losses.  An earlier repayment will also be triggered in certain </w:t>
      </w:r>
      <w:r w:rsidR="00ED6EAE">
        <w:t>circumstances.  Triggers</w:t>
      </w:r>
      <w:r>
        <w:t xml:space="preserve"> for the </w:t>
      </w:r>
      <w:r w:rsidR="001843CA">
        <w:t xml:space="preserve">early </w:t>
      </w:r>
      <w:r>
        <w:t>repayment of amounts cashed out include t</w:t>
      </w:r>
      <w:r w:rsidR="00B8101A">
        <w:t xml:space="preserve">he sale of </w:t>
      </w:r>
      <w:r>
        <w:t xml:space="preserve">research and development assets, liquidation or migration of the company, </w:t>
      </w:r>
      <w:r w:rsidR="00D62D7B">
        <w:t xml:space="preserve">and </w:t>
      </w:r>
      <w:r>
        <w:t>the sale of the company.</w:t>
      </w:r>
      <w:r w:rsidR="001843CA" w:rsidRPr="001843CA">
        <w:t xml:space="preserve"> </w:t>
      </w:r>
      <w:r w:rsidR="00AE5D54">
        <w:t xml:space="preserve"> The early repayment will be effected via a new R&amp;D repayment tax</w:t>
      </w:r>
      <w:r w:rsidR="001843CA">
        <w:t xml:space="preserve">.  Where a cashed out loss is </w:t>
      </w:r>
      <w:r w:rsidR="00ED6EAE">
        <w:t>required</w:t>
      </w:r>
      <w:r w:rsidR="001843CA">
        <w:t xml:space="preserve"> to be repaid early, a new deduction will reinstate the loss, which will be available to offset future income.</w:t>
      </w:r>
    </w:p>
    <w:p w:rsidR="007A58C4" w:rsidRDefault="007A58C4" w:rsidP="007A58C4"/>
    <w:p w:rsidR="006777CA" w:rsidRDefault="006777CA" w:rsidP="007A58C4"/>
    <w:p w:rsidR="00BC71CE" w:rsidRDefault="00BC71CE" w:rsidP="005A3CD8">
      <w:pPr>
        <w:pStyle w:val="Heading1"/>
      </w:pPr>
      <w:r>
        <w:t>Background</w:t>
      </w:r>
      <w:bookmarkEnd w:id="0"/>
    </w:p>
    <w:p w:rsidR="006073D4" w:rsidRDefault="006073D4" w:rsidP="005A3CD8">
      <w:pPr>
        <w:tabs>
          <w:tab w:val="left" w:pos="567"/>
        </w:tabs>
        <w:rPr>
          <w:szCs w:val="24"/>
        </w:rPr>
      </w:pPr>
    </w:p>
    <w:p w:rsidR="007A58C4" w:rsidRDefault="009C0A03" w:rsidP="007A58C4">
      <w:pPr>
        <w:rPr>
          <w:szCs w:val="24"/>
        </w:rPr>
      </w:pPr>
      <w:r w:rsidRPr="009C0A03">
        <w:rPr>
          <w:szCs w:val="24"/>
        </w:rPr>
        <w:t>The Government’s Business Growth Agenda emphasises the importance of innovation to help grow New Zealand’s economy.  Innovation creates new sources of economic growth by delivering new products and generating improvements in the quality and cost of existing products.  Encouraging business innovation is one of the seven key initiatives of the Government’s Building Innovation workstream, which recognises that research and development is a key element in the innovation process.</w:t>
      </w:r>
    </w:p>
    <w:p w:rsidR="009C0A03" w:rsidRPr="007A58C4" w:rsidRDefault="009C0A03" w:rsidP="007A58C4">
      <w:pPr>
        <w:rPr>
          <w:szCs w:val="24"/>
        </w:rPr>
      </w:pPr>
    </w:p>
    <w:p w:rsidR="009C0A03" w:rsidRPr="009C0A03" w:rsidRDefault="009C0A03" w:rsidP="009C0A03">
      <w:pPr>
        <w:rPr>
          <w:szCs w:val="20"/>
          <w:lang w:eastAsia="en-AU"/>
        </w:rPr>
      </w:pPr>
      <w:r w:rsidRPr="009C0A03">
        <w:rPr>
          <w:szCs w:val="20"/>
          <w:lang w:eastAsia="en-AU"/>
        </w:rPr>
        <w:t xml:space="preserve">The </w:t>
      </w:r>
      <w:r w:rsidR="00B8101A">
        <w:rPr>
          <w:szCs w:val="20"/>
          <w:lang w:eastAsia="en-AU"/>
        </w:rPr>
        <w:t>new rules</w:t>
      </w:r>
      <w:r w:rsidRPr="009C0A03">
        <w:rPr>
          <w:szCs w:val="20"/>
          <w:lang w:eastAsia="en-AU"/>
        </w:rPr>
        <w:t xml:space="preserve"> focus on start-up companies engaging in intensive research and development, and are intended to reduce their exposure to market failures and tax distortions arising from the current tax treatment of losses.</w:t>
      </w:r>
    </w:p>
    <w:p w:rsidR="007A58C4" w:rsidRPr="007A58C4" w:rsidRDefault="007A58C4" w:rsidP="007A58C4">
      <w:pPr>
        <w:rPr>
          <w:szCs w:val="24"/>
        </w:rPr>
      </w:pPr>
    </w:p>
    <w:p w:rsidR="009C0A03" w:rsidRPr="009C0A03" w:rsidRDefault="009C0A03" w:rsidP="009C0A03">
      <w:pPr>
        <w:rPr>
          <w:szCs w:val="24"/>
        </w:rPr>
      </w:pPr>
      <w:r w:rsidRPr="009C0A03">
        <w:rPr>
          <w:szCs w:val="24"/>
        </w:rPr>
        <w:t>High up-front costs associated with undertaking research and development mean that relative to other investment projects, the profit cycle for research and development projects tends to be much more heavily skewed towards early losses.  This can pose a particularly significant barrier to undertaking research and development for innovative start-up companies.  Larger firms generally have the ability to use those losses earlier, setting them off against existing streams of income.</w:t>
      </w:r>
    </w:p>
    <w:p w:rsidR="009C0A03" w:rsidRPr="009C0A03" w:rsidRDefault="009C0A03" w:rsidP="009C0A03">
      <w:pPr>
        <w:rPr>
          <w:szCs w:val="24"/>
        </w:rPr>
      </w:pPr>
    </w:p>
    <w:p w:rsidR="009C0A03" w:rsidRPr="009C0A03" w:rsidRDefault="001B7463" w:rsidP="009C0A03">
      <w:pPr>
        <w:rPr>
          <w:szCs w:val="24"/>
        </w:rPr>
      </w:pPr>
      <w:r>
        <w:rPr>
          <w:szCs w:val="24"/>
        </w:rPr>
        <w:t>The general tax rules</w:t>
      </w:r>
      <w:r w:rsidR="009C0A03" w:rsidRPr="009C0A03">
        <w:rPr>
          <w:szCs w:val="24"/>
        </w:rPr>
        <w:t xml:space="preserve"> delay the ability of loss-making businesses to use their deductions</w:t>
      </w:r>
      <w:r w:rsidR="000B7F5E">
        <w:rPr>
          <w:szCs w:val="24"/>
        </w:rPr>
        <w:t>,</w:t>
      </w:r>
      <w:r w:rsidR="009C0A03" w:rsidRPr="009C0A03">
        <w:rPr>
          <w:szCs w:val="24"/>
        </w:rPr>
        <w:t xml:space="preserve"> as they are required to carry the losses forward.  This provides an important integrity measure in the tax system to mitigate the creation of artificial losses.  However, these current tax settings create a cashflow problem for certain companies in an on-going tax loss position.</w:t>
      </w:r>
    </w:p>
    <w:p w:rsidR="009C0A03" w:rsidRPr="009C0A03" w:rsidRDefault="009C0A03" w:rsidP="009C0A03">
      <w:pPr>
        <w:rPr>
          <w:szCs w:val="24"/>
        </w:rPr>
      </w:pPr>
    </w:p>
    <w:p w:rsidR="009C0A03" w:rsidRPr="009C0A03" w:rsidRDefault="009C0A03" w:rsidP="009C0A03">
      <w:pPr>
        <w:rPr>
          <w:szCs w:val="24"/>
        </w:rPr>
      </w:pPr>
      <w:r w:rsidRPr="009C0A03">
        <w:rPr>
          <w:szCs w:val="24"/>
        </w:rPr>
        <w:t>This cashflow bias is particularly significant for companies undertaking research and development, and this can increase the cost of investing in research and development rather than in other assets.</w:t>
      </w:r>
    </w:p>
    <w:p w:rsidR="009C0A03" w:rsidRPr="009C0A03" w:rsidRDefault="009C0A03" w:rsidP="009C0A03">
      <w:pPr>
        <w:rPr>
          <w:szCs w:val="24"/>
        </w:rPr>
      </w:pPr>
    </w:p>
    <w:p w:rsidR="009C0A03" w:rsidRPr="009C0A03" w:rsidRDefault="009C0A03" w:rsidP="009C0A03">
      <w:pPr>
        <w:rPr>
          <w:szCs w:val="24"/>
        </w:rPr>
      </w:pPr>
      <w:r w:rsidRPr="009C0A03">
        <w:rPr>
          <w:szCs w:val="24"/>
        </w:rPr>
        <w:t>Problems can be compounded for start-up companies undertaking research and development who are already likely to suffer from broader capital constraints.</w:t>
      </w:r>
    </w:p>
    <w:p w:rsidR="009C0A03" w:rsidRPr="009C0A03" w:rsidRDefault="009C0A03" w:rsidP="009C0A03">
      <w:pPr>
        <w:rPr>
          <w:szCs w:val="24"/>
        </w:rPr>
      </w:pPr>
    </w:p>
    <w:p w:rsidR="007A58C4" w:rsidRDefault="001B7463" w:rsidP="009C0A03">
      <w:pPr>
        <w:rPr>
          <w:szCs w:val="24"/>
        </w:rPr>
      </w:pPr>
      <w:r>
        <w:rPr>
          <w:szCs w:val="24"/>
        </w:rPr>
        <w:t>The general tax rules</w:t>
      </w:r>
      <w:r w:rsidR="009C0A03" w:rsidRPr="009C0A03">
        <w:rPr>
          <w:szCs w:val="24"/>
        </w:rPr>
        <w:t xml:space="preserve"> can also penalise businesses that engage in research and development that ultimately turns out to be unsuccessful.  This is because losses, in this case from unsuccessful research and development, can only be used going forward if there is a subsequent profitable business.  The </w:t>
      </w:r>
      <w:r>
        <w:rPr>
          <w:szCs w:val="24"/>
        </w:rPr>
        <w:t>general</w:t>
      </w:r>
      <w:r w:rsidR="009C0A03" w:rsidRPr="009C0A03">
        <w:rPr>
          <w:szCs w:val="24"/>
        </w:rPr>
        <w:t xml:space="preserve"> rules therefore make the use of previous tax </w:t>
      </w:r>
      <w:r w:rsidR="009C0A03" w:rsidRPr="009C0A03">
        <w:rPr>
          <w:szCs w:val="24"/>
        </w:rPr>
        <w:lastRenderedPageBreak/>
        <w:t>losses contingent upon successful innovation or future income earning by the same group of investors.  The risk of incurring this potential additional sunk cost is likely to discourage investment in marginal research and development projects further.</w:t>
      </w:r>
    </w:p>
    <w:p w:rsidR="009A4C21" w:rsidRDefault="009A4C21" w:rsidP="009C0A03">
      <w:pPr>
        <w:rPr>
          <w:szCs w:val="24"/>
        </w:rPr>
      </w:pPr>
    </w:p>
    <w:p w:rsidR="009A4C21" w:rsidRPr="009C0A03" w:rsidRDefault="009A4C21" w:rsidP="009A4C21">
      <w:pPr>
        <w:rPr>
          <w:szCs w:val="20"/>
          <w:lang w:eastAsia="en-AU"/>
        </w:rPr>
      </w:pPr>
      <w:r w:rsidRPr="009C0A03">
        <w:rPr>
          <w:szCs w:val="20"/>
          <w:lang w:eastAsia="en-AU"/>
        </w:rPr>
        <w:t xml:space="preserve">The timing that those companies can access their </w:t>
      </w:r>
      <w:r>
        <w:rPr>
          <w:szCs w:val="20"/>
          <w:lang w:eastAsia="en-AU"/>
        </w:rPr>
        <w:t>tax losses is being</w:t>
      </w:r>
      <w:r w:rsidRPr="009C0A03">
        <w:rPr>
          <w:szCs w:val="20"/>
          <w:lang w:eastAsia="en-AU"/>
        </w:rPr>
        <w:t xml:space="preserve"> brought forward, provided they meet certain criteria.  This will help to reduce the bias against investment in these firms from current tax settings.</w:t>
      </w:r>
    </w:p>
    <w:p w:rsidR="009A4C21" w:rsidRDefault="009A4C21" w:rsidP="009C0A03">
      <w:pPr>
        <w:rPr>
          <w:szCs w:val="24"/>
        </w:rPr>
      </w:pPr>
    </w:p>
    <w:p w:rsidR="00947AEE" w:rsidRPr="007A58C4" w:rsidRDefault="00947AEE" w:rsidP="007A58C4">
      <w:pPr>
        <w:rPr>
          <w:szCs w:val="24"/>
        </w:rPr>
      </w:pPr>
      <w:r>
        <w:rPr>
          <w:szCs w:val="24"/>
        </w:rPr>
        <w:t>Consultation on the high level policy changes took place in July 2013</w:t>
      </w:r>
      <w:r w:rsidR="00B50C4B">
        <w:rPr>
          <w:szCs w:val="24"/>
        </w:rPr>
        <w:t>, with the release of the officials’ issues paper</w:t>
      </w:r>
      <w:r w:rsidR="00AB0FA6">
        <w:rPr>
          <w:szCs w:val="24"/>
        </w:rPr>
        <w:t xml:space="preserve">, </w:t>
      </w:r>
      <w:r w:rsidR="00AB0FA6">
        <w:rPr>
          <w:i/>
          <w:szCs w:val="24"/>
        </w:rPr>
        <w:t>R&amp;D tax losses</w:t>
      </w:r>
      <w:r w:rsidR="00B50C4B">
        <w:rPr>
          <w:i/>
          <w:szCs w:val="24"/>
        </w:rPr>
        <w:t>.</w:t>
      </w:r>
    </w:p>
    <w:p w:rsidR="005B2B88" w:rsidRDefault="005B2B88" w:rsidP="007A58C4"/>
    <w:p w:rsidR="00294520" w:rsidRDefault="00294520" w:rsidP="005A3CD8">
      <w:r>
        <w:t>The new legislation received Royal assent on</w:t>
      </w:r>
      <w:r w:rsidR="00457F35">
        <w:t xml:space="preserve"> 24</w:t>
      </w:r>
      <w:r>
        <w:t xml:space="preserve"> </w:t>
      </w:r>
      <w:r w:rsidR="00457F35">
        <w:t>February 2016</w:t>
      </w:r>
      <w:r>
        <w:t>.</w:t>
      </w:r>
    </w:p>
    <w:p w:rsidR="00AF7A57" w:rsidRPr="00617F9A" w:rsidRDefault="00AF7A57" w:rsidP="00617F9A">
      <w:bookmarkStart w:id="1" w:name="_Toc381807318"/>
    </w:p>
    <w:p w:rsidR="004679A9" w:rsidRPr="004679A9" w:rsidDel="00AF7A57" w:rsidRDefault="004679A9" w:rsidP="004679A9"/>
    <w:p w:rsidR="00C53E3A" w:rsidRPr="00926B77" w:rsidRDefault="00C53E3A" w:rsidP="004679A9">
      <w:pPr>
        <w:pStyle w:val="Heading1"/>
      </w:pPr>
      <w:bookmarkStart w:id="2" w:name="_Toc381807319"/>
      <w:bookmarkEnd w:id="1"/>
      <w:r w:rsidRPr="00926B77">
        <w:t xml:space="preserve">Application </w:t>
      </w:r>
      <w:r w:rsidR="00754603" w:rsidRPr="00926B77">
        <w:t>d</w:t>
      </w:r>
      <w:r w:rsidRPr="00926B77">
        <w:t>ate</w:t>
      </w:r>
      <w:bookmarkEnd w:id="2"/>
    </w:p>
    <w:p w:rsidR="004679A9" w:rsidRDefault="004679A9" w:rsidP="005A3CD8"/>
    <w:p w:rsidR="00C71CDA" w:rsidRDefault="00C53E3A" w:rsidP="005A3CD8">
      <w:r>
        <w:t xml:space="preserve">The new rules apply </w:t>
      </w:r>
      <w:r w:rsidR="005F11F5">
        <w:t>to</w:t>
      </w:r>
      <w:r w:rsidR="00AB0FA6">
        <w:t xml:space="preserve"> income years beginning</w:t>
      </w:r>
      <w:r w:rsidR="006073D4">
        <w:t xml:space="preserve"> on or after 1 April 2015.</w:t>
      </w:r>
    </w:p>
    <w:p w:rsidR="004679A9" w:rsidRDefault="004679A9" w:rsidP="005A3CD8"/>
    <w:p w:rsidR="00617F9A" w:rsidRDefault="00617F9A" w:rsidP="005A3CD8"/>
    <w:p w:rsidR="00855AF4" w:rsidRPr="00D971A5" w:rsidRDefault="000509C9" w:rsidP="004679A9">
      <w:pPr>
        <w:pStyle w:val="Heading1"/>
      </w:pPr>
      <w:bookmarkStart w:id="3" w:name="_Toc381807320"/>
      <w:r>
        <w:t>D</w:t>
      </w:r>
      <w:r w:rsidR="00855AF4" w:rsidRPr="00D971A5">
        <w:t>etailed analysis</w:t>
      </w:r>
      <w:bookmarkEnd w:id="3"/>
    </w:p>
    <w:p w:rsidR="004679A9" w:rsidRPr="00617F9A" w:rsidRDefault="004679A9" w:rsidP="00617F9A">
      <w:bookmarkStart w:id="4" w:name="_Toc381807321"/>
    </w:p>
    <w:p w:rsidR="00456458" w:rsidRPr="009A385F" w:rsidRDefault="00456458" w:rsidP="00E17C30">
      <w:pPr>
        <w:pStyle w:val="Heading2"/>
        <w:rPr>
          <w:rStyle w:val="Strong"/>
          <w:b/>
        </w:rPr>
      </w:pPr>
      <w:r w:rsidRPr="009A385F">
        <w:rPr>
          <w:rStyle w:val="Strong"/>
          <w:b/>
        </w:rPr>
        <w:t>Research and development expenditure</w:t>
      </w:r>
    </w:p>
    <w:p w:rsidR="00456458" w:rsidRPr="00CB259B" w:rsidRDefault="00456458" w:rsidP="00456458"/>
    <w:p w:rsidR="00456458" w:rsidRPr="00B84760" w:rsidRDefault="00456458" w:rsidP="00456458">
      <w:pPr>
        <w:pStyle w:val="Heading3"/>
      </w:pPr>
      <w:r w:rsidRPr="00B84760">
        <w:t>Section YA 1 and new schedule 22 of the Income Tax Act 2007</w:t>
      </w:r>
    </w:p>
    <w:p w:rsidR="00456458" w:rsidRDefault="00456458" w:rsidP="00456458"/>
    <w:p w:rsidR="00456458" w:rsidRDefault="00456458" w:rsidP="00456458">
      <w:r>
        <w:t xml:space="preserve">The new measure applies in respect of “R&amp;D expenditure”, as defined in </w:t>
      </w:r>
      <w:r w:rsidR="00194E6C">
        <w:t>section</w:t>
      </w:r>
      <w:r>
        <w:t xml:space="preserve"> YA 1.  “R&amp;D expenditure” is basically expenditure incurred on research and development.  The terms </w:t>
      </w:r>
      <w:r w:rsidRPr="00A578C5">
        <w:t>“</w:t>
      </w:r>
      <w:r w:rsidRPr="00F01512">
        <w:t>research”</w:t>
      </w:r>
      <w:r w:rsidRPr="00A578C5">
        <w:t xml:space="preserve"> and “</w:t>
      </w:r>
      <w:r w:rsidRPr="00F01512">
        <w:t>development”</w:t>
      </w:r>
      <w:r>
        <w:t xml:space="preserve"> have the same meanings as they do for accounting purposes.  These are also the same definitions that govern deductibility of research and development expenditure under sections DB 34 and DB 35.  Using the existing definition is simpler for taxpayers already familiar with it for accounting purposes.  However, to ensure that the measure stays targeted, the definition of “R&amp;D expenditure” is subject to certain limits.</w:t>
      </w:r>
    </w:p>
    <w:p w:rsidR="00456458" w:rsidRDefault="00456458" w:rsidP="00456458"/>
    <w:p w:rsidR="00456458" w:rsidRDefault="00456458" w:rsidP="00456458">
      <w:r>
        <w:t xml:space="preserve">Expenditure </w:t>
      </w:r>
      <w:r w:rsidR="00D62D7B">
        <w:t xml:space="preserve">on an activity listed in a new schedule 22 of the Income Tax Act 2007 </w:t>
      </w:r>
      <w:r>
        <w:t>is excluded from the definition of “R&amp;D expenditure”</w:t>
      </w:r>
      <w:r w:rsidR="00D62D7B">
        <w:t xml:space="preserve"> (and thus the measure).  Activities are generally listed in the schedule </w:t>
      </w:r>
      <w:r w:rsidR="00D22C00">
        <w:t>because</w:t>
      </w:r>
      <w:r w:rsidR="00D62D7B">
        <w:t xml:space="preserve"> they </w:t>
      </w:r>
      <w:r>
        <w:t>take place in a post-development phase, are related to routine work or there is an indeterminate relationship between the activity and economic growth.  Also, many of the excluded activities are expected to take place when the company is less likely to be capital and cashflow-constrained.</w:t>
      </w:r>
    </w:p>
    <w:p w:rsidR="00456458" w:rsidRDefault="00456458" w:rsidP="00456458"/>
    <w:p w:rsidR="00456458" w:rsidRDefault="00D62D7B" w:rsidP="00456458">
      <w:r>
        <w:t>The following activities are listed in schedule 22</w:t>
      </w:r>
      <w:r w:rsidR="00456458">
        <w:t>:</w:t>
      </w:r>
    </w:p>
    <w:p w:rsidR="00456458" w:rsidRDefault="00456458" w:rsidP="00456458"/>
    <w:p w:rsidR="00456458" w:rsidRDefault="00456458" w:rsidP="00456458">
      <w:pPr>
        <w:pStyle w:val="Bullets"/>
      </w:pPr>
      <w:r>
        <w:t>an activity performed outside of New Zealand;</w:t>
      </w:r>
    </w:p>
    <w:p w:rsidR="00456458" w:rsidRDefault="00456458" w:rsidP="00456458">
      <w:pPr>
        <w:pStyle w:val="Bullets"/>
      </w:pPr>
      <w:r>
        <w:t>acquiring or disposing of land and related activities, except if the land is used exclusively for housing research or development facilities;</w:t>
      </w:r>
    </w:p>
    <w:p w:rsidR="00456458" w:rsidRDefault="00456458" w:rsidP="00456458">
      <w:pPr>
        <w:pStyle w:val="Bullets"/>
      </w:pPr>
      <w:r>
        <w:t>acquiring, disposing of or transferring intangible property, core technology, intellectual property or know-how, and related activities (for example, drafting sale and purchase agreements for patents);</w:t>
      </w:r>
    </w:p>
    <w:p w:rsidR="00456458" w:rsidRDefault="00456458" w:rsidP="00456458">
      <w:pPr>
        <w:pStyle w:val="Bullets"/>
      </w:pPr>
      <w:r>
        <w:lastRenderedPageBreak/>
        <w:t>prospecting for, exploring for or drilling for, minerals, petroleum, natural gas or geothermal energy;</w:t>
      </w:r>
    </w:p>
    <w:p w:rsidR="00456458" w:rsidRDefault="00456458" w:rsidP="00456458">
      <w:pPr>
        <w:pStyle w:val="Bullets"/>
      </w:pPr>
      <w:r>
        <w:t>research in social sciences, arts or humanities;</w:t>
      </w:r>
    </w:p>
    <w:p w:rsidR="00456458" w:rsidRDefault="00456458" w:rsidP="00456458">
      <w:pPr>
        <w:pStyle w:val="Bullets"/>
      </w:pPr>
      <w:r>
        <w:t>market research, market testing, market development or sales promotion, including consumer surveys;</w:t>
      </w:r>
    </w:p>
    <w:p w:rsidR="00456458" w:rsidRDefault="00456458" w:rsidP="00456458">
      <w:pPr>
        <w:pStyle w:val="Bullets"/>
      </w:pPr>
      <w:r>
        <w:t>quality control or routine testing of materials, products, devices, processes or services;</w:t>
      </w:r>
    </w:p>
    <w:p w:rsidR="00456458" w:rsidRDefault="00456458" w:rsidP="00456458">
      <w:pPr>
        <w:pStyle w:val="Bullets"/>
      </w:pPr>
      <w:r>
        <w:t>making cosmetic or stylistic changes to materials, products, devices, processes or services;</w:t>
      </w:r>
    </w:p>
    <w:p w:rsidR="00456458" w:rsidRDefault="00456458" w:rsidP="00456458">
      <w:pPr>
        <w:pStyle w:val="Bullets"/>
      </w:pPr>
      <w:r>
        <w:t>routine collection of information;</w:t>
      </w:r>
    </w:p>
    <w:p w:rsidR="00456458" w:rsidRDefault="00456458" w:rsidP="00456458">
      <w:pPr>
        <w:pStyle w:val="Bullets"/>
      </w:pPr>
      <w:r>
        <w:t>commercial, legal and administrative aspects of patenting, licensing or other activities;</w:t>
      </w:r>
    </w:p>
    <w:p w:rsidR="00456458" w:rsidRDefault="00456458" w:rsidP="00456458">
      <w:pPr>
        <w:pStyle w:val="Bullets"/>
      </w:pPr>
      <w:r>
        <w:t>activities involved in complying with statutory requirements or standards;</w:t>
      </w:r>
    </w:p>
    <w:p w:rsidR="00456458" w:rsidRDefault="00456458" w:rsidP="00456458">
      <w:pPr>
        <w:pStyle w:val="Bullets"/>
      </w:pPr>
      <w:r>
        <w:t>management studies or efficiency surveys;</w:t>
      </w:r>
    </w:p>
    <w:p w:rsidR="00456458" w:rsidRDefault="00456458" w:rsidP="00456458">
      <w:pPr>
        <w:pStyle w:val="Bullets"/>
      </w:pPr>
      <w:r>
        <w:t>reproduction of a commercial product or process by a physical examination of an existing system or from plans, blueprints, detailed specifications or publicly available information; and</w:t>
      </w:r>
    </w:p>
    <w:p w:rsidR="00456458" w:rsidRDefault="00456458" w:rsidP="00456458">
      <w:pPr>
        <w:pStyle w:val="Bullets"/>
        <w:spacing w:after="0"/>
      </w:pPr>
      <w:r>
        <w:t>pre-production activities, such as a demonstration of commercial viability, tooling-up, and trial runs.</w:t>
      </w:r>
    </w:p>
    <w:p w:rsidR="00456458" w:rsidRDefault="00456458" w:rsidP="00456458"/>
    <w:p w:rsidR="00456458" w:rsidRDefault="00456458" w:rsidP="00456458">
      <w:r>
        <w:t xml:space="preserve">Similarly, some items of expenditure are </w:t>
      </w:r>
      <w:r w:rsidR="00D62D7B">
        <w:t xml:space="preserve">specifically </w:t>
      </w:r>
      <w:r>
        <w:t>excluded</w:t>
      </w:r>
      <w:r w:rsidR="00D62D7B">
        <w:t xml:space="preserve"> from the definition of R&amp;D expenditure</w:t>
      </w:r>
      <w:r>
        <w:t xml:space="preserve"> on the basis that their inclusion could create an economic distortion, inequity between taxpayers in a similar position</w:t>
      </w:r>
      <w:r w:rsidR="008E0EAD">
        <w:t>,</w:t>
      </w:r>
      <w:r>
        <w:t xml:space="preserve"> or risk compromising the integrity of the initiative.  Items excluded on this basis are:</w:t>
      </w:r>
    </w:p>
    <w:p w:rsidR="00456458" w:rsidRDefault="00456458" w:rsidP="00456458"/>
    <w:p w:rsidR="00456458" w:rsidRDefault="00456458" w:rsidP="00456458">
      <w:pPr>
        <w:pStyle w:val="Bullets"/>
      </w:pPr>
      <w:r>
        <w:t>expenditure on goods and services used to provide a service of research or development to someone who is in the business of providing research and development services, or used to further another person’s research or development activities;</w:t>
      </w:r>
    </w:p>
    <w:p w:rsidR="00456458" w:rsidRDefault="00456458" w:rsidP="00456458">
      <w:pPr>
        <w:pStyle w:val="Bullets"/>
      </w:pPr>
      <w:r>
        <w:t>expenditure for which no deduction is available for the income year;</w:t>
      </w:r>
    </w:p>
    <w:p w:rsidR="00456458" w:rsidRDefault="00456458" w:rsidP="00456458">
      <w:pPr>
        <w:pStyle w:val="Bullets"/>
      </w:pPr>
      <w:r>
        <w:t>expenditure for or under a financial arrangement; and</w:t>
      </w:r>
    </w:p>
    <w:p w:rsidR="00456458" w:rsidRDefault="00456458" w:rsidP="00456458">
      <w:pPr>
        <w:pStyle w:val="Bullets"/>
        <w:spacing w:after="0"/>
      </w:pPr>
      <w:r>
        <w:t>expenditure for the acquisition or transfer of intangible property, core technology, intellectual property or know-how.</w:t>
      </w:r>
    </w:p>
    <w:p w:rsidR="00456458" w:rsidRDefault="00D62D7B">
      <w:r>
        <w:cr/>
      </w:r>
      <w:r w:rsidR="00456458">
        <w:t>An important component of the definition of “R&amp;D expenditure” is that any intellectual property and know-how that results from the research or development is vested in the company, solely or jointly.  These requirements are intended to ensure that the value of the amounts cashed out goes to the company that is incurring the risk of investing in the research and development.</w:t>
      </w:r>
    </w:p>
    <w:p w:rsidR="00456458" w:rsidRDefault="00456458" w:rsidP="00456458"/>
    <w:p w:rsidR="00456458" w:rsidRDefault="00456458" w:rsidP="00456458">
      <w:r>
        <w:t>More detailed guidelines to help applicants interpret the definition will be made available.</w:t>
      </w:r>
    </w:p>
    <w:p w:rsidR="00456458" w:rsidRDefault="00456458" w:rsidP="00945269">
      <w:pPr>
        <w:rPr>
          <w:rStyle w:val="Strong"/>
          <w:b w:val="0"/>
        </w:rPr>
      </w:pPr>
    </w:p>
    <w:p w:rsidR="00781799" w:rsidRDefault="00781799">
      <w:pPr>
        <w:jc w:val="left"/>
        <w:rPr>
          <w:rStyle w:val="Strong"/>
          <w:bCs w:val="0"/>
          <w:szCs w:val="26"/>
        </w:rPr>
      </w:pPr>
      <w:r>
        <w:rPr>
          <w:rStyle w:val="Strong"/>
          <w:b w:val="0"/>
        </w:rPr>
        <w:br w:type="page"/>
      </w:r>
    </w:p>
    <w:p w:rsidR="006073D4" w:rsidRPr="00C04E22" w:rsidRDefault="006073D4" w:rsidP="00E17C30">
      <w:pPr>
        <w:pStyle w:val="Heading2"/>
        <w:rPr>
          <w:rStyle w:val="Strong"/>
          <w:b/>
        </w:rPr>
      </w:pPr>
      <w:r w:rsidRPr="00C04E22">
        <w:rPr>
          <w:rStyle w:val="Strong"/>
          <w:b/>
        </w:rPr>
        <w:lastRenderedPageBreak/>
        <w:t>Eligibility</w:t>
      </w:r>
    </w:p>
    <w:p w:rsidR="003362C1" w:rsidRPr="00945269" w:rsidRDefault="003362C1" w:rsidP="00945269"/>
    <w:p w:rsidR="005B7D13" w:rsidRPr="00B84760" w:rsidRDefault="005F11F5" w:rsidP="006777CA">
      <w:pPr>
        <w:pStyle w:val="Heading3"/>
      </w:pPr>
      <w:r w:rsidRPr="00B84760">
        <w:t>S</w:t>
      </w:r>
      <w:r w:rsidR="005B7D13" w:rsidRPr="00B84760">
        <w:t>ections MX 1, MX</w:t>
      </w:r>
      <w:r w:rsidR="009A385F">
        <w:t xml:space="preserve"> </w:t>
      </w:r>
      <w:r w:rsidR="005B7D13" w:rsidRPr="00B84760">
        <w:t>2, MX 3 and YA 1</w:t>
      </w:r>
      <w:r w:rsidR="00D92679" w:rsidRPr="00B84760">
        <w:t xml:space="preserve"> of the Income Tax Act 2007</w:t>
      </w:r>
    </w:p>
    <w:p w:rsidR="006073D4" w:rsidRDefault="006073D4" w:rsidP="006073D4"/>
    <w:p w:rsidR="006073D4" w:rsidRDefault="006073D4" w:rsidP="006073D4">
      <w:r>
        <w:t>The</w:t>
      </w:r>
      <w:r w:rsidR="00457F35">
        <w:t xml:space="preserve"> eligibility requirements</w:t>
      </w:r>
      <w:r w:rsidR="000F6CCE">
        <w:t xml:space="preserve"> are</w:t>
      </w:r>
      <w:r>
        <w:t xml:space="preserve"> </w:t>
      </w:r>
      <w:r w:rsidR="004D10F8">
        <w:t>set out in new sections MX 1,</w:t>
      </w:r>
      <w:r>
        <w:t xml:space="preserve"> MX 2</w:t>
      </w:r>
      <w:r w:rsidR="00D92679">
        <w:t xml:space="preserve">, </w:t>
      </w:r>
      <w:r w:rsidR="004D10F8">
        <w:t>MX 3</w:t>
      </w:r>
      <w:r>
        <w:t xml:space="preserve"> </w:t>
      </w:r>
      <w:r w:rsidR="00D92679">
        <w:t>and YA 1 of the Income Tax Act 2007</w:t>
      </w:r>
      <w:r>
        <w:t xml:space="preserve"> </w:t>
      </w:r>
      <w:r w:rsidR="000F6CCE">
        <w:t xml:space="preserve">and </w:t>
      </w:r>
      <w:r>
        <w:t xml:space="preserve">target the </w:t>
      </w:r>
      <w:r w:rsidR="00AB319F">
        <w:t xml:space="preserve">measure </w:t>
      </w:r>
      <w:r>
        <w:t xml:space="preserve">to start-up firms engaging in intensive research and development.  The </w:t>
      </w:r>
      <w:r w:rsidR="00AB319F">
        <w:t xml:space="preserve">measure </w:t>
      </w:r>
      <w:r>
        <w:t xml:space="preserve">is not </w:t>
      </w:r>
      <w:r w:rsidR="00AB319F">
        <w:t>expected</w:t>
      </w:r>
      <w:r>
        <w:t xml:space="preserve"> to apply to </w:t>
      </w:r>
      <w:r w:rsidR="009F2E5E">
        <w:t>highly structured or complex firms which have an R&amp;D aspect</w:t>
      </w:r>
      <w:r w:rsidR="003C24FF">
        <w:t>.  The</w:t>
      </w:r>
      <w:r w:rsidR="003C24FF" w:rsidRPr="003C24FF">
        <w:t xml:space="preserve"> eligibility requirements must be met for each income year that the taxpayer</w:t>
      </w:r>
      <w:r w:rsidR="003C24FF">
        <w:t xml:space="preserve"> applies to cash</w:t>
      </w:r>
      <w:r w:rsidR="00BF2A52">
        <w:t xml:space="preserve"> </w:t>
      </w:r>
      <w:r w:rsidR="003C24FF">
        <w:t>out a loss.</w:t>
      </w:r>
    </w:p>
    <w:p w:rsidR="006073D4" w:rsidRDefault="006073D4" w:rsidP="006073D4"/>
    <w:p w:rsidR="000F6CCE" w:rsidRDefault="000F6CCE" w:rsidP="00617F9A">
      <w:pPr>
        <w:pStyle w:val="Heading3"/>
      </w:pPr>
      <w:r w:rsidRPr="003362C1">
        <w:t>Optional</w:t>
      </w:r>
    </w:p>
    <w:p w:rsidR="00BF2A52" w:rsidRPr="00945269" w:rsidRDefault="00BF2A52" w:rsidP="00945269"/>
    <w:p w:rsidR="00B4671A" w:rsidRDefault="000F6CCE" w:rsidP="006073D4">
      <w:r>
        <w:t xml:space="preserve">The </w:t>
      </w:r>
      <w:r w:rsidR="00D55EFA">
        <w:t>decision to cash</w:t>
      </w:r>
      <w:r w:rsidR="00BF2A52">
        <w:t xml:space="preserve"> </w:t>
      </w:r>
      <w:r w:rsidR="00D55EFA">
        <w:t xml:space="preserve">out a tax loss is optional for each </w:t>
      </w:r>
      <w:r w:rsidR="003C24FF">
        <w:t xml:space="preserve">income </w:t>
      </w:r>
      <w:r w:rsidR="00D55EFA">
        <w:t xml:space="preserve">year.  That is, a company may choose to cash out a loss in one year, and may choose not to for a subsequent year.  </w:t>
      </w:r>
      <w:r w:rsidR="00B4671A">
        <w:t>The rules governing the repayment of cashed</w:t>
      </w:r>
      <w:r w:rsidR="003C24FF">
        <w:t>-out amounts are not optional.</w:t>
      </w:r>
    </w:p>
    <w:p w:rsidR="00B4671A" w:rsidRDefault="00B4671A" w:rsidP="006073D4"/>
    <w:p w:rsidR="00BF2A52" w:rsidRDefault="00B4671A" w:rsidP="00617F9A">
      <w:pPr>
        <w:pStyle w:val="Heading3"/>
      </w:pPr>
      <w:r w:rsidRPr="00BF2A52">
        <w:t>Corporate eligibility</w:t>
      </w:r>
    </w:p>
    <w:p w:rsidR="00B4671A" w:rsidRPr="00945269" w:rsidRDefault="00B4671A" w:rsidP="00945269"/>
    <w:p w:rsidR="006073D4" w:rsidRDefault="006073D4" w:rsidP="006073D4">
      <w:r>
        <w:t>The applicant must be a company that is resident in New Zealand for the whole year and not treated, under a double tax agreement, as a resident of a foreign country or territory.  A company incorporated part-way through the year will be eligible as long as it meets all the requirements for the part of the year that it is in existence.</w:t>
      </w:r>
    </w:p>
    <w:p w:rsidR="001A7B64" w:rsidRDefault="001A7B64" w:rsidP="006073D4"/>
    <w:p w:rsidR="001A7B64" w:rsidRPr="006777CA" w:rsidRDefault="001A7B64" w:rsidP="006777CA">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AE0A6E" w:rsidRPr="00F01512">
        <w:rPr>
          <w:b/>
          <w:sz w:val="20"/>
          <w:szCs w:val="20"/>
        </w:rPr>
        <w:t xml:space="preserve">: </w:t>
      </w:r>
      <w:r w:rsidR="00BF2A52" w:rsidRPr="006777CA">
        <w:rPr>
          <w:b/>
          <w:sz w:val="20"/>
          <w:szCs w:val="20"/>
        </w:rPr>
        <w:t>R</w:t>
      </w:r>
      <w:r w:rsidR="00AE0A6E" w:rsidRPr="00F01512">
        <w:rPr>
          <w:b/>
          <w:sz w:val="20"/>
          <w:szCs w:val="20"/>
        </w:rPr>
        <w:t>esidence of shareholders</w:t>
      </w:r>
    </w:p>
    <w:p w:rsidR="00BF2A52" w:rsidRPr="00F01512" w:rsidRDefault="00BF2A52" w:rsidP="006777CA">
      <w:pPr>
        <w:pBdr>
          <w:top w:val="single" w:sz="4" w:space="10" w:color="auto"/>
          <w:left w:val="single" w:sz="4" w:space="10" w:color="auto"/>
          <w:bottom w:val="single" w:sz="4" w:space="10" w:color="auto"/>
          <w:right w:val="single" w:sz="4" w:space="10" w:color="auto"/>
        </w:pBdr>
        <w:rPr>
          <w:sz w:val="20"/>
          <w:szCs w:val="20"/>
        </w:rPr>
      </w:pPr>
    </w:p>
    <w:p w:rsidR="001A7B64" w:rsidRPr="006777CA" w:rsidRDefault="001A7B64"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Moby is a touring surfer who has an idea to use a new type of lightweight mat</w:t>
      </w:r>
      <w:r w:rsidR="002C1992">
        <w:rPr>
          <w:sz w:val="20"/>
          <w:szCs w:val="20"/>
        </w:rPr>
        <w:t xml:space="preserve">erial to construct surfboards.  </w:t>
      </w:r>
      <w:r w:rsidRPr="006777CA">
        <w:rPr>
          <w:sz w:val="20"/>
          <w:szCs w:val="20"/>
        </w:rPr>
        <w:t>Moby’s Hawaiian</w:t>
      </w:r>
      <w:r w:rsidR="00D147E1" w:rsidRPr="006777CA">
        <w:rPr>
          <w:sz w:val="20"/>
          <w:szCs w:val="20"/>
        </w:rPr>
        <w:t>-</w:t>
      </w:r>
      <w:r w:rsidRPr="006777CA">
        <w:rPr>
          <w:sz w:val="20"/>
          <w:szCs w:val="20"/>
        </w:rPr>
        <w:t xml:space="preserve">resident friend </w:t>
      </w:r>
      <w:proofErr w:type="spellStart"/>
      <w:r w:rsidRPr="006777CA">
        <w:rPr>
          <w:sz w:val="20"/>
          <w:szCs w:val="20"/>
        </w:rPr>
        <w:t>Peleg</w:t>
      </w:r>
      <w:proofErr w:type="spellEnd"/>
      <w:r w:rsidRPr="006777CA">
        <w:rPr>
          <w:sz w:val="20"/>
          <w:szCs w:val="20"/>
        </w:rPr>
        <w:t xml:space="preserve"> agrees to fund investigating the idea.  Modern Boards Limited (MBL) is incorporated in New Zealand (Peleg owns 85</w:t>
      </w:r>
      <w:r w:rsidR="0018613C" w:rsidRPr="006777CA">
        <w:rPr>
          <w:sz w:val="20"/>
          <w:szCs w:val="20"/>
        </w:rPr>
        <w:t xml:space="preserve"> percent</w:t>
      </w:r>
      <w:r w:rsidRPr="006777CA">
        <w:rPr>
          <w:sz w:val="20"/>
          <w:szCs w:val="20"/>
        </w:rPr>
        <w:t xml:space="preserve"> of the shares and Moby the remaining 15</w:t>
      </w:r>
      <w:r w:rsidR="0018613C" w:rsidRPr="006777CA">
        <w:rPr>
          <w:sz w:val="20"/>
          <w:szCs w:val="20"/>
        </w:rPr>
        <w:t xml:space="preserve"> percent</w:t>
      </w:r>
      <w:r w:rsidRPr="006777CA">
        <w:rPr>
          <w:sz w:val="20"/>
          <w:szCs w:val="20"/>
        </w:rPr>
        <w:t xml:space="preserve">) and starts work on the idea.  MBL has tax losses from that work.  The residence of the shareholders does not affect the eligibility of the company to cash out losses, and therefore MBL </w:t>
      </w:r>
      <w:r w:rsidR="000B225C" w:rsidRPr="006777CA">
        <w:rPr>
          <w:sz w:val="20"/>
          <w:szCs w:val="20"/>
        </w:rPr>
        <w:t>may be</w:t>
      </w:r>
      <w:r w:rsidR="007B3321" w:rsidRPr="006777CA">
        <w:rPr>
          <w:sz w:val="20"/>
          <w:szCs w:val="20"/>
        </w:rPr>
        <w:t xml:space="preserve"> eligible to cash out </w:t>
      </w:r>
      <w:r w:rsidR="00CB450A" w:rsidRPr="006777CA">
        <w:rPr>
          <w:sz w:val="20"/>
          <w:szCs w:val="20"/>
        </w:rPr>
        <w:t>research and development</w:t>
      </w:r>
      <w:r w:rsidR="007B3321" w:rsidRPr="006777CA">
        <w:rPr>
          <w:sz w:val="20"/>
          <w:szCs w:val="20"/>
        </w:rPr>
        <w:t xml:space="preserve"> tax</w:t>
      </w:r>
      <w:r w:rsidRPr="006777CA">
        <w:rPr>
          <w:sz w:val="20"/>
          <w:szCs w:val="20"/>
        </w:rPr>
        <w:t xml:space="preserve"> losses.</w:t>
      </w:r>
    </w:p>
    <w:p w:rsidR="006073D4" w:rsidRDefault="006073D4" w:rsidP="006073D4"/>
    <w:p w:rsidR="00830DCC" w:rsidRDefault="00E66C8B" w:rsidP="006073D4">
      <w:r>
        <w:t>The initiative is not intended to apply to companies owned by the Crown</w:t>
      </w:r>
      <w:r w:rsidR="00B67A4B">
        <w:t>.  A company that is established by or subject to the Education Act 1989, the New Zealand Public Health and Disability Act 2000 or the Crown Entities Act 2004</w:t>
      </w:r>
      <w:r w:rsidR="0088082E">
        <w:t>,</w:t>
      </w:r>
      <w:r w:rsidR="00B67A4B">
        <w:t xml:space="preserve"> is not eligible.</w:t>
      </w:r>
    </w:p>
    <w:p w:rsidR="00D0566D" w:rsidRDefault="00D0566D" w:rsidP="006073D4"/>
    <w:p w:rsidR="00B67A4B" w:rsidRDefault="00E66C8B" w:rsidP="006073D4">
      <w:r>
        <w:t xml:space="preserve">Companies that are partially owned by the Crown may be eligible if </w:t>
      </w:r>
      <w:r w:rsidR="00B67A4B">
        <w:t>less than 50</w:t>
      </w:r>
      <w:r w:rsidR="0018613C">
        <w:t xml:space="preserve"> percent</w:t>
      </w:r>
      <w:r w:rsidR="00B67A4B">
        <w:t xml:space="preserve"> of the shares are </w:t>
      </w:r>
      <w:r w:rsidR="00830DCC">
        <w:t xml:space="preserve">together </w:t>
      </w:r>
      <w:r w:rsidR="00B67A4B">
        <w:t>held by public authorities, local authorities,</w:t>
      </w:r>
      <w:r w:rsidR="00973E4D">
        <w:t xml:space="preserve"> Crown </w:t>
      </w:r>
      <w:r w:rsidR="00562CA4">
        <w:t>r</w:t>
      </w:r>
      <w:r w:rsidR="00973E4D">
        <w:t xml:space="preserve">esearch </w:t>
      </w:r>
      <w:r w:rsidR="00562CA4">
        <w:t>i</w:t>
      </w:r>
      <w:r w:rsidR="00973E4D">
        <w:t xml:space="preserve">nstitutes or </w:t>
      </w:r>
      <w:r w:rsidR="00B67A4B">
        <w:t>State enterprises.</w:t>
      </w:r>
    </w:p>
    <w:p w:rsidR="009A385F" w:rsidRDefault="009A385F" w:rsidP="006073D4"/>
    <w:p w:rsidR="0018613C" w:rsidRPr="006777CA" w:rsidRDefault="00715E4B" w:rsidP="006777CA">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AE0A6E" w:rsidRPr="00F01512">
        <w:rPr>
          <w:b/>
          <w:sz w:val="20"/>
          <w:szCs w:val="20"/>
        </w:rPr>
        <w:t xml:space="preserve">: </w:t>
      </w:r>
      <w:r w:rsidR="0018613C" w:rsidRPr="00F01512">
        <w:rPr>
          <w:b/>
          <w:sz w:val="20"/>
          <w:szCs w:val="20"/>
        </w:rPr>
        <w:t>I</w:t>
      </w:r>
      <w:r w:rsidR="00C640EE" w:rsidRPr="00F01512">
        <w:rPr>
          <w:b/>
          <w:sz w:val="20"/>
          <w:szCs w:val="20"/>
        </w:rPr>
        <w:t>neligible from government</w:t>
      </w:r>
      <w:r w:rsidR="0018613C" w:rsidRPr="006777CA">
        <w:rPr>
          <w:b/>
          <w:sz w:val="20"/>
          <w:szCs w:val="20"/>
        </w:rPr>
        <w:t>-</w:t>
      </w:r>
      <w:r w:rsidR="00C640EE" w:rsidRPr="00F01512">
        <w:rPr>
          <w:b/>
          <w:sz w:val="20"/>
          <w:szCs w:val="20"/>
        </w:rPr>
        <w:t>sector ownership</w:t>
      </w:r>
    </w:p>
    <w:p w:rsidR="00715E4B" w:rsidRPr="00F01512" w:rsidRDefault="00715E4B" w:rsidP="006777CA">
      <w:pPr>
        <w:pBdr>
          <w:top w:val="single" w:sz="4" w:space="10" w:color="auto"/>
          <w:left w:val="single" w:sz="4" w:space="10" w:color="auto"/>
          <w:bottom w:val="single" w:sz="4" w:space="10" w:color="auto"/>
          <w:right w:val="single" w:sz="4" w:space="10" w:color="auto"/>
        </w:pBdr>
        <w:rPr>
          <w:sz w:val="20"/>
          <w:szCs w:val="20"/>
        </w:rPr>
      </w:pPr>
    </w:p>
    <w:p w:rsidR="00973E4D" w:rsidRPr="006777CA" w:rsidRDefault="00EE1BAB"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A</w:t>
      </w:r>
      <w:r w:rsidR="00715E4B" w:rsidRPr="006777CA">
        <w:rPr>
          <w:sz w:val="20"/>
          <w:szCs w:val="20"/>
        </w:rPr>
        <w:t xml:space="preserve"> Crown </w:t>
      </w:r>
      <w:r w:rsidR="00562CA4" w:rsidRPr="006777CA">
        <w:rPr>
          <w:sz w:val="20"/>
          <w:szCs w:val="20"/>
        </w:rPr>
        <w:t>r</w:t>
      </w:r>
      <w:r w:rsidR="00715E4B" w:rsidRPr="006777CA">
        <w:rPr>
          <w:sz w:val="20"/>
          <w:szCs w:val="20"/>
        </w:rPr>
        <w:t xml:space="preserve">esearch </w:t>
      </w:r>
      <w:r w:rsidR="008E3AE2" w:rsidRPr="006777CA">
        <w:rPr>
          <w:sz w:val="20"/>
          <w:szCs w:val="20"/>
        </w:rPr>
        <w:t>i</w:t>
      </w:r>
      <w:r w:rsidR="00715E4B" w:rsidRPr="006777CA">
        <w:rPr>
          <w:sz w:val="20"/>
          <w:szCs w:val="20"/>
        </w:rPr>
        <w:t xml:space="preserve">nstitute and </w:t>
      </w:r>
      <w:r w:rsidR="001A7B64" w:rsidRPr="006777CA">
        <w:rPr>
          <w:sz w:val="20"/>
          <w:szCs w:val="20"/>
        </w:rPr>
        <w:t xml:space="preserve">a </w:t>
      </w:r>
      <w:r w:rsidRPr="006777CA">
        <w:rPr>
          <w:sz w:val="20"/>
          <w:szCs w:val="20"/>
        </w:rPr>
        <w:t>S</w:t>
      </w:r>
      <w:r w:rsidR="00973E4D" w:rsidRPr="006777CA">
        <w:rPr>
          <w:sz w:val="20"/>
          <w:szCs w:val="20"/>
        </w:rPr>
        <w:t xml:space="preserve">tate enterprise </w:t>
      </w:r>
      <w:r w:rsidR="00715E4B" w:rsidRPr="006777CA">
        <w:rPr>
          <w:sz w:val="20"/>
          <w:szCs w:val="20"/>
        </w:rPr>
        <w:t>each have a 25</w:t>
      </w:r>
      <w:r w:rsidR="0018613C" w:rsidRPr="006777CA">
        <w:rPr>
          <w:sz w:val="20"/>
          <w:szCs w:val="20"/>
        </w:rPr>
        <w:t xml:space="preserve"> percent</w:t>
      </w:r>
      <w:r w:rsidR="00973E4D" w:rsidRPr="006777CA">
        <w:rPr>
          <w:sz w:val="20"/>
          <w:szCs w:val="20"/>
        </w:rPr>
        <w:t xml:space="preserve"> </w:t>
      </w:r>
      <w:r w:rsidR="00715E4B" w:rsidRPr="006777CA">
        <w:rPr>
          <w:sz w:val="20"/>
          <w:szCs w:val="20"/>
        </w:rPr>
        <w:t>share of a joint venture company set up to do research and development</w:t>
      </w:r>
      <w:r w:rsidR="00084B38" w:rsidRPr="006777CA">
        <w:rPr>
          <w:sz w:val="20"/>
          <w:szCs w:val="20"/>
        </w:rPr>
        <w:t xml:space="preserve"> on tidal impacts on new cable materials</w:t>
      </w:r>
      <w:r w:rsidR="00715E4B" w:rsidRPr="006777CA">
        <w:rPr>
          <w:sz w:val="20"/>
          <w:szCs w:val="20"/>
        </w:rPr>
        <w:t>.  The other 50</w:t>
      </w:r>
      <w:r w:rsidR="0018613C" w:rsidRPr="006777CA">
        <w:rPr>
          <w:sz w:val="20"/>
          <w:szCs w:val="20"/>
        </w:rPr>
        <w:t xml:space="preserve"> percent</w:t>
      </w:r>
      <w:r w:rsidR="00715E4B" w:rsidRPr="006777CA">
        <w:rPr>
          <w:sz w:val="20"/>
          <w:szCs w:val="20"/>
        </w:rPr>
        <w:t xml:space="preserve"> is owned by a private investor.  The joint venture company is not able to cash out</w:t>
      </w:r>
      <w:r w:rsidR="00CB450A" w:rsidRPr="006777CA">
        <w:rPr>
          <w:sz w:val="20"/>
          <w:szCs w:val="20"/>
        </w:rPr>
        <w:t xml:space="preserve"> its</w:t>
      </w:r>
      <w:r w:rsidR="00715E4B" w:rsidRPr="006777CA">
        <w:rPr>
          <w:sz w:val="20"/>
          <w:szCs w:val="20"/>
        </w:rPr>
        <w:t xml:space="preserve"> losses because it </w:t>
      </w:r>
      <w:r w:rsidR="00830DCC" w:rsidRPr="006777CA">
        <w:rPr>
          <w:sz w:val="20"/>
          <w:szCs w:val="20"/>
        </w:rPr>
        <w:t>is 50</w:t>
      </w:r>
      <w:r w:rsidR="008E3AE2" w:rsidRPr="006777CA">
        <w:rPr>
          <w:sz w:val="20"/>
          <w:szCs w:val="20"/>
        </w:rPr>
        <w:t xml:space="preserve"> percent</w:t>
      </w:r>
      <w:r w:rsidR="00830DCC" w:rsidRPr="006777CA">
        <w:rPr>
          <w:sz w:val="20"/>
          <w:szCs w:val="20"/>
        </w:rPr>
        <w:t xml:space="preserve"> owned by the Crown</w:t>
      </w:r>
      <w:r w:rsidR="00715E4B" w:rsidRPr="006777CA">
        <w:rPr>
          <w:sz w:val="20"/>
          <w:szCs w:val="20"/>
        </w:rPr>
        <w:t>.</w:t>
      </w:r>
    </w:p>
    <w:p w:rsidR="00DA187D" w:rsidRDefault="00DA187D" w:rsidP="00DA187D"/>
    <w:p w:rsidR="00E17C30" w:rsidRDefault="00E17C30">
      <w:pPr>
        <w:jc w:val="left"/>
        <w:rPr>
          <w:b/>
          <w:sz w:val="20"/>
          <w:szCs w:val="20"/>
        </w:rPr>
      </w:pPr>
      <w:r>
        <w:rPr>
          <w:b/>
          <w:sz w:val="20"/>
          <w:szCs w:val="20"/>
        </w:rPr>
        <w:br w:type="page"/>
      </w:r>
    </w:p>
    <w:p w:rsidR="006046C7" w:rsidRPr="006777CA" w:rsidRDefault="006046C7" w:rsidP="00E17C30">
      <w:pPr>
        <w:pBdr>
          <w:top w:val="single" w:sz="4" w:space="10" w:color="auto"/>
          <w:left w:val="single" w:sz="4" w:space="10" w:color="auto"/>
          <w:bottom w:val="single" w:sz="4" w:space="7" w:color="auto"/>
          <w:right w:val="single" w:sz="4" w:space="10" w:color="auto"/>
        </w:pBdr>
        <w:rPr>
          <w:b/>
          <w:sz w:val="20"/>
          <w:szCs w:val="20"/>
        </w:rPr>
      </w:pPr>
      <w:r w:rsidRPr="00F01512">
        <w:rPr>
          <w:b/>
          <w:sz w:val="20"/>
          <w:szCs w:val="20"/>
        </w:rPr>
        <w:lastRenderedPageBreak/>
        <w:t>Example</w:t>
      </w:r>
      <w:r w:rsidR="00C640EE" w:rsidRPr="00F01512">
        <w:rPr>
          <w:b/>
          <w:sz w:val="20"/>
          <w:szCs w:val="20"/>
        </w:rPr>
        <w:t xml:space="preserve">: </w:t>
      </w:r>
      <w:r w:rsidR="00EE1BAB" w:rsidRPr="006777CA">
        <w:rPr>
          <w:b/>
          <w:sz w:val="20"/>
          <w:szCs w:val="20"/>
        </w:rPr>
        <w:t>I</w:t>
      </w:r>
      <w:r w:rsidR="00C640EE" w:rsidRPr="00F01512">
        <w:rPr>
          <w:b/>
          <w:sz w:val="20"/>
          <w:szCs w:val="20"/>
        </w:rPr>
        <w:t>neligible as a Crown entity</w:t>
      </w:r>
    </w:p>
    <w:p w:rsidR="00EE1BAB" w:rsidRPr="00F01512" w:rsidRDefault="00EE1BAB" w:rsidP="00E17C30">
      <w:pPr>
        <w:pBdr>
          <w:top w:val="single" w:sz="4" w:space="10" w:color="auto"/>
          <w:left w:val="single" w:sz="4" w:space="10" w:color="auto"/>
          <w:bottom w:val="single" w:sz="4" w:space="7" w:color="auto"/>
          <w:right w:val="single" w:sz="4" w:space="10" w:color="auto"/>
        </w:pBdr>
        <w:rPr>
          <w:sz w:val="20"/>
          <w:szCs w:val="20"/>
        </w:rPr>
      </w:pPr>
    </w:p>
    <w:p w:rsidR="006046C7" w:rsidRPr="00E17C30" w:rsidRDefault="007050AE" w:rsidP="00E17C30">
      <w:pPr>
        <w:pBdr>
          <w:top w:val="single" w:sz="4" w:space="10" w:color="auto"/>
          <w:left w:val="single" w:sz="4" w:space="10" w:color="auto"/>
          <w:bottom w:val="single" w:sz="4" w:space="7" w:color="auto"/>
          <w:right w:val="single" w:sz="4" w:space="10" w:color="auto"/>
        </w:pBdr>
        <w:rPr>
          <w:sz w:val="20"/>
          <w:szCs w:val="20"/>
        </w:rPr>
      </w:pPr>
      <w:r w:rsidRPr="006777CA">
        <w:rPr>
          <w:sz w:val="20"/>
          <w:szCs w:val="20"/>
        </w:rPr>
        <w:t>As a result of the rebuilding work carried out in Christchurch</w:t>
      </w:r>
      <w:r w:rsidR="008E3AE2" w:rsidRPr="006777CA">
        <w:rPr>
          <w:sz w:val="20"/>
          <w:szCs w:val="20"/>
        </w:rPr>
        <w:t>,</w:t>
      </w:r>
      <w:r w:rsidRPr="006777CA">
        <w:rPr>
          <w:sz w:val="20"/>
          <w:szCs w:val="20"/>
        </w:rPr>
        <w:t xml:space="preserve"> researchers in University</w:t>
      </w:r>
      <w:r w:rsidR="008E3AE2" w:rsidRPr="006777CA">
        <w:rPr>
          <w:sz w:val="20"/>
          <w:szCs w:val="20"/>
        </w:rPr>
        <w:t xml:space="preserve"> A</w:t>
      </w:r>
      <w:r w:rsidR="00CB450A" w:rsidRPr="006777CA">
        <w:rPr>
          <w:sz w:val="20"/>
          <w:szCs w:val="20"/>
        </w:rPr>
        <w:t xml:space="preserve"> and</w:t>
      </w:r>
      <w:r w:rsidRPr="006777CA">
        <w:rPr>
          <w:sz w:val="20"/>
          <w:szCs w:val="20"/>
        </w:rPr>
        <w:t xml:space="preserve"> Universit</w:t>
      </w:r>
      <w:r w:rsidR="008E3AE2" w:rsidRPr="006777CA">
        <w:rPr>
          <w:sz w:val="20"/>
          <w:szCs w:val="20"/>
        </w:rPr>
        <w:t>y B</w:t>
      </w:r>
      <w:r w:rsidRPr="006777CA">
        <w:rPr>
          <w:sz w:val="20"/>
          <w:szCs w:val="20"/>
        </w:rPr>
        <w:t xml:space="preserve"> have invented a new process for quickly testing the setting rate of newly poured concrete.  Magnitron Ltd is set up to develop the invention and the two universities together, through two different subsidiaries, own 5</w:t>
      </w:r>
      <w:r w:rsidR="000B225C" w:rsidRPr="006777CA">
        <w:rPr>
          <w:sz w:val="20"/>
          <w:szCs w:val="20"/>
        </w:rPr>
        <w:t>1</w:t>
      </w:r>
      <w:r w:rsidR="00EE1BAB" w:rsidRPr="006777CA">
        <w:rPr>
          <w:sz w:val="20"/>
          <w:szCs w:val="20"/>
        </w:rPr>
        <w:t xml:space="preserve"> percent</w:t>
      </w:r>
      <w:r w:rsidRPr="006777CA">
        <w:rPr>
          <w:sz w:val="20"/>
          <w:szCs w:val="20"/>
        </w:rPr>
        <w:t xml:space="preserve"> of Magnitron Ltd.  The remaining </w:t>
      </w:r>
      <w:r w:rsidR="000B225C" w:rsidRPr="006777CA">
        <w:rPr>
          <w:sz w:val="20"/>
          <w:szCs w:val="20"/>
        </w:rPr>
        <w:t>49</w:t>
      </w:r>
      <w:r w:rsidR="00EE1BAB" w:rsidRPr="006777CA">
        <w:rPr>
          <w:sz w:val="20"/>
          <w:szCs w:val="20"/>
        </w:rPr>
        <w:t xml:space="preserve"> percent</w:t>
      </w:r>
      <w:r w:rsidR="00E860B2" w:rsidRPr="006777CA">
        <w:rPr>
          <w:sz w:val="20"/>
          <w:szCs w:val="20"/>
        </w:rPr>
        <w:t xml:space="preserve"> share </w:t>
      </w:r>
      <w:r w:rsidRPr="006777CA">
        <w:rPr>
          <w:sz w:val="20"/>
          <w:szCs w:val="20"/>
        </w:rPr>
        <w:t xml:space="preserve">is </w:t>
      </w:r>
      <w:r w:rsidR="00E860B2" w:rsidRPr="006777CA">
        <w:rPr>
          <w:sz w:val="20"/>
          <w:szCs w:val="20"/>
        </w:rPr>
        <w:t xml:space="preserve">owned by the two </w:t>
      </w:r>
      <w:r w:rsidR="00EE1BAB" w:rsidRPr="006777CA">
        <w:rPr>
          <w:sz w:val="20"/>
          <w:szCs w:val="20"/>
        </w:rPr>
        <w:t>u</w:t>
      </w:r>
      <w:r w:rsidR="00E860B2" w:rsidRPr="006777CA">
        <w:rPr>
          <w:sz w:val="20"/>
          <w:szCs w:val="20"/>
        </w:rPr>
        <w:t>niversity</w:t>
      </w:r>
      <w:r w:rsidR="00EE1BAB" w:rsidRPr="006777CA">
        <w:rPr>
          <w:sz w:val="20"/>
          <w:szCs w:val="20"/>
        </w:rPr>
        <w:t>-</w:t>
      </w:r>
      <w:r w:rsidR="00E860B2" w:rsidRPr="006777CA">
        <w:rPr>
          <w:sz w:val="20"/>
          <w:szCs w:val="20"/>
        </w:rPr>
        <w:t>employed researchers who invented the idea and other private investors</w:t>
      </w:r>
      <w:r w:rsidR="00B67176">
        <w:rPr>
          <w:sz w:val="20"/>
          <w:szCs w:val="20"/>
        </w:rPr>
        <w:t xml:space="preserve">.  </w:t>
      </w:r>
      <w:proofErr w:type="spellStart"/>
      <w:r w:rsidR="00B67176">
        <w:rPr>
          <w:sz w:val="20"/>
          <w:szCs w:val="20"/>
        </w:rPr>
        <w:t>M</w:t>
      </w:r>
      <w:r w:rsidR="00E860B2" w:rsidRPr="006777CA">
        <w:rPr>
          <w:sz w:val="20"/>
          <w:szCs w:val="20"/>
        </w:rPr>
        <w:t>agnit</w:t>
      </w:r>
      <w:r w:rsidR="000B225C" w:rsidRPr="006777CA">
        <w:rPr>
          <w:sz w:val="20"/>
          <w:szCs w:val="20"/>
        </w:rPr>
        <w:t>ron</w:t>
      </w:r>
      <w:proofErr w:type="spellEnd"/>
      <w:r w:rsidR="000B225C" w:rsidRPr="006777CA">
        <w:rPr>
          <w:sz w:val="20"/>
          <w:szCs w:val="20"/>
        </w:rPr>
        <w:t xml:space="preserve"> Ltd is not eligible to cash </w:t>
      </w:r>
      <w:r w:rsidR="00E860B2" w:rsidRPr="006777CA">
        <w:rPr>
          <w:sz w:val="20"/>
          <w:szCs w:val="20"/>
        </w:rPr>
        <w:t>out its tax losses because it is subject to the Crown Entities Act 2004.</w:t>
      </w:r>
    </w:p>
    <w:p w:rsidR="009A385F" w:rsidRDefault="009A385F" w:rsidP="00DA187D"/>
    <w:p w:rsidR="00DA187D" w:rsidRDefault="00DA187D" w:rsidP="00DA187D">
      <w:r>
        <w:t>The company must not be a listed company or otherwise listed on a recognised exchange.</w:t>
      </w:r>
    </w:p>
    <w:p w:rsidR="00DA187D" w:rsidRDefault="00DA187D" w:rsidP="00DA187D"/>
    <w:p w:rsidR="003265B9" w:rsidRPr="00AD7C82" w:rsidRDefault="003265B9" w:rsidP="00E17C30">
      <w:pPr>
        <w:pStyle w:val="Heading3"/>
      </w:pPr>
      <w:r w:rsidRPr="00AD7C82">
        <w:t>Losses from R&amp;D that is owned by the company</w:t>
      </w:r>
    </w:p>
    <w:p w:rsidR="00D51053" w:rsidRPr="00E17C30" w:rsidRDefault="00D51053" w:rsidP="00E17C30"/>
    <w:p w:rsidR="006777CA" w:rsidRDefault="003265B9" w:rsidP="006073D4">
      <w:r>
        <w:t xml:space="preserve">The company must have a net loss for the </w:t>
      </w:r>
      <w:r w:rsidR="00084B38">
        <w:t xml:space="preserve">relevant </w:t>
      </w:r>
      <w:r>
        <w:t>tax year</w:t>
      </w:r>
      <w:r w:rsidR="003C24FF">
        <w:t xml:space="preserve">.  Also, the company must have incurred </w:t>
      </w:r>
      <w:r w:rsidR="00D22C00">
        <w:t>“</w:t>
      </w:r>
      <w:r w:rsidR="00456458">
        <w:t>R&amp;D expenditure”</w:t>
      </w:r>
      <w:r>
        <w:t xml:space="preserve"> i</w:t>
      </w:r>
      <w:r w:rsidR="002C1992">
        <w:t>n the relevant income year.</w:t>
      </w:r>
    </w:p>
    <w:p w:rsidR="0088082E" w:rsidRDefault="0088082E" w:rsidP="006073D4"/>
    <w:p w:rsidR="009A46CE" w:rsidRPr="00D44914" w:rsidRDefault="006046C7" w:rsidP="006073D4">
      <w:r>
        <w:t xml:space="preserve">A tax loss arising from </w:t>
      </w:r>
      <w:r w:rsidR="00AF70E7">
        <w:t xml:space="preserve">a deduction for research and development expenditure </w:t>
      </w:r>
      <w:r w:rsidR="007E06F3">
        <w:t xml:space="preserve">that is allocated to a future income year under section DB 34(7) of the </w:t>
      </w:r>
      <w:r w:rsidR="00086655">
        <w:t>Income Tax Act</w:t>
      </w:r>
      <w:r w:rsidR="007E06F3">
        <w:t xml:space="preserve"> </w:t>
      </w:r>
      <w:r w:rsidR="00086655">
        <w:t>cannot</w:t>
      </w:r>
      <w:r w:rsidR="007E06F3">
        <w:t xml:space="preserve"> be cashed out either in the year the expenditure was incurred or in the year the deduction is allocated to.</w:t>
      </w:r>
      <w:r w:rsidR="00D44914">
        <w:rPr>
          <w:b/>
        </w:rPr>
        <w:t xml:space="preserve">  </w:t>
      </w:r>
      <w:r w:rsidR="00D44914">
        <w:t>This is</w:t>
      </w:r>
      <w:r w:rsidR="00AF70E7">
        <w:t xml:space="preserve"> because</w:t>
      </w:r>
      <w:r w:rsidR="0034013B">
        <w:t xml:space="preserve"> the definit</w:t>
      </w:r>
      <w:r w:rsidR="00AF70E7">
        <w:t xml:space="preserve">ion of “R&amp;D expenditure” does not include research and development expenditure for which no deduction is available </w:t>
      </w:r>
      <w:r w:rsidR="0034013B">
        <w:t>for</w:t>
      </w:r>
      <w:r w:rsidR="00AF70E7">
        <w:t xml:space="preserve"> the income year.</w:t>
      </w:r>
    </w:p>
    <w:p w:rsidR="007E06F3" w:rsidRDefault="007E06F3" w:rsidP="006073D4"/>
    <w:p w:rsidR="00AD7C82" w:rsidRPr="00F01512" w:rsidRDefault="00AD7C82" w:rsidP="00AD7C82">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 Expenditure allocated to later income years not eligible for the tax credit</w:t>
      </w:r>
    </w:p>
    <w:p w:rsidR="00AD7C82" w:rsidRPr="006777CA" w:rsidRDefault="00AD7C82" w:rsidP="00AD7C82">
      <w:pPr>
        <w:pBdr>
          <w:top w:val="single" w:sz="4" w:space="10" w:color="auto"/>
          <w:left w:val="single" w:sz="4" w:space="10" w:color="auto"/>
          <w:bottom w:val="single" w:sz="4" w:space="10" w:color="auto"/>
          <w:right w:val="single" w:sz="4" w:space="10" w:color="auto"/>
        </w:pBdr>
        <w:rPr>
          <w:sz w:val="20"/>
          <w:szCs w:val="20"/>
        </w:rPr>
      </w:pPr>
    </w:p>
    <w:p w:rsidR="00AD7C82" w:rsidRPr="006777CA" w:rsidRDefault="00AD7C82" w:rsidP="00AD7C82">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Mattlab Ltd is a biotechnology firm designing a new medicine to repair liver damage.  In the </w:t>
      </w:r>
      <w:r w:rsidR="00AE5D54">
        <w:rPr>
          <w:sz w:val="20"/>
          <w:szCs w:val="20"/>
        </w:rPr>
        <w:t>2016</w:t>
      </w:r>
      <w:r w:rsidR="0088082E">
        <w:rPr>
          <w:sz w:val="20"/>
          <w:szCs w:val="20"/>
        </w:rPr>
        <w:t>–</w:t>
      </w:r>
      <w:r w:rsidRPr="006777CA">
        <w:rPr>
          <w:sz w:val="20"/>
          <w:szCs w:val="20"/>
        </w:rPr>
        <w:t xml:space="preserve">17 income year the company makes a loss of $1.1m carrying out a pre-clinical trial on mice.  Although the whole of the loss relates to research and development expenditure, Mattlab Ltd can only cash out losses of $800,000 (the maximum allowed under the cap for the </w:t>
      </w:r>
      <w:r w:rsidR="00AE5D54">
        <w:rPr>
          <w:sz w:val="20"/>
          <w:szCs w:val="20"/>
        </w:rPr>
        <w:t>2016</w:t>
      </w:r>
      <w:r w:rsidR="0088082E">
        <w:rPr>
          <w:sz w:val="20"/>
          <w:szCs w:val="20"/>
        </w:rPr>
        <w:t>–</w:t>
      </w:r>
      <w:r w:rsidRPr="006777CA">
        <w:rPr>
          <w:sz w:val="20"/>
          <w:szCs w:val="20"/>
        </w:rPr>
        <w:t>17 year).  Developing the medicine further requires new venture capital.  New equity investors are found in the 20</w:t>
      </w:r>
      <w:r w:rsidR="00AE5D54">
        <w:rPr>
          <w:sz w:val="20"/>
          <w:szCs w:val="20"/>
        </w:rPr>
        <w:t>17</w:t>
      </w:r>
      <w:r w:rsidR="00CC5D2E">
        <w:rPr>
          <w:sz w:val="20"/>
          <w:szCs w:val="20"/>
        </w:rPr>
        <w:t>–</w:t>
      </w:r>
      <w:r w:rsidRPr="006777CA">
        <w:rPr>
          <w:sz w:val="20"/>
          <w:szCs w:val="20"/>
        </w:rPr>
        <w:t xml:space="preserve">18 year and the remaining </w:t>
      </w:r>
      <w:r>
        <w:rPr>
          <w:sz w:val="20"/>
          <w:szCs w:val="20"/>
        </w:rPr>
        <w:t>losses from the 20</w:t>
      </w:r>
      <w:r w:rsidR="00AE5D54">
        <w:rPr>
          <w:sz w:val="20"/>
          <w:szCs w:val="20"/>
        </w:rPr>
        <w:t>16</w:t>
      </w:r>
      <w:r w:rsidR="00CC5D2E">
        <w:rPr>
          <w:sz w:val="20"/>
          <w:szCs w:val="20"/>
        </w:rPr>
        <w:t>–</w:t>
      </w:r>
      <w:r>
        <w:rPr>
          <w:sz w:val="20"/>
          <w:szCs w:val="20"/>
        </w:rPr>
        <w:t xml:space="preserve">17 income year </w:t>
      </w:r>
      <w:r w:rsidRPr="006777CA">
        <w:rPr>
          <w:sz w:val="20"/>
          <w:szCs w:val="20"/>
        </w:rPr>
        <w:t xml:space="preserve">are allocated to the </w:t>
      </w:r>
      <w:r w:rsidR="00AE5D54">
        <w:rPr>
          <w:sz w:val="20"/>
          <w:szCs w:val="20"/>
        </w:rPr>
        <w:t>2018</w:t>
      </w:r>
      <w:r w:rsidR="0088082E">
        <w:rPr>
          <w:sz w:val="20"/>
          <w:szCs w:val="20"/>
        </w:rPr>
        <w:t>–</w:t>
      </w:r>
      <w:r w:rsidRPr="006777CA">
        <w:rPr>
          <w:sz w:val="20"/>
          <w:szCs w:val="20"/>
        </w:rPr>
        <w:t>19 year.  All of the losses generated by Mattlab Ltd in the 20</w:t>
      </w:r>
      <w:r w:rsidR="00AE5D54">
        <w:rPr>
          <w:sz w:val="20"/>
          <w:szCs w:val="20"/>
        </w:rPr>
        <w:t>17</w:t>
      </w:r>
      <w:r w:rsidR="00CC5D2E">
        <w:rPr>
          <w:sz w:val="20"/>
          <w:szCs w:val="20"/>
        </w:rPr>
        <w:t>–</w:t>
      </w:r>
      <w:r w:rsidRPr="006777CA">
        <w:rPr>
          <w:sz w:val="20"/>
          <w:szCs w:val="20"/>
        </w:rPr>
        <w:t>18 year are cashed out.  In the 20</w:t>
      </w:r>
      <w:r w:rsidR="00AE5D54">
        <w:rPr>
          <w:sz w:val="20"/>
          <w:szCs w:val="20"/>
        </w:rPr>
        <w:t>18</w:t>
      </w:r>
      <w:r w:rsidR="00CC5D2E">
        <w:rPr>
          <w:sz w:val="20"/>
          <w:szCs w:val="20"/>
        </w:rPr>
        <w:t>–</w:t>
      </w:r>
      <w:r w:rsidRPr="006777CA">
        <w:rPr>
          <w:sz w:val="20"/>
          <w:szCs w:val="20"/>
        </w:rPr>
        <w:t>19 year Mattlab Ltd incurs $0.9m of research and development expenditure, which generates a tax loss of the same amount.  The reallocation of deductions from the 20</w:t>
      </w:r>
      <w:r w:rsidR="00AE5D54">
        <w:rPr>
          <w:sz w:val="20"/>
          <w:szCs w:val="20"/>
        </w:rPr>
        <w:t>16</w:t>
      </w:r>
      <w:r w:rsidR="00CC5D2E">
        <w:rPr>
          <w:sz w:val="20"/>
          <w:szCs w:val="20"/>
        </w:rPr>
        <w:t>–</w:t>
      </w:r>
      <w:r w:rsidRPr="006777CA">
        <w:rPr>
          <w:sz w:val="20"/>
          <w:szCs w:val="20"/>
        </w:rPr>
        <w:t>17 year mean that Mattlab Ltd has losses of $1.2m, however it can only cash out losses of $0.9m, and must carry forward the remaining losses of $0.3m.</w:t>
      </w:r>
    </w:p>
    <w:p w:rsidR="00AD7C82" w:rsidRDefault="00AD7C82" w:rsidP="00AD7C82"/>
    <w:p w:rsidR="003662FC" w:rsidRPr="004E5892" w:rsidRDefault="003662FC" w:rsidP="005A1169">
      <w:pPr>
        <w:pStyle w:val="Heading3"/>
      </w:pPr>
      <w:r w:rsidRPr="004E5892">
        <w:t>Group companies</w:t>
      </w:r>
    </w:p>
    <w:p w:rsidR="00D3412D" w:rsidRPr="003662FC" w:rsidRDefault="00D3412D" w:rsidP="006073D4">
      <w:pPr>
        <w:rPr>
          <w:i/>
        </w:rPr>
      </w:pPr>
    </w:p>
    <w:p w:rsidR="007B3321" w:rsidRDefault="00AD7C82" w:rsidP="006073D4">
      <w:r>
        <w:t xml:space="preserve">If a company is </w:t>
      </w:r>
      <w:r w:rsidR="007B3321">
        <w:t xml:space="preserve">part of a group </w:t>
      </w:r>
      <w:r w:rsidR="008529FA">
        <w:t>for tax purposes</w:t>
      </w:r>
      <w:r>
        <w:t>, then that group</w:t>
      </w:r>
      <w:r w:rsidR="008529FA">
        <w:t xml:space="preserve"> </w:t>
      </w:r>
      <w:r w:rsidR="007B3321">
        <w:t xml:space="preserve">must </w:t>
      </w:r>
      <w:r>
        <w:t xml:space="preserve">also </w:t>
      </w:r>
      <w:r w:rsidR="007B3321">
        <w:t>meet some of the eligibility requirements</w:t>
      </w:r>
      <w:r>
        <w:t xml:space="preserve"> in aggregate</w:t>
      </w:r>
      <w:r w:rsidR="007B3321">
        <w:t xml:space="preserve">.  The group must have a net loss for the corresponding tax year and meet the wage intensity </w:t>
      </w:r>
      <w:r w:rsidR="00575D5B">
        <w:t>criteria</w:t>
      </w:r>
      <w:r w:rsidR="007B3321">
        <w:t>.</w:t>
      </w:r>
      <w:r w:rsidR="005B7D13">
        <w:t xml:space="preserve">  These features are important for the integrity of the initiative.</w:t>
      </w:r>
    </w:p>
    <w:p w:rsidR="00CA6A1F" w:rsidRDefault="00CA6A1F" w:rsidP="006073D4"/>
    <w:p w:rsidR="00CA6A1F" w:rsidRDefault="00CA6A1F" w:rsidP="006073D4">
      <w:r>
        <w:t>The “R&amp;D group” is defined and can include a company, look-through company or limited partnership.</w:t>
      </w:r>
    </w:p>
    <w:p w:rsidR="007B3321" w:rsidRDefault="007B3321" w:rsidP="006073D4"/>
    <w:p w:rsidR="00E17C30" w:rsidRDefault="00E17C30">
      <w:pPr>
        <w:jc w:val="left"/>
        <w:rPr>
          <w:b/>
          <w:bCs/>
          <w:i/>
          <w:iCs/>
        </w:rPr>
      </w:pPr>
      <w:r>
        <w:rPr>
          <w:b/>
        </w:rPr>
        <w:br w:type="page"/>
      </w:r>
    </w:p>
    <w:p w:rsidR="006073D4" w:rsidRPr="004E5892" w:rsidRDefault="006073D4" w:rsidP="005A1169">
      <w:pPr>
        <w:pStyle w:val="Heading3"/>
      </w:pPr>
      <w:r w:rsidRPr="004E5892">
        <w:lastRenderedPageBreak/>
        <w:t>Wage intensity criteria</w:t>
      </w:r>
    </w:p>
    <w:p w:rsidR="00D3412D" w:rsidRPr="005B7D13" w:rsidRDefault="00D3412D" w:rsidP="006073D4">
      <w:pPr>
        <w:rPr>
          <w:i/>
        </w:rPr>
      </w:pPr>
    </w:p>
    <w:p w:rsidR="00181BA5" w:rsidRDefault="00D3412D" w:rsidP="006073D4">
      <w:r>
        <w:t>T</w:t>
      </w:r>
      <w:r w:rsidR="006073D4">
        <w:t xml:space="preserve">o target the initiative to </w:t>
      </w:r>
      <w:r w:rsidR="00084B38">
        <w:t>innovative</w:t>
      </w:r>
      <w:r w:rsidR="006073D4">
        <w:t xml:space="preserve"> start-ups, </w:t>
      </w:r>
      <w:r w:rsidR="00C00D98">
        <w:t xml:space="preserve">proportional </w:t>
      </w:r>
      <w:r w:rsidR="00AD7C82">
        <w:t xml:space="preserve">labour </w:t>
      </w:r>
      <w:r w:rsidR="006073D4">
        <w:t>expenditure</w:t>
      </w:r>
      <w:r w:rsidR="00AD7C82">
        <w:t xml:space="preserve"> on research and development</w:t>
      </w:r>
      <w:r w:rsidR="006073D4">
        <w:t xml:space="preserve"> is used as a proxy to gauge the intensity of research and development.  Evidence indicates that loss-making research and development-intensive businesses, particularly smaller and younger businesses, tend to spend a greater proportion of their wage and salary costs on research and development than other businesses.</w:t>
      </w:r>
    </w:p>
    <w:p w:rsidR="00181BA5" w:rsidRDefault="00181BA5" w:rsidP="006073D4"/>
    <w:p w:rsidR="00181BA5" w:rsidRDefault="00181BA5" w:rsidP="006073D4">
      <w:r>
        <w:t xml:space="preserve">The wage intensity criteria are </w:t>
      </w:r>
      <w:r w:rsidR="006073D4">
        <w:t xml:space="preserve">set out in section MX 3 of the </w:t>
      </w:r>
      <w:r w:rsidR="00E71798">
        <w:t>Income Tax Act</w:t>
      </w:r>
      <w:r w:rsidR="006073D4">
        <w:t xml:space="preserve"> and to be eligible, the company must have a wage intensity calculation of 0.2 or more.</w:t>
      </w:r>
      <w:r w:rsidR="00CE20AE">
        <w:t xml:space="preserve">  Similarly, </w:t>
      </w:r>
      <w:r w:rsidR="001410C7">
        <w:t>if the company is part of a group</w:t>
      </w:r>
      <w:r w:rsidR="007D23D3">
        <w:t>,</w:t>
      </w:r>
      <w:r w:rsidR="001410C7">
        <w:t xml:space="preserve"> the amount calculated for the </w:t>
      </w:r>
      <w:r w:rsidR="007D23D3">
        <w:t>“</w:t>
      </w:r>
      <w:r w:rsidR="001410C7">
        <w:t>R&amp;D group</w:t>
      </w:r>
      <w:r w:rsidR="007D23D3">
        <w:t>”</w:t>
      </w:r>
      <w:r w:rsidR="001410C7">
        <w:t xml:space="preserve"> in aggregate should be 0.2 or more.</w:t>
      </w:r>
    </w:p>
    <w:p w:rsidR="006073D4" w:rsidRDefault="006073D4" w:rsidP="006073D4"/>
    <w:p w:rsidR="006073D4" w:rsidRDefault="006073D4" w:rsidP="006073D4">
      <w:r>
        <w:t>The intensity calculation is:</w:t>
      </w:r>
    </w:p>
    <w:p w:rsidR="006073D4" w:rsidRDefault="006073D4" w:rsidP="006073D4"/>
    <w:p w:rsidR="006073D4" w:rsidRPr="002C1992" w:rsidRDefault="006073D4" w:rsidP="00F01512">
      <w:pPr>
        <w:ind w:firstLine="720"/>
        <w:rPr>
          <w:i/>
          <w:sz w:val="22"/>
        </w:rPr>
      </w:pPr>
      <w:proofErr w:type="gramStart"/>
      <w:r w:rsidRPr="002C1992">
        <w:rPr>
          <w:i/>
          <w:sz w:val="22"/>
        </w:rPr>
        <w:t>total</w:t>
      </w:r>
      <w:proofErr w:type="gramEnd"/>
      <w:r w:rsidRPr="002C1992">
        <w:rPr>
          <w:i/>
          <w:sz w:val="22"/>
        </w:rPr>
        <w:t xml:space="preserve"> research and development labour expenditure</w:t>
      </w:r>
      <w:r w:rsidR="001410C7" w:rsidRPr="002C1992">
        <w:rPr>
          <w:i/>
          <w:sz w:val="22"/>
        </w:rPr>
        <w:t xml:space="preserve"> ÷ </w:t>
      </w:r>
      <w:r w:rsidRPr="002C1992">
        <w:rPr>
          <w:i/>
          <w:sz w:val="22"/>
        </w:rPr>
        <w:t>total labour expenditure</w:t>
      </w:r>
    </w:p>
    <w:p w:rsidR="001410C7" w:rsidRPr="00F01512" w:rsidRDefault="001410C7" w:rsidP="006073D4">
      <w:pPr>
        <w:rPr>
          <w:i/>
        </w:rPr>
      </w:pPr>
    </w:p>
    <w:p w:rsidR="001410C7" w:rsidRDefault="00553BF8" w:rsidP="006073D4">
      <w:r>
        <w:t>Th</w:t>
      </w:r>
      <w:r w:rsidR="00884577">
        <w:t xml:space="preserve">ere are two options for calculating wage intensity under the new rules.  </w:t>
      </w:r>
      <w:r w:rsidR="001410C7">
        <w:t xml:space="preserve">Option 1 is </w:t>
      </w:r>
      <w:r w:rsidR="001A1703">
        <w:t xml:space="preserve">the </w:t>
      </w:r>
      <w:r w:rsidR="001410C7">
        <w:t xml:space="preserve">simpler </w:t>
      </w:r>
      <w:r w:rsidR="001A1703">
        <w:t>of the two</w:t>
      </w:r>
      <w:r w:rsidR="001410C7">
        <w:t xml:space="preserve">.  Option 2 is more accurate for employers who remunerate their staff with fringe benefits and superannuation contributions </w:t>
      </w:r>
      <w:r w:rsidR="000B225C">
        <w:t>in addition to other types of compensation for labour</w:t>
      </w:r>
      <w:r w:rsidR="001410C7">
        <w:t>.</w:t>
      </w:r>
    </w:p>
    <w:p w:rsidR="006073D4" w:rsidRDefault="006073D4" w:rsidP="006073D4"/>
    <w:p w:rsidR="006073D4" w:rsidRDefault="00553BF8" w:rsidP="006073D4">
      <w:r>
        <w:t xml:space="preserve">Under </w:t>
      </w:r>
      <w:r w:rsidR="0050796E">
        <w:t>O</w:t>
      </w:r>
      <w:r>
        <w:t>ption 1, t</w:t>
      </w:r>
      <w:r w:rsidR="006073D4">
        <w:t>otal research and development labour expenditure is defined as the total of</w:t>
      </w:r>
      <w:r>
        <w:t xml:space="preserve"> amounts incurred in the income year on</w:t>
      </w:r>
      <w:r w:rsidR="006073D4">
        <w:t>:</w:t>
      </w:r>
    </w:p>
    <w:p w:rsidR="0050796E" w:rsidRDefault="0050796E" w:rsidP="006073D4"/>
    <w:p w:rsidR="006073D4" w:rsidRDefault="00553BF8" w:rsidP="00617F9A">
      <w:pPr>
        <w:pStyle w:val="Bullets"/>
      </w:pPr>
      <w:r w:rsidRPr="00553BF8">
        <w:t xml:space="preserve">the </w:t>
      </w:r>
      <w:r w:rsidR="00ED6EAE">
        <w:t>taxpayer’s “contractor</w:t>
      </w:r>
      <w:r w:rsidR="00C00D98">
        <w:t xml:space="preserve"> R&amp;D consideration” multiplied</w:t>
      </w:r>
      <w:r w:rsidRPr="00553BF8">
        <w:t xml:space="preserve"> by 0.66</w:t>
      </w:r>
      <w:r w:rsidR="009F0F6A">
        <w:t xml:space="preserve">. </w:t>
      </w:r>
      <w:r w:rsidR="009F0F6A" w:rsidRPr="009F0F6A">
        <w:t xml:space="preserve"> </w:t>
      </w:r>
      <w:r w:rsidR="009F0F6A">
        <w:t xml:space="preserve">The “contractor R&amp;D consideration” is the amount paid to an external provider (excluding GST) for research and development work.  This is to reflect the fact that taxpayers may outsource a part of their research and development work to an external provider.  </w:t>
      </w:r>
      <w:r w:rsidR="009F2E5E">
        <w:t xml:space="preserve">For taxpayers who are part of a research and development group, the contractor must not be part of that </w:t>
      </w:r>
      <w:r w:rsidR="00785ED6">
        <w:t>group;</w:t>
      </w:r>
    </w:p>
    <w:p w:rsidR="006073D4" w:rsidRDefault="006073D4" w:rsidP="00617F9A">
      <w:pPr>
        <w:pStyle w:val="Bullets"/>
      </w:pPr>
      <w:r>
        <w:t>salary or wages pa</w:t>
      </w:r>
      <w:r w:rsidR="002A6CBD">
        <w:t xml:space="preserve">id to employees for carrying </w:t>
      </w:r>
      <w:r w:rsidR="00E66C8B">
        <w:t>out</w:t>
      </w:r>
      <w:r>
        <w:t xml:space="preserve"> research and development;</w:t>
      </w:r>
      <w:r w:rsidR="00553BF8">
        <w:t xml:space="preserve"> and</w:t>
      </w:r>
    </w:p>
    <w:p w:rsidR="006073D4" w:rsidRDefault="006073D4" w:rsidP="00617F9A">
      <w:pPr>
        <w:pStyle w:val="Bullets"/>
        <w:spacing w:after="0"/>
      </w:pPr>
      <w:r>
        <w:t>amounts paid to shareholder-</w:t>
      </w:r>
      <w:r w:rsidR="002A6CBD">
        <w:t xml:space="preserve">employees for </w:t>
      </w:r>
      <w:r w:rsidR="00E66C8B">
        <w:t>carrying out</w:t>
      </w:r>
      <w:r>
        <w:t xml:space="preserve"> research </w:t>
      </w:r>
      <w:r w:rsidR="002A6CBD">
        <w:t xml:space="preserve">and </w:t>
      </w:r>
      <w:r w:rsidR="0050796E">
        <w:t>development</w:t>
      </w:r>
      <w:r w:rsidR="009F0F6A">
        <w:t xml:space="preserve"> that are not subject to PAYE</w:t>
      </w:r>
      <w:r w:rsidR="00553BF8">
        <w:t>.</w:t>
      </w:r>
    </w:p>
    <w:p w:rsidR="00C00D98" w:rsidRDefault="00C00D98" w:rsidP="006073D4"/>
    <w:p w:rsidR="006073D4" w:rsidRDefault="00D8484E" w:rsidP="006073D4">
      <w:r>
        <w:t xml:space="preserve">Total research </w:t>
      </w:r>
      <w:r w:rsidR="006073D4">
        <w:t>and development labour expenditure does not include</w:t>
      </w:r>
      <w:r w:rsidR="00395490">
        <w:t xml:space="preserve"> expenditure on </w:t>
      </w:r>
      <w:r w:rsidR="006073D4">
        <w:t>labour</w:t>
      </w:r>
      <w:r w:rsidR="00395490">
        <w:t xml:space="preserve"> or contractors </w:t>
      </w:r>
      <w:r w:rsidR="009F0F6A">
        <w:t>engaged in</w:t>
      </w:r>
      <w:r w:rsidR="00395490">
        <w:t xml:space="preserve"> research and development</w:t>
      </w:r>
      <w:r w:rsidR="006073D4">
        <w:t xml:space="preserve"> activities that are </w:t>
      </w:r>
      <w:r w:rsidR="009F0F6A">
        <w:t>listed in schedule 22</w:t>
      </w:r>
      <w:r w:rsidR="006073D4">
        <w:t>.</w:t>
      </w:r>
      <w:r w:rsidR="002A6CBD">
        <w:t xml:space="preserve">  </w:t>
      </w:r>
      <w:r w:rsidR="00124BB3">
        <w:t xml:space="preserve">Similarly, the expenditure cannot be for goods and services </w:t>
      </w:r>
      <w:r w:rsidR="00395490">
        <w:t>used by the taxpayer to provide a service of research and development</w:t>
      </w:r>
      <w:r w:rsidR="00124BB3">
        <w:t xml:space="preserve"> to another person</w:t>
      </w:r>
      <w:r w:rsidR="00930E38">
        <w:t>,</w:t>
      </w:r>
      <w:r w:rsidR="00124BB3">
        <w:t xml:space="preserve"> or to further another person’s research or development activities.</w:t>
      </w:r>
      <w:r w:rsidR="009F0F6A">
        <w:t xml:space="preserve">  In addition, the intellectual property and know-how resulting from the research and development must vest in the taxpayer, solely or jointly.</w:t>
      </w:r>
    </w:p>
    <w:p w:rsidR="006073D4" w:rsidRDefault="006073D4" w:rsidP="006073D4"/>
    <w:p w:rsidR="006073D4" w:rsidRDefault="006073D4" w:rsidP="006073D4">
      <w:r>
        <w:t>Total labour expenditure is the total of</w:t>
      </w:r>
      <w:r w:rsidR="00124BB3">
        <w:t xml:space="preserve"> amounts incurred in the income year on</w:t>
      </w:r>
      <w:r>
        <w:t>:</w:t>
      </w:r>
    </w:p>
    <w:p w:rsidR="00AB0ED8" w:rsidRDefault="00AB0ED8" w:rsidP="006073D4"/>
    <w:p w:rsidR="006073D4" w:rsidRDefault="00124BB3" w:rsidP="00617F9A">
      <w:pPr>
        <w:pStyle w:val="Bullets"/>
      </w:pPr>
      <w:r>
        <w:t xml:space="preserve">the </w:t>
      </w:r>
      <w:r w:rsidR="00395490">
        <w:t>“</w:t>
      </w:r>
      <w:r>
        <w:t>contractor</w:t>
      </w:r>
      <w:r w:rsidR="00395490">
        <w:t xml:space="preserve"> R&amp;D consideration”</w:t>
      </w:r>
      <w:r>
        <w:t xml:space="preserve"> multiplied by 0.66 (as in the numerator);</w:t>
      </w:r>
    </w:p>
    <w:p w:rsidR="006073D4" w:rsidRDefault="006073D4" w:rsidP="00617F9A">
      <w:pPr>
        <w:pStyle w:val="Bullets"/>
      </w:pPr>
      <w:r>
        <w:t>salary or wages paid to employees;</w:t>
      </w:r>
      <w:r w:rsidR="00281AF7">
        <w:t xml:space="preserve"> and</w:t>
      </w:r>
    </w:p>
    <w:p w:rsidR="006073D4" w:rsidRDefault="006073D4" w:rsidP="00617F9A">
      <w:pPr>
        <w:pStyle w:val="Bullets"/>
        <w:spacing w:after="0"/>
      </w:pPr>
      <w:r>
        <w:t xml:space="preserve">amounts paid to shareholder-employees </w:t>
      </w:r>
      <w:r w:rsidR="009F0F6A">
        <w:t>that are not subject to PAYE</w:t>
      </w:r>
      <w:r w:rsidR="00281AF7">
        <w:t>.</w:t>
      </w:r>
    </w:p>
    <w:p w:rsidR="00281AF7" w:rsidRDefault="00281AF7" w:rsidP="00617F9A"/>
    <w:p w:rsidR="00395490" w:rsidRDefault="00281AF7" w:rsidP="00281AF7">
      <w:r>
        <w:lastRenderedPageBreak/>
        <w:t xml:space="preserve">Under </w:t>
      </w:r>
      <w:r w:rsidR="00AB0ED8">
        <w:t>O</w:t>
      </w:r>
      <w:r>
        <w:t>ption 2</w:t>
      </w:r>
      <w:r w:rsidR="00E03711">
        <w:t>,</w:t>
      </w:r>
      <w:r w:rsidR="005C4A5B">
        <w:t xml:space="preserve"> the</w:t>
      </w:r>
      <w:r w:rsidR="00395490">
        <w:t xml:space="preserve"> calculation is the same as for Option 1, except:</w:t>
      </w:r>
    </w:p>
    <w:p w:rsidR="00395490" w:rsidRDefault="00395490" w:rsidP="00281AF7"/>
    <w:p w:rsidR="00395490" w:rsidRDefault="00395490" w:rsidP="00395490">
      <w:pPr>
        <w:pStyle w:val="Bullets"/>
      </w:pPr>
      <w:r>
        <w:t>the</w:t>
      </w:r>
      <w:r w:rsidR="005C4A5B">
        <w:t xml:space="preserve"> following amounts </w:t>
      </w:r>
      <w:r w:rsidR="00D8484E">
        <w:t xml:space="preserve">must </w:t>
      </w:r>
      <w:r w:rsidR="005C4A5B">
        <w:t xml:space="preserve">be added to </w:t>
      </w:r>
      <w:r w:rsidR="00D8484E">
        <w:t>total</w:t>
      </w:r>
      <w:r w:rsidR="005C4A5B">
        <w:t xml:space="preserve"> labour expenditure:</w:t>
      </w:r>
      <w:r w:rsidRPr="00395490">
        <w:t xml:space="preserve"> </w:t>
      </w:r>
    </w:p>
    <w:p w:rsidR="005C4A5B" w:rsidRDefault="00E03711" w:rsidP="00E17C30">
      <w:pPr>
        <w:pStyle w:val="Bullets"/>
        <w:numPr>
          <w:ilvl w:val="0"/>
          <w:numId w:val="39"/>
        </w:numPr>
        <w:ind w:left="1134" w:hanging="567"/>
      </w:pPr>
      <w:r>
        <w:t xml:space="preserve">the </w:t>
      </w:r>
      <w:r w:rsidR="005C4A5B">
        <w:t>employer’s superannuation contributions for the employee that are not salary or wages;</w:t>
      </w:r>
    </w:p>
    <w:p w:rsidR="005C4A5B" w:rsidRDefault="005C4A5B" w:rsidP="00E17C30">
      <w:pPr>
        <w:pStyle w:val="Bullets"/>
        <w:numPr>
          <w:ilvl w:val="0"/>
          <w:numId w:val="39"/>
        </w:numPr>
        <w:ind w:left="1134" w:hanging="567"/>
      </w:pPr>
      <w:r>
        <w:t>tax on the employer’s superannuation cash contributions for the employee;</w:t>
      </w:r>
    </w:p>
    <w:p w:rsidR="005C4A5B" w:rsidRDefault="005C4A5B" w:rsidP="00E17C30">
      <w:pPr>
        <w:pStyle w:val="Bullets"/>
        <w:numPr>
          <w:ilvl w:val="0"/>
          <w:numId w:val="39"/>
        </w:numPr>
        <w:ind w:left="1134" w:hanging="567"/>
      </w:pPr>
      <w:r>
        <w:t xml:space="preserve">fringe benefits </w:t>
      </w:r>
      <w:r w:rsidR="00B12C0E">
        <w:t xml:space="preserve">attributed </w:t>
      </w:r>
      <w:r>
        <w:t>to the employee; and</w:t>
      </w:r>
    </w:p>
    <w:p w:rsidR="005C4A5B" w:rsidRDefault="005C4A5B" w:rsidP="00E17C30">
      <w:pPr>
        <w:pStyle w:val="Bullets"/>
        <w:numPr>
          <w:ilvl w:val="0"/>
          <w:numId w:val="39"/>
        </w:numPr>
        <w:spacing w:after="0"/>
        <w:ind w:left="1134" w:hanging="567"/>
      </w:pPr>
      <w:r>
        <w:t>the employer’s FBT liability in relation to the employee</w:t>
      </w:r>
      <w:r w:rsidR="00395490">
        <w:t xml:space="preserve"> and the fringe benefits attributed to the employee</w:t>
      </w:r>
      <w:r w:rsidR="00E03711">
        <w:t>.</w:t>
      </w:r>
    </w:p>
    <w:p w:rsidR="00395490" w:rsidRDefault="00395490" w:rsidP="004E5892">
      <w:pPr>
        <w:pStyle w:val="Bullets"/>
        <w:numPr>
          <w:ilvl w:val="0"/>
          <w:numId w:val="0"/>
        </w:numPr>
        <w:spacing w:after="0"/>
        <w:ind w:left="1134"/>
      </w:pPr>
    </w:p>
    <w:p w:rsidR="00395490" w:rsidRDefault="00395490" w:rsidP="00395490">
      <w:pPr>
        <w:pStyle w:val="Bullets"/>
      </w:pPr>
      <w:r>
        <w:t xml:space="preserve">A proportion of the above amounts must also be added to total research and development labour expenditure.  The proportion is the same, for each employee, as the proportion of the employee’s </w:t>
      </w:r>
      <w:r w:rsidR="00FF1607">
        <w:t xml:space="preserve">total </w:t>
      </w:r>
      <w:r>
        <w:t xml:space="preserve">salary or wages </w:t>
      </w:r>
      <w:r w:rsidR="00FF1607">
        <w:t>that is paid for carrying out research and development</w:t>
      </w:r>
      <w:r w:rsidR="00E31D71">
        <w:t>,</w:t>
      </w:r>
      <w:r w:rsidR="00FF1607">
        <w:t xml:space="preserve"> and included in the “total research and development labour expenditure” component of the formula.</w:t>
      </w:r>
    </w:p>
    <w:p w:rsidR="009A385F" w:rsidRDefault="009A385F" w:rsidP="005C4A5B"/>
    <w:p w:rsidR="00B12C0E" w:rsidRPr="00F01512" w:rsidRDefault="00B12C0E" w:rsidP="006777CA">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E3A7C" w:rsidRPr="00F01512">
        <w:rPr>
          <w:b/>
          <w:sz w:val="20"/>
          <w:szCs w:val="20"/>
        </w:rPr>
        <w:t>:</w:t>
      </w:r>
      <w:r w:rsidR="00401330" w:rsidRPr="006777CA">
        <w:rPr>
          <w:b/>
          <w:sz w:val="20"/>
          <w:szCs w:val="20"/>
        </w:rPr>
        <w:t xml:space="preserve"> </w:t>
      </w:r>
      <w:r w:rsidR="003E3A7C" w:rsidRPr="00F01512">
        <w:rPr>
          <w:b/>
          <w:sz w:val="20"/>
          <w:szCs w:val="20"/>
        </w:rPr>
        <w:t>Wage intensity</w:t>
      </w:r>
    </w:p>
    <w:p w:rsidR="00401330" w:rsidRPr="00E17C30" w:rsidRDefault="00401330" w:rsidP="006777CA">
      <w:pPr>
        <w:pBdr>
          <w:top w:val="single" w:sz="4" w:space="10" w:color="auto"/>
          <w:left w:val="single" w:sz="4" w:space="10" w:color="auto"/>
          <w:bottom w:val="single" w:sz="4" w:space="10" w:color="auto"/>
          <w:right w:val="single" w:sz="4" w:space="10" w:color="auto"/>
        </w:pBdr>
        <w:rPr>
          <w:sz w:val="16"/>
          <w:szCs w:val="16"/>
        </w:rPr>
      </w:pPr>
    </w:p>
    <w:p w:rsidR="00781799" w:rsidRDefault="00D8484E"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Mattlab </w:t>
      </w:r>
      <w:r w:rsidR="00B12C0E" w:rsidRPr="006777CA">
        <w:rPr>
          <w:sz w:val="20"/>
          <w:szCs w:val="20"/>
        </w:rPr>
        <w:t xml:space="preserve">Ltd decides </w:t>
      </w:r>
      <w:r w:rsidR="0057560E" w:rsidRPr="006777CA">
        <w:rPr>
          <w:sz w:val="20"/>
          <w:szCs w:val="20"/>
        </w:rPr>
        <w:t>from the beginning of the 20</w:t>
      </w:r>
      <w:r w:rsidR="00DA09AB">
        <w:rPr>
          <w:sz w:val="20"/>
          <w:szCs w:val="20"/>
        </w:rPr>
        <w:t>17</w:t>
      </w:r>
      <w:r w:rsidR="00E31D71">
        <w:rPr>
          <w:sz w:val="20"/>
          <w:szCs w:val="20"/>
        </w:rPr>
        <w:t>–</w:t>
      </w:r>
      <w:r w:rsidR="0057560E" w:rsidRPr="006777CA">
        <w:rPr>
          <w:sz w:val="20"/>
          <w:szCs w:val="20"/>
        </w:rPr>
        <w:t xml:space="preserve">18 income year </w:t>
      </w:r>
      <w:r w:rsidR="00B12C0E" w:rsidRPr="006777CA">
        <w:rPr>
          <w:sz w:val="20"/>
          <w:szCs w:val="20"/>
        </w:rPr>
        <w:t xml:space="preserve">to change its remuneration package for </w:t>
      </w:r>
      <w:r w:rsidR="00483A0A" w:rsidRPr="006777CA">
        <w:rPr>
          <w:sz w:val="20"/>
          <w:szCs w:val="20"/>
        </w:rPr>
        <w:t xml:space="preserve">its </w:t>
      </w:r>
      <w:r w:rsidR="00B9363F">
        <w:rPr>
          <w:sz w:val="20"/>
          <w:szCs w:val="20"/>
        </w:rPr>
        <w:t xml:space="preserve">full-time </w:t>
      </w:r>
      <w:r w:rsidR="00B12C0E" w:rsidRPr="006777CA">
        <w:rPr>
          <w:sz w:val="20"/>
          <w:szCs w:val="20"/>
        </w:rPr>
        <w:t>researchers t</w:t>
      </w:r>
      <w:r w:rsidR="003D5974" w:rsidRPr="006777CA">
        <w:rPr>
          <w:sz w:val="20"/>
          <w:szCs w:val="20"/>
        </w:rPr>
        <w:t>o encourage them to stay in the company’s</w:t>
      </w:r>
      <w:r w:rsidR="0057560E" w:rsidRPr="006777CA">
        <w:rPr>
          <w:sz w:val="20"/>
          <w:szCs w:val="20"/>
        </w:rPr>
        <w:t xml:space="preserve"> employment.  Its</w:t>
      </w:r>
      <w:r w:rsidR="00B12C0E" w:rsidRPr="006777CA">
        <w:rPr>
          <w:sz w:val="20"/>
          <w:szCs w:val="20"/>
        </w:rPr>
        <w:t xml:space="preserve"> </w:t>
      </w:r>
      <w:r w:rsidR="003D5974" w:rsidRPr="006777CA">
        <w:rPr>
          <w:sz w:val="20"/>
          <w:szCs w:val="20"/>
        </w:rPr>
        <w:t xml:space="preserve">two </w:t>
      </w:r>
      <w:r w:rsidR="00B12C0E" w:rsidRPr="006777CA">
        <w:rPr>
          <w:sz w:val="20"/>
          <w:szCs w:val="20"/>
        </w:rPr>
        <w:t>research scientists</w:t>
      </w:r>
      <w:r w:rsidR="00483A0A" w:rsidRPr="006777CA">
        <w:rPr>
          <w:sz w:val="20"/>
          <w:szCs w:val="20"/>
        </w:rPr>
        <w:t>,</w:t>
      </w:r>
      <w:r w:rsidR="00B12C0E" w:rsidRPr="006777CA">
        <w:rPr>
          <w:sz w:val="20"/>
          <w:szCs w:val="20"/>
        </w:rPr>
        <w:t xml:space="preserve"> </w:t>
      </w:r>
      <w:r w:rsidR="00483A0A" w:rsidRPr="006777CA">
        <w:rPr>
          <w:sz w:val="20"/>
          <w:szCs w:val="20"/>
        </w:rPr>
        <w:t>doing</w:t>
      </w:r>
      <w:r w:rsidR="00B12C0E" w:rsidRPr="006777CA">
        <w:rPr>
          <w:sz w:val="20"/>
          <w:szCs w:val="20"/>
        </w:rPr>
        <w:t xml:space="preserve"> research and development full</w:t>
      </w:r>
      <w:r w:rsidR="00BA6998" w:rsidRPr="006777CA">
        <w:rPr>
          <w:sz w:val="20"/>
          <w:szCs w:val="20"/>
        </w:rPr>
        <w:t>-</w:t>
      </w:r>
      <w:r w:rsidR="00B12C0E" w:rsidRPr="006777CA">
        <w:rPr>
          <w:sz w:val="20"/>
          <w:szCs w:val="20"/>
        </w:rPr>
        <w:t>time</w:t>
      </w:r>
      <w:r w:rsidR="00483A0A" w:rsidRPr="006777CA">
        <w:rPr>
          <w:sz w:val="20"/>
          <w:szCs w:val="20"/>
        </w:rPr>
        <w:t>,</w:t>
      </w:r>
      <w:r w:rsidR="00B12C0E" w:rsidRPr="006777CA">
        <w:rPr>
          <w:sz w:val="20"/>
          <w:szCs w:val="20"/>
        </w:rPr>
        <w:t xml:space="preserve"> are each paid $100,000/year </w:t>
      </w:r>
      <w:r w:rsidR="00483A0A" w:rsidRPr="006777CA">
        <w:rPr>
          <w:sz w:val="20"/>
          <w:szCs w:val="20"/>
        </w:rPr>
        <w:t xml:space="preserve">and </w:t>
      </w:r>
      <w:r w:rsidR="00B12C0E" w:rsidRPr="006777CA">
        <w:rPr>
          <w:sz w:val="20"/>
          <w:szCs w:val="20"/>
        </w:rPr>
        <w:t>will receive s</w:t>
      </w:r>
      <w:r w:rsidR="0057560E" w:rsidRPr="006777CA">
        <w:rPr>
          <w:sz w:val="20"/>
          <w:szCs w:val="20"/>
        </w:rPr>
        <w:t>uperannuation contributions</w:t>
      </w:r>
      <w:r w:rsidR="00310BEB">
        <w:rPr>
          <w:sz w:val="20"/>
          <w:szCs w:val="20"/>
        </w:rPr>
        <w:t xml:space="preserve"> </w:t>
      </w:r>
      <w:r w:rsidR="00D73500">
        <w:rPr>
          <w:sz w:val="20"/>
          <w:szCs w:val="20"/>
        </w:rPr>
        <w:t xml:space="preserve"> </w:t>
      </w:r>
      <w:r w:rsidR="0057560E" w:rsidRPr="006777CA">
        <w:rPr>
          <w:sz w:val="20"/>
          <w:szCs w:val="20"/>
        </w:rPr>
        <w:t>of 5</w:t>
      </w:r>
      <w:r w:rsidR="00BA6998" w:rsidRPr="006777CA">
        <w:rPr>
          <w:sz w:val="20"/>
          <w:szCs w:val="20"/>
        </w:rPr>
        <w:t xml:space="preserve"> percent</w:t>
      </w:r>
      <w:r w:rsidR="00B12C0E" w:rsidRPr="006777CA">
        <w:rPr>
          <w:sz w:val="20"/>
          <w:szCs w:val="20"/>
        </w:rPr>
        <w:t xml:space="preserve"> of their income for each </w:t>
      </w:r>
      <w:r w:rsidR="0057560E" w:rsidRPr="006777CA">
        <w:rPr>
          <w:sz w:val="20"/>
          <w:szCs w:val="20"/>
        </w:rPr>
        <w:t>y</w:t>
      </w:r>
      <w:r w:rsidR="00B12C0E" w:rsidRPr="006777CA">
        <w:rPr>
          <w:sz w:val="20"/>
          <w:szCs w:val="20"/>
        </w:rPr>
        <w:t>ear of service with th</w:t>
      </w:r>
      <w:r w:rsidR="003D5974" w:rsidRPr="006777CA">
        <w:rPr>
          <w:sz w:val="20"/>
          <w:szCs w:val="20"/>
        </w:rPr>
        <w:t>e company (up to a maximum of 15</w:t>
      </w:r>
      <w:r w:rsidR="00BA6998" w:rsidRPr="006777CA">
        <w:rPr>
          <w:sz w:val="20"/>
          <w:szCs w:val="20"/>
        </w:rPr>
        <w:t xml:space="preserve"> percent</w:t>
      </w:r>
      <w:r w:rsidR="00A75515" w:rsidRPr="006777CA">
        <w:rPr>
          <w:sz w:val="20"/>
          <w:szCs w:val="20"/>
        </w:rPr>
        <w:t xml:space="preserve">).  </w:t>
      </w:r>
      <w:r w:rsidR="0057560E" w:rsidRPr="006777CA">
        <w:rPr>
          <w:sz w:val="20"/>
          <w:szCs w:val="20"/>
        </w:rPr>
        <w:t>Both have been with the company for two years.  Thirteen</w:t>
      </w:r>
      <w:r w:rsidR="000C60C8" w:rsidRPr="006777CA">
        <w:rPr>
          <w:sz w:val="20"/>
          <w:szCs w:val="20"/>
        </w:rPr>
        <w:t xml:space="preserve"> </w:t>
      </w:r>
      <w:r w:rsidR="00B12C0E" w:rsidRPr="006777CA">
        <w:rPr>
          <w:sz w:val="20"/>
          <w:szCs w:val="20"/>
        </w:rPr>
        <w:t xml:space="preserve">other staff are </w:t>
      </w:r>
      <w:r w:rsidR="0057560E" w:rsidRPr="006777CA">
        <w:rPr>
          <w:sz w:val="20"/>
          <w:szCs w:val="20"/>
        </w:rPr>
        <w:t>paid $1,040,000 in total</w:t>
      </w:r>
      <w:r w:rsidR="000C60C8" w:rsidRPr="006777CA">
        <w:rPr>
          <w:sz w:val="20"/>
          <w:szCs w:val="20"/>
        </w:rPr>
        <w:t>, and the CEO who spends one day a week doing research and development</w:t>
      </w:r>
      <w:r w:rsidR="00DE217E" w:rsidRPr="006777CA">
        <w:rPr>
          <w:sz w:val="20"/>
          <w:szCs w:val="20"/>
        </w:rPr>
        <w:t>,</w:t>
      </w:r>
      <w:r w:rsidR="000C60C8" w:rsidRPr="006777CA">
        <w:rPr>
          <w:sz w:val="20"/>
          <w:szCs w:val="20"/>
        </w:rPr>
        <w:t xml:space="preserve"> is paid $120,000.</w:t>
      </w:r>
      <w:r w:rsidR="00DE217E" w:rsidRPr="006777CA">
        <w:rPr>
          <w:sz w:val="20"/>
          <w:szCs w:val="20"/>
        </w:rPr>
        <w:t xml:space="preserve"> </w:t>
      </w:r>
      <w:r w:rsidR="000C60C8" w:rsidRPr="006777CA">
        <w:rPr>
          <w:sz w:val="20"/>
          <w:szCs w:val="20"/>
        </w:rPr>
        <w:t xml:space="preserve"> </w:t>
      </w:r>
      <w:r w:rsidRPr="006777CA">
        <w:rPr>
          <w:sz w:val="20"/>
          <w:szCs w:val="20"/>
        </w:rPr>
        <w:t>Mattlab</w:t>
      </w:r>
      <w:r w:rsidR="003D5974" w:rsidRPr="006777CA">
        <w:rPr>
          <w:sz w:val="20"/>
          <w:szCs w:val="20"/>
        </w:rPr>
        <w:t xml:space="preserve"> Ltd has outsourced some research and development work f</w:t>
      </w:r>
      <w:r w:rsidR="005629B3" w:rsidRPr="006777CA">
        <w:rPr>
          <w:sz w:val="20"/>
          <w:szCs w:val="20"/>
        </w:rPr>
        <w:t>or that year for a price of $75</w:t>
      </w:r>
      <w:r w:rsidR="003D5974" w:rsidRPr="006777CA">
        <w:rPr>
          <w:sz w:val="20"/>
          <w:szCs w:val="20"/>
        </w:rPr>
        <w:t>,000</w:t>
      </w:r>
      <w:r w:rsidR="00B9363F">
        <w:rPr>
          <w:sz w:val="20"/>
          <w:szCs w:val="20"/>
        </w:rPr>
        <w:t xml:space="preserve"> (excluding GST)</w:t>
      </w:r>
      <w:r w:rsidR="003D5974" w:rsidRPr="006777CA">
        <w:rPr>
          <w:sz w:val="20"/>
          <w:szCs w:val="20"/>
        </w:rPr>
        <w:t>.</w:t>
      </w:r>
    </w:p>
    <w:p w:rsidR="00E17C30" w:rsidRPr="00E17C30" w:rsidRDefault="00E17C30" w:rsidP="006777CA">
      <w:pPr>
        <w:pBdr>
          <w:top w:val="single" w:sz="4" w:space="10" w:color="auto"/>
          <w:left w:val="single" w:sz="4" w:space="10" w:color="auto"/>
          <w:bottom w:val="single" w:sz="4" w:space="10" w:color="auto"/>
          <w:right w:val="single" w:sz="4" w:space="10" w:color="auto"/>
        </w:pBdr>
        <w:rPr>
          <w:sz w:val="16"/>
          <w:szCs w:val="16"/>
        </w:rPr>
      </w:pPr>
    </w:p>
    <w:p w:rsidR="005629B3" w:rsidRPr="006777CA" w:rsidRDefault="003D5974"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The wage intensity calculation</w:t>
      </w:r>
      <w:r w:rsidR="005629B3" w:rsidRPr="006777CA">
        <w:rPr>
          <w:sz w:val="20"/>
          <w:szCs w:val="20"/>
        </w:rPr>
        <w:t>s for the 20</w:t>
      </w:r>
      <w:r w:rsidR="00DA09AB">
        <w:rPr>
          <w:sz w:val="20"/>
          <w:szCs w:val="20"/>
        </w:rPr>
        <w:t>17</w:t>
      </w:r>
      <w:r w:rsidR="00E31D71">
        <w:rPr>
          <w:sz w:val="20"/>
          <w:szCs w:val="20"/>
        </w:rPr>
        <w:t>–</w:t>
      </w:r>
      <w:r w:rsidR="005629B3" w:rsidRPr="006777CA">
        <w:rPr>
          <w:sz w:val="20"/>
          <w:szCs w:val="20"/>
        </w:rPr>
        <w:t>18 year are:</w:t>
      </w:r>
    </w:p>
    <w:p w:rsidR="00DE217E" w:rsidRPr="00E17C30" w:rsidRDefault="00DE217E" w:rsidP="006777CA">
      <w:pPr>
        <w:pBdr>
          <w:top w:val="single" w:sz="4" w:space="10" w:color="auto"/>
          <w:left w:val="single" w:sz="4" w:space="10" w:color="auto"/>
          <w:bottom w:val="single" w:sz="4" w:space="10" w:color="auto"/>
          <w:right w:val="single" w:sz="4" w:space="10" w:color="auto"/>
        </w:pBdr>
        <w:rPr>
          <w:sz w:val="16"/>
          <w:szCs w:val="16"/>
        </w:rPr>
      </w:pPr>
    </w:p>
    <w:p w:rsidR="003D5974" w:rsidRPr="00F01512" w:rsidRDefault="005629B3" w:rsidP="006777CA">
      <w:pPr>
        <w:pBdr>
          <w:top w:val="single" w:sz="4" w:space="10" w:color="auto"/>
          <w:left w:val="single" w:sz="4" w:space="10" w:color="auto"/>
          <w:bottom w:val="single" w:sz="4" w:space="10" w:color="auto"/>
          <w:right w:val="single" w:sz="4" w:space="10" w:color="auto"/>
        </w:pBdr>
        <w:rPr>
          <w:b/>
          <w:i/>
          <w:sz w:val="20"/>
          <w:szCs w:val="20"/>
        </w:rPr>
      </w:pPr>
      <w:r w:rsidRPr="00F01512">
        <w:rPr>
          <w:b/>
          <w:i/>
          <w:sz w:val="20"/>
          <w:szCs w:val="20"/>
        </w:rPr>
        <w:t>Option 1</w:t>
      </w:r>
    </w:p>
    <w:p w:rsidR="00DE217E" w:rsidRPr="00E17C30" w:rsidRDefault="00DE217E" w:rsidP="006777CA">
      <w:pPr>
        <w:pBdr>
          <w:top w:val="single" w:sz="4" w:space="10" w:color="auto"/>
          <w:left w:val="single" w:sz="4" w:space="10" w:color="auto"/>
          <w:bottom w:val="single" w:sz="4" w:space="10" w:color="auto"/>
          <w:right w:val="single" w:sz="4" w:space="10" w:color="auto"/>
        </w:pBdr>
        <w:rPr>
          <w:sz w:val="16"/>
          <w:szCs w:val="16"/>
        </w:rPr>
      </w:pPr>
    </w:p>
    <w:p w:rsidR="00483A0A" w:rsidRPr="006777CA" w:rsidRDefault="00483A0A"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Total </w:t>
      </w:r>
      <w:r w:rsidR="00BD3506" w:rsidRPr="006777CA">
        <w:rPr>
          <w:sz w:val="20"/>
          <w:szCs w:val="20"/>
        </w:rPr>
        <w:t>research and development</w:t>
      </w:r>
      <w:r w:rsidRPr="006777CA">
        <w:rPr>
          <w:sz w:val="20"/>
          <w:szCs w:val="20"/>
        </w:rPr>
        <w:t xml:space="preserve"> labour expenditure is $273,500 [($75,000</w:t>
      </w:r>
      <w:r w:rsidR="00B9363F">
        <w:rPr>
          <w:sz w:val="20"/>
          <w:szCs w:val="20"/>
        </w:rPr>
        <w:t xml:space="preserve"> </w:t>
      </w:r>
      <w:r w:rsidRPr="006777CA">
        <w:rPr>
          <w:sz w:val="20"/>
          <w:szCs w:val="20"/>
        </w:rPr>
        <w:t>*</w:t>
      </w:r>
      <w:r w:rsidR="00B9363F">
        <w:rPr>
          <w:sz w:val="20"/>
          <w:szCs w:val="20"/>
        </w:rPr>
        <w:t xml:space="preserve"> </w:t>
      </w:r>
      <w:r w:rsidRPr="006777CA">
        <w:rPr>
          <w:sz w:val="20"/>
          <w:szCs w:val="20"/>
        </w:rPr>
        <w:t>0.66)</w:t>
      </w:r>
      <w:r w:rsidR="000831CE" w:rsidRPr="006777CA">
        <w:rPr>
          <w:sz w:val="20"/>
          <w:szCs w:val="20"/>
        </w:rPr>
        <w:t xml:space="preserve"> </w:t>
      </w:r>
      <w:r w:rsidRPr="006777CA">
        <w:rPr>
          <w:sz w:val="20"/>
          <w:szCs w:val="20"/>
        </w:rPr>
        <w:t>+</w:t>
      </w:r>
      <w:r w:rsidR="000831CE" w:rsidRPr="006777CA">
        <w:rPr>
          <w:sz w:val="20"/>
          <w:szCs w:val="20"/>
        </w:rPr>
        <w:t xml:space="preserve"> </w:t>
      </w:r>
      <w:r w:rsidRPr="006777CA">
        <w:rPr>
          <w:sz w:val="20"/>
          <w:szCs w:val="20"/>
        </w:rPr>
        <w:t>$200,000 + ($120,000</w:t>
      </w:r>
      <w:r w:rsidR="00B9363F">
        <w:rPr>
          <w:sz w:val="20"/>
          <w:szCs w:val="20"/>
        </w:rPr>
        <w:t xml:space="preserve"> </w:t>
      </w:r>
      <w:r w:rsidRPr="006777CA">
        <w:rPr>
          <w:sz w:val="20"/>
          <w:szCs w:val="20"/>
        </w:rPr>
        <w:t>*</w:t>
      </w:r>
      <w:r w:rsidR="00B9363F">
        <w:rPr>
          <w:sz w:val="20"/>
          <w:szCs w:val="20"/>
        </w:rPr>
        <w:t xml:space="preserve"> </w:t>
      </w:r>
      <w:r w:rsidRPr="006777CA">
        <w:rPr>
          <w:sz w:val="20"/>
          <w:szCs w:val="20"/>
        </w:rPr>
        <w:t xml:space="preserve">0.2)] </w:t>
      </w:r>
    </w:p>
    <w:p w:rsidR="000831CE" w:rsidRPr="00E17C30" w:rsidRDefault="000831CE" w:rsidP="006777CA">
      <w:pPr>
        <w:pBdr>
          <w:top w:val="single" w:sz="4" w:space="10" w:color="auto"/>
          <w:left w:val="single" w:sz="4" w:space="10" w:color="auto"/>
          <w:bottom w:val="single" w:sz="4" w:space="10" w:color="auto"/>
          <w:right w:val="single" w:sz="4" w:space="10" w:color="auto"/>
        </w:pBdr>
        <w:rPr>
          <w:sz w:val="16"/>
          <w:szCs w:val="16"/>
        </w:rPr>
      </w:pPr>
    </w:p>
    <w:p w:rsidR="00483A0A" w:rsidRPr="006777CA" w:rsidRDefault="00483A0A"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Total labour expenditure is </w:t>
      </w:r>
      <w:r w:rsidR="00577221">
        <w:rPr>
          <w:sz w:val="20"/>
          <w:szCs w:val="20"/>
        </w:rPr>
        <w:t>$1,409,500</w:t>
      </w:r>
      <w:r w:rsidRPr="006777CA">
        <w:rPr>
          <w:sz w:val="20"/>
          <w:szCs w:val="20"/>
        </w:rPr>
        <w:t xml:space="preserve"> [($75,000</w:t>
      </w:r>
      <w:r w:rsidR="00B9363F">
        <w:rPr>
          <w:sz w:val="20"/>
          <w:szCs w:val="20"/>
        </w:rPr>
        <w:t xml:space="preserve"> </w:t>
      </w:r>
      <w:r w:rsidRPr="006777CA">
        <w:rPr>
          <w:sz w:val="20"/>
          <w:szCs w:val="20"/>
        </w:rPr>
        <w:t>*</w:t>
      </w:r>
      <w:r w:rsidR="00B9363F">
        <w:rPr>
          <w:sz w:val="20"/>
          <w:szCs w:val="20"/>
        </w:rPr>
        <w:t xml:space="preserve"> </w:t>
      </w:r>
      <w:r w:rsidRPr="006777CA">
        <w:rPr>
          <w:sz w:val="20"/>
          <w:szCs w:val="20"/>
        </w:rPr>
        <w:t>0.66) +</w:t>
      </w:r>
      <w:r w:rsidR="000831CE" w:rsidRPr="006777CA">
        <w:rPr>
          <w:sz w:val="20"/>
          <w:szCs w:val="20"/>
        </w:rPr>
        <w:t xml:space="preserve"> </w:t>
      </w:r>
      <w:r w:rsidRPr="006777CA">
        <w:rPr>
          <w:sz w:val="20"/>
          <w:szCs w:val="20"/>
        </w:rPr>
        <w:t>($200,000</w:t>
      </w:r>
      <w:r w:rsidR="000831CE" w:rsidRPr="006777CA">
        <w:rPr>
          <w:sz w:val="20"/>
          <w:szCs w:val="20"/>
        </w:rPr>
        <w:t xml:space="preserve"> </w:t>
      </w:r>
      <w:r w:rsidRPr="006777CA">
        <w:rPr>
          <w:sz w:val="20"/>
          <w:szCs w:val="20"/>
        </w:rPr>
        <w:t>+</w:t>
      </w:r>
      <w:r w:rsidR="000831CE" w:rsidRPr="006777CA">
        <w:rPr>
          <w:sz w:val="20"/>
          <w:szCs w:val="20"/>
        </w:rPr>
        <w:t xml:space="preserve"> </w:t>
      </w:r>
      <w:r w:rsidRPr="006777CA">
        <w:rPr>
          <w:sz w:val="20"/>
          <w:szCs w:val="20"/>
        </w:rPr>
        <w:t>1,040,000) + $120,000]</w:t>
      </w:r>
    </w:p>
    <w:p w:rsidR="000831CE" w:rsidRPr="00E17C30" w:rsidRDefault="000831CE" w:rsidP="006777CA">
      <w:pPr>
        <w:pBdr>
          <w:top w:val="single" w:sz="4" w:space="10" w:color="auto"/>
          <w:left w:val="single" w:sz="4" w:space="10" w:color="auto"/>
          <w:bottom w:val="single" w:sz="4" w:space="10" w:color="auto"/>
          <w:right w:val="single" w:sz="4" w:space="10" w:color="auto"/>
        </w:pBdr>
        <w:rPr>
          <w:sz w:val="16"/>
          <w:szCs w:val="16"/>
        </w:rPr>
      </w:pPr>
    </w:p>
    <w:p w:rsidR="00483A0A" w:rsidRPr="006777CA" w:rsidRDefault="00483A0A"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The wage intensity calculation is $273,500</w:t>
      </w:r>
      <w:r w:rsidR="000831CE" w:rsidRPr="006777CA">
        <w:rPr>
          <w:sz w:val="20"/>
          <w:szCs w:val="20"/>
        </w:rPr>
        <w:t xml:space="preserve"> </w:t>
      </w:r>
      <w:r w:rsidRPr="006777CA">
        <w:rPr>
          <w:sz w:val="20"/>
          <w:szCs w:val="20"/>
        </w:rPr>
        <w:t>÷</w:t>
      </w:r>
      <w:r w:rsidR="000831CE" w:rsidRPr="006777CA">
        <w:rPr>
          <w:sz w:val="20"/>
          <w:szCs w:val="20"/>
        </w:rPr>
        <w:t xml:space="preserve"> </w:t>
      </w:r>
      <w:r w:rsidRPr="006777CA">
        <w:rPr>
          <w:sz w:val="20"/>
          <w:szCs w:val="20"/>
        </w:rPr>
        <w:t>$1</w:t>
      </w:r>
      <w:r w:rsidR="00D8484E" w:rsidRPr="006777CA">
        <w:rPr>
          <w:sz w:val="20"/>
          <w:szCs w:val="20"/>
        </w:rPr>
        <w:t>,</w:t>
      </w:r>
      <w:r w:rsidRPr="006777CA">
        <w:rPr>
          <w:sz w:val="20"/>
          <w:szCs w:val="20"/>
        </w:rPr>
        <w:t>409,500</w:t>
      </w:r>
      <w:r w:rsidR="000831CE" w:rsidRPr="006777CA">
        <w:rPr>
          <w:sz w:val="20"/>
          <w:szCs w:val="20"/>
        </w:rPr>
        <w:t xml:space="preserve"> </w:t>
      </w:r>
      <w:r w:rsidRPr="006777CA">
        <w:rPr>
          <w:sz w:val="20"/>
          <w:szCs w:val="20"/>
        </w:rPr>
        <w:t>=</w:t>
      </w:r>
      <w:r w:rsidR="000831CE" w:rsidRPr="006777CA">
        <w:rPr>
          <w:sz w:val="20"/>
          <w:szCs w:val="20"/>
        </w:rPr>
        <w:t xml:space="preserve"> </w:t>
      </w:r>
      <w:r w:rsidRPr="006777CA">
        <w:rPr>
          <w:sz w:val="20"/>
          <w:szCs w:val="20"/>
        </w:rPr>
        <w:t>0.194</w:t>
      </w:r>
    </w:p>
    <w:p w:rsidR="00483A0A" w:rsidRPr="00E17C30" w:rsidRDefault="00483A0A" w:rsidP="006777CA">
      <w:pPr>
        <w:pBdr>
          <w:top w:val="single" w:sz="4" w:space="10" w:color="auto"/>
          <w:left w:val="single" w:sz="4" w:space="10" w:color="auto"/>
          <w:bottom w:val="single" w:sz="4" w:space="10" w:color="auto"/>
          <w:right w:val="single" w:sz="4" w:space="10" w:color="auto"/>
        </w:pBdr>
        <w:rPr>
          <w:sz w:val="16"/>
          <w:szCs w:val="16"/>
        </w:rPr>
      </w:pPr>
    </w:p>
    <w:p w:rsidR="00483A0A" w:rsidRPr="00F01512" w:rsidRDefault="00483A0A" w:rsidP="006777CA">
      <w:pPr>
        <w:pBdr>
          <w:top w:val="single" w:sz="4" w:space="10" w:color="auto"/>
          <w:left w:val="single" w:sz="4" w:space="10" w:color="auto"/>
          <w:bottom w:val="single" w:sz="4" w:space="10" w:color="auto"/>
          <w:right w:val="single" w:sz="4" w:space="10" w:color="auto"/>
        </w:pBdr>
        <w:rPr>
          <w:b/>
          <w:i/>
          <w:sz w:val="20"/>
          <w:szCs w:val="20"/>
        </w:rPr>
      </w:pPr>
      <w:r w:rsidRPr="00F01512">
        <w:rPr>
          <w:b/>
          <w:i/>
          <w:sz w:val="20"/>
          <w:szCs w:val="20"/>
        </w:rPr>
        <w:t>Option 2</w:t>
      </w:r>
    </w:p>
    <w:p w:rsidR="000831CE" w:rsidRPr="00E17C30" w:rsidRDefault="000831CE" w:rsidP="006777CA">
      <w:pPr>
        <w:pBdr>
          <w:top w:val="single" w:sz="4" w:space="10" w:color="auto"/>
          <w:left w:val="single" w:sz="4" w:space="10" w:color="auto"/>
          <w:bottom w:val="single" w:sz="4" w:space="10" w:color="auto"/>
          <w:right w:val="single" w:sz="4" w:space="10" w:color="auto"/>
        </w:pBdr>
        <w:rPr>
          <w:sz w:val="16"/>
          <w:szCs w:val="16"/>
        </w:rPr>
      </w:pPr>
    </w:p>
    <w:p w:rsidR="000831CE" w:rsidRPr="006777CA" w:rsidRDefault="003D5974"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Total </w:t>
      </w:r>
      <w:r w:rsidR="000831CE" w:rsidRPr="006777CA">
        <w:rPr>
          <w:sz w:val="20"/>
          <w:szCs w:val="20"/>
        </w:rPr>
        <w:t>research and development</w:t>
      </w:r>
      <w:r w:rsidRPr="006777CA">
        <w:rPr>
          <w:sz w:val="20"/>
          <w:szCs w:val="20"/>
        </w:rPr>
        <w:t xml:space="preserve"> labour expendit</w:t>
      </w:r>
      <w:r w:rsidR="005629B3" w:rsidRPr="006777CA">
        <w:rPr>
          <w:sz w:val="20"/>
          <w:szCs w:val="20"/>
        </w:rPr>
        <w:t>ure is $</w:t>
      </w:r>
      <w:r w:rsidR="008D641E">
        <w:rPr>
          <w:sz w:val="20"/>
          <w:szCs w:val="20"/>
        </w:rPr>
        <w:t>300</w:t>
      </w:r>
      <w:r w:rsidR="005629B3" w:rsidRPr="006777CA">
        <w:rPr>
          <w:sz w:val="20"/>
          <w:szCs w:val="20"/>
        </w:rPr>
        <w:t>,</w:t>
      </w:r>
      <w:r w:rsidR="008D641E">
        <w:rPr>
          <w:sz w:val="20"/>
          <w:szCs w:val="20"/>
        </w:rPr>
        <w:t>100</w:t>
      </w:r>
      <w:r w:rsidR="005629B3" w:rsidRPr="006777CA">
        <w:rPr>
          <w:sz w:val="20"/>
          <w:szCs w:val="20"/>
        </w:rPr>
        <w:t xml:space="preserve"> [($75,000</w:t>
      </w:r>
      <w:r w:rsidR="00B9363F">
        <w:rPr>
          <w:sz w:val="20"/>
          <w:szCs w:val="20"/>
        </w:rPr>
        <w:t xml:space="preserve"> </w:t>
      </w:r>
      <w:r w:rsidR="005629B3" w:rsidRPr="006777CA">
        <w:rPr>
          <w:sz w:val="20"/>
          <w:szCs w:val="20"/>
        </w:rPr>
        <w:t>*</w:t>
      </w:r>
      <w:r w:rsidR="00B9363F">
        <w:rPr>
          <w:sz w:val="20"/>
          <w:szCs w:val="20"/>
        </w:rPr>
        <w:t xml:space="preserve"> </w:t>
      </w:r>
      <w:r w:rsidR="005629B3" w:rsidRPr="006777CA">
        <w:rPr>
          <w:sz w:val="20"/>
          <w:szCs w:val="20"/>
        </w:rPr>
        <w:t>0.66) +</w:t>
      </w:r>
      <w:r w:rsidR="000831CE" w:rsidRPr="006777CA">
        <w:rPr>
          <w:sz w:val="20"/>
          <w:szCs w:val="20"/>
        </w:rPr>
        <w:t xml:space="preserve"> </w:t>
      </w:r>
      <w:r w:rsidR="005629B3" w:rsidRPr="006777CA">
        <w:rPr>
          <w:sz w:val="20"/>
          <w:szCs w:val="20"/>
        </w:rPr>
        <w:t>($</w:t>
      </w:r>
      <w:r w:rsidR="008D641E">
        <w:rPr>
          <w:sz w:val="20"/>
          <w:szCs w:val="20"/>
        </w:rPr>
        <w:t>200</w:t>
      </w:r>
      <w:r w:rsidR="005629B3" w:rsidRPr="006777CA">
        <w:rPr>
          <w:sz w:val="20"/>
          <w:szCs w:val="20"/>
        </w:rPr>
        <w:t>,000</w:t>
      </w:r>
      <w:r w:rsidRPr="006777CA">
        <w:rPr>
          <w:sz w:val="20"/>
          <w:szCs w:val="20"/>
        </w:rPr>
        <w:t xml:space="preserve">) + </w:t>
      </w:r>
      <w:r w:rsidR="008D641E">
        <w:rPr>
          <w:sz w:val="20"/>
          <w:szCs w:val="20"/>
        </w:rPr>
        <w:t xml:space="preserve">$20,000 + $6,600 + </w:t>
      </w:r>
      <w:r w:rsidRPr="006777CA">
        <w:rPr>
          <w:sz w:val="20"/>
          <w:szCs w:val="20"/>
        </w:rPr>
        <w:t>($</w:t>
      </w:r>
      <w:r w:rsidR="005629B3" w:rsidRPr="006777CA">
        <w:rPr>
          <w:sz w:val="20"/>
          <w:szCs w:val="20"/>
        </w:rPr>
        <w:t>120,</w:t>
      </w:r>
      <w:r w:rsidRPr="006777CA">
        <w:rPr>
          <w:sz w:val="20"/>
          <w:szCs w:val="20"/>
        </w:rPr>
        <w:t>000</w:t>
      </w:r>
      <w:r w:rsidR="00B9363F">
        <w:rPr>
          <w:sz w:val="20"/>
          <w:szCs w:val="20"/>
        </w:rPr>
        <w:t xml:space="preserve"> </w:t>
      </w:r>
      <w:r w:rsidR="005629B3" w:rsidRPr="006777CA">
        <w:rPr>
          <w:sz w:val="20"/>
          <w:szCs w:val="20"/>
        </w:rPr>
        <w:t>*</w:t>
      </w:r>
      <w:r w:rsidR="00B9363F">
        <w:rPr>
          <w:sz w:val="20"/>
          <w:szCs w:val="20"/>
        </w:rPr>
        <w:t xml:space="preserve"> </w:t>
      </w:r>
      <w:r w:rsidR="005629B3" w:rsidRPr="006777CA">
        <w:rPr>
          <w:sz w:val="20"/>
          <w:szCs w:val="20"/>
        </w:rPr>
        <w:t>0.2</w:t>
      </w:r>
      <w:r w:rsidRPr="006777CA">
        <w:rPr>
          <w:sz w:val="20"/>
          <w:szCs w:val="20"/>
        </w:rPr>
        <w:t>)</w:t>
      </w:r>
      <w:r w:rsidR="005629B3" w:rsidRPr="006777CA">
        <w:rPr>
          <w:sz w:val="20"/>
          <w:szCs w:val="20"/>
        </w:rPr>
        <w:t>]</w:t>
      </w:r>
    </w:p>
    <w:p w:rsidR="003D5974" w:rsidRPr="00E17C30" w:rsidRDefault="003D5974" w:rsidP="006777CA">
      <w:pPr>
        <w:pBdr>
          <w:top w:val="single" w:sz="4" w:space="10" w:color="auto"/>
          <w:left w:val="single" w:sz="4" w:space="10" w:color="auto"/>
          <w:bottom w:val="single" w:sz="4" w:space="10" w:color="auto"/>
          <w:right w:val="single" w:sz="4" w:space="10" w:color="auto"/>
        </w:pBdr>
        <w:rPr>
          <w:sz w:val="16"/>
          <w:szCs w:val="16"/>
        </w:rPr>
      </w:pPr>
    </w:p>
    <w:p w:rsidR="003D5974" w:rsidRPr="006777CA" w:rsidRDefault="003D5974"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Total labour expenditure is $</w:t>
      </w:r>
      <w:r w:rsidR="00483A0A" w:rsidRPr="006777CA">
        <w:rPr>
          <w:sz w:val="20"/>
          <w:szCs w:val="20"/>
        </w:rPr>
        <w:t>1,4</w:t>
      </w:r>
      <w:r w:rsidR="00D36D7C">
        <w:rPr>
          <w:sz w:val="20"/>
          <w:szCs w:val="20"/>
        </w:rPr>
        <w:t>36</w:t>
      </w:r>
      <w:r w:rsidR="00483A0A" w:rsidRPr="006777CA">
        <w:rPr>
          <w:sz w:val="20"/>
          <w:szCs w:val="20"/>
        </w:rPr>
        <w:t>,</w:t>
      </w:r>
      <w:r w:rsidR="00D36D7C">
        <w:rPr>
          <w:sz w:val="20"/>
          <w:szCs w:val="20"/>
        </w:rPr>
        <w:t>1</w:t>
      </w:r>
      <w:r w:rsidR="00483A0A" w:rsidRPr="006777CA">
        <w:rPr>
          <w:sz w:val="20"/>
          <w:szCs w:val="20"/>
        </w:rPr>
        <w:t>00</w:t>
      </w:r>
      <w:r w:rsidR="005629B3" w:rsidRPr="006777CA">
        <w:rPr>
          <w:sz w:val="20"/>
          <w:szCs w:val="20"/>
        </w:rPr>
        <w:t xml:space="preserve"> [($75,000</w:t>
      </w:r>
      <w:r w:rsidR="00B9363F">
        <w:rPr>
          <w:sz w:val="20"/>
          <w:szCs w:val="20"/>
        </w:rPr>
        <w:t xml:space="preserve"> </w:t>
      </w:r>
      <w:r w:rsidR="005629B3" w:rsidRPr="006777CA">
        <w:rPr>
          <w:sz w:val="20"/>
          <w:szCs w:val="20"/>
        </w:rPr>
        <w:t>*</w:t>
      </w:r>
      <w:r w:rsidR="00B9363F">
        <w:rPr>
          <w:sz w:val="20"/>
          <w:szCs w:val="20"/>
        </w:rPr>
        <w:t xml:space="preserve"> </w:t>
      </w:r>
      <w:r w:rsidR="005629B3" w:rsidRPr="006777CA">
        <w:rPr>
          <w:sz w:val="20"/>
          <w:szCs w:val="20"/>
        </w:rPr>
        <w:t>0.66) +</w:t>
      </w:r>
      <w:r w:rsidR="000831CE" w:rsidRPr="006777CA">
        <w:rPr>
          <w:sz w:val="20"/>
          <w:szCs w:val="20"/>
        </w:rPr>
        <w:t xml:space="preserve"> </w:t>
      </w:r>
      <w:r w:rsidR="005629B3" w:rsidRPr="006777CA">
        <w:rPr>
          <w:sz w:val="20"/>
          <w:szCs w:val="20"/>
        </w:rPr>
        <w:t>$2</w:t>
      </w:r>
      <w:r w:rsidR="00D36D7C">
        <w:rPr>
          <w:sz w:val="20"/>
          <w:szCs w:val="20"/>
        </w:rPr>
        <w:t>0</w:t>
      </w:r>
      <w:r w:rsidR="005629B3" w:rsidRPr="006777CA">
        <w:rPr>
          <w:sz w:val="20"/>
          <w:szCs w:val="20"/>
        </w:rPr>
        <w:t>0,000 +</w:t>
      </w:r>
      <w:r w:rsidR="000831CE" w:rsidRPr="006777CA">
        <w:rPr>
          <w:sz w:val="20"/>
          <w:szCs w:val="20"/>
        </w:rPr>
        <w:t xml:space="preserve"> </w:t>
      </w:r>
      <w:r w:rsidR="00D36D7C">
        <w:rPr>
          <w:sz w:val="20"/>
          <w:szCs w:val="20"/>
        </w:rPr>
        <w:t xml:space="preserve">$20,000 + $6,600 + </w:t>
      </w:r>
      <w:r w:rsidR="000831CE" w:rsidRPr="006777CA">
        <w:rPr>
          <w:sz w:val="20"/>
          <w:szCs w:val="20"/>
        </w:rPr>
        <w:t>$</w:t>
      </w:r>
      <w:r w:rsidR="005629B3" w:rsidRPr="006777CA">
        <w:rPr>
          <w:sz w:val="20"/>
          <w:szCs w:val="20"/>
        </w:rPr>
        <w:t>1,040,000 + $120,000)]</w:t>
      </w:r>
    </w:p>
    <w:p w:rsidR="000831CE" w:rsidRPr="00E17C30" w:rsidRDefault="000831CE" w:rsidP="006777CA">
      <w:pPr>
        <w:pBdr>
          <w:top w:val="single" w:sz="4" w:space="10" w:color="auto"/>
          <w:left w:val="single" w:sz="4" w:space="10" w:color="auto"/>
          <w:bottom w:val="single" w:sz="4" w:space="10" w:color="auto"/>
          <w:right w:val="single" w:sz="4" w:space="10" w:color="auto"/>
        </w:pBdr>
        <w:rPr>
          <w:sz w:val="16"/>
          <w:szCs w:val="16"/>
        </w:rPr>
      </w:pPr>
    </w:p>
    <w:p w:rsidR="003D5974" w:rsidRDefault="005629B3"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The wage intensity calculation is </w:t>
      </w:r>
      <w:r w:rsidR="00483A0A" w:rsidRPr="006777CA">
        <w:rPr>
          <w:sz w:val="20"/>
          <w:szCs w:val="20"/>
        </w:rPr>
        <w:t>$</w:t>
      </w:r>
      <w:r w:rsidR="004A7667">
        <w:rPr>
          <w:sz w:val="20"/>
          <w:szCs w:val="20"/>
        </w:rPr>
        <w:t>300</w:t>
      </w:r>
      <w:r w:rsidR="00536352">
        <w:rPr>
          <w:sz w:val="20"/>
          <w:szCs w:val="20"/>
        </w:rPr>
        <w:t>,</w:t>
      </w:r>
      <w:r w:rsidR="004A7667">
        <w:rPr>
          <w:sz w:val="20"/>
          <w:szCs w:val="20"/>
        </w:rPr>
        <w:t>1</w:t>
      </w:r>
      <w:r w:rsidR="00483A0A" w:rsidRPr="006777CA">
        <w:rPr>
          <w:sz w:val="20"/>
          <w:szCs w:val="20"/>
        </w:rPr>
        <w:t>00</w:t>
      </w:r>
      <w:r w:rsidR="000831CE" w:rsidRPr="006777CA">
        <w:rPr>
          <w:sz w:val="20"/>
          <w:szCs w:val="20"/>
        </w:rPr>
        <w:t xml:space="preserve"> </w:t>
      </w:r>
      <w:r w:rsidR="00483A0A" w:rsidRPr="006777CA">
        <w:rPr>
          <w:sz w:val="20"/>
          <w:szCs w:val="20"/>
        </w:rPr>
        <w:t>÷</w:t>
      </w:r>
      <w:r w:rsidR="000831CE" w:rsidRPr="006777CA">
        <w:rPr>
          <w:sz w:val="20"/>
          <w:szCs w:val="20"/>
        </w:rPr>
        <w:t xml:space="preserve"> </w:t>
      </w:r>
      <w:r w:rsidR="00483A0A" w:rsidRPr="006777CA">
        <w:rPr>
          <w:sz w:val="20"/>
          <w:szCs w:val="20"/>
        </w:rPr>
        <w:t>$1</w:t>
      </w:r>
      <w:r w:rsidR="00D8484E" w:rsidRPr="006777CA">
        <w:rPr>
          <w:sz w:val="20"/>
          <w:szCs w:val="20"/>
        </w:rPr>
        <w:t>,</w:t>
      </w:r>
      <w:r w:rsidR="00483A0A" w:rsidRPr="006777CA">
        <w:rPr>
          <w:sz w:val="20"/>
          <w:szCs w:val="20"/>
        </w:rPr>
        <w:t>4</w:t>
      </w:r>
      <w:r w:rsidR="004A7667">
        <w:rPr>
          <w:sz w:val="20"/>
          <w:szCs w:val="20"/>
        </w:rPr>
        <w:t>36</w:t>
      </w:r>
      <w:r w:rsidR="00483A0A" w:rsidRPr="006777CA">
        <w:rPr>
          <w:sz w:val="20"/>
          <w:szCs w:val="20"/>
        </w:rPr>
        <w:t>,</w:t>
      </w:r>
      <w:r w:rsidR="004A7667">
        <w:rPr>
          <w:sz w:val="20"/>
          <w:szCs w:val="20"/>
        </w:rPr>
        <w:t>1</w:t>
      </w:r>
      <w:r w:rsidR="00483A0A" w:rsidRPr="006777CA">
        <w:rPr>
          <w:sz w:val="20"/>
          <w:szCs w:val="20"/>
        </w:rPr>
        <w:t>00</w:t>
      </w:r>
      <w:r w:rsidR="000831CE" w:rsidRPr="006777CA">
        <w:rPr>
          <w:sz w:val="20"/>
          <w:szCs w:val="20"/>
        </w:rPr>
        <w:t xml:space="preserve"> </w:t>
      </w:r>
      <w:r w:rsidR="00483A0A" w:rsidRPr="006777CA">
        <w:rPr>
          <w:sz w:val="20"/>
          <w:szCs w:val="20"/>
        </w:rPr>
        <w:t>=</w:t>
      </w:r>
      <w:r w:rsidR="000831CE" w:rsidRPr="006777CA">
        <w:rPr>
          <w:sz w:val="20"/>
          <w:szCs w:val="20"/>
        </w:rPr>
        <w:t xml:space="preserve"> </w:t>
      </w:r>
      <w:r w:rsidR="00483A0A" w:rsidRPr="006777CA">
        <w:rPr>
          <w:sz w:val="20"/>
          <w:szCs w:val="20"/>
        </w:rPr>
        <w:t>0.20</w:t>
      </w:r>
      <w:r w:rsidR="004A7667">
        <w:rPr>
          <w:sz w:val="20"/>
          <w:szCs w:val="20"/>
        </w:rPr>
        <w:t>9</w:t>
      </w:r>
    </w:p>
    <w:p w:rsidR="004A7667" w:rsidRPr="00E17C30" w:rsidRDefault="004A7667" w:rsidP="006777CA">
      <w:pPr>
        <w:pBdr>
          <w:top w:val="single" w:sz="4" w:space="10" w:color="auto"/>
          <w:left w:val="single" w:sz="4" w:space="10" w:color="auto"/>
          <w:bottom w:val="single" w:sz="4" w:space="10" w:color="auto"/>
          <w:right w:val="single" w:sz="4" w:space="10" w:color="auto"/>
        </w:pBdr>
        <w:rPr>
          <w:sz w:val="16"/>
          <w:szCs w:val="16"/>
        </w:rPr>
      </w:pPr>
    </w:p>
    <w:p w:rsidR="004A7667" w:rsidRPr="006777CA" w:rsidRDefault="004A7667" w:rsidP="006777CA">
      <w:pPr>
        <w:pBdr>
          <w:top w:val="single" w:sz="4" w:space="10" w:color="auto"/>
          <w:left w:val="single" w:sz="4" w:space="10" w:color="auto"/>
          <w:bottom w:val="single" w:sz="4" w:space="10" w:color="auto"/>
          <w:right w:val="single" w:sz="4" w:space="10" w:color="auto"/>
        </w:pBdr>
        <w:rPr>
          <w:sz w:val="20"/>
          <w:szCs w:val="20"/>
        </w:rPr>
      </w:pPr>
      <w:r>
        <w:rPr>
          <w:sz w:val="20"/>
          <w:szCs w:val="20"/>
        </w:rPr>
        <w:t>The superannuation package adds $20,000 of superannuation contributions and $6,600 of tax on superannuation contributions to both the numerator and denominator of the calculation.</w:t>
      </w:r>
    </w:p>
    <w:p w:rsidR="00483A0A" w:rsidRPr="00E17C30" w:rsidRDefault="00483A0A" w:rsidP="006777CA">
      <w:pPr>
        <w:pBdr>
          <w:top w:val="single" w:sz="4" w:space="10" w:color="auto"/>
          <w:left w:val="single" w:sz="4" w:space="10" w:color="auto"/>
          <w:bottom w:val="single" w:sz="4" w:space="10" w:color="auto"/>
          <w:right w:val="single" w:sz="4" w:space="10" w:color="auto"/>
        </w:pBdr>
        <w:rPr>
          <w:sz w:val="16"/>
          <w:szCs w:val="16"/>
        </w:rPr>
      </w:pPr>
    </w:p>
    <w:p w:rsidR="00483A0A" w:rsidRPr="006777CA" w:rsidRDefault="00D8484E" w:rsidP="006777CA">
      <w:pPr>
        <w:pBdr>
          <w:top w:val="single" w:sz="4" w:space="10" w:color="auto"/>
          <w:left w:val="single" w:sz="4" w:space="10" w:color="auto"/>
          <w:bottom w:val="single" w:sz="4" w:space="10" w:color="auto"/>
          <w:right w:val="single" w:sz="4" w:space="10" w:color="auto"/>
        </w:pBdr>
        <w:rPr>
          <w:sz w:val="20"/>
          <w:szCs w:val="20"/>
        </w:rPr>
      </w:pPr>
      <w:r w:rsidRPr="006777CA">
        <w:rPr>
          <w:sz w:val="20"/>
          <w:szCs w:val="20"/>
        </w:rPr>
        <w:t xml:space="preserve">Mattlab </w:t>
      </w:r>
      <w:r w:rsidR="00483A0A" w:rsidRPr="006777CA">
        <w:rPr>
          <w:sz w:val="20"/>
          <w:szCs w:val="20"/>
        </w:rPr>
        <w:t xml:space="preserve">Ltd meets the wage intensity criteria using </w:t>
      </w:r>
      <w:r w:rsidR="000831CE" w:rsidRPr="006777CA">
        <w:rPr>
          <w:sz w:val="20"/>
          <w:szCs w:val="20"/>
        </w:rPr>
        <w:t>O</w:t>
      </w:r>
      <w:r w:rsidR="00483A0A" w:rsidRPr="006777CA">
        <w:rPr>
          <w:sz w:val="20"/>
          <w:szCs w:val="20"/>
        </w:rPr>
        <w:t>ption 2</w:t>
      </w:r>
      <w:r w:rsidRPr="006777CA">
        <w:rPr>
          <w:sz w:val="20"/>
          <w:szCs w:val="20"/>
        </w:rPr>
        <w:t xml:space="preserve">, but not if </w:t>
      </w:r>
      <w:r w:rsidR="000831CE" w:rsidRPr="006777CA">
        <w:rPr>
          <w:sz w:val="20"/>
          <w:szCs w:val="20"/>
        </w:rPr>
        <w:t>it</w:t>
      </w:r>
      <w:r w:rsidRPr="006777CA">
        <w:rPr>
          <w:sz w:val="20"/>
          <w:szCs w:val="20"/>
        </w:rPr>
        <w:t xml:space="preserve"> use</w:t>
      </w:r>
      <w:r w:rsidR="000831CE" w:rsidRPr="006777CA">
        <w:rPr>
          <w:sz w:val="20"/>
          <w:szCs w:val="20"/>
        </w:rPr>
        <w:t>s</w:t>
      </w:r>
      <w:r w:rsidRPr="006777CA">
        <w:rPr>
          <w:sz w:val="20"/>
          <w:szCs w:val="20"/>
        </w:rPr>
        <w:t xml:space="preserve"> </w:t>
      </w:r>
      <w:r w:rsidR="000831CE" w:rsidRPr="006777CA">
        <w:rPr>
          <w:sz w:val="20"/>
          <w:szCs w:val="20"/>
        </w:rPr>
        <w:t>O</w:t>
      </w:r>
      <w:r w:rsidRPr="006777CA">
        <w:rPr>
          <w:sz w:val="20"/>
          <w:szCs w:val="20"/>
        </w:rPr>
        <w:t>ption 1</w:t>
      </w:r>
      <w:r w:rsidR="00483A0A" w:rsidRPr="006777CA">
        <w:rPr>
          <w:sz w:val="20"/>
          <w:szCs w:val="20"/>
        </w:rPr>
        <w:t>.</w:t>
      </w:r>
    </w:p>
    <w:p w:rsidR="00E17C30" w:rsidRDefault="00E17C30">
      <w:pPr>
        <w:jc w:val="left"/>
        <w:rPr>
          <w:rStyle w:val="Strong"/>
          <w:bCs w:val="0"/>
          <w:szCs w:val="26"/>
        </w:rPr>
      </w:pPr>
      <w:r>
        <w:rPr>
          <w:rStyle w:val="Strong"/>
          <w:b w:val="0"/>
        </w:rPr>
        <w:br w:type="page"/>
      </w:r>
    </w:p>
    <w:p w:rsidR="006073D4" w:rsidRPr="00C04E22" w:rsidRDefault="006073D4" w:rsidP="00E17C30">
      <w:pPr>
        <w:pStyle w:val="Heading2"/>
        <w:rPr>
          <w:rStyle w:val="Strong"/>
          <w:b/>
        </w:rPr>
      </w:pPr>
      <w:r w:rsidRPr="00C04E22">
        <w:rPr>
          <w:rStyle w:val="Strong"/>
          <w:b/>
        </w:rPr>
        <w:lastRenderedPageBreak/>
        <w:t>Amount of the cash-out</w:t>
      </w:r>
    </w:p>
    <w:p w:rsidR="00DE0B21" w:rsidRPr="00F01512" w:rsidRDefault="00DE0B21" w:rsidP="00617F9A"/>
    <w:p w:rsidR="006073D4" w:rsidRPr="00B84760" w:rsidRDefault="00A400EC" w:rsidP="00617F9A">
      <w:pPr>
        <w:pStyle w:val="Heading3"/>
      </w:pPr>
      <w:r w:rsidRPr="00B84760">
        <w:t>Sections MX</w:t>
      </w:r>
      <w:r w:rsidR="009A385F">
        <w:t xml:space="preserve"> </w:t>
      </w:r>
      <w:r w:rsidRPr="00B84760">
        <w:t>4 and YA 1 of the Income Tax Act 2007</w:t>
      </w:r>
    </w:p>
    <w:p w:rsidR="006073D4" w:rsidRDefault="006073D4" w:rsidP="006073D4"/>
    <w:p w:rsidR="006073D4" w:rsidRDefault="006073D4" w:rsidP="006073D4">
      <w:r>
        <w:t>Because the cash</w:t>
      </w:r>
      <w:r w:rsidR="00D931F9">
        <w:t>-</w:t>
      </w:r>
      <w:r>
        <w:t xml:space="preserve">out is administered through the tax system, it is delivered in the form of a </w:t>
      </w:r>
      <w:r w:rsidR="00BC45D4">
        <w:t xml:space="preserve">refundable </w:t>
      </w:r>
      <w:r>
        <w:t>tax credit.</w:t>
      </w:r>
      <w:r w:rsidR="0028699B">
        <w:t xml:space="preserve">  This tax credit is referred to as the “R&amp;D loss tax credit”</w:t>
      </w:r>
      <w:r>
        <w:t xml:space="preserve">  Similarly to other tax credits, </w:t>
      </w:r>
      <w:r w:rsidR="000B7326">
        <w:t>only the net loss for the relevant year can</w:t>
      </w:r>
      <w:r>
        <w:t xml:space="preserve"> be cashed out.  That means that it will not be possible to cash out a </w:t>
      </w:r>
      <w:r w:rsidR="00A400EC">
        <w:t xml:space="preserve">tax </w:t>
      </w:r>
      <w:r>
        <w:t>loss in a year subsequent to when the loss arose</w:t>
      </w:r>
      <w:r w:rsidR="000B7326">
        <w:t xml:space="preserve"> (</w:t>
      </w:r>
      <w:r w:rsidR="00D22C00">
        <w:t>that is,</w:t>
      </w:r>
      <w:r w:rsidR="000B7326">
        <w:t xml:space="preserve"> carried forward tax losses</w:t>
      </w:r>
      <w:r w:rsidR="00D250C0">
        <w:t xml:space="preserve"> cannot be cashed out</w:t>
      </w:r>
      <w:r w:rsidR="000B7326">
        <w:t>)</w:t>
      </w:r>
      <w:r>
        <w:t>.</w:t>
      </w:r>
      <w:r w:rsidR="00BC45D4">
        <w:t xml:space="preserve">  Any </w:t>
      </w:r>
      <w:r w:rsidR="000B7326">
        <w:t xml:space="preserve">net </w:t>
      </w:r>
      <w:r w:rsidR="00BC45D4">
        <w:t>losses for a year which cannot be cashed out will be carried forward under the usual rules.</w:t>
      </w:r>
    </w:p>
    <w:p w:rsidR="006073D4" w:rsidRDefault="006073D4" w:rsidP="006073D4"/>
    <w:p w:rsidR="006073D4" w:rsidRDefault="006073D4" w:rsidP="006073D4">
      <w:r>
        <w:t xml:space="preserve">New section MX 4 of the </w:t>
      </w:r>
      <w:r w:rsidR="00F064AD">
        <w:t>Income Tax Act 2007</w:t>
      </w:r>
      <w:r>
        <w:t xml:space="preserve"> sets out the amount of </w:t>
      </w:r>
      <w:r w:rsidR="0028699B">
        <w:t>the R&amp;D loss tax credit</w:t>
      </w:r>
      <w:r>
        <w:t xml:space="preserve"> for a year.  It is the smallest of:</w:t>
      </w:r>
    </w:p>
    <w:p w:rsidR="006073D4" w:rsidRDefault="006073D4" w:rsidP="006073D4"/>
    <w:p w:rsidR="006073D4" w:rsidRDefault="006073D4" w:rsidP="00617F9A">
      <w:pPr>
        <w:pStyle w:val="Bullets"/>
      </w:pPr>
      <w:r>
        <w:t>$500,000</w:t>
      </w:r>
      <w:r w:rsidR="00CC1E98">
        <w:t xml:space="preserve"> (for the 2015</w:t>
      </w:r>
      <w:r w:rsidR="00BB2F94">
        <w:t>–</w:t>
      </w:r>
      <w:r w:rsidR="00CC1E98">
        <w:t>16 tax year, and inc</w:t>
      </w:r>
      <w:r w:rsidR="00F20E0F">
        <w:t xml:space="preserve">reasing by $300,000 for </w:t>
      </w:r>
      <w:r w:rsidR="00B9363F">
        <w:t xml:space="preserve">each of </w:t>
      </w:r>
      <w:r w:rsidR="00F20E0F">
        <w:t>the following</w:t>
      </w:r>
      <w:r w:rsidR="00CC1E98">
        <w:t xml:space="preserve"> five years)</w:t>
      </w:r>
      <w:r>
        <w:t xml:space="preserve"> multiplied by the corporate tax rate;</w:t>
      </w:r>
    </w:p>
    <w:p w:rsidR="006073D4" w:rsidRDefault="006073D4" w:rsidP="00617F9A">
      <w:pPr>
        <w:pStyle w:val="Bullets"/>
      </w:pPr>
      <w:r>
        <w:t>the company’s net loss for the year multiplied by the corporate tax rate;</w:t>
      </w:r>
    </w:p>
    <w:p w:rsidR="006073D4" w:rsidRDefault="006073D4" w:rsidP="00617F9A">
      <w:pPr>
        <w:pStyle w:val="Bullets"/>
      </w:pPr>
      <w:r>
        <w:t xml:space="preserve">the company’s </w:t>
      </w:r>
      <w:r w:rsidR="00CC1E98">
        <w:t xml:space="preserve">total </w:t>
      </w:r>
      <w:r w:rsidR="00D250C0">
        <w:t>R&amp;D</w:t>
      </w:r>
      <w:r>
        <w:t xml:space="preserve"> expenditure for the tax year</w:t>
      </w:r>
      <w:r w:rsidR="00C84650">
        <w:t xml:space="preserve"> </w:t>
      </w:r>
      <w:r>
        <w:t xml:space="preserve"> multiplied by the corporate tax rate; </w:t>
      </w:r>
      <w:r w:rsidR="00DA09AB">
        <w:t>and</w:t>
      </w:r>
    </w:p>
    <w:p w:rsidR="006073D4" w:rsidRDefault="006073D4" w:rsidP="00617F9A">
      <w:pPr>
        <w:pStyle w:val="Bullets"/>
        <w:spacing w:after="0"/>
      </w:pPr>
      <w:r>
        <w:t>the company’s total research and development labour expenditure for the year</w:t>
      </w:r>
      <w:r w:rsidR="00D250C0">
        <w:t xml:space="preserve"> (as calculated under </w:t>
      </w:r>
      <w:r w:rsidR="001758DE">
        <w:t>section</w:t>
      </w:r>
      <w:r w:rsidR="00D250C0">
        <w:t xml:space="preserve"> MX 3)</w:t>
      </w:r>
      <w:r>
        <w:t xml:space="preserve">, multiplied by 1.5 and also multiplied by the corporate tax </w:t>
      </w:r>
      <w:r w:rsidR="00D22C00">
        <w:t>r</w:t>
      </w:r>
      <w:r>
        <w:t>ate.</w:t>
      </w:r>
    </w:p>
    <w:p w:rsidR="002F60DF" w:rsidRDefault="002F60DF" w:rsidP="002D0C11">
      <w:pPr>
        <w:pStyle w:val="Bullets"/>
        <w:numPr>
          <w:ilvl w:val="0"/>
          <w:numId w:val="0"/>
        </w:numPr>
        <w:spacing w:after="0"/>
        <w:ind w:left="567" w:hanging="567"/>
      </w:pPr>
    </w:p>
    <w:p w:rsidR="006073D4" w:rsidRDefault="00CC1E98" w:rsidP="006073D4">
      <w:r>
        <w:t>T</w:t>
      </w:r>
      <w:r w:rsidR="006073D4">
        <w:t>he $500,000 cap on eligible losses will be increased to $2 million over five years</w:t>
      </w:r>
      <w:r>
        <w:t xml:space="preserve">.  The gradual increase of the cap is </w:t>
      </w:r>
      <w:r w:rsidR="006A47DA">
        <w:t>an integrity measure and should also help industry sectors to plan for the future supply of researchers.</w:t>
      </w:r>
    </w:p>
    <w:p w:rsidR="00F414A9" w:rsidRDefault="00F414A9" w:rsidP="006073D4"/>
    <w:p w:rsidR="00F414A9" w:rsidRPr="00F01512" w:rsidRDefault="00F414A9"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E3A7C" w:rsidRPr="00F01512">
        <w:rPr>
          <w:b/>
          <w:sz w:val="20"/>
          <w:szCs w:val="20"/>
        </w:rPr>
        <w:t>:</w:t>
      </w:r>
      <w:r w:rsidR="00D931F9" w:rsidRPr="00F01512">
        <w:rPr>
          <w:b/>
          <w:sz w:val="20"/>
          <w:szCs w:val="20"/>
        </w:rPr>
        <w:t xml:space="preserve"> A</w:t>
      </w:r>
      <w:r w:rsidR="003E3A7C" w:rsidRPr="00F01512">
        <w:rPr>
          <w:b/>
          <w:sz w:val="20"/>
          <w:szCs w:val="20"/>
        </w:rPr>
        <w:t>mount of the tax credit</w:t>
      </w:r>
    </w:p>
    <w:p w:rsidR="00D931F9" w:rsidRPr="00CB259B" w:rsidRDefault="00D931F9" w:rsidP="00CB259B">
      <w:pPr>
        <w:pBdr>
          <w:top w:val="single" w:sz="4" w:space="10" w:color="auto"/>
          <w:left w:val="single" w:sz="4" w:space="10" w:color="auto"/>
          <w:bottom w:val="single" w:sz="4" w:space="10" w:color="auto"/>
          <w:right w:val="single" w:sz="4" w:space="10" w:color="auto"/>
        </w:pBdr>
        <w:rPr>
          <w:sz w:val="20"/>
          <w:szCs w:val="20"/>
        </w:rPr>
      </w:pPr>
    </w:p>
    <w:p w:rsidR="00A12E00" w:rsidRPr="00CB259B" w:rsidRDefault="00D8484E"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 xml:space="preserve">Amblack </w:t>
      </w:r>
      <w:r w:rsidR="00F414A9" w:rsidRPr="00CB259B">
        <w:rPr>
          <w:sz w:val="20"/>
          <w:szCs w:val="20"/>
        </w:rPr>
        <w:t xml:space="preserve">Ltd is a company </w:t>
      </w:r>
      <w:r w:rsidR="00904024" w:rsidRPr="00CB259B">
        <w:rPr>
          <w:sz w:val="20"/>
          <w:szCs w:val="20"/>
        </w:rPr>
        <w:t>carrying out research and devel</w:t>
      </w:r>
      <w:r w:rsidR="00F414A9" w:rsidRPr="00CB259B">
        <w:rPr>
          <w:sz w:val="20"/>
          <w:szCs w:val="20"/>
        </w:rPr>
        <w:t>opment on a new variet</w:t>
      </w:r>
      <w:r w:rsidR="00CF0520" w:rsidRPr="00CB259B">
        <w:rPr>
          <w:sz w:val="20"/>
          <w:szCs w:val="20"/>
        </w:rPr>
        <w:t xml:space="preserve">y of avocado that </w:t>
      </w:r>
      <w:r w:rsidR="00B9363F">
        <w:rPr>
          <w:sz w:val="20"/>
          <w:szCs w:val="20"/>
        </w:rPr>
        <w:t>also tastes of lemon</w:t>
      </w:r>
      <w:r w:rsidR="00F414A9" w:rsidRPr="00CB259B">
        <w:rPr>
          <w:sz w:val="20"/>
          <w:szCs w:val="20"/>
        </w:rPr>
        <w:t xml:space="preserve">.  They have two </w:t>
      </w:r>
      <w:r w:rsidR="00904024" w:rsidRPr="00CB259B">
        <w:rPr>
          <w:sz w:val="20"/>
          <w:szCs w:val="20"/>
        </w:rPr>
        <w:t>senior plant researchers and a technician working full-</w:t>
      </w:r>
      <w:r w:rsidR="00F414A9" w:rsidRPr="00CB259B">
        <w:rPr>
          <w:sz w:val="20"/>
          <w:szCs w:val="20"/>
        </w:rPr>
        <w:t>time</w:t>
      </w:r>
      <w:r w:rsidR="00904024" w:rsidRPr="00CB259B">
        <w:rPr>
          <w:sz w:val="20"/>
          <w:szCs w:val="20"/>
        </w:rPr>
        <w:t xml:space="preserve"> on the project.  In the 2016</w:t>
      </w:r>
      <w:r w:rsidR="00504058" w:rsidRPr="00CB259B">
        <w:rPr>
          <w:sz w:val="20"/>
          <w:szCs w:val="20"/>
        </w:rPr>
        <w:t>–</w:t>
      </w:r>
      <w:r w:rsidR="00904024" w:rsidRPr="00CB259B">
        <w:rPr>
          <w:sz w:val="20"/>
          <w:szCs w:val="20"/>
        </w:rPr>
        <w:t xml:space="preserve">17 tax year </w:t>
      </w:r>
      <w:r w:rsidRPr="00CB259B">
        <w:rPr>
          <w:sz w:val="20"/>
          <w:szCs w:val="20"/>
        </w:rPr>
        <w:t xml:space="preserve">Amblack </w:t>
      </w:r>
      <w:r w:rsidR="00904024" w:rsidRPr="00CB259B">
        <w:rPr>
          <w:sz w:val="20"/>
          <w:szCs w:val="20"/>
        </w:rPr>
        <w:t>Ltd had a net loss of $600,000</w:t>
      </w:r>
      <w:r w:rsidR="000B225C" w:rsidRPr="00CB259B">
        <w:rPr>
          <w:sz w:val="20"/>
          <w:szCs w:val="20"/>
        </w:rPr>
        <w:t>,</w:t>
      </w:r>
      <w:r w:rsidR="00904024" w:rsidRPr="00CB259B">
        <w:rPr>
          <w:sz w:val="20"/>
          <w:szCs w:val="20"/>
        </w:rPr>
        <w:t xml:space="preserve"> spent $425,000 on research and development,</w:t>
      </w:r>
      <w:r w:rsidR="000B225C" w:rsidRPr="00CB259B">
        <w:rPr>
          <w:sz w:val="20"/>
          <w:szCs w:val="20"/>
        </w:rPr>
        <w:t xml:space="preserve"> and</w:t>
      </w:r>
      <w:r w:rsidR="00904024" w:rsidRPr="00CB259B">
        <w:rPr>
          <w:sz w:val="20"/>
          <w:szCs w:val="20"/>
        </w:rPr>
        <w:t xml:space="preserve"> the researchers and technician </w:t>
      </w:r>
      <w:r w:rsidR="00CF0520" w:rsidRPr="00CB259B">
        <w:rPr>
          <w:sz w:val="20"/>
          <w:szCs w:val="20"/>
        </w:rPr>
        <w:t>were paid $245,000 in salary and wages</w:t>
      </w:r>
      <w:r w:rsidR="000B225C" w:rsidRPr="00CB259B">
        <w:rPr>
          <w:sz w:val="20"/>
          <w:szCs w:val="20"/>
        </w:rPr>
        <w:t xml:space="preserve"> for research and development</w:t>
      </w:r>
      <w:r w:rsidR="00CF0520" w:rsidRPr="00CB259B">
        <w:rPr>
          <w:sz w:val="20"/>
          <w:szCs w:val="20"/>
        </w:rPr>
        <w:t>.</w:t>
      </w:r>
    </w:p>
    <w:p w:rsidR="00EF7F20" w:rsidRPr="00CB259B" w:rsidRDefault="00EF7F20" w:rsidP="00CB259B">
      <w:pPr>
        <w:pBdr>
          <w:top w:val="single" w:sz="4" w:space="10" w:color="auto"/>
          <w:left w:val="single" w:sz="4" w:space="10" w:color="auto"/>
          <w:bottom w:val="single" w:sz="4" w:space="10" w:color="auto"/>
          <w:right w:val="single" w:sz="4" w:space="10" w:color="auto"/>
        </w:pBdr>
        <w:rPr>
          <w:sz w:val="20"/>
          <w:szCs w:val="20"/>
        </w:rPr>
      </w:pPr>
    </w:p>
    <w:p w:rsidR="00F414A9" w:rsidRPr="00CB259B" w:rsidRDefault="004A4FF3"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The amounts under the four tests are</w:t>
      </w:r>
      <w:r w:rsidR="00A12E00" w:rsidRPr="00CB259B">
        <w:rPr>
          <w:sz w:val="20"/>
          <w:szCs w:val="20"/>
        </w:rPr>
        <w:t>:</w:t>
      </w:r>
      <w:r w:rsidRPr="00CB259B">
        <w:rPr>
          <w:sz w:val="20"/>
          <w:szCs w:val="20"/>
        </w:rPr>
        <w:t xml:space="preserve"> </w:t>
      </w:r>
      <w:r w:rsidR="00CF0520" w:rsidRPr="00CB259B">
        <w:rPr>
          <w:sz w:val="20"/>
          <w:szCs w:val="20"/>
        </w:rPr>
        <w:t>$800,000</w:t>
      </w:r>
      <w:r w:rsidR="00B9363F">
        <w:rPr>
          <w:sz w:val="20"/>
          <w:szCs w:val="20"/>
        </w:rPr>
        <w:t xml:space="preserve"> (cap)</w:t>
      </w:r>
      <w:r w:rsidR="00CF0520" w:rsidRPr="00CB259B">
        <w:rPr>
          <w:sz w:val="20"/>
          <w:szCs w:val="20"/>
        </w:rPr>
        <w:t xml:space="preserve"> &gt; $600,000 &gt; $425,000 &gt; $245,000</w:t>
      </w:r>
      <w:r w:rsidR="009A385F">
        <w:rPr>
          <w:sz w:val="20"/>
          <w:szCs w:val="20"/>
        </w:rPr>
        <w:t xml:space="preserve"> </w:t>
      </w:r>
      <w:r w:rsidR="00CF0520" w:rsidRPr="00CB259B">
        <w:rPr>
          <w:sz w:val="20"/>
          <w:szCs w:val="20"/>
        </w:rPr>
        <w:t>*</w:t>
      </w:r>
      <w:r w:rsidR="009A385F">
        <w:rPr>
          <w:sz w:val="20"/>
          <w:szCs w:val="20"/>
        </w:rPr>
        <w:t xml:space="preserve"> </w:t>
      </w:r>
      <w:r w:rsidR="00CF0520" w:rsidRPr="00CB259B">
        <w:rPr>
          <w:sz w:val="20"/>
          <w:szCs w:val="20"/>
        </w:rPr>
        <w:t>1.5</w:t>
      </w:r>
      <w:r w:rsidR="009A385F">
        <w:rPr>
          <w:sz w:val="20"/>
          <w:szCs w:val="20"/>
        </w:rPr>
        <w:t xml:space="preserve"> </w:t>
      </w:r>
      <w:r w:rsidR="00CF0520" w:rsidRPr="00CB259B">
        <w:rPr>
          <w:sz w:val="20"/>
          <w:szCs w:val="20"/>
        </w:rPr>
        <w:t>(</w:t>
      </w:r>
      <w:r w:rsidRPr="00CB259B">
        <w:rPr>
          <w:sz w:val="20"/>
          <w:szCs w:val="20"/>
        </w:rPr>
        <w:t>$367,500), each multiplied by the company tax rate</w:t>
      </w:r>
      <w:r w:rsidR="00EF7F20" w:rsidRPr="00CB259B">
        <w:rPr>
          <w:sz w:val="20"/>
          <w:szCs w:val="20"/>
        </w:rPr>
        <w:t xml:space="preserve"> of 0.28% for that year</w:t>
      </w:r>
      <w:r w:rsidRPr="00CB259B">
        <w:rPr>
          <w:sz w:val="20"/>
          <w:szCs w:val="20"/>
        </w:rPr>
        <w:t>.</w:t>
      </w:r>
    </w:p>
    <w:p w:rsidR="00EF7F20" w:rsidRPr="00CB259B" w:rsidRDefault="00EF7F20" w:rsidP="00CB259B">
      <w:pPr>
        <w:pBdr>
          <w:top w:val="single" w:sz="4" w:space="10" w:color="auto"/>
          <w:left w:val="single" w:sz="4" w:space="10" w:color="auto"/>
          <w:bottom w:val="single" w:sz="4" w:space="10" w:color="auto"/>
          <w:right w:val="single" w:sz="4" w:space="10" w:color="auto"/>
        </w:pBdr>
        <w:rPr>
          <w:sz w:val="20"/>
          <w:szCs w:val="20"/>
        </w:rPr>
      </w:pPr>
    </w:p>
    <w:p w:rsidR="00EF7F20" w:rsidRPr="00CB259B" w:rsidRDefault="00D8484E"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 xml:space="preserve">Amblack </w:t>
      </w:r>
      <w:r w:rsidR="00EF7F20" w:rsidRPr="00CB259B">
        <w:rPr>
          <w:sz w:val="20"/>
          <w:szCs w:val="20"/>
        </w:rPr>
        <w:t>Ltd is eligible to receive</w:t>
      </w:r>
      <w:r w:rsidR="0028699B">
        <w:rPr>
          <w:sz w:val="20"/>
          <w:szCs w:val="20"/>
        </w:rPr>
        <w:t xml:space="preserve"> a R&amp;D loss</w:t>
      </w:r>
      <w:r w:rsidR="00EF7F20" w:rsidRPr="00CB259B">
        <w:rPr>
          <w:sz w:val="20"/>
          <w:szCs w:val="20"/>
        </w:rPr>
        <w:t xml:space="preserve"> tax credit of $102,900 for that year ($367,500</w:t>
      </w:r>
      <w:r w:rsidR="009A385F">
        <w:rPr>
          <w:sz w:val="20"/>
          <w:szCs w:val="20"/>
        </w:rPr>
        <w:t xml:space="preserve"> </w:t>
      </w:r>
      <w:r w:rsidR="00EF7F20" w:rsidRPr="00CB259B">
        <w:rPr>
          <w:sz w:val="20"/>
          <w:szCs w:val="20"/>
        </w:rPr>
        <w:t>*</w:t>
      </w:r>
      <w:r w:rsidR="009A385F">
        <w:rPr>
          <w:sz w:val="20"/>
          <w:szCs w:val="20"/>
        </w:rPr>
        <w:t xml:space="preserve"> </w:t>
      </w:r>
      <w:r w:rsidR="00EF7F20" w:rsidRPr="00CB259B">
        <w:rPr>
          <w:sz w:val="20"/>
          <w:szCs w:val="20"/>
        </w:rPr>
        <w:t>0.28).</w:t>
      </w:r>
    </w:p>
    <w:p w:rsidR="006073D4" w:rsidRDefault="006073D4" w:rsidP="006073D4"/>
    <w:p w:rsidR="0009267A" w:rsidRDefault="0009267A" w:rsidP="006073D4"/>
    <w:p w:rsidR="0009267A" w:rsidRDefault="00C124CB" w:rsidP="00E17C30">
      <w:pPr>
        <w:pStyle w:val="Heading2"/>
      </w:pPr>
      <w:r w:rsidRPr="00457F35">
        <w:t>Treatment</w:t>
      </w:r>
      <w:r w:rsidR="0009267A" w:rsidRPr="00457F35">
        <w:t xml:space="preserve"> of tax losses</w:t>
      </w:r>
    </w:p>
    <w:p w:rsidR="00DE0B21" w:rsidRPr="00617F9A" w:rsidRDefault="00DE0B21" w:rsidP="00617F9A"/>
    <w:p w:rsidR="0009267A" w:rsidRPr="00B84760" w:rsidRDefault="0009267A" w:rsidP="00617F9A">
      <w:pPr>
        <w:pStyle w:val="Heading3"/>
      </w:pPr>
      <w:r w:rsidRPr="00B84760">
        <w:t>Section</w:t>
      </w:r>
      <w:r w:rsidR="00C124CB" w:rsidRPr="00B84760">
        <w:t>s</w:t>
      </w:r>
      <w:r w:rsidRPr="00B84760">
        <w:t xml:space="preserve"> MX 5</w:t>
      </w:r>
      <w:r w:rsidR="0095582E">
        <w:t>, MX</w:t>
      </w:r>
      <w:r w:rsidR="00B9363F">
        <w:t xml:space="preserve"> </w:t>
      </w:r>
      <w:r w:rsidR="0095582E">
        <w:t>6 and YA</w:t>
      </w:r>
      <w:r w:rsidR="00B9363F">
        <w:t xml:space="preserve"> </w:t>
      </w:r>
      <w:r w:rsidR="0095582E">
        <w:t xml:space="preserve">1 </w:t>
      </w:r>
      <w:r w:rsidRPr="00B84760">
        <w:t>of the Income Tax Act 2007</w:t>
      </w:r>
    </w:p>
    <w:p w:rsidR="0009267A" w:rsidRDefault="0009267A" w:rsidP="006073D4"/>
    <w:p w:rsidR="006073D4" w:rsidRDefault="00C124CB" w:rsidP="006073D4">
      <w:r>
        <w:t xml:space="preserve">New section MX 5 </w:t>
      </w:r>
      <w:r w:rsidR="006073D4">
        <w:t xml:space="preserve">of the </w:t>
      </w:r>
      <w:r w:rsidR="003C5B7B">
        <w:t>Income Tax Act 2007</w:t>
      </w:r>
      <w:r w:rsidR="006073D4">
        <w:t xml:space="preserve"> </w:t>
      </w:r>
      <w:r w:rsidR="009C42D2">
        <w:t>will</w:t>
      </w:r>
      <w:r w:rsidR="006073D4">
        <w:t xml:space="preserve"> extinguish tax losses that are cashed out.</w:t>
      </w:r>
    </w:p>
    <w:p w:rsidR="00C124CB" w:rsidRDefault="00C124CB" w:rsidP="006073D4"/>
    <w:p w:rsidR="007B40F7" w:rsidRDefault="00C124CB" w:rsidP="006073D4">
      <w:r>
        <w:t xml:space="preserve">New </w:t>
      </w:r>
      <w:r w:rsidRPr="00457F35">
        <w:t xml:space="preserve">section MX </w:t>
      </w:r>
      <w:r w:rsidR="0095582E">
        <w:t>6</w:t>
      </w:r>
      <w:r w:rsidRPr="00457F35">
        <w:t xml:space="preserve"> </w:t>
      </w:r>
      <w:r w:rsidR="00411E54">
        <w:t>creates a new deduction if the company tax rate increases after a tax loss has been cashed out.</w:t>
      </w:r>
      <w:r w:rsidR="00C84650">
        <w:t xml:space="preserve">  This is to ensure that a company </w:t>
      </w:r>
      <w:r w:rsidR="00D250C0">
        <w:t>is not disadvantaged by electing</w:t>
      </w:r>
      <w:r w:rsidR="00C84650">
        <w:t xml:space="preserve"> to cash out a tax loss</w:t>
      </w:r>
      <w:r w:rsidR="00D250C0">
        <w:t xml:space="preserve"> instead of carrying it forward if </w:t>
      </w:r>
      <w:r w:rsidR="00C84650">
        <w:t>the corporate tax rate</w:t>
      </w:r>
      <w:r w:rsidR="00D250C0">
        <w:t xml:space="preserve"> is subsequently </w:t>
      </w:r>
      <w:r w:rsidR="00D250C0">
        <w:lastRenderedPageBreak/>
        <w:t>increased</w:t>
      </w:r>
      <w:r w:rsidR="00C84650">
        <w:t xml:space="preserve"> (</w:t>
      </w:r>
      <w:r w:rsidR="00D250C0">
        <w:t>as an increase in the corporate tax rate will</w:t>
      </w:r>
      <w:r w:rsidR="00C84650">
        <w:t xml:space="preserve"> increase the </w:t>
      </w:r>
      <w:r w:rsidR="00D250C0">
        <w:t>amount of tax saved by</w:t>
      </w:r>
      <w:r w:rsidR="00C84650">
        <w:t xml:space="preserve"> </w:t>
      </w:r>
      <w:r w:rsidR="00D250C0">
        <w:t>any tax losses</w:t>
      </w:r>
      <w:r w:rsidR="00C84650">
        <w:t>).</w:t>
      </w:r>
      <w:r w:rsidR="00411E54">
        <w:t xml:space="preserve">  The amount of the new deduction is </w:t>
      </w:r>
      <w:r w:rsidR="00FB2CB1">
        <w:t>essentially</w:t>
      </w:r>
      <w:r w:rsidR="00FC1B68">
        <w:t xml:space="preserve"> </w:t>
      </w:r>
      <w:r w:rsidR="00411E54">
        <w:t>the difference between</w:t>
      </w:r>
      <w:r w:rsidR="007B40F7">
        <w:t>:</w:t>
      </w:r>
    </w:p>
    <w:p w:rsidR="007B40F7" w:rsidRDefault="007B40F7" w:rsidP="006073D4"/>
    <w:p w:rsidR="007B40F7" w:rsidRDefault="00411E54" w:rsidP="00E17C30">
      <w:pPr>
        <w:pStyle w:val="Bullets"/>
      </w:pPr>
      <w:r>
        <w:t>th</w:t>
      </w:r>
      <w:r w:rsidR="008B308B">
        <w:t xml:space="preserve">e amount of the </w:t>
      </w:r>
      <w:r w:rsidR="007B40F7">
        <w:t xml:space="preserve">cashed out </w:t>
      </w:r>
      <w:r w:rsidR="008B308B">
        <w:t>tax loss</w:t>
      </w:r>
      <w:r w:rsidR="0028699B">
        <w:t>es</w:t>
      </w:r>
      <w:r w:rsidR="008B308B">
        <w:t xml:space="preserve"> that </w:t>
      </w:r>
      <w:r w:rsidR="007B40F7">
        <w:t>would still have been available when the tax rate increased;</w:t>
      </w:r>
      <w:r w:rsidR="008B308B">
        <w:t xml:space="preserve"> and</w:t>
      </w:r>
    </w:p>
    <w:p w:rsidR="008B308B" w:rsidRDefault="008B308B" w:rsidP="00E17C30">
      <w:pPr>
        <w:pStyle w:val="Bullets"/>
      </w:pPr>
      <w:r>
        <w:t>the</w:t>
      </w:r>
      <w:r w:rsidR="007B40F7">
        <w:t xml:space="preserve"> amount of </w:t>
      </w:r>
      <w:r>
        <w:t>tax loss</w:t>
      </w:r>
      <w:r w:rsidR="00D250C0">
        <w:t>es</w:t>
      </w:r>
      <w:r>
        <w:t xml:space="preserve"> that would</w:t>
      </w:r>
      <w:r w:rsidR="007B40F7">
        <w:t xml:space="preserve"> need to be cashed </w:t>
      </w:r>
      <w:r w:rsidR="000B42D4">
        <w:t>out</w:t>
      </w:r>
      <w:r w:rsidR="007B40F7">
        <w:t xml:space="preserve"> at the new rate to produce the same tax credit </w:t>
      </w:r>
      <w:r w:rsidR="00D250C0">
        <w:t>as the</w:t>
      </w:r>
      <w:r w:rsidR="007B40F7">
        <w:t xml:space="preserve"> </w:t>
      </w:r>
      <w:r w:rsidR="0028699B">
        <w:t>above tax losses</w:t>
      </w:r>
      <w:r w:rsidR="00D250C0">
        <w:t xml:space="preserve"> produced when</w:t>
      </w:r>
      <w:r w:rsidR="007B40F7">
        <w:t xml:space="preserve"> cashed </w:t>
      </w:r>
      <w:r w:rsidR="000B42D4">
        <w:t>out</w:t>
      </w:r>
      <w:r w:rsidR="007B40F7">
        <w:t xml:space="preserve"> at the old rate.</w:t>
      </w:r>
    </w:p>
    <w:p w:rsidR="008B308B" w:rsidRDefault="008B308B" w:rsidP="006073D4"/>
    <w:p w:rsidR="00B9363F" w:rsidRDefault="00B9363F" w:rsidP="00B9363F">
      <w:r>
        <w:t xml:space="preserve">The amount of the deduction is calculated for each year in which an R&amp;D </w:t>
      </w:r>
      <w:r w:rsidR="002A7365">
        <w:t>loss tax credit</w:t>
      </w:r>
      <w:r>
        <w:t xml:space="preserve"> was received using the formula:</w:t>
      </w:r>
    </w:p>
    <w:p w:rsidR="00B9363F" w:rsidRDefault="00B9363F" w:rsidP="00B9363F"/>
    <w:p w:rsidR="00B9363F" w:rsidRDefault="00B9363F" w:rsidP="00B9363F">
      <w:pPr>
        <w:jc w:val="center"/>
        <w:rPr>
          <w:i/>
          <w:sz w:val="22"/>
        </w:rPr>
      </w:pPr>
      <w:r>
        <w:rPr>
          <w:i/>
          <w:sz w:val="22"/>
        </w:rPr>
        <w:t>t</w:t>
      </w:r>
      <w:r w:rsidRPr="005C65FE">
        <w:rPr>
          <w:i/>
          <w:sz w:val="22"/>
        </w:rPr>
        <w:t xml:space="preserve">ax credits </w:t>
      </w:r>
      <w:r>
        <w:rPr>
          <w:i/>
          <w:sz w:val="22"/>
        </w:rPr>
        <w:t>*</w:t>
      </w:r>
      <w:r w:rsidRPr="005C65FE">
        <w:rPr>
          <w:i/>
          <w:sz w:val="22"/>
        </w:rPr>
        <w:t xml:space="preserve"> (new rate </w:t>
      </w:r>
      <w:r w:rsidR="009A3E40">
        <w:rPr>
          <w:i/>
          <w:sz w:val="22"/>
        </w:rPr>
        <w:t>–</w:t>
      </w:r>
      <w:r w:rsidRPr="005C65FE">
        <w:rPr>
          <w:i/>
          <w:sz w:val="22"/>
        </w:rPr>
        <w:t xml:space="preserve"> old rate) ÷ (new rate </w:t>
      </w:r>
      <w:r>
        <w:rPr>
          <w:i/>
          <w:sz w:val="22"/>
        </w:rPr>
        <w:t>*</w:t>
      </w:r>
      <w:r w:rsidRPr="005C65FE">
        <w:rPr>
          <w:i/>
          <w:sz w:val="22"/>
        </w:rPr>
        <w:t xml:space="preserve"> old rate)</w:t>
      </w:r>
    </w:p>
    <w:p w:rsidR="000B42D4" w:rsidRDefault="000B42D4" w:rsidP="00B9363F">
      <w:pPr>
        <w:jc w:val="center"/>
        <w:rPr>
          <w:i/>
          <w:sz w:val="22"/>
        </w:rPr>
      </w:pPr>
    </w:p>
    <w:p w:rsidR="000B42D4" w:rsidRDefault="000B42D4" w:rsidP="004E5892">
      <w:r>
        <w:t>The items in the</w:t>
      </w:r>
      <w:r w:rsidR="00FB2CB1">
        <w:t xml:space="preserve"> formula are defined as follows:</w:t>
      </w:r>
    </w:p>
    <w:p w:rsidR="00FB2CB1" w:rsidRDefault="00FB2CB1" w:rsidP="004E5892"/>
    <w:p w:rsidR="00820238" w:rsidRDefault="00820238" w:rsidP="00820238">
      <w:r>
        <w:t>“</w:t>
      </w:r>
      <w:r w:rsidRPr="004E5892">
        <w:rPr>
          <w:b/>
        </w:rPr>
        <w:t>tax credits</w:t>
      </w:r>
      <w:r>
        <w:rPr>
          <w:b/>
        </w:rPr>
        <w:t>”</w:t>
      </w:r>
      <w:r>
        <w:t xml:space="preserve"> is the total amount of the company’s R&amp;D loss tax credits for years before the rate increases minus the total amount of:</w:t>
      </w:r>
    </w:p>
    <w:p w:rsidR="00820238" w:rsidRDefault="00820238" w:rsidP="00820238"/>
    <w:p w:rsidR="00820238" w:rsidRDefault="00820238" w:rsidP="00E17C30">
      <w:pPr>
        <w:pStyle w:val="Bullets"/>
      </w:pPr>
      <w:r>
        <w:t>the company’s terminal tax, plus tax credits giving rise to imputation credits, minus refundable tax credits giving rise to imputation debits, for the period beginning with the first year a R&amp;D loss tax credit was claimed and ending with the tax year before the current year; and</w:t>
      </w:r>
    </w:p>
    <w:p w:rsidR="00820238" w:rsidRDefault="00820238" w:rsidP="00E17C30">
      <w:pPr>
        <w:pStyle w:val="Bullets"/>
      </w:pPr>
      <w:r>
        <w:t>payments of R&amp;D repayment tax relating to the R&amp;D loss tax credits before the current year</w:t>
      </w:r>
      <w:r w:rsidR="0028699B">
        <w:t xml:space="preserve"> (R&amp;D repayment tax is discussed in the next section)</w:t>
      </w:r>
      <w:r>
        <w:t>.</w:t>
      </w:r>
    </w:p>
    <w:p w:rsidR="00820238" w:rsidRDefault="00820238" w:rsidP="00820238"/>
    <w:p w:rsidR="00820238" w:rsidRDefault="00820238" w:rsidP="00820238">
      <w:r>
        <w:t>“</w:t>
      </w:r>
      <w:r w:rsidRPr="004E5892">
        <w:rPr>
          <w:b/>
        </w:rPr>
        <w:t>new rate</w:t>
      </w:r>
      <w:r>
        <w:t>” is the basic tax rate for a company after the rate increase:</w:t>
      </w:r>
    </w:p>
    <w:p w:rsidR="00820238" w:rsidRDefault="00820238" w:rsidP="00820238"/>
    <w:p w:rsidR="00820238" w:rsidRDefault="00820238" w:rsidP="00820238">
      <w:r>
        <w:t>“</w:t>
      </w:r>
      <w:r w:rsidRPr="004E5892">
        <w:rPr>
          <w:b/>
        </w:rPr>
        <w:t>old rate</w:t>
      </w:r>
      <w:r>
        <w:t>” is the greatest of:</w:t>
      </w:r>
    </w:p>
    <w:p w:rsidR="00820238" w:rsidRDefault="00820238" w:rsidP="00820238"/>
    <w:p w:rsidR="00820238" w:rsidRDefault="00820238" w:rsidP="00E17C30">
      <w:pPr>
        <w:pStyle w:val="Bullets"/>
      </w:pPr>
      <w:r>
        <w:t>the basic tax rate for a company before the rate increase;</w:t>
      </w:r>
    </w:p>
    <w:p w:rsidR="00820238" w:rsidRDefault="00820238" w:rsidP="00E17C30">
      <w:pPr>
        <w:pStyle w:val="Bullets"/>
      </w:pPr>
      <w:r>
        <w:t>the basic tax rate for a company for the latest year, before the current year, for which the person received a previous deduction under section MX 6; and</w:t>
      </w:r>
    </w:p>
    <w:p w:rsidR="00820238" w:rsidRDefault="00820238" w:rsidP="00B67176">
      <w:pPr>
        <w:pStyle w:val="Bullets"/>
        <w:spacing w:after="0"/>
      </w:pPr>
      <w:r>
        <w:t>the basic tax rate for a company for the year in which the latest R&amp;D loss tax credit arose (before the current year).</w:t>
      </w:r>
    </w:p>
    <w:p w:rsidR="00B9363F" w:rsidRPr="00646A8A" w:rsidRDefault="00B9363F" w:rsidP="00B9363F"/>
    <w:p w:rsidR="008B308B" w:rsidRPr="00CB259B" w:rsidRDefault="008B308B"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E3A7C" w:rsidRPr="00F01512">
        <w:rPr>
          <w:b/>
          <w:sz w:val="20"/>
          <w:szCs w:val="20"/>
        </w:rPr>
        <w:t xml:space="preserve">: </w:t>
      </w:r>
      <w:r w:rsidR="00D931F9" w:rsidRPr="00F01512">
        <w:rPr>
          <w:b/>
          <w:sz w:val="20"/>
          <w:szCs w:val="20"/>
        </w:rPr>
        <w:t>I</w:t>
      </w:r>
      <w:r w:rsidR="003E3A7C" w:rsidRPr="00F01512">
        <w:rPr>
          <w:b/>
          <w:sz w:val="20"/>
          <w:szCs w:val="20"/>
        </w:rPr>
        <w:t>ncrease in the company tax rate</w:t>
      </w:r>
    </w:p>
    <w:p w:rsidR="007F7278" w:rsidRPr="00F01512" w:rsidRDefault="007F7278" w:rsidP="00CB259B">
      <w:pPr>
        <w:pBdr>
          <w:top w:val="single" w:sz="4" w:space="10" w:color="auto"/>
          <w:left w:val="single" w:sz="4" w:space="10" w:color="auto"/>
          <w:bottom w:val="single" w:sz="4" w:space="10" w:color="auto"/>
          <w:right w:val="single" w:sz="4" w:space="10" w:color="auto"/>
        </w:pBdr>
        <w:rPr>
          <w:sz w:val="20"/>
          <w:szCs w:val="20"/>
        </w:rPr>
      </w:pPr>
    </w:p>
    <w:p w:rsidR="008B308B" w:rsidRPr="00CB259B" w:rsidRDefault="000D4B58"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Hemant</w:t>
      </w:r>
      <w:r w:rsidR="008B308B" w:rsidRPr="00CB259B">
        <w:rPr>
          <w:sz w:val="20"/>
          <w:szCs w:val="20"/>
        </w:rPr>
        <w:t xml:space="preserve">ware Ltd </w:t>
      </w:r>
      <w:r w:rsidR="00B9363F">
        <w:rPr>
          <w:sz w:val="20"/>
        </w:rPr>
        <w:t>researches new materials for sport shoes.  The company</w:t>
      </w:r>
      <w:r w:rsidR="00B9363F" w:rsidRPr="00B218D7">
        <w:rPr>
          <w:sz w:val="20"/>
        </w:rPr>
        <w:t xml:space="preserve"> </w:t>
      </w:r>
      <w:r w:rsidR="008B308B" w:rsidRPr="00CB259B">
        <w:rPr>
          <w:sz w:val="20"/>
          <w:szCs w:val="20"/>
        </w:rPr>
        <w:t>cashes out $800,000 of tax losses in the 2016</w:t>
      </w:r>
      <w:r w:rsidR="00A578C5" w:rsidRPr="00CB259B">
        <w:rPr>
          <w:sz w:val="20"/>
          <w:szCs w:val="20"/>
        </w:rPr>
        <w:t>–</w:t>
      </w:r>
      <w:r w:rsidR="008B308B" w:rsidRPr="00CB259B">
        <w:rPr>
          <w:sz w:val="20"/>
          <w:szCs w:val="20"/>
        </w:rPr>
        <w:t>17 income year when the company tax rate is 0.28, to receive tax credits of $224,000.  The company tax rate changes to 0.30 for the 2017</w:t>
      </w:r>
      <w:r w:rsidR="00A578C5" w:rsidRPr="00CB259B">
        <w:rPr>
          <w:sz w:val="20"/>
          <w:szCs w:val="20"/>
        </w:rPr>
        <w:t>–</w:t>
      </w:r>
      <w:r w:rsidR="008B308B" w:rsidRPr="00CB259B">
        <w:rPr>
          <w:sz w:val="20"/>
          <w:szCs w:val="20"/>
        </w:rPr>
        <w:t xml:space="preserve">18 tax year.  </w:t>
      </w:r>
      <w:r w:rsidR="00D8484E" w:rsidRPr="00CB259B">
        <w:rPr>
          <w:sz w:val="20"/>
          <w:szCs w:val="20"/>
        </w:rPr>
        <w:t xml:space="preserve">Hemantware </w:t>
      </w:r>
      <w:r w:rsidR="008B308B" w:rsidRPr="00CB259B">
        <w:rPr>
          <w:sz w:val="20"/>
          <w:szCs w:val="20"/>
        </w:rPr>
        <w:t xml:space="preserve">Ltd has a </w:t>
      </w:r>
      <w:r w:rsidRPr="00CB259B">
        <w:rPr>
          <w:sz w:val="20"/>
          <w:szCs w:val="20"/>
        </w:rPr>
        <w:t>resulting</w:t>
      </w:r>
      <w:r w:rsidR="008B308B" w:rsidRPr="00CB259B">
        <w:rPr>
          <w:sz w:val="20"/>
          <w:szCs w:val="20"/>
        </w:rPr>
        <w:t xml:space="preserve"> deduction of </w:t>
      </w:r>
      <w:r w:rsidR="00EC7F52" w:rsidRPr="00CB259B">
        <w:rPr>
          <w:sz w:val="20"/>
          <w:szCs w:val="20"/>
        </w:rPr>
        <w:t>$53,333 [</w:t>
      </w:r>
      <w:r w:rsidR="008B308B" w:rsidRPr="00CB259B">
        <w:rPr>
          <w:sz w:val="20"/>
          <w:szCs w:val="20"/>
        </w:rPr>
        <w:t>$224,000</w:t>
      </w:r>
      <w:r w:rsidR="009A385F">
        <w:rPr>
          <w:sz w:val="20"/>
          <w:szCs w:val="20"/>
        </w:rPr>
        <w:t xml:space="preserve"> </w:t>
      </w:r>
      <w:r w:rsidR="008B308B" w:rsidRPr="00CB259B">
        <w:rPr>
          <w:sz w:val="20"/>
          <w:szCs w:val="20"/>
        </w:rPr>
        <w:t>*</w:t>
      </w:r>
      <w:r w:rsidR="009A385F">
        <w:rPr>
          <w:sz w:val="20"/>
          <w:szCs w:val="20"/>
        </w:rPr>
        <w:t xml:space="preserve"> </w:t>
      </w:r>
      <w:r w:rsidR="008B308B" w:rsidRPr="00CB259B">
        <w:rPr>
          <w:sz w:val="20"/>
          <w:szCs w:val="20"/>
        </w:rPr>
        <w:t>(0.3</w:t>
      </w:r>
      <w:r w:rsidR="009A385F">
        <w:rPr>
          <w:sz w:val="20"/>
          <w:szCs w:val="20"/>
        </w:rPr>
        <w:t xml:space="preserve"> </w:t>
      </w:r>
      <w:r w:rsidR="00A578C5" w:rsidRPr="00CB259B">
        <w:rPr>
          <w:sz w:val="20"/>
          <w:szCs w:val="20"/>
        </w:rPr>
        <w:t>–</w:t>
      </w:r>
      <w:r w:rsidR="009A385F">
        <w:rPr>
          <w:sz w:val="20"/>
          <w:szCs w:val="20"/>
        </w:rPr>
        <w:t xml:space="preserve"> </w:t>
      </w:r>
      <w:r w:rsidR="008B308B" w:rsidRPr="00CB259B">
        <w:rPr>
          <w:sz w:val="20"/>
          <w:szCs w:val="20"/>
        </w:rPr>
        <w:t>0.28)</w:t>
      </w:r>
      <w:r w:rsidR="00EC7F52" w:rsidRPr="00CB259B">
        <w:rPr>
          <w:sz w:val="20"/>
          <w:szCs w:val="20"/>
        </w:rPr>
        <w:t xml:space="preserve"> ÷</w:t>
      </w:r>
      <w:r w:rsidR="00A578C5" w:rsidRPr="00CB259B">
        <w:rPr>
          <w:sz w:val="20"/>
          <w:szCs w:val="20"/>
        </w:rPr>
        <w:t xml:space="preserve"> </w:t>
      </w:r>
      <w:r w:rsidR="00EC7F52" w:rsidRPr="00CB259B">
        <w:rPr>
          <w:sz w:val="20"/>
          <w:szCs w:val="20"/>
        </w:rPr>
        <w:t>(0.30</w:t>
      </w:r>
      <w:r w:rsidR="009A385F">
        <w:rPr>
          <w:sz w:val="20"/>
          <w:szCs w:val="20"/>
        </w:rPr>
        <w:t xml:space="preserve"> </w:t>
      </w:r>
      <w:r w:rsidR="00EC7F52" w:rsidRPr="00CB259B">
        <w:rPr>
          <w:sz w:val="20"/>
          <w:szCs w:val="20"/>
        </w:rPr>
        <w:t>*</w:t>
      </w:r>
      <w:r w:rsidR="009A385F">
        <w:rPr>
          <w:sz w:val="20"/>
          <w:szCs w:val="20"/>
        </w:rPr>
        <w:t xml:space="preserve"> </w:t>
      </w:r>
      <w:r w:rsidR="00EC7F52" w:rsidRPr="00CB259B">
        <w:rPr>
          <w:sz w:val="20"/>
          <w:szCs w:val="20"/>
        </w:rPr>
        <w:t>0.28)]</w:t>
      </w:r>
      <w:r w:rsidR="00B9363F">
        <w:rPr>
          <w:sz w:val="20"/>
          <w:szCs w:val="20"/>
        </w:rPr>
        <w:t xml:space="preserve"> for that year</w:t>
      </w:r>
      <w:r w:rsidR="00EC7F52" w:rsidRPr="00CB259B">
        <w:rPr>
          <w:sz w:val="20"/>
          <w:szCs w:val="20"/>
        </w:rPr>
        <w:t>.</w:t>
      </w:r>
    </w:p>
    <w:p w:rsidR="00B67176" w:rsidRDefault="00B67176" w:rsidP="00CB259B"/>
    <w:p w:rsidR="00692599" w:rsidRDefault="008B308B" w:rsidP="00CB259B">
      <w:r>
        <w:t>There is no c</w:t>
      </w:r>
      <w:r w:rsidR="000D4B58">
        <w:t>ompl</w:t>
      </w:r>
      <w:r w:rsidR="00A578C5">
        <w:t>e</w:t>
      </w:r>
      <w:r w:rsidR="000D4B58">
        <w:t>mentary provision to create income (or remove</w:t>
      </w:r>
      <w:r>
        <w:t xml:space="preserve"> deductions</w:t>
      </w:r>
      <w:r w:rsidR="000D4B58">
        <w:t>)</w:t>
      </w:r>
      <w:r>
        <w:t xml:space="preserve"> if the</w:t>
      </w:r>
      <w:r w:rsidR="000D4B58">
        <w:t xml:space="preserve"> company tax rate is reduced.</w:t>
      </w:r>
    </w:p>
    <w:p w:rsidR="00692599" w:rsidRDefault="00692599" w:rsidP="00CB259B"/>
    <w:p w:rsidR="006073D4" w:rsidRPr="00E17C30" w:rsidRDefault="0028699B" w:rsidP="00E17C30">
      <w:pPr>
        <w:pStyle w:val="Heading2"/>
        <w:rPr>
          <w:rStyle w:val="Strong"/>
          <w:b/>
        </w:rPr>
      </w:pPr>
      <w:r w:rsidRPr="00E17C30">
        <w:rPr>
          <w:rStyle w:val="Strong"/>
          <w:b/>
        </w:rPr>
        <w:lastRenderedPageBreak/>
        <w:t xml:space="preserve">Repayment </w:t>
      </w:r>
      <w:r w:rsidR="006073D4" w:rsidRPr="00E17C30">
        <w:rPr>
          <w:rStyle w:val="Strong"/>
          <w:b/>
        </w:rPr>
        <w:t xml:space="preserve">of </w:t>
      </w:r>
      <w:r w:rsidR="00DA09AB" w:rsidRPr="00E17C30">
        <w:rPr>
          <w:rStyle w:val="Strong"/>
          <w:b/>
        </w:rPr>
        <w:t>cashed</w:t>
      </w:r>
      <w:r w:rsidR="009A3E40" w:rsidRPr="00E17C30">
        <w:rPr>
          <w:rStyle w:val="Strong"/>
          <w:b/>
        </w:rPr>
        <w:t xml:space="preserve"> </w:t>
      </w:r>
      <w:r w:rsidR="00DA09AB" w:rsidRPr="00E17C30">
        <w:rPr>
          <w:rStyle w:val="Strong"/>
          <w:b/>
        </w:rPr>
        <w:t xml:space="preserve">out </w:t>
      </w:r>
      <w:r w:rsidR="006073D4" w:rsidRPr="00E17C30">
        <w:rPr>
          <w:rStyle w:val="Strong"/>
          <w:b/>
        </w:rPr>
        <w:t>losses</w:t>
      </w:r>
    </w:p>
    <w:p w:rsidR="00B84760" w:rsidRPr="00617F9A" w:rsidRDefault="00B84760" w:rsidP="00617F9A"/>
    <w:p w:rsidR="006073D4" w:rsidRPr="00B84760" w:rsidRDefault="00392DF3" w:rsidP="00617F9A">
      <w:pPr>
        <w:pStyle w:val="Heading3"/>
      </w:pPr>
      <w:r w:rsidRPr="00B84760">
        <w:t xml:space="preserve">Sections DV 26, MX </w:t>
      </w:r>
      <w:r w:rsidR="0095582E">
        <w:t>7</w:t>
      </w:r>
      <w:r w:rsidR="007218A3">
        <w:t xml:space="preserve"> and</w:t>
      </w:r>
      <w:r w:rsidRPr="00B84760">
        <w:t xml:space="preserve"> </w:t>
      </w:r>
      <w:r w:rsidR="00CC4082" w:rsidRPr="00B84760">
        <w:t>YA 1 of the Income Tax Act</w:t>
      </w:r>
      <w:r w:rsidR="007218A3">
        <w:t xml:space="preserve"> 2007</w:t>
      </w:r>
      <w:r w:rsidR="00CC4082" w:rsidRPr="00B84760">
        <w:t>; section 70C of the Tax Administration Act 1994</w:t>
      </w:r>
    </w:p>
    <w:p w:rsidR="006073D4" w:rsidRDefault="006073D4" w:rsidP="006073D4"/>
    <w:p w:rsidR="006073D4" w:rsidRDefault="006073D4" w:rsidP="006073D4">
      <w:r>
        <w:t>A cashed</w:t>
      </w:r>
      <w:r w:rsidR="009A3E40">
        <w:t xml:space="preserve"> </w:t>
      </w:r>
      <w:r>
        <w:t xml:space="preserve">out loss can be thought of as an interest-free loan from the Government to be repaid from the taxpayer’s future taxable income; it is intended to provide a temporary cashflow timing benefit when the company is in </w:t>
      </w:r>
      <w:r w:rsidR="00C53E4F">
        <w:t xml:space="preserve">a </w:t>
      </w:r>
      <w:r>
        <w:t>tax loss</w:t>
      </w:r>
      <w:r w:rsidR="00C53E4F">
        <w:t xml:space="preserve"> position</w:t>
      </w:r>
      <w:r>
        <w:t>.</w:t>
      </w:r>
    </w:p>
    <w:p w:rsidR="006073D4" w:rsidRDefault="006073D4" w:rsidP="006073D4"/>
    <w:p w:rsidR="006073D4" w:rsidRDefault="002A72C2" w:rsidP="006073D4">
      <w:r>
        <w:t xml:space="preserve">Repayment of cashed out losses will occur when a taxpayer pays tax on </w:t>
      </w:r>
      <w:r w:rsidR="00DA09AB">
        <w:t>taxable</w:t>
      </w:r>
      <w:r>
        <w:t xml:space="preserve"> income that would have been sheltered by the cashed out losses</w:t>
      </w:r>
      <w:r w:rsidR="0028699B">
        <w:t xml:space="preserve"> if they had been carried forward</w:t>
      </w:r>
      <w:r>
        <w:t xml:space="preserve">.  </w:t>
      </w:r>
      <w:r w:rsidR="0081259B">
        <w:t>However i</w:t>
      </w:r>
      <w:r w:rsidR="006073D4">
        <w:t xml:space="preserve">f the company or the shareholders make an untaxed return on their investment before they have repaid the value of the cashed-out loss, this </w:t>
      </w:r>
      <w:r w:rsidR="000477AD">
        <w:t xml:space="preserve">would </w:t>
      </w:r>
      <w:r w:rsidR="006073D4">
        <w:t>lead to an outcome that is</w:t>
      </w:r>
      <w:r w:rsidR="0081259B">
        <w:t xml:space="preserve"> </w:t>
      </w:r>
      <w:r w:rsidR="006073D4">
        <w:t xml:space="preserve">concessionary </w:t>
      </w:r>
      <w:r w:rsidR="00DA09AB">
        <w:t xml:space="preserve">for </w:t>
      </w:r>
      <w:r w:rsidR="006073D4">
        <w:t>the taxpayer</w:t>
      </w:r>
      <w:r w:rsidR="000477AD">
        <w:t xml:space="preserve"> unless it triggered the repayment of some cashed-out losses</w:t>
      </w:r>
      <w:r w:rsidR="006073D4">
        <w:t xml:space="preserve">.  </w:t>
      </w:r>
      <w:r w:rsidR="000477AD">
        <w:t>This is because, i</w:t>
      </w:r>
      <w:r w:rsidR="006073D4">
        <w:t xml:space="preserve">n addition to the untaxed receipt, </w:t>
      </w:r>
      <w:r w:rsidR="000477AD">
        <w:t xml:space="preserve">the taxpayer </w:t>
      </w:r>
      <w:r w:rsidR="0028699B">
        <w:t>would</w:t>
      </w:r>
      <w:r w:rsidR="006073D4">
        <w:t xml:space="preserve"> also retain the benefit of the remaining cashed-out losses that have not yet been repaid.  This also creates a fiscal risk.</w:t>
      </w:r>
    </w:p>
    <w:p w:rsidR="006073D4" w:rsidRDefault="006073D4" w:rsidP="006073D4"/>
    <w:p w:rsidR="006073D4" w:rsidRDefault="006073D4" w:rsidP="006073D4">
      <w:r>
        <w:t xml:space="preserve">If the company </w:t>
      </w:r>
      <w:r w:rsidR="00B9363F">
        <w:t xml:space="preserve">sells </w:t>
      </w:r>
      <w:r>
        <w:t>intellectual property</w:t>
      </w:r>
      <w:r w:rsidR="000073C9">
        <w:t>, migrates</w:t>
      </w:r>
      <w:r>
        <w:t xml:space="preserve"> or if the company is sold, it is highly lik</w:t>
      </w:r>
      <w:r w:rsidR="00D51BC4">
        <w:t>ely the</w:t>
      </w:r>
      <w:r>
        <w:t xml:space="preserve"> company will no longer be constrained to the same degree by the market </w:t>
      </w:r>
      <w:r w:rsidR="0081259B">
        <w:t xml:space="preserve">conditions </w:t>
      </w:r>
      <w:r>
        <w:t>and cashflow constraints</w:t>
      </w:r>
      <w:r w:rsidR="00361A49">
        <w:t xml:space="preserve"> affecting small research and development intensive start-up companies</w:t>
      </w:r>
      <w:r>
        <w:t xml:space="preserve">.  In this situation, the original policy rationale will no longer apply, as the company will have funds available to pay back the value of the cashed-out loss.  </w:t>
      </w:r>
      <w:r w:rsidR="00DA09AB">
        <w:t>S</w:t>
      </w:r>
      <w:r w:rsidR="00DD5D9B">
        <w:t>ection MX </w:t>
      </w:r>
      <w:bookmarkStart w:id="5" w:name="_GoBack"/>
      <w:bookmarkEnd w:id="5"/>
      <w:r w:rsidR="0095582E">
        <w:t>7</w:t>
      </w:r>
      <w:r>
        <w:t xml:space="preserve"> sets out the rules required to recover the value of any remaining cashed-out loss to ensure the correct policy outcome.</w:t>
      </w:r>
    </w:p>
    <w:p w:rsidR="006073D4" w:rsidRDefault="006073D4" w:rsidP="006073D4"/>
    <w:p w:rsidR="006073D4" w:rsidRDefault="0028699B" w:rsidP="006073D4">
      <w:r>
        <w:t>The remaining amount of any</w:t>
      </w:r>
      <w:r w:rsidR="0081259B">
        <w:t xml:space="preserve"> </w:t>
      </w:r>
      <w:r w:rsidR="00392DF3">
        <w:t>c</w:t>
      </w:r>
      <w:r w:rsidR="006073D4">
        <w:t>ashed</w:t>
      </w:r>
      <w:r w:rsidR="008045DB">
        <w:t>-</w:t>
      </w:r>
      <w:r w:rsidR="006073D4">
        <w:t xml:space="preserve">out </w:t>
      </w:r>
      <w:r w:rsidR="0081259B">
        <w:t>tax loss</w:t>
      </w:r>
      <w:r w:rsidR="00866F51">
        <w:t>es</w:t>
      </w:r>
      <w:r w:rsidR="0081259B">
        <w:t xml:space="preserve"> </w:t>
      </w:r>
      <w:r w:rsidR="008045DB">
        <w:t>must be</w:t>
      </w:r>
      <w:r w:rsidR="006073D4">
        <w:t xml:space="preserve"> repaid</w:t>
      </w:r>
      <w:r>
        <w:t xml:space="preserve"> when</w:t>
      </w:r>
      <w:r w:rsidR="008960E3">
        <w:t xml:space="preserve"> one or more of the following four </w:t>
      </w:r>
      <w:r w:rsidR="00290A9E">
        <w:t>repayment</w:t>
      </w:r>
      <w:r w:rsidR="008960E3">
        <w:t xml:space="preserve"> events occur during the year</w:t>
      </w:r>
      <w:r w:rsidR="006073D4">
        <w:t>:</w:t>
      </w:r>
    </w:p>
    <w:p w:rsidR="008045DB" w:rsidRDefault="008045DB" w:rsidP="006073D4"/>
    <w:p w:rsidR="008045DB" w:rsidRDefault="008045DB" w:rsidP="00617F9A">
      <w:pPr>
        <w:pStyle w:val="Bullets"/>
      </w:pPr>
      <w:r>
        <w:t>T</w:t>
      </w:r>
      <w:r w:rsidR="006073D4">
        <w:t xml:space="preserve">he company makes a return on </w:t>
      </w:r>
      <w:r>
        <w:t>its</w:t>
      </w:r>
      <w:r w:rsidR="006073D4">
        <w:t xml:space="preserve"> investment by disposing of or transferring res</w:t>
      </w:r>
      <w:r w:rsidR="005E454D">
        <w:t>earch and development assets</w:t>
      </w:r>
      <w:r w:rsidR="0081259B">
        <w:t xml:space="preserve"> (</w:t>
      </w:r>
      <w:r w:rsidR="001C034C">
        <w:t>that is,</w:t>
      </w:r>
      <w:r w:rsidR="0081259B">
        <w:t xml:space="preserve"> intellectual property, intangible property, core technology and know-how)</w:t>
      </w:r>
      <w:r w:rsidR="005E454D">
        <w:t xml:space="preserve">.  </w:t>
      </w:r>
      <w:r>
        <w:t>The e</w:t>
      </w:r>
      <w:r w:rsidR="005E454D">
        <w:t xml:space="preserve">xceptions are if the disposal is part of an amalgamation or if the disposal </w:t>
      </w:r>
      <w:r w:rsidR="0081259B">
        <w:t>is</w:t>
      </w:r>
      <w:r w:rsidR="005E454D">
        <w:t xml:space="preserve"> for </w:t>
      </w:r>
      <w:r w:rsidR="0081259B">
        <w:t xml:space="preserve">at least </w:t>
      </w:r>
      <w:r w:rsidR="005E454D">
        <w:t>market value consideration that is assessable income to the company</w:t>
      </w:r>
      <w:r w:rsidR="009A3E40">
        <w:t>.</w:t>
      </w:r>
    </w:p>
    <w:p w:rsidR="006073D4" w:rsidRDefault="008045DB" w:rsidP="00617F9A">
      <w:pPr>
        <w:pStyle w:val="Bullets"/>
      </w:pPr>
      <w:r>
        <w:t>T</w:t>
      </w:r>
      <w:r w:rsidR="006073D4">
        <w:t>he company</w:t>
      </w:r>
      <w:r w:rsidR="004D5A6A">
        <w:t xml:space="preserve"> </w:t>
      </w:r>
      <w:r w:rsidR="0081259B">
        <w:t>ceases</w:t>
      </w:r>
      <w:r w:rsidR="004D5A6A">
        <w:t xml:space="preserve"> to be a company resident in New Zealand for tax purposes</w:t>
      </w:r>
      <w:r w:rsidR="0081259B">
        <w:t xml:space="preserve"> or becomes</w:t>
      </w:r>
      <w:r w:rsidR="0081259B" w:rsidRPr="0081259B">
        <w:t xml:space="preserve"> </w:t>
      </w:r>
      <w:r w:rsidR="0081259B">
        <w:t>resident in a foreign country under a double tax agreement</w:t>
      </w:r>
      <w:r w:rsidR="004D5A6A">
        <w:t>.</w:t>
      </w:r>
      <w:r>
        <w:t xml:space="preserve"> </w:t>
      </w:r>
      <w:r w:rsidR="004D5A6A">
        <w:t xml:space="preserve"> This is most likely to apply if the company</w:t>
      </w:r>
      <w:r w:rsidR="006073D4">
        <w:t xml:space="preserve"> migrates</w:t>
      </w:r>
      <w:r w:rsidR="009A3E40">
        <w:t>.</w:t>
      </w:r>
    </w:p>
    <w:p w:rsidR="006073D4" w:rsidRDefault="0081259B" w:rsidP="00617F9A">
      <w:pPr>
        <w:pStyle w:val="Bullets"/>
      </w:pPr>
      <w:r>
        <w:t>The</w:t>
      </w:r>
      <w:r w:rsidR="00960DC1">
        <w:t xml:space="preserve"> company h</w:t>
      </w:r>
      <w:r w:rsidR="00DB4C50">
        <w:t>as a liquidator appointed</w:t>
      </w:r>
      <w:r w:rsidR="009A3E40">
        <w:t>.</w:t>
      </w:r>
    </w:p>
    <w:p w:rsidR="006073D4" w:rsidRDefault="009A3E40" w:rsidP="00617F9A">
      <w:pPr>
        <w:pStyle w:val="Bullets"/>
        <w:spacing w:after="0"/>
      </w:pPr>
      <w:r>
        <w:t xml:space="preserve">Or </w:t>
      </w:r>
      <w:r w:rsidR="006073D4">
        <w:t xml:space="preserve">more than 90 </w:t>
      </w:r>
      <w:r w:rsidR="00DB4C50">
        <w:t>percent</w:t>
      </w:r>
      <w:r w:rsidR="006073D4">
        <w:t xml:space="preserve"> of the company </w:t>
      </w:r>
      <w:r w:rsidR="0081259B">
        <w:t>is</w:t>
      </w:r>
      <w:r w:rsidR="006073D4">
        <w:t xml:space="preserve"> sold</w:t>
      </w:r>
      <w:r w:rsidR="00AB7239">
        <w:t xml:space="preserve"> or transferred</w:t>
      </w:r>
      <w:r w:rsidR="006073D4">
        <w:t xml:space="preserve"> </w:t>
      </w:r>
      <w:r w:rsidR="00960DC1">
        <w:t xml:space="preserve">after </w:t>
      </w:r>
      <w:r w:rsidR="006073D4">
        <w:t>the tax loss</w:t>
      </w:r>
      <w:r w:rsidR="0081259B">
        <w:t xml:space="preserve"> was cashed out</w:t>
      </w:r>
      <w:r w:rsidR="006073D4">
        <w:t>.</w:t>
      </w:r>
    </w:p>
    <w:p w:rsidR="008960E3" w:rsidRDefault="008960E3" w:rsidP="00410DBB"/>
    <w:p w:rsidR="008960E3" w:rsidRDefault="008960E3" w:rsidP="008960E3">
      <w:r>
        <w:t>A</w:t>
      </w:r>
      <w:r w:rsidR="00EE6FFB">
        <w:t xml:space="preserve"> cashed-out</w:t>
      </w:r>
      <w:r>
        <w:t xml:space="preserve"> tax loss is repaid </w:t>
      </w:r>
      <w:r w:rsidR="00866F51">
        <w:t>by payment of</w:t>
      </w:r>
      <w:r>
        <w:t xml:space="preserve"> the new R&amp;D repayment tax.  The R&amp;D repayment tax is due by the terminal tax date for the tax year </w:t>
      </w:r>
      <w:r w:rsidR="00866F51">
        <w:t xml:space="preserve">in which </w:t>
      </w:r>
      <w:r>
        <w:t xml:space="preserve">the </w:t>
      </w:r>
      <w:r w:rsidR="00290A9E">
        <w:t>repayment</w:t>
      </w:r>
      <w:r w:rsidR="00EE6FFB">
        <w:t xml:space="preserve"> event occurs</w:t>
      </w:r>
      <w:r>
        <w:t xml:space="preserve">.  The amount of R&amp;D </w:t>
      </w:r>
      <w:r w:rsidR="00866F51">
        <w:t>re</w:t>
      </w:r>
      <w:r>
        <w:t xml:space="preserve">payment tax payable depends on the type of </w:t>
      </w:r>
      <w:r w:rsidR="00290A9E">
        <w:t>repayment event</w:t>
      </w:r>
      <w:r>
        <w:t xml:space="preserve"> which occurs.</w:t>
      </w:r>
    </w:p>
    <w:p w:rsidR="009C15C6" w:rsidRDefault="009C15C6" w:rsidP="006073D4"/>
    <w:p w:rsidR="00573AC7" w:rsidRPr="002C1903" w:rsidRDefault="00573AC7" w:rsidP="005A1169">
      <w:pPr>
        <w:pStyle w:val="Heading3"/>
      </w:pPr>
      <w:r w:rsidRPr="002C1903">
        <w:lastRenderedPageBreak/>
        <w:t>Transfer of intellectual property (</w:t>
      </w:r>
      <w:r w:rsidR="002C1903">
        <w:t>and when migration or liquidation-induced repayment obligations do not apply</w:t>
      </w:r>
      <w:r w:rsidRPr="002C1903">
        <w:t>)</w:t>
      </w:r>
    </w:p>
    <w:p w:rsidR="00573AC7" w:rsidRPr="00573AC7" w:rsidRDefault="00573AC7" w:rsidP="006073D4">
      <w:pPr>
        <w:rPr>
          <w:i/>
        </w:rPr>
      </w:pPr>
    </w:p>
    <w:p w:rsidR="009C15C6" w:rsidRDefault="006073D4" w:rsidP="006073D4">
      <w:r>
        <w:t>In the case of the sale of</w:t>
      </w:r>
      <w:r w:rsidR="00573AC7">
        <w:t xml:space="preserve"> research and development assets</w:t>
      </w:r>
      <w:r>
        <w:t>, the repayment amount (</w:t>
      </w:r>
      <w:r w:rsidR="00712D6B">
        <w:t xml:space="preserve">R&amp;D </w:t>
      </w:r>
      <w:r>
        <w:t>repayment tax) will be capped</w:t>
      </w:r>
      <w:r w:rsidR="00B9363F">
        <w:t xml:space="preserve">, for that event, </w:t>
      </w:r>
      <w:r>
        <w:t>at the market value of the consideration for the disposal or transfer</w:t>
      </w:r>
      <w:r w:rsidR="00565617">
        <w:t>,</w:t>
      </w:r>
      <w:r>
        <w:t xml:space="preserve"> multiplied by the tax rate.</w:t>
      </w:r>
    </w:p>
    <w:p w:rsidR="009C15C6" w:rsidRDefault="009C15C6" w:rsidP="006073D4"/>
    <w:p w:rsidR="007A2EDD" w:rsidRDefault="009C15C6" w:rsidP="00A97F93">
      <w:r>
        <w:t xml:space="preserve">That is, the </w:t>
      </w:r>
      <w:r w:rsidR="00C75965">
        <w:t>R&amp;D repayment tax</w:t>
      </w:r>
      <w:r w:rsidR="00C75965" w:rsidDel="00C75965">
        <w:t xml:space="preserve"> </w:t>
      </w:r>
      <w:r>
        <w:t>is the less</w:t>
      </w:r>
      <w:r w:rsidR="00712D6B">
        <w:t>e</w:t>
      </w:r>
      <w:r>
        <w:t>r of</w:t>
      </w:r>
      <w:r w:rsidR="007A2EDD">
        <w:t xml:space="preserve"> any</w:t>
      </w:r>
      <w:r w:rsidR="00A40455">
        <w:t xml:space="preserve"> unrepaid</w:t>
      </w:r>
      <w:r w:rsidR="007A2EDD">
        <w:t xml:space="preserve"> </w:t>
      </w:r>
      <w:r w:rsidR="00C75965">
        <w:t>R&amp;D</w:t>
      </w:r>
      <w:r w:rsidR="00060B82">
        <w:t xml:space="preserve"> </w:t>
      </w:r>
      <w:r w:rsidR="002A7365">
        <w:t>loss tax credit</w:t>
      </w:r>
      <w:r w:rsidR="00060B82">
        <w:t>s</w:t>
      </w:r>
      <w:r w:rsidR="007A2EDD">
        <w:t xml:space="preserve"> </w:t>
      </w:r>
      <w:r w:rsidR="00B9363F">
        <w:t>and</w:t>
      </w:r>
      <w:r w:rsidR="007A2EDD">
        <w:t xml:space="preserve"> the </w:t>
      </w:r>
      <w:r w:rsidR="00ED1737">
        <w:t xml:space="preserve">market value of the </w:t>
      </w:r>
      <w:r w:rsidR="00EE6FFB">
        <w:t>transferred assets</w:t>
      </w:r>
      <w:r w:rsidR="001E5015">
        <w:t xml:space="preserve"> </w:t>
      </w:r>
      <w:r w:rsidR="00ED1737">
        <w:t>(</w:t>
      </w:r>
      <w:r w:rsidR="00ED1737" w:rsidRPr="00ED1737">
        <w:rPr>
          <w:i/>
        </w:rPr>
        <w:t>intangibles’ market value</w:t>
      </w:r>
      <w:r w:rsidR="00ED1737">
        <w:t>)</w:t>
      </w:r>
      <w:r w:rsidR="00565617">
        <w:t>,</w:t>
      </w:r>
      <w:r w:rsidR="00ED1737">
        <w:t xml:space="preserve"> </w:t>
      </w:r>
      <w:r w:rsidR="007A2EDD">
        <w:t>multiplied by the tax rate.</w:t>
      </w:r>
    </w:p>
    <w:p w:rsidR="007A2EDD" w:rsidRDefault="007A2EDD" w:rsidP="00A97F93"/>
    <w:p w:rsidR="009C15C6" w:rsidRDefault="007A2EDD" w:rsidP="007A2EDD">
      <w:r>
        <w:t xml:space="preserve">The unrepaid </w:t>
      </w:r>
      <w:r w:rsidR="00C75965">
        <w:t>R&amp;D</w:t>
      </w:r>
      <w:r w:rsidR="0099519A">
        <w:t xml:space="preserve"> </w:t>
      </w:r>
      <w:r w:rsidR="002A7365">
        <w:t>loss tax credit</w:t>
      </w:r>
      <w:r w:rsidR="0099519A">
        <w:t xml:space="preserve">s </w:t>
      </w:r>
      <w:r>
        <w:t xml:space="preserve">are the </w:t>
      </w:r>
      <w:r w:rsidR="009C15C6">
        <w:t>total amount o</w:t>
      </w:r>
      <w:r w:rsidR="00E81982">
        <w:t xml:space="preserve">f </w:t>
      </w:r>
      <w:r w:rsidR="00C75965">
        <w:t>R&amp;D</w:t>
      </w:r>
      <w:r w:rsidR="0099519A">
        <w:t xml:space="preserve"> </w:t>
      </w:r>
      <w:r w:rsidR="002A7365">
        <w:t>loss tax credit</w:t>
      </w:r>
      <w:r w:rsidR="0099519A">
        <w:t>s</w:t>
      </w:r>
      <w:r w:rsidR="00B9363F">
        <w:t xml:space="preserve"> paid to the company over time</w:t>
      </w:r>
      <w:r w:rsidR="009C15C6">
        <w:t xml:space="preserve">: </w:t>
      </w:r>
    </w:p>
    <w:p w:rsidR="00617F9A" w:rsidRDefault="00617F9A" w:rsidP="007A2EDD"/>
    <w:p w:rsidR="009C15C6" w:rsidRDefault="009C15C6" w:rsidP="00617F9A">
      <w:pPr>
        <w:pStyle w:val="Bullets"/>
      </w:pPr>
      <w:r>
        <w:t>minus the company’s terminal tax</w:t>
      </w:r>
      <w:r w:rsidR="00866F51">
        <w:t>;</w:t>
      </w:r>
    </w:p>
    <w:p w:rsidR="009C15C6" w:rsidRDefault="00E81982" w:rsidP="00617F9A">
      <w:pPr>
        <w:pStyle w:val="Bullets"/>
      </w:pPr>
      <w:r>
        <w:t>minus</w:t>
      </w:r>
      <w:r w:rsidR="009C15C6">
        <w:t xml:space="preserve"> tax credits giving rise to imputation credits (for example</w:t>
      </w:r>
      <w:r w:rsidR="00565617">
        <w:t>,</w:t>
      </w:r>
      <w:r w:rsidR="009C15C6">
        <w:t xml:space="preserve"> provisional tax)</w:t>
      </w:r>
      <w:r w:rsidR="00866F51">
        <w:t>;</w:t>
      </w:r>
    </w:p>
    <w:p w:rsidR="009A385F" w:rsidRDefault="00E81982" w:rsidP="004E5892">
      <w:pPr>
        <w:pStyle w:val="Bullets"/>
        <w:jc w:val="left"/>
      </w:pPr>
      <w:r>
        <w:t>plus</w:t>
      </w:r>
      <w:r w:rsidR="009C15C6">
        <w:t xml:space="preserve"> refundable tax credits </w:t>
      </w:r>
      <w:r w:rsidR="0059554D">
        <w:t>giving rise to imputation debits</w:t>
      </w:r>
      <w:r w:rsidR="00866F51">
        <w:t>;</w:t>
      </w:r>
      <w:r w:rsidR="002F2958">
        <w:t xml:space="preserve"> and</w:t>
      </w:r>
    </w:p>
    <w:p w:rsidR="00A97F93" w:rsidRDefault="0059554D" w:rsidP="00B9363F">
      <w:pPr>
        <w:pStyle w:val="Bullets"/>
      </w:pPr>
      <w:r>
        <w:t>minus earlier payments of R&amp;D repayment tax</w:t>
      </w:r>
      <w:r w:rsidR="00866F51">
        <w:t>,</w:t>
      </w:r>
    </w:p>
    <w:p w:rsidR="007A2EDD" w:rsidRDefault="00E81982" w:rsidP="00A97F93">
      <w:r>
        <w:t>where those amounts are</w:t>
      </w:r>
      <w:r w:rsidR="00A97F93">
        <w:t xml:space="preserve"> for tax years from the first time losses were cashed out until the </w:t>
      </w:r>
      <w:r w:rsidR="00866F51">
        <w:t xml:space="preserve">repayment </w:t>
      </w:r>
      <w:r w:rsidR="00A97F93">
        <w:t>year.</w:t>
      </w:r>
    </w:p>
    <w:p w:rsidR="00E81982" w:rsidRDefault="00E81982" w:rsidP="00A97F93"/>
    <w:p w:rsidR="00ED1737" w:rsidRDefault="00565617" w:rsidP="00A97F93">
      <w:r>
        <w:t>“</w:t>
      </w:r>
      <w:r w:rsidR="003E7A5E" w:rsidRPr="00F01512">
        <w:t>Intangible market value</w:t>
      </w:r>
      <w:r>
        <w:t>”</w:t>
      </w:r>
      <w:r w:rsidR="003F26D1">
        <w:t xml:space="preserve"> is the market value </w:t>
      </w:r>
      <w:r w:rsidR="00A40455">
        <w:t xml:space="preserve">of the </w:t>
      </w:r>
      <w:r>
        <w:t xml:space="preserve">research and development </w:t>
      </w:r>
      <w:r w:rsidR="00F16628">
        <w:t>asse</w:t>
      </w:r>
      <w:r w:rsidR="003F26D1">
        <w:t>t</w:t>
      </w:r>
      <w:r w:rsidR="00A40455">
        <w:t xml:space="preserve">s that are </w:t>
      </w:r>
      <w:r w:rsidR="00EE6FFB">
        <w:t>disposed of</w:t>
      </w:r>
      <w:r w:rsidR="00A40455">
        <w:t xml:space="preserve"> in the</w:t>
      </w:r>
      <w:r w:rsidR="00705707">
        <w:t xml:space="preserve"> year, excluding assets sold for at least market value consideration that is assessable income for the taxpayer</w:t>
      </w:r>
      <w:r w:rsidR="00F16628">
        <w:t>.</w:t>
      </w:r>
    </w:p>
    <w:p w:rsidR="003F26D1" w:rsidRDefault="003F26D1" w:rsidP="003F26D1"/>
    <w:p w:rsidR="00AC1645" w:rsidRPr="00F01512" w:rsidRDefault="00AC1645"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E3A7C" w:rsidRPr="00F01512">
        <w:rPr>
          <w:b/>
          <w:sz w:val="20"/>
          <w:szCs w:val="20"/>
        </w:rPr>
        <w:t>:</w:t>
      </w:r>
      <w:r w:rsidR="00D931F9" w:rsidRPr="00CB259B">
        <w:rPr>
          <w:b/>
          <w:sz w:val="20"/>
          <w:szCs w:val="20"/>
        </w:rPr>
        <w:t xml:space="preserve"> D</w:t>
      </w:r>
      <w:r w:rsidR="003E3A7C" w:rsidRPr="00F01512">
        <w:rPr>
          <w:b/>
          <w:sz w:val="20"/>
          <w:szCs w:val="20"/>
        </w:rPr>
        <w:t>isposal or transfer of intangible property</w:t>
      </w:r>
    </w:p>
    <w:p w:rsidR="00D931F9" w:rsidRPr="00CB259B" w:rsidRDefault="00D931F9" w:rsidP="00CB259B">
      <w:pPr>
        <w:pBdr>
          <w:top w:val="single" w:sz="4" w:space="10" w:color="auto"/>
          <w:left w:val="single" w:sz="4" w:space="10" w:color="auto"/>
          <w:bottom w:val="single" w:sz="4" w:space="10" w:color="auto"/>
          <w:right w:val="single" w:sz="4" w:space="10" w:color="auto"/>
        </w:pBdr>
        <w:rPr>
          <w:sz w:val="20"/>
          <w:szCs w:val="20"/>
        </w:rPr>
      </w:pPr>
    </w:p>
    <w:p w:rsidR="0001504B" w:rsidRDefault="00AC1645"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Taylor</w:t>
      </w:r>
      <w:r w:rsidR="00A35AC4">
        <w:rPr>
          <w:sz w:val="20"/>
          <w:szCs w:val="20"/>
        </w:rPr>
        <w:t>tronics</w:t>
      </w:r>
      <w:r w:rsidRPr="00CB259B">
        <w:rPr>
          <w:sz w:val="20"/>
          <w:szCs w:val="20"/>
        </w:rPr>
        <w:t xml:space="preserve"> Ltd is incorporated in May 2015 to develop new guidance systems for munitions.  It cashes out losses of $150,000 and $300,000 for the 2015–16 and 2016–17 income years respectively.  It receives tax credits of $42,000 and $84,000.  It carries forward other losses of $50,000.  In the 2017–18 year the company enters a manufacturing phase selling trading stock to earn net income of $150,000.  It has taxable income of $100,000 and pays income tax of $28,000.  In the 2018–19 income year it sells know-how for $250,000</w:t>
      </w:r>
      <w:r w:rsidR="0001504B">
        <w:rPr>
          <w:sz w:val="20"/>
          <w:szCs w:val="20"/>
        </w:rPr>
        <w:t xml:space="preserve"> (which is a capital receipt)</w:t>
      </w:r>
      <w:r w:rsidRPr="00CB259B">
        <w:rPr>
          <w:sz w:val="20"/>
          <w:szCs w:val="20"/>
        </w:rPr>
        <w:t xml:space="preserve"> and also has taxable income of $80,000.</w:t>
      </w:r>
      <w:r w:rsidR="00290A9E">
        <w:rPr>
          <w:sz w:val="20"/>
          <w:szCs w:val="20"/>
        </w:rPr>
        <w:t xml:space="preserve">  The sale triggers a repayment event, as the </w:t>
      </w:r>
      <w:r w:rsidR="00DA09AB">
        <w:rPr>
          <w:sz w:val="20"/>
          <w:szCs w:val="20"/>
        </w:rPr>
        <w:t>receipt from the sale of the know-how</w:t>
      </w:r>
      <w:r w:rsidR="00290A9E">
        <w:rPr>
          <w:sz w:val="20"/>
          <w:szCs w:val="20"/>
        </w:rPr>
        <w:t xml:space="preserve"> was not assessable income for Taylortronics.</w:t>
      </w:r>
      <w:r w:rsidRPr="00CB259B">
        <w:rPr>
          <w:sz w:val="20"/>
          <w:szCs w:val="20"/>
        </w:rPr>
        <w:t xml:space="preserve">  </w:t>
      </w:r>
      <w:r w:rsidR="00290A9E">
        <w:rPr>
          <w:sz w:val="20"/>
          <w:szCs w:val="20"/>
        </w:rPr>
        <w:t xml:space="preserve">Therefore </w:t>
      </w:r>
      <w:r w:rsidRPr="00CB259B">
        <w:rPr>
          <w:sz w:val="20"/>
          <w:szCs w:val="20"/>
        </w:rPr>
        <w:t>Taylor</w:t>
      </w:r>
      <w:r w:rsidR="00A35AC4">
        <w:rPr>
          <w:sz w:val="20"/>
          <w:szCs w:val="20"/>
        </w:rPr>
        <w:t>tronics</w:t>
      </w:r>
      <w:r w:rsidRPr="00CB259B">
        <w:rPr>
          <w:sz w:val="20"/>
          <w:szCs w:val="20"/>
        </w:rPr>
        <w:t xml:space="preserve"> has to pay </w:t>
      </w:r>
      <w:r w:rsidR="00A35AC4">
        <w:rPr>
          <w:sz w:val="20"/>
          <w:szCs w:val="20"/>
        </w:rPr>
        <w:t xml:space="preserve">R&amp;D </w:t>
      </w:r>
      <w:r w:rsidR="0035488F" w:rsidRPr="00CB259B">
        <w:rPr>
          <w:sz w:val="20"/>
          <w:szCs w:val="20"/>
        </w:rPr>
        <w:t xml:space="preserve">repayment tax </w:t>
      </w:r>
      <w:r w:rsidR="0001504B" w:rsidRPr="00CB259B">
        <w:rPr>
          <w:sz w:val="20"/>
          <w:szCs w:val="20"/>
        </w:rPr>
        <w:t>as well as income tax of $22,400</w:t>
      </w:r>
      <w:r w:rsidR="0001504B">
        <w:rPr>
          <w:sz w:val="20"/>
          <w:szCs w:val="20"/>
        </w:rPr>
        <w:t>.  The R&amp;D repayment tax is</w:t>
      </w:r>
      <w:r w:rsidR="0035488F" w:rsidRPr="00CB259B">
        <w:rPr>
          <w:sz w:val="20"/>
          <w:szCs w:val="20"/>
        </w:rPr>
        <w:t xml:space="preserve"> </w:t>
      </w:r>
      <w:r w:rsidR="0001504B">
        <w:rPr>
          <w:sz w:val="20"/>
          <w:szCs w:val="20"/>
        </w:rPr>
        <w:t>the lesser of:</w:t>
      </w:r>
    </w:p>
    <w:p w:rsidR="0001504B" w:rsidRDefault="0001504B" w:rsidP="00CB259B">
      <w:pPr>
        <w:pBdr>
          <w:top w:val="single" w:sz="4" w:space="10" w:color="auto"/>
          <w:left w:val="single" w:sz="4" w:space="10" w:color="auto"/>
          <w:bottom w:val="single" w:sz="4" w:space="10" w:color="auto"/>
          <w:right w:val="single" w:sz="4" w:space="10" w:color="auto"/>
        </w:pBdr>
        <w:rPr>
          <w:sz w:val="20"/>
          <w:szCs w:val="20"/>
        </w:rPr>
      </w:pPr>
    </w:p>
    <w:p w:rsidR="00A35AC4" w:rsidRDefault="0001504B"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 xml:space="preserve">1.  </w:t>
      </w:r>
      <w:r w:rsidR="00866F51">
        <w:rPr>
          <w:sz w:val="20"/>
          <w:szCs w:val="20"/>
        </w:rPr>
        <w:t>t</w:t>
      </w:r>
      <w:r>
        <w:rPr>
          <w:sz w:val="20"/>
          <w:szCs w:val="20"/>
        </w:rPr>
        <w:t xml:space="preserve">he market value of the research and development assets sold that year </w:t>
      </w:r>
      <w:r w:rsidR="00ED6EAE">
        <w:rPr>
          <w:sz w:val="20"/>
          <w:szCs w:val="20"/>
        </w:rPr>
        <w:t>multiplied</w:t>
      </w:r>
      <w:r>
        <w:rPr>
          <w:sz w:val="20"/>
          <w:szCs w:val="20"/>
        </w:rPr>
        <w:t xml:space="preserve"> by the tax rate.  This amount is </w:t>
      </w:r>
      <w:r w:rsidR="0035488F" w:rsidRPr="00CB259B">
        <w:rPr>
          <w:sz w:val="20"/>
          <w:szCs w:val="20"/>
        </w:rPr>
        <w:t>$70,000 [$250,000 * 0.28]</w:t>
      </w:r>
      <w:r w:rsidR="00866F51">
        <w:rPr>
          <w:sz w:val="20"/>
          <w:szCs w:val="20"/>
        </w:rPr>
        <w:t>; and</w:t>
      </w:r>
    </w:p>
    <w:p w:rsidR="0001504B" w:rsidRDefault="0001504B" w:rsidP="00CB259B">
      <w:pPr>
        <w:pBdr>
          <w:top w:val="single" w:sz="4" w:space="10" w:color="auto"/>
          <w:left w:val="single" w:sz="4" w:space="10" w:color="auto"/>
          <w:bottom w:val="single" w:sz="4" w:space="10" w:color="auto"/>
          <w:right w:val="single" w:sz="4" w:space="10" w:color="auto"/>
        </w:pBdr>
        <w:rPr>
          <w:sz w:val="20"/>
          <w:szCs w:val="20"/>
        </w:rPr>
      </w:pPr>
    </w:p>
    <w:p w:rsidR="0001504B" w:rsidRDefault="0001504B"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 xml:space="preserve">2.  </w:t>
      </w:r>
      <w:r w:rsidR="00866F51">
        <w:rPr>
          <w:sz w:val="20"/>
          <w:szCs w:val="20"/>
        </w:rPr>
        <w:t>t</w:t>
      </w:r>
      <w:r>
        <w:rPr>
          <w:sz w:val="20"/>
          <w:szCs w:val="20"/>
        </w:rPr>
        <w:t xml:space="preserve">he unrepaid </w:t>
      </w:r>
      <w:r w:rsidR="002A7365">
        <w:rPr>
          <w:sz w:val="20"/>
          <w:szCs w:val="20"/>
        </w:rPr>
        <w:t>R&amp;D</w:t>
      </w:r>
      <w:r>
        <w:rPr>
          <w:sz w:val="20"/>
          <w:szCs w:val="20"/>
        </w:rPr>
        <w:t xml:space="preserve"> </w:t>
      </w:r>
      <w:r w:rsidR="002A7365">
        <w:rPr>
          <w:sz w:val="20"/>
          <w:szCs w:val="20"/>
        </w:rPr>
        <w:t>loss tax credit</w:t>
      </w:r>
      <w:r>
        <w:rPr>
          <w:sz w:val="20"/>
          <w:szCs w:val="20"/>
        </w:rPr>
        <w:t xml:space="preserve">s.  This amount is </w:t>
      </w:r>
      <w:r w:rsidR="00CA3C80">
        <w:rPr>
          <w:sz w:val="20"/>
          <w:szCs w:val="20"/>
        </w:rPr>
        <w:t xml:space="preserve">$75,600 </w:t>
      </w:r>
      <w:r w:rsidR="00866F51">
        <w:rPr>
          <w:sz w:val="20"/>
          <w:szCs w:val="20"/>
        </w:rPr>
        <w:t>[$42,000 + $84,000</w:t>
      </w:r>
      <w:r>
        <w:rPr>
          <w:sz w:val="20"/>
          <w:szCs w:val="20"/>
        </w:rPr>
        <w:t xml:space="preserve"> – </w:t>
      </w:r>
      <w:r w:rsidR="00866F51">
        <w:rPr>
          <w:sz w:val="20"/>
          <w:szCs w:val="20"/>
        </w:rPr>
        <w:t xml:space="preserve">$28,000 </w:t>
      </w:r>
      <w:r w:rsidR="001E5015">
        <w:rPr>
          <w:sz w:val="20"/>
          <w:szCs w:val="20"/>
        </w:rPr>
        <w:t>–</w:t>
      </w:r>
      <w:r w:rsidRPr="00CB259B">
        <w:rPr>
          <w:sz w:val="20"/>
          <w:szCs w:val="20"/>
        </w:rPr>
        <w:t xml:space="preserve"> $22,400]</w:t>
      </w:r>
      <w:r w:rsidR="001E5015">
        <w:rPr>
          <w:sz w:val="20"/>
          <w:szCs w:val="20"/>
        </w:rPr>
        <w:t>.</w:t>
      </w:r>
    </w:p>
    <w:p w:rsidR="0001504B" w:rsidRDefault="0001504B" w:rsidP="00CB259B">
      <w:pPr>
        <w:pBdr>
          <w:top w:val="single" w:sz="4" w:space="10" w:color="auto"/>
          <w:left w:val="single" w:sz="4" w:space="10" w:color="auto"/>
          <w:bottom w:val="single" w:sz="4" w:space="10" w:color="auto"/>
          <w:right w:val="single" w:sz="4" w:space="10" w:color="auto"/>
        </w:pBdr>
        <w:rPr>
          <w:sz w:val="20"/>
          <w:szCs w:val="20"/>
        </w:rPr>
      </w:pPr>
    </w:p>
    <w:p w:rsidR="0001504B" w:rsidRDefault="0001504B"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Therefore</w:t>
      </w:r>
      <w:r w:rsidR="001E5015">
        <w:rPr>
          <w:sz w:val="20"/>
          <w:szCs w:val="20"/>
        </w:rPr>
        <w:t>,</w:t>
      </w:r>
      <w:r>
        <w:rPr>
          <w:sz w:val="20"/>
          <w:szCs w:val="20"/>
        </w:rPr>
        <w:t xml:space="preserve"> Taylortronics pays R&amp;D repayment tax of $70,000.</w:t>
      </w:r>
    </w:p>
    <w:p w:rsidR="00A35AC4" w:rsidRDefault="00A35AC4" w:rsidP="00CB259B">
      <w:pPr>
        <w:pBdr>
          <w:top w:val="single" w:sz="4" w:space="10" w:color="auto"/>
          <w:left w:val="single" w:sz="4" w:space="10" w:color="auto"/>
          <w:bottom w:val="single" w:sz="4" w:space="10" w:color="auto"/>
          <w:right w:val="single" w:sz="4" w:space="10" w:color="auto"/>
        </w:pBdr>
        <w:rPr>
          <w:sz w:val="20"/>
          <w:szCs w:val="20"/>
        </w:rPr>
      </w:pPr>
    </w:p>
    <w:p w:rsidR="00AC1645" w:rsidRPr="00CB259B" w:rsidRDefault="0001504B"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 xml:space="preserve">In the 2019–20 income </w:t>
      </w:r>
      <w:proofErr w:type="gramStart"/>
      <w:r w:rsidRPr="00CB259B">
        <w:rPr>
          <w:sz w:val="20"/>
          <w:szCs w:val="20"/>
        </w:rPr>
        <w:t>year</w:t>
      </w:r>
      <w:proofErr w:type="gramEnd"/>
      <w:r w:rsidRPr="00CB259B">
        <w:rPr>
          <w:sz w:val="20"/>
          <w:szCs w:val="20"/>
        </w:rPr>
        <w:t xml:space="preserve"> the company has taxable income of $150,000 and pays income tax of $42,000.</w:t>
      </w:r>
      <w:r w:rsidR="002C1992">
        <w:rPr>
          <w:sz w:val="20"/>
          <w:szCs w:val="20"/>
        </w:rPr>
        <w:t xml:space="preserve">  </w:t>
      </w:r>
      <w:r w:rsidR="00AC1645" w:rsidRPr="00CB259B">
        <w:rPr>
          <w:sz w:val="20"/>
          <w:szCs w:val="20"/>
        </w:rPr>
        <w:t xml:space="preserve">Unless </w:t>
      </w:r>
      <w:proofErr w:type="spellStart"/>
      <w:r w:rsidR="00AC1645" w:rsidRPr="00CB259B">
        <w:rPr>
          <w:sz w:val="20"/>
          <w:szCs w:val="20"/>
        </w:rPr>
        <w:t>Taylor</w:t>
      </w:r>
      <w:r w:rsidR="00A35AC4">
        <w:rPr>
          <w:sz w:val="20"/>
          <w:szCs w:val="20"/>
        </w:rPr>
        <w:t>tronics</w:t>
      </w:r>
      <w:proofErr w:type="spellEnd"/>
      <w:r w:rsidR="00AC1645" w:rsidRPr="00CB259B">
        <w:rPr>
          <w:sz w:val="20"/>
          <w:szCs w:val="20"/>
        </w:rPr>
        <w:t xml:space="preserve"> Ltd cashes out further losses, no further repayments will be required from that time.  </w:t>
      </w:r>
      <w:r w:rsidR="00DA09AB">
        <w:rPr>
          <w:sz w:val="20"/>
          <w:szCs w:val="20"/>
        </w:rPr>
        <w:t xml:space="preserve">R&amp;D </w:t>
      </w:r>
      <w:r w:rsidR="00AC1645" w:rsidRPr="00CB259B">
        <w:rPr>
          <w:sz w:val="20"/>
          <w:szCs w:val="20"/>
        </w:rPr>
        <w:t>Repayment</w:t>
      </w:r>
      <w:r w:rsidR="00DA09AB">
        <w:rPr>
          <w:sz w:val="20"/>
          <w:szCs w:val="20"/>
        </w:rPr>
        <w:t xml:space="preserve"> tax</w:t>
      </w:r>
      <w:r w:rsidR="00AC1645" w:rsidRPr="00CB259B">
        <w:rPr>
          <w:sz w:val="20"/>
          <w:szCs w:val="20"/>
        </w:rPr>
        <w:t xml:space="preserve"> and income tax payments made since the 2017–18 income year</w:t>
      </w:r>
      <w:r w:rsidR="0035488F" w:rsidRPr="00CB259B">
        <w:rPr>
          <w:sz w:val="20"/>
          <w:szCs w:val="20"/>
        </w:rPr>
        <w:t xml:space="preserve"> of $162,400</w:t>
      </w:r>
      <w:r w:rsidR="00AC1645" w:rsidRPr="00CB259B">
        <w:rPr>
          <w:sz w:val="20"/>
          <w:szCs w:val="20"/>
        </w:rPr>
        <w:t xml:space="preserve"> </w:t>
      </w:r>
      <w:r w:rsidR="0035488F" w:rsidRPr="00CB259B">
        <w:rPr>
          <w:sz w:val="20"/>
          <w:szCs w:val="20"/>
        </w:rPr>
        <w:t>[</w:t>
      </w:r>
      <w:r w:rsidR="00AC1645" w:rsidRPr="00CB259B">
        <w:rPr>
          <w:sz w:val="20"/>
          <w:szCs w:val="20"/>
        </w:rPr>
        <w:t>$28,000</w:t>
      </w:r>
      <w:r w:rsidR="00163114" w:rsidRPr="00CB259B">
        <w:rPr>
          <w:sz w:val="20"/>
          <w:szCs w:val="20"/>
        </w:rPr>
        <w:t xml:space="preserve"> </w:t>
      </w:r>
      <w:r w:rsidR="00AC1645" w:rsidRPr="00CB259B">
        <w:rPr>
          <w:sz w:val="20"/>
          <w:szCs w:val="20"/>
        </w:rPr>
        <w:t>+</w:t>
      </w:r>
      <w:r w:rsidR="00163114" w:rsidRPr="00CB259B">
        <w:rPr>
          <w:sz w:val="20"/>
          <w:szCs w:val="20"/>
        </w:rPr>
        <w:t xml:space="preserve"> </w:t>
      </w:r>
      <w:r w:rsidR="00AC1645" w:rsidRPr="00CB259B">
        <w:rPr>
          <w:sz w:val="20"/>
          <w:szCs w:val="20"/>
        </w:rPr>
        <w:t>$70,000</w:t>
      </w:r>
      <w:r w:rsidR="00163114" w:rsidRPr="00CB259B">
        <w:rPr>
          <w:sz w:val="20"/>
          <w:szCs w:val="20"/>
        </w:rPr>
        <w:t xml:space="preserve"> </w:t>
      </w:r>
      <w:r w:rsidR="00AC1645" w:rsidRPr="00CB259B">
        <w:rPr>
          <w:sz w:val="20"/>
          <w:szCs w:val="20"/>
        </w:rPr>
        <w:t>+</w:t>
      </w:r>
      <w:r w:rsidR="00163114" w:rsidRPr="00CB259B">
        <w:rPr>
          <w:sz w:val="20"/>
          <w:szCs w:val="20"/>
        </w:rPr>
        <w:t xml:space="preserve"> </w:t>
      </w:r>
      <w:r w:rsidR="00AC1645" w:rsidRPr="00CB259B">
        <w:rPr>
          <w:sz w:val="20"/>
          <w:szCs w:val="20"/>
        </w:rPr>
        <w:t>$22,400</w:t>
      </w:r>
      <w:r w:rsidR="00163114" w:rsidRPr="00CB259B">
        <w:rPr>
          <w:sz w:val="20"/>
          <w:szCs w:val="20"/>
        </w:rPr>
        <w:t xml:space="preserve"> </w:t>
      </w:r>
      <w:r w:rsidR="00AC1645" w:rsidRPr="00CB259B">
        <w:rPr>
          <w:sz w:val="20"/>
          <w:szCs w:val="20"/>
        </w:rPr>
        <w:t>+</w:t>
      </w:r>
      <w:r w:rsidR="00163114" w:rsidRPr="00CB259B">
        <w:rPr>
          <w:sz w:val="20"/>
          <w:szCs w:val="20"/>
        </w:rPr>
        <w:t xml:space="preserve"> </w:t>
      </w:r>
      <w:r w:rsidR="00AC1645" w:rsidRPr="00CB259B">
        <w:rPr>
          <w:sz w:val="20"/>
          <w:szCs w:val="20"/>
        </w:rPr>
        <w:t>$42,000</w:t>
      </w:r>
      <w:r w:rsidR="0035488F" w:rsidRPr="00CB259B">
        <w:rPr>
          <w:sz w:val="20"/>
          <w:szCs w:val="20"/>
        </w:rPr>
        <w:t>]</w:t>
      </w:r>
      <w:r w:rsidR="00AC1645" w:rsidRPr="00CB259B">
        <w:rPr>
          <w:sz w:val="20"/>
          <w:szCs w:val="20"/>
        </w:rPr>
        <w:t xml:space="preserve"> exceed the</w:t>
      </w:r>
      <w:r w:rsidR="0035488F" w:rsidRPr="00CB259B">
        <w:rPr>
          <w:sz w:val="20"/>
          <w:szCs w:val="20"/>
        </w:rPr>
        <w:t xml:space="preserve"> $126,000 [$42,000</w:t>
      </w:r>
      <w:r w:rsidR="00163114" w:rsidRPr="00CB259B">
        <w:rPr>
          <w:sz w:val="20"/>
          <w:szCs w:val="20"/>
        </w:rPr>
        <w:t xml:space="preserve"> </w:t>
      </w:r>
      <w:r w:rsidR="0035488F" w:rsidRPr="00CB259B">
        <w:rPr>
          <w:sz w:val="20"/>
          <w:szCs w:val="20"/>
        </w:rPr>
        <w:t>+</w:t>
      </w:r>
      <w:r w:rsidR="00163114" w:rsidRPr="00CB259B">
        <w:rPr>
          <w:sz w:val="20"/>
          <w:szCs w:val="20"/>
        </w:rPr>
        <w:t xml:space="preserve"> </w:t>
      </w:r>
      <w:r w:rsidR="0035488F" w:rsidRPr="00CB259B">
        <w:rPr>
          <w:sz w:val="20"/>
          <w:szCs w:val="20"/>
        </w:rPr>
        <w:t>$84,000] of</w:t>
      </w:r>
      <w:r w:rsidR="00AC1645" w:rsidRPr="00CB259B">
        <w:rPr>
          <w:sz w:val="20"/>
          <w:szCs w:val="20"/>
        </w:rPr>
        <w:t xml:space="preserve"> tax credits </w:t>
      </w:r>
      <w:r w:rsidR="0035488F" w:rsidRPr="00CB259B">
        <w:rPr>
          <w:sz w:val="20"/>
          <w:szCs w:val="20"/>
        </w:rPr>
        <w:t xml:space="preserve">received </w:t>
      </w:r>
      <w:r w:rsidR="00AC1645" w:rsidRPr="00CB259B">
        <w:rPr>
          <w:sz w:val="20"/>
          <w:szCs w:val="20"/>
        </w:rPr>
        <w:t>for the 2</w:t>
      </w:r>
      <w:r w:rsidR="0035488F" w:rsidRPr="00CB259B">
        <w:rPr>
          <w:sz w:val="20"/>
          <w:szCs w:val="20"/>
        </w:rPr>
        <w:t>015–16 and 2016–17 income years.</w:t>
      </w:r>
    </w:p>
    <w:p w:rsidR="00AC1645" w:rsidRDefault="00AC1645" w:rsidP="00AC1645"/>
    <w:p w:rsidR="00B67176" w:rsidRDefault="00B67176">
      <w:pPr>
        <w:jc w:val="left"/>
      </w:pPr>
      <w:r>
        <w:br w:type="page"/>
      </w:r>
    </w:p>
    <w:p w:rsidR="00827787" w:rsidRPr="00CB259B" w:rsidRDefault="00315346"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lastRenderedPageBreak/>
        <w:t>Example</w:t>
      </w:r>
      <w:r w:rsidR="00AB7239" w:rsidRPr="00F01512">
        <w:rPr>
          <w:b/>
          <w:sz w:val="20"/>
          <w:szCs w:val="20"/>
        </w:rPr>
        <w:t>:</w:t>
      </w:r>
      <w:r w:rsidR="00D931F9" w:rsidRPr="00CB259B">
        <w:rPr>
          <w:b/>
          <w:sz w:val="20"/>
          <w:szCs w:val="20"/>
        </w:rPr>
        <w:t xml:space="preserve"> P</w:t>
      </w:r>
      <w:r w:rsidR="003937D5" w:rsidRPr="00F01512">
        <w:rPr>
          <w:b/>
          <w:sz w:val="20"/>
          <w:szCs w:val="20"/>
        </w:rPr>
        <w:t>atent disposal or transfer at market value</w:t>
      </w:r>
    </w:p>
    <w:p w:rsidR="00D931F9" w:rsidRPr="00F01512" w:rsidRDefault="00D931F9" w:rsidP="00CB259B">
      <w:pPr>
        <w:pBdr>
          <w:top w:val="single" w:sz="4" w:space="10" w:color="auto"/>
          <w:left w:val="single" w:sz="4" w:space="10" w:color="auto"/>
          <w:bottom w:val="single" w:sz="4" w:space="10" w:color="auto"/>
          <w:right w:val="single" w:sz="4" w:space="10" w:color="auto"/>
        </w:pBdr>
        <w:rPr>
          <w:sz w:val="20"/>
          <w:szCs w:val="20"/>
        </w:rPr>
      </w:pPr>
    </w:p>
    <w:p w:rsidR="00827787" w:rsidRPr="00CB259B" w:rsidRDefault="005C7013"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Cameron Waterboards Ltd</w:t>
      </w:r>
      <w:r w:rsidR="001D48F8" w:rsidRPr="00CB259B">
        <w:rPr>
          <w:sz w:val="20"/>
          <w:szCs w:val="20"/>
        </w:rPr>
        <w:t xml:space="preserve"> </w:t>
      </w:r>
      <w:r w:rsidRPr="00CB259B">
        <w:rPr>
          <w:sz w:val="20"/>
          <w:szCs w:val="20"/>
        </w:rPr>
        <w:t xml:space="preserve">is incorporated in June 2015 to produce a </w:t>
      </w:r>
      <w:r w:rsidR="001D48F8" w:rsidRPr="00CB259B">
        <w:rPr>
          <w:sz w:val="20"/>
          <w:szCs w:val="20"/>
        </w:rPr>
        <w:t>hoverboard that can cross open bodies of water.</w:t>
      </w:r>
      <w:r w:rsidR="0075435E" w:rsidRPr="00CB259B">
        <w:rPr>
          <w:sz w:val="20"/>
          <w:szCs w:val="20"/>
        </w:rPr>
        <w:t xml:space="preserve"> </w:t>
      </w:r>
      <w:r w:rsidR="001D48F8" w:rsidRPr="00CB259B">
        <w:rPr>
          <w:sz w:val="20"/>
          <w:szCs w:val="20"/>
        </w:rPr>
        <w:t xml:space="preserve"> It cashes out losses of $200,000 and $400,000 for the 2015–16 and 2016–17 income years respectively for </w:t>
      </w:r>
      <w:r w:rsidR="00C75965">
        <w:rPr>
          <w:sz w:val="20"/>
          <w:szCs w:val="20"/>
        </w:rPr>
        <w:t xml:space="preserve">R&amp;D </w:t>
      </w:r>
      <w:r w:rsidR="002A7365">
        <w:rPr>
          <w:sz w:val="20"/>
          <w:szCs w:val="20"/>
        </w:rPr>
        <w:t>loss tax credit</w:t>
      </w:r>
      <w:r w:rsidR="001D48F8" w:rsidRPr="00CB259B">
        <w:rPr>
          <w:sz w:val="20"/>
          <w:szCs w:val="20"/>
        </w:rPr>
        <w:t>s of $56,000 and $112,000.</w:t>
      </w:r>
      <w:r w:rsidR="0075435E" w:rsidRPr="00CB259B">
        <w:rPr>
          <w:sz w:val="20"/>
          <w:szCs w:val="20"/>
        </w:rPr>
        <w:t xml:space="preserve"> </w:t>
      </w:r>
      <w:r w:rsidR="001D48F8" w:rsidRPr="00CB259B">
        <w:rPr>
          <w:sz w:val="20"/>
          <w:szCs w:val="20"/>
        </w:rPr>
        <w:t xml:space="preserve"> It obtains a patent for the technology in the 2016–17 year but realises that it is not in a position to develop the technology itself.</w:t>
      </w:r>
      <w:r w:rsidR="0075435E" w:rsidRPr="00CB259B">
        <w:rPr>
          <w:sz w:val="20"/>
          <w:szCs w:val="20"/>
        </w:rPr>
        <w:t xml:space="preserve"> </w:t>
      </w:r>
      <w:r w:rsidR="001D48F8" w:rsidRPr="00CB259B">
        <w:rPr>
          <w:sz w:val="20"/>
          <w:szCs w:val="20"/>
        </w:rPr>
        <w:t xml:space="preserve"> </w:t>
      </w:r>
      <w:r w:rsidR="009E684D" w:rsidRPr="00CB259B">
        <w:rPr>
          <w:sz w:val="20"/>
          <w:szCs w:val="20"/>
        </w:rPr>
        <w:t>In the 2017–18 year the company</w:t>
      </w:r>
      <w:r w:rsidR="001D48F8" w:rsidRPr="00CB259B">
        <w:rPr>
          <w:sz w:val="20"/>
          <w:szCs w:val="20"/>
        </w:rPr>
        <w:t xml:space="preserve"> sells the </w:t>
      </w:r>
      <w:r w:rsidR="009E684D" w:rsidRPr="00CB259B">
        <w:rPr>
          <w:sz w:val="20"/>
          <w:szCs w:val="20"/>
        </w:rPr>
        <w:t>patent</w:t>
      </w:r>
      <w:r w:rsidR="001D48F8" w:rsidRPr="00CB259B">
        <w:rPr>
          <w:sz w:val="20"/>
          <w:szCs w:val="20"/>
        </w:rPr>
        <w:t xml:space="preserve"> </w:t>
      </w:r>
      <w:r w:rsidR="009E684D" w:rsidRPr="00CB259B">
        <w:rPr>
          <w:sz w:val="20"/>
          <w:szCs w:val="20"/>
        </w:rPr>
        <w:t>at its market value of $1,000,000</w:t>
      </w:r>
      <w:r w:rsidR="00290A9E">
        <w:rPr>
          <w:sz w:val="20"/>
          <w:szCs w:val="20"/>
        </w:rPr>
        <w:t xml:space="preserve"> and returns that amount as assessable income</w:t>
      </w:r>
      <w:r w:rsidR="009E684D" w:rsidRPr="00CB259B">
        <w:rPr>
          <w:sz w:val="20"/>
          <w:szCs w:val="20"/>
        </w:rPr>
        <w:t xml:space="preserve">. </w:t>
      </w:r>
      <w:r w:rsidR="0075435E" w:rsidRPr="00CB259B">
        <w:rPr>
          <w:sz w:val="20"/>
          <w:szCs w:val="20"/>
        </w:rPr>
        <w:t xml:space="preserve"> </w:t>
      </w:r>
      <w:r w:rsidR="009E684D" w:rsidRPr="00CB259B">
        <w:rPr>
          <w:sz w:val="20"/>
          <w:szCs w:val="20"/>
        </w:rPr>
        <w:t>As the patent sale has given rise to assessable income and was sold at market value, no</w:t>
      </w:r>
      <w:r w:rsidR="00DA09AB">
        <w:rPr>
          <w:sz w:val="20"/>
          <w:szCs w:val="20"/>
        </w:rPr>
        <w:t xml:space="preserve"> defined</w:t>
      </w:r>
      <w:r w:rsidR="009E684D" w:rsidRPr="00CB259B">
        <w:rPr>
          <w:sz w:val="20"/>
          <w:szCs w:val="20"/>
        </w:rPr>
        <w:t xml:space="preserve"> repayment event occurs.</w:t>
      </w:r>
    </w:p>
    <w:p w:rsidR="005C7013" w:rsidRDefault="005C7013" w:rsidP="003F26D1">
      <w:pPr>
        <w:rPr>
          <w:highlight w:val="yellow"/>
        </w:rPr>
      </w:pPr>
    </w:p>
    <w:p w:rsidR="00C5143E" w:rsidRDefault="00C5143E" w:rsidP="003F26D1">
      <w:pPr>
        <w:rPr>
          <w:highlight w:val="yellow"/>
        </w:rPr>
      </w:pPr>
    </w:p>
    <w:p w:rsidR="005C7013" w:rsidRPr="00CB259B" w:rsidRDefault="00030D20"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937D5" w:rsidRPr="00F01512">
        <w:rPr>
          <w:b/>
          <w:sz w:val="20"/>
          <w:szCs w:val="20"/>
        </w:rPr>
        <w:t xml:space="preserve">: </w:t>
      </w:r>
      <w:r w:rsidR="00D931F9" w:rsidRPr="00CB259B">
        <w:rPr>
          <w:b/>
          <w:sz w:val="20"/>
          <w:szCs w:val="20"/>
        </w:rPr>
        <w:t>D</w:t>
      </w:r>
      <w:r w:rsidR="003937D5" w:rsidRPr="00F01512">
        <w:rPr>
          <w:b/>
          <w:sz w:val="20"/>
          <w:szCs w:val="20"/>
        </w:rPr>
        <w:t>isposal or transfer of intangible property below market price</w:t>
      </w:r>
    </w:p>
    <w:p w:rsidR="00D931F9" w:rsidRPr="00F01512" w:rsidRDefault="00D931F9" w:rsidP="00CB259B">
      <w:pPr>
        <w:pBdr>
          <w:top w:val="single" w:sz="4" w:space="10" w:color="auto"/>
          <w:left w:val="single" w:sz="4" w:space="10" w:color="auto"/>
          <w:bottom w:val="single" w:sz="4" w:space="10" w:color="auto"/>
          <w:right w:val="single" w:sz="4" w:space="10" w:color="auto"/>
        </w:pBdr>
        <w:rPr>
          <w:sz w:val="20"/>
          <w:szCs w:val="20"/>
        </w:rPr>
      </w:pPr>
    </w:p>
    <w:p w:rsidR="00866F51" w:rsidRDefault="008413B5"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Viditech</w:t>
      </w:r>
      <w:r w:rsidR="002F1154" w:rsidRPr="00CB259B">
        <w:rPr>
          <w:sz w:val="20"/>
          <w:szCs w:val="20"/>
        </w:rPr>
        <w:t xml:space="preserve"> Ltd</w:t>
      </w:r>
      <w:r w:rsidR="00A01937" w:rsidRPr="00CB259B">
        <w:rPr>
          <w:sz w:val="20"/>
          <w:szCs w:val="20"/>
        </w:rPr>
        <w:t xml:space="preserve"> is incorporated as a subsidiary of </w:t>
      </w:r>
      <w:r>
        <w:rPr>
          <w:sz w:val="20"/>
          <w:szCs w:val="20"/>
        </w:rPr>
        <w:t>BR Semiconductors</w:t>
      </w:r>
      <w:r w:rsidR="00CA0354">
        <w:rPr>
          <w:sz w:val="20"/>
          <w:szCs w:val="20"/>
        </w:rPr>
        <w:t xml:space="preserve"> Ltd</w:t>
      </w:r>
      <w:r>
        <w:rPr>
          <w:sz w:val="20"/>
          <w:szCs w:val="20"/>
        </w:rPr>
        <w:t xml:space="preserve"> to investigate new methods of layering semiconducting materials</w:t>
      </w:r>
      <w:r w:rsidR="002F1154" w:rsidRPr="00CB259B">
        <w:rPr>
          <w:sz w:val="20"/>
          <w:szCs w:val="20"/>
        </w:rPr>
        <w:t>.</w:t>
      </w:r>
      <w:r w:rsidR="00A01937" w:rsidRPr="00CB259B">
        <w:rPr>
          <w:sz w:val="20"/>
          <w:szCs w:val="20"/>
        </w:rPr>
        <w:t xml:space="preserve"> </w:t>
      </w:r>
      <w:r w:rsidR="00943A3A" w:rsidRPr="00CB259B">
        <w:rPr>
          <w:sz w:val="20"/>
          <w:szCs w:val="20"/>
        </w:rPr>
        <w:t xml:space="preserve"> </w:t>
      </w:r>
      <w:r>
        <w:rPr>
          <w:sz w:val="20"/>
          <w:szCs w:val="20"/>
        </w:rPr>
        <w:t>Viditech</w:t>
      </w:r>
      <w:r w:rsidR="00A01937" w:rsidRPr="00CB259B">
        <w:rPr>
          <w:sz w:val="20"/>
          <w:szCs w:val="20"/>
        </w:rPr>
        <w:t xml:space="preserve"> cashes out losses of $200,000 and $400,000 </w:t>
      </w:r>
      <w:r w:rsidR="00364341" w:rsidRPr="00CB259B">
        <w:rPr>
          <w:sz w:val="20"/>
          <w:szCs w:val="20"/>
        </w:rPr>
        <w:t xml:space="preserve">in </w:t>
      </w:r>
      <w:r w:rsidR="00A01937" w:rsidRPr="00CB259B">
        <w:rPr>
          <w:sz w:val="20"/>
          <w:szCs w:val="20"/>
        </w:rPr>
        <w:t>the 2015–16 and 2016–17 income years</w:t>
      </w:r>
      <w:r w:rsidR="00364341" w:rsidRPr="00CB259B">
        <w:rPr>
          <w:sz w:val="20"/>
          <w:szCs w:val="20"/>
        </w:rPr>
        <w:t>,</w:t>
      </w:r>
      <w:r w:rsidR="00A01937" w:rsidRPr="00CB259B">
        <w:rPr>
          <w:sz w:val="20"/>
          <w:szCs w:val="20"/>
        </w:rPr>
        <w:t xml:space="preserve"> for </w:t>
      </w:r>
      <w:r w:rsidR="00C75965">
        <w:rPr>
          <w:sz w:val="20"/>
          <w:szCs w:val="20"/>
        </w:rPr>
        <w:t xml:space="preserve">R&amp;D </w:t>
      </w:r>
      <w:r w:rsidR="002A7365">
        <w:rPr>
          <w:sz w:val="20"/>
          <w:szCs w:val="20"/>
        </w:rPr>
        <w:t>loss tax credit</w:t>
      </w:r>
      <w:r w:rsidR="00A01937" w:rsidRPr="00CB259B">
        <w:rPr>
          <w:sz w:val="20"/>
          <w:szCs w:val="20"/>
        </w:rPr>
        <w:t>s of $56,000 and $112,000</w:t>
      </w:r>
      <w:r w:rsidR="002F1154" w:rsidRPr="00CB259B">
        <w:rPr>
          <w:sz w:val="20"/>
          <w:szCs w:val="20"/>
        </w:rPr>
        <w:t xml:space="preserve"> respectively</w:t>
      </w:r>
      <w:r w:rsidR="00A01937" w:rsidRPr="00CB259B">
        <w:rPr>
          <w:sz w:val="20"/>
          <w:szCs w:val="20"/>
        </w:rPr>
        <w:t xml:space="preserve">. </w:t>
      </w:r>
      <w:r w:rsidR="00943A3A" w:rsidRPr="00CB259B">
        <w:rPr>
          <w:sz w:val="20"/>
          <w:szCs w:val="20"/>
        </w:rPr>
        <w:t xml:space="preserve"> </w:t>
      </w:r>
      <w:r w:rsidR="00A01937" w:rsidRPr="00CB259B">
        <w:rPr>
          <w:sz w:val="20"/>
          <w:szCs w:val="20"/>
        </w:rPr>
        <w:t xml:space="preserve">It obtains a patent for the technology in the 2016–17 year and then, in the 2017–18 year, sells the patent to </w:t>
      </w:r>
      <w:r w:rsidR="00866F51">
        <w:rPr>
          <w:sz w:val="20"/>
          <w:szCs w:val="20"/>
        </w:rPr>
        <w:t>its</w:t>
      </w:r>
      <w:r w:rsidR="00866F51" w:rsidRPr="00CB259B">
        <w:rPr>
          <w:sz w:val="20"/>
          <w:szCs w:val="20"/>
        </w:rPr>
        <w:t xml:space="preserve"> </w:t>
      </w:r>
      <w:r w:rsidR="00A01937" w:rsidRPr="00CB259B">
        <w:rPr>
          <w:sz w:val="20"/>
          <w:szCs w:val="20"/>
        </w:rPr>
        <w:t xml:space="preserve">parent for $500,000, well below the market value of $1,000,000. </w:t>
      </w:r>
      <w:r w:rsidR="00943A3A" w:rsidRPr="00CB259B">
        <w:rPr>
          <w:sz w:val="20"/>
          <w:szCs w:val="20"/>
        </w:rPr>
        <w:t xml:space="preserve"> </w:t>
      </w:r>
      <w:r w:rsidR="00A01937" w:rsidRPr="00CB259B">
        <w:rPr>
          <w:sz w:val="20"/>
          <w:szCs w:val="20"/>
        </w:rPr>
        <w:t xml:space="preserve">It has taxable income of $350,000 in the 2017–18 year and pays income tax of $98,000. </w:t>
      </w:r>
      <w:r w:rsidR="00943A3A" w:rsidRPr="00CB259B">
        <w:rPr>
          <w:sz w:val="20"/>
          <w:szCs w:val="20"/>
        </w:rPr>
        <w:t xml:space="preserve"> </w:t>
      </w:r>
      <w:r w:rsidR="00BD120D" w:rsidRPr="00CB259B">
        <w:rPr>
          <w:sz w:val="20"/>
          <w:szCs w:val="20"/>
        </w:rPr>
        <w:t xml:space="preserve">The sale triggers </w:t>
      </w:r>
      <w:r w:rsidR="00290A9E">
        <w:rPr>
          <w:sz w:val="20"/>
          <w:szCs w:val="20"/>
        </w:rPr>
        <w:t xml:space="preserve">a </w:t>
      </w:r>
      <w:r w:rsidR="00BD120D" w:rsidRPr="00CB259B">
        <w:rPr>
          <w:sz w:val="20"/>
          <w:szCs w:val="20"/>
        </w:rPr>
        <w:t>repayment</w:t>
      </w:r>
      <w:r w:rsidR="00290A9E">
        <w:rPr>
          <w:sz w:val="20"/>
          <w:szCs w:val="20"/>
        </w:rPr>
        <w:t xml:space="preserve"> event </w:t>
      </w:r>
      <w:r w:rsidR="00BD120D" w:rsidRPr="00CB259B">
        <w:rPr>
          <w:sz w:val="20"/>
          <w:szCs w:val="20"/>
        </w:rPr>
        <w:t xml:space="preserve">as the consideration received was below market value. </w:t>
      </w:r>
      <w:r w:rsidR="00943A3A" w:rsidRPr="00CB259B">
        <w:rPr>
          <w:sz w:val="20"/>
          <w:szCs w:val="20"/>
        </w:rPr>
        <w:t xml:space="preserve"> </w:t>
      </w:r>
      <w:r w:rsidR="00CA0354">
        <w:rPr>
          <w:sz w:val="20"/>
          <w:szCs w:val="20"/>
        </w:rPr>
        <w:t>Viditech Ltd</w:t>
      </w:r>
      <w:r w:rsidR="00BD120D" w:rsidRPr="00CB259B">
        <w:rPr>
          <w:sz w:val="20"/>
          <w:szCs w:val="20"/>
        </w:rPr>
        <w:t xml:space="preserve"> is required to </w:t>
      </w:r>
      <w:r w:rsidR="00290A9E">
        <w:rPr>
          <w:sz w:val="20"/>
          <w:szCs w:val="20"/>
        </w:rPr>
        <w:t>pay R&amp;D repayment tax equal to</w:t>
      </w:r>
      <w:r w:rsidR="00290A9E" w:rsidRPr="00CB259B">
        <w:rPr>
          <w:sz w:val="20"/>
          <w:szCs w:val="20"/>
        </w:rPr>
        <w:t xml:space="preserve"> </w:t>
      </w:r>
      <w:r w:rsidR="00BD120D" w:rsidRPr="00CB259B">
        <w:rPr>
          <w:sz w:val="20"/>
          <w:szCs w:val="20"/>
        </w:rPr>
        <w:t>the lesser of</w:t>
      </w:r>
      <w:r w:rsidR="00866F51">
        <w:rPr>
          <w:sz w:val="20"/>
          <w:szCs w:val="20"/>
        </w:rPr>
        <w:t>:</w:t>
      </w:r>
    </w:p>
    <w:p w:rsidR="00866F51" w:rsidRDefault="00866F51" w:rsidP="00CB259B">
      <w:pPr>
        <w:pBdr>
          <w:top w:val="single" w:sz="4" w:space="10" w:color="auto"/>
          <w:left w:val="single" w:sz="4" w:space="10" w:color="auto"/>
          <w:bottom w:val="single" w:sz="4" w:space="10" w:color="auto"/>
          <w:right w:val="single" w:sz="4" w:space="10" w:color="auto"/>
        </w:pBdr>
        <w:rPr>
          <w:sz w:val="20"/>
          <w:szCs w:val="20"/>
        </w:rPr>
      </w:pPr>
    </w:p>
    <w:p w:rsidR="00866F51" w:rsidRDefault="00866F51"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1.</w:t>
      </w:r>
      <w:r w:rsidR="00BD120D" w:rsidRPr="00CB259B">
        <w:rPr>
          <w:sz w:val="20"/>
          <w:szCs w:val="20"/>
        </w:rPr>
        <w:t xml:space="preserve"> </w:t>
      </w:r>
      <w:r w:rsidR="002C1992">
        <w:rPr>
          <w:sz w:val="20"/>
          <w:szCs w:val="20"/>
        </w:rPr>
        <w:t xml:space="preserve"> </w:t>
      </w:r>
      <w:proofErr w:type="gramStart"/>
      <w:r w:rsidR="00BD120D" w:rsidRPr="00CB259B">
        <w:rPr>
          <w:sz w:val="20"/>
          <w:szCs w:val="20"/>
        </w:rPr>
        <w:t>the</w:t>
      </w:r>
      <w:proofErr w:type="gramEnd"/>
      <w:r w:rsidR="00BD120D" w:rsidRPr="00CB259B">
        <w:rPr>
          <w:sz w:val="20"/>
          <w:szCs w:val="20"/>
        </w:rPr>
        <w:t xml:space="preserve"> remaining balance of the tax credit</w:t>
      </w:r>
      <w:r w:rsidR="00857171" w:rsidRPr="00CB259B">
        <w:rPr>
          <w:sz w:val="20"/>
          <w:szCs w:val="20"/>
        </w:rPr>
        <w:t xml:space="preserve"> </w:t>
      </w:r>
      <w:r w:rsidR="00A35AC4">
        <w:rPr>
          <w:sz w:val="20"/>
          <w:szCs w:val="20"/>
        </w:rPr>
        <w:t>of</w:t>
      </w:r>
      <w:r w:rsidR="00857171" w:rsidRPr="00CB259B">
        <w:rPr>
          <w:sz w:val="20"/>
          <w:szCs w:val="20"/>
        </w:rPr>
        <w:t xml:space="preserve"> $70,000</w:t>
      </w:r>
      <w:r w:rsidR="00BD120D" w:rsidRPr="00CB259B">
        <w:rPr>
          <w:sz w:val="20"/>
          <w:szCs w:val="20"/>
        </w:rPr>
        <w:t xml:space="preserve"> </w:t>
      </w:r>
      <w:r w:rsidR="00857171" w:rsidRPr="00CB259B">
        <w:rPr>
          <w:sz w:val="20"/>
          <w:szCs w:val="20"/>
        </w:rPr>
        <w:t>[</w:t>
      </w:r>
      <w:r w:rsidR="001A28E8" w:rsidRPr="00CB259B">
        <w:rPr>
          <w:sz w:val="20"/>
          <w:szCs w:val="20"/>
        </w:rPr>
        <w:t>$56,000 + $112,000 – $98,000</w:t>
      </w:r>
      <w:r w:rsidR="00857171" w:rsidRPr="00CB259B">
        <w:rPr>
          <w:sz w:val="20"/>
          <w:szCs w:val="20"/>
        </w:rPr>
        <w:t>]</w:t>
      </w:r>
      <w:r>
        <w:rPr>
          <w:sz w:val="20"/>
          <w:szCs w:val="20"/>
        </w:rPr>
        <w:t>;</w:t>
      </w:r>
      <w:r w:rsidR="001A28E8" w:rsidRPr="00CB259B">
        <w:rPr>
          <w:sz w:val="20"/>
          <w:szCs w:val="20"/>
        </w:rPr>
        <w:t xml:space="preserve"> </w:t>
      </w:r>
      <w:r>
        <w:rPr>
          <w:sz w:val="20"/>
          <w:szCs w:val="20"/>
        </w:rPr>
        <w:t>and</w:t>
      </w:r>
    </w:p>
    <w:p w:rsidR="00866F51" w:rsidRDefault="00866F51" w:rsidP="00CB259B">
      <w:pPr>
        <w:pBdr>
          <w:top w:val="single" w:sz="4" w:space="10" w:color="auto"/>
          <w:left w:val="single" w:sz="4" w:space="10" w:color="auto"/>
          <w:bottom w:val="single" w:sz="4" w:space="10" w:color="auto"/>
          <w:right w:val="single" w:sz="4" w:space="10" w:color="auto"/>
        </w:pBdr>
        <w:rPr>
          <w:sz w:val="20"/>
          <w:szCs w:val="20"/>
        </w:rPr>
      </w:pPr>
    </w:p>
    <w:p w:rsidR="00F90B06" w:rsidRDefault="00866F51"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2.</w:t>
      </w:r>
      <w:r w:rsidR="001A28E8" w:rsidRPr="00CB259B">
        <w:rPr>
          <w:sz w:val="20"/>
          <w:szCs w:val="20"/>
        </w:rPr>
        <w:t xml:space="preserve"> </w:t>
      </w:r>
      <w:r w:rsidR="002C1992">
        <w:rPr>
          <w:sz w:val="20"/>
          <w:szCs w:val="20"/>
        </w:rPr>
        <w:t xml:space="preserve"> </w:t>
      </w:r>
      <w:proofErr w:type="gramStart"/>
      <w:r w:rsidR="001A28E8" w:rsidRPr="00CB259B">
        <w:rPr>
          <w:sz w:val="20"/>
          <w:szCs w:val="20"/>
        </w:rPr>
        <w:t>the</w:t>
      </w:r>
      <w:proofErr w:type="gramEnd"/>
      <w:r w:rsidR="001A28E8" w:rsidRPr="00CB259B">
        <w:rPr>
          <w:sz w:val="20"/>
          <w:szCs w:val="20"/>
        </w:rPr>
        <w:t xml:space="preserve"> patent’s market value multiplied by the company tax rate</w:t>
      </w:r>
      <w:r w:rsidR="00F90B06">
        <w:rPr>
          <w:sz w:val="20"/>
          <w:szCs w:val="20"/>
        </w:rPr>
        <w:t>, which equals</w:t>
      </w:r>
      <w:r w:rsidR="00857171" w:rsidRPr="00CB259B">
        <w:rPr>
          <w:sz w:val="20"/>
          <w:szCs w:val="20"/>
        </w:rPr>
        <w:t xml:space="preserve"> $280,000</w:t>
      </w:r>
      <w:r w:rsidR="001A28E8" w:rsidRPr="00CB259B">
        <w:rPr>
          <w:sz w:val="20"/>
          <w:szCs w:val="20"/>
        </w:rPr>
        <w:t xml:space="preserve"> </w:t>
      </w:r>
      <w:r w:rsidR="00857171" w:rsidRPr="00CB259B">
        <w:rPr>
          <w:sz w:val="20"/>
          <w:szCs w:val="20"/>
        </w:rPr>
        <w:t>[</w:t>
      </w:r>
      <w:r w:rsidR="001A28E8" w:rsidRPr="00CB259B">
        <w:rPr>
          <w:sz w:val="20"/>
          <w:szCs w:val="20"/>
        </w:rPr>
        <w:t>$1,000,000 * 0.28</w:t>
      </w:r>
      <w:r w:rsidR="00857171" w:rsidRPr="00CB259B">
        <w:rPr>
          <w:sz w:val="20"/>
          <w:szCs w:val="20"/>
        </w:rPr>
        <w:t>]</w:t>
      </w:r>
      <w:r w:rsidR="00F90B06">
        <w:rPr>
          <w:sz w:val="20"/>
          <w:szCs w:val="20"/>
        </w:rPr>
        <w:t>.</w:t>
      </w:r>
    </w:p>
    <w:p w:rsidR="00F90B06" w:rsidRDefault="00F90B06" w:rsidP="00CB259B">
      <w:pPr>
        <w:pBdr>
          <w:top w:val="single" w:sz="4" w:space="10" w:color="auto"/>
          <w:left w:val="single" w:sz="4" w:space="10" w:color="auto"/>
          <w:bottom w:val="single" w:sz="4" w:space="10" w:color="auto"/>
          <w:right w:val="single" w:sz="4" w:space="10" w:color="auto"/>
        </w:pBdr>
        <w:rPr>
          <w:sz w:val="20"/>
          <w:szCs w:val="20"/>
        </w:rPr>
      </w:pPr>
    </w:p>
    <w:p w:rsidR="00A01937" w:rsidRPr="00CB259B" w:rsidRDefault="00F90B06"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 xml:space="preserve">Therefore </w:t>
      </w:r>
      <w:r w:rsidR="00AF60FA">
        <w:rPr>
          <w:sz w:val="20"/>
          <w:szCs w:val="20"/>
        </w:rPr>
        <w:t>Viditech</w:t>
      </w:r>
      <w:r>
        <w:rPr>
          <w:sz w:val="20"/>
          <w:szCs w:val="20"/>
        </w:rPr>
        <w:t xml:space="preserve"> Ltd</w:t>
      </w:r>
      <w:r w:rsidR="001A28E8" w:rsidRPr="00CB259B">
        <w:rPr>
          <w:sz w:val="20"/>
          <w:szCs w:val="20"/>
        </w:rPr>
        <w:t xml:space="preserve"> will </w:t>
      </w:r>
      <w:r w:rsidR="00C75965">
        <w:rPr>
          <w:sz w:val="20"/>
          <w:szCs w:val="20"/>
        </w:rPr>
        <w:t xml:space="preserve">pay </w:t>
      </w:r>
      <w:r w:rsidR="00C75965" w:rsidRPr="00C75965">
        <w:rPr>
          <w:sz w:val="20"/>
          <w:szCs w:val="20"/>
        </w:rPr>
        <w:t>R&amp;D repayment tax</w:t>
      </w:r>
      <w:r w:rsidR="00C75965">
        <w:rPr>
          <w:sz w:val="20"/>
          <w:szCs w:val="20"/>
        </w:rPr>
        <w:t xml:space="preserve"> of</w:t>
      </w:r>
      <w:r w:rsidR="00C75965" w:rsidRPr="00CB259B">
        <w:rPr>
          <w:sz w:val="20"/>
          <w:szCs w:val="20"/>
        </w:rPr>
        <w:t xml:space="preserve"> </w:t>
      </w:r>
      <w:r w:rsidR="001A28E8" w:rsidRPr="00CB259B">
        <w:rPr>
          <w:sz w:val="20"/>
          <w:szCs w:val="20"/>
        </w:rPr>
        <w:t xml:space="preserve">$70,000. </w:t>
      </w:r>
      <w:r w:rsidR="00943A3A" w:rsidRPr="00CB259B">
        <w:rPr>
          <w:sz w:val="20"/>
          <w:szCs w:val="20"/>
        </w:rPr>
        <w:t xml:space="preserve"> </w:t>
      </w:r>
      <w:r w:rsidR="003937D5" w:rsidRPr="00CB259B">
        <w:rPr>
          <w:sz w:val="20"/>
          <w:szCs w:val="20"/>
        </w:rPr>
        <w:t xml:space="preserve">The </w:t>
      </w:r>
      <w:r w:rsidR="00C75965">
        <w:rPr>
          <w:sz w:val="20"/>
          <w:szCs w:val="20"/>
        </w:rPr>
        <w:t xml:space="preserve">R&amp;D </w:t>
      </w:r>
      <w:r w:rsidR="002A7365">
        <w:rPr>
          <w:sz w:val="20"/>
          <w:szCs w:val="20"/>
        </w:rPr>
        <w:t>loss tax credit</w:t>
      </w:r>
      <w:r w:rsidR="003937D5" w:rsidRPr="00CB259B">
        <w:rPr>
          <w:sz w:val="20"/>
          <w:szCs w:val="20"/>
        </w:rPr>
        <w:t xml:space="preserve"> balance </w:t>
      </w:r>
      <w:r w:rsidR="00E97FC0" w:rsidRPr="00CB259B">
        <w:rPr>
          <w:sz w:val="20"/>
          <w:szCs w:val="20"/>
        </w:rPr>
        <w:t xml:space="preserve">is </w:t>
      </w:r>
      <w:r w:rsidR="003937D5" w:rsidRPr="00CB259B">
        <w:rPr>
          <w:sz w:val="20"/>
          <w:szCs w:val="20"/>
        </w:rPr>
        <w:t>repaid</w:t>
      </w:r>
      <w:r w:rsidR="00290A9E">
        <w:rPr>
          <w:sz w:val="20"/>
          <w:szCs w:val="20"/>
        </w:rPr>
        <w:t xml:space="preserve"> in full</w:t>
      </w:r>
      <w:r w:rsidR="003937D5" w:rsidRPr="00CB259B">
        <w:rPr>
          <w:sz w:val="20"/>
          <w:szCs w:val="20"/>
        </w:rPr>
        <w:t>.</w:t>
      </w:r>
    </w:p>
    <w:p w:rsidR="00030D20" w:rsidRPr="003E3A7C" w:rsidRDefault="00030D20" w:rsidP="003F26D1"/>
    <w:p w:rsidR="009A385F" w:rsidRDefault="009A385F">
      <w:pPr>
        <w:jc w:val="left"/>
        <w:rPr>
          <w:b/>
          <w:sz w:val="20"/>
          <w:szCs w:val="20"/>
        </w:rPr>
      </w:pPr>
    </w:p>
    <w:p w:rsidR="00030D20" w:rsidRPr="00CB259B" w:rsidRDefault="002F1154"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937D5" w:rsidRPr="00F01512">
        <w:rPr>
          <w:b/>
          <w:sz w:val="20"/>
          <w:szCs w:val="20"/>
        </w:rPr>
        <w:t xml:space="preserve">: </w:t>
      </w:r>
      <w:r w:rsidR="00BD2CA3" w:rsidRPr="00CB259B">
        <w:rPr>
          <w:b/>
          <w:sz w:val="20"/>
          <w:szCs w:val="20"/>
        </w:rPr>
        <w:t>M</w:t>
      </w:r>
      <w:r w:rsidR="003937D5" w:rsidRPr="00F01512">
        <w:rPr>
          <w:b/>
          <w:sz w:val="20"/>
          <w:szCs w:val="20"/>
        </w:rPr>
        <w:t>ultiple sales of intangible property</w:t>
      </w:r>
    </w:p>
    <w:p w:rsidR="00BD2CA3" w:rsidRPr="00F01512" w:rsidRDefault="00BD2CA3" w:rsidP="00CB259B">
      <w:pPr>
        <w:pBdr>
          <w:top w:val="single" w:sz="4" w:space="10" w:color="auto"/>
          <w:left w:val="single" w:sz="4" w:space="10" w:color="auto"/>
          <w:bottom w:val="single" w:sz="4" w:space="10" w:color="auto"/>
          <w:right w:val="single" w:sz="4" w:space="10" w:color="auto"/>
        </w:pBdr>
        <w:rPr>
          <w:b/>
          <w:sz w:val="20"/>
          <w:szCs w:val="20"/>
        </w:rPr>
      </w:pPr>
    </w:p>
    <w:p w:rsidR="006A5046" w:rsidRDefault="002F1154"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Replicosteo Ltd is incorporate</w:t>
      </w:r>
      <w:r w:rsidR="00EA2D8F" w:rsidRPr="00CB259B">
        <w:rPr>
          <w:sz w:val="20"/>
          <w:szCs w:val="20"/>
        </w:rPr>
        <w:t>d</w:t>
      </w:r>
      <w:r w:rsidRPr="00CB259B">
        <w:rPr>
          <w:sz w:val="20"/>
          <w:szCs w:val="20"/>
        </w:rPr>
        <w:t xml:space="preserve"> in July 2015 to develop new synthetic materials</w:t>
      </w:r>
      <w:r w:rsidR="00E97FC0" w:rsidRPr="00CB259B">
        <w:rPr>
          <w:sz w:val="20"/>
          <w:szCs w:val="20"/>
        </w:rPr>
        <w:t xml:space="preserve"> for hip replacements</w:t>
      </w:r>
      <w:r w:rsidR="004D5A6A" w:rsidRPr="00CB259B">
        <w:rPr>
          <w:sz w:val="20"/>
          <w:szCs w:val="20"/>
        </w:rPr>
        <w:t xml:space="preserve"> that are</w:t>
      </w:r>
      <w:r w:rsidR="009B4FEF">
        <w:rPr>
          <w:sz w:val="20"/>
          <w:szCs w:val="20"/>
        </w:rPr>
        <w:t xml:space="preserve"> </w:t>
      </w:r>
      <w:r w:rsidR="004D5A6A" w:rsidRPr="00CB259B">
        <w:rPr>
          <w:sz w:val="20"/>
          <w:szCs w:val="20"/>
        </w:rPr>
        <w:t xml:space="preserve"> </w:t>
      </w:r>
      <w:r w:rsidR="00E97FC0" w:rsidRPr="00CB259B">
        <w:rPr>
          <w:sz w:val="20"/>
          <w:szCs w:val="20"/>
        </w:rPr>
        <w:t xml:space="preserve">similar </w:t>
      </w:r>
      <w:r w:rsidR="004D5A6A" w:rsidRPr="00CB259B">
        <w:rPr>
          <w:sz w:val="20"/>
          <w:szCs w:val="20"/>
        </w:rPr>
        <w:t>to bone</w:t>
      </w:r>
      <w:r w:rsidR="00EA2D8F" w:rsidRPr="00CB259B">
        <w:rPr>
          <w:sz w:val="20"/>
          <w:szCs w:val="20"/>
        </w:rPr>
        <w:t xml:space="preserve">. </w:t>
      </w:r>
      <w:r w:rsidR="005547A3" w:rsidRPr="00CB259B">
        <w:rPr>
          <w:sz w:val="20"/>
          <w:szCs w:val="20"/>
        </w:rPr>
        <w:t xml:space="preserve"> </w:t>
      </w:r>
      <w:r w:rsidR="00EA2D8F" w:rsidRPr="00CB259B">
        <w:rPr>
          <w:sz w:val="20"/>
          <w:szCs w:val="20"/>
        </w:rPr>
        <w:t>Replicosteo cashes out losses of $500,000 and $800,000 for the 2015–16 and 2016–17 income years for</w:t>
      </w:r>
      <w:r w:rsidR="005547A3" w:rsidRPr="00CB259B">
        <w:rPr>
          <w:sz w:val="20"/>
          <w:szCs w:val="20"/>
        </w:rPr>
        <w:t xml:space="preserve"> </w:t>
      </w:r>
      <w:r w:rsidR="00C75965">
        <w:rPr>
          <w:sz w:val="20"/>
          <w:szCs w:val="20"/>
        </w:rPr>
        <w:t xml:space="preserve">R&amp;D </w:t>
      </w:r>
      <w:r w:rsidR="002A7365">
        <w:rPr>
          <w:sz w:val="20"/>
          <w:szCs w:val="20"/>
        </w:rPr>
        <w:t>loss tax credit</w:t>
      </w:r>
      <w:r w:rsidR="00EA2D8F" w:rsidRPr="00CB259B">
        <w:rPr>
          <w:sz w:val="20"/>
          <w:szCs w:val="20"/>
        </w:rPr>
        <w:t xml:space="preserve">s of $140,000 and $224,000 respectively. </w:t>
      </w:r>
      <w:r w:rsidR="005547A3" w:rsidRPr="00CB259B">
        <w:rPr>
          <w:sz w:val="20"/>
          <w:szCs w:val="20"/>
        </w:rPr>
        <w:t xml:space="preserve"> </w:t>
      </w:r>
      <w:r w:rsidR="00EA2D8F" w:rsidRPr="00CB259B">
        <w:rPr>
          <w:sz w:val="20"/>
          <w:szCs w:val="20"/>
        </w:rPr>
        <w:t>In the 2017</w:t>
      </w:r>
      <w:r w:rsidR="00287320" w:rsidRPr="00CB259B">
        <w:rPr>
          <w:sz w:val="20"/>
          <w:szCs w:val="20"/>
        </w:rPr>
        <w:t>–</w:t>
      </w:r>
      <w:r w:rsidR="00EA2D8F" w:rsidRPr="00CB259B">
        <w:rPr>
          <w:sz w:val="20"/>
          <w:szCs w:val="20"/>
        </w:rPr>
        <w:t>18 year, Replicosteo sells know-how for $600,000</w:t>
      </w:r>
      <w:r w:rsidR="006A5046">
        <w:rPr>
          <w:sz w:val="20"/>
          <w:szCs w:val="20"/>
        </w:rPr>
        <w:t xml:space="preserve"> (which is its market value and a capital receipt)</w:t>
      </w:r>
      <w:r w:rsidR="00EA2D8F" w:rsidRPr="00CB259B">
        <w:rPr>
          <w:sz w:val="20"/>
          <w:szCs w:val="20"/>
        </w:rPr>
        <w:t xml:space="preserve"> and also has taxable income of $200,000</w:t>
      </w:r>
      <w:r w:rsidR="006B369D" w:rsidRPr="00CB259B">
        <w:rPr>
          <w:sz w:val="20"/>
          <w:szCs w:val="20"/>
        </w:rPr>
        <w:t xml:space="preserve"> </w:t>
      </w:r>
      <w:r w:rsidR="00F90B06">
        <w:rPr>
          <w:sz w:val="20"/>
          <w:szCs w:val="20"/>
        </w:rPr>
        <w:t xml:space="preserve">on which </w:t>
      </w:r>
      <w:r w:rsidR="006B369D" w:rsidRPr="00CB259B">
        <w:rPr>
          <w:sz w:val="20"/>
          <w:szCs w:val="20"/>
        </w:rPr>
        <w:t>$56,000 of income tax</w:t>
      </w:r>
      <w:r w:rsidR="005547A3" w:rsidRPr="00CB259B">
        <w:rPr>
          <w:sz w:val="20"/>
          <w:szCs w:val="20"/>
        </w:rPr>
        <w:t xml:space="preserve"> is</w:t>
      </w:r>
      <w:r w:rsidR="006B369D" w:rsidRPr="00CB259B">
        <w:rPr>
          <w:sz w:val="20"/>
          <w:szCs w:val="20"/>
        </w:rPr>
        <w:t xml:space="preserve"> paid</w:t>
      </w:r>
      <w:r w:rsidR="00EA2D8F" w:rsidRPr="00CB259B">
        <w:rPr>
          <w:sz w:val="20"/>
          <w:szCs w:val="20"/>
        </w:rPr>
        <w:t xml:space="preserve">. </w:t>
      </w:r>
      <w:r w:rsidR="005547A3" w:rsidRPr="00CB259B">
        <w:rPr>
          <w:sz w:val="20"/>
          <w:szCs w:val="20"/>
        </w:rPr>
        <w:t xml:space="preserve"> </w:t>
      </w:r>
      <w:r w:rsidR="00EA2D8F" w:rsidRPr="00CB259B">
        <w:rPr>
          <w:sz w:val="20"/>
          <w:szCs w:val="20"/>
        </w:rPr>
        <w:t xml:space="preserve">That year Replicosteo has to pay R&amp;D repayment tax of </w:t>
      </w:r>
      <w:r w:rsidR="006B369D" w:rsidRPr="00CB259B">
        <w:rPr>
          <w:sz w:val="20"/>
          <w:szCs w:val="20"/>
        </w:rPr>
        <w:t>$168,000</w:t>
      </w:r>
      <w:r w:rsidR="006A5046">
        <w:rPr>
          <w:sz w:val="20"/>
          <w:szCs w:val="20"/>
        </w:rPr>
        <w:t xml:space="preserve"> [$600,000 * 0.28 &lt; (140,000 + 224,000 – $56,000)]</w:t>
      </w:r>
      <w:r w:rsidR="006B369D" w:rsidRPr="00CB259B">
        <w:rPr>
          <w:sz w:val="20"/>
          <w:szCs w:val="20"/>
        </w:rPr>
        <w:t xml:space="preserve">, and has a tax credit balance of $140,000 </w:t>
      </w:r>
      <w:r w:rsidR="009B4FEF" w:rsidRPr="00CB259B">
        <w:rPr>
          <w:sz w:val="20"/>
          <w:szCs w:val="20"/>
        </w:rPr>
        <w:t>remaining</w:t>
      </w:r>
      <w:r w:rsidR="009B4FEF">
        <w:rPr>
          <w:sz w:val="20"/>
          <w:szCs w:val="20"/>
        </w:rPr>
        <w:t xml:space="preserve"> </w:t>
      </w:r>
      <w:r w:rsidR="00857171" w:rsidRPr="00CB259B">
        <w:rPr>
          <w:sz w:val="20"/>
          <w:szCs w:val="20"/>
        </w:rPr>
        <w:t>[</w:t>
      </w:r>
      <w:r w:rsidR="006B369D" w:rsidRPr="00CB259B">
        <w:rPr>
          <w:sz w:val="20"/>
          <w:szCs w:val="20"/>
        </w:rPr>
        <w:t xml:space="preserve">$140,000 </w:t>
      </w:r>
      <w:r w:rsidR="00857171" w:rsidRPr="00CB259B">
        <w:rPr>
          <w:sz w:val="20"/>
          <w:szCs w:val="20"/>
        </w:rPr>
        <w:t xml:space="preserve">+ $224,000 </w:t>
      </w:r>
      <w:r w:rsidR="005547A3" w:rsidRPr="00CB259B">
        <w:rPr>
          <w:sz w:val="20"/>
          <w:szCs w:val="20"/>
        </w:rPr>
        <w:t>–</w:t>
      </w:r>
      <w:r w:rsidR="00857171" w:rsidRPr="00CB259B">
        <w:rPr>
          <w:sz w:val="20"/>
          <w:szCs w:val="20"/>
        </w:rPr>
        <w:t xml:space="preserve"> $56,000 </w:t>
      </w:r>
      <w:r w:rsidR="005547A3" w:rsidRPr="00CB259B">
        <w:rPr>
          <w:sz w:val="20"/>
          <w:szCs w:val="20"/>
        </w:rPr>
        <w:t>–</w:t>
      </w:r>
      <w:r w:rsidR="00857171" w:rsidRPr="00CB259B">
        <w:rPr>
          <w:sz w:val="20"/>
          <w:szCs w:val="20"/>
        </w:rPr>
        <w:t xml:space="preserve"> $168,000]</w:t>
      </w:r>
      <w:r w:rsidR="006B369D" w:rsidRPr="00CB259B">
        <w:rPr>
          <w:sz w:val="20"/>
          <w:szCs w:val="20"/>
        </w:rPr>
        <w:t>.</w:t>
      </w:r>
    </w:p>
    <w:p w:rsidR="006A5046" w:rsidRDefault="006A5046" w:rsidP="00CB259B">
      <w:pPr>
        <w:pBdr>
          <w:top w:val="single" w:sz="4" w:space="10" w:color="auto"/>
          <w:left w:val="single" w:sz="4" w:space="10" w:color="auto"/>
          <w:bottom w:val="single" w:sz="4" w:space="10" w:color="auto"/>
          <w:right w:val="single" w:sz="4" w:space="10" w:color="auto"/>
        </w:pBdr>
        <w:rPr>
          <w:sz w:val="20"/>
          <w:szCs w:val="20"/>
        </w:rPr>
      </w:pPr>
    </w:p>
    <w:p w:rsidR="002F1154" w:rsidRPr="00CB259B" w:rsidRDefault="006B369D" w:rsidP="00CB259B">
      <w:pPr>
        <w:pBdr>
          <w:top w:val="single" w:sz="4" w:space="10" w:color="auto"/>
          <w:left w:val="single" w:sz="4" w:space="10" w:color="auto"/>
          <w:bottom w:val="single" w:sz="4" w:space="10" w:color="auto"/>
          <w:right w:val="single" w:sz="4" w:space="10" w:color="auto"/>
        </w:pBdr>
        <w:rPr>
          <w:sz w:val="20"/>
          <w:szCs w:val="20"/>
        </w:rPr>
      </w:pPr>
      <w:r w:rsidRPr="00CB259B">
        <w:rPr>
          <w:sz w:val="20"/>
          <w:szCs w:val="20"/>
        </w:rPr>
        <w:t>Replicosteo sells further know-how in the 2018</w:t>
      </w:r>
      <w:r w:rsidR="005547A3" w:rsidRPr="00CB259B">
        <w:rPr>
          <w:sz w:val="20"/>
          <w:szCs w:val="20"/>
        </w:rPr>
        <w:t>–</w:t>
      </w:r>
      <w:r w:rsidRPr="00CB259B">
        <w:rPr>
          <w:sz w:val="20"/>
          <w:szCs w:val="20"/>
        </w:rPr>
        <w:t>19 year for $900,000</w:t>
      </w:r>
      <w:r w:rsidR="006A5046">
        <w:rPr>
          <w:sz w:val="20"/>
          <w:szCs w:val="20"/>
        </w:rPr>
        <w:t xml:space="preserve"> (which is its market value and a capital receipt)</w:t>
      </w:r>
      <w:r w:rsidRPr="00CB259B">
        <w:rPr>
          <w:sz w:val="20"/>
          <w:szCs w:val="20"/>
        </w:rPr>
        <w:t xml:space="preserve"> and </w:t>
      </w:r>
      <w:r w:rsidR="00857171" w:rsidRPr="00CB259B">
        <w:rPr>
          <w:sz w:val="20"/>
          <w:szCs w:val="20"/>
        </w:rPr>
        <w:t xml:space="preserve">has taxable income of $300,000 and </w:t>
      </w:r>
      <w:r w:rsidRPr="00CB259B">
        <w:rPr>
          <w:sz w:val="20"/>
          <w:szCs w:val="20"/>
        </w:rPr>
        <w:t>income tax of $84,000</w:t>
      </w:r>
      <w:r w:rsidR="00A35AC4">
        <w:rPr>
          <w:sz w:val="20"/>
          <w:szCs w:val="20"/>
        </w:rPr>
        <w:t xml:space="preserve"> that year</w:t>
      </w:r>
      <w:r w:rsidRPr="00CB259B">
        <w:rPr>
          <w:sz w:val="20"/>
          <w:szCs w:val="20"/>
        </w:rPr>
        <w:t>.</w:t>
      </w:r>
      <w:r w:rsidR="005547A3" w:rsidRPr="00CB259B">
        <w:rPr>
          <w:sz w:val="20"/>
          <w:szCs w:val="20"/>
        </w:rPr>
        <w:t xml:space="preserve"> </w:t>
      </w:r>
      <w:r w:rsidRPr="00CB259B">
        <w:rPr>
          <w:sz w:val="20"/>
          <w:szCs w:val="20"/>
        </w:rPr>
        <w:t xml:space="preserve"> </w:t>
      </w:r>
      <w:r w:rsidR="003937D5" w:rsidRPr="00CB259B">
        <w:rPr>
          <w:sz w:val="20"/>
          <w:szCs w:val="20"/>
        </w:rPr>
        <w:t xml:space="preserve">Replicosteo has </w:t>
      </w:r>
      <w:r w:rsidR="005547A3" w:rsidRPr="00CB259B">
        <w:rPr>
          <w:sz w:val="20"/>
          <w:szCs w:val="20"/>
        </w:rPr>
        <w:t xml:space="preserve">R&amp;D </w:t>
      </w:r>
      <w:r w:rsidR="003937D5" w:rsidRPr="00CB259B">
        <w:rPr>
          <w:sz w:val="20"/>
          <w:szCs w:val="20"/>
        </w:rPr>
        <w:t>repayment tax of the lower of the remaining balance of the tax credit</w:t>
      </w:r>
      <w:r w:rsidR="00857171" w:rsidRPr="00CB259B">
        <w:rPr>
          <w:sz w:val="20"/>
          <w:szCs w:val="20"/>
        </w:rPr>
        <w:t xml:space="preserve"> – $56,000</w:t>
      </w:r>
      <w:r w:rsidR="003937D5" w:rsidRPr="00CB259B">
        <w:rPr>
          <w:sz w:val="20"/>
          <w:szCs w:val="20"/>
        </w:rPr>
        <w:t xml:space="preserve"> </w:t>
      </w:r>
      <w:r w:rsidR="00857171" w:rsidRPr="00CB259B">
        <w:rPr>
          <w:sz w:val="20"/>
          <w:szCs w:val="20"/>
        </w:rPr>
        <w:t>[</w:t>
      </w:r>
      <w:r w:rsidR="003937D5" w:rsidRPr="00CB259B">
        <w:rPr>
          <w:sz w:val="20"/>
          <w:szCs w:val="20"/>
        </w:rPr>
        <w:t xml:space="preserve">$140,000 + $224,000 </w:t>
      </w:r>
      <w:r w:rsidR="005547A3" w:rsidRPr="00CB259B">
        <w:rPr>
          <w:sz w:val="20"/>
          <w:szCs w:val="20"/>
        </w:rPr>
        <w:t>–</w:t>
      </w:r>
      <w:r w:rsidR="003937D5" w:rsidRPr="00CB259B">
        <w:rPr>
          <w:sz w:val="20"/>
          <w:szCs w:val="20"/>
        </w:rPr>
        <w:t xml:space="preserve"> $56,000 </w:t>
      </w:r>
      <w:r w:rsidR="005547A3" w:rsidRPr="00CB259B">
        <w:rPr>
          <w:sz w:val="20"/>
          <w:szCs w:val="20"/>
        </w:rPr>
        <w:t>–</w:t>
      </w:r>
      <w:r w:rsidR="003937D5" w:rsidRPr="00CB259B">
        <w:rPr>
          <w:sz w:val="20"/>
          <w:szCs w:val="20"/>
        </w:rPr>
        <w:t xml:space="preserve"> $168,000 </w:t>
      </w:r>
      <w:r w:rsidR="005547A3" w:rsidRPr="00CB259B">
        <w:rPr>
          <w:sz w:val="20"/>
          <w:szCs w:val="20"/>
        </w:rPr>
        <w:t>–</w:t>
      </w:r>
      <w:r w:rsidR="003937D5" w:rsidRPr="00CB259B">
        <w:rPr>
          <w:sz w:val="20"/>
          <w:szCs w:val="20"/>
        </w:rPr>
        <w:t xml:space="preserve"> $84,000</w:t>
      </w:r>
      <w:r w:rsidR="00857171" w:rsidRPr="00CB259B">
        <w:rPr>
          <w:sz w:val="20"/>
          <w:szCs w:val="20"/>
        </w:rPr>
        <w:t>]</w:t>
      </w:r>
      <w:r w:rsidR="003937D5" w:rsidRPr="00CB259B">
        <w:rPr>
          <w:sz w:val="20"/>
          <w:szCs w:val="20"/>
        </w:rPr>
        <w:t xml:space="preserve"> </w:t>
      </w:r>
      <w:r w:rsidR="00173144">
        <w:rPr>
          <w:sz w:val="20"/>
          <w:szCs w:val="20"/>
        </w:rPr>
        <w:t>and</w:t>
      </w:r>
      <w:r w:rsidR="003937D5" w:rsidRPr="00CB259B">
        <w:rPr>
          <w:sz w:val="20"/>
          <w:szCs w:val="20"/>
        </w:rPr>
        <w:t xml:space="preserve"> the value </w:t>
      </w:r>
      <w:r w:rsidR="00A35AC4">
        <w:rPr>
          <w:sz w:val="20"/>
          <w:szCs w:val="20"/>
        </w:rPr>
        <w:t xml:space="preserve">of the know-how sold that year </w:t>
      </w:r>
      <w:r w:rsidR="003937D5" w:rsidRPr="00CB259B">
        <w:rPr>
          <w:sz w:val="20"/>
          <w:szCs w:val="20"/>
        </w:rPr>
        <w:t>multiplied by the company tax rate</w:t>
      </w:r>
      <w:r w:rsidR="00857171" w:rsidRPr="00CB259B">
        <w:rPr>
          <w:sz w:val="20"/>
          <w:szCs w:val="20"/>
        </w:rPr>
        <w:t xml:space="preserve"> </w:t>
      </w:r>
      <w:r w:rsidR="00A35AC4">
        <w:rPr>
          <w:sz w:val="20"/>
          <w:szCs w:val="20"/>
        </w:rPr>
        <w:t>of</w:t>
      </w:r>
      <w:r w:rsidR="00857171" w:rsidRPr="00CB259B">
        <w:rPr>
          <w:sz w:val="20"/>
          <w:szCs w:val="20"/>
        </w:rPr>
        <w:t xml:space="preserve"> $252,000</w:t>
      </w:r>
      <w:r w:rsidRPr="00CB259B">
        <w:rPr>
          <w:sz w:val="20"/>
          <w:szCs w:val="20"/>
        </w:rPr>
        <w:t xml:space="preserve"> </w:t>
      </w:r>
      <w:r w:rsidR="00857171" w:rsidRPr="00CB259B">
        <w:rPr>
          <w:sz w:val="20"/>
          <w:szCs w:val="20"/>
        </w:rPr>
        <w:t>[</w:t>
      </w:r>
      <w:r w:rsidR="003937D5" w:rsidRPr="00CB259B">
        <w:rPr>
          <w:sz w:val="20"/>
          <w:szCs w:val="20"/>
        </w:rPr>
        <w:t>$900,000 * 0.28</w:t>
      </w:r>
      <w:r w:rsidR="00857171" w:rsidRPr="00CB259B">
        <w:rPr>
          <w:sz w:val="20"/>
          <w:szCs w:val="20"/>
        </w:rPr>
        <w:t>]</w:t>
      </w:r>
      <w:r w:rsidR="00A35AC4">
        <w:rPr>
          <w:sz w:val="20"/>
          <w:szCs w:val="20"/>
        </w:rPr>
        <w:t xml:space="preserve">.  Replicosteo </w:t>
      </w:r>
      <w:r w:rsidR="006A5046">
        <w:rPr>
          <w:sz w:val="20"/>
          <w:szCs w:val="20"/>
        </w:rPr>
        <w:t xml:space="preserve">therefore </w:t>
      </w:r>
      <w:r w:rsidR="00A35AC4">
        <w:rPr>
          <w:sz w:val="20"/>
          <w:szCs w:val="20"/>
        </w:rPr>
        <w:t xml:space="preserve">pays R&amp;D repayment tax of $56,000, and so the </w:t>
      </w:r>
      <w:r w:rsidR="00C75965">
        <w:rPr>
          <w:sz w:val="20"/>
          <w:szCs w:val="20"/>
        </w:rPr>
        <w:t xml:space="preserve">R&amp;D </w:t>
      </w:r>
      <w:r w:rsidR="002A7365">
        <w:rPr>
          <w:sz w:val="20"/>
          <w:szCs w:val="20"/>
        </w:rPr>
        <w:t>loss tax credit</w:t>
      </w:r>
      <w:r w:rsidR="00A35AC4">
        <w:rPr>
          <w:sz w:val="20"/>
          <w:szCs w:val="20"/>
        </w:rPr>
        <w:t xml:space="preserve"> balance is </w:t>
      </w:r>
      <w:r w:rsidR="006A5046">
        <w:rPr>
          <w:sz w:val="20"/>
          <w:szCs w:val="20"/>
        </w:rPr>
        <w:t xml:space="preserve">fully </w:t>
      </w:r>
      <w:r w:rsidR="00A35AC4">
        <w:rPr>
          <w:sz w:val="20"/>
          <w:szCs w:val="20"/>
        </w:rPr>
        <w:t>repaid.</w:t>
      </w:r>
    </w:p>
    <w:p w:rsidR="00C5143E" w:rsidRPr="00092DA0" w:rsidRDefault="00C5143E" w:rsidP="00092DA0"/>
    <w:p w:rsidR="00C5143E" w:rsidRPr="00092DA0" w:rsidRDefault="00C5143E" w:rsidP="00092DA0"/>
    <w:p w:rsidR="00A97F93" w:rsidRPr="00F518AB" w:rsidRDefault="00F518AB" w:rsidP="005A1169">
      <w:pPr>
        <w:pStyle w:val="Heading3"/>
      </w:pPr>
      <w:r>
        <w:t>Sale of the company</w:t>
      </w:r>
      <w:r w:rsidR="00C23BA3">
        <w:t xml:space="preserve"> (and when migration o</w:t>
      </w:r>
      <w:r w:rsidR="00CC4082">
        <w:t>r</w:t>
      </w:r>
      <w:r w:rsidR="00C23BA3">
        <w:t xml:space="preserve"> liquidation</w:t>
      </w:r>
      <w:r w:rsidR="005547A3">
        <w:t>-</w:t>
      </w:r>
      <w:r w:rsidR="00C23BA3">
        <w:t>induced repayment obligations do not apply)</w:t>
      </w:r>
    </w:p>
    <w:p w:rsidR="006073D4" w:rsidRDefault="006073D4" w:rsidP="006073D4"/>
    <w:p w:rsidR="00F518AB" w:rsidRDefault="00F518AB" w:rsidP="00F518AB">
      <w:r>
        <w:t>If the company is sold</w:t>
      </w:r>
      <w:r w:rsidR="001E5015">
        <w:t>,</w:t>
      </w:r>
      <w:r w:rsidRPr="00F518AB">
        <w:t xml:space="preserve"> </w:t>
      </w:r>
      <w:r>
        <w:t>the repayment amount (</w:t>
      </w:r>
      <w:r w:rsidR="00712D6B">
        <w:t>R&amp;D</w:t>
      </w:r>
      <w:r>
        <w:t xml:space="preserve"> repayment tax) will be capped at the market value of the company shares that have been sold</w:t>
      </w:r>
      <w:r w:rsidR="00F90B06">
        <w:t xml:space="preserve"> since the first tax loss was cashed out</w:t>
      </w:r>
      <w:r w:rsidR="00831E1B">
        <w:t>,</w:t>
      </w:r>
      <w:r>
        <w:t xml:space="preserve"> multiplied by the tax rate.</w:t>
      </w:r>
    </w:p>
    <w:p w:rsidR="00F518AB" w:rsidRDefault="00F518AB" w:rsidP="00F518AB"/>
    <w:p w:rsidR="00246B6C" w:rsidRDefault="00F518AB" w:rsidP="00F518AB">
      <w:r>
        <w:t>That is, t</w:t>
      </w:r>
      <w:r w:rsidR="00A35AC4">
        <w:t xml:space="preserve">he </w:t>
      </w:r>
      <w:r w:rsidR="00C75965">
        <w:t>R&amp;D repayment tax</w:t>
      </w:r>
      <w:r w:rsidR="00C75965" w:rsidDel="00C75965">
        <w:t xml:space="preserve"> </w:t>
      </w:r>
      <w:r w:rsidR="00A35AC4">
        <w:t>is the lesse</w:t>
      </w:r>
      <w:r>
        <w:t>r of</w:t>
      </w:r>
      <w:r w:rsidR="00246B6C">
        <w:t>:</w:t>
      </w:r>
    </w:p>
    <w:p w:rsidR="00246B6C" w:rsidRDefault="00246B6C" w:rsidP="00F518AB"/>
    <w:p w:rsidR="00246B6C" w:rsidRDefault="00F518AB" w:rsidP="00092DA0">
      <w:pPr>
        <w:pStyle w:val="Bullets"/>
      </w:pPr>
      <w:r>
        <w:t>any</w:t>
      </w:r>
      <w:r w:rsidR="00F90B06">
        <w:t xml:space="preserve"> unrepaid</w:t>
      </w:r>
      <w:r>
        <w:t xml:space="preserve"> </w:t>
      </w:r>
      <w:r w:rsidR="00C75965">
        <w:t>R&amp;D</w:t>
      </w:r>
      <w:r w:rsidR="00060B82">
        <w:t xml:space="preserve"> </w:t>
      </w:r>
      <w:r w:rsidR="002A7365">
        <w:t>loss tax credit</w:t>
      </w:r>
      <w:r w:rsidR="00060B82">
        <w:t>s</w:t>
      </w:r>
      <w:r w:rsidR="00246B6C">
        <w:t>;</w:t>
      </w:r>
      <w:r>
        <w:t xml:space="preserve"> </w:t>
      </w:r>
      <w:r w:rsidR="00A35AC4">
        <w:t>and</w:t>
      </w:r>
      <w:r>
        <w:t xml:space="preserve"> </w:t>
      </w:r>
    </w:p>
    <w:p w:rsidR="00F518AB" w:rsidRDefault="00F518AB" w:rsidP="00B67176">
      <w:pPr>
        <w:pStyle w:val="Bullets"/>
        <w:spacing w:after="0"/>
      </w:pPr>
      <w:r>
        <w:t>the market value of the shares that have been sold (</w:t>
      </w:r>
      <w:r w:rsidRPr="00246B6C">
        <w:rPr>
          <w:i/>
        </w:rPr>
        <w:t>shares’ market value</w:t>
      </w:r>
      <w:r>
        <w:t>)</w:t>
      </w:r>
      <w:r w:rsidR="00092DA0">
        <w:t xml:space="preserve"> multiplied by the tax rate.</w:t>
      </w:r>
    </w:p>
    <w:p w:rsidR="00F518AB" w:rsidRDefault="00F518AB" w:rsidP="00F518AB"/>
    <w:p w:rsidR="00F518AB" w:rsidRDefault="00F518AB" w:rsidP="00F518AB">
      <w:r>
        <w:t xml:space="preserve">The unrepaid </w:t>
      </w:r>
      <w:r w:rsidR="00C75965">
        <w:t>R&amp;D</w:t>
      </w:r>
      <w:r w:rsidR="0099519A">
        <w:t xml:space="preserve"> </w:t>
      </w:r>
      <w:r w:rsidR="002A7365">
        <w:t>loss tax credit</w:t>
      </w:r>
      <w:r w:rsidR="0099519A">
        <w:t xml:space="preserve">s </w:t>
      </w:r>
      <w:r>
        <w:t xml:space="preserve">are the total amount of </w:t>
      </w:r>
      <w:r w:rsidR="00C75965">
        <w:t>R&amp;D</w:t>
      </w:r>
      <w:r w:rsidR="00060B82">
        <w:t xml:space="preserve"> </w:t>
      </w:r>
      <w:r w:rsidR="002A7365">
        <w:t>loss tax credit</w:t>
      </w:r>
      <w:r w:rsidR="00060B82">
        <w:t>s</w:t>
      </w:r>
      <w:r>
        <w:t>:</w:t>
      </w:r>
    </w:p>
    <w:p w:rsidR="00617F9A" w:rsidRDefault="00617F9A" w:rsidP="00F518AB"/>
    <w:p w:rsidR="00F518AB" w:rsidRDefault="00F518AB" w:rsidP="00617F9A">
      <w:pPr>
        <w:pStyle w:val="Bullets"/>
      </w:pPr>
      <w:r>
        <w:t>minus the company’s terminal tax</w:t>
      </w:r>
      <w:r w:rsidR="00F90B06">
        <w:t>;</w:t>
      </w:r>
    </w:p>
    <w:p w:rsidR="00F518AB" w:rsidRDefault="00F518AB" w:rsidP="00617F9A">
      <w:pPr>
        <w:pStyle w:val="Bullets"/>
      </w:pPr>
      <w:r>
        <w:t>minus tax credits giving rise to imputation credits (for example</w:t>
      </w:r>
      <w:r w:rsidR="006521C5">
        <w:t>,</w:t>
      </w:r>
      <w:r>
        <w:t xml:space="preserve"> provisional tax)</w:t>
      </w:r>
      <w:r w:rsidR="00F90B06">
        <w:t>;</w:t>
      </w:r>
    </w:p>
    <w:p w:rsidR="00F518AB" w:rsidRDefault="00F518AB" w:rsidP="00617F9A">
      <w:pPr>
        <w:pStyle w:val="Bullets"/>
      </w:pPr>
      <w:r>
        <w:t>plus refundable tax credits giving rise to imputation debits</w:t>
      </w:r>
      <w:r w:rsidR="00F90B06">
        <w:t>;</w:t>
      </w:r>
      <w:r w:rsidR="002F2958">
        <w:t xml:space="preserve"> and</w:t>
      </w:r>
    </w:p>
    <w:p w:rsidR="00F518AB" w:rsidRDefault="00F518AB" w:rsidP="00617F9A">
      <w:pPr>
        <w:pStyle w:val="Bullets"/>
        <w:spacing w:after="0"/>
      </w:pPr>
      <w:r>
        <w:t>minus earlier payments of R&amp;D repayment tax</w:t>
      </w:r>
      <w:r w:rsidR="00F90B06">
        <w:t>,</w:t>
      </w:r>
    </w:p>
    <w:p w:rsidR="006521C5" w:rsidRDefault="006521C5" w:rsidP="00B67176"/>
    <w:p w:rsidR="00F518AB" w:rsidRDefault="00F518AB" w:rsidP="00F518AB">
      <w:r>
        <w:t xml:space="preserve">where those amounts are for tax years from the first time losses were cashed out until the </w:t>
      </w:r>
      <w:r w:rsidR="002F2958">
        <w:t xml:space="preserve">repayment </w:t>
      </w:r>
      <w:r>
        <w:t>year.</w:t>
      </w:r>
      <w:r w:rsidR="00246B6C">
        <w:t xml:space="preserve">  This amount is the same as the unrepaid </w:t>
      </w:r>
      <w:r w:rsidR="00C75965">
        <w:t>R&amp;D</w:t>
      </w:r>
      <w:r w:rsidR="00246B6C">
        <w:t xml:space="preserve"> </w:t>
      </w:r>
      <w:r w:rsidR="002A7365">
        <w:t>loss tax credit</w:t>
      </w:r>
      <w:r w:rsidR="00246B6C">
        <w:t>s for the other repayment events.</w:t>
      </w:r>
    </w:p>
    <w:p w:rsidR="00F518AB" w:rsidRDefault="00F518AB" w:rsidP="006073D4"/>
    <w:p w:rsidR="00377953" w:rsidRDefault="006521C5" w:rsidP="00CF3C8E">
      <w:r>
        <w:t>“</w:t>
      </w:r>
      <w:r w:rsidR="00CF3C8E" w:rsidRPr="00F01512">
        <w:t>Shares</w:t>
      </w:r>
      <w:r w:rsidR="003E7A5E" w:rsidRPr="00F01512">
        <w:t>’</w:t>
      </w:r>
      <w:r w:rsidR="00CF3C8E" w:rsidRPr="00F01512">
        <w:t xml:space="preserve"> market</w:t>
      </w:r>
      <w:r w:rsidR="003E7A5E" w:rsidRPr="00F01512">
        <w:t xml:space="preserve"> value</w:t>
      </w:r>
      <w:r>
        <w:t>”</w:t>
      </w:r>
      <w:r w:rsidR="00CF3C8E" w:rsidRPr="006521C5">
        <w:t xml:space="preserve"> </w:t>
      </w:r>
      <w:r w:rsidR="00CF3C8E">
        <w:t xml:space="preserve">is defined </w:t>
      </w:r>
      <w:r w:rsidR="00BE65F6">
        <w:t>to be</w:t>
      </w:r>
      <w:r w:rsidR="00377953">
        <w:t xml:space="preserve"> the market value of all the </w:t>
      </w:r>
      <w:r w:rsidR="00A67FF1">
        <w:t xml:space="preserve">company’s </w:t>
      </w:r>
      <w:r w:rsidR="00377953">
        <w:t xml:space="preserve">shares </w:t>
      </w:r>
      <w:r w:rsidR="0000163F">
        <w:t>disposed of or issued</w:t>
      </w:r>
      <w:r w:rsidR="00831E1B">
        <w:t>,</w:t>
      </w:r>
      <w:r w:rsidR="00377953">
        <w:t xml:space="preserve"> </w:t>
      </w:r>
      <w:r>
        <w:t>that</w:t>
      </w:r>
      <w:r w:rsidR="00377953">
        <w:t xml:space="preserve"> </w:t>
      </w:r>
      <w:r w:rsidR="00246B6C">
        <w:t xml:space="preserve">combined to </w:t>
      </w:r>
      <w:r w:rsidR="00377953">
        <w:t>cause the repayment event to be triggered</w:t>
      </w:r>
      <w:r w:rsidR="00246B6C">
        <w:t xml:space="preserve">, regardless of the year in which the </w:t>
      </w:r>
      <w:r w:rsidR="0000163F">
        <w:t>disposals or issues</w:t>
      </w:r>
      <w:r w:rsidR="00246B6C">
        <w:t xml:space="preserve"> occurred</w:t>
      </w:r>
      <w:r w:rsidR="00377953">
        <w:t xml:space="preserve">.  </w:t>
      </w:r>
      <w:r w:rsidR="00A67FF1">
        <w:t>This is because the</w:t>
      </w:r>
      <w:r w:rsidR="00246B6C">
        <w:t xml:space="preserve"> repayment </w:t>
      </w:r>
      <w:r w:rsidR="003E7A5E">
        <w:t xml:space="preserve">event </w:t>
      </w:r>
      <w:r w:rsidR="00246B6C">
        <w:t xml:space="preserve">can </w:t>
      </w:r>
      <w:r w:rsidR="003E7A5E">
        <w:t xml:space="preserve">be triggered even if the </w:t>
      </w:r>
      <w:r w:rsidR="0000163F">
        <w:t>disposal or issue</w:t>
      </w:r>
      <w:r w:rsidR="003E7A5E">
        <w:t xml:space="preserve"> events were to occur over a number of income years.  The market value of the shares at each disposal</w:t>
      </w:r>
      <w:r w:rsidR="0000163F">
        <w:t xml:space="preserve"> or issue</w:t>
      </w:r>
      <w:r w:rsidR="003E7A5E">
        <w:t xml:space="preserve"> should be accumulated to calculate the </w:t>
      </w:r>
      <w:r w:rsidR="003E7A5E" w:rsidRPr="00F01512">
        <w:t>shares’ market value</w:t>
      </w:r>
      <w:r w:rsidR="003E7A5E" w:rsidRPr="006521C5">
        <w:t>.</w:t>
      </w:r>
    </w:p>
    <w:p w:rsidR="00B67176" w:rsidRDefault="00B67176">
      <w:pPr>
        <w:jc w:val="left"/>
      </w:pPr>
      <w:r>
        <w:br w:type="page"/>
      </w:r>
    </w:p>
    <w:p w:rsidR="00F14508" w:rsidRPr="00CB259B" w:rsidRDefault="00C5143E" w:rsidP="00C5143E">
      <w:pPr>
        <w:rPr>
          <w:b/>
          <w:sz w:val="20"/>
          <w:szCs w:val="20"/>
        </w:rPr>
      </w:pPr>
      <w:r>
        <w:rPr>
          <w:iCs/>
          <w:noProof/>
          <w:sz w:val="20"/>
          <w:szCs w:val="20"/>
          <w:lang w:eastAsia="en-NZ"/>
        </w:rPr>
        <w:lastRenderedPageBreak/>
        <mc:AlternateContent>
          <mc:Choice Requires="wps">
            <w:drawing>
              <wp:anchor distT="0" distB="0" distL="114300" distR="114300" simplePos="0" relativeHeight="251659264" behindDoc="0" locked="0" layoutInCell="1" allowOverlap="1" wp14:anchorId="5D17D7D5" wp14:editId="76BFFF89">
                <wp:simplePos x="0" y="0"/>
                <wp:positionH relativeFrom="column">
                  <wp:posOffset>-142875</wp:posOffset>
                </wp:positionH>
                <wp:positionV relativeFrom="paragraph">
                  <wp:posOffset>-95250</wp:posOffset>
                </wp:positionV>
                <wp:extent cx="5996305" cy="6638925"/>
                <wp:effectExtent l="0" t="0" r="23495" b="28575"/>
                <wp:wrapNone/>
                <wp:docPr id="2" name="Rectangle 2"/>
                <wp:cNvGraphicFramePr/>
                <a:graphic xmlns:a="http://schemas.openxmlformats.org/drawingml/2006/main">
                  <a:graphicData uri="http://schemas.microsoft.com/office/word/2010/wordprocessingShape">
                    <wps:wsp>
                      <wps:cNvSpPr/>
                      <wps:spPr>
                        <a:xfrm>
                          <a:off x="0" y="0"/>
                          <a:ext cx="5996305" cy="663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25pt;margin-top:-7.5pt;width:472.15pt;height:5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" filled="f" strokecolor="black [3213]" strokeweight=".5pt"/>
            </w:pict>
          </mc:Fallback>
        </mc:AlternateContent>
      </w:r>
      <w:r w:rsidR="00F14508" w:rsidRPr="00F01512">
        <w:rPr>
          <w:b/>
          <w:sz w:val="20"/>
          <w:szCs w:val="20"/>
        </w:rPr>
        <w:t>Example</w:t>
      </w:r>
      <w:r w:rsidR="003E3A7C" w:rsidRPr="00F01512">
        <w:rPr>
          <w:b/>
          <w:sz w:val="20"/>
          <w:szCs w:val="20"/>
        </w:rPr>
        <w:t xml:space="preserve">: </w:t>
      </w:r>
      <w:r w:rsidR="00BD2CA3" w:rsidRPr="00CB259B">
        <w:rPr>
          <w:b/>
          <w:sz w:val="20"/>
          <w:szCs w:val="20"/>
        </w:rPr>
        <w:t>M</w:t>
      </w:r>
      <w:r w:rsidR="003E3A7C" w:rsidRPr="00F01512">
        <w:rPr>
          <w:b/>
          <w:sz w:val="20"/>
          <w:szCs w:val="20"/>
        </w:rPr>
        <w:t>ultiple transfers of shares</w:t>
      </w:r>
    </w:p>
    <w:p w:rsidR="00BD2CA3" w:rsidRPr="00B67176" w:rsidRDefault="00BD2CA3" w:rsidP="00C5143E">
      <w:pPr>
        <w:rPr>
          <w:b/>
          <w:sz w:val="16"/>
          <w:szCs w:val="16"/>
        </w:rPr>
      </w:pPr>
    </w:p>
    <w:p w:rsidR="00F14508" w:rsidRPr="00CB259B" w:rsidRDefault="00F14508" w:rsidP="00C5143E">
      <w:pPr>
        <w:rPr>
          <w:iCs/>
          <w:sz w:val="20"/>
          <w:szCs w:val="20"/>
        </w:rPr>
      </w:pPr>
      <w:r w:rsidRPr="00CB259B">
        <w:rPr>
          <w:iCs/>
          <w:sz w:val="20"/>
          <w:szCs w:val="20"/>
        </w:rPr>
        <w:t>Hine and Akira incorporate a company, HydroPasifika Ltd,</w:t>
      </w:r>
      <w:r w:rsidR="00AB7239" w:rsidRPr="00CB259B">
        <w:rPr>
          <w:iCs/>
          <w:sz w:val="20"/>
          <w:szCs w:val="20"/>
        </w:rPr>
        <w:t xml:space="preserve"> in October 2015</w:t>
      </w:r>
      <w:r w:rsidRPr="00CB259B">
        <w:rPr>
          <w:iCs/>
          <w:sz w:val="20"/>
          <w:szCs w:val="20"/>
        </w:rPr>
        <w:t xml:space="preserve"> to develop large-scale hydroponic farms as alternatives to </w:t>
      </w:r>
      <w:r w:rsidR="008219E6" w:rsidRPr="00CB259B">
        <w:rPr>
          <w:iCs/>
          <w:sz w:val="20"/>
          <w:szCs w:val="20"/>
        </w:rPr>
        <w:t xml:space="preserve">farming in increasingly saline soils on Pacific islands. </w:t>
      </w:r>
      <w:r w:rsidR="002C5718" w:rsidRPr="00CB259B">
        <w:rPr>
          <w:iCs/>
          <w:sz w:val="20"/>
          <w:szCs w:val="20"/>
        </w:rPr>
        <w:t xml:space="preserve"> </w:t>
      </w:r>
      <w:r w:rsidR="00BA7F3F" w:rsidRPr="00CB259B">
        <w:rPr>
          <w:iCs/>
          <w:sz w:val="20"/>
          <w:szCs w:val="20"/>
        </w:rPr>
        <w:t xml:space="preserve">As they expand, they dilute their </w:t>
      </w:r>
      <w:r w:rsidR="00A35AC4">
        <w:rPr>
          <w:iCs/>
          <w:sz w:val="20"/>
          <w:szCs w:val="20"/>
        </w:rPr>
        <w:t>shareholding</w:t>
      </w:r>
      <w:r w:rsidR="00BA7F3F" w:rsidRPr="00CB259B">
        <w:rPr>
          <w:iCs/>
          <w:sz w:val="20"/>
          <w:szCs w:val="20"/>
        </w:rPr>
        <w:t xml:space="preserve"> in exchange for finance</w:t>
      </w:r>
      <w:r w:rsidR="00B95B77" w:rsidRPr="00CB259B">
        <w:rPr>
          <w:iCs/>
          <w:sz w:val="20"/>
          <w:szCs w:val="20"/>
        </w:rPr>
        <w:t xml:space="preserve"> before selling the company entirely</w:t>
      </w:r>
      <w:r w:rsidR="00BA7F3F" w:rsidRPr="00CB259B">
        <w:rPr>
          <w:iCs/>
          <w:sz w:val="20"/>
          <w:szCs w:val="20"/>
        </w:rPr>
        <w:t xml:space="preserve">. </w:t>
      </w:r>
      <w:r w:rsidR="002C5718" w:rsidRPr="00CB259B">
        <w:rPr>
          <w:iCs/>
          <w:sz w:val="20"/>
          <w:szCs w:val="20"/>
        </w:rPr>
        <w:t xml:space="preserve"> </w:t>
      </w:r>
      <w:r w:rsidR="00BA7F3F" w:rsidRPr="00CB259B">
        <w:rPr>
          <w:iCs/>
          <w:sz w:val="20"/>
          <w:szCs w:val="20"/>
        </w:rPr>
        <w:t>The table below shows how this takes place:</w:t>
      </w:r>
    </w:p>
    <w:p w:rsidR="002C5718" w:rsidRPr="00B67176" w:rsidRDefault="002C5718" w:rsidP="00C5143E">
      <w:pPr>
        <w:rPr>
          <w:iCs/>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835"/>
        <w:gridCol w:w="1825"/>
        <w:gridCol w:w="1826"/>
        <w:gridCol w:w="1827"/>
        <w:gridCol w:w="1827"/>
      </w:tblGrid>
      <w:tr w:rsidR="00B53F6C" w:rsidTr="00C5143E">
        <w:tc>
          <w:tcPr>
            <w:tcW w:w="1835" w:type="dxa"/>
          </w:tcPr>
          <w:p w:rsidR="00B53F6C" w:rsidRPr="00F01512" w:rsidRDefault="00F554BF" w:rsidP="00660389">
            <w:pPr>
              <w:jc w:val="center"/>
              <w:rPr>
                <w:b/>
                <w:iCs/>
                <w:sz w:val="20"/>
                <w:szCs w:val="20"/>
              </w:rPr>
            </w:pPr>
            <w:r>
              <w:rPr>
                <w:b/>
                <w:iCs/>
                <w:sz w:val="20"/>
                <w:szCs w:val="20"/>
              </w:rPr>
              <w:t>Shareholding</w:t>
            </w:r>
          </w:p>
        </w:tc>
        <w:tc>
          <w:tcPr>
            <w:tcW w:w="1825" w:type="dxa"/>
          </w:tcPr>
          <w:p w:rsidR="00B53F6C" w:rsidRPr="00F01512" w:rsidRDefault="00B53F6C" w:rsidP="00C5143E">
            <w:pPr>
              <w:jc w:val="center"/>
              <w:rPr>
                <w:b/>
                <w:iCs/>
                <w:sz w:val="20"/>
                <w:szCs w:val="20"/>
              </w:rPr>
            </w:pPr>
            <w:r w:rsidRPr="00F01512">
              <w:rPr>
                <w:b/>
                <w:iCs/>
                <w:sz w:val="20"/>
                <w:szCs w:val="20"/>
              </w:rPr>
              <w:t>Voting interest at 31/3/16</w:t>
            </w:r>
          </w:p>
        </w:tc>
        <w:tc>
          <w:tcPr>
            <w:tcW w:w="1826" w:type="dxa"/>
          </w:tcPr>
          <w:p w:rsidR="00B53F6C" w:rsidRPr="00F01512" w:rsidRDefault="00B53F6C" w:rsidP="00C5143E">
            <w:pPr>
              <w:jc w:val="center"/>
              <w:rPr>
                <w:b/>
                <w:iCs/>
                <w:sz w:val="20"/>
                <w:szCs w:val="20"/>
              </w:rPr>
            </w:pPr>
            <w:r w:rsidRPr="00F01512">
              <w:rPr>
                <w:b/>
                <w:iCs/>
                <w:sz w:val="20"/>
                <w:szCs w:val="20"/>
              </w:rPr>
              <w:t>Voting interest at 31/3/17</w:t>
            </w:r>
          </w:p>
        </w:tc>
        <w:tc>
          <w:tcPr>
            <w:tcW w:w="1827" w:type="dxa"/>
          </w:tcPr>
          <w:p w:rsidR="00B53F6C" w:rsidRPr="00F01512" w:rsidRDefault="00B53F6C" w:rsidP="00C5143E">
            <w:pPr>
              <w:jc w:val="center"/>
              <w:rPr>
                <w:b/>
                <w:iCs/>
                <w:sz w:val="20"/>
                <w:szCs w:val="20"/>
              </w:rPr>
            </w:pPr>
            <w:r w:rsidRPr="00F01512">
              <w:rPr>
                <w:b/>
                <w:iCs/>
                <w:sz w:val="20"/>
                <w:szCs w:val="20"/>
              </w:rPr>
              <w:t>Voting interest at 31/3/18</w:t>
            </w:r>
          </w:p>
        </w:tc>
        <w:tc>
          <w:tcPr>
            <w:tcW w:w="1827" w:type="dxa"/>
          </w:tcPr>
          <w:p w:rsidR="00B53F6C" w:rsidRPr="00F01512" w:rsidRDefault="00B53F6C" w:rsidP="00C5143E">
            <w:pPr>
              <w:jc w:val="center"/>
              <w:rPr>
                <w:b/>
                <w:iCs/>
                <w:sz w:val="20"/>
                <w:szCs w:val="20"/>
              </w:rPr>
            </w:pPr>
            <w:r w:rsidRPr="00F01512">
              <w:rPr>
                <w:b/>
                <w:iCs/>
                <w:sz w:val="20"/>
                <w:szCs w:val="20"/>
              </w:rPr>
              <w:t>Voting interest at 31/3/19</w:t>
            </w:r>
          </w:p>
        </w:tc>
      </w:tr>
      <w:tr w:rsidR="00B53F6C" w:rsidTr="00C5143E">
        <w:tc>
          <w:tcPr>
            <w:tcW w:w="1835" w:type="dxa"/>
          </w:tcPr>
          <w:p w:rsidR="00B53F6C" w:rsidRPr="00CB259B" w:rsidRDefault="00B53F6C" w:rsidP="002D0C11">
            <w:pPr>
              <w:jc w:val="left"/>
              <w:rPr>
                <w:iCs/>
                <w:sz w:val="20"/>
                <w:szCs w:val="20"/>
              </w:rPr>
            </w:pPr>
            <w:r w:rsidRPr="00CB259B">
              <w:rPr>
                <w:iCs/>
                <w:sz w:val="20"/>
                <w:szCs w:val="20"/>
              </w:rPr>
              <w:t>Hine and Akira</w:t>
            </w:r>
          </w:p>
        </w:tc>
        <w:tc>
          <w:tcPr>
            <w:tcW w:w="1825" w:type="dxa"/>
          </w:tcPr>
          <w:p w:rsidR="00B53F6C" w:rsidRPr="00CB259B" w:rsidRDefault="00B53F6C" w:rsidP="00C5143E">
            <w:pPr>
              <w:jc w:val="center"/>
              <w:rPr>
                <w:iCs/>
                <w:sz w:val="20"/>
                <w:szCs w:val="20"/>
              </w:rPr>
            </w:pPr>
            <w:r w:rsidRPr="00CB259B">
              <w:rPr>
                <w:iCs/>
                <w:sz w:val="20"/>
                <w:szCs w:val="20"/>
              </w:rPr>
              <w:t>100%</w:t>
            </w:r>
          </w:p>
        </w:tc>
        <w:tc>
          <w:tcPr>
            <w:tcW w:w="1826" w:type="dxa"/>
          </w:tcPr>
          <w:p w:rsidR="00B53F6C" w:rsidRPr="00CB259B" w:rsidRDefault="00B53F6C" w:rsidP="00C5143E">
            <w:pPr>
              <w:jc w:val="center"/>
              <w:rPr>
                <w:iCs/>
                <w:sz w:val="20"/>
                <w:szCs w:val="20"/>
              </w:rPr>
            </w:pPr>
            <w:r w:rsidRPr="00CB259B">
              <w:rPr>
                <w:iCs/>
                <w:sz w:val="20"/>
                <w:szCs w:val="20"/>
              </w:rPr>
              <w:t>50%</w:t>
            </w:r>
          </w:p>
        </w:tc>
        <w:tc>
          <w:tcPr>
            <w:tcW w:w="1827" w:type="dxa"/>
          </w:tcPr>
          <w:p w:rsidR="00B53F6C" w:rsidRPr="00CB259B" w:rsidRDefault="00B53F6C" w:rsidP="00C5143E">
            <w:pPr>
              <w:jc w:val="center"/>
              <w:rPr>
                <w:iCs/>
                <w:sz w:val="20"/>
                <w:szCs w:val="20"/>
              </w:rPr>
            </w:pPr>
            <w:r w:rsidRPr="00CB259B">
              <w:rPr>
                <w:iCs/>
                <w:sz w:val="20"/>
                <w:szCs w:val="20"/>
              </w:rPr>
              <w:t>25%</w:t>
            </w:r>
          </w:p>
        </w:tc>
        <w:tc>
          <w:tcPr>
            <w:tcW w:w="1827" w:type="dxa"/>
          </w:tcPr>
          <w:p w:rsidR="00B53F6C" w:rsidRPr="00CB259B" w:rsidRDefault="00B53F6C" w:rsidP="00C5143E">
            <w:pPr>
              <w:jc w:val="center"/>
              <w:rPr>
                <w:iCs/>
                <w:sz w:val="20"/>
                <w:szCs w:val="20"/>
              </w:rPr>
            </w:pPr>
            <w:r w:rsidRPr="00CB259B">
              <w:rPr>
                <w:iCs/>
                <w:sz w:val="20"/>
                <w:szCs w:val="20"/>
              </w:rPr>
              <w:t>0%</w:t>
            </w:r>
          </w:p>
        </w:tc>
      </w:tr>
      <w:tr w:rsidR="00B53F6C" w:rsidTr="00C5143E">
        <w:tc>
          <w:tcPr>
            <w:tcW w:w="1835" w:type="dxa"/>
          </w:tcPr>
          <w:p w:rsidR="00B53F6C" w:rsidRPr="00CB259B" w:rsidRDefault="00B53F6C" w:rsidP="002D0C11">
            <w:pPr>
              <w:jc w:val="left"/>
              <w:rPr>
                <w:iCs/>
                <w:sz w:val="20"/>
                <w:szCs w:val="20"/>
              </w:rPr>
            </w:pPr>
            <w:r w:rsidRPr="00CB259B">
              <w:rPr>
                <w:iCs/>
                <w:sz w:val="20"/>
                <w:szCs w:val="20"/>
              </w:rPr>
              <w:t>Angel investor</w:t>
            </w:r>
          </w:p>
        </w:tc>
        <w:tc>
          <w:tcPr>
            <w:tcW w:w="1825" w:type="dxa"/>
          </w:tcPr>
          <w:p w:rsidR="00B53F6C" w:rsidRPr="00CB259B" w:rsidRDefault="00B53F6C" w:rsidP="00C5143E">
            <w:pPr>
              <w:jc w:val="center"/>
              <w:rPr>
                <w:iCs/>
                <w:sz w:val="20"/>
                <w:szCs w:val="20"/>
              </w:rPr>
            </w:pPr>
            <w:r w:rsidRPr="00CB259B">
              <w:rPr>
                <w:iCs/>
                <w:sz w:val="20"/>
                <w:szCs w:val="20"/>
              </w:rPr>
              <w:t>0%</w:t>
            </w:r>
          </w:p>
        </w:tc>
        <w:tc>
          <w:tcPr>
            <w:tcW w:w="1826" w:type="dxa"/>
          </w:tcPr>
          <w:p w:rsidR="00B53F6C" w:rsidRPr="00CB259B" w:rsidRDefault="00B53F6C" w:rsidP="00C5143E">
            <w:pPr>
              <w:jc w:val="center"/>
              <w:rPr>
                <w:iCs/>
                <w:sz w:val="20"/>
                <w:szCs w:val="20"/>
              </w:rPr>
            </w:pPr>
            <w:r w:rsidRPr="00CB259B">
              <w:rPr>
                <w:iCs/>
                <w:sz w:val="20"/>
                <w:szCs w:val="20"/>
              </w:rPr>
              <w:t>50%</w:t>
            </w:r>
          </w:p>
        </w:tc>
        <w:tc>
          <w:tcPr>
            <w:tcW w:w="1827" w:type="dxa"/>
          </w:tcPr>
          <w:p w:rsidR="00B53F6C" w:rsidRPr="00CB259B" w:rsidRDefault="00B53F6C" w:rsidP="00C5143E">
            <w:pPr>
              <w:jc w:val="center"/>
              <w:rPr>
                <w:iCs/>
                <w:sz w:val="20"/>
                <w:szCs w:val="20"/>
              </w:rPr>
            </w:pPr>
            <w:r w:rsidRPr="00CB259B">
              <w:rPr>
                <w:iCs/>
                <w:sz w:val="20"/>
                <w:szCs w:val="20"/>
              </w:rPr>
              <w:t>0%</w:t>
            </w:r>
          </w:p>
        </w:tc>
        <w:tc>
          <w:tcPr>
            <w:tcW w:w="1827" w:type="dxa"/>
          </w:tcPr>
          <w:p w:rsidR="00B53F6C" w:rsidRPr="00CB259B" w:rsidRDefault="00B53F6C" w:rsidP="00C5143E">
            <w:pPr>
              <w:jc w:val="center"/>
              <w:rPr>
                <w:iCs/>
                <w:sz w:val="20"/>
                <w:szCs w:val="20"/>
              </w:rPr>
            </w:pPr>
            <w:r w:rsidRPr="00CB259B">
              <w:rPr>
                <w:iCs/>
                <w:sz w:val="20"/>
                <w:szCs w:val="20"/>
              </w:rPr>
              <w:t>0%</w:t>
            </w:r>
          </w:p>
        </w:tc>
      </w:tr>
      <w:tr w:rsidR="00B53F6C" w:rsidTr="00C5143E">
        <w:tc>
          <w:tcPr>
            <w:tcW w:w="1835" w:type="dxa"/>
          </w:tcPr>
          <w:p w:rsidR="00B53F6C" w:rsidRPr="00CB259B" w:rsidRDefault="00B53F6C" w:rsidP="002D0C11">
            <w:pPr>
              <w:jc w:val="left"/>
              <w:rPr>
                <w:iCs/>
                <w:sz w:val="20"/>
                <w:szCs w:val="20"/>
              </w:rPr>
            </w:pPr>
            <w:r w:rsidRPr="00CB259B">
              <w:rPr>
                <w:iCs/>
                <w:sz w:val="20"/>
                <w:szCs w:val="20"/>
              </w:rPr>
              <w:t>Development Co</w:t>
            </w:r>
          </w:p>
        </w:tc>
        <w:tc>
          <w:tcPr>
            <w:tcW w:w="1825" w:type="dxa"/>
          </w:tcPr>
          <w:p w:rsidR="00B53F6C" w:rsidRPr="00CB259B" w:rsidRDefault="00B53F6C" w:rsidP="00C5143E">
            <w:pPr>
              <w:jc w:val="center"/>
              <w:rPr>
                <w:iCs/>
                <w:sz w:val="20"/>
                <w:szCs w:val="20"/>
              </w:rPr>
            </w:pPr>
            <w:r w:rsidRPr="00CB259B">
              <w:rPr>
                <w:iCs/>
                <w:sz w:val="20"/>
                <w:szCs w:val="20"/>
              </w:rPr>
              <w:t>0%</w:t>
            </w:r>
          </w:p>
        </w:tc>
        <w:tc>
          <w:tcPr>
            <w:tcW w:w="1826" w:type="dxa"/>
          </w:tcPr>
          <w:p w:rsidR="00B53F6C" w:rsidRPr="00CB259B" w:rsidRDefault="00B53F6C" w:rsidP="00C5143E">
            <w:pPr>
              <w:jc w:val="center"/>
              <w:rPr>
                <w:iCs/>
                <w:sz w:val="20"/>
                <w:szCs w:val="20"/>
              </w:rPr>
            </w:pPr>
            <w:r w:rsidRPr="00CB259B">
              <w:rPr>
                <w:iCs/>
                <w:sz w:val="20"/>
                <w:szCs w:val="20"/>
              </w:rPr>
              <w:t>0%</w:t>
            </w:r>
          </w:p>
        </w:tc>
        <w:tc>
          <w:tcPr>
            <w:tcW w:w="1827" w:type="dxa"/>
          </w:tcPr>
          <w:p w:rsidR="00B53F6C" w:rsidRPr="00CB259B" w:rsidRDefault="00B53F6C" w:rsidP="00C5143E">
            <w:pPr>
              <w:jc w:val="center"/>
              <w:rPr>
                <w:iCs/>
                <w:sz w:val="20"/>
                <w:szCs w:val="20"/>
              </w:rPr>
            </w:pPr>
            <w:r w:rsidRPr="00CB259B">
              <w:rPr>
                <w:iCs/>
                <w:sz w:val="20"/>
                <w:szCs w:val="20"/>
              </w:rPr>
              <w:t>75%</w:t>
            </w:r>
          </w:p>
        </w:tc>
        <w:tc>
          <w:tcPr>
            <w:tcW w:w="1827" w:type="dxa"/>
          </w:tcPr>
          <w:p w:rsidR="00B53F6C" w:rsidRPr="00CB259B" w:rsidRDefault="00B53F6C" w:rsidP="00C5143E">
            <w:pPr>
              <w:jc w:val="center"/>
              <w:rPr>
                <w:iCs/>
                <w:sz w:val="20"/>
                <w:szCs w:val="20"/>
              </w:rPr>
            </w:pPr>
            <w:r w:rsidRPr="00CB259B">
              <w:rPr>
                <w:iCs/>
                <w:sz w:val="20"/>
                <w:szCs w:val="20"/>
              </w:rPr>
              <w:t>100%</w:t>
            </w:r>
          </w:p>
        </w:tc>
      </w:tr>
    </w:tbl>
    <w:p w:rsidR="00B53F6C" w:rsidRPr="00B67176" w:rsidRDefault="00B53F6C" w:rsidP="00C5143E">
      <w:pPr>
        <w:rPr>
          <w:iCs/>
          <w:sz w:val="16"/>
          <w:szCs w:val="16"/>
        </w:rPr>
      </w:pPr>
    </w:p>
    <w:p w:rsidR="00CB259B" w:rsidRDefault="00857171" w:rsidP="00C5143E">
      <w:pPr>
        <w:rPr>
          <w:iCs/>
          <w:sz w:val="20"/>
          <w:szCs w:val="20"/>
        </w:rPr>
      </w:pPr>
      <w:r w:rsidRPr="00CB259B">
        <w:rPr>
          <w:iCs/>
          <w:sz w:val="20"/>
          <w:szCs w:val="20"/>
        </w:rPr>
        <w:t>The table below shows how the shares were valued and sold (assume each sale takes place on the last day of the income year):</w:t>
      </w:r>
    </w:p>
    <w:p w:rsidR="00B53F6C" w:rsidRPr="00B67176" w:rsidRDefault="00B53F6C" w:rsidP="00C5143E">
      <w:pPr>
        <w:rPr>
          <w:iCs/>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826"/>
        <w:gridCol w:w="1825"/>
        <w:gridCol w:w="1829"/>
        <w:gridCol w:w="1830"/>
        <w:gridCol w:w="1830"/>
      </w:tblGrid>
      <w:tr w:rsidR="00B53F6C" w:rsidTr="00C5143E">
        <w:tc>
          <w:tcPr>
            <w:tcW w:w="1848" w:type="dxa"/>
          </w:tcPr>
          <w:p w:rsidR="00B53F6C" w:rsidRPr="00CB259B" w:rsidRDefault="00B53F6C" w:rsidP="00C5143E">
            <w:pPr>
              <w:jc w:val="center"/>
              <w:rPr>
                <w:iCs/>
                <w:sz w:val="20"/>
                <w:szCs w:val="20"/>
              </w:rPr>
            </w:pPr>
          </w:p>
        </w:tc>
        <w:tc>
          <w:tcPr>
            <w:tcW w:w="1848" w:type="dxa"/>
          </w:tcPr>
          <w:p w:rsidR="00B53F6C" w:rsidRPr="000B14A8" w:rsidRDefault="00B53F6C" w:rsidP="00C5143E">
            <w:pPr>
              <w:jc w:val="center"/>
              <w:rPr>
                <w:b/>
                <w:iCs/>
                <w:sz w:val="20"/>
                <w:szCs w:val="20"/>
              </w:rPr>
            </w:pPr>
            <w:r w:rsidRPr="000B14A8">
              <w:rPr>
                <w:b/>
                <w:iCs/>
                <w:sz w:val="20"/>
                <w:szCs w:val="20"/>
              </w:rPr>
              <w:t>31/3/16</w:t>
            </w:r>
          </w:p>
        </w:tc>
        <w:tc>
          <w:tcPr>
            <w:tcW w:w="1848" w:type="dxa"/>
          </w:tcPr>
          <w:p w:rsidR="00B53F6C" w:rsidRPr="000B14A8" w:rsidRDefault="00B53F6C" w:rsidP="00C5143E">
            <w:pPr>
              <w:jc w:val="center"/>
              <w:rPr>
                <w:b/>
                <w:iCs/>
                <w:sz w:val="20"/>
                <w:szCs w:val="20"/>
              </w:rPr>
            </w:pPr>
            <w:r w:rsidRPr="000B14A8">
              <w:rPr>
                <w:b/>
                <w:iCs/>
                <w:sz w:val="20"/>
                <w:szCs w:val="20"/>
              </w:rPr>
              <w:t>31/3/17</w:t>
            </w:r>
          </w:p>
        </w:tc>
        <w:tc>
          <w:tcPr>
            <w:tcW w:w="1849" w:type="dxa"/>
          </w:tcPr>
          <w:p w:rsidR="00B53F6C" w:rsidRPr="000B14A8" w:rsidRDefault="00B53F6C" w:rsidP="00C5143E">
            <w:pPr>
              <w:jc w:val="center"/>
              <w:rPr>
                <w:b/>
                <w:iCs/>
                <w:sz w:val="20"/>
                <w:szCs w:val="20"/>
              </w:rPr>
            </w:pPr>
            <w:r w:rsidRPr="000B14A8">
              <w:rPr>
                <w:b/>
                <w:iCs/>
                <w:sz w:val="20"/>
                <w:szCs w:val="20"/>
              </w:rPr>
              <w:t>31/3/18</w:t>
            </w:r>
          </w:p>
        </w:tc>
        <w:tc>
          <w:tcPr>
            <w:tcW w:w="1849" w:type="dxa"/>
          </w:tcPr>
          <w:p w:rsidR="00B53F6C" w:rsidRPr="000B14A8" w:rsidRDefault="00B53F6C" w:rsidP="00C5143E">
            <w:pPr>
              <w:jc w:val="center"/>
              <w:rPr>
                <w:b/>
                <w:iCs/>
                <w:sz w:val="20"/>
                <w:szCs w:val="20"/>
              </w:rPr>
            </w:pPr>
            <w:r w:rsidRPr="000B14A8">
              <w:rPr>
                <w:b/>
                <w:iCs/>
                <w:sz w:val="20"/>
                <w:szCs w:val="20"/>
              </w:rPr>
              <w:t>31/3/19</w:t>
            </w:r>
          </w:p>
        </w:tc>
      </w:tr>
      <w:tr w:rsidR="00B53F6C" w:rsidTr="00C5143E">
        <w:tc>
          <w:tcPr>
            <w:tcW w:w="1848" w:type="dxa"/>
          </w:tcPr>
          <w:p w:rsidR="00B53F6C" w:rsidRPr="00CB259B" w:rsidRDefault="00B53F6C" w:rsidP="002D0C11">
            <w:pPr>
              <w:jc w:val="left"/>
              <w:rPr>
                <w:iCs/>
                <w:sz w:val="20"/>
                <w:szCs w:val="20"/>
              </w:rPr>
            </w:pPr>
            <w:r w:rsidRPr="00CB259B">
              <w:rPr>
                <w:iCs/>
                <w:sz w:val="20"/>
                <w:szCs w:val="20"/>
              </w:rPr>
              <w:t>Number of shares</w:t>
            </w:r>
          </w:p>
        </w:tc>
        <w:tc>
          <w:tcPr>
            <w:tcW w:w="1848" w:type="dxa"/>
          </w:tcPr>
          <w:p w:rsidR="00B53F6C" w:rsidRPr="00CB259B" w:rsidRDefault="00B53F6C" w:rsidP="00C5143E">
            <w:pPr>
              <w:jc w:val="center"/>
              <w:rPr>
                <w:iCs/>
                <w:sz w:val="20"/>
                <w:szCs w:val="20"/>
              </w:rPr>
            </w:pPr>
            <w:r w:rsidRPr="00CB259B">
              <w:rPr>
                <w:iCs/>
                <w:sz w:val="20"/>
                <w:szCs w:val="20"/>
              </w:rPr>
              <w:t>500,000</w:t>
            </w:r>
          </w:p>
        </w:tc>
        <w:tc>
          <w:tcPr>
            <w:tcW w:w="1848" w:type="dxa"/>
          </w:tcPr>
          <w:p w:rsidR="00B53F6C" w:rsidRPr="00CB259B" w:rsidRDefault="00B53F6C" w:rsidP="00C5143E">
            <w:pPr>
              <w:jc w:val="center"/>
              <w:rPr>
                <w:iCs/>
                <w:sz w:val="20"/>
                <w:szCs w:val="20"/>
              </w:rPr>
            </w:pPr>
            <w:r w:rsidRPr="00CB259B">
              <w:rPr>
                <w:iCs/>
                <w:sz w:val="20"/>
                <w:szCs w:val="20"/>
              </w:rPr>
              <w:t>1,000,000</w:t>
            </w:r>
          </w:p>
        </w:tc>
        <w:tc>
          <w:tcPr>
            <w:tcW w:w="1849" w:type="dxa"/>
          </w:tcPr>
          <w:p w:rsidR="00B53F6C" w:rsidRPr="00CB259B" w:rsidRDefault="00B53F6C" w:rsidP="00C5143E">
            <w:pPr>
              <w:jc w:val="center"/>
              <w:rPr>
                <w:iCs/>
                <w:sz w:val="20"/>
                <w:szCs w:val="20"/>
              </w:rPr>
            </w:pPr>
            <w:r w:rsidRPr="00CB259B">
              <w:rPr>
                <w:iCs/>
                <w:sz w:val="20"/>
                <w:szCs w:val="20"/>
              </w:rPr>
              <w:t>1,000,000</w:t>
            </w:r>
          </w:p>
        </w:tc>
        <w:tc>
          <w:tcPr>
            <w:tcW w:w="1849" w:type="dxa"/>
          </w:tcPr>
          <w:p w:rsidR="00B53F6C" w:rsidRPr="00CB259B" w:rsidRDefault="00B53F6C" w:rsidP="00C5143E">
            <w:pPr>
              <w:jc w:val="center"/>
              <w:rPr>
                <w:iCs/>
                <w:sz w:val="20"/>
                <w:szCs w:val="20"/>
              </w:rPr>
            </w:pPr>
            <w:r w:rsidRPr="00CB259B">
              <w:rPr>
                <w:iCs/>
                <w:sz w:val="20"/>
                <w:szCs w:val="20"/>
              </w:rPr>
              <w:t>1,000,000</w:t>
            </w:r>
          </w:p>
        </w:tc>
      </w:tr>
      <w:tr w:rsidR="00B53F6C" w:rsidTr="00C5143E">
        <w:tc>
          <w:tcPr>
            <w:tcW w:w="1848" w:type="dxa"/>
          </w:tcPr>
          <w:p w:rsidR="00B53F6C" w:rsidRPr="00CB259B" w:rsidRDefault="00A35AC4" w:rsidP="002D0C11">
            <w:pPr>
              <w:jc w:val="left"/>
              <w:rPr>
                <w:iCs/>
                <w:sz w:val="20"/>
                <w:szCs w:val="20"/>
              </w:rPr>
            </w:pPr>
            <w:r>
              <w:rPr>
                <w:iCs/>
                <w:sz w:val="20"/>
                <w:szCs w:val="20"/>
              </w:rPr>
              <w:t>New s</w:t>
            </w:r>
            <w:r w:rsidR="00B53F6C" w:rsidRPr="00CB259B">
              <w:rPr>
                <w:iCs/>
                <w:sz w:val="20"/>
                <w:szCs w:val="20"/>
              </w:rPr>
              <w:t>hares issued</w:t>
            </w:r>
          </w:p>
        </w:tc>
        <w:tc>
          <w:tcPr>
            <w:tcW w:w="1848" w:type="dxa"/>
          </w:tcPr>
          <w:p w:rsidR="00B53F6C" w:rsidRPr="00CB259B" w:rsidRDefault="00B53F6C" w:rsidP="00C5143E">
            <w:pPr>
              <w:jc w:val="center"/>
              <w:rPr>
                <w:iCs/>
                <w:sz w:val="20"/>
                <w:szCs w:val="20"/>
              </w:rPr>
            </w:pPr>
            <w:r w:rsidRPr="00CB259B">
              <w:rPr>
                <w:iCs/>
                <w:sz w:val="20"/>
                <w:szCs w:val="20"/>
              </w:rPr>
              <w:t>0</w:t>
            </w:r>
          </w:p>
        </w:tc>
        <w:tc>
          <w:tcPr>
            <w:tcW w:w="1848" w:type="dxa"/>
          </w:tcPr>
          <w:p w:rsidR="00B53F6C" w:rsidRPr="00CB259B" w:rsidRDefault="00B53F6C" w:rsidP="00C5143E">
            <w:pPr>
              <w:jc w:val="center"/>
              <w:rPr>
                <w:iCs/>
                <w:sz w:val="20"/>
                <w:szCs w:val="20"/>
              </w:rPr>
            </w:pPr>
            <w:r w:rsidRPr="00CB259B">
              <w:rPr>
                <w:iCs/>
                <w:sz w:val="20"/>
                <w:szCs w:val="20"/>
              </w:rPr>
              <w:t>500,000</w:t>
            </w:r>
          </w:p>
        </w:tc>
        <w:tc>
          <w:tcPr>
            <w:tcW w:w="1849" w:type="dxa"/>
          </w:tcPr>
          <w:p w:rsidR="00B53F6C" w:rsidRPr="00CB259B" w:rsidRDefault="00B53F6C" w:rsidP="00C5143E">
            <w:pPr>
              <w:jc w:val="center"/>
              <w:rPr>
                <w:iCs/>
                <w:sz w:val="20"/>
                <w:szCs w:val="20"/>
              </w:rPr>
            </w:pPr>
            <w:r w:rsidRPr="00CB259B">
              <w:rPr>
                <w:iCs/>
                <w:sz w:val="20"/>
                <w:szCs w:val="20"/>
              </w:rPr>
              <w:t>0</w:t>
            </w:r>
          </w:p>
        </w:tc>
        <w:tc>
          <w:tcPr>
            <w:tcW w:w="1849" w:type="dxa"/>
          </w:tcPr>
          <w:p w:rsidR="00B53F6C" w:rsidRPr="00CB259B" w:rsidRDefault="00B53F6C" w:rsidP="00C5143E">
            <w:pPr>
              <w:jc w:val="center"/>
              <w:rPr>
                <w:iCs/>
                <w:sz w:val="20"/>
                <w:szCs w:val="20"/>
              </w:rPr>
            </w:pPr>
            <w:r w:rsidRPr="00CB259B">
              <w:rPr>
                <w:iCs/>
                <w:sz w:val="20"/>
                <w:szCs w:val="20"/>
              </w:rPr>
              <w:t>0</w:t>
            </w:r>
          </w:p>
        </w:tc>
      </w:tr>
      <w:tr w:rsidR="00B53F6C" w:rsidTr="00C5143E">
        <w:tc>
          <w:tcPr>
            <w:tcW w:w="1848" w:type="dxa"/>
          </w:tcPr>
          <w:p w:rsidR="00B53F6C" w:rsidRPr="00CB259B" w:rsidRDefault="00B53F6C" w:rsidP="002D0C11">
            <w:pPr>
              <w:jc w:val="left"/>
              <w:rPr>
                <w:iCs/>
                <w:sz w:val="20"/>
                <w:szCs w:val="20"/>
              </w:rPr>
            </w:pPr>
            <w:r w:rsidRPr="00CB259B">
              <w:rPr>
                <w:iCs/>
                <w:sz w:val="20"/>
                <w:szCs w:val="20"/>
              </w:rPr>
              <w:t>Shares sold</w:t>
            </w:r>
          </w:p>
        </w:tc>
        <w:tc>
          <w:tcPr>
            <w:tcW w:w="1848" w:type="dxa"/>
          </w:tcPr>
          <w:p w:rsidR="00B53F6C" w:rsidRPr="00CB259B" w:rsidRDefault="00B53F6C" w:rsidP="00C5143E">
            <w:pPr>
              <w:jc w:val="center"/>
              <w:rPr>
                <w:iCs/>
                <w:sz w:val="20"/>
                <w:szCs w:val="20"/>
              </w:rPr>
            </w:pPr>
            <w:r w:rsidRPr="00CB259B">
              <w:rPr>
                <w:iCs/>
                <w:sz w:val="20"/>
                <w:szCs w:val="20"/>
              </w:rPr>
              <w:t>0</w:t>
            </w:r>
          </w:p>
        </w:tc>
        <w:tc>
          <w:tcPr>
            <w:tcW w:w="1848" w:type="dxa"/>
          </w:tcPr>
          <w:p w:rsidR="00B53F6C" w:rsidRPr="00CB259B" w:rsidRDefault="00B53F6C" w:rsidP="00C5143E">
            <w:pPr>
              <w:jc w:val="center"/>
              <w:rPr>
                <w:iCs/>
                <w:sz w:val="20"/>
                <w:szCs w:val="20"/>
              </w:rPr>
            </w:pPr>
            <w:r w:rsidRPr="00CB259B">
              <w:rPr>
                <w:iCs/>
                <w:sz w:val="20"/>
                <w:szCs w:val="20"/>
              </w:rPr>
              <w:t>0</w:t>
            </w:r>
          </w:p>
        </w:tc>
        <w:tc>
          <w:tcPr>
            <w:tcW w:w="1849" w:type="dxa"/>
          </w:tcPr>
          <w:p w:rsidR="00B53F6C" w:rsidRPr="00CB259B" w:rsidRDefault="00A35AC4" w:rsidP="00C5143E">
            <w:pPr>
              <w:jc w:val="center"/>
              <w:rPr>
                <w:iCs/>
                <w:sz w:val="20"/>
                <w:szCs w:val="20"/>
              </w:rPr>
            </w:pPr>
            <w:r>
              <w:rPr>
                <w:iCs/>
                <w:sz w:val="20"/>
                <w:szCs w:val="20"/>
              </w:rPr>
              <w:t>750</w:t>
            </w:r>
            <w:r w:rsidR="00B53F6C" w:rsidRPr="00CB259B">
              <w:rPr>
                <w:iCs/>
                <w:sz w:val="20"/>
                <w:szCs w:val="20"/>
              </w:rPr>
              <w:t>,000</w:t>
            </w:r>
          </w:p>
        </w:tc>
        <w:tc>
          <w:tcPr>
            <w:tcW w:w="1849" w:type="dxa"/>
          </w:tcPr>
          <w:p w:rsidR="00B53F6C" w:rsidRPr="00CB259B" w:rsidRDefault="00B53F6C" w:rsidP="00C5143E">
            <w:pPr>
              <w:jc w:val="center"/>
              <w:rPr>
                <w:iCs/>
                <w:sz w:val="20"/>
                <w:szCs w:val="20"/>
              </w:rPr>
            </w:pPr>
            <w:r w:rsidRPr="00CB259B">
              <w:rPr>
                <w:iCs/>
                <w:sz w:val="20"/>
                <w:szCs w:val="20"/>
              </w:rPr>
              <w:t>250,000</w:t>
            </w:r>
          </w:p>
        </w:tc>
      </w:tr>
      <w:tr w:rsidR="00B53F6C" w:rsidTr="00C5143E">
        <w:tc>
          <w:tcPr>
            <w:tcW w:w="1848" w:type="dxa"/>
          </w:tcPr>
          <w:p w:rsidR="00B53F6C" w:rsidRPr="00CB259B" w:rsidRDefault="00B53F6C" w:rsidP="002D0C11">
            <w:pPr>
              <w:jc w:val="left"/>
              <w:rPr>
                <w:iCs/>
                <w:sz w:val="20"/>
                <w:szCs w:val="20"/>
              </w:rPr>
            </w:pPr>
            <w:r w:rsidRPr="00CB259B">
              <w:rPr>
                <w:iCs/>
                <w:sz w:val="20"/>
                <w:szCs w:val="20"/>
              </w:rPr>
              <w:t>Value per share</w:t>
            </w:r>
          </w:p>
        </w:tc>
        <w:tc>
          <w:tcPr>
            <w:tcW w:w="1848" w:type="dxa"/>
          </w:tcPr>
          <w:p w:rsidR="00B53F6C" w:rsidRPr="00CB259B" w:rsidRDefault="00B53F6C" w:rsidP="00C5143E">
            <w:pPr>
              <w:jc w:val="center"/>
              <w:rPr>
                <w:iCs/>
                <w:sz w:val="20"/>
                <w:szCs w:val="20"/>
              </w:rPr>
            </w:pPr>
            <w:r w:rsidRPr="00CB259B">
              <w:rPr>
                <w:iCs/>
                <w:sz w:val="20"/>
                <w:szCs w:val="20"/>
              </w:rPr>
              <w:t>$0.25</w:t>
            </w:r>
          </w:p>
        </w:tc>
        <w:tc>
          <w:tcPr>
            <w:tcW w:w="1848" w:type="dxa"/>
          </w:tcPr>
          <w:p w:rsidR="00B53F6C" w:rsidRPr="00CB259B" w:rsidRDefault="00B53F6C" w:rsidP="00C5143E">
            <w:pPr>
              <w:jc w:val="center"/>
              <w:rPr>
                <w:iCs/>
                <w:sz w:val="20"/>
                <w:szCs w:val="20"/>
              </w:rPr>
            </w:pPr>
            <w:r w:rsidRPr="00CB259B">
              <w:rPr>
                <w:iCs/>
                <w:sz w:val="20"/>
                <w:szCs w:val="20"/>
              </w:rPr>
              <w:t>$1.00</w:t>
            </w:r>
          </w:p>
        </w:tc>
        <w:tc>
          <w:tcPr>
            <w:tcW w:w="1849" w:type="dxa"/>
          </w:tcPr>
          <w:p w:rsidR="00B53F6C" w:rsidRPr="00CB259B" w:rsidRDefault="00B53F6C" w:rsidP="00C5143E">
            <w:pPr>
              <w:jc w:val="center"/>
              <w:rPr>
                <w:iCs/>
                <w:sz w:val="20"/>
                <w:szCs w:val="20"/>
              </w:rPr>
            </w:pPr>
            <w:r w:rsidRPr="00CB259B">
              <w:rPr>
                <w:iCs/>
                <w:sz w:val="20"/>
                <w:szCs w:val="20"/>
              </w:rPr>
              <w:t>$2.00</w:t>
            </w:r>
          </w:p>
        </w:tc>
        <w:tc>
          <w:tcPr>
            <w:tcW w:w="1849" w:type="dxa"/>
          </w:tcPr>
          <w:p w:rsidR="00B53F6C" w:rsidRPr="00CB259B" w:rsidRDefault="00B53F6C" w:rsidP="00C5143E">
            <w:pPr>
              <w:jc w:val="center"/>
              <w:rPr>
                <w:iCs/>
                <w:sz w:val="20"/>
                <w:szCs w:val="20"/>
              </w:rPr>
            </w:pPr>
            <w:r w:rsidRPr="00CB259B">
              <w:rPr>
                <w:iCs/>
                <w:sz w:val="20"/>
                <w:szCs w:val="20"/>
              </w:rPr>
              <w:t>$2.50</w:t>
            </w:r>
          </w:p>
        </w:tc>
      </w:tr>
      <w:tr w:rsidR="00B53F6C" w:rsidTr="00C5143E">
        <w:tc>
          <w:tcPr>
            <w:tcW w:w="1848" w:type="dxa"/>
          </w:tcPr>
          <w:p w:rsidR="00B53F6C" w:rsidRPr="00CB259B" w:rsidRDefault="00B53F6C" w:rsidP="002D0C11">
            <w:pPr>
              <w:jc w:val="left"/>
              <w:rPr>
                <w:iCs/>
                <w:sz w:val="20"/>
                <w:szCs w:val="20"/>
              </w:rPr>
            </w:pPr>
            <w:r w:rsidRPr="00CB259B">
              <w:rPr>
                <w:iCs/>
                <w:sz w:val="20"/>
                <w:szCs w:val="20"/>
              </w:rPr>
              <w:t>Value of issue/sale</w:t>
            </w:r>
          </w:p>
        </w:tc>
        <w:tc>
          <w:tcPr>
            <w:tcW w:w="1848" w:type="dxa"/>
          </w:tcPr>
          <w:p w:rsidR="00B53F6C" w:rsidRPr="00CB259B" w:rsidRDefault="00B53F6C" w:rsidP="00C5143E">
            <w:pPr>
              <w:jc w:val="center"/>
              <w:rPr>
                <w:iCs/>
                <w:sz w:val="20"/>
                <w:szCs w:val="20"/>
              </w:rPr>
            </w:pPr>
            <w:r w:rsidRPr="00CB259B">
              <w:rPr>
                <w:iCs/>
                <w:sz w:val="20"/>
                <w:szCs w:val="20"/>
              </w:rPr>
              <w:t>N/A</w:t>
            </w:r>
          </w:p>
        </w:tc>
        <w:tc>
          <w:tcPr>
            <w:tcW w:w="1848" w:type="dxa"/>
          </w:tcPr>
          <w:p w:rsidR="00B53F6C" w:rsidRPr="00CB259B" w:rsidRDefault="00B53F6C" w:rsidP="00C5143E">
            <w:pPr>
              <w:jc w:val="center"/>
              <w:rPr>
                <w:iCs/>
                <w:sz w:val="20"/>
                <w:szCs w:val="20"/>
              </w:rPr>
            </w:pPr>
            <w:r w:rsidRPr="00CB259B">
              <w:rPr>
                <w:iCs/>
                <w:sz w:val="20"/>
                <w:szCs w:val="20"/>
              </w:rPr>
              <w:t>$500,000</w:t>
            </w:r>
          </w:p>
        </w:tc>
        <w:tc>
          <w:tcPr>
            <w:tcW w:w="1849" w:type="dxa"/>
          </w:tcPr>
          <w:p w:rsidR="00B53F6C" w:rsidRPr="00CB259B" w:rsidRDefault="00A35AC4" w:rsidP="00C5143E">
            <w:pPr>
              <w:jc w:val="center"/>
              <w:rPr>
                <w:iCs/>
                <w:sz w:val="20"/>
                <w:szCs w:val="20"/>
              </w:rPr>
            </w:pPr>
            <w:r>
              <w:rPr>
                <w:iCs/>
                <w:sz w:val="20"/>
                <w:szCs w:val="20"/>
              </w:rPr>
              <w:t>$1,5</w:t>
            </w:r>
            <w:r w:rsidR="00B53F6C" w:rsidRPr="00CB259B">
              <w:rPr>
                <w:iCs/>
                <w:sz w:val="20"/>
                <w:szCs w:val="20"/>
              </w:rPr>
              <w:t>00,000</w:t>
            </w:r>
          </w:p>
        </w:tc>
        <w:tc>
          <w:tcPr>
            <w:tcW w:w="1849" w:type="dxa"/>
          </w:tcPr>
          <w:p w:rsidR="00B53F6C" w:rsidRPr="00CB259B" w:rsidRDefault="00A35AC4" w:rsidP="00C5143E">
            <w:pPr>
              <w:jc w:val="center"/>
              <w:rPr>
                <w:iCs/>
                <w:sz w:val="20"/>
                <w:szCs w:val="20"/>
              </w:rPr>
            </w:pPr>
            <w:r>
              <w:rPr>
                <w:iCs/>
                <w:sz w:val="20"/>
                <w:szCs w:val="20"/>
              </w:rPr>
              <w:t>$625</w:t>
            </w:r>
            <w:r w:rsidR="00B53F6C" w:rsidRPr="00CB259B">
              <w:rPr>
                <w:iCs/>
                <w:sz w:val="20"/>
                <w:szCs w:val="20"/>
              </w:rPr>
              <w:t>,000</w:t>
            </w:r>
          </w:p>
        </w:tc>
      </w:tr>
      <w:tr w:rsidR="00B53F6C" w:rsidTr="00C5143E">
        <w:tc>
          <w:tcPr>
            <w:tcW w:w="1848" w:type="dxa"/>
          </w:tcPr>
          <w:p w:rsidR="00B53F6C" w:rsidRPr="00CB259B" w:rsidRDefault="00B53F6C" w:rsidP="002D0C11">
            <w:pPr>
              <w:jc w:val="left"/>
              <w:rPr>
                <w:iCs/>
                <w:sz w:val="20"/>
                <w:szCs w:val="20"/>
              </w:rPr>
            </w:pPr>
            <w:r w:rsidRPr="00CB259B">
              <w:rPr>
                <w:iCs/>
                <w:sz w:val="20"/>
                <w:szCs w:val="20"/>
              </w:rPr>
              <w:t>Value of company</w:t>
            </w:r>
          </w:p>
        </w:tc>
        <w:tc>
          <w:tcPr>
            <w:tcW w:w="1848" w:type="dxa"/>
          </w:tcPr>
          <w:p w:rsidR="00B53F6C" w:rsidRPr="00CB259B" w:rsidRDefault="00A35AC4" w:rsidP="00C5143E">
            <w:pPr>
              <w:jc w:val="center"/>
              <w:rPr>
                <w:iCs/>
                <w:sz w:val="20"/>
                <w:szCs w:val="20"/>
              </w:rPr>
            </w:pPr>
            <w:r>
              <w:rPr>
                <w:iCs/>
                <w:sz w:val="20"/>
                <w:szCs w:val="20"/>
              </w:rPr>
              <w:t>$125</w:t>
            </w:r>
            <w:r w:rsidR="00B53F6C" w:rsidRPr="00CB259B">
              <w:rPr>
                <w:iCs/>
                <w:sz w:val="20"/>
                <w:szCs w:val="20"/>
              </w:rPr>
              <w:t>,000</w:t>
            </w:r>
          </w:p>
        </w:tc>
        <w:tc>
          <w:tcPr>
            <w:tcW w:w="1848" w:type="dxa"/>
          </w:tcPr>
          <w:p w:rsidR="00B53F6C" w:rsidRPr="00CB259B" w:rsidRDefault="00B53F6C" w:rsidP="00C5143E">
            <w:pPr>
              <w:jc w:val="center"/>
              <w:rPr>
                <w:iCs/>
                <w:sz w:val="20"/>
                <w:szCs w:val="20"/>
              </w:rPr>
            </w:pPr>
            <w:r w:rsidRPr="00CB259B">
              <w:rPr>
                <w:iCs/>
                <w:sz w:val="20"/>
                <w:szCs w:val="20"/>
              </w:rPr>
              <w:t>$1,000,000</w:t>
            </w:r>
          </w:p>
        </w:tc>
        <w:tc>
          <w:tcPr>
            <w:tcW w:w="1849" w:type="dxa"/>
          </w:tcPr>
          <w:p w:rsidR="00B53F6C" w:rsidRPr="00CB259B" w:rsidRDefault="00B53F6C" w:rsidP="00C5143E">
            <w:pPr>
              <w:jc w:val="center"/>
              <w:rPr>
                <w:iCs/>
                <w:sz w:val="20"/>
                <w:szCs w:val="20"/>
              </w:rPr>
            </w:pPr>
            <w:r w:rsidRPr="00CB259B">
              <w:rPr>
                <w:iCs/>
                <w:sz w:val="20"/>
                <w:szCs w:val="20"/>
              </w:rPr>
              <w:t>$2,000,000</w:t>
            </w:r>
          </w:p>
        </w:tc>
        <w:tc>
          <w:tcPr>
            <w:tcW w:w="1849" w:type="dxa"/>
          </w:tcPr>
          <w:p w:rsidR="00B53F6C" w:rsidRPr="00CB259B" w:rsidRDefault="00B53F6C" w:rsidP="00C5143E">
            <w:pPr>
              <w:jc w:val="center"/>
              <w:rPr>
                <w:iCs/>
                <w:sz w:val="20"/>
                <w:szCs w:val="20"/>
              </w:rPr>
            </w:pPr>
            <w:r w:rsidRPr="00CB259B">
              <w:rPr>
                <w:iCs/>
                <w:sz w:val="20"/>
                <w:szCs w:val="20"/>
              </w:rPr>
              <w:t>$2,500,000</w:t>
            </w:r>
          </w:p>
        </w:tc>
      </w:tr>
    </w:tbl>
    <w:p w:rsidR="00B53F6C" w:rsidRPr="00B67176" w:rsidRDefault="00B53F6C" w:rsidP="00A15CF4">
      <w:pPr>
        <w:rPr>
          <w:iCs/>
          <w:sz w:val="16"/>
          <w:szCs w:val="16"/>
        </w:rPr>
      </w:pPr>
    </w:p>
    <w:p w:rsidR="004E290A" w:rsidRPr="00CB259B" w:rsidRDefault="004E290A" w:rsidP="00C5143E">
      <w:pPr>
        <w:rPr>
          <w:iCs/>
          <w:sz w:val="20"/>
          <w:szCs w:val="20"/>
        </w:rPr>
      </w:pPr>
      <w:r w:rsidRPr="00CB259B">
        <w:rPr>
          <w:iCs/>
          <w:sz w:val="20"/>
          <w:szCs w:val="20"/>
        </w:rPr>
        <w:t>The continuity breach occurs in the 2018</w:t>
      </w:r>
      <w:r w:rsidR="00552AD3" w:rsidRPr="00CB259B">
        <w:rPr>
          <w:iCs/>
          <w:sz w:val="20"/>
          <w:szCs w:val="20"/>
        </w:rPr>
        <w:t>–</w:t>
      </w:r>
      <w:r w:rsidRPr="00CB259B">
        <w:rPr>
          <w:iCs/>
          <w:sz w:val="20"/>
          <w:szCs w:val="20"/>
        </w:rPr>
        <w:t>19 income year as Hine and Akira</w:t>
      </w:r>
      <w:r w:rsidR="00E97FC0" w:rsidRPr="00CB259B">
        <w:rPr>
          <w:iCs/>
          <w:sz w:val="20"/>
          <w:szCs w:val="20"/>
        </w:rPr>
        <w:t>’s shareholding falls</w:t>
      </w:r>
      <w:r w:rsidRPr="00CB259B">
        <w:rPr>
          <w:iCs/>
          <w:sz w:val="20"/>
          <w:szCs w:val="20"/>
        </w:rPr>
        <w:t xml:space="preserve"> from 100% </w:t>
      </w:r>
      <w:r w:rsidR="001258AB" w:rsidRPr="00CB259B">
        <w:rPr>
          <w:iCs/>
          <w:sz w:val="20"/>
          <w:szCs w:val="20"/>
        </w:rPr>
        <w:t>ownership to 0%</w:t>
      </w:r>
      <w:r w:rsidRPr="00CB259B">
        <w:rPr>
          <w:iCs/>
          <w:sz w:val="20"/>
          <w:szCs w:val="20"/>
        </w:rPr>
        <w:t xml:space="preserve">. </w:t>
      </w:r>
      <w:r w:rsidR="00552AD3" w:rsidRPr="00CB259B">
        <w:rPr>
          <w:iCs/>
          <w:sz w:val="20"/>
          <w:szCs w:val="20"/>
        </w:rPr>
        <w:t xml:space="preserve"> </w:t>
      </w:r>
      <w:r w:rsidR="00A35AC4">
        <w:rPr>
          <w:iCs/>
          <w:sz w:val="20"/>
          <w:szCs w:val="20"/>
        </w:rPr>
        <w:t xml:space="preserve">R&amp;D repayment tax is required to be paid </w:t>
      </w:r>
      <w:r w:rsidR="00E97FC0" w:rsidRPr="00CB259B">
        <w:rPr>
          <w:iCs/>
          <w:sz w:val="20"/>
          <w:szCs w:val="20"/>
        </w:rPr>
        <w:t>for the 2018</w:t>
      </w:r>
      <w:r w:rsidR="00552AD3" w:rsidRPr="00CB259B">
        <w:rPr>
          <w:iCs/>
          <w:sz w:val="20"/>
          <w:szCs w:val="20"/>
        </w:rPr>
        <w:t>–</w:t>
      </w:r>
      <w:r w:rsidR="00E97FC0" w:rsidRPr="00CB259B">
        <w:rPr>
          <w:iCs/>
          <w:sz w:val="20"/>
          <w:szCs w:val="20"/>
        </w:rPr>
        <w:t>19 income year</w:t>
      </w:r>
      <w:r w:rsidRPr="00CB259B">
        <w:rPr>
          <w:iCs/>
          <w:sz w:val="20"/>
          <w:szCs w:val="20"/>
        </w:rPr>
        <w:t xml:space="preserve"> because no group of persons have at least 10% of voting rights over the period from first receiving a credit</w:t>
      </w:r>
      <w:r w:rsidR="007F28E5" w:rsidRPr="00CB259B">
        <w:rPr>
          <w:iCs/>
          <w:sz w:val="20"/>
          <w:szCs w:val="20"/>
        </w:rPr>
        <w:t xml:space="preserve"> (2015</w:t>
      </w:r>
      <w:r w:rsidR="00552AD3" w:rsidRPr="00CB259B">
        <w:rPr>
          <w:iCs/>
          <w:sz w:val="20"/>
          <w:szCs w:val="20"/>
        </w:rPr>
        <w:t>–</w:t>
      </w:r>
      <w:r w:rsidR="007F28E5" w:rsidRPr="00CB259B">
        <w:rPr>
          <w:iCs/>
          <w:sz w:val="20"/>
          <w:szCs w:val="20"/>
        </w:rPr>
        <w:t>16 income year)</w:t>
      </w:r>
      <w:r w:rsidRPr="00CB259B">
        <w:rPr>
          <w:iCs/>
          <w:sz w:val="20"/>
          <w:szCs w:val="20"/>
        </w:rPr>
        <w:t xml:space="preserve"> to a later income year</w:t>
      </w:r>
      <w:r w:rsidR="007F28E5" w:rsidRPr="00CB259B">
        <w:rPr>
          <w:iCs/>
          <w:sz w:val="20"/>
          <w:szCs w:val="20"/>
        </w:rPr>
        <w:t xml:space="preserve"> (2018</w:t>
      </w:r>
      <w:r w:rsidR="00552AD3" w:rsidRPr="00CB259B">
        <w:rPr>
          <w:iCs/>
          <w:sz w:val="20"/>
          <w:szCs w:val="20"/>
        </w:rPr>
        <w:t>–</w:t>
      </w:r>
      <w:r w:rsidR="007F28E5" w:rsidRPr="00CB259B">
        <w:rPr>
          <w:iCs/>
          <w:sz w:val="20"/>
          <w:szCs w:val="20"/>
        </w:rPr>
        <w:t>19 income year)</w:t>
      </w:r>
      <w:r w:rsidRPr="00CB259B">
        <w:rPr>
          <w:iCs/>
          <w:sz w:val="20"/>
          <w:szCs w:val="20"/>
        </w:rPr>
        <w:t>.</w:t>
      </w:r>
    </w:p>
    <w:p w:rsidR="004E290A" w:rsidRPr="00B67176" w:rsidRDefault="004E290A" w:rsidP="00C5143E">
      <w:pPr>
        <w:jc w:val="left"/>
        <w:rPr>
          <w:iCs/>
          <w:sz w:val="16"/>
          <w:szCs w:val="16"/>
        </w:rPr>
      </w:pPr>
    </w:p>
    <w:p w:rsidR="00315EBC" w:rsidRPr="00CB259B" w:rsidRDefault="00315EBC" w:rsidP="00C5143E">
      <w:pPr>
        <w:rPr>
          <w:iCs/>
          <w:sz w:val="20"/>
          <w:szCs w:val="20"/>
        </w:rPr>
      </w:pPr>
      <w:r w:rsidRPr="00CB259B">
        <w:rPr>
          <w:iCs/>
          <w:sz w:val="20"/>
          <w:szCs w:val="20"/>
        </w:rPr>
        <w:t>HydroPasifika has received $</w:t>
      </w:r>
      <w:r w:rsidR="00556F3A" w:rsidRPr="00CB259B">
        <w:rPr>
          <w:iCs/>
          <w:sz w:val="20"/>
          <w:szCs w:val="20"/>
        </w:rPr>
        <w:t>750</w:t>
      </w:r>
      <w:r w:rsidRPr="00CB259B">
        <w:rPr>
          <w:iCs/>
          <w:sz w:val="20"/>
          <w:szCs w:val="20"/>
        </w:rPr>
        <w:t xml:space="preserve">,000 of </w:t>
      </w:r>
      <w:r w:rsidR="009D04E2" w:rsidRPr="00CB259B">
        <w:rPr>
          <w:iCs/>
          <w:sz w:val="20"/>
          <w:szCs w:val="20"/>
        </w:rPr>
        <w:t xml:space="preserve">R&amp;D </w:t>
      </w:r>
      <w:r w:rsidR="002A7365">
        <w:rPr>
          <w:iCs/>
          <w:sz w:val="20"/>
          <w:szCs w:val="20"/>
        </w:rPr>
        <w:t>loss tax credit</w:t>
      </w:r>
      <w:r w:rsidRPr="00CB259B">
        <w:rPr>
          <w:iCs/>
          <w:sz w:val="20"/>
          <w:szCs w:val="20"/>
        </w:rPr>
        <w:t>s over the four</w:t>
      </w:r>
      <w:r w:rsidR="009D04E2" w:rsidRPr="00CB259B">
        <w:rPr>
          <w:iCs/>
          <w:sz w:val="20"/>
          <w:szCs w:val="20"/>
        </w:rPr>
        <w:t>-</w:t>
      </w:r>
      <w:r w:rsidRPr="00CB259B">
        <w:rPr>
          <w:iCs/>
          <w:sz w:val="20"/>
          <w:szCs w:val="20"/>
        </w:rPr>
        <w:t xml:space="preserve">year period, and has not paid any income tax in this period. </w:t>
      </w:r>
    </w:p>
    <w:p w:rsidR="00315EBC" w:rsidRPr="00B67176" w:rsidRDefault="00315EBC" w:rsidP="00C5143E">
      <w:pPr>
        <w:rPr>
          <w:iCs/>
          <w:sz w:val="16"/>
          <w:szCs w:val="16"/>
        </w:rPr>
      </w:pPr>
    </w:p>
    <w:p w:rsidR="0000163F" w:rsidRDefault="00C75965" w:rsidP="00C5143E">
      <w:pPr>
        <w:rPr>
          <w:iCs/>
          <w:sz w:val="20"/>
          <w:szCs w:val="20"/>
        </w:rPr>
      </w:pPr>
      <w:r>
        <w:rPr>
          <w:iCs/>
          <w:sz w:val="20"/>
          <w:szCs w:val="20"/>
        </w:rPr>
        <w:t xml:space="preserve">The </w:t>
      </w:r>
      <w:r w:rsidRPr="00C75965">
        <w:rPr>
          <w:iCs/>
          <w:sz w:val="20"/>
          <w:szCs w:val="20"/>
        </w:rPr>
        <w:t>R&amp;D repayment tax</w:t>
      </w:r>
      <w:r w:rsidRPr="00CB259B">
        <w:rPr>
          <w:iCs/>
          <w:sz w:val="20"/>
          <w:szCs w:val="20"/>
        </w:rPr>
        <w:t xml:space="preserve"> </w:t>
      </w:r>
      <w:r w:rsidR="00315EBC" w:rsidRPr="00CB259B">
        <w:rPr>
          <w:iCs/>
          <w:sz w:val="20"/>
          <w:szCs w:val="20"/>
        </w:rPr>
        <w:t>will be lesser of</w:t>
      </w:r>
      <w:r w:rsidR="0000163F">
        <w:rPr>
          <w:iCs/>
          <w:sz w:val="20"/>
          <w:szCs w:val="20"/>
        </w:rPr>
        <w:t>:</w:t>
      </w:r>
    </w:p>
    <w:p w:rsidR="0000163F" w:rsidRPr="00B67176" w:rsidRDefault="0000163F" w:rsidP="00C5143E">
      <w:pPr>
        <w:rPr>
          <w:iCs/>
          <w:sz w:val="16"/>
          <w:szCs w:val="16"/>
        </w:rPr>
      </w:pPr>
    </w:p>
    <w:p w:rsidR="0000163F" w:rsidRPr="004E5892" w:rsidRDefault="00315EBC" w:rsidP="004E5892">
      <w:pPr>
        <w:pStyle w:val="ListParagraph"/>
        <w:numPr>
          <w:ilvl w:val="0"/>
          <w:numId w:val="37"/>
        </w:numPr>
        <w:rPr>
          <w:iCs/>
          <w:sz w:val="20"/>
          <w:szCs w:val="20"/>
        </w:rPr>
      </w:pPr>
      <w:r w:rsidRPr="004E5892">
        <w:rPr>
          <w:iCs/>
          <w:sz w:val="20"/>
          <w:szCs w:val="20"/>
        </w:rPr>
        <w:t xml:space="preserve">the </w:t>
      </w:r>
      <w:r w:rsidR="009D04E2" w:rsidRPr="004E5892">
        <w:rPr>
          <w:iCs/>
          <w:sz w:val="20"/>
          <w:szCs w:val="20"/>
        </w:rPr>
        <w:t xml:space="preserve">R&amp;D </w:t>
      </w:r>
      <w:r w:rsidR="002A7365">
        <w:rPr>
          <w:iCs/>
          <w:sz w:val="20"/>
          <w:szCs w:val="20"/>
        </w:rPr>
        <w:t>loss tax credit</w:t>
      </w:r>
      <w:r w:rsidRPr="004E5892">
        <w:rPr>
          <w:iCs/>
          <w:sz w:val="20"/>
          <w:szCs w:val="20"/>
        </w:rPr>
        <w:t xml:space="preserve"> balance of $</w:t>
      </w:r>
      <w:r w:rsidR="00556F3A" w:rsidRPr="004E5892">
        <w:rPr>
          <w:iCs/>
          <w:sz w:val="20"/>
          <w:szCs w:val="20"/>
        </w:rPr>
        <w:t>750</w:t>
      </w:r>
      <w:r w:rsidRPr="004E5892">
        <w:rPr>
          <w:iCs/>
          <w:sz w:val="20"/>
          <w:szCs w:val="20"/>
        </w:rPr>
        <w:t>,000</w:t>
      </w:r>
      <w:r w:rsidR="0000163F" w:rsidRPr="004E5892">
        <w:rPr>
          <w:iCs/>
          <w:sz w:val="20"/>
          <w:szCs w:val="20"/>
        </w:rPr>
        <w:t>;</w:t>
      </w:r>
      <w:r w:rsidRPr="004E5892">
        <w:rPr>
          <w:iCs/>
          <w:sz w:val="20"/>
          <w:szCs w:val="20"/>
        </w:rPr>
        <w:t xml:space="preserve"> and</w:t>
      </w:r>
    </w:p>
    <w:p w:rsidR="0000163F" w:rsidRPr="00B67176" w:rsidRDefault="0000163F" w:rsidP="00C5143E">
      <w:pPr>
        <w:rPr>
          <w:iCs/>
          <w:sz w:val="16"/>
          <w:szCs w:val="16"/>
        </w:rPr>
      </w:pPr>
    </w:p>
    <w:p w:rsidR="0000163F" w:rsidRDefault="00315EBC" w:rsidP="004E5892">
      <w:pPr>
        <w:pStyle w:val="ListParagraph"/>
        <w:numPr>
          <w:ilvl w:val="0"/>
          <w:numId w:val="37"/>
        </w:numPr>
        <w:rPr>
          <w:iCs/>
          <w:sz w:val="20"/>
          <w:szCs w:val="20"/>
        </w:rPr>
      </w:pPr>
      <w:r w:rsidRPr="004E5892">
        <w:rPr>
          <w:iCs/>
          <w:sz w:val="20"/>
          <w:szCs w:val="20"/>
        </w:rPr>
        <w:t>the</w:t>
      </w:r>
      <w:r w:rsidR="007352F9" w:rsidRPr="004E5892">
        <w:rPr>
          <w:iCs/>
          <w:sz w:val="20"/>
          <w:szCs w:val="20"/>
        </w:rPr>
        <w:t xml:space="preserve"> disposed or </w:t>
      </w:r>
      <w:r w:rsidR="0000163F">
        <w:rPr>
          <w:iCs/>
          <w:sz w:val="20"/>
          <w:szCs w:val="20"/>
        </w:rPr>
        <w:t>issued</w:t>
      </w:r>
      <w:r w:rsidR="0000163F" w:rsidRPr="004E5892">
        <w:rPr>
          <w:iCs/>
          <w:sz w:val="20"/>
          <w:szCs w:val="20"/>
        </w:rPr>
        <w:t xml:space="preserve"> </w:t>
      </w:r>
      <w:r w:rsidRPr="004E5892">
        <w:rPr>
          <w:iCs/>
          <w:sz w:val="20"/>
          <w:szCs w:val="20"/>
        </w:rPr>
        <w:t xml:space="preserve">shares’ market value </w:t>
      </w:r>
      <w:r w:rsidR="007352F9" w:rsidRPr="004E5892">
        <w:rPr>
          <w:iCs/>
          <w:sz w:val="20"/>
          <w:szCs w:val="20"/>
        </w:rPr>
        <w:t>multiplied by the</w:t>
      </w:r>
      <w:r w:rsidR="00556F3A" w:rsidRPr="004E5892">
        <w:rPr>
          <w:iCs/>
          <w:sz w:val="20"/>
          <w:szCs w:val="20"/>
        </w:rPr>
        <w:t xml:space="preserve"> company tax rate</w:t>
      </w:r>
      <w:r w:rsidR="00A67FF1">
        <w:rPr>
          <w:iCs/>
          <w:sz w:val="20"/>
          <w:szCs w:val="20"/>
        </w:rPr>
        <w:t>,</w:t>
      </w:r>
      <w:r w:rsidR="0000163F" w:rsidRPr="004E5892">
        <w:rPr>
          <w:iCs/>
          <w:sz w:val="20"/>
          <w:szCs w:val="20"/>
        </w:rPr>
        <w:t xml:space="preserve"> which equals</w:t>
      </w:r>
      <w:r w:rsidR="00A35AC4" w:rsidRPr="004E5892">
        <w:rPr>
          <w:iCs/>
          <w:sz w:val="20"/>
          <w:szCs w:val="20"/>
        </w:rPr>
        <w:t xml:space="preserve"> $735,000 [($500,000 + $1,500,000 + $625,000) * 0.28]</w:t>
      </w:r>
      <w:r w:rsidR="0000163F">
        <w:rPr>
          <w:iCs/>
          <w:sz w:val="20"/>
          <w:szCs w:val="20"/>
        </w:rPr>
        <w:t>.</w:t>
      </w:r>
    </w:p>
    <w:p w:rsidR="0000163F" w:rsidRPr="00B67176" w:rsidRDefault="0000163F" w:rsidP="00B67176">
      <w:pPr>
        <w:pStyle w:val="ListParagraph"/>
        <w:ind w:left="45"/>
        <w:rPr>
          <w:iCs/>
          <w:sz w:val="16"/>
          <w:szCs w:val="16"/>
        </w:rPr>
      </w:pPr>
    </w:p>
    <w:p w:rsidR="00A35AC4" w:rsidRPr="004E5892" w:rsidRDefault="0000163F">
      <w:pPr>
        <w:rPr>
          <w:iCs/>
          <w:sz w:val="20"/>
          <w:szCs w:val="20"/>
        </w:rPr>
      </w:pPr>
      <w:r>
        <w:rPr>
          <w:iCs/>
          <w:sz w:val="20"/>
          <w:szCs w:val="20"/>
        </w:rPr>
        <w:t xml:space="preserve">Therefore </w:t>
      </w:r>
      <w:r w:rsidR="00556F3A" w:rsidRPr="004E5892">
        <w:rPr>
          <w:iCs/>
          <w:sz w:val="20"/>
          <w:szCs w:val="20"/>
        </w:rPr>
        <w:t>HydroPasifika wil</w:t>
      </w:r>
      <w:r w:rsidR="00A35AC4" w:rsidRPr="004E5892">
        <w:rPr>
          <w:iCs/>
          <w:sz w:val="20"/>
          <w:szCs w:val="20"/>
        </w:rPr>
        <w:t>l have R&amp;D repayment tax of $735</w:t>
      </w:r>
      <w:r w:rsidR="00556F3A" w:rsidRPr="004E5892">
        <w:rPr>
          <w:iCs/>
          <w:sz w:val="20"/>
          <w:szCs w:val="20"/>
        </w:rPr>
        <w:t>,000.</w:t>
      </w:r>
    </w:p>
    <w:p w:rsidR="00B67176" w:rsidRDefault="00B67176">
      <w:pPr>
        <w:jc w:val="left"/>
        <w:rPr>
          <w:bCs/>
          <w:i/>
          <w:iCs/>
        </w:rPr>
      </w:pPr>
    </w:p>
    <w:p w:rsidR="00B67176" w:rsidRPr="00B67176" w:rsidRDefault="00B67176" w:rsidP="00B67176"/>
    <w:p w:rsidR="00F518AB" w:rsidRPr="00C23BA3" w:rsidRDefault="00AC1645" w:rsidP="005A1169">
      <w:pPr>
        <w:pStyle w:val="Heading3"/>
      </w:pPr>
      <w:r>
        <w:t>Change of residence</w:t>
      </w:r>
      <w:r w:rsidR="00C23BA3">
        <w:t xml:space="preserve"> or liquidation of company</w:t>
      </w:r>
    </w:p>
    <w:p w:rsidR="00F518AB" w:rsidRDefault="00F518AB" w:rsidP="006073D4"/>
    <w:p w:rsidR="00AC1645" w:rsidRDefault="002F2958" w:rsidP="006073D4">
      <w:r>
        <w:t xml:space="preserve">The company will be required to repay any unrepaid cashed-out </w:t>
      </w:r>
      <w:r w:rsidR="00EE6FFB">
        <w:t>losses</w:t>
      </w:r>
      <w:r>
        <w:t xml:space="preserve"> in full i</w:t>
      </w:r>
      <w:r w:rsidR="00AC1645">
        <w:t xml:space="preserve">f the </w:t>
      </w:r>
      <w:r>
        <w:t>company</w:t>
      </w:r>
      <w:r w:rsidR="0000163F">
        <w:t xml:space="preserve"> </w:t>
      </w:r>
      <w:r>
        <w:t>ceases to be resident in New Zealand for tax purposes, becomes</w:t>
      </w:r>
      <w:r w:rsidRPr="0081259B">
        <w:t xml:space="preserve"> </w:t>
      </w:r>
      <w:r>
        <w:t xml:space="preserve">resident in a foreign country under a double tax </w:t>
      </w:r>
      <w:r w:rsidR="001D5EDE">
        <w:t>agreement, or</w:t>
      </w:r>
      <w:r w:rsidR="00AC1645">
        <w:t xml:space="preserve"> </w:t>
      </w:r>
      <w:r w:rsidR="00AC428D">
        <w:t>has a liquidator appointed</w:t>
      </w:r>
      <w:r w:rsidR="00837AEB">
        <w:t>.</w:t>
      </w:r>
    </w:p>
    <w:p w:rsidR="00837AEB" w:rsidRDefault="00837AEB" w:rsidP="006073D4"/>
    <w:p w:rsidR="00617F9A" w:rsidRDefault="00C75965" w:rsidP="00837AEB">
      <w:r>
        <w:t>In this case, t</w:t>
      </w:r>
      <w:r w:rsidR="00A67FF1">
        <w:t xml:space="preserve">he amount </w:t>
      </w:r>
      <w:r>
        <w:t>of R&amp;D repayment tax payable</w:t>
      </w:r>
      <w:r w:rsidR="00A67FF1">
        <w:t xml:space="preserve"> is</w:t>
      </w:r>
      <w:r w:rsidR="00837AEB">
        <w:t xml:space="preserve"> the total amount of </w:t>
      </w:r>
      <w:r>
        <w:t>R&amp;D</w:t>
      </w:r>
      <w:r w:rsidR="00060B82">
        <w:t xml:space="preserve"> </w:t>
      </w:r>
      <w:r w:rsidR="002A7365">
        <w:t>loss tax credit</w:t>
      </w:r>
      <w:r w:rsidR="00060B82">
        <w:t>s</w:t>
      </w:r>
      <w:r w:rsidR="00837AEB">
        <w:t>:</w:t>
      </w:r>
    </w:p>
    <w:p w:rsidR="00837AEB" w:rsidRDefault="00837AEB" w:rsidP="00837AEB"/>
    <w:p w:rsidR="00837AEB" w:rsidRDefault="00837AEB" w:rsidP="00F20934">
      <w:pPr>
        <w:pStyle w:val="Bullets"/>
      </w:pPr>
      <w:r>
        <w:t>minus the company’s terminal tax</w:t>
      </w:r>
      <w:r w:rsidR="00AC428D">
        <w:t>;</w:t>
      </w:r>
    </w:p>
    <w:p w:rsidR="00837AEB" w:rsidRDefault="00837AEB" w:rsidP="00F20934">
      <w:pPr>
        <w:pStyle w:val="Bullets"/>
      </w:pPr>
      <w:r>
        <w:t>minus tax credits giving rise to imputation credits (for example</w:t>
      </w:r>
      <w:r w:rsidR="00BA17E0">
        <w:t>,</w:t>
      </w:r>
      <w:r>
        <w:t xml:space="preserve"> provisional tax)</w:t>
      </w:r>
      <w:r w:rsidR="00AC428D">
        <w:t>;</w:t>
      </w:r>
    </w:p>
    <w:p w:rsidR="00837AEB" w:rsidRDefault="00837AEB" w:rsidP="00F20934">
      <w:pPr>
        <w:pStyle w:val="Bullets"/>
      </w:pPr>
      <w:r>
        <w:lastRenderedPageBreak/>
        <w:t xml:space="preserve">plus refundable tax credits giving rise to imputation debits </w:t>
      </w:r>
      <w:r w:rsidR="00AC428D">
        <w:t>; and</w:t>
      </w:r>
    </w:p>
    <w:p w:rsidR="00837AEB" w:rsidRDefault="00837AEB" w:rsidP="00F20934">
      <w:pPr>
        <w:pStyle w:val="Bullets"/>
      </w:pPr>
      <w:r>
        <w:t>minus earlier payments of R&amp;D repayment tax</w:t>
      </w:r>
      <w:r w:rsidR="00AC428D">
        <w:t>,</w:t>
      </w:r>
    </w:p>
    <w:p w:rsidR="00837AEB" w:rsidRDefault="00837AEB" w:rsidP="00837AEB">
      <w:r>
        <w:t xml:space="preserve">where those amounts are for tax years from the first time </w:t>
      </w:r>
      <w:r w:rsidR="006577B2">
        <w:t xml:space="preserve">R&amp;D tax </w:t>
      </w:r>
      <w:r>
        <w:t xml:space="preserve">losses were cashed out until the </w:t>
      </w:r>
      <w:r w:rsidR="00AC428D">
        <w:t xml:space="preserve">repayment </w:t>
      </w:r>
      <w:r>
        <w:t>year.</w:t>
      </w:r>
      <w:r w:rsidR="00246B6C">
        <w:t xml:space="preserve">  This amount is the same as the unrepaid </w:t>
      </w:r>
      <w:r w:rsidR="00C75965">
        <w:t>R&amp;D</w:t>
      </w:r>
      <w:r w:rsidR="00246B6C">
        <w:t xml:space="preserve"> </w:t>
      </w:r>
      <w:r w:rsidR="002A7365">
        <w:t>loss tax credit</w:t>
      </w:r>
      <w:r w:rsidR="00246B6C">
        <w:t>s for the other repayment events.</w:t>
      </w:r>
    </w:p>
    <w:p w:rsidR="00C5143E" w:rsidRDefault="00C5143E" w:rsidP="00837AEB"/>
    <w:p w:rsidR="00C026C4" w:rsidRPr="00092DA0" w:rsidRDefault="00C5143E">
      <w:pPr>
        <w:jc w:val="left"/>
        <w:rPr>
          <w:sz w:val="20"/>
          <w:szCs w:val="20"/>
        </w:rPr>
      </w:pPr>
      <w:r w:rsidRPr="00092DA0">
        <w:rPr>
          <w:noProof/>
          <w:sz w:val="20"/>
          <w:szCs w:val="20"/>
          <w:lang w:eastAsia="en-NZ"/>
        </w:rPr>
        <mc:AlternateContent>
          <mc:Choice Requires="wps">
            <w:drawing>
              <wp:anchor distT="0" distB="0" distL="114300" distR="114300" simplePos="0" relativeHeight="251660288" behindDoc="0" locked="0" layoutInCell="1" allowOverlap="1" wp14:anchorId="0054B027" wp14:editId="4BF67859">
                <wp:simplePos x="0" y="0"/>
                <wp:positionH relativeFrom="column">
                  <wp:posOffset>-142875</wp:posOffset>
                </wp:positionH>
                <wp:positionV relativeFrom="paragraph">
                  <wp:posOffset>21590</wp:posOffset>
                </wp:positionV>
                <wp:extent cx="6018530" cy="5305425"/>
                <wp:effectExtent l="0" t="0" r="20320" b="28575"/>
                <wp:wrapNone/>
                <wp:docPr id="4" name="Rectangle 4"/>
                <wp:cNvGraphicFramePr/>
                <a:graphic xmlns:a="http://schemas.openxmlformats.org/drawingml/2006/main">
                  <a:graphicData uri="http://schemas.microsoft.com/office/word/2010/wordprocessingShape">
                    <wps:wsp>
                      <wps:cNvSpPr/>
                      <wps:spPr>
                        <a:xfrm>
                          <a:off x="0" y="0"/>
                          <a:ext cx="6018530" cy="5305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25pt;margin-top:1.7pt;width:473.9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hPmQIAAI4FAAAOAAAAZHJzL2Uyb0RvYy54bWysVFFP2zAQfp+0/2D5fSQpLY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" filled="f" strokecolor="black [3213]" strokeweight=".5pt"/>
            </w:pict>
          </mc:Fallback>
        </mc:AlternateContent>
      </w:r>
    </w:p>
    <w:p w:rsidR="00AC6954" w:rsidRPr="00CB259B" w:rsidRDefault="00AC6954" w:rsidP="00C5143E">
      <w:pPr>
        <w:rPr>
          <w:b/>
          <w:sz w:val="20"/>
          <w:szCs w:val="20"/>
        </w:rPr>
      </w:pPr>
      <w:r w:rsidRPr="00F01512">
        <w:rPr>
          <w:b/>
          <w:sz w:val="20"/>
          <w:szCs w:val="20"/>
        </w:rPr>
        <w:t>Example</w:t>
      </w:r>
      <w:r w:rsidR="003E3A7C" w:rsidRPr="00F01512">
        <w:rPr>
          <w:b/>
          <w:sz w:val="20"/>
          <w:szCs w:val="20"/>
        </w:rPr>
        <w:t>:</w:t>
      </w:r>
      <w:r w:rsidR="00D837EB" w:rsidRPr="00CB259B">
        <w:rPr>
          <w:b/>
          <w:sz w:val="20"/>
          <w:szCs w:val="20"/>
        </w:rPr>
        <w:t xml:space="preserve"> M</w:t>
      </w:r>
      <w:r w:rsidR="003E3A7C" w:rsidRPr="00F01512">
        <w:rPr>
          <w:b/>
          <w:sz w:val="20"/>
          <w:szCs w:val="20"/>
        </w:rPr>
        <w:t>ultiple loss reinstatement events</w:t>
      </w:r>
    </w:p>
    <w:p w:rsidR="00D837EB" w:rsidRPr="00F01512" w:rsidRDefault="00D837EB" w:rsidP="00C5143E">
      <w:pPr>
        <w:rPr>
          <w:b/>
          <w:sz w:val="20"/>
          <w:szCs w:val="20"/>
        </w:rPr>
      </w:pPr>
    </w:p>
    <w:p w:rsidR="00AC6954" w:rsidRDefault="00A65F03" w:rsidP="00C5143E">
      <w:pPr>
        <w:rPr>
          <w:sz w:val="20"/>
          <w:szCs w:val="20"/>
        </w:rPr>
      </w:pPr>
      <w:r w:rsidRPr="00CB259B">
        <w:rPr>
          <w:sz w:val="20"/>
          <w:szCs w:val="20"/>
        </w:rPr>
        <w:t>Nest Guarder</w:t>
      </w:r>
      <w:r w:rsidR="00947804">
        <w:rPr>
          <w:sz w:val="20"/>
          <w:szCs w:val="20"/>
        </w:rPr>
        <w:t xml:space="preserve"> Ltd</w:t>
      </w:r>
      <w:r w:rsidR="00AC6954" w:rsidRPr="00CB259B">
        <w:rPr>
          <w:sz w:val="20"/>
          <w:szCs w:val="20"/>
        </w:rPr>
        <w:t xml:space="preserve"> is incorporated in August 2015 </w:t>
      </w:r>
      <w:r w:rsidRPr="00CB259B">
        <w:rPr>
          <w:sz w:val="20"/>
          <w:szCs w:val="20"/>
        </w:rPr>
        <w:t>and is attempting to develop robots that protect the nests of native birds from predators.</w:t>
      </w:r>
      <w:r w:rsidR="006577B2" w:rsidRPr="00CB259B">
        <w:rPr>
          <w:sz w:val="20"/>
          <w:szCs w:val="20"/>
        </w:rPr>
        <w:t xml:space="preserve"> </w:t>
      </w:r>
      <w:r w:rsidRPr="00CB259B">
        <w:rPr>
          <w:sz w:val="20"/>
          <w:szCs w:val="20"/>
        </w:rPr>
        <w:t xml:space="preserve"> Nest Guarder cashes out losses of $400,000 and $700,000 for the 2015–16 and 2016–17 income years for </w:t>
      </w:r>
      <w:r w:rsidR="00601788" w:rsidRPr="00CB259B">
        <w:rPr>
          <w:sz w:val="20"/>
          <w:szCs w:val="20"/>
        </w:rPr>
        <w:t xml:space="preserve">R&amp;D </w:t>
      </w:r>
      <w:r w:rsidR="00C75965">
        <w:rPr>
          <w:sz w:val="20"/>
          <w:szCs w:val="20"/>
        </w:rPr>
        <w:t xml:space="preserve">loss </w:t>
      </w:r>
      <w:r w:rsidRPr="00CB259B">
        <w:rPr>
          <w:sz w:val="20"/>
          <w:szCs w:val="20"/>
        </w:rPr>
        <w:t>tax credits of $112,000 and $196,000 respectively.</w:t>
      </w:r>
      <w:r w:rsidR="00601788" w:rsidRPr="00CB259B">
        <w:rPr>
          <w:sz w:val="20"/>
          <w:szCs w:val="20"/>
        </w:rPr>
        <w:t xml:space="preserve"> </w:t>
      </w:r>
      <w:r w:rsidRPr="00CB259B">
        <w:rPr>
          <w:sz w:val="20"/>
          <w:szCs w:val="20"/>
        </w:rPr>
        <w:t xml:space="preserve"> </w:t>
      </w:r>
      <w:r w:rsidR="00C84BAF" w:rsidRPr="00CB259B">
        <w:rPr>
          <w:sz w:val="20"/>
          <w:szCs w:val="20"/>
        </w:rPr>
        <w:t xml:space="preserve">It also sells know-how for </w:t>
      </w:r>
      <w:r w:rsidR="00C23BB9" w:rsidRPr="00CB259B">
        <w:rPr>
          <w:sz w:val="20"/>
          <w:szCs w:val="20"/>
        </w:rPr>
        <w:t>$100,000 in the 2016–17 income year</w:t>
      </w:r>
      <w:r w:rsidR="00C71390">
        <w:rPr>
          <w:sz w:val="20"/>
          <w:szCs w:val="20"/>
        </w:rPr>
        <w:t xml:space="preserve"> (which equals the market value and is a capital receipt)</w:t>
      </w:r>
      <w:r w:rsidR="00C23BB9" w:rsidRPr="00CB259B">
        <w:rPr>
          <w:sz w:val="20"/>
          <w:szCs w:val="20"/>
        </w:rPr>
        <w:t>, and pay</w:t>
      </w:r>
      <w:r w:rsidR="003258C5" w:rsidRPr="00CB259B">
        <w:rPr>
          <w:sz w:val="20"/>
          <w:szCs w:val="20"/>
        </w:rPr>
        <w:t>s R&amp;D repayment tax of $28,000 [</w:t>
      </w:r>
      <w:r w:rsidR="00C23BB9" w:rsidRPr="00CB259B">
        <w:rPr>
          <w:sz w:val="20"/>
          <w:szCs w:val="20"/>
        </w:rPr>
        <w:t>$100,000 * 0.28</w:t>
      </w:r>
      <w:r w:rsidR="003258C5" w:rsidRPr="00CB259B">
        <w:rPr>
          <w:sz w:val="20"/>
          <w:szCs w:val="20"/>
        </w:rPr>
        <w:t>]</w:t>
      </w:r>
      <w:r w:rsidR="00C23BB9" w:rsidRPr="00CB259B">
        <w:rPr>
          <w:sz w:val="20"/>
          <w:szCs w:val="20"/>
        </w:rPr>
        <w:t>.</w:t>
      </w:r>
    </w:p>
    <w:p w:rsidR="00C71390" w:rsidRPr="00CB259B" w:rsidRDefault="00C71390" w:rsidP="00C5143E">
      <w:pPr>
        <w:rPr>
          <w:sz w:val="20"/>
          <w:szCs w:val="20"/>
        </w:rPr>
      </w:pPr>
    </w:p>
    <w:p w:rsidR="00C71390" w:rsidRPr="00CB259B" w:rsidRDefault="00C71390" w:rsidP="00C71390">
      <w:pPr>
        <w:rPr>
          <w:sz w:val="20"/>
          <w:szCs w:val="20"/>
        </w:rPr>
      </w:pPr>
      <w:r w:rsidRPr="00CB259B">
        <w:rPr>
          <w:sz w:val="20"/>
          <w:szCs w:val="20"/>
        </w:rPr>
        <w:t xml:space="preserve">In the 2016–17 tax year, </w:t>
      </w:r>
      <w:r>
        <w:rPr>
          <w:sz w:val="20"/>
          <w:szCs w:val="20"/>
        </w:rPr>
        <w:t>the R&amp;D repayment tax payment of $28,000 reduces the tax credit balance from $308,000 to $280,000.</w:t>
      </w:r>
    </w:p>
    <w:p w:rsidR="00C71390" w:rsidRPr="00CB259B" w:rsidRDefault="00C71390" w:rsidP="00C71390">
      <w:pPr>
        <w:rPr>
          <w:sz w:val="20"/>
          <w:szCs w:val="20"/>
        </w:rPr>
      </w:pPr>
    </w:p>
    <w:p w:rsidR="00C71390" w:rsidRPr="00CB259B" w:rsidRDefault="00C71390" w:rsidP="00C71390">
      <w:pPr>
        <w:rPr>
          <w:sz w:val="20"/>
          <w:szCs w:val="20"/>
        </w:rPr>
      </w:pPr>
      <w:r w:rsidRPr="00CB259B">
        <w:rPr>
          <w:sz w:val="20"/>
          <w:szCs w:val="20"/>
        </w:rPr>
        <w:t xml:space="preserve">In the 2017–18 tax year, Nest Guarder receives a $140,000 tax credit from cashing out a $500,000 loss </w:t>
      </w:r>
      <w:r>
        <w:rPr>
          <w:sz w:val="20"/>
          <w:szCs w:val="20"/>
        </w:rPr>
        <w:t>and</w:t>
      </w:r>
      <w:r w:rsidRPr="00CB259B">
        <w:rPr>
          <w:sz w:val="20"/>
          <w:szCs w:val="20"/>
        </w:rPr>
        <w:t xml:space="preserve"> the company is sold for $1,000,000</w:t>
      </w:r>
      <w:r>
        <w:rPr>
          <w:sz w:val="20"/>
          <w:szCs w:val="20"/>
        </w:rPr>
        <w:t xml:space="preserve"> (which equals the market value and is a capital receipt)</w:t>
      </w:r>
      <w:r w:rsidRPr="00CB259B">
        <w:rPr>
          <w:sz w:val="20"/>
          <w:szCs w:val="20"/>
        </w:rPr>
        <w:t>, triggering R&amp;D repayment tax of $280,000 ($</w:t>
      </w:r>
      <w:r>
        <w:rPr>
          <w:sz w:val="20"/>
          <w:szCs w:val="20"/>
        </w:rPr>
        <w:t xml:space="preserve">1,000,000 * 0.28 </w:t>
      </w:r>
      <w:r w:rsidRPr="00CB259B">
        <w:rPr>
          <w:sz w:val="20"/>
          <w:szCs w:val="20"/>
        </w:rPr>
        <w:t xml:space="preserve"> is less than the credit balance of $420,000)</w:t>
      </w:r>
      <w:r w:rsidR="00542A50">
        <w:rPr>
          <w:sz w:val="20"/>
          <w:szCs w:val="20"/>
        </w:rPr>
        <w:t>.  T</w:t>
      </w:r>
      <w:r w:rsidRPr="00CB259B">
        <w:rPr>
          <w:sz w:val="20"/>
          <w:szCs w:val="20"/>
        </w:rPr>
        <w:t xml:space="preserve">he tax credit balance is </w:t>
      </w:r>
      <w:r>
        <w:rPr>
          <w:sz w:val="20"/>
          <w:szCs w:val="20"/>
        </w:rPr>
        <w:t xml:space="preserve">reduced to </w:t>
      </w:r>
      <w:r w:rsidRPr="00CB259B">
        <w:rPr>
          <w:sz w:val="20"/>
          <w:szCs w:val="20"/>
        </w:rPr>
        <w:t>$140,000</w:t>
      </w:r>
      <w:r w:rsidR="00C75965">
        <w:rPr>
          <w:sz w:val="20"/>
          <w:szCs w:val="20"/>
        </w:rPr>
        <w:t xml:space="preserve"> [$420,000 - $280,000]</w:t>
      </w:r>
      <w:r w:rsidRPr="00CB259B">
        <w:rPr>
          <w:sz w:val="20"/>
          <w:szCs w:val="20"/>
        </w:rPr>
        <w:t>.</w:t>
      </w:r>
    </w:p>
    <w:p w:rsidR="00C71390" w:rsidRPr="00CB259B" w:rsidRDefault="00C71390" w:rsidP="00C71390">
      <w:pPr>
        <w:rPr>
          <w:sz w:val="20"/>
          <w:szCs w:val="20"/>
        </w:rPr>
      </w:pPr>
    </w:p>
    <w:p w:rsidR="00C71390" w:rsidRPr="00CB259B" w:rsidRDefault="00C71390" w:rsidP="00C71390">
      <w:pPr>
        <w:rPr>
          <w:sz w:val="20"/>
          <w:szCs w:val="20"/>
        </w:rPr>
      </w:pPr>
      <w:r w:rsidRPr="00CB259B">
        <w:rPr>
          <w:sz w:val="20"/>
          <w:szCs w:val="20"/>
        </w:rPr>
        <w:t>In the 2018–19 tax year, Nest Guarder migrates offshore, which triggers R&amp;D repayment tax of the remaining tax credit balance</w:t>
      </w:r>
      <w:r>
        <w:rPr>
          <w:sz w:val="20"/>
          <w:szCs w:val="20"/>
        </w:rPr>
        <w:t xml:space="preserve"> of $140,000</w:t>
      </w:r>
      <w:r w:rsidRPr="00CB259B">
        <w:rPr>
          <w:sz w:val="20"/>
          <w:szCs w:val="20"/>
        </w:rPr>
        <w:t>.</w:t>
      </w:r>
    </w:p>
    <w:p w:rsidR="00731850" w:rsidRPr="00CB259B" w:rsidRDefault="00731850" w:rsidP="00C5143E">
      <w:pPr>
        <w:rPr>
          <w:sz w:val="20"/>
          <w:szCs w:val="20"/>
        </w:rPr>
      </w:pPr>
    </w:p>
    <w:p w:rsidR="00AB200B" w:rsidRDefault="00731850" w:rsidP="00C5143E">
      <w:pPr>
        <w:rPr>
          <w:sz w:val="20"/>
          <w:szCs w:val="20"/>
        </w:rPr>
      </w:pPr>
      <w:r w:rsidRPr="00CB259B">
        <w:rPr>
          <w:sz w:val="20"/>
          <w:szCs w:val="20"/>
        </w:rPr>
        <w:t xml:space="preserve">The table below shows when Nest Guarder cashes out losses and has loss </w:t>
      </w:r>
      <w:r w:rsidR="008A2A5F">
        <w:rPr>
          <w:sz w:val="20"/>
          <w:szCs w:val="20"/>
        </w:rPr>
        <w:t>repayment</w:t>
      </w:r>
      <w:r w:rsidR="008A2A5F" w:rsidRPr="00CB259B">
        <w:rPr>
          <w:sz w:val="20"/>
          <w:szCs w:val="20"/>
        </w:rPr>
        <w:t xml:space="preserve"> </w:t>
      </w:r>
      <w:r w:rsidRPr="00CB259B">
        <w:rPr>
          <w:sz w:val="20"/>
          <w:szCs w:val="20"/>
        </w:rPr>
        <w:t>events where R&amp;D repayment tax must be paid.</w:t>
      </w:r>
    </w:p>
    <w:p w:rsidR="00AB200B" w:rsidRDefault="00AB200B" w:rsidP="00C5143E">
      <w:pPr>
        <w:rPr>
          <w:sz w:val="20"/>
          <w:szCs w:val="2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134"/>
        <w:gridCol w:w="3402"/>
        <w:gridCol w:w="2693"/>
        <w:gridCol w:w="1417"/>
      </w:tblGrid>
      <w:tr w:rsidR="00AB200B" w:rsidTr="00C5143E">
        <w:trPr>
          <w:jc w:val="center"/>
        </w:trPr>
        <w:tc>
          <w:tcPr>
            <w:tcW w:w="1134" w:type="dxa"/>
          </w:tcPr>
          <w:p w:rsidR="00AB200B" w:rsidRPr="00F01512" w:rsidRDefault="00AB200B" w:rsidP="00C5143E">
            <w:pPr>
              <w:rPr>
                <w:b/>
                <w:sz w:val="20"/>
                <w:szCs w:val="20"/>
              </w:rPr>
            </w:pPr>
            <w:r w:rsidRPr="00F01512">
              <w:rPr>
                <w:b/>
                <w:sz w:val="20"/>
                <w:szCs w:val="20"/>
              </w:rPr>
              <w:t>Year</w:t>
            </w:r>
          </w:p>
        </w:tc>
        <w:tc>
          <w:tcPr>
            <w:tcW w:w="3402" w:type="dxa"/>
          </w:tcPr>
          <w:p w:rsidR="00AB200B" w:rsidRPr="00F01512" w:rsidRDefault="008A2A5F" w:rsidP="00C5143E">
            <w:pPr>
              <w:rPr>
                <w:b/>
                <w:sz w:val="20"/>
                <w:szCs w:val="20"/>
              </w:rPr>
            </w:pPr>
            <w:r>
              <w:rPr>
                <w:b/>
                <w:sz w:val="20"/>
                <w:szCs w:val="20"/>
              </w:rPr>
              <w:t>Description</w:t>
            </w:r>
          </w:p>
        </w:tc>
        <w:tc>
          <w:tcPr>
            <w:tcW w:w="2693" w:type="dxa"/>
          </w:tcPr>
          <w:p w:rsidR="00AB200B" w:rsidRPr="00F01512" w:rsidRDefault="00AB200B" w:rsidP="00C5143E">
            <w:pPr>
              <w:rPr>
                <w:b/>
                <w:sz w:val="20"/>
                <w:szCs w:val="20"/>
              </w:rPr>
            </w:pPr>
            <w:r w:rsidRPr="00F01512">
              <w:rPr>
                <w:b/>
                <w:sz w:val="20"/>
                <w:szCs w:val="20"/>
              </w:rPr>
              <w:t>Change in value of tax credit balance</w:t>
            </w:r>
          </w:p>
        </w:tc>
        <w:tc>
          <w:tcPr>
            <w:tcW w:w="1417" w:type="dxa"/>
          </w:tcPr>
          <w:p w:rsidR="00AB200B" w:rsidRPr="00F01512" w:rsidRDefault="008A2A5F">
            <w:pPr>
              <w:jc w:val="left"/>
              <w:rPr>
                <w:b/>
                <w:sz w:val="20"/>
                <w:szCs w:val="20"/>
              </w:rPr>
            </w:pPr>
            <w:r>
              <w:rPr>
                <w:b/>
                <w:sz w:val="20"/>
                <w:szCs w:val="20"/>
              </w:rPr>
              <w:t>R&amp;D loss t</w:t>
            </w:r>
            <w:r w:rsidR="00AB200B" w:rsidRPr="00F01512">
              <w:rPr>
                <w:b/>
                <w:sz w:val="20"/>
                <w:szCs w:val="20"/>
              </w:rPr>
              <w:t>ax credit balance</w:t>
            </w:r>
          </w:p>
        </w:tc>
      </w:tr>
      <w:tr w:rsidR="00AB200B" w:rsidTr="00C5143E">
        <w:trPr>
          <w:jc w:val="center"/>
        </w:trPr>
        <w:tc>
          <w:tcPr>
            <w:tcW w:w="1134" w:type="dxa"/>
          </w:tcPr>
          <w:p w:rsidR="00AB200B" w:rsidRPr="00CB259B" w:rsidRDefault="00AB200B" w:rsidP="00C5143E">
            <w:pPr>
              <w:jc w:val="left"/>
              <w:rPr>
                <w:sz w:val="20"/>
                <w:szCs w:val="20"/>
              </w:rPr>
            </w:pPr>
            <w:r w:rsidRPr="00CB259B">
              <w:rPr>
                <w:sz w:val="20"/>
                <w:szCs w:val="20"/>
              </w:rPr>
              <w:t>2015–16</w:t>
            </w:r>
          </w:p>
        </w:tc>
        <w:tc>
          <w:tcPr>
            <w:tcW w:w="3402" w:type="dxa"/>
          </w:tcPr>
          <w:p w:rsidR="00AB200B" w:rsidRPr="00CB259B" w:rsidRDefault="00AB200B" w:rsidP="00C5143E">
            <w:pPr>
              <w:jc w:val="left"/>
              <w:rPr>
                <w:sz w:val="20"/>
                <w:szCs w:val="20"/>
              </w:rPr>
            </w:pPr>
            <w:r w:rsidRPr="00CB259B">
              <w:rPr>
                <w:sz w:val="20"/>
                <w:szCs w:val="20"/>
              </w:rPr>
              <w:t xml:space="preserve">R&amp;D </w:t>
            </w:r>
            <w:r w:rsidR="002A7365">
              <w:rPr>
                <w:sz w:val="20"/>
                <w:szCs w:val="20"/>
              </w:rPr>
              <w:t>loss tax credit</w:t>
            </w:r>
          </w:p>
        </w:tc>
        <w:tc>
          <w:tcPr>
            <w:tcW w:w="2693" w:type="dxa"/>
          </w:tcPr>
          <w:p w:rsidR="00AB200B" w:rsidRPr="00CB259B" w:rsidRDefault="00AB200B" w:rsidP="00C5143E">
            <w:pPr>
              <w:jc w:val="left"/>
              <w:rPr>
                <w:sz w:val="20"/>
                <w:szCs w:val="20"/>
              </w:rPr>
            </w:pPr>
            <w:r w:rsidRPr="00CB259B">
              <w:rPr>
                <w:sz w:val="20"/>
                <w:szCs w:val="20"/>
              </w:rPr>
              <w:t xml:space="preserve">+ $112,000 ($400,000 loss) </w:t>
            </w:r>
          </w:p>
        </w:tc>
        <w:tc>
          <w:tcPr>
            <w:tcW w:w="1417" w:type="dxa"/>
          </w:tcPr>
          <w:p w:rsidR="00AB200B" w:rsidRPr="00CB259B" w:rsidRDefault="00AB200B" w:rsidP="00C5143E">
            <w:pPr>
              <w:jc w:val="left"/>
              <w:rPr>
                <w:sz w:val="20"/>
                <w:szCs w:val="20"/>
              </w:rPr>
            </w:pPr>
            <w:r w:rsidRPr="00CB259B">
              <w:rPr>
                <w:sz w:val="20"/>
                <w:szCs w:val="20"/>
              </w:rPr>
              <w:t>$112,000</w:t>
            </w:r>
          </w:p>
        </w:tc>
      </w:tr>
      <w:tr w:rsidR="00C0514F" w:rsidTr="00C5143E">
        <w:trPr>
          <w:jc w:val="center"/>
        </w:trPr>
        <w:tc>
          <w:tcPr>
            <w:tcW w:w="1134" w:type="dxa"/>
          </w:tcPr>
          <w:p w:rsidR="00C0514F" w:rsidRDefault="00C0514F" w:rsidP="00C5143E">
            <w:pPr>
              <w:rPr>
                <w:sz w:val="20"/>
                <w:szCs w:val="20"/>
              </w:rPr>
            </w:pPr>
            <w:r w:rsidRPr="00CB259B">
              <w:rPr>
                <w:sz w:val="20"/>
                <w:szCs w:val="20"/>
              </w:rPr>
              <w:t>2016–17</w:t>
            </w:r>
          </w:p>
        </w:tc>
        <w:tc>
          <w:tcPr>
            <w:tcW w:w="3402" w:type="dxa"/>
          </w:tcPr>
          <w:p w:rsidR="00C0514F" w:rsidRDefault="00C0514F" w:rsidP="00C5143E">
            <w:pPr>
              <w:rPr>
                <w:sz w:val="20"/>
                <w:szCs w:val="20"/>
              </w:rPr>
            </w:pPr>
            <w:r w:rsidRPr="00CB259B">
              <w:rPr>
                <w:sz w:val="20"/>
                <w:szCs w:val="20"/>
              </w:rPr>
              <w:t xml:space="preserve">R&amp;D </w:t>
            </w:r>
            <w:r w:rsidR="002A7365">
              <w:rPr>
                <w:sz w:val="20"/>
                <w:szCs w:val="20"/>
              </w:rPr>
              <w:t>loss tax credit</w:t>
            </w:r>
          </w:p>
          <w:p w:rsidR="00C0514F" w:rsidRDefault="00C0514F" w:rsidP="00C5143E">
            <w:pPr>
              <w:rPr>
                <w:sz w:val="20"/>
                <w:szCs w:val="20"/>
              </w:rPr>
            </w:pPr>
            <w:r w:rsidRPr="00CB259B">
              <w:rPr>
                <w:sz w:val="20"/>
                <w:szCs w:val="20"/>
              </w:rPr>
              <w:t>Know-how sold; R&amp;D repayment tax</w:t>
            </w:r>
          </w:p>
        </w:tc>
        <w:tc>
          <w:tcPr>
            <w:tcW w:w="2693" w:type="dxa"/>
          </w:tcPr>
          <w:p w:rsidR="00C0514F" w:rsidRDefault="00C0514F" w:rsidP="00C5143E">
            <w:pPr>
              <w:rPr>
                <w:sz w:val="20"/>
                <w:szCs w:val="20"/>
              </w:rPr>
            </w:pPr>
            <w:r w:rsidRPr="00CB259B">
              <w:rPr>
                <w:sz w:val="20"/>
                <w:szCs w:val="20"/>
              </w:rPr>
              <w:t>+ $196,000 ($700,000 loss)</w:t>
            </w:r>
          </w:p>
          <w:p w:rsidR="00C0514F" w:rsidRPr="00CB259B" w:rsidRDefault="00C0514F" w:rsidP="00C5143E">
            <w:pPr>
              <w:rPr>
                <w:sz w:val="20"/>
                <w:szCs w:val="20"/>
              </w:rPr>
            </w:pPr>
            <w:r w:rsidRPr="00CB259B">
              <w:rPr>
                <w:sz w:val="20"/>
                <w:szCs w:val="20"/>
              </w:rPr>
              <w:t>– $28,000 (28% of $100,000)</w:t>
            </w:r>
          </w:p>
        </w:tc>
        <w:tc>
          <w:tcPr>
            <w:tcW w:w="1417" w:type="dxa"/>
          </w:tcPr>
          <w:p w:rsidR="00C0514F" w:rsidRDefault="00C0514F" w:rsidP="00C5143E">
            <w:pPr>
              <w:rPr>
                <w:sz w:val="20"/>
                <w:szCs w:val="20"/>
              </w:rPr>
            </w:pPr>
            <w:r w:rsidRPr="00CB259B">
              <w:rPr>
                <w:sz w:val="20"/>
                <w:szCs w:val="20"/>
              </w:rPr>
              <w:t>$308,000</w:t>
            </w:r>
          </w:p>
          <w:p w:rsidR="00C0514F" w:rsidRPr="00CB259B" w:rsidRDefault="00C0514F" w:rsidP="00C5143E">
            <w:pPr>
              <w:rPr>
                <w:sz w:val="20"/>
                <w:szCs w:val="20"/>
              </w:rPr>
            </w:pPr>
            <w:r w:rsidRPr="00CB259B">
              <w:rPr>
                <w:sz w:val="20"/>
                <w:szCs w:val="20"/>
              </w:rPr>
              <w:t>$280,000</w:t>
            </w:r>
          </w:p>
        </w:tc>
      </w:tr>
      <w:tr w:rsidR="001B13AC" w:rsidTr="00C5143E">
        <w:trPr>
          <w:jc w:val="center"/>
        </w:trPr>
        <w:tc>
          <w:tcPr>
            <w:tcW w:w="1134" w:type="dxa"/>
          </w:tcPr>
          <w:p w:rsidR="001B13AC" w:rsidRPr="00CB259B" w:rsidRDefault="001B13AC" w:rsidP="00C5143E">
            <w:pPr>
              <w:rPr>
                <w:sz w:val="20"/>
                <w:szCs w:val="20"/>
              </w:rPr>
            </w:pPr>
            <w:r w:rsidRPr="00CB259B">
              <w:rPr>
                <w:sz w:val="20"/>
                <w:szCs w:val="20"/>
              </w:rPr>
              <w:t>2017–18</w:t>
            </w:r>
          </w:p>
        </w:tc>
        <w:tc>
          <w:tcPr>
            <w:tcW w:w="3402" w:type="dxa"/>
          </w:tcPr>
          <w:p w:rsidR="001B13AC" w:rsidRDefault="001B13AC" w:rsidP="00C5143E">
            <w:pPr>
              <w:rPr>
                <w:sz w:val="20"/>
                <w:szCs w:val="20"/>
              </w:rPr>
            </w:pPr>
            <w:r w:rsidRPr="00CB259B">
              <w:rPr>
                <w:sz w:val="20"/>
                <w:szCs w:val="20"/>
              </w:rPr>
              <w:t xml:space="preserve">R&amp;D </w:t>
            </w:r>
            <w:r w:rsidR="002A7365">
              <w:rPr>
                <w:sz w:val="20"/>
                <w:szCs w:val="20"/>
              </w:rPr>
              <w:t>loss tax credit</w:t>
            </w:r>
          </w:p>
          <w:p w:rsidR="001B13AC" w:rsidRPr="00CB259B" w:rsidRDefault="001B13AC" w:rsidP="00C5143E">
            <w:pPr>
              <w:rPr>
                <w:sz w:val="20"/>
                <w:szCs w:val="20"/>
              </w:rPr>
            </w:pPr>
            <w:r w:rsidRPr="00CB259B">
              <w:rPr>
                <w:sz w:val="20"/>
                <w:szCs w:val="20"/>
              </w:rPr>
              <w:t>Company sold; R&amp;D repayment tax</w:t>
            </w:r>
          </w:p>
        </w:tc>
        <w:tc>
          <w:tcPr>
            <w:tcW w:w="2693" w:type="dxa"/>
          </w:tcPr>
          <w:p w:rsidR="001B13AC" w:rsidRDefault="001B13AC" w:rsidP="00C5143E">
            <w:pPr>
              <w:rPr>
                <w:sz w:val="20"/>
                <w:szCs w:val="20"/>
              </w:rPr>
            </w:pPr>
            <w:r w:rsidRPr="00CB259B">
              <w:rPr>
                <w:sz w:val="20"/>
                <w:szCs w:val="20"/>
              </w:rPr>
              <w:t>+ $140,000 ($500,000 loss)</w:t>
            </w:r>
          </w:p>
          <w:p w:rsidR="001B13AC" w:rsidRPr="00CB259B" w:rsidRDefault="001B13AC" w:rsidP="00C5143E">
            <w:pPr>
              <w:rPr>
                <w:sz w:val="20"/>
                <w:szCs w:val="20"/>
              </w:rPr>
            </w:pPr>
            <w:r w:rsidRPr="00CB259B">
              <w:rPr>
                <w:sz w:val="20"/>
                <w:szCs w:val="20"/>
              </w:rPr>
              <w:t>– $280,000 ($1,000,000 sale)</w:t>
            </w:r>
          </w:p>
        </w:tc>
        <w:tc>
          <w:tcPr>
            <w:tcW w:w="1417" w:type="dxa"/>
          </w:tcPr>
          <w:p w:rsidR="001B13AC" w:rsidRDefault="001B13AC" w:rsidP="00C5143E">
            <w:pPr>
              <w:rPr>
                <w:sz w:val="20"/>
                <w:szCs w:val="20"/>
              </w:rPr>
            </w:pPr>
            <w:r w:rsidRPr="00CB259B">
              <w:rPr>
                <w:sz w:val="20"/>
                <w:szCs w:val="20"/>
              </w:rPr>
              <w:t>$420,000</w:t>
            </w:r>
          </w:p>
          <w:p w:rsidR="001B13AC" w:rsidRPr="00CB259B" w:rsidRDefault="001B13AC" w:rsidP="00C5143E">
            <w:pPr>
              <w:rPr>
                <w:sz w:val="20"/>
                <w:szCs w:val="20"/>
              </w:rPr>
            </w:pPr>
            <w:r w:rsidRPr="00CB259B">
              <w:rPr>
                <w:sz w:val="20"/>
                <w:szCs w:val="20"/>
              </w:rPr>
              <w:t>$140,000</w:t>
            </w:r>
          </w:p>
        </w:tc>
      </w:tr>
      <w:tr w:rsidR="001B13AC" w:rsidTr="00C5143E">
        <w:trPr>
          <w:jc w:val="center"/>
        </w:trPr>
        <w:tc>
          <w:tcPr>
            <w:tcW w:w="1134" w:type="dxa"/>
          </w:tcPr>
          <w:p w:rsidR="001B13AC" w:rsidRPr="00CB259B" w:rsidRDefault="001B13AC" w:rsidP="00C5143E">
            <w:pPr>
              <w:rPr>
                <w:sz w:val="20"/>
                <w:szCs w:val="20"/>
              </w:rPr>
            </w:pPr>
            <w:r w:rsidRPr="00CB259B">
              <w:rPr>
                <w:sz w:val="20"/>
                <w:szCs w:val="20"/>
              </w:rPr>
              <w:t>2018–19</w:t>
            </w:r>
          </w:p>
        </w:tc>
        <w:tc>
          <w:tcPr>
            <w:tcW w:w="3402" w:type="dxa"/>
          </w:tcPr>
          <w:p w:rsidR="001B13AC" w:rsidRPr="00CB259B" w:rsidRDefault="001B13AC" w:rsidP="00C5143E">
            <w:pPr>
              <w:jc w:val="left"/>
              <w:rPr>
                <w:sz w:val="20"/>
                <w:szCs w:val="20"/>
              </w:rPr>
            </w:pPr>
            <w:r>
              <w:rPr>
                <w:sz w:val="20"/>
                <w:szCs w:val="20"/>
              </w:rPr>
              <w:t>Company leaves NZ and can no longer satisfy residency requirement; R&amp;D repayment tax</w:t>
            </w:r>
          </w:p>
        </w:tc>
        <w:tc>
          <w:tcPr>
            <w:tcW w:w="2693" w:type="dxa"/>
          </w:tcPr>
          <w:p w:rsidR="001B13AC" w:rsidRPr="00CB259B" w:rsidRDefault="001B13AC" w:rsidP="00C5143E">
            <w:pPr>
              <w:rPr>
                <w:sz w:val="20"/>
                <w:szCs w:val="20"/>
              </w:rPr>
            </w:pPr>
            <w:r w:rsidRPr="00CB259B">
              <w:rPr>
                <w:sz w:val="20"/>
                <w:szCs w:val="20"/>
              </w:rPr>
              <w:t>– $140,000</w:t>
            </w:r>
            <w:r w:rsidR="00173144">
              <w:rPr>
                <w:sz w:val="20"/>
                <w:szCs w:val="20"/>
              </w:rPr>
              <w:t xml:space="preserve"> (migration)</w:t>
            </w:r>
          </w:p>
        </w:tc>
        <w:tc>
          <w:tcPr>
            <w:tcW w:w="1417" w:type="dxa"/>
          </w:tcPr>
          <w:p w:rsidR="001B13AC" w:rsidRPr="00CB259B" w:rsidRDefault="001B13AC" w:rsidP="00C5143E">
            <w:pPr>
              <w:rPr>
                <w:sz w:val="20"/>
                <w:szCs w:val="20"/>
              </w:rPr>
            </w:pPr>
            <w:r w:rsidRPr="00CB259B">
              <w:rPr>
                <w:sz w:val="20"/>
                <w:szCs w:val="20"/>
              </w:rPr>
              <w:t>$0</w:t>
            </w:r>
          </w:p>
        </w:tc>
      </w:tr>
    </w:tbl>
    <w:p w:rsidR="00AB200B" w:rsidRDefault="00AB200B" w:rsidP="00C5143E">
      <w:pPr>
        <w:rPr>
          <w:sz w:val="20"/>
          <w:szCs w:val="20"/>
        </w:rPr>
      </w:pPr>
    </w:p>
    <w:p w:rsidR="00542A50" w:rsidRDefault="00542A50" w:rsidP="004E5892">
      <w:pPr>
        <w:jc w:val="left"/>
        <w:rPr>
          <w:i/>
        </w:rPr>
      </w:pPr>
    </w:p>
    <w:p w:rsidR="00542A50" w:rsidRDefault="00542A50" w:rsidP="004E5892">
      <w:pPr>
        <w:jc w:val="left"/>
        <w:rPr>
          <w:i/>
        </w:rPr>
      </w:pPr>
    </w:p>
    <w:p w:rsidR="008A0483" w:rsidRPr="004E5892" w:rsidRDefault="008A0483" w:rsidP="005A1169">
      <w:pPr>
        <w:pStyle w:val="Heading3"/>
      </w:pPr>
      <w:r>
        <w:t>Multiple reinstatement events</w:t>
      </w:r>
    </w:p>
    <w:p w:rsidR="008A0483" w:rsidRDefault="008A0483" w:rsidP="00295D52"/>
    <w:p w:rsidR="00295D52" w:rsidRDefault="00295D52" w:rsidP="00295D52">
      <w:r>
        <w:t xml:space="preserve">If more than one repayment trigger event occurs in a given year, the amount to be repaid will depend on what events have occurred.  For example, the loss of residence or liquidation of a company will trigger the repayment of all unrepaid amounts, regardless of whether a </w:t>
      </w:r>
      <w:r w:rsidR="0000163F">
        <w:t xml:space="preserve">share or asset </w:t>
      </w:r>
      <w:r>
        <w:t xml:space="preserve">sale event has </w:t>
      </w:r>
      <w:r w:rsidR="00C75965">
        <w:t xml:space="preserve">also </w:t>
      </w:r>
      <w:r>
        <w:t>occurred</w:t>
      </w:r>
      <w:r w:rsidR="00C75965">
        <w:t xml:space="preserve"> in the year</w:t>
      </w:r>
      <w:r>
        <w:t xml:space="preserve">.  If the company is sold in the same year that R&amp;D assets are sold, repayments in relation to both those events need to be paid, up to the total value of unrepaid </w:t>
      </w:r>
      <w:r w:rsidR="00C75965">
        <w:t xml:space="preserve">R&amp;D </w:t>
      </w:r>
      <w:r w:rsidR="002A7365">
        <w:t>loss tax credit</w:t>
      </w:r>
      <w:r>
        <w:t>s.</w:t>
      </w:r>
    </w:p>
    <w:p w:rsidR="008A0483" w:rsidRDefault="008A0483" w:rsidP="00295D52"/>
    <w:p w:rsidR="008A0483" w:rsidRPr="004E5892" w:rsidRDefault="008A0483" w:rsidP="00092DA0">
      <w:pPr>
        <w:pStyle w:val="Heading4"/>
      </w:pPr>
      <w:r>
        <w:lastRenderedPageBreak/>
        <w:t>Reinstatement of repaid losses</w:t>
      </w:r>
    </w:p>
    <w:p w:rsidR="008A0483" w:rsidRDefault="008A0483" w:rsidP="00295D52"/>
    <w:p w:rsidR="008A0483" w:rsidRDefault="008A0483" w:rsidP="008A0483">
      <w:r>
        <w:t>Any cashed out tax loss that is repaid</w:t>
      </w:r>
      <w:r w:rsidR="008A2A5F">
        <w:t xml:space="preserve"> </w:t>
      </w:r>
      <w:r w:rsidR="00EE6FFB">
        <w:t>with</w:t>
      </w:r>
      <w:r w:rsidR="008A2A5F">
        <w:t xml:space="preserve"> R&amp;D repayment tax</w:t>
      </w:r>
      <w:r>
        <w:t xml:space="preserve"> will be reinstated via a deduction under </w:t>
      </w:r>
      <w:r w:rsidR="00947804">
        <w:t>section</w:t>
      </w:r>
      <w:r>
        <w:t xml:space="preserve"> DV 26.  However, for simplicity, those deductions cannot be allocated to a future income year.</w:t>
      </w:r>
    </w:p>
    <w:p w:rsidR="00295D52" w:rsidRDefault="00295D52" w:rsidP="00092DA0"/>
    <w:p w:rsidR="005A1169" w:rsidRPr="00092DA0" w:rsidRDefault="005A1169" w:rsidP="00092DA0"/>
    <w:p w:rsidR="006073D4" w:rsidRPr="00F44F38" w:rsidRDefault="006073D4" w:rsidP="00E17C30">
      <w:pPr>
        <w:pStyle w:val="Heading2"/>
      </w:pPr>
      <w:r w:rsidRPr="00F44F38">
        <w:t>Imputation</w:t>
      </w:r>
    </w:p>
    <w:p w:rsidR="00B66E4B" w:rsidRPr="00F01512" w:rsidRDefault="00B66E4B" w:rsidP="00F44F38"/>
    <w:p w:rsidR="006073D4" w:rsidRPr="007218A3" w:rsidRDefault="007F28E5" w:rsidP="00F44F38">
      <w:pPr>
        <w:pStyle w:val="Heading3"/>
      </w:pPr>
      <w:r w:rsidRPr="007218A3">
        <w:t>Sections OB 47B, table O2: imputation debits row 20B</w:t>
      </w:r>
      <w:r w:rsidR="00B66E4B" w:rsidRPr="007218A3">
        <w:t xml:space="preserve"> and</w:t>
      </w:r>
      <w:r w:rsidRPr="007218A3">
        <w:t xml:space="preserve"> </w:t>
      </w:r>
      <w:r w:rsidR="00B66E4B" w:rsidRPr="007218A3">
        <w:t xml:space="preserve">section </w:t>
      </w:r>
      <w:r w:rsidRPr="007218A3">
        <w:t>YA 1 of the I</w:t>
      </w:r>
      <w:r w:rsidR="00CC4082" w:rsidRPr="007218A3">
        <w:t xml:space="preserve">ncome </w:t>
      </w:r>
      <w:r w:rsidRPr="007218A3">
        <w:t>T</w:t>
      </w:r>
      <w:r w:rsidR="00CC4082" w:rsidRPr="007218A3">
        <w:t xml:space="preserve">ax </w:t>
      </w:r>
      <w:r w:rsidRPr="007218A3">
        <w:t>A</w:t>
      </w:r>
      <w:r w:rsidR="00CC4082" w:rsidRPr="007218A3">
        <w:t>ct</w:t>
      </w:r>
      <w:r w:rsidRPr="007218A3">
        <w:t xml:space="preserve"> </w:t>
      </w:r>
      <w:r w:rsidR="00B66E4B" w:rsidRPr="007218A3">
        <w:t>2007</w:t>
      </w:r>
    </w:p>
    <w:p w:rsidR="007F28E5" w:rsidRDefault="007F28E5" w:rsidP="006073D4"/>
    <w:p w:rsidR="006073D4" w:rsidRDefault="006073D4" w:rsidP="006073D4">
      <w:r>
        <w:t>No credit balance will arise in an imputation credit accou</w:t>
      </w:r>
      <w:r w:rsidR="00712D6B">
        <w:t xml:space="preserve">nt of a company that has cashed </w:t>
      </w:r>
      <w:r>
        <w:t>out a loss until tha</w:t>
      </w:r>
      <w:r w:rsidR="00712D6B">
        <w:t xml:space="preserve">t company has repaid </w:t>
      </w:r>
      <w:r w:rsidR="008A2A5F">
        <w:t xml:space="preserve">all </w:t>
      </w:r>
      <w:r w:rsidR="00712D6B">
        <w:t>the cashed</w:t>
      </w:r>
      <w:r w:rsidR="009739D4">
        <w:t>-</w:t>
      </w:r>
      <w:r>
        <w:t>out amounts</w:t>
      </w:r>
      <w:r w:rsidR="00284A1A">
        <w:t xml:space="preserve"> (whether through normal payment of income tax or via R&amp;D repayment tax)</w:t>
      </w:r>
      <w:r>
        <w:t>.  This is to maintain neutrality with taxpayers who are not able to cash out losses.</w:t>
      </w:r>
      <w:r w:rsidR="00284A1A">
        <w:t xml:space="preserve">  However cashing out a tax loss will not put </w:t>
      </w:r>
      <w:r w:rsidR="00C75965">
        <w:t>a taxpayer’s</w:t>
      </w:r>
      <w:r w:rsidR="00284A1A">
        <w:t xml:space="preserve"> imputation credit account into a debit balance.</w:t>
      </w:r>
      <w:r>
        <w:t xml:space="preserve">  The rules are set out in section OB 47B of the </w:t>
      </w:r>
      <w:r w:rsidR="009739D4">
        <w:t>Income Tax Act 2007</w:t>
      </w:r>
      <w:r>
        <w:t>.</w:t>
      </w:r>
    </w:p>
    <w:p w:rsidR="00C4283B" w:rsidRPr="00092DA0" w:rsidRDefault="00C4283B">
      <w:pPr>
        <w:jc w:val="left"/>
        <w:rPr>
          <w:szCs w:val="24"/>
        </w:rPr>
      </w:pPr>
    </w:p>
    <w:p w:rsidR="006073D4" w:rsidRPr="00F01512" w:rsidRDefault="006073D4" w:rsidP="00CB259B">
      <w:pPr>
        <w:pBdr>
          <w:top w:val="single" w:sz="4" w:space="10" w:color="auto"/>
          <w:left w:val="single" w:sz="4" w:space="10" w:color="auto"/>
          <w:bottom w:val="single" w:sz="4" w:space="10" w:color="auto"/>
          <w:right w:val="single" w:sz="4" w:space="10" w:color="auto"/>
        </w:pBdr>
        <w:rPr>
          <w:b/>
          <w:sz w:val="20"/>
          <w:szCs w:val="20"/>
        </w:rPr>
      </w:pPr>
      <w:r w:rsidRPr="00F01512">
        <w:rPr>
          <w:b/>
          <w:sz w:val="20"/>
          <w:szCs w:val="20"/>
        </w:rPr>
        <w:t>Example</w:t>
      </w:r>
      <w:r w:rsidR="003E3A7C" w:rsidRPr="00F01512">
        <w:rPr>
          <w:b/>
          <w:sz w:val="20"/>
          <w:szCs w:val="20"/>
        </w:rPr>
        <w:t>:</w:t>
      </w:r>
      <w:r w:rsidR="004A6E49" w:rsidRPr="00F01512">
        <w:rPr>
          <w:b/>
          <w:sz w:val="20"/>
          <w:szCs w:val="20"/>
        </w:rPr>
        <w:t xml:space="preserve"> N</w:t>
      </w:r>
      <w:r w:rsidR="003E3A7C" w:rsidRPr="00F01512">
        <w:rPr>
          <w:b/>
          <w:sz w:val="20"/>
          <w:szCs w:val="20"/>
        </w:rPr>
        <w:t>o imputation credits arise until tax credit balance repaid</w:t>
      </w:r>
    </w:p>
    <w:p w:rsidR="004A6E49" w:rsidRPr="00092DA0" w:rsidRDefault="004A6E49" w:rsidP="00CB259B">
      <w:pPr>
        <w:pBdr>
          <w:top w:val="single" w:sz="4" w:space="10" w:color="auto"/>
          <w:left w:val="single" w:sz="4" w:space="10" w:color="auto"/>
          <w:bottom w:val="single" w:sz="4" w:space="10" w:color="auto"/>
          <w:right w:val="single" w:sz="4" w:space="10" w:color="auto"/>
        </w:pBdr>
        <w:rPr>
          <w:sz w:val="20"/>
          <w:szCs w:val="20"/>
        </w:rPr>
      </w:pPr>
    </w:p>
    <w:p w:rsidR="006073D4" w:rsidRPr="00CB259B" w:rsidRDefault="00284A1A" w:rsidP="00CB259B">
      <w:pPr>
        <w:pBdr>
          <w:top w:val="single" w:sz="4" w:space="10" w:color="auto"/>
          <w:left w:val="single" w:sz="4" w:space="10" w:color="auto"/>
          <w:bottom w:val="single" w:sz="4" w:space="10" w:color="auto"/>
          <w:right w:val="single" w:sz="4" w:space="10" w:color="auto"/>
        </w:pBdr>
        <w:rPr>
          <w:sz w:val="20"/>
          <w:szCs w:val="20"/>
        </w:rPr>
      </w:pPr>
      <w:r>
        <w:rPr>
          <w:sz w:val="20"/>
          <w:szCs w:val="20"/>
        </w:rPr>
        <w:t>R&amp;D Biotics’ imputation credit account has a zero balance at the beginning of the 2015</w:t>
      </w:r>
      <w:r w:rsidR="00831E1B">
        <w:rPr>
          <w:sz w:val="20"/>
          <w:szCs w:val="20"/>
        </w:rPr>
        <w:t>–</w:t>
      </w:r>
      <w:r>
        <w:rPr>
          <w:sz w:val="20"/>
          <w:szCs w:val="20"/>
        </w:rPr>
        <w:t xml:space="preserve">16 year.  </w:t>
      </w:r>
      <w:r w:rsidR="006073D4" w:rsidRPr="00F01512">
        <w:rPr>
          <w:sz w:val="20"/>
          <w:szCs w:val="20"/>
        </w:rPr>
        <w:t>R&amp;D Bio</w:t>
      </w:r>
      <w:r w:rsidR="00804579" w:rsidRPr="00F01512">
        <w:rPr>
          <w:sz w:val="20"/>
          <w:szCs w:val="20"/>
        </w:rPr>
        <w:t>tics cashes out losses of $1</w:t>
      </w:r>
      <w:r w:rsidR="00FE49D3" w:rsidRPr="00F01512">
        <w:rPr>
          <w:sz w:val="20"/>
          <w:szCs w:val="20"/>
        </w:rPr>
        <w:t>00,000 in the 2015</w:t>
      </w:r>
      <w:r w:rsidR="00A860D4" w:rsidRPr="00CB259B">
        <w:rPr>
          <w:sz w:val="20"/>
          <w:szCs w:val="20"/>
        </w:rPr>
        <w:t>–</w:t>
      </w:r>
      <w:r w:rsidR="00FE49D3" w:rsidRPr="00F01512">
        <w:rPr>
          <w:sz w:val="20"/>
          <w:szCs w:val="20"/>
        </w:rPr>
        <w:t>16 year and $12</w:t>
      </w:r>
      <w:r w:rsidR="00804579" w:rsidRPr="00F01512">
        <w:rPr>
          <w:sz w:val="20"/>
          <w:szCs w:val="20"/>
        </w:rPr>
        <w:t>5,000 in 2016</w:t>
      </w:r>
      <w:r w:rsidR="00A860D4" w:rsidRPr="00CB259B">
        <w:rPr>
          <w:sz w:val="20"/>
          <w:szCs w:val="20"/>
        </w:rPr>
        <w:t>–</w:t>
      </w:r>
      <w:r w:rsidR="00804579" w:rsidRPr="00F01512">
        <w:rPr>
          <w:sz w:val="20"/>
          <w:szCs w:val="20"/>
        </w:rPr>
        <w:t>17</w:t>
      </w:r>
      <w:r w:rsidR="00A860D4" w:rsidRPr="00CB259B">
        <w:rPr>
          <w:sz w:val="20"/>
          <w:szCs w:val="20"/>
        </w:rPr>
        <w:t>,</w:t>
      </w:r>
      <w:r w:rsidR="00804579" w:rsidRPr="00F01512">
        <w:rPr>
          <w:sz w:val="20"/>
          <w:szCs w:val="20"/>
        </w:rPr>
        <w:t xml:space="preserve"> receiving tax credits of $</w:t>
      </w:r>
      <w:r w:rsidR="00FE49D3" w:rsidRPr="00F01512">
        <w:rPr>
          <w:sz w:val="20"/>
          <w:szCs w:val="20"/>
        </w:rPr>
        <w:t>28</w:t>
      </w:r>
      <w:r w:rsidR="00804579" w:rsidRPr="00F01512">
        <w:rPr>
          <w:sz w:val="20"/>
          <w:szCs w:val="20"/>
        </w:rPr>
        <w:t>,000 and $</w:t>
      </w:r>
      <w:r w:rsidR="00FE49D3" w:rsidRPr="00F01512">
        <w:rPr>
          <w:sz w:val="20"/>
          <w:szCs w:val="20"/>
        </w:rPr>
        <w:t>35</w:t>
      </w:r>
      <w:r w:rsidR="00804579" w:rsidRPr="00F01512">
        <w:rPr>
          <w:sz w:val="20"/>
          <w:szCs w:val="20"/>
        </w:rPr>
        <w:t>,000 respectively</w:t>
      </w:r>
      <w:r w:rsidR="00B67176">
        <w:rPr>
          <w:sz w:val="20"/>
          <w:szCs w:val="20"/>
        </w:rPr>
        <w:t>.  R</w:t>
      </w:r>
      <w:r>
        <w:rPr>
          <w:sz w:val="20"/>
          <w:szCs w:val="20"/>
        </w:rPr>
        <w:t xml:space="preserve">&amp;D </w:t>
      </w:r>
      <w:proofErr w:type="spellStart"/>
      <w:r>
        <w:rPr>
          <w:sz w:val="20"/>
          <w:szCs w:val="20"/>
        </w:rPr>
        <w:t>Biotics</w:t>
      </w:r>
      <w:proofErr w:type="spellEnd"/>
      <w:r>
        <w:rPr>
          <w:sz w:val="20"/>
          <w:szCs w:val="20"/>
        </w:rPr>
        <w:t xml:space="preserve"> pays no tax for these years.</w:t>
      </w:r>
      <w:r w:rsidR="00D3125E" w:rsidRPr="00CB259B">
        <w:rPr>
          <w:sz w:val="20"/>
          <w:szCs w:val="20"/>
        </w:rPr>
        <w:t xml:space="preserve"> </w:t>
      </w:r>
      <w:r w:rsidR="00804579" w:rsidRPr="00F01512">
        <w:rPr>
          <w:sz w:val="20"/>
          <w:szCs w:val="20"/>
        </w:rPr>
        <w:t xml:space="preserve"> R&amp;D Biotics pays income tax of $</w:t>
      </w:r>
      <w:r w:rsidR="00FE49D3" w:rsidRPr="00F01512">
        <w:rPr>
          <w:sz w:val="20"/>
          <w:szCs w:val="20"/>
        </w:rPr>
        <w:t>22,4</w:t>
      </w:r>
      <w:r w:rsidR="00804579" w:rsidRPr="00F01512">
        <w:rPr>
          <w:sz w:val="20"/>
          <w:szCs w:val="20"/>
        </w:rPr>
        <w:t>00 in 2017</w:t>
      </w:r>
      <w:r w:rsidR="00D3125E" w:rsidRPr="00CB259B">
        <w:rPr>
          <w:sz w:val="20"/>
          <w:szCs w:val="20"/>
        </w:rPr>
        <w:t>–</w:t>
      </w:r>
      <w:r w:rsidR="00804579" w:rsidRPr="00F01512">
        <w:rPr>
          <w:sz w:val="20"/>
          <w:szCs w:val="20"/>
        </w:rPr>
        <w:t>18 and $</w:t>
      </w:r>
      <w:r w:rsidR="00FE49D3" w:rsidRPr="00F01512">
        <w:rPr>
          <w:sz w:val="20"/>
          <w:szCs w:val="20"/>
        </w:rPr>
        <w:t>35,000</w:t>
      </w:r>
      <w:r w:rsidR="00804579" w:rsidRPr="00F01512">
        <w:rPr>
          <w:sz w:val="20"/>
          <w:szCs w:val="20"/>
        </w:rPr>
        <w:t xml:space="preserve"> in 2018</w:t>
      </w:r>
      <w:r w:rsidR="00D3125E" w:rsidRPr="00CB259B">
        <w:rPr>
          <w:sz w:val="20"/>
          <w:szCs w:val="20"/>
        </w:rPr>
        <w:t>–</w:t>
      </w:r>
      <w:r w:rsidR="00804579" w:rsidRPr="00F01512">
        <w:rPr>
          <w:sz w:val="20"/>
          <w:szCs w:val="20"/>
        </w:rPr>
        <w:t xml:space="preserve">19. </w:t>
      </w:r>
      <w:r w:rsidR="00D3125E" w:rsidRPr="00CB259B">
        <w:rPr>
          <w:sz w:val="20"/>
          <w:szCs w:val="20"/>
        </w:rPr>
        <w:t xml:space="preserve"> </w:t>
      </w:r>
      <w:r w:rsidR="00804579" w:rsidRPr="00F01512">
        <w:rPr>
          <w:sz w:val="20"/>
          <w:szCs w:val="20"/>
        </w:rPr>
        <w:t>R&amp;D Biotics</w:t>
      </w:r>
      <w:r w:rsidR="006073D4" w:rsidRPr="00F01512">
        <w:rPr>
          <w:sz w:val="20"/>
          <w:szCs w:val="20"/>
        </w:rPr>
        <w:t xml:space="preserve"> will not have a credit balance</w:t>
      </w:r>
      <w:r>
        <w:rPr>
          <w:sz w:val="20"/>
          <w:szCs w:val="20"/>
        </w:rPr>
        <w:t xml:space="preserve"> (or a debit balance)</w:t>
      </w:r>
      <w:r w:rsidR="006073D4" w:rsidRPr="00F01512">
        <w:rPr>
          <w:sz w:val="20"/>
          <w:szCs w:val="20"/>
        </w:rPr>
        <w:t xml:space="preserve"> in its imputation credit account for </w:t>
      </w:r>
      <w:r>
        <w:rPr>
          <w:sz w:val="20"/>
          <w:szCs w:val="20"/>
        </w:rPr>
        <w:t>any of income years from 2015</w:t>
      </w:r>
      <w:r w:rsidR="00831E1B">
        <w:rPr>
          <w:sz w:val="20"/>
          <w:szCs w:val="20"/>
        </w:rPr>
        <w:t>–</w:t>
      </w:r>
      <w:r>
        <w:rPr>
          <w:sz w:val="20"/>
          <w:szCs w:val="20"/>
        </w:rPr>
        <w:t xml:space="preserve">16 </w:t>
      </w:r>
      <w:r w:rsidRPr="00F01512">
        <w:rPr>
          <w:sz w:val="20"/>
          <w:szCs w:val="20"/>
        </w:rPr>
        <w:t xml:space="preserve"> </w:t>
      </w:r>
      <w:r>
        <w:rPr>
          <w:sz w:val="20"/>
          <w:szCs w:val="20"/>
        </w:rPr>
        <w:t>to</w:t>
      </w:r>
      <w:r w:rsidR="006073D4" w:rsidRPr="00F01512">
        <w:rPr>
          <w:sz w:val="20"/>
          <w:szCs w:val="20"/>
        </w:rPr>
        <w:t xml:space="preserve"> 2018–19</w:t>
      </w:r>
      <w:r w:rsidR="00EE6FFB">
        <w:rPr>
          <w:sz w:val="20"/>
          <w:szCs w:val="20"/>
        </w:rPr>
        <w:t xml:space="preserve"> inclusive</w:t>
      </w:r>
      <w:r>
        <w:rPr>
          <w:sz w:val="20"/>
          <w:szCs w:val="20"/>
        </w:rPr>
        <w:t xml:space="preserve">, </w:t>
      </w:r>
      <w:r w:rsidR="006073D4" w:rsidRPr="00F01512">
        <w:rPr>
          <w:sz w:val="20"/>
          <w:szCs w:val="20"/>
        </w:rPr>
        <w:t xml:space="preserve"> </w:t>
      </w:r>
      <w:r>
        <w:rPr>
          <w:sz w:val="20"/>
          <w:szCs w:val="20"/>
        </w:rPr>
        <w:t xml:space="preserve">This is because </w:t>
      </w:r>
      <w:r w:rsidR="00804579" w:rsidRPr="00F01512">
        <w:rPr>
          <w:sz w:val="20"/>
          <w:szCs w:val="20"/>
        </w:rPr>
        <w:t>the amount cashed</w:t>
      </w:r>
      <w:r w:rsidR="00D3125E" w:rsidRPr="00CB259B">
        <w:rPr>
          <w:sz w:val="20"/>
          <w:szCs w:val="20"/>
        </w:rPr>
        <w:t xml:space="preserve"> </w:t>
      </w:r>
      <w:r w:rsidR="00804579" w:rsidRPr="00F01512">
        <w:rPr>
          <w:sz w:val="20"/>
          <w:szCs w:val="20"/>
        </w:rPr>
        <w:t xml:space="preserve">out has not been </w:t>
      </w:r>
      <w:r w:rsidR="008A2A5F">
        <w:rPr>
          <w:sz w:val="20"/>
          <w:szCs w:val="20"/>
        </w:rPr>
        <w:t xml:space="preserve">fully </w:t>
      </w:r>
      <w:r w:rsidR="00804579" w:rsidRPr="00F01512">
        <w:rPr>
          <w:sz w:val="20"/>
          <w:szCs w:val="20"/>
        </w:rPr>
        <w:t>repaid</w:t>
      </w:r>
      <w:r>
        <w:rPr>
          <w:sz w:val="20"/>
          <w:szCs w:val="20"/>
        </w:rPr>
        <w:t xml:space="preserve"> by the end of the 2018</w:t>
      </w:r>
      <w:r w:rsidR="00831E1B">
        <w:rPr>
          <w:sz w:val="20"/>
          <w:szCs w:val="20"/>
        </w:rPr>
        <w:t>–</w:t>
      </w:r>
      <w:r>
        <w:rPr>
          <w:sz w:val="20"/>
          <w:szCs w:val="20"/>
        </w:rPr>
        <w:t>19 income year</w:t>
      </w:r>
      <w:r w:rsidR="00827787" w:rsidRPr="00F01512">
        <w:rPr>
          <w:sz w:val="20"/>
          <w:szCs w:val="20"/>
        </w:rPr>
        <w:t>, with a balance of $5,600 remaining</w:t>
      </w:r>
      <w:r w:rsidR="006073D4" w:rsidRPr="00F01512">
        <w:rPr>
          <w:sz w:val="20"/>
          <w:szCs w:val="20"/>
        </w:rPr>
        <w:t xml:space="preserve">.  </w:t>
      </w:r>
      <w:r w:rsidR="00A35AC4">
        <w:rPr>
          <w:sz w:val="20"/>
          <w:szCs w:val="20"/>
        </w:rPr>
        <w:t xml:space="preserve">R&amp;D Biotics earns $150,000 in the 2019–20 income year and pays tax of $42,000.  </w:t>
      </w:r>
      <w:r w:rsidR="006073D4" w:rsidRPr="00F01512">
        <w:rPr>
          <w:sz w:val="20"/>
          <w:szCs w:val="20"/>
        </w:rPr>
        <w:t xml:space="preserve">It will </w:t>
      </w:r>
      <w:r w:rsidR="00A35AC4">
        <w:rPr>
          <w:sz w:val="20"/>
          <w:szCs w:val="20"/>
        </w:rPr>
        <w:t xml:space="preserve">therefore </w:t>
      </w:r>
      <w:r w:rsidR="006073D4" w:rsidRPr="00F01512">
        <w:rPr>
          <w:sz w:val="20"/>
          <w:szCs w:val="20"/>
        </w:rPr>
        <w:t>have a credit balance of $36,400 for income tax pa</w:t>
      </w:r>
      <w:r w:rsidR="00712D6B" w:rsidRPr="00F01512">
        <w:rPr>
          <w:sz w:val="20"/>
          <w:szCs w:val="20"/>
        </w:rPr>
        <w:t>id for the 2019–20 income year (</w:t>
      </w:r>
      <w:r w:rsidR="006073D4" w:rsidRPr="00F01512">
        <w:rPr>
          <w:sz w:val="20"/>
          <w:szCs w:val="20"/>
        </w:rPr>
        <w:t xml:space="preserve">income tax of $42,000 </w:t>
      </w:r>
      <w:r w:rsidR="00D3125E" w:rsidRPr="00CB259B">
        <w:rPr>
          <w:sz w:val="20"/>
          <w:szCs w:val="20"/>
        </w:rPr>
        <w:t xml:space="preserve">– </w:t>
      </w:r>
      <w:r w:rsidR="006073D4" w:rsidRPr="00F01512">
        <w:rPr>
          <w:sz w:val="20"/>
          <w:szCs w:val="20"/>
        </w:rPr>
        <w:t>loss cash-out balance of $5,600).</w:t>
      </w:r>
    </w:p>
    <w:p w:rsidR="006073D4" w:rsidRDefault="006073D4" w:rsidP="006073D4"/>
    <w:p w:rsidR="006073D4" w:rsidRDefault="006073D4" w:rsidP="006073D4"/>
    <w:p w:rsidR="006073D4" w:rsidRDefault="009C68F1" w:rsidP="00E17C30">
      <w:pPr>
        <w:pStyle w:val="Heading2"/>
      </w:pPr>
      <w:r w:rsidRPr="000753F5">
        <w:t>Administration</w:t>
      </w:r>
    </w:p>
    <w:p w:rsidR="00B66E4B" w:rsidRPr="00F44F38" w:rsidRDefault="00B66E4B" w:rsidP="00F44F38"/>
    <w:p w:rsidR="009C68F1" w:rsidRPr="007218A3" w:rsidRDefault="009C68F1" w:rsidP="00F44F38">
      <w:pPr>
        <w:pStyle w:val="Heading3"/>
      </w:pPr>
      <w:r w:rsidRPr="007218A3">
        <w:t>Sections LA 7, LB 4B, MA 1, MF 6 and RM 10 of the I</w:t>
      </w:r>
      <w:r w:rsidR="000753F5" w:rsidRPr="007218A3">
        <w:t xml:space="preserve">ncome </w:t>
      </w:r>
      <w:r w:rsidRPr="007218A3">
        <w:t>T</w:t>
      </w:r>
      <w:r w:rsidR="000753F5" w:rsidRPr="007218A3">
        <w:t xml:space="preserve">ax </w:t>
      </w:r>
      <w:r w:rsidRPr="007218A3">
        <w:t>A</w:t>
      </w:r>
      <w:r w:rsidR="000753F5" w:rsidRPr="007218A3">
        <w:t>ct</w:t>
      </w:r>
      <w:r w:rsidR="007165ED">
        <w:t xml:space="preserve"> 2007</w:t>
      </w:r>
      <w:r w:rsidRPr="007218A3">
        <w:t>; sections 70C, 81(4)(v) and (w), and 97C of the T</w:t>
      </w:r>
      <w:r w:rsidR="00821E5E" w:rsidRPr="007218A3">
        <w:t xml:space="preserve">ax </w:t>
      </w:r>
      <w:r w:rsidRPr="007218A3">
        <w:t>A</w:t>
      </w:r>
      <w:r w:rsidR="00821E5E" w:rsidRPr="007218A3">
        <w:t xml:space="preserve">dministration </w:t>
      </w:r>
      <w:r w:rsidRPr="007218A3">
        <w:t>A</w:t>
      </w:r>
      <w:r w:rsidR="00821E5E" w:rsidRPr="007218A3">
        <w:t>ct 1994</w:t>
      </w:r>
    </w:p>
    <w:p w:rsidR="00C73D24" w:rsidRDefault="00C73D24" w:rsidP="006073D4"/>
    <w:p w:rsidR="006073D4" w:rsidRDefault="006073D4" w:rsidP="006073D4">
      <w:r>
        <w:t xml:space="preserve">Companies will need to apply to cash out their tax losses.  Applications will need to be made </w:t>
      </w:r>
      <w:r w:rsidR="002D5E30">
        <w:t xml:space="preserve">by the </w:t>
      </w:r>
      <w:r>
        <w:t>time</w:t>
      </w:r>
      <w:r w:rsidR="002D5E30">
        <w:t xml:space="preserve"> the</w:t>
      </w:r>
      <w:r>
        <w:t xml:space="preserve"> </w:t>
      </w:r>
      <w:r w:rsidR="002D5E30">
        <w:t xml:space="preserve">company </w:t>
      </w:r>
      <w:r>
        <w:t>file</w:t>
      </w:r>
      <w:r w:rsidR="002D5E30">
        <w:t>s</w:t>
      </w:r>
      <w:r>
        <w:t xml:space="preserve"> the corresponding income tax return.  </w:t>
      </w:r>
      <w:r w:rsidR="002D5E30">
        <w:t>While</w:t>
      </w:r>
      <w:r>
        <w:t xml:space="preserve"> the application will need to be in electronic form</w:t>
      </w:r>
      <w:r w:rsidR="002D5E30">
        <w:t>, the income tax return does not have to be filed electronically</w:t>
      </w:r>
      <w:r>
        <w:t>.</w:t>
      </w:r>
      <w:r w:rsidR="00474879">
        <w:t xml:space="preserve">  A company with R&amp;D repayment tax to pay must include the amount in any application</w:t>
      </w:r>
      <w:r w:rsidR="008A2A5F">
        <w:t xml:space="preserve"> to cash out their tax losses</w:t>
      </w:r>
      <w:r w:rsidR="00474879">
        <w:t xml:space="preserve"> they file for the year, or file a separate statement if there is no such application.</w:t>
      </w:r>
    </w:p>
    <w:p w:rsidR="006073D4" w:rsidRDefault="006073D4" w:rsidP="006073D4"/>
    <w:p w:rsidR="006073D4" w:rsidRDefault="006073D4" w:rsidP="006073D4">
      <w:r>
        <w:t>Like</w:t>
      </w:r>
      <w:r w:rsidR="00213E61">
        <w:t xml:space="preserve"> </w:t>
      </w:r>
      <w:r>
        <w:t xml:space="preserve">other tax credits, </w:t>
      </w:r>
      <w:r w:rsidR="00890C4D">
        <w:t xml:space="preserve">R&amp;D </w:t>
      </w:r>
      <w:r w:rsidR="002A7365">
        <w:t>loss tax credit</w:t>
      </w:r>
      <w:r w:rsidR="00890C4D">
        <w:t>s</w:t>
      </w:r>
      <w:r>
        <w:t xml:space="preserve"> may be </w:t>
      </w:r>
      <w:r w:rsidR="00213E61">
        <w:t>used to satisfy an existing tax liability of</w:t>
      </w:r>
      <w:r>
        <w:t xml:space="preserve"> the company.</w:t>
      </w:r>
    </w:p>
    <w:p w:rsidR="002D5E30" w:rsidRDefault="002D5E30" w:rsidP="006073D4"/>
    <w:p w:rsidR="00C73D24" w:rsidRDefault="00C73D24" w:rsidP="002D5E30">
      <w:r>
        <w:t xml:space="preserve">Exceptions have been added to the secrecy rules to allow Callaghan Innovation and the </w:t>
      </w:r>
      <w:r w:rsidRPr="002D5E30">
        <w:t>M</w:t>
      </w:r>
      <w:r>
        <w:t xml:space="preserve">inistry of </w:t>
      </w:r>
      <w:r w:rsidRPr="002D5E30">
        <w:t>B</w:t>
      </w:r>
      <w:r>
        <w:t xml:space="preserve">usiness, </w:t>
      </w:r>
      <w:r w:rsidRPr="002D5E30">
        <w:t>I</w:t>
      </w:r>
      <w:r>
        <w:t xml:space="preserve">nnovation and </w:t>
      </w:r>
      <w:r w:rsidRPr="002D5E30">
        <w:t>E</w:t>
      </w:r>
      <w:r>
        <w:t xml:space="preserve">mployment to support Inland Revenue in the administration of the </w:t>
      </w:r>
      <w:r w:rsidR="002A7365">
        <w:t>R&amp;D</w:t>
      </w:r>
      <w:r w:rsidR="0099519A">
        <w:t xml:space="preserve"> loss </w:t>
      </w:r>
      <w:r w:rsidR="002A7365">
        <w:t xml:space="preserve">tax </w:t>
      </w:r>
      <w:r w:rsidR="0099519A">
        <w:t>credit</w:t>
      </w:r>
      <w:r w:rsidR="0055346B">
        <w:t>s</w:t>
      </w:r>
      <w:r>
        <w:t xml:space="preserve">. </w:t>
      </w:r>
      <w:r w:rsidR="00A7728E">
        <w:t xml:space="preserve"> </w:t>
      </w:r>
      <w:r>
        <w:t xml:space="preserve">This will permit information-sharing between </w:t>
      </w:r>
      <w:r>
        <w:lastRenderedPageBreak/>
        <w:t xml:space="preserve">Inland Revenue and Callaghan Innovation to help Callaghan Innovation assist Inland Revenue in making decisions on the R&amp;D eligibility for difficult applications. </w:t>
      </w:r>
      <w:r w:rsidR="00A7728E">
        <w:t xml:space="preserve"> </w:t>
      </w:r>
      <w:r>
        <w:t xml:space="preserve">The </w:t>
      </w:r>
      <w:r w:rsidRPr="002D5E30">
        <w:t>M</w:t>
      </w:r>
      <w:r>
        <w:t xml:space="preserve">inistry of </w:t>
      </w:r>
      <w:r w:rsidRPr="002D5E30">
        <w:t>B</w:t>
      </w:r>
      <w:r>
        <w:t xml:space="preserve">usiness, </w:t>
      </w:r>
      <w:r w:rsidRPr="002D5E30">
        <w:t>I</w:t>
      </w:r>
      <w:r>
        <w:t xml:space="preserve">nnovation and </w:t>
      </w:r>
      <w:r w:rsidRPr="002D5E30">
        <w:t>E</w:t>
      </w:r>
      <w:r>
        <w:t>mployment will</w:t>
      </w:r>
      <w:r w:rsidR="00474879">
        <w:t xml:space="preserve"> also</w:t>
      </w:r>
      <w:r>
        <w:t xml:space="preserve"> provide ICT</w:t>
      </w:r>
      <w:r w:rsidR="00474879">
        <w:t xml:space="preserve"> </w:t>
      </w:r>
      <w:r>
        <w:t>and policy support to Inland Revenue.</w:t>
      </w:r>
    </w:p>
    <w:p w:rsidR="00781799" w:rsidRDefault="00781799" w:rsidP="00092DA0"/>
    <w:p w:rsidR="00660389" w:rsidRPr="00092DA0" w:rsidRDefault="00660389" w:rsidP="00092DA0"/>
    <w:p w:rsidR="006073D4" w:rsidRDefault="006073D4" w:rsidP="00E17C30">
      <w:pPr>
        <w:pStyle w:val="Heading2"/>
      </w:pPr>
      <w:r w:rsidRPr="000753F5">
        <w:t>Consequential amendments</w:t>
      </w:r>
    </w:p>
    <w:p w:rsidR="00B66E4B" w:rsidRPr="00F44F38" w:rsidRDefault="00B66E4B" w:rsidP="00F44F38"/>
    <w:p w:rsidR="006073D4" w:rsidRPr="007218A3" w:rsidRDefault="009C68F1" w:rsidP="00F44F38">
      <w:pPr>
        <w:pStyle w:val="Heading3"/>
      </w:pPr>
      <w:r w:rsidRPr="007218A3">
        <w:t xml:space="preserve">Section DF </w:t>
      </w:r>
      <w:r w:rsidR="000753F5" w:rsidRPr="007218A3">
        <w:t>1</w:t>
      </w:r>
      <w:r w:rsidRPr="007218A3">
        <w:t>(1BA</w:t>
      </w:r>
      <w:r w:rsidR="006073D4" w:rsidRPr="007218A3">
        <w:t>)</w:t>
      </w:r>
      <w:r w:rsidRPr="007218A3">
        <w:t xml:space="preserve"> of the I</w:t>
      </w:r>
      <w:r w:rsidR="000753F5" w:rsidRPr="007218A3">
        <w:t xml:space="preserve">ncome </w:t>
      </w:r>
      <w:r w:rsidRPr="007218A3">
        <w:t>T</w:t>
      </w:r>
      <w:r w:rsidR="000753F5" w:rsidRPr="007218A3">
        <w:t xml:space="preserve">ax </w:t>
      </w:r>
      <w:r w:rsidRPr="007218A3">
        <w:t>A</w:t>
      </w:r>
      <w:r w:rsidR="000753F5" w:rsidRPr="007218A3">
        <w:t>ct</w:t>
      </w:r>
      <w:r w:rsidRPr="007218A3">
        <w:t xml:space="preserve"> </w:t>
      </w:r>
      <w:r w:rsidR="00B66E4B" w:rsidRPr="007218A3">
        <w:t xml:space="preserve">2007 </w:t>
      </w:r>
      <w:r w:rsidRPr="007218A3">
        <w:t xml:space="preserve">and the </w:t>
      </w:r>
      <w:r w:rsidR="000753F5" w:rsidRPr="007218A3">
        <w:t>Goods and Services Tax (Grants and Subsidies) Order 1992</w:t>
      </w:r>
    </w:p>
    <w:p w:rsidR="006073D4" w:rsidRDefault="006073D4" w:rsidP="006073D4"/>
    <w:p w:rsidR="00474879" w:rsidRDefault="006073D4" w:rsidP="006073D4">
      <w:r>
        <w:t xml:space="preserve">Consequential amendments </w:t>
      </w:r>
      <w:r w:rsidR="00B66E4B">
        <w:t>have been</w:t>
      </w:r>
      <w:r>
        <w:t xml:space="preserve"> made in section DF </w:t>
      </w:r>
      <w:r w:rsidR="000753F5">
        <w:t>1</w:t>
      </w:r>
      <w:r>
        <w:t xml:space="preserve">(1BA) of the </w:t>
      </w:r>
      <w:r w:rsidR="00B66E4B">
        <w:t>Income Tax Act 2007</w:t>
      </w:r>
      <w:r>
        <w:t xml:space="preserve"> and to </w:t>
      </w:r>
      <w:r w:rsidR="008A2A5F">
        <w:t xml:space="preserve">the </w:t>
      </w:r>
      <w:r w:rsidR="008A2A5F" w:rsidRPr="007218A3">
        <w:t>Goods and Services Tax (Grants and Subsidies) Order 1992</w:t>
      </w:r>
      <w:r>
        <w:t>.</w:t>
      </w:r>
      <w:r w:rsidR="00474879">
        <w:t xml:space="preserve">  This is to ensure that:</w:t>
      </w:r>
    </w:p>
    <w:p w:rsidR="00474879" w:rsidRDefault="00474879" w:rsidP="006073D4"/>
    <w:p w:rsidR="006073D4" w:rsidRDefault="00474879" w:rsidP="00092DA0">
      <w:pPr>
        <w:pStyle w:val="Bullets"/>
      </w:pPr>
      <w:r>
        <w:t xml:space="preserve">the bar on deductions </w:t>
      </w:r>
      <w:r w:rsidR="0063572B">
        <w:t>in relation to</w:t>
      </w:r>
      <w:r>
        <w:t xml:space="preserve"> Government grants does not apply </w:t>
      </w:r>
      <w:r w:rsidR="005B0844">
        <w:t>for</w:t>
      </w:r>
      <w:r>
        <w:t xml:space="preserve"> cashed out losses</w:t>
      </w:r>
      <w:r w:rsidR="005B0844">
        <w:t>; and</w:t>
      </w:r>
    </w:p>
    <w:p w:rsidR="005B0844" w:rsidRDefault="005B0844" w:rsidP="00092DA0">
      <w:pPr>
        <w:pStyle w:val="Bullets"/>
      </w:pPr>
      <w:r>
        <w:t>the cashed out loss is not subject to GST.</w:t>
      </w:r>
      <w:bookmarkEnd w:id="4"/>
    </w:p>
    <w:sectPr w:rsidR="005B0844">
      <w:footerReference w:type="default" r:id="rId10"/>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34">
      <wne:acd wne:acdName="acd4"/>
    </wne:keymap>
    <wne:keymap wne:kcmPrimary="02BE">
      <wne:acd wne:acdName="acd1"/>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D6" w:rsidRDefault="00785ED6" w:rsidP="00855AF4">
      <w:r>
        <w:separator/>
      </w:r>
    </w:p>
  </w:endnote>
  <w:endnote w:type="continuationSeparator" w:id="0">
    <w:p w:rsidR="00785ED6" w:rsidRDefault="00785ED6" w:rsidP="0085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6" w:rsidRDefault="00785ED6" w:rsidP="00515963">
    <w:pPr>
      <w:pStyle w:val="Footer"/>
      <w:jc w:val="center"/>
      <w:rPr>
        <w:noProof/>
      </w:rPr>
    </w:pPr>
    <w:r>
      <w:fldChar w:fldCharType="begin"/>
    </w:r>
    <w:r>
      <w:instrText xml:space="preserve"> PAGE   \* MERGEFORMAT </w:instrText>
    </w:r>
    <w:r>
      <w:fldChar w:fldCharType="separate"/>
    </w:r>
    <w:r w:rsidR="0062799A">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D6" w:rsidRDefault="00785ED6" w:rsidP="00855AF4">
      <w:r>
        <w:separator/>
      </w:r>
    </w:p>
  </w:footnote>
  <w:footnote w:type="continuationSeparator" w:id="0">
    <w:p w:rsidR="00785ED6" w:rsidRDefault="00785ED6" w:rsidP="0085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CB1"/>
    <w:multiLevelType w:val="hybridMultilevel"/>
    <w:tmpl w:val="903019D2"/>
    <w:lvl w:ilvl="0" w:tplc="0D84026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1B5FD6"/>
    <w:multiLevelType w:val="hybridMultilevel"/>
    <w:tmpl w:val="36C0C664"/>
    <w:lvl w:ilvl="0" w:tplc="826C131C">
      <w:start w:val="1"/>
      <w:numFmt w:val="bullet"/>
      <w:pStyle w:val="ListBulletOCTC"/>
      <w:lvlText w:val=""/>
      <w:lvlJc w:val="left"/>
      <w:pPr>
        <w:tabs>
          <w:tab w:val="num" w:pos="596"/>
        </w:tabs>
        <w:ind w:left="596" w:hanging="170"/>
      </w:pPr>
      <w:rPr>
        <w:rFonts w:ascii="Symbol" w:hAnsi="Symbol" w:hint="default"/>
        <w:color w:val="auto"/>
      </w:rPr>
    </w:lvl>
    <w:lvl w:ilvl="1" w:tplc="E5AECBA6">
      <w:start w:val="1"/>
      <w:numFmt w:val="bullet"/>
      <w:lvlText w:val=""/>
      <w:lvlJc w:val="left"/>
      <w:pPr>
        <w:tabs>
          <w:tab w:val="num" w:pos="1305"/>
        </w:tabs>
        <w:ind w:left="1305" w:hanging="170"/>
      </w:pPr>
      <w:rPr>
        <w:rFonts w:ascii="Symbol" w:hAnsi="Symbol" w:hint="default"/>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072E222F"/>
    <w:multiLevelType w:val="hybridMultilevel"/>
    <w:tmpl w:val="1CF2EB30"/>
    <w:lvl w:ilvl="0" w:tplc="9C748F8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3">
    <w:nsid w:val="07B00A5E"/>
    <w:multiLevelType w:val="hybridMultilevel"/>
    <w:tmpl w:val="DCFEBB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08D1669E"/>
    <w:multiLevelType w:val="hybridMultilevel"/>
    <w:tmpl w:val="301E7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AAE5D24"/>
    <w:multiLevelType w:val="hybridMultilevel"/>
    <w:tmpl w:val="30AEFE22"/>
    <w:lvl w:ilvl="0" w:tplc="1872313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D961E6"/>
    <w:multiLevelType w:val="hybridMultilevel"/>
    <w:tmpl w:val="89B8DFF4"/>
    <w:lvl w:ilvl="0" w:tplc="4770092E">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E16468"/>
    <w:multiLevelType w:val="hybridMultilevel"/>
    <w:tmpl w:val="696A7B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3182C5F"/>
    <w:multiLevelType w:val="hybridMultilevel"/>
    <w:tmpl w:val="CD70DAD4"/>
    <w:lvl w:ilvl="0" w:tplc="81F893F4">
      <w:start w:val="1"/>
      <w:numFmt w:val="bullet"/>
      <w:lvlText w:val="­"/>
      <w:lvlJc w:val="left"/>
      <w:pPr>
        <w:ind w:left="4122" w:hanging="360"/>
      </w:pPr>
      <w:rPr>
        <w:rFonts w:ascii="Courier New" w:hAnsi="Courier New" w:hint="default"/>
      </w:rPr>
    </w:lvl>
    <w:lvl w:ilvl="1" w:tplc="14090003" w:tentative="1">
      <w:start w:val="1"/>
      <w:numFmt w:val="bullet"/>
      <w:lvlText w:val="o"/>
      <w:lvlJc w:val="left"/>
      <w:pPr>
        <w:ind w:left="4842" w:hanging="360"/>
      </w:pPr>
      <w:rPr>
        <w:rFonts w:ascii="Courier New" w:hAnsi="Courier New" w:cs="Courier New" w:hint="default"/>
      </w:rPr>
    </w:lvl>
    <w:lvl w:ilvl="2" w:tplc="14090005" w:tentative="1">
      <w:start w:val="1"/>
      <w:numFmt w:val="bullet"/>
      <w:lvlText w:val=""/>
      <w:lvlJc w:val="left"/>
      <w:pPr>
        <w:ind w:left="5562" w:hanging="360"/>
      </w:pPr>
      <w:rPr>
        <w:rFonts w:ascii="Wingdings" w:hAnsi="Wingdings" w:hint="default"/>
      </w:rPr>
    </w:lvl>
    <w:lvl w:ilvl="3" w:tplc="14090001" w:tentative="1">
      <w:start w:val="1"/>
      <w:numFmt w:val="bullet"/>
      <w:lvlText w:val=""/>
      <w:lvlJc w:val="left"/>
      <w:pPr>
        <w:ind w:left="6282" w:hanging="360"/>
      </w:pPr>
      <w:rPr>
        <w:rFonts w:ascii="Symbol" w:hAnsi="Symbol" w:hint="default"/>
      </w:rPr>
    </w:lvl>
    <w:lvl w:ilvl="4" w:tplc="14090003" w:tentative="1">
      <w:start w:val="1"/>
      <w:numFmt w:val="bullet"/>
      <w:lvlText w:val="o"/>
      <w:lvlJc w:val="left"/>
      <w:pPr>
        <w:ind w:left="7002" w:hanging="360"/>
      </w:pPr>
      <w:rPr>
        <w:rFonts w:ascii="Courier New" w:hAnsi="Courier New" w:cs="Courier New" w:hint="default"/>
      </w:rPr>
    </w:lvl>
    <w:lvl w:ilvl="5" w:tplc="14090005" w:tentative="1">
      <w:start w:val="1"/>
      <w:numFmt w:val="bullet"/>
      <w:lvlText w:val=""/>
      <w:lvlJc w:val="left"/>
      <w:pPr>
        <w:ind w:left="7722" w:hanging="360"/>
      </w:pPr>
      <w:rPr>
        <w:rFonts w:ascii="Wingdings" w:hAnsi="Wingdings" w:hint="default"/>
      </w:rPr>
    </w:lvl>
    <w:lvl w:ilvl="6" w:tplc="14090001" w:tentative="1">
      <w:start w:val="1"/>
      <w:numFmt w:val="bullet"/>
      <w:lvlText w:val=""/>
      <w:lvlJc w:val="left"/>
      <w:pPr>
        <w:ind w:left="8442" w:hanging="360"/>
      </w:pPr>
      <w:rPr>
        <w:rFonts w:ascii="Symbol" w:hAnsi="Symbol" w:hint="default"/>
      </w:rPr>
    </w:lvl>
    <w:lvl w:ilvl="7" w:tplc="14090003" w:tentative="1">
      <w:start w:val="1"/>
      <w:numFmt w:val="bullet"/>
      <w:lvlText w:val="o"/>
      <w:lvlJc w:val="left"/>
      <w:pPr>
        <w:ind w:left="9162" w:hanging="360"/>
      </w:pPr>
      <w:rPr>
        <w:rFonts w:ascii="Courier New" w:hAnsi="Courier New" w:cs="Courier New" w:hint="default"/>
      </w:rPr>
    </w:lvl>
    <w:lvl w:ilvl="8" w:tplc="14090005" w:tentative="1">
      <w:start w:val="1"/>
      <w:numFmt w:val="bullet"/>
      <w:lvlText w:val=""/>
      <w:lvlJc w:val="left"/>
      <w:pPr>
        <w:ind w:left="9882" w:hanging="360"/>
      </w:pPr>
      <w:rPr>
        <w:rFonts w:ascii="Wingdings" w:hAnsi="Wingdings" w:hint="default"/>
      </w:rPr>
    </w:lvl>
  </w:abstractNum>
  <w:abstractNum w:abstractNumId="9">
    <w:nsid w:val="13FA1B41"/>
    <w:multiLevelType w:val="hybridMultilevel"/>
    <w:tmpl w:val="67E65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271D4"/>
    <w:multiLevelType w:val="hybridMultilevel"/>
    <w:tmpl w:val="3D288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B454A7C"/>
    <w:multiLevelType w:val="hybridMultilevel"/>
    <w:tmpl w:val="53DED0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13">
    <w:nsid w:val="1F0B1470"/>
    <w:multiLevelType w:val="hybridMultilevel"/>
    <w:tmpl w:val="67E42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F53756D"/>
    <w:multiLevelType w:val="hybridMultilevel"/>
    <w:tmpl w:val="2A22CD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200223F0"/>
    <w:multiLevelType w:val="hybridMultilevel"/>
    <w:tmpl w:val="C30ACBA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26331C3C"/>
    <w:multiLevelType w:val="hybridMultilevel"/>
    <w:tmpl w:val="CB2E4CEE"/>
    <w:lvl w:ilvl="0" w:tplc="6980F398">
      <w:numFmt w:val="bullet"/>
      <w:lvlText w:val="•"/>
      <w:lvlJc w:val="left"/>
      <w:pPr>
        <w:ind w:left="1440" w:hanging="72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2DD9139C"/>
    <w:multiLevelType w:val="hybridMultilevel"/>
    <w:tmpl w:val="A800B8C2"/>
    <w:lvl w:ilvl="0" w:tplc="0268A054">
      <w:start w:val="1"/>
      <w:numFmt w:val="decimal"/>
      <w:pStyle w:val="Numberedparagraph"/>
      <w:lvlText w:val="%1."/>
      <w:lvlJc w:val="left"/>
      <w:pPr>
        <w:tabs>
          <w:tab w:val="num" w:pos="993"/>
        </w:tabs>
        <w:ind w:left="993" w:hanging="567"/>
      </w:pPr>
      <w:rPr>
        <w:rFonts w:ascii="Verdana" w:hAnsi="Verdana" w:hint="default"/>
        <w:b w:val="0"/>
        <w:sz w:val="20"/>
        <w:szCs w:val="20"/>
      </w:rPr>
    </w:lvl>
    <w:lvl w:ilvl="1" w:tplc="1409000F">
      <w:start w:val="1"/>
      <w:numFmt w:val="decimal"/>
      <w:lvlText w:val="%2."/>
      <w:lvlJc w:val="left"/>
      <w:pPr>
        <w:tabs>
          <w:tab w:val="num" w:pos="2008"/>
        </w:tabs>
        <w:ind w:left="2008" w:hanging="360"/>
      </w:pPr>
      <w:rPr>
        <w:rFonts w:hint="default"/>
        <w:b w:val="0"/>
        <w:sz w:val="20"/>
        <w:szCs w:val="20"/>
      </w:rPr>
    </w:lvl>
    <w:lvl w:ilvl="2" w:tplc="1409001B" w:tentative="1">
      <w:start w:val="1"/>
      <w:numFmt w:val="lowerRoman"/>
      <w:lvlText w:val="%3."/>
      <w:lvlJc w:val="right"/>
      <w:pPr>
        <w:tabs>
          <w:tab w:val="num" w:pos="2728"/>
        </w:tabs>
        <w:ind w:left="2728" w:hanging="180"/>
      </w:pPr>
    </w:lvl>
    <w:lvl w:ilvl="3" w:tplc="1409000F" w:tentative="1">
      <w:start w:val="1"/>
      <w:numFmt w:val="decimal"/>
      <w:lvlText w:val="%4."/>
      <w:lvlJc w:val="left"/>
      <w:pPr>
        <w:tabs>
          <w:tab w:val="num" w:pos="3448"/>
        </w:tabs>
        <w:ind w:left="3448" w:hanging="360"/>
      </w:pPr>
    </w:lvl>
    <w:lvl w:ilvl="4" w:tplc="14090019" w:tentative="1">
      <w:start w:val="1"/>
      <w:numFmt w:val="lowerLetter"/>
      <w:lvlText w:val="%5."/>
      <w:lvlJc w:val="left"/>
      <w:pPr>
        <w:tabs>
          <w:tab w:val="num" w:pos="4168"/>
        </w:tabs>
        <w:ind w:left="4168" w:hanging="360"/>
      </w:pPr>
    </w:lvl>
    <w:lvl w:ilvl="5" w:tplc="1409001B" w:tentative="1">
      <w:start w:val="1"/>
      <w:numFmt w:val="lowerRoman"/>
      <w:lvlText w:val="%6."/>
      <w:lvlJc w:val="right"/>
      <w:pPr>
        <w:tabs>
          <w:tab w:val="num" w:pos="4888"/>
        </w:tabs>
        <w:ind w:left="4888" w:hanging="180"/>
      </w:pPr>
    </w:lvl>
    <w:lvl w:ilvl="6" w:tplc="1409000F" w:tentative="1">
      <w:start w:val="1"/>
      <w:numFmt w:val="decimal"/>
      <w:lvlText w:val="%7."/>
      <w:lvlJc w:val="left"/>
      <w:pPr>
        <w:tabs>
          <w:tab w:val="num" w:pos="5608"/>
        </w:tabs>
        <w:ind w:left="5608" w:hanging="360"/>
      </w:pPr>
    </w:lvl>
    <w:lvl w:ilvl="7" w:tplc="14090019" w:tentative="1">
      <w:start w:val="1"/>
      <w:numFmt w:val="lowerLetter"/>
      <w:lvlText w:val="%8."/>
      <w:lvlJc w:val="left"/>
      <w:pPr>
        <w:tabs>
          <w:tab w:val="num" w:pos="6328"/>
        </w:tabs>
        <w:ind w:left="6328" w:hanging="360"/>
      </w:pPr>
    </w:lvl>
    <w:lvl w:ilvl="8" w:tplc="1409001B" w:tentative="1">
      <w:start w:val="1"/>
      <w:numFmt w:val="lowerRoman"/>
      <w:lvlText w:val="%9."/>
      <w:lvlJc w:val="right"/>
      <w:pPr>
        <w:tabs>
          <w:tab w:val="num" w:pos="7048"/>
        </w:tabs>
        <w:ind w:left="7048" w:hanging="180"/>
      </w:pPr>
    </w:lvl>
  </w:abstractNum>
  <w:abstractNum w:abstractNumId="18">
    <w:nsid w:val="34D74C9D"/>
    <w:multiLevelType w:val="hybridMultilevel"/>
    <w:tmpl w:val="CED66F02"/>
    <w:lvl w:ilvl="0" w:tplc="5B46201A">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4ED139A"/>
    <w:multiLevelType w:val="hybridMultilevel"/>
    <w:tmpl w:val="79A40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71D0029"/>
    <w:multiLevelType w:val="hybridMultilevel"/>
    <w:tmpl w:val="70D2AB5E"/>
    <w:lvl w:ilvl="0" w:tplc="6980F398">
      <w:numFmt w:val="bullet"/>
      <w:lvlText w:val="•"/>
      <w:lvlJc w:val="left"/>
      <w:pPr>
        <w:ind w:left="144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C47B54"/>
    <w:multiLevelType w:val="hybridMultilevel"/>
    <w:tmpl w:val="27764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336275"/>
    <w:multiLevelType w:val="hybridMultilevel"/>
    <w:tmpl w:val="CCBCFEA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nsid w:val="425901E2"/>
    <w:multiLevelType w:val="hybridMultilevel"/>
    <w:tmpl w:val="144646EA"/>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0E4760F"/>
    <w:multiLevelType w:val="hybridMultilevel"/>
    <w:tmpl w:val="EA4E3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200058B"/>
    <w:multiLevelType w:val="multilevel"/>
    <w:tmpl w:val="A61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A51A7"/>
    <w:multiLevelType w:val="hybridMultilevel"/>
    <w:tmpl w:val="525AB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733262"/>
    <w:multiLevelType w:val="hybridMultilevel"/>
    <w:tmpl w:val="29C2664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5B064169"/>
    <w:multiLevelType w:val="hybridMultilevel"/>
    <w:tmpl w:val="1938E6F0"/>
    <w:lvl w:ilvl="0" w:tplc="6BD2C80C">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1485F17"/>
    <w:multiLevelType w:val="hybridMultilevel"/>
    <w:tmpl w:val="DF5C7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151460"/>
    <w:multiLevelType w:val="hybridMultilevel"/>
    <w:tmpl w:val="53EAB5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8B47C83"/>
    <w:multiLevelType w:val="hybridMultilevel"/>
    <w:tmpl w:val="E3EEE7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nsid w:val="71406745"/>
    <w:multiLevelType w:val="hybridMultilevel"/>
    <w:tmpl w:val="1248BC8C"/>
    <w:lvl w:ilvl="0" w:tplc="804A0A0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8E644B"/>
    <w:multiLevelType w:val="hybridMultilevel"/>
    <w:tmpl w:val="708AE008"/>
    <w:lvl w:ilvl="0" w:tplc="298C4C64">
      <w:start w:val="1"/>
      <w:numFmt w:val="bullet"/>
      <w:pStyle w:val="Bullets"/>
      <w:lvlText w:val=""/>
      <w:lvlJc w:val="left"/>
      <w:pPr>
        <w:ind w:left="4122" w:hanging="360"/>
      </w:pPr>
      <w:rPr>
        <w:rFonts w:ascii="Symbol" w:hAnsi="Symbol" w:hint="default"/>
      </w:rPr>
    </w:lvl>
    <w:lvl w:ilvl="1" w:tplc="14090003" w:tentative="1">
      <w:start w:val="1"/>
      <w:numFmt w:val="bullet"/>
      <w:lvlText w:val="o"/>
      <w:lvlJc w:val="left"/>
      <w:pPr>
        <w:ind w:left="4842" w:hanging="360"/>
      </w:pPr>
      <w:rPr>
        <w:rFonts w:ascii="Courier New" w:hAnsi="Courier New" w:cs="Courier New" w:hint="default"/>
      </w:rPr>
    </w:lvl>
    <w:lvl w:ilvl="2" w:tplc="14090005" w:tentative="1">
      <w:start w:val="1"/>
      <w:numFmt w:val="bullet"/>
      <w:lvlText w:val=""/>
      <w:lvlJc w:val="left"/>
      <w:pPr>
        <w:ind w:left="5562" w:hanging="360"/>
      </w:pPr>
      <w:rPr>
        <w:rFonts w:ascii="Wingdings" w:hAnsi="Wingdings" w:hint="default"/>
      </w:rPr>
    </w:lvl>
    <w:lvl w:ilvl="3" w:tplc="14090001" w:tentative="1">
      <w:start w:val="1"/>
      <w:numFmt w:val="bullet"/>
      <w:lvlText w:val=""/>
      <w:lvlJc w:val="left"/>
      <w:pPr>
        <w:ind w:left="6282" w:hanging="360"/>
      </w:pPr>
      <w:rPr>
        <w:rFonts w:ascii="Symbol" w:hAnsi="Symbol" w:hint="default"/>
      </w:rPr>
    </w:lvl>
    <w:lvl w:ilvl="4" w:tplc="14090003" w:tentative="1">
      <w:start w:val="1"/>
      <w:numFmt w:val="bullet"/>
      <w:lvlText w:val="o"/>
      <w:lvlJc w:val="left"/>
      <w:pPr>
        <w:ind w:left="7002" w:hanging="360"/>
      </w:pPr>
      <w:rPr>
        <w:rFonts w:ascii="Courier New" w:hAnsi="Courier New" w:cs="Courier New" w:hint="default"/>
      </w:rPr>
    </w:lvl>
    <w:lvl w:ilvl="5" w:tplc="14090005" w:tentative="1">
      <w:start w:val="1"/>
      <w:numFmt w:val="bullet"/>
      <w:lvlText w:val=""/>
      <w:lvlJc w:val="left"/>
      <w:pPr>
        <w:ind w:left="7722" w:hanging="360"/>
      </w:pPr>
      <w:rPr>
        <w:rFonts w:ascii="Wingdings" w:hAnsi="Wingdings" w:hint="default"/>
      </w:rPr>
    </w:lvl>
    <w:lvl w:ilvl="6" w:tplc="14090001" w:tentative="1">
      <w:start w:val="1"/>
      <w:numFmt w:val="bullet"/>
      <w:lvlText w:val=""/>
      <w:lvlJc w:val="left"/>
      <w:pPr>
        <w:ind w:left="8442" w:hanging="360"/>
      </w:pPr>
      <w:rPr>
        <w:rFonts w:ascii="Symbol" w:hAnsi="Symbol" w:hint="default"/>
      </w:rPr>
    </w:lvl>
    <w:lvl w:ilvl="7" w:tplc="14090003" w:tentative="1">
      <w:start w:val="1"/>
      <w:numFmt w:val="bullet"/>
      <w:lvlText w:val="o"/>
      <w:lvlJc w:val="left"/>
      <w:pPr>
        <w:ind w:left="9162" w:hanging="360"/>
      </w:pPr>
      <w:rPr>
        <w:rFonts w:ascii="Courier New" w:hAnsi="Courier New" w:cs="Courier New" w:hint="default"/>
      </w:rPr>
    </w:lvl>
    <w:lvl w:ilvl="8" w:tplc="14090005" w:tentative="1">
      <w:start w:val="1"/>
      <w:numFmt w:val="bullet"/>
      <w:lvlText w:val=""/>
      <w:lvlJc w:val="left"/>
      <w:pPr>
        <w:ind w:left="9882" w:hanging="360"/>
      </w:pPr>
      <w:rPr>
        <w:rFonts w:ascii="Wingdings" w:hAnsi="Wingdings" w:hint="default"/>
      </w:rPr>
    </w:lvl>
  </w:abstractNum>
  <w:abstractNum w:abstractNumId="34">
    <w:nsid w:val="774E2D5E"/>
    <w:multiLevelType w:val="hybridMultilevel"/>
    <w:tmpl w:val="35D6C4EE"/>
    <w:lvl w:ilvl="0" w:tplc="C6926C4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A6C5E6E"/>
    <w:multiLevelType w:val="hybridMultilevel"/>
    <w:tmpl w:val="E088466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6">
    <w:nsid w:val="7B536B51"/>
    <w:multiLevelType w:val="hybridMultilevel"/>
    <w:tmpl w:val="7DB048E4"/>
    <w:lvl w:ilvl="0" w:tplc="38DE2994">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D767A57"/>
    <w:multiLevelType w:val="hybridMultilevel"/>
    <w:tmpl w:val="5CCC8DBC"/>
    <w:lvl w:ilvl="0" w:tplc="60062E8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FEA02C0"/>
    <w:multiLevelType w:val="hybridMultilevel"/>
    <w:tmpl w:val="C5108BC0"/>
    <w:lvl w:ilvl="0" w:tplc="423A145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8"/>
  </w:num>
  <w:num w:numId="4">
    <w:abstractNumId w:val="5"/>
  </w:num>
  <w:num w:numId="5">
    <w:abstractNumId w:val="32"/>
  </w:num>
  <w:num w:numId="6">
    <w:abstractNumId w:val="13"/>
  </w:num>
  <w:num w:numId="7">
    <w:abstractNumId w:val="11"/>
  </w:num>
  <w:num w:numId="8">
    <w:abstractNumId w:val="12"/>
  </w:num>
  <w:num w:numId="9">
    <w:abstractNumId w:val="34"/>
  </w:num>
  <w:num w:numId="10">
    <w:abstractNumId w:val="33"/>
  </w:num>
  <w:num w:numId="11">
    <w:abstractNumId w:val="17"/>
  </w:num>
  <w:num w:numId="12">
    <w:abstractNumId w:val="1"/>
  </w:num>
  <w:num w:numId="13">
    <w:abstractNumId w:val="25"/>
  </w:num>
  <w:num w:numId="14">
    <w:abstractNumId w:val="2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5"/>
  </w:num>
  <w:num w:numId="19">
    <w:abstractNumId w:val="16"/>
  </w:num>
  <w:num w:numId="20">
    <w:abstractNumId w:val="20"/>
  </w:num>
  <w:num w:numId="21">
    <w:abstractNumId w:val="9"/>
  </w:num>
  <w:num w:numId="22">
    <w:abstractNumId w:val="10"/>
  </w:num>
  <w:num w:numId="23">
    <w:abstractNumId w:val="30"/>
  </w:num>
  <w:num w:numId="24">
    <w:abstractNumId w:val="7"/>
  </w:num>
  <w:num w:numId="25">
    <w:abstractNumId w:val="24"/>
  </w:num>
  <w:num w:numId="26">
    <w:abstractNumId w:val="27"/>
  </w:num>
  <w:num w:numId="27">
    <w:abstractNumId w:val="36"/>
  </w:num>
  <w:num w:numId="28">
    <w:abstractNumId w:val="6"/>
  </w:num>
  <w:num w:numId="29">
    <w:abstractNumId w:val="28"/>
  </w:num>
  <w:num w:numId="30">
    <w:abstractNumId w:val="18"/>
  </w:num>
  <w:num w:numId="31">
    <w:abstractNumId w:val="35"/>
  </w:num>
  <w:num w:numId="32">
    <w:abstractNumId w:val="21"/>
  </w:num>
  <w:num w:numId="33">
    <w:abstractNumId w:val="29"/>
  </w:num>
  <w:num w:numId="34">
    <w:abstractNumId w:val="26"/>
  </w:num>
  <w:num w:numId="35">
    <w:abstractNumId w:val="3"/>
  </w:num>
  <w:num w:numId="36">
    <w:abstractNumId w:val="14"/>
  </w:num>
  <w:num w:numId="37">
    <w:abstractNumId w:val="2"/>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4"/>
    <w:rsid w:val="0000163F"/>
    <w:rsid w:val="00001CC9"/>
    <w:rsid w:val="000028AC"/>
    <w:rsid w:val="000062FF"/>
    <w:rsid w:val="000073C9"/>
    <w:rsid w:val="0001178C"/>
    <w:rsid w:val="0001402D"/>
    <w:rsid w:val="00015020"/>
    <w:rsid w:val="0001504B"/>
    <w:rsid w:val="00017B30"/>
    <w:rsid w:val="00030D20"/>
    <w:rsid w:val="00034A48"/>
    <w:rsid w:val="00034F39"/>
    <w:rsid w:val="000352C3"/>
    <w:rsid w:val="000353B1"/>
    <w:rsid w:val="00041BAD"/>
    <w:rsid w:val="0004295A"/>
    <w:rsid w:val="00042EA4"/>
    <w:rsid w:val="000458DC"/>
    <w:rsid w:val="000477AD"/>
    <w:rsid w:val="00050642"/>
    <w:rsid w:val="000509C9"/>
    <w:rsid w:val="00053031"/>
    <w:rsid w:val="00056A4F"/>
    <w:rsid w:val="0005766C"/>
    <w:rsid w:val="000577E5"/>
    <w:rsid w:val="00060B82"/>
    <w:rsid w:val="000621AA"/>
    <w:rsid w:val="00065A06"/>
    <w:rsid w:val="00066CBD"/>
    <w:rsid w:val="00070615"/>
    <w:rsid w:val="00070AFB"/>
    <w:rsid w:val="000753F5"/>
    <w:rsid w:val="00076A9D"/>
    <w:rsid w:val="00076FD0"/>
    <w:rsid w:val="000831CE"/>
    <w:rsid w:val="00083A44"/>
    <w:rsid w:val="00084B38"/>
    <w:rsid w:val="00086655"/>
    <w:rsid w:val="00090A73"/>
    <w:rsid w:val="0009267A"/>
    <w:rsid w:val="00092DA0"/>
    <w:rsid w:val="00095DBF"/>
    <w:rsid w:val="0009686A"/>
    <w:rsid w:val="0009739D"/>
    <w:rsid w:val="000A4303"/>
    <w:rsid w:val="000A5E79"/>
    <w:rsid w:val="000B0718"/>
    <w:rsid w:val="000B0AC8"/>
    <w:rsid w:val="000B0FA6"/>
    <w:rsid w:val="000B14A8"/>
    <w:rsid w:val="000B225C"/>
    <w:rsid w:val="000B42D4"/>
    <w:rsid w:val="000B7326"/>
    <w:rsid w:val="000B7F5E"/>
    <w:rsid w:val="000C0E25"/>
    <w:rsid w:val="000C2C1A"/>
    <w:rsid w:val="000C5EBC"/>
    <w:rsid w:val="000C60C8"/>
    <w:rsid w:val="000C6EC4"/>
    <w:rsid w:val="000C784B"/>
    <w:rsid w:val="000D0CD8"/>
    <w:rsid w:val="000D4B58"/>
    <w:rsid w:val="000D7EB1"/>
    <w:rsid w:val="000D7EE0"/>
    <w:rsid w:val="000E17E1"/>
    <w:rsid w:val="000F0FEF"/>
    <w:rsid w:val="000F36E8"/>
    <w:rsid w:val="000F4C3B"/>
    <w:rsid w:val="000F699A"/>
    <w:rsid w:val="000F6CCE"/>
    <w:rsid w:val="000F6E19"/>
    <w:rsid w:val="00100D93"/>
    <w:rsid w:val="00101152"/>
    <w:rsid w:val="00101286"/>
    <w:rsid w:val="00101373"/>
    <w:rsid w:val="001015F4"/>
    <w:rsid w:val="001070DF"/>
    <w:rsid w:val="00110FB3"/>
    <w:rsid w:val="00111392"/>
    <w:rsid w:val="0011398B"/>
    <w:rsid w:val="00123A50"/>
    <w:rsid w:val="00124BB3"/>
    <w:rsid w:val="001258AB"/>
    <w:rsid w:val="0013037B"/>
    <w:rsid w:val="00134BE1"/>
    <w:rsid w:val="001410C7"/>
    <w:rsid w:val="00146797"/>
    <w:rsid w:val="001536AD"/>
    <w:rsid w:val="00157C4C"/>
    <w:rsid w:val="00163114"/>
    <w:rsid w:val="0016492F"/>
    <w:rsid w:val="00164F61"/>
    <w:rsid w:val="00171065"/>
    <w:rsid w:val="00173144"/>
    <w:rsid w:val="0017410F"/>
    <w:rsid w:val="001755FA"/>
    <w:rsid w:val="001758DE"/>
    <w:rsid w:val="001778E3"/>
    <w:rsid w:val="00181BA5"/>
    <w:rsid w:val="001843CA"/>
    <w:rsid w:val="0018613C"/>
    <w:rsid w:val="001878AC"/>
    <w:rsid w:val="00191D11"/>
    <w:rsid w:val="0019245A"/>
    <w:rsid w:val="00192E80"/>
    <w:rsid w:val="00194E6C"/>
    <w:rsid w:val="00195247"/>
    <w:rsid w:val="00196984"/>
    <w:rsid w:val="001A1703"/>
    <w:rsid w:val="001A277B"/>
    <w:rsid w:val="001A28E8"/>
    <w:rsid w:val="001A4240"/>
    <w:rsid w:val="001A6710"/>
    <w:rsid w:val="001A7B64"/>
    <w:rsid w:val="001B13AC"/>
    <w:rsid w:val="001B1637"/>
    <w:rsid w:val="001B4C96"/>
    <w:rsid w:val="001B7463"/>
    <w:rsid w:val="001C034C"/>
    <w:rsid w:val="001C05D7"/>
    <w:rsid w:val="001C2177"/>
    <w:rsid w:val="001C355C"/>
    <w:rsid w:val="001C4E70"/>
    <w:rsid w:val="001C5C22"/>
    <w:rsid w:val="001D38EA"/>
    <w:rsid w:val="001D3BC1"/>
    <w:rsid w:val="001D48F8"/>
    <w:rsid w:val="001D4AFA"/>
    <w:rsid w:val="001D5EDE"/>
    <w:rsid w:val="001E2B13"/>
    <w:rsid w:val="001E5015"/>
    <w:rsid w:val="001F0AF1"/>
    <w:rsid w:val="001F2BDF"/>
    <w:rsid w:val="001F394C"/>
    <w:rsid w:val="001F6FE6"/>
    <w:rsid w:val="00201331"/>
    <w:rsid w:val="00201DA1"/>
    <w:rsid w:val="00202C73"/>
    <w:rsid w:val="00212EBE"/>
    <w:rsid w:val="00213E61"/>
    <w:rsid w:val="00214962"/>
    <w:rsid w:val="002347EF"/>
    <w:rsid w:val="0023662E"/>
    <w:rsid w:val="00237D3C"/>
    <w:rsid w:val="00240A40"/>
    <w:rsid w:val="00245DB6"/>
    <w:rsid w:val="00246B6C"/>
    <w:rsid w:val="00250369"/>
    <w:rsid w:val="00250FEA"/>
    <w:rsid w:val="00251ADD"/>
    <w:rsid w:val="0025339B"/>
    <w:rsid w:val="00257BC5"/>
    <w:rsid w:val="00263A3F"/>
    <w:rsid w:val="0026456C"/>
    <w:rsid w:val="00267CB1"/>
    <w:rsid w:val="00270F66"/>
    <w:rsid w:val="00272E8D"/>
    <w:rsid w:val="00273338"/>
    <w:rsid w:val="002740CF"/>
    <w:rsid w:val="0027420F"/>
    <w:rsid w:val="002759AA"/>
    <w:rsid w:val="0027692C"/>
    <w:rsid w:val="00277CB2"/>
    <w:rsid w:val="00277DED"/>
    <w:rsid w:val="00281167"/>
    <w:rsid w:val="00281AF7"/>
    <w:rsid w:val="00284A1A"/>
    <w:rsid w:val="0028699B"/>
    <w:rsid w:val="00287320"/>
    <w:rsid w:val="00290A9E"/>
    <w:rsid w:val="00293137"/>
    <w:rsid w:val="00294520"/>
    <w:rsid w:val="002945E5"/>
    <w:rsid w:val="0029585C"/>
    <w:rsid w:val="00295D52"/>
    <w:rsid w:val="002A10C5"/>
    <w:rsid w:val="002A17BE"/>
    <w:rsid w:val="002A1811"/>
    <w:rsid w:val="002A28C5"/>
    <w:rsid w:val="002A3243"/>
    <w:rsid w:val="002A43DC"/>
    <w:rsid w:val="002A6CBD"/>
    <w:rsid w:val="002A72C2"/>
    <w:rsid w:val="002A7365"/>
    <w:rsid w:val="002B0C7F"/>
    <w:rsid w:val="002B3BCB"/>
    <w:rsid w:val="002B5148"/>
    <w:rsid w:val="002C1903"/>
    <w:rsid w:val="002C1992"/>
    <w:rsid w:val="002C5718"/>
    <w:rsid w:val="002C5A81"/>
    <w:rsid w:val="002D0C11"/>
    <w:rsid w:val="002D2BC7"/>
    <w:rsid w:val="002D5E30"/>
    <w:rsid w:val="002E0F30"/>
    <w:rsid w:val="002E4AF7"/>
    <w:rsid w:val="002F1154"/>
    <w:rsid w:val="002F2958"/>
    <w:rsid w:val="002F3257"/>
    <w:rsid w:val="002F374A"/>
    <w:rsid w:val="002F60DF"/>
    <w:rsid w:val="002F68A9"/>
    <w:rsid w:val="003025B4"/>
    <w:rsid w:val="003107A4"/>
    <w:rsid w:val="00310BEB"/>
    <w:rsid w:val="00311BFD"/>
    <w:rsid w:val="003134E2"/>
    <w:rsid w:val="0031474C"/>
    <w:rsid w:val="00315070"/>
    <w:rsid w:val="00315346"/>
    <w:rsid w:val="00315EBC"/>
    <w:rsid w:val="00321315"/>
    <w:rsid w:val="003253B3"/>
    <w:rsid w:val="003258C5"/>
    <w:rsid w:val="003263AE"/>
    <w:rsid w:val="003265B9"/>
    <w:rsid w:val="00327609"/>
    <w:rsid w:val="00331CE5"/>
    <w:rsid w:val="003327B8"/>
    <w:rsid w:val="00334A23"/>
    <w:rsid w:val="003362C1"/>
    <w:rsid w:val="0033673B"/>
    <w:rsid w:val="0033792D"/>
    <w:rsid w:val="0034013B"/>
    <w:rsid w:val="00344BFE"/>
    <w:rsid w:val="00345D06"/>
    <w:rsid w:val="00347762"/>
    <w:rsid w:val="00351D45"/>
    <w:rsid w:val="00352594"/>
    <w:rsid w:val="0035263A"/>
    <w:rsid w:val="00352B5B"/>
    <w:rsid w:val="00353769"/>
    <w:rsid w:val="0035488F"/>
    <w:rsid w:val="00355BE0"/>
    <w:rsid w:val="003564C5"/>
    <w:rsid w:val="00360167"/>
    <w:rsid w:val="00360A89"/>
    <w:rsid w:val="00361A49"/>
    <w:rsid w:val="00363984"/>
    <w:rsid w:val="00364341"/>
    <w:rsid w:val="003662FC"/>
    <w:rsid w:val="003722BA"/>
    <w:rsid w:val="00374096"/>
    <w:rsid w:val="0037647C"/>
    <w:rsid w:val="003771F0"/>
    <w:rsid w:val="00377953"/>
    <w:rsid w:val="0038193A"/>
    <w:rsid w:val="003855D9"/>
    <w:rsid w:val="00386BE0"/>
    <w:rsid w:val="00392DF3"/>
    <w:rsid w:val="003937D5"/>
    <w:rsid w:val="00395490"/>
    <w:rsid w:val="00395D1F"/>
    <w:rsid w:val="00396D10"/>
    <w:rsid w:val="003A1330"/>
    <w:rsid w:val="003A6920"/>
    <w:rsid w:val="003A6D19"/>
    <w:rsid w:val="003A714E"/>
    <w:rsid w:val="003B03A6"/>
    <w:rsid w:val="003B2319"/>
    <w:rsid w:val="003B237B"/>
    <w:rsid w:val="003B6623"/>
    <w:rsid w:val="003C0E29"/>
    <w:rsid w:val="003C24FF"/>
    <w:rsid w:val="003C2B07"/>
    <w:rsid w:val="003C5B7B"/>
    <w:rsid w:val="003D4FB2"/>
    <w:rsid w:val="003D5974"/>
    <w:rsid w:val="003E3A7C"/>
    <w:rsid w:val="003E3AFB"/>
    <w:rsid w:val="003E7A5E"/>
    <w:rsid w:val="003F26D1"/>
    <w:rsid w:val="003F30E7"/>
    <w:rsid w:val="003F67DC"/>
    <w:rsid w:val="0040067F"/>
    <w:rsid w:val="00400D20"/>
    <w:rsid w:val="00401330"/>
    <w:rsid w:val="00401F9E"/>
    <w:rsid w:val="004020C5"/>
    <w:rsid w:val="00404388"/>
    <w:rsid w:val="00404DE1"/>
    <w:rsid w:val="00407206"/>
    <w:rsid w:val="00410CD0"/>
    <w:rsid w:val="00410DBB"/>
    <w:rsid w:val="00410F05"/>
    <w:rsid w:val="00411E54"/>
    <w:rsid w:val="00420782"/>
    <w:rsid w:val="004232DE"/>
    <w:rsid w:val="00424697"/>
    <w:rsid w:val="004247A1"/>
    <w:rsid w:val="004271DB"/>
    <w:rsid w:val="00431420"/>
    <w:rsid w:val="00432F56"/>
    <w:rsid w:val="004333A1"/>
    <w:rsid w:val="0044103C"/>
    <w:rsid w:val="00441B59"/>
    <w:rsid w:val="004438C6"/>
    <w:rsid w:val="00443E41"/>
    <w:rsid w:val="00444872"/>
    <w:rsid w:val="00444E28"/>
    <w:rsid w:val="00445820"/>
    <w:rsid w:val="00452D4D"/>
    <w:rsid w:val="004545A7"/>
    <w:rsid w:val="00455803"/>
    <w:rsid w:val="00456458"/>
    <w:rsid w:val="00457F35"/>
    <w:rsid w:val="004601E6"/>
    <w:rsid w:val="00463A61"/>
    <w:rsid w:val="00465095"/>
    <w:rsid w:val="004679A9"/>
    <w:rsid w:val="00474879"/>
    <w:rsid w:val="00475636"/>
    <w:rsid w:val="00482D69"/>
    <w:rsid w:val="0048330D"/>
    <w:rsid w:val="00483A0A"/>
    <w:rsid w:val="00484DE3"/>
    <w:rsid w:val="004858D7"/>
    <w:rsid w:val="00496419"/>
    <w:rsid w:val="00497EDF"/>
    <w:rsid w:val="004A0EA4"/>
    <w:rsid w:val="004A121E"/>
    <w:rsid w:val="004A4FF3"/>
    <w:rsid w:val="004A640E"/>
    <w:rsid w:val="004A6E49"/>
    <w:rsid w:val="004A7667"/>
    <w:rsid w:val="004B50A5"/>
    <w:rsid w:val="004B60A3"/>
    <w:rsid w:val="004B60BF"/>
    <w:rsid w:val="004B6EED"/>
    <w:rsid w:val="004C4F7F"/>
    <w:rsid w:val="004C727E"/>
    <w:rsid w:val="004D10F8"/>
    <w:rsid w:val="004D2100"/>
    <w:rsid w:val="004D2BE5"/>
    <w:rsid w:val="004D5A6A"/>
    <w:rsid w:val="004E290A"/>
    <w:rsid w:val="004E5892"/>
    <w:rsid w:val="004E63DC"/>
    <w:rsid w:val="004F31F2"/>
    <w:rsid w:val="004F46F7"/>
    <w:rsid w:val="004F51CF"/>
    <w:rsid w:val="004F5856"/>
    <w:rsid w:val="00504058"/>
    <w:rsid w:val="00504641"/>
    <w:rsid w:val="00504F89"/>
    <w:rsid w:val="0050519F"/>
    <w:rsid w:val="0050796E"/>
    <w:rsid w:val="00511BB2"/>
    <w:rsid w:val="00512B49"/>
    <w:rsid w:val="00513D15"/>
    <w:rsid w:val="00514CF1"/>
    <w:rsid w:val="00515963"/>
    <w:rsid w:val="00517BEA"/>
    <w:rsid w:val="00524522"/>
    <w:rsid w:val="00524E97"/>
    <w:rsid w:val="00525B08"/>
    <w:rsid w:val="00531577"/>
    <w:rsid w:val="00533091"/>
    <w:rsid w:val="00535951"/>
    <w:rsid w:val="00536352"/>
    <w:rsid w:val="00536E76"/>
    <w:rsid w:val="00537B8B"/>
    <w:rsid w:val="00537FC0"/>
    <w:rsid w:val="0054224B"/>
    <w:rsid w:val="00542A50"/>
    <w:rsid w:val="00543035"/>
    <w:rsid w:val="005431FF"/>
    <w:rsid w:val="0055011E"/>
    <w:rsid w:val="00550F33"/>
    <w:rsid w:val="005521FF"/>
    <w:rsid w:val="00552AD3"/>
    <w:rsid w:val="0055346B"/>
    <w:rsid w:val="00553BF8"/>
    <w:rsid w:val="005547A3"/>
    <w:rsid w:val="00556709"/>
    <w:rsid w:val="00556F3A"/>
    <w:rsid w:val="00557882"/>
    <w:rsid w:val="00560AC4"/>
    <w:rsid w:val="005629B3"/>
    <w:rsid w:val="00562CA4"/>
    <w:rsid w:val="00563FA5"/>
    <w:rsid w:val="00565617"/>
    <w:rsid w:val="00570D37"/>
    <w:rsid w:val="005717BE"/>
    <w:rsid w:val="00573360"/>
    <w:rsid w:val="00573AC7"/>
    <w:rsid w:val="005740A4"/>
    <w:rsid w:val="005743E7"/>
    <w:rsid w:val="0057560E"/>
    <w:rsid w:val="00575D5B"/>
    <w:rsid w:val="00577221"/>
    <w:rsid w:val="0058706F"/>
    <w:rsid w:val="00587821"/>
    <w:rsid w:val="005926B6"/>
    <w:rsid w:val="005952D9"/>
    <w:rsid w:val="0059554D"/>
    <w:rsid w:val="005A027F"/>
    <w:rsid w:val="005A1169"/>
    <w:rsid w:val="005A3CD8"/>
    <w:rsid w:val="005A4DC2"/>
    <w:rsid w:val="005B00CA"/>
    <w:rsid w:val="005B0844"/>
    <w:rsid w:val="005B16F4"/>
    <w:rsid w:val="005B2B88"/>
    <w:rsid w:val="005B5578"/>
    <w:rsid w:val="005B7D13"/>
    <w:rsid w:val="005C1653"/>
    <w:rsid w:val="005C17D7"/>
    <w:rsid w:val="005C4A5B"/>
    <w:rsid w:val="005C6E41"/>
    <w:rsid w:val="005C7013"/>
    <w:rsid w:val="005C70B5"/>
    <w:rsid w:val="005D0F76"/>
    <w:rsid w:val="005D213B"/>
    <w:rsid w:val="005D664C"/>
    <w:rsid w:val="005E243A"/>
    <w:rsid w:val="005E454D"/>
    <w:rsid w:val="005E56F2"/>
    <w:rsid w:val="005F11F5"/>
    <w:rsid w:val="005F3407"/>
    <w:rsid w:val="005F6221"/>
    <w:rsid w:val="00600A77"/>
    <w:rsid w:val="00601038"/>
    <w:rsid w:val="00601788"/>
    <w:rsid w:val="006046C7"/>
    <w:rsid w:val="00604706"/>
    <w:rsid w:val="006073D4"/>
    <w:rsid w:val="006074EC"/>
    <w:rsid w:val="00612A40"/>
    <w:rsid w:val="00613DEE"/>
    <w:rsid w:val="006147FE"/>
    <w:rsid w:val="00617C37"/>
    <w:rsid w:val="00617F9A"/>
    <w:rsid w:val="00622D81"/>
    <w:rsid w:val="00623F73"/>
    <w:rsid w:val="00624C4C"/>
    <w:rsid w:val="00624D5D"/>
    <w:rsid w:val="00624DD7"/>
    <w:rsid w:val="00624DF4"/>
    <w:rsid w:val="0062799A"/>
    <w:rsid w:val="00630DEA"/>
    <w:rsid w:val="00630EE4"/>
    <w:rsid w:val="006324D1"/>
    <w:rsid w:val="00633032"/>
    <w:rsid w:val="006339C4"/>
    <w:rsid w:val="0063572B"/>
    <w:rsid w:val="00641556"/>
    <w:rsid w:val="0064195B"/>
    <w:rsid w:val="006508C7"/>
    <w:rsid w:val="00651137"/>
    <w:rsid w:val="006521C5"/>
    <w:rsid w:val="00652F0F"/>
    <w:rsid w:val="006543EE"/>
    <w:rsid w:val="006577B2"/>
    <w:rsid w:val="0066015F"/>
    <w:rsid w:val="00660389"/>
    <w:rsid w:val="00660588"/>
    <w:rsid w:val="006664F2"/>
    <w:rsid w:val="00670A6F"/>
    <w:rsid w:val="0067295E"/>
    <w:rsid w:val="00673802"/>
    <w:rsid w:val="006777CA"/>
    <w:rsid w:val="00684566"/>
    <w:rsid w:val="00692599"/>
    <w:rsid w:val="006A1AA8"/>
    <w:rsid w:val="006A47DA"/>
    <w:rsid w:val="006A502B"/>
    <w:rsid w:val="006A5046"/>
    <w:rsid w:val="006B0B0A"/>
    <w:rsid w:val="006B369D"/>
    <w:rsid w:val="006C11F7"/>
    <w:rsid w:val="006C159D"/>
    <w:rsid w:val="006C2975"/>
    <w:rsid w:val="006C3C6C"/>
    <w:rsid w:val="006C6882"/>
    <w:rsid w:val="006C6B54"/>
    <w:rsid w:val="006D21A3"/>
    <w:rsid w:val="006E2842"/>
    <w:rsid w:val="006E7D3E"/>
    <w:rsid w:val="006F1651"/>
    <w:rsid w:val="006F3428"/>
    <w:rsid w:val="006F3BAC"/>
    <w:rsid w:val="006F460C"/>
    <w:rsid w:val="006F7C57"/>
    <w:rsid w:val="007050AE"/>
    <w:rsid w:val="00705707"/>
    <w:rsid w:val="007079C0"/>
    <w:rsid w:val="00710A86"/>
    <w:rsid w:val="00710E88"/>
    <w:rsid w:val="00712D6B"/>
    <w:rsid w:val="00714A7E"/>
    <w:rsid w:val="00715E4B"/>
    <w:rsid w:val="007165ED"/>
    <w:rsid w:val="00720131"/>
    <w:rsid w:val="007218A3"/>
    <w:rsid w:val="00731850"/>
    <w:rsid w:val="007352F9"/>
    <w:rsid w:val="00736DE8"/>
    <w:rsid w:val="00742138"/>
    <w:rsid w:val="00743C7D"/>
    <w:rsid w:val="00745C2E"/>
    <w:rsid w:val="0075435E"/>
    <w:rsid w:val="00754603"/>
    <w:rsid w:val="007603C6"/>
    <w:rsid w:val="00760BF3"/>
    <w:rsid w:val="0076528A"/>
    <w:rsid w:val="00771030"/>
    <w:rsid w:val="00771B07"/>
    <w:rsid w:val="0077363F"/>
    <w:rsid w:val="00773FAE"/>
    <w:rsid w:val="00776D78"/>
    <w:rsid w:val="00781799"/>
    <w:rsid w:val="00783066"/>
    <w:rsid w:val="00785ED6"/>
    <w:rsid w:val="007910A0"/>
    <w:rsid w:val="007932E9"/>
    <w:rsid w:val="0079427D"/>
    <w:rsid w:val="00796673"/>
    <w:rsid w:val="007968E6"/>
    <w:rsid w:val="007A2EDD"/>
    <w:rsid w:val="007A51BD"/>
    <w:rsid w:val="007A58C4"/>
    <w:rsid w:val="007B027F"/>
    <w:rsid w:val="007B3321"/>
    <w:rsid w:val="007B40F7"/>
    <w:rsid w:val="007C2D46"/>
    <w:rsid w:val="007C6822"/>
    <w:rsid w:val="007D23D3"/>
    <w:rsid w:val="007D25B5"/>
    <w:rsid w:val="007D3428"/>
    <w:rsid w:val="007D6E9D"/>
    <w:rsid w:val="007D7378"/>
    <w:rsid w:val="007E06F3"/>
    <w:rsid w:val="007E46FC"/>
    <w:rsid w:val="007F0D7A"/>
    <w:rsid w:val="007F2729"/>
    <w:rsid w:val="007F274C"/>
    <w:rsid w:val="007F28E5"/>
    <w:rsid w:val="007F3B90"/>
    <w:rsid w:val="007F6EE5"/>
    <w:rsid w:val="007F7278"/>
    <w:rsid w:val="00804579"/>
    <w:rsid w:val="008045DB"/>
    <w:rsid w:val="00805F35"/>
    <w:rsid w:val="0081259B"/>
    <w:rsid w:val="00814FF1"/>
    <w:rsid w:val="008165FA"/>
    <w:rsid w:val="00816AED"/>
    <w:rsid w:val="00820238"/>
    <w:rsid w:val="008219E6"/>
    <w:rsid w:val="00821E5E"/>
    <w:rsid w:val="00827787"/>
    <w:rsid w:val="00830DCC"/>
    <w:rsid w:val="00831E1B"/>
    <w:rsid w:val="00837AEB"/>
    <w:rsid w:val="008413B5"/>
    <w:rsid w:val="0084531A"/>
    <w:rsid w:val="00845DF4"/>
    <w:rsid w:val="00846FCB"/>
    <w:rsid w:val="00847A19"/>
    <w:rsid w:val="008529FA"/>
    <w:rsid w:val="00855AF4"/>
    <w:rsid w:val="00856C7F"/>
    <w:rsid w:val="00857121"/>
    <w:rsid w:val="00857171"/>
    <w:rsid w:val="00861CE8"/>
    <w:rsid w:val="008624C8"/>
    <w:rsid w:val="00862574"/>
    <w:rsid w:val="0086427E"/>
    <w:rsid w:val="00864686"/>
    <w:rsid w:val="00865164"/>
    <w:rsid w:val="00866F51"/>
    <w:rsid w:val="0086719A"/>
    <w:rsid w:val="0086724B"/>
    <w:rsid w:val="00870175"/>
    <w:rsid w:val="0087063D"/>
    <w:rsid w:val="00872666"/>
    <w:rsid w:val="00874E4E"/>
    <w:rsid w:val="008754E3"/>
    <w:rsid w:val="0088082E"/>
    <w:rsid w:val="00881EBF"/>
    <w:rsid w:val="00884577"/>
    <w:rsid w:val="0088766D"/>
    <w:rsid w:val="00890C4D"/>
    <w:rsid w:val="0089452B"/>
    <w:rsid w:val="008960E3"/>
    <w:rsid w:val="008A0483"/>
    <w:rsid w:val="008A09E8"/>
    <w:rsid w:val="008A1397"/>
    <w:rsid w:val="008A13B8"/>
    <w:rsid w:val="008A2A5F"/>
    <w:rsid w:val="008A63C6"/>
    <w:rsid w:val="008B0347"/>
    <w:rsid w:val="008B0DA9"/>
    <w:rsid w:val="008B111E"/>
    <w:rsid w:val="008B2F3B"/>
    <w:rsid w:val="008B3084"/>
    <w:rsid w:val="008B308B"/>
    <w:rsid w:val="008B309C"/>
    <w:rsid w:val="008C2130"/>
    <w:rsid w:val="008C5CDF"/>
    <w:rsid w:val="008C656F"/>
    <w:rsid w:val="008D09E9"/>
    <w:rsid w:val="008D0A3D"/>
    <w:rsid w:val="008D641E"/>
    <w:rsid w:val="008E0B86"/>
    <w:rsid w:val="008E0EAD"/>
    <w:rsid w:val="008E3AE2"/>
    <w:rsid w:val="008E3FF9"/>
    <w:rsid w:val="008F07C0"/>
    <w:rsid w:val="008F2054"/>
    <w:rsid w:val="008F3FDC"/>
    <w:rsid w:val="008F5A52"/>
    <w:rsid w:val="00900AF6"/>
    <w:rsid w:val="0090317C"/>
    <w:rsid w:val="00904024"/>
    <w:rsid w:val="00907173"/>
    <w:rsid w:val="0091384D"/>
    <w:rsid w:val="00914956"/>
    <w:rsid w:val="00916C51"/>
    <w:rsid w:val="00923B38"/>
    <w:rsid w:val="009240FD"/>
    <w:rsid w:val="00925549"/>
    <w:rsid w:val="00925F21"/>
    <w:rsid w:val="00926B77"/>
    <w:rsid w:val="009278FE"/>
    <w:rsid w:val="00930E38"/>
    <w:rsid w:val="00931BCF"/>
    <w:rsid w:val="00932D23"/>
    <w:rsid w:val="00932FB5"/>
    <w:rsid w:val="00941C3C"/>
    <w:rsid w:val="00942374"/>
    <w:rsid w:val="00943A3A"/>
    <w:rsid w:val="00945269"/>
    <w:rsid w:val="0094666C"/>
    <w:rsid w:val="00947804"/>
    <w:rsid w:val="00947A74"/>
    <w:rsid w:val="00947AEE"/>
    <w:rsid w:val="00947E56"/>
    <w:rsid w:val="00954886"/>
    <w:rsid w:val="009548FF"/>
    <w:rsid w:val="0095582E"/>
    <w:rsid w:val="00960DC1"/>
    <w:rsid w:val="00967F3A"/>
    <w:rsid w:val="00971ACB"/>
    <w:rsid w:val="0097231F"/>
    <w:rsid w:val="00972CE6"/>
    <w:rsid w:val="009739D4"/>
    <w:rsid w:val="00973E4D"/>
    <w:rsid w:val="00977071"/>
    <w:rsid w:val="009772CE"/>
    <w:rsid w:val="00990051"/>
    <w:rsid w:val="009910D0"/>
    <w:rsid w:val="00993DBD"/>
    <w:rsid w:val="0099519A"/>
    <w:rsid w:val="00996050"/>
    <w:rsid w:val="00996813"/>
    <w:rsid w:val="00997A1A"/>
    <w:rsid w:val="009A385F"/>
    <w:rsid w:val="009A3E40"/>
    <w:rsid w:val="009A427A"/>
    <w:rsid w:val="009A44AE"/>
    <w:rsid w:val="009A46CE"/>
    <w:rsid w:val="009A4C21"/>
    <w:rsid w:val="009A603E"/>
    <w:rsid w:val="009A7434"/>
    <w:rsid w:val="009B4FEF"/>
    <w:rsid w:val="009C0A03"/>
    <w:rsid w:val="009C0ECE"/>
    <w:rsid w:val="009C15C6"/>
    <w:rsid w:val="009C2EEB"/>
    <w:rsid w:val="009C42D2"/>
    <w:rsid w:val="009C68F1"/>
    <w:rsid w:val="009C6E16"/>
    <w:rsid w:val="009C737F"/>
    <w:rsid w:val="009D04E2"/>
    <w:rsid w:val="009D2CE2"/>
    <w:rsid w:val="009D6F33"/>
    <w:rsid w:val="009D796F"/>
    <w:rsid w:val="009E5EB3"/>
    <w:rsid w:val="009E6040"/>
    <w:rsid w:val="009E61F0"/>
    <w:rsid w:val="009E684D"/>
    <w:rsid w:val="009E6F7A"/>
    <w:rsid w:val="009F0F6A"/>
    <w:rsid w:val="009F1560"/>
    <w:rsid w:val="009F209D"/>
    <w:rsid w:val="009F2E5E"/>
    <w:rsid w:val="009F5586"/>
    <w:rsid w:val="009F6278"/>
    <w:rsid w:val="009F63C3"/>
    <w:rsid w:val="009F6A50"/>
    <w:rsid w:val="00A00FF9"/>
    <w:rsid w:val="00A01937"/>
    <w:rsid w:val="00A035AA"/>
    <w:rsid w:val="00A0383D"/>
    <w:rsid w:val="00A04EC9"/>
    <w:rsid w:val="00A10436"/>
    <w:rsid w:val="00A11796"/>
    <w:rsid w:val="00A12E00"/>
    <w:rsid w:val="00A15CF4"/>
    <w:rsid w:val="00A16104"/>
    <w:rsid w:val="00A35AC4"/>
    <w:rsid w:val="00A400EC"/>
    <w:rsid w:val="00A40455"/>
    <w:rsid w:val="00A43750"/>
    <w:rsid w:val="00A47F49"/>
    <w:rsid w:val="00A51F66"/>
    <w:rsid w:val="00A578C5"/>
    <w:rsid w:val="00A635CD"/>
    <w:rsid w:val="00A65434"/>
    <w:rsid w:val="00A65F03"/>
    <w:rsid w:val="00A670DF"/>
    <w:rsid w:val="00A67FF1"/>
    <w:rsid w:val="00A71E56"/>
    <w:rsid w:val="00A72333"/>
    <w:rsid w:val="00A72C0C"/>
    <w:rsid w:val="00A75515"/>
    <w:rsid w:val="00A76483"/>
    <w:rsid w:val="00A7728E"/>
    <w:rsid w:val="00A81E46"/>
    <w:rsid w:val="00A829E5"/>
    <w:rsid w:val="00A860D4"/>
    <w:rsid w:val="00A86122"/>
    <w:rsid w:val="00A904CC"/>
    <w:rsid w:val="00A90D81"/>
    <w:rsid w:val="00A97F93"/>
    <w:rsid w:val="00AA01CC"/>
    <w:rsid w:val="00AA0429"/>
    <w:rsid w:val="00AA4989"/>
    <w:rsid w:val="00AA5B5E"/>
    <w:rsid w:val="00AB0E4C"/>
    <w:rsid w:val="00AB0ED8"/>
    <w:rsid w:val="00AB0FA6"/>
    <w:rsid w:val="00AB200B"/>
    <w:rsid w:val="00AB292E"/>
    <w:rsid w:val="00AB319F"/>
    <w:rsid w:val="00AB37E9"/>
    <w:rsid w:val="00AB7046"/>
    <w:rsid w:val="00AB7239"/>
    <w:rsid w:val="00AC0146"/>
    <w:rsid w:val="00AC1645"/>
    <w:rsid w:val="00AC428D"/>
    <w:rsid w:val="00AC65D6"/>
    <w:rsid w:val="00AC6954"/>
    <w:rsid w:val="00AD0053"/>
    <w:rsid w:val="00AD7C82"/>
    <w:rsid w:val="00AE0A6E"/>
    <w:rsid w:val="00AE4138"/>
    <w:rsid w:val="00AE48BA"/>
    <w:rsid w:val="00AE5D54"/>
    <w:rsid w:val="00AE7A3A"/>
    <w:rsid w:val="00AF0A23"/>
    <w:rsid w:val="00AF46C9"/>
    <w:rsid w:val="00AF60FA"/>
    <w:rsid w:val="00AF70E7"/>
    <w:rsid w:val="00AF7A57"/>
    <w:rsid w:val="00B05EE7"/>
    <w:rsid w:val="00B06DDC"/>
    <w:rsid w:val="00B07150"/>
    <w:rsid w:val="00B12C0E"/>
    <w:rsid w:val="00B15CFC"/>
    <w:rsid w:val="00B16B05"/>
    <w:rsid w:val="00B2715D"/>
    <w:rsid w:val="00B27AAE"/>
    <w:rsid w:val="00B353BB"/>
    <w:rsid w:val="00B35723"/>
    <w:rsid w:val="00B37143"/>
    <w:rsid w:val="00B4671A"/>
    <w:rsid w:val="00B505D1"/>
    <w:rsid w:val="00B50C4B"/>
    <w:rsid w:val="00B52081"/>
    <w:rsid w:val="00B526CE"/>
    <w:rsid w:val="00B538BF"/>
    <w:rsid w:val="00B53F6C"/>
    <w:rsid w:val="00B549B9"/>
    <w:rsid w:val="00B54C2C"/>
    <w:rsid w:val="00B5671C"/>
    <w:rsid w:val="00B646DB"/>
    <w:rsid w:val="00B66E4B"/>
    <w:rsid w:val="00B67045"/>
    <w:rsid w:val="00B67176"/>
    <w:rsid w:val="00B67A4B"/>
    <w:rsid w:val="00B73919"/>
    <w:rsid w:val="00B7552F"/>
    <w:rsid w:val="00B75822"/>
    <w:rsid w:val="00B76267"/>
    <w:rsid w:val="00B8003E"/>
    <w:rsid w:val="00B8101A"/>
    <w:rsid w:val="00B8108F"/>
    <w:rsid w:val="00B83460"/>
    <w:rsid w:val="00B84760"/>
    <w:rsid w:val="00B9172F"/>
    <w:rsid w:val="00B91FB7"/>
    <w:rsid w:val="00B9363F"/>
    <w:rsid w:val="00B938F5"/>
    <w:rsid w:val="00B93E76"/>
    <w:rsid w:val="00B95B77"/>
    <w:rsid w:val="00B97992"/>
    <w:rsid w:val="00BA17E0"/>
    <w:rsid w:val="00BA4481"/>
    <w:rsid w:val="00BA6998"/>
    <w:rsid w:val="00BA7F3F"/>
    <w:rsid w:val="00BB202F"/>
    <w:rsid w:val="00BB2D4D"/>
    <w:rsid w:val="00BB2F94"/>
    <w:rsid w:val="00BB6BAA"/>
    <w:rsid w:val="00BC193A"/>
    <w:rsid w:val="00BC1B14"/>
    <w:rsid w:val="00BC2680"/>
    <w:rsid w:val="00BC3200"/>
    <w:rsid w:val="00BC45D4"/>
    <w:rsid w:val="00BC71CE"/>
    <w:rsid w:val="00BD120D"/>
    <w:rsid w:val="00BD2CA3"/>
    <w:rsid w:val="00BD32BB"/>
    <w:rsid w:val="00BD3506"/>
    <w:rsid w:val="00BD3537"/>
    <w:rsid w:val="00BD59EE"/>
    <w:rsid w:val="00BD6042"/>
    <w:rsid w:val="00BD614F"/>
    <w:rsid w:val="00BE365E"/>
    <w:rsid w:val="00BE4D99"/>
    <w:rsid w:val="00BE65F6"/>
    <w:rsid w:val="00BE7740"/>
    <w:rsid w:val="00BE782F"/>
    <w:rsid w:val="00BE7FBD"/>
    <w:rsid w:val="00BF2A52"/>
    <w:rsid w:val="00BF40C1"/>
    <w:rsid w:val="00BF47F6"/>
    <w:rsid w:val="00BF5CD2"/>
    <w:rsid w:val="00C0022C"/>
    <w:rsid w:val="00C00A36"/>
    <w:rsid w:val="00C00D98"/>
    <w:rsid w:val="00C026C4"/>
    <w:rsid w:val="00C028BD"/>
    <w:rsid w:val="00C02D27"/>
    <w:rsid w:val="00C03713"/>
    <w:rsid w:val="00C039ED"/>
    <w:rsid w:val="00C04895"/>
    <w:rsid w:val="00C04E22"/>
    <w:rsid w:val="00C0514F"/>
    <w:rsid w:val="00C124CB"/>
    <w:rsid w:val="00C17319"/>
    <w:rsid w:val="00C21F3A"/>
    <w:rsid w:val="00C22BFA"/>
    <w:rsid w:val="00C23BA3"/>
    <w:rsid w:val="00C23BB9"/>
    <w:rsid w:val="00C2504C"/>
    <w:rsid w:val="00C30B36"/>
    <w:rsid w:val="00C3554D"/>
    <w:rsid w:val="00C35E7B"/>
    <w:rsid w:val="00C36ED4"/>
    <w:rsid w:val="00C370FA"/>
    <w:rsid w:val="00C41C99"/>
    <w:rsid w:val="00C4283B"/>
    <w:rsid w:val="00C440E0"/>
    <w:rsid w:val="00C44F9D"/>
    <w:rsid w:val="00C45925"/>
    <w:rsid w:val="00C50326"/>
    <w:rsid w:val="00C5143E"/>
    <w:rsid w:val="00C51802"/>
    <w:rsid w:val="00C53807"/>
    <w:rsid w:val="00C53E3A"/>
    <w:rsid w:val="00C53E4F"/>
    <w:rsid w:val="00C57913"/>
    <w:rsid w:val="00C640AB"/>
    <w:rsid w:val="00C640EE"/>
    <w:rsid w:val="00C70813"/>
    <w:rsid w:val="00C70C98"/>
    <w:rsid w:val="00C71390"/>
    <w:rsid w:val="00C71CDA"/>
    <w:rsid w:val="00C73D24"/>
    <w:rsid w:val="00C73F69"/>
    <w:rsid w:val="00C742A2"/>
    <w:rsid w:val="00C75965"/>
    <w:rsid w:val="00C75E7E"/>
    <w:rsid w:val="00C779A7"/>
    <w:rsid w:val="00C8129E"/>
    <w:rsid w:val="00C81DE6"/>
    <w:rsid w:val="00C81DF4"/>
    <w:rsid w:val="00C83D24"/>
    <w:rsid w:val="00C84650"/>
    <w:rsid w:val="00C84BAF"/>
    <w:rsid w:val="00C8514A"/>
    <w:rsid w:val="00C85A80"/>
    <w:rsid w:val="00C8662A"/>
    <w:rsid w:val="00C90077"/>
    <w:rsid w:val="00C90CCD"/>
    <w:rsid w:val="00C92FB7"/>
    <w:rsid w:val="00CA0354"/>
    <w:rsid w:val="00CA3C80"/>
    <w:rsid w:val="00CA579F"/>
    <w:rsid w:val="00CA5E4D"/>
    <w:rsid w:val="00CA63B5"/>
    <w:rsid w:val="00CA6A1F"/>
    <w:rsid w:val="00CB259B"/>
    <w:rsid w:val="00CB2A96"/>
    <w:rsid w:val="00CB450A"/>
    <w:rsid w:val="00CB76AF"/>
    <w:rsid w:val="00CC1E98"/>
    <w:rsid w:val="00CC4082"/>
    <w:rsid w:val="00CC5D2E"/>
    <w:rsid w:val="00CD102C"/>
    <w:rsid w:val="00CD4BE8"/>
    <w:rsid w:val="00CD7D38"/>
    <w:rsid w:val="00CE18FF"/>
    <w:rsid w:val="00CE20AE"/>
    <w:rsid w:val="00CF0027"/>
    <w:rsid w:val="00CF0520"/>
    <w:rsid w:val="00CF1B05"/>
    <w:rsid w:val="00CF3C8E"/>
    <w:rsid w:val="00CF418A"/>
    <w:rsid w:val="00D0059B"/>
    <w:rsid w:val="00D025DE"/>
    <w:rsid w:val="00D0566D"/>
    <w:rsid w:val="00D07BA8"/>
    <w:rsid w:val="00D13170"/>
    <w:rsid w:val="00D147E1"/>
    <w:rsid w:val="00D16B74"/>
    <w:rsid w:val="00D201AF"/>
    <w:rsid w:val="00D22C00"/>
    <w:rsid w:val="00D232B8"/>
    <w:rsid w:val="00D250C0"/>
    <w:rsid w:val="00D262D6"/>
    <w:rsid w:val="00D26BB2"/>
    <w:rsid w:val="00D26C3E"/>
    <w:rsid w:val="00D302F2"/>
    <w:rsid w:val="00D3125E"/>
    <w:rsid w:val="00D32F50"/>
    <w:rsid w:val="00D3412D"/>
    <w:rsid w:val="00D3474A"/>
    <w:rsid w:val="00D347CD"/>
    <w:rsid w:val="00D36D7C"/>
    <w:rsid w:val="00D44914"/>
    <w:rsid w:val="00D46939"/>
    <w:rsid w:val="00D51053"/>
    <w:rsid w:val="00D51BC4"/>
    <w:rsid w:val="00D55EFA"/>
    <w:rsid w:val="00D57F9B"/>
    <w:rsid w:val="00D6116D"/>
    <w:rsid w:val="00D62811"/>
    <w:rsid w:val="00D62A1B"/>
    <w:rsid w:val="00D62D7B"/>
    <w:rsid w:val="00D638A3"/>
    <w:rsid w:val="00D673B0"/>
    <w:rsid w:val="00D67772"/>
    <w:rsid w:val="00D73500"/>
    <w:rsid w:val="00D76104"/>
    <w:rsid w:val="00D766D6"/>
    <w:rsid w:val="00D77B68"/>
    <w:rsid w:val="00D8013D"/>
    <w:rsid w:val="00D81D80"/>
    <w:rsid w:val="00D82B52"/>
    <w:rsid w:val="00D83748"/>
    <w:rsid w:val="00D837EB"/>
    <w:rsid w:val="00D8484E"/>
    <w:rsid w:val="00D86A23"/>
    <w:rsid w:val="00D86E0B"/>
    <w:rsid w:val="00D92679"/>
    <w:rsid w:val="00D931F9"/>
    <w:rsid w:val="00DA09AB"/>
    <w:rsid w:val="00DA187D"/>
    <w:rsid w:val="00DA209F"/>
    <w:rsid w:val="00DA780C"/>
    <w:rsid w:val="00DA7AD1"/>
    <w:rsid w:val="00DB1C3D"/>
    <w:rsid w:val="00DB4C50"/>
    <w:rsid w:val="00DC1317"/>
    <w:rsid w:val="00DC35C5"/>
    <w:rsid w:val="00DC3C6F"/>
    <w:rsid w:val="00DC6AE2"/>
    <w:rsid w:val="00DD5A66"/>
    <w:rsid w:val="00DD5D9B"/>
    <w:rsid w:val="00DE09DA"/>
    <w:rsid w:val="00DE0B21"/>
    <w:rsid w:val="00DE176C"/>
    <w:rsid w:val="00DE217E"/>
    <w:rsid w:val="00DE2752"/>
    <w:rsid w:val="00DE2F25"/>
    <w:rsid w:val="00DE41D9"/>
    <w:rsid w:val="00DE5371"/>
    <w:rsid w:val="00DE6821"/>
    <w:rsid w:val="00DE7105"/>
    <w:rsid w:val="00DF1597"/>
    <w:rsid w:val="00DF2D9A"/>
    <w:rsid w:val="00DF2E24"/>
    <w:rsid w:val="00DF377E"/>
    <w:rsid w:val="00DF45B9"/>
    <w:rsid w:val="00E0073D"/>
    <w:rsid w:val="00E00EFA"/>
    <w:rsid w:val="00E0152D"/>
    <w:rsid w:val="00E01B5D"/>
    <w:rsid w:val="00E03711"/>
    <w:rsid w:val="00E1065C"/>
    <w:rsid w:val="00E11112"/>
    <w:rsid w:val="00E12BD3"/>
    <w:rsid w:val="00E154FB"/>
    <w:rsid w:val="00E17C30"/>
    <w:rsid w:val="00E25589"/>
    <w:rsid w:val="00E271F1"/>
    <w:rsid w:val="00E31583"/>
    <w:rsid w:val="00E31D71"/>
    <w:rsid w:val="00E33802"/>
    <w:rsid w:val="00E3788E"/>
    <w:rsid w:val="00E40C9A"/>
    <w:rsid w:val="00E453AD"/>
    <w:rsid w:val="00E5703F"/>
    <w:rsid w:val="00E66C8B"/>
    <w:rsid w:val="00E70144"/>
    <w:rsid w:val="00E71798"/>
    <w:rsid w:val="00E74ADD"/>
    <w:rsid w:val="00E756A0"/>
    <w:rsid w:val="00E815E6"/>
    <w:rsid w:val="00E81982"/>
    <w:rsid w:val="00E85CF6"/>
    <w:rsid w:val="00E860B2"/>
    <w:rsid w:val="00E8714F"/>
    <w:rsid w:val="00E957E2"/>
    <w:rsid w:val="00E97861"/>
    <w:rsid w:val="00E97FC0"/>
    <w:rsid w:val="00EA1F3A"/>
    <w:rsid w:val="00EA2CC5"/>
    <w:rsid w:val="00EA2D8F"/>
    <w:rsid w:val="00EA3080"/>
    <w:rsid w:val="00EA59A9"/>
    <w:rsid w:val="00EB4A21"/>
    <w:rsid w:val="00EB4D95"/>
    <w:rsid w:val="00EB6BBD"/>
    <w:rsid w:val="00EB7981"/>
    <w:rsid w:val="00EC2B7D"/>
    <w:rsid w:val="00EC382D"/>
    <w:rsid w:val="00EC7705"/>
    <w:rsid w:val="00EC7F52"/>
    <w:rsid w:val="00ED12B0"/>
    <w:rsid w:val="00ED169B"/>
    <w:rsid w:val="00ED1737"/>
    <w:rsid w:val="00ED5EC5"/>
    <w:rsid w:val="00ED6183"/>
    <w:rsid w:val="00ED6EAE"/>
    <w:rsid w:val="00ED7249"/>
    <w:rsid w:val="00ED75A2"/>
    <w:rsid w:val="00EE1BAB"/>
    <w:rsid w:val="00EE6FFB"/>
    <w:rsid w:val="00EE7430"/>
    <w:rsid w:val="00EF6014"/>
    <w:rsid w:val="00EF6E8E"/>
    <w:rsid w:val="00EF7EF2"/>
    <w:rsid w:val="00EF7F20"/>
    <w:rsid w:val="00F01512"/>
    <w:rsid w:val="00F05D80"/>
    <w:rsid w:val="00F064AD"/>
    <w:rsid w:val="00F06C3F"/>
    <w:rsid w:val="00F14508"/>
    <w:rsid w:val="00F16628"/>
    <w:rsid w:val="00F20934"/>
    <w:rsid w:val="00F20E0F"/>
    <w:rsid w:val="00F20F59"/>
    <w:rsid w:val="00F23910"/>
    <w:rsid w:val="00F24360"/>
    <w:rsid w:val="00F24784"/>
    <w:rsid w:val="00F31837"/>
    <w:rsid w:val="00F31F47"/>
    <w:rsid w:val="00F4000B"/>
    <w:rsid w:val="00F40D89"/>
    <w:rsid w:val="00F414A9"/>
    <w:rsid w:val="00F44F38"/>
    <w:rsid w:val="00F45A7D"/>
    <w:rsid w:val="00F4684C"/>
    <w:rsid w:val="00F50F49"/>
    <w:rsid w:val="00F512DE"/>
    <w:rsid w:val="00F518AB"/>
    <w:rsid w:val="00F53281"/>
    <w:rsid w:val="00F554BF"/>
    <w:rsid w:val="00F56D1F"/>
    <w:rsid w:val="00F62A7E"/>
    <w:rsid w:val="00F64C06"/>
    <w:rsid w:val="00F6548A"/>
    <w:rsid w:val="00F66B1E"/>
    <w:rsid w:val="00F66EED"/>
    <w:rsid w:val="00F70D5D"/>
    <w:rsid w:val="00F7145F"/>
    <w:rsid w:val="00F72840"/>
    <w:rsid w:val="00F74C65"/>
    <w:rsid w:val="00F810FC"/>
    <w:rsid w:val="00F81F48"/>
    <w:rsid w:val="00F845F6"/>
    <w:rsid w:val="00F848DE"/>
    <w:rsid w:val="00F87C83"/>
    <w:rsid w:val="00F87FC3"/>
    <w:rsid w:val="00F9013D"/>
    <w:rsid w:val="00F90B06"/>
    <w:rsid w:val="00FA4C3A"/>
    <w:rsid w:val="00FA6FAC"/>
    <w:rsid w:val="00FB0300"/>
    <w:rsid w:val="00FB2CB1"/>
    <w:rsid w:val="00FC1B68"/>
    <w:rsid w:val="00FC5C29"/>
    <w:rsid w:val="00FC63BB"/>
    <w:rsid w:val="00FC6519"/>
    <w:rsid w:val="00FC693A"/>
    <w:rsid w:val="00FC6A2A"/>
    <w:rsid w:val="00FD3E70"/>
    <w:rsid w:val="00FD7780"/>
    <w:rsid w:val="00FE2D5F"/>
    <w:rsid w:val="00FE42A1"/>
    <w:rsid w:val="00FE49D3"/>
    <w:rsid w:val="00FE773B"/>
    <w:rsid w:val="00FF1607"/>
    <w:rsid w:val="00FF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5A3CD8"/>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E17C30"/>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CD8"/>
    <w:rPr>
      <w:rFonts w:ascii="Times New Roman" w:eastAsia="Times New Roman" w:hAnsi="Times New Roman" w:cs="Times New Roman"/>
      <w:b/>
      <w:bCs/>
      <w:sz w:val="28"/>
      <w:szCs w:val="28"/>
    </w:rPr>
  </w:style>
  <w:style w:type="character" w:customStyle="1" w:styleId="Heading2Char">
    <w:name w:val="Heading 2 Char"/>
    <w:link w:val="Heading2"/>
    <w:uiPriority w:val="9"/>
    <w:rsid w:val="00E17C30"/>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paragraph" w:styleId="ListParagraph">
    <w:name w:val="List Paragraph"/>
    <w:basedOn w:val="Normal"/>
    <w:link w:val="ListParagraphChar"/>
    <w:uiPriority w:val="34"/>
    <w:qFormat/>
    <w:rsid w:val="00BD32BB"/>
    <w:pPr>
      <w:ind w:left="720"/>
      <w:contextualSpacing/>
    </w:pPr>
  </w:style>
  <w:style w:type="paragraph" w:styleId="FootnoteText">
    <w:name w:val="footnote text"/>
    <w:basedOn w:val="Normal"/>
    <w:link w:val="FootnoteTextChar"/>
    <w:semiHidden/>
    <w:rsid w:val="00855AF4"/>
    <w:rPr>
      <w:sz w:val="20"/>
      <w:szCs w:val="20"/>
      <w:lang w:val="en-GB" w:eastAsia="en-AU"/>
    </w:rPr>
  </w:style>
  <w:style w:type="character" w:customStyle="1" w:styleId="FootnoteTextChar">
    <w:name w:val="Footnote Text Char"/>
    <w:link w:val="FootnoteText"/>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itle">
    <w:name w:val="Title"/>
    <w:basedOn w:val="Normal"/>
    <w:next w:val="Normal"/>
    <w:link w:val="TitleChar"/>
    <w:uiPriority w:val="10"/>
    <w:qFormat/>
    <w:rsid w:val="00A1610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A16104"/>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styleId="CommentText">
    <w:name w:val="annotation text"/>
    <w:basedOn w:val="Normal"/>
    <w:link w:val="CommentTextChar"/>
    <w:unhideWhenUsed/>
    <w:rsid w:val="00293137"/>
    <w:rPr>
      <w:sz w:val="20"/>
      <w:szCs w:val="20"/>
    </w:rPr>
  </w:style>
  <w:style w:type="character" w:customStyle="1" w:styleId="CommentTextChar">
    <w:name w:val="Comment Text Char"/>
    <w:link w:val="CommentText"/>
    <w:uiPriority w:val="99"/>
    <w:rsid w:val="00293137"/>
    <w:rPr>
      <w:sz w:val="20"/>
      <w:szCs w:val="20"/>
    </w:rPr>
  </w:style>
  <w:style w:type="paragraph" w:styleId="CommentSubject">
    <w:name w:val="annotation subject"/>
    <w:basedOn w:val="CommentText"/>
    <w:next w:val="CommentText"/>
    <w:link w:val="CommentSubjectChar"/>
    <w:uiPriority w:val="99"/>
    <w:semiHidden/>
    <w:unhideWhenUsed/>
    <w:rsid w:val="00293137"/>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paragraph" w:customStyle="1" w:styleId="Chapter3">
    <w:name w:val="Chapter 3"/>
    <w:basedOn w:val="Normal"/>
    <w:rsid w:val="00BC1B14"/>
    <w:pPr>
      <w:numPr>
        <w:numId w:val="8"/>
      </w:numPr>
      <w:spacing w:before="120" w:after="120"/>
    </w:pPr>
    <w:rPr>
      <w:snapToGrid w:val="0"/>
      <w:szCs w:val="20"/>
      <w:lang w:val="en-AU"/>
    </w:rPr>
  </w:style>
  <w:style w:type="paragraph" w:customStyle="1" w:styleId="Numberedparagraph">
    <w:name w:val="Numbered paragraph"/>
    <w:basedOn w:val="Normal"/>
    <w:link w:val="NumberedparagraphChar"/>
    <w:rsid w:val="00D81D80"/>
    <w:pPr>
      <w:numPr>
        <w:numId w:val="11"/>
      </w:numPr>
      <w:spacing w:before="120"/>
    </w:pPr>
    <w:rPr>
      <w:rFonts w:ascii="Verdana" w:hAnsi="Verdana"/>
      <w:sz w:val="20"/>
      <w:szCs w:val="20"/>
      <w:lang w:eastAsia="en-AU"/>
    </w:rPr>
  </w:style>
  <w:style w:type="character" w:customStyle="1" w:styleId="NumberedparagraphChar">
    <w:name w:val="Numbered paragraph Char"/>
    <w:link w:val="Numberedparagraph"/>
    <w:rsid w:val="00D81D80"/>
    <w:rPr>
      <w:rFonts w:ascii="Verdana" w:eastAsia="Times New Roman" w:hAnsi="Verdana" w:cs="Times New Roman"/>
      <w:sz w:val="20"/>
      <w:szCs w:val="20"/>
      <w:lang w:eastAsia="en-AU"/>
    </w:rPr>
  </w:style>
  <w:style w:type="paragraph" w:customStyle="1" w:styleId="ListBulletOCTC">
    <w:name w:val="List Bullet OCTC"/>
    <w:basedOn w:val="Normal"/>
    <w:rsid w:val="00D81D80"/>
    <w:pPr>
      <w:numPr>
        <w:numId w:val="12"/>
      </w:numPr>
      <w:tabs>
        <w:tab w:val="clear" w:pos="596"/>
      </w:tabs>
      <w:spacing w:before="120"/>
      <w:ind w:left="1134" w:hanging="567"/>
    </w:pPr>
    <w:rPr>
      <w:rFonts w:ascii="Verdana" w:hAnsi="Verdana"/>
      <w:sz w:val="20"/>
      <w:szCs w:val="20"/>
      <w:lang w:eastAsia="en-AU"/>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paragraph" w:customStyle="1" w:styleId="HeadingOCTC">
    <w:name w:val="Heading OCTC"/>
    <w:basedOn w:val="Heading1"/>
    <w:link w:val="HeadingOCTCChar"/>
    <w:rsid w:val="00517BEA"/>
    <w:pPr>
      <w:keepLines w:val="0"/>
      <w:spacing w:before="360"/>
    </w:pPr>
    <w:rPr>
      <w:rFonts w:ascii="Verdana" w:hAnsi="Verdana"/>
      <w:bCs w:val="0"/>
      <w:szCs w:val="20"/>
      <w:lang w:eastAsia="en-AU"/>
    </w:rPr>
  </w:style>
  <w:style w:type="character" w:customStyle="1" w:styleId="HeadingOCTCChar">
    <w:name w:val="Heading OCTC Char"/>
    <w:link w:val="HeadingOCTC"/>
    <w:rsid w:val="00517BEA"/>
    <w:rPr>
      <w:rFonts w:ascii="Verdana" w:eastAsia="Times New Roman" w:hAnsi="Verdana" w:cs="Times New Roman"/>
      <w:b/>
      <w:bCs w:val="0"/>
      <w:color w:val="365F91"/>
      <w:sz w:val="28"/>
      <w:szCs w:val="20"/>
      <w:lang w:eastAsia="en-AU"/>
    </w:rPr>
  </w:style>
  <w:style w:type="character" w:styleId="HTMLDefinition">
    <w:name w:val="HTML Definition"/>
    <w:uiPriority w:val="99"/>
    <w:semiHidden/>
    <w:unhideWhenUsed/>
    <w:rsid w:val="00537B8B"/>
    <w:rPr>
      <w:i/>
      <w:iCs/>
    </w:rPr>
  </w:style>
  <w:style w:type="character" w:customStyle="1" w:styleId="label">
    <w:name w:val="label"/>
    <w:basedOn w:val="DefaultParagraphFont"/>
    <w:rsid w:val="00537B8B"/>
  </w:style>
  <w:style w:type="character" w:customStyle="1" w:styleId="q1">
    <w:name w:val="q1"/>
    <w:rsid w:val="00537B8B"/>
    <w:rPr>
      <w:b w:val="0"/>
      <w:bCs w:val="0"/>
      <w:i w:val="0"/>
      <w:iCs w:val="0"/>
      <w:spacing w:val="15"/>
    </w:rPr>
  </w:style>
  <w:style w:type="paragraph" w:customStyle="1" w:styleId="text1">
    <w:name w:val="text1"/>
    <w:basedOn w:val="Normal"/>
    <w:rsid w:val="00537B8B"/>
    <w:pPr>
      <w:spacing w:line="288" w:lineRule="atLeast"/>
    </w:pPr>
    <w:rPr>
      <w:color w:val="000000"/>
      <w:szCs w:val="24"/>
      <w:lang w:eastAsia="en-NZ"/>
    </w:rPr>
  </w:style>
  <w:style w:type="paragraph" w:customStyle="1" w:styleId="labelled4">
    <w:name w:val="labelled4"/>
    <w:basedOn w:val="Normal"/>
    <w:rsid w:val="00537B8B"/>
    <w:pPr>
      <w:spacing w:line="288" w:lineRule="atLeast"/>
      <w:ind w:right="240"/>
    </w:pPr>
    <w:rPr>
      <w:color w:val="000000"/>
      <w:szCs w:val="24"/>
      <w:lang w:eastAsia="en-NZ"/>
    </w:rPr>
  </w:style>
  <w:style w:type="paragraph" w:styleId="Revision">
    <w:name w:val="Revision"/>
    <w:hidden/>
    <w:uiPriority w:val="99"/>
    <w:semiHidden/>
    <w:rsid w:val="0005766C"/>
    <w:rPr>
      <w:sz w:val="22"/>
      <w:szCs w:val="22"/>
      <w:lang w:eastAsia="en-US"/>
    </w:rPr>
  </w:style>
  <w:style w:type="paragraph" w:styleId="NoSpacing">
    <w:name w:val="No Spacing"/>
    <w:uiPriority w:val="1"/>
    <w:qFormat/>
    <w:rsid w:val="0013037B"/>
    <w:rPr>
      <w:sz w:val="24"/>
      <w:szCs w:val="22"/>
      <w:lang w:eastAsia="en-US"/>
    </w:rPr>
  </w:style>
  <w:style w:type="paragraph" w:styleId="BodyText">
    <w:name w:val="Body Text"/>
    <w:basedOn w:val="Normal"/>
    <w:link w:val="BodyTextChar"/>
    <w:rsid w:val="005A3CD8"/>
    <w:rPr>
      <w:szCs w:val="20"/>
      <w:lang w:val="en-GB" w:eastAsia="en-AU"/>
    </w:rPr>
  </w:style>
  <w:style w:type="character" w:customStyle="1" w:styleId="BodyTextChar">
    <w:name w:val="Body Text Char"/>
    <w:link w:val="BodyText"/>
    <w:rsid w:val="005A3CD8"/>
    <w:rPr>
      <w:rFonts w:eastAsia="Times New Roman" w:cs="Times New Roman"/>
      <w:sz w:val="24"/>
      <w:szCs w:val="20"/>
      <w:lang w:val="en-GB" w:eastAsia="en-AU"/>
    </w:rPr>
  </w:style>
  <w:style w:type="paragraph" w:customStyle="1" w:styleId="Bullets">
    <w:name w:val="Bullets"/>
    <w:basedOn w:val="ListParagraph"/>
    <w:link w:val="BulletsChar"/>
    <w:qFormat/>
    <w:rsid w:val="005A3CD8"/>
    <w:pPr>
      <w:numPr>
        <w:numId w:val="10"/>
      </w:numPr>
      <w:spacing w:after="140"/>
      <w:ind w:left="567" w:hanging="567"/>
      <w:contextualSpacing w:val="0"/>
    </w:pPr>
  </w:style>
  <w:style w:type="character" w:customStyle="1" w:styleId="ListParagraphChar">
    <w:name w:val="List Paragraph Char"/>
    <w:link w:val="ListParagraph"/>
    <w:uiPriority w:val="34"/>
    <w:rsid w:val="005A3CD8"/>
    <w:rPr>
      <w:sz w:val="24"/>
    </w:rPr>
  </w:style>
  <w:style w:type="character" w:customStyle="1" w:styleId="BulletsChar">
    <w:name w:val="Bullets Char"/>
    <w:link w:val="Bullets"/>
    <w:rsid w:val="005A3CD8"/>
    <w:rPr>
      <w:sz w:val="24"/>
    </w:rPr>
  </w:style>
  <w:style w:type="character" w:styleId="BookTitle">
    <w:name w:val="Book Title"/>
    <w:uiPriority w:val="33"/>
    <w:qFormat/>
    <w:rsid w:val="00134BE1"/>
    <w:rPr>
      <w:b/>
      <w:bCs/>
      <w:smallCaps/>
      <w:spacing w:val="5"/>
    </w:rPr>
  </w:style>
  <w:style w:type="character" w:styleId="Strong">
    <w:name w:val="Strong"/>
    <w:uiPriority w:val="22"/>
    <w:qFormat/>
    <w:rsid w:val="00134BE1"/>
    <w:rPr>
      <w:b/>
      <w:bCs/>
    </w:rPr>
  </w:style>
  <w:style w:type="table" w:styleId="TableGrid">
    <w:name w:val="Table Grid"/>
    <w:basedOn w:val="TableNormal"/>
    <w:uiPriority w:val="59"/>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5A3CD8"/>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E17C30"/>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CD8"/>
    <w:rPr>
      <w:rFonts w:ascii="Times New Roman" w:eastAsia="Times New Roman" w:hAnsi="Times New Roman" w:cs="Times New Roman"/>
      <w:b/>
      <w:bCs/>
      <w:sz w:val="28"/>
      <w:szCs w:val="28"/>
    </w:rPr>
  </w:style>
  <w:style w:type="character" w:customStyle="1" w:styleId="Heading2Char">
    <w:name w:val="Heading 2 Char"/>
    <w:link w:val="Heading2"/>
    <w:uiPriority w:val="9"/>
    <w:rsid w:val="00E17C30"/>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paragraph" w:styleId="ListParagraph">
    <w:name w:val="List Paragraph"/>
    <w:basedOn w:val="Normal"/>
    <w:link w:val="ListParagraphChar"/>
    <w:uiPriority w:val="34"/>
    <w:qFormat/>
    <w:rsid w:val="00BD32BB"/>
    <w:pPr>
      <w:ind w:left="720"/>
      <w:contextualSpacing/>
    </w:pPr>
  </w:style>
  <w:style w:type="paragraph" w:styleId="FootnoteText">
    <w:name w:val="footnote text"/>
    <w:basedOn w:val="Normal"/>
    <w:link w:val="FootnoteTextChar"/>
    <w:semiHidden/>
    <w:rsid w:val="00855AF4"/>
    <w:rPr>
      <w:sz w:val="20"/>
      <w:szCs w:val="20"/>
      <w:lang w:val="en-GB" w:eastAsia="en-AU"/>
    </w:rPr>
  </w:style>
  <w:style w:type="character" w:customStyle="1" w:styleId="FootnoteTextChar">
    <w:name w:val="Footnote Text Char"/>
    <w:link w:val="FootnoteText"/>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itle">
    <w:name w:val="Title"/>
    <w:basedOn w:val="Normal"/>
    <w:next w:val="Normal"/>
    <w:link w:val="TitleChar"/>
    <w:uiPriority w:val="10"/>
    <w:qFormat/>
    <w:rsid w:val="00A1610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A16104"/>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styleId="CommentText">
    <w:name w:val="annotation text"/>
    <w:basedOn w:val="Normal"/>
    <w:link w:val="CommentTextChar"/>
    <w:unhideWhenUsed/>
    <w:rsid w:val="00293137"/>
    <w:rPr>
      <w:sz w:val="20"/>
      <w:szCs w:val="20"/>
    </w:rPr>
  </w:style>
  <w:style w:type="character" w:customStyle="1" w:styleId="CommentTextChar">
    <w:name w:val="Comment Text Char"/>
    <w:link w:val="CommentText"/>
    <w:uiPriority w:val="99"/>
    <w:rsid w:val="00293137"/>
    <w:rPr>
      <w:sz w:val="20"/>
      <w:szCs w:val="20"/>
    </w:rPr>
  </w:style>
  <w:style w:type="paragraph" w:styleId="CommentSubject">
    <w:name w:val="annotation subject"/>
    <w:basedOn w:val="CommentText"/>
    <w:next w:val="CommentText"/>
    <w:link w:val="CommentSubjectChar"/>
    <w:uiPriority w:val="99"/>
    <w:semiHidden/>
    <w:unhideWhenUsed/>
    <w:rsid w:val="00293137"/>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paragraph" w:customStyle="1" w:styleId="Chapter3">
    <w:name w:val="Chapter 3"/>
    <w:basedOn w:val="Normal"/>
    <w:rsid w:val="00BC1B14"/>
    <w:pPr>
      <w:numPr>
        <w:numId w:val="8"/>
      </w:numPr>
      <w:spacing w:before="120" w:after="120"/>
    </w:pPr>
    <w:rPr>
      <w:snapToGrid w:val="0"/>
      <w:szCs w:val="20"/>
      <w:lang w:val="en-AU"/>
    </w:rPr>
  </w:style>
  <w:style w:type="paragraph" w:customStyle="1" w:styleId="Numberedparagraph">
    <w:name w:val="Numbered paragraph"/>
    <w:basedOn w:val="Normal"/>
    <w:link w:val="NumberedparagraphChar"/>
    <w:rsid w:val="00D81D80"/>
    <w:pPr>
      <w:numPr>
        <w:numId w:val="11"/>
      </w:numPr>
      <w:spacing w:before="120"/>
    </w:pPr>
    <w:rPr>
      <w:rFonts w:ascii="Verdana" w:hAnsi="Verdana"/>
      <w:sz w:val="20"/>
      <w:szCs w:val="20"/>
      <w:lang w:eastAsia="en-AU"/>
    </w:rPr>
  </w:style>
  <w:style w:type="character" w:customStyle="1" w:styleId="NumberedparagraphChar">
    <w:name w:val="Numbered paragraph Char"/>
    <w:link w:val="Numberedparagraph"/>
    <w:rsid w:val="00D81D80"/>
    <w:rPr>
      <w:rFonts w:ascii="Verdana" w:eastAsia="Times New Roman" w:hAnsi="Verdana" w:cs="Times New Roman"/>
      <w:sz w:val="20"/>
      <w:szCs w:val="20"/>
      <w:lang w:eastAsia="en-AU"/>
    </w:rPr>
  </w:style>
  <w:style w:type="paragraph" w:customStyle="1" w:styleId="ListBulletOCTC">
    <w:name w:val="List Bullet OCTC"/>
    <w:basedOn w:val="Normal"/>
    <w:rsid w:val="00D81D80"/>
    <w:pPr>
      <w:numPr>
        <w:numId w:val="12"/>
      </w:numPr>
      <w:tabs>
        <w:tab w:val="clear" w:pos="596"/>
      </w:tabs>
      <w:spacing w:before="120"/>
      <w:ind w:left="1134" w:hanging="567"/>
    </w:pPr>
    <w:rPr>
      <w:rFonts w:ascii="Verdana" w:hAnsi="Verdana"/>
      <w:sz w:val="20"/>
      <w:szCs w:val="20"/>
      <w:lang w:eastAsia="en-AU"/>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paragraph" w:customStyle="1" w:styleId="HeadingOCTC">
    <w:name w:val="Heading OCTC"/>
    <w:basedOn w:val="Heading1"/>
    <w:link w:val="HeadingOCTCChar"/>
    <w:rsid w:val="00517BEA"/>
    <w:pPr>
      <w:keepLines w:val="0"/>
      <w:spacing w:before="360"/>
    </w:pPr>
    <w:rPr>
      <w:rFonts w:ascii="Verdana" w:hAnsi="Verdana"/>
      <w:bCs w:val="0"/>
      <w:szCs w:val="20"/>
      <w:lang w:eastAsia="en-AU"/>
    </w:rPr>
  </w:style>
  <w:style w:type="character" w:customStyle="1" w:styleId="HeadingOCTCChar">
    <w:name w:val="Heading OCTC Char"/>
    <w:link w:val="HeadingOCTC"/>
    <w:rsid w:val="00517BEA"/>
    <w:rPr>
      <w:rFonts w:ascii="Verdana" w:eastAsia="Times New Roman" w:hAnsi="Verdana" w:cs="Times New Roman"/>
      <w:b/>
      <w:bCs w:val="0"/>
      <w:color w:val="365F91"/>
      <w:sz w:val="28"/>
      <w:szCs w:val="20"/>
      <w:lang w:eastAsia="en-AU"/>
    </w:rPr>
  </w:style>
  <w:style w:type="character" w:styleId="HTMLDefinition">
    <w:name w:val="HTML Definition"/>
    <w:uiPriority w:val="99"/>
    <w:semiHidden/>
    <w:unhideWhenUsed/>
    <w:rsid w:val="00537B8B"/>
    <w:rPr>
      <w:i/>
      <w:iCs/>
    </w:rPr>
  </w:style>
  <w:style w:type="character" w:customStyle="1" w:styleId="label">
    <w:name w:val="label"/>
    <w:basedOn w:val="DefaultParagraphFont"/>
    <w:rsid w:val="00537B8B"/>
  </w:style>
  <w:style w:type="character" w:customStyle="1" w:styleId="q1">
    <w:name w:val="q1"/>
    <w:rsid w:val="00537B8B"/>
    <w:rPr>
      <w:b w:val="0"/>
      <w:bCs w:val="0"/>
      <w:i w:val="0"/>
      <w:iCs w:val="0"/>
      <w:spacing w:val="15"/>
    </w:rPr>
  </w:style>
  <w:style w:type="paragraph" w:customStyle="1" w:styleId="text1">
    <w:name w:val="text1"/>
    <w:basedOn w:val="Normal"/>
    <w:rsid w:val="00537B8B"/>
    <w:pPr>
      <w:spacing w:line="288" w:lineRule="atLeast"/>
    </w:pPr>
    <w:rPr>
      <w:color w:val="000000"/>
      <w:szCs w:val="24"/>
      <w:lang w:eastAsia="en-NZ"/>
    </w:rPr>
  </w:style>
  <w:style w:type="paragraph" w:customStyle="1" w:styleId="labelled4">
    <w:name w:val="labelled4"/>
    <w:basedOn w:val="Normal"/>
    <w:rsid w:val="00537B8B"/>
    <w:pPr>
      <w:spacing w:line="288" w:lineRule="atLeast"/>
      <w:ind w:right="240"/>
    </w:pPr>
    <w:rPr>
      <w:color w:val="000000"/>
      <w:szCs w:val="24"/>
      <w:lang w:eastAsia="en-NZ"/>
    </w:rPr>
  </w:style>
  <w:style w:type="paragraph" w:styleId="Revision">
    <w:name w:val="Revision"/>
    <w:hidden/>
    <w:uiPriority w:val="99"/>
    <w:semiHidden/>
    <w:rsid w:val="0005766C"/>
    <w:rPr>
      <w:sz w:val="22"/>
      <w:szCs w:val="22"/>
      <w:lang w:eastAsia="en-US"/>
    </w:rPr>
  </w:style>
  <w:style w:type="paragraph" w:styleId="NoSpacing">
    <w:name w:val="No Spacing"/>
    <w:uiPriority w:val="1"/>
    <w:qFormat/>
    <w:rsid w:val="0013037B"/>
    <w:rPr>
      <w:sz w:val="24"/>
      <w:szCs w:val="22"/>
      <w:lang w:eastAsia="en-US"/>
    </w:rPr>
  </w:style>
  <w:style w:type="paragraph" w:styleId="BodyText">
    <w:name w:val="Body Text"/>
    <w:basedOn w:val="Normal"/>
    <w:link w:val="BodyTextChar"/>
    <w:rsid w:val="005A3CD8"/>
    <w:rPr>
      <w:szCs w:val="20"/>
      <w:lang w:val="en-GB" w:eastAsia="en-AU"/>
    </w:rPr>
  </w:style>
  <w:style w:type="character" w:customStyle="1" w:styleId="BodyTextChar">
    <w:name w:val="Body Text Char"/>
    <w:link w:val="BodyText"/>
    <w:rsid w:val="005A3CD8"/>
    <w:rPr>
      <w:rFonts w:eastAsia="Times New Roman" w:cs="Times New Roman"/>
      <w:sz w:val="24"/>
      <w:szCs w:val="20"/>
      <w:lang w:val="en-GB" w:eastAsia="en-AU"/>
    </w:rPr>
  </w:style>
  <w:style w:type="paragraph" w:customStyle="1" w:styleId="Bullets">
    <w:name w:val="Bullets"/>
    <w:basedOn w:val="ListParagraph"/>
    <w:link w:val="BulletsChar"/>
    <w:qFormat/>
    <w:rsid w:val="005A3CD8"/>
    <w:pPr>
      <w:numPr>
        <w:numId w:val="10"/>
      </w:numPr>
      <w:spacing w:after="140"/>
      <w:ind w:left="567" w:hanging="567"/>
      <w:contextualSpacing w:val="0"/>
    </w:pPr>
  </w:style>
  <w:style w:type="character" w:customStyle="1" w:styleId="ListParagraphChar">
    <w:name w:val="List Paragraph Char"/>
    <w:link w:val="ListParagraph"/>
    <w:uiPriority w:val="34"/>
    <w:rsid w:val="005A3CD8"/>
    <w:rPr>
      <w:sz w:val="24"/>
    </w:rPr>
  </w:style>
  <w:style w:type="character" w:customStyle="1" w:styleId="BulletsChar">
    <w:name w:val="Bullets Char"/>
    <w:link w:val="Bullets"/>
    <w:rsid w:val="005A3CD8"/>
    <w:rPr>
      <w:sz w:val="24"/>
    </w:rPr>
  </w:style>
  <w:style w:type="character" w:styleId="BookTitle">
    <w:name w:val="Book Title"/>
    <w:uiPriority w:val="33"/>
    <w:qFormat/>
    <w:rsid w:val="00134BE1"/>
    <w:rPr>
      <w:b/>
      <w:bCs/>
      <w:smallCaps/>
      <w:spacing w:val="5"/>
    </w:rPr>
  </w:style>
  <w:style w:type="character" w:styleId="Strong">
    <w:name w:val="Strong"/>
    <w:uiPriority w:val="22"/>
    <w:qFormat/>
    <w:rsid w:val="00134BE1"/>
    <w:rPr>
      <w:b/>
      <w:bCs/>
    </w:rPr>
  </w:style>
  <w:style w:type="table" w:styleId="TableGrid">
    <w:name w:val="Table Grid"/>
    <w:basedOn w:val="TableNormal"/>
    <w:uiPriority w:val="59"/>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594">
      <w:bodyDiv w:val="1"/>
      <w:marLeft w:val="0"/>
      <w:marRight w:val="0"/>
      <w:marTop w:val="0"/>
      <w:marBottom w:val="0"/>
      <w:divBdr>
        <w:top w:val="none" w:sz="0" w:space="0" w:color="auto"/>
        <w:left w:val="none" w:sz="0" w:space="0" w:color="auto"/>
        <w:bottom w:val="none" w:sz="0" w:space="0" w:color="auto"/>
        <w:right w:val="none" w:sz="0" w:space="0" w:color="auto"/>
      </w:divBdr>
    </w:div>
    <w:div w:id="289366972">
      <w:bodyDiv w:val="1"/>
      <w:marLeft w:val="0"/>
      <w:marRight w:val="0"/>
      <w:marTop w:val="0"/>
      <w:marBottom w:val="0"/>
      <w:divBdr>
        <w:top w:val="none" w:sz="0" w:space="0" w:color="auto"/>
        <w:left w:val="none" w:sz="0" w:space="0" w:color="auto"/>
        <w:bottom w:val="none" w:sz="0" w:space="0" w:color="auto"/>
        <w:right w:val="none" w:sz="0" w:space="0" w:color="auto"/>
      </w:divBdr>
      <w:divsChild>
        <w:div w:id="1952515530">
          <w:marLeft w:val="0"/>
          <w:marRight w:val="0"/>
          <w:marTop w:val="0"/>
          <w:marBottom w:val="0"/>
          <w:divBdr>
            <w:top w:val="none" w:sz="0" w:space="0" w:color="auto"/>
            <w:left w:val="none" w:sz="0" w:space="0" w:color="auto"/>
            <w:bottom w:val="none" w:sz="0" w:space="0" w:color="auto"/>
            <w:right w:val="none" w:sz="0" w:space="0" w:color="auto"/>
          </w:divBdr>
          <w:divsChild>
            <w:div w:id="1900944279">
              <w:marLeft w:val="0"/>
              <w:marRight w:val="0"/>
              <w:marTop w:val="0"/>
              <w:marBottom w:val="0"/>
              <w:divBdr>
                <w:top w:val="none" w:sz="0" w:space="0" w:color="auto"/>
                <w:left w:val="none" w:sz="0" w:space="0" w:color="auto"/>
                <w:bottom w:val="none" w:sz="0" w:space="0" w:color="auto"/>
                <w:right w:val="none" w:sz="0" w:space="0" w:color="auto"/>
              </w:divBdr>
              <w:divsChild>
                <w:div w:id="654262056">
                  <w:marLeft w:val="0"/>
                  <w:marRight w:val="0"/>
                  <w:marTop w:val="105"/>
                  <w:marBottom w:val="0"/>
                  <w:divBdr>
                    <w:top w:val="none" w:sz="0" w:space="0" w:color="auto"/>
                    <w:left w:val="none" w:sz="0" w:space="0" w:color="auto"/>
                    <w:bottom w:val="none" w:sz="0" w:space="0" w:color="auto"/>
                    <w:right w:val="none" w:sz="0" w:space="0" w:color="auto"/>
                  </w:divBdr>
                  <w:divsChild>
                    <w:div w:id="979533530">
                      <w:marLeft w:val="450"/>
                      <w:marRight w:val="225"/>
                      <w:marTop w:val="0"/>
                      <w:marBottom w:val="0"/>
                      <w:divBdr>
                        <w:top w:val="none" w:sz="0" w:space="0" w:color="auto"/>
                        <w:left w:val="none" w:sz="0" w:space="0" w:color="auto"/>
                        <w:bottom w:val="none" w:sz="0" w:space="0" w:color="auto"/>
                        <w:right w:val="none" w:sz="0" w:space="0" w:color="auto"/>
                      </w:divBdr>
                      <w:divsChild>
                        <w:div w:id="724910596">
                          <w:marLeft w:val="0"/>
                          <w:marRight w:val="0"/>
                          <w:marTop w:val="0"/>
                          <w:marBottom w:val="600"/>
                          <w:divBdr>
                            <w:top w:val="single" w:sz="6" w:space="0" w:color="314664"/>
                            <w:left w:val="single" w:sz="6" w:space="0" w:color="314664"/>
                            <w:bottom w:val="single" w:sz="6" w:space="0" w:color="314664"/>
                            <w:right w:val="single" w:sz="6" w:space="0" w:color="314664"/>
                          </w:divBdr>
                          <w:divsChild>
                            <w:div w:id="1254169002">
                              <w:marLeft w:val="0"/>
                              <w:marRight w:val="0"/>
                              <w:marTop w:val="0"/>
                              <w:marBottom w:val="0"/>
                              <w:divBdr>
                                <w:top w:val="none" w:sz="0" w:space="0" w:color="auto"/>
                                <w:left w:val="none" w:sz="0" w:space="0" w:color="auto"/>
                                <w:bottom w:val="none" w:sz="0" w:space="0" w:color="auto"/>
                                <w:right w:val="none" w:sz="0" w:space="0" w:color="auto"/>
                              </w:divBdr>
                              <w:divsChild>
                                <w:div w:id="1053429943">
                                  <w:marLeft w:val="0"/>
                                  <w:marRight w:val="0"/>
                                  <w:marTop w:val="0"/>
                                  <w:marBottom w:val="0"/>
                                  <w:divBdr>
                                    <w:top w:val="none" w:sz="0" w:space="0" w:color="auto"/>
                                    <w:left w:val="none" w:sz="0" w:space="0" w:color="auto"/>
                                    <w:bottom w:val="none" w:sz="0" w:space="0" w:color="auto"/>
                                    <w:right w:val="none" w:sz="0" w:space="0" w:color="auto"/>
                                  </w:divBdr>
                                  <w:divsChild>
                                    <w:div w:id="2007662469">
                                      <w:marLeft w:val="0"/>
                                      <w:marRight w:val="0"/>
                                      <w:marTop w:val="0"/>
                                      <w:marBottom w:val="0"/>
                                      <w:divBdr>
                                        <w:top w:val="none" w:sz="0" w:space="0" w:color="auto"/>
                                        <w:left w:val="none" w:sz="0" w:space="0" w:color="auto"/>
                                        <w:bottom w:val="none" w:sz="0" w:space="0" w:color="auto"/>
                                        <w:right w:val="none" w:sz="0" w:space="0" w:color="auto"/>
                                      </w:divBdr>
                                      <w:divsChild>
                                        <w:div w:id="1314219138">
                                          <w:marLeft w:val="0"/>
                                          <w:marRight w:val="0"/>
                                          <w:marTop w:val="0"/>
                                          <w:marBottom w:val="0"/>
                                          <w:divBdr>
                                            <w:top w:val="none" w:sz="0" w:space="0" w:color="auto"/>
                                            <w:left w:val="none" w:sz="0" w:space="0" w:color="auto"/>
                                            <w:bottom w:val="none" w:sz="0" w:space="0" w:color="auto"/>
                                            <w:right w:val="none" w:sz="0" w:space="0" w:color="auto"/>
                                          </w:divBdr>
                                          <w:divsChild>
                                            <w:div w:id="1344864802">
                                              <w:marLeft w:val="0"/>
                                              <w:marRight w:val="0"/>
                                              <w:marTop w:val="0"/>
                                              <w:marBottom w:val="0"/>
                                              <w:divBdr>
                                                <w:top w:val="none" w:sz="0" w:space="0" w:color="auto"/>
                                                <w:left w:val="none" w:sz="0" w:space="0" w:color="auto"/>
                                                <w:bottom w:val="none" w:sz="0" w:space="0" w:color="auto"/>
                                                <w:right w:val="none" w:sz="0" w:space="0" w:color="auto"/>
                                              </w:divBdr>
                                              <w:divsChild>
                                                <w:div w:id="474834886">
                                                  <w:marLeft w:val="0"/>
                                                  <w:marRight w:val="0"/>
                                                  <w:marTop w:val="0"/>
                                                  <w:marBottom w:val="0"/>
                                                  <w:divBdr>
                                                    <w:top w:val="none" w:sz="0" w:space="0" w:color="auto"/>
                                                    <w:left w:val="none" w:sz="0" w:space="0" w:color="auto"/>
                                                    <w:bottom w:val="none" w:sz="0" w:space="0" w:color="auto"/>
                                                    <w:right w:val="none" w:sz="0" w:space="0" w:color="auto"/>
                                                  </w:divBdr>
                                                  <w:divsChild>
                                                    <w:div w:id="489952765">
                                                      <w:marLeft w:val="0"/>
                                                      <w:marRight w:val="0"/>
                                                      <w:marTop w:val="0"/>
                                                      <w:marBottom w:val="0"/>
                                                      <w:divBdr>
                                                        <w:top w:val="none" w:sz="0" w:space="0" w:color="auto"/>
                                                        <w:left w:val="none" w:sz="0" w:space="0" w:color="auto"/>
                                                        <w:bottom w:val="none" w:sz="0" w:space="0" w:color="auto"/>
                                                        <w:right w:val="none" w:sz="0" w:space="0" w:color="auto"/>
                                                      </w:divBdr>
                                                      <w:divsChild>
                                                        <w:div w:id="1295066279">
                                                          <w:marLeft w:val="-720"/>
                                                          <w:marRight w:val="0"/>
                                                          <w:marTop w:val="0"/>
                                                          <w:marBottom w:val="0"/>
                                                          <w:divBdr>
                                                            <w:top w:val="none" w:sz="0" w:space="0" w:color="auto"/>
                                                            <w:left w:val="none" w:sz="0" w:space="0" w:color="auto"/>
                                                            <w:bottom w:val="none" w:sz="0" w:space="0" w:color="auto"/>
                                                            <w:right w:val="none" w:sz="0" w:space="0" w:color="auto"/>
                                                          </w:divBdr>
                                                          <w:divsChild>
                                                            <w:div w:id="1621182898">
                                                              <w:blockQuote w:val="1"/>
                                                              <w:marLeft w:val="0"/>
                                                              <w:marRight w:val="0"/>
                                                              <w:marTop w:val="0"/>
                                                              <w:marBottom w:val="0"/>
                                                              <w:divBdr>
                                                                <w:top w:val="none" w:sz="0" w:space="0" w:color="auto"/>
                                                                <w:left w:val="none" w:sz="0" w:space="0" w:color="auto"/>
                                                                <w:bottom w:val="none" w:sz="0" w:space="0" w:color="auto"/>
                                                                <w:right w:val="none" w:sz="0" w:space="0" w:color="auto"/>
                                                              </w:divBdr>
                                                              <w:divsChild>
                                                                <w:div w:id="115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044839">
      <w:bodyDiv w:val="1"/>
      <w:marLeft w:val="0"/>
      <w:marRight w:val="0"/>
      <w:marTop w:val="0"/>
      <w:marBottom w:val="0"/>
      <w:divBdr>
        <w:top w:val="none" w:sz="0" w:space="0" w:color="auto"/>
        <w:left w:val="none" w:sz="0" w:space="0" w:color="auto"/>
        <w:bottom w:val="none" w:sz="0" w:space="0" w:color="auto"/>
        <w:right w:val="none" w:sz="0" w:space="0" w:color="auto"/>
      </w:divBdr>
    </w:div>
    <w:div w:id="349259691">
      <w:bodyDiv w:val="1"/>
      <w:marLeft w:val="0"/>
      <w:marRight w:val="0"/>
      <w:marTop w:val="0"/>
      <w:marBottom w:val="0"/>
      <w:divBdr>
        <w:top w:val="none" w:sz="0" w:space="0" w:color="auto"/>
        <w:left w:val="none" w:sz="0" w:space="0" w:color="auto"/>
        <w:bottom w:val="none" w:sz="0" w:space="0" w:color="auto"/>
        <w:right w:val="none" w:sz="0" w:space="0" w:color="auto"/>
      </w:divBdr>
      <w:divsChild>
        <w:div w:id="2131121165">
          <w:marLeft w:val="0"/>
          <w:marRight w:val="0"/>
          <w:marTop w:val="0"/>
          <w:marBottom w:val="0"/>
          <w:divBdr>
            <w:top w:val="none" w:sz="0" w:space="0" w:color="auto"/>
            <w:left w:val="none" w:sz="0" w:space="0" w:color="auto"/>
            <w:bottom w:val="none" w:sz="0" w:space="0" w:color="auto"/>
            <w:right w:val="none" w:sz="0" w:space="0" w:color="auto"/>
          </w:divBdr>
          <w:divsChild>
            <w:div w:id="692918567">
              <w:marLeft w:val="0"/>
              <w:marRight w:val="0"/>
              <w:marTop w:val="0"/>
              <w:marBottom w:val="0"/>
              <w:divBdr>
                <w:top w:val="none" w:sz="0" w:space="0" w:color="auto"/>
                <w:left w:val="none" w:sz="0" w:space="0" w:color="auto"/>
                <w:bottom w:val="none" w:sz="0" w:space="0" w:color="auto"/>
                <w:right w:val="none" w:sz="0" w:space="0" w:color="auto"/>
              </w:divBdr>
              <w:divsChild>
                <w:div w:id="1117678350">
                  <w:marLeft w:val="0"/>
                  <w:marRight w:val="0"/>
                  <w:marTop w:val="105"/>
                  <w:marBottom w:val="0"/>
                  <w:divBdr>
                    <w:top w:val="none" w:sz="0" w:space="0" w:color="auto"/>
                    <w:left w:val="none" w:sz="0" w:space="0" w:color="auto"/>
                    <w:bottom w:val="none" w:sz="0" w:space="0" w:color="auto"/>
                    <w:right w:val="none" w:sz="0" w:space="0" w:color="auto"/>
                  </w:divBdr>
                  <w:divsChild>
                    <w:div w:id="1467159391">
                      <w:marLeft w:val="450"/>
                      <w:marRight w:val="225"/>
                      <w:marTop w:val="0"/>
                      <w:marBottom w:val="0"/>
                      <w:divBdr>
                        <w:top w:val="none" w:sz="0" w:space="0" w:color="auto"/>
                        <w:left w:val="none" w:sz="0" w:space="0" w:color="auto"/>
                        <w:bottom w:val="none" w:sz="0" w:space="0" w:color="auto"/>
                        <w:right w:val="none" w:sz="0" w:space="0" w:color="auto"/>
                      </w:divBdr>
                      <w:divsChild>
                        <w:div w:id="654917905">
                          <w:marLeft w:val="0"/>
                          <w:marRight w:val="0"/>
                          <w:marTop w:val="0"/>
                          <w:marBottom w:val="600"/>
                          <w:divBdr>
                            <w:top w:val="single" w:sz="6" w:space="0" w:color="314664"/>
                            <w:left w:val="single" w:sz="6" w:space="0" w:color="314664"/>
                            <w:bottom w:val="single" w:sz="6" w:space="0" w:color="314664"/>
                            <w:right w:val="single" w:sz="6" w:space="0" w:color="314664"/>
                          </w:divBdr>
                          <w:divsChild>
                            <w:div w:id="1612516340">
                              <w:marLeft w:val="0"/>
                              <w:marRight w:val="0"/>
                              <w:marTop w:val="0"/>
                              <w:marBottom w:val="0"/>
                              <w:divBdr>
                                <w:top w:val="none" w:sz="0" w:space="0" w:color="auto"/>
                                <w:left w:val="none" w:sz="0" w:space="0" w:color="auto"/>
                                <w:bottom w:val="none" w:sz="0" w:space="0" w:color="auto"/>
                                <w:right w:val="none" w:sz="0" w:space="0" w:color="auto"/>
                              </w:divBdr>
                              <w:divsChild>
                                <w:div w:id="1169752727">
                                  <w:marLeft w:val="0"/>
                                  <w:marRight w:val="0"/>
                                  <w:marTop w:val="0"/>
                                  <w:marBottom w:val="0"/>
                                  <w:divBdr>
                                    <w:top w:val="none" w:sz="0" w:space="0" w:color="auto"/>
                                    <w:left w:val="none" w:sz="0" w:space="0" w:color="auto"/>
                                    <w:bottom w:val="none" w:sz="0" w:space="0" w:color="auto"/>
                                    <w:right w:val="none" w:sz="0" w:space="0" w:color="auto"/>
                                  </w:divBdr>
                                  <w:divsChild>
                                    <w:div w:id="116411616">
                                      <w:marLeft w:val="0"/>
                                      <w:marRight w:val="0"/>
                                      <w:marTop w:val="0"/>
                                      <w:marBottom w:val="0"/>
                                      <w:divBdr>
                                        <w:top w:val="none" w:sz="0" w:space="0" w:color="auto"/>
                                        <w:left w:val="none" w:sz="0" w:space="0" w:color="auto"/>
                                        <w:bottom w:val="none" w:sz="0" w:space="0" w:color="auto"/>
                                        <w:right w:val="none" w:sz="0" w:space="0" w:color="auto"/>
                                      </w:divBdr>
                                      <w:divsChild>
                                        <w:div w:id="1795169342">
                                          <w:marLeft w:val="0"/>
                                          <w:marRight w:val="0"/>
                                          <w:marTop w:val="0"/>
                                          <w:marBottom w:val="0"/>
                                          <w:divBdr>
                                            <w:top w:val="none" w:sz="0" w:space="0" w:color="auto"/>
                                            <w:left w:val="none" w:sz="0" w:space="0" w:color="auto"/>
                                            <w:bottom w:val="none" w:sz="0" w:space="0" w:color="auto"/>
                                            <w:right w:val="none" w:sz="0" w:space="0" w:color="auto"/>
                                          </w:divBdr>
                                          <w:divsChild>
                                            <w:div w:id="1921987891">
                                              <w:marLeft w:val="0"/>
                                              <w:marRight w:val="0"/>
                                              <w:marTop w:val="0"/>
                                              <w:marBottom w:val="0"/>
                                              <w:divBdr>
                                                <w:top w:val="none" w:sz="0" w:space="0" w:color="auto"/>
                                                <w:left w:val="none" w:sz="0" w:space="0" w:color="auto"/>
                                                <w:bottom w:val="none" w:sz="0" w:space="0" w:color="auto"/>
                                                <w:right w:val="none" w:sz="0" w:space="0" w:color="auto"/>
                                              </w:divBdr>
                                              <w:divsChild>
                                                <w:div w:id="662049609">
                                                  <w:marLeft w:val="0"/>
                                                  <w:marRight w:val="0"/>
                                                  <w:marTop w:val="0"/>
                                                  <w:marBottom w:val="0"/>
                                                  <w:divBdr>
                                                    <w:top w:val="none" w:sz="0" w:space="0" w:color="auto"/>
                                                    <w:left w:val="none" w:sz="0" w:space="0" w:color="auto"/>
                                                    <w:bottom w:val="none" w:sz="0" w:space="0" w:color="auto"/>
                                                    <w:right w:val="none" w:sz="0" w:space="0" w:color="auto"/>
                                                  </w:divBdr>
                                                  <w:divsChild>
                                                    <w:div w:id="1221356663">
                                                      <w:marLeft w:val="0"/>
                                                      <w:marRight w:val="0"/>
                                                      <w:marTop w:val="0"/>
                                                      <w:marBottom w:val="0"/>
                                                      <w:divBdr>
                                                        <w:top w:val="none" w:sz="0" w:space="0" w:color="auto"/>
                                                        <w:left w:val="none" w:sz="0" w:space="0" w:color="auto"/>
                                                        <w:bottom w:val="none" w:sz="0" w:space="0" w:color="auto"/>
                                                        <w:right w:val="none" w:sz="0" w:space="0" w:color="auto"/>
                                                      </w:divBdr>
                                                      <w:divsChild>
                                                        <w:div w:id="560360814">
                                                          <w:marLeft w:val="0"/>
                                                          <w:marRight w:val="0"/>
                                                          <w:marTop w:val="0"/>
                                                          <w:marBottom w:val="0"/>
                                                          <w:divBdr>
                                                            <w:top w:val="none" w:sz="0" w:space="0" w:color="auto"/>
                                                            <w:left w:val="none" w:sz="0" w:space="0" w:color="auto"/>
                                                            <w:bottom w:val="none" w:sz="0" w:space="0" w:color="auto"/>
                                                            <w:right w:val="none" w:sz="0" w:space="0" w:color="auto"/>
                                                          </w:divBdr>
                                                          <w:divsChild>
                                                            <w:div w:id="1935479346">
                                                              <w:marLeft w:val="0"/>
                                                              <w:marRight w:val="0"/>
                                                              <w:marTop w:val="0"/>
                                                              <w:marBottom w:val="0"/>
                                                              <w:divBdr>
                                                                <w:top w:val="none" w:sz="0" w:space="0" w:color="auto"/>
                                                                <w:left w:val="none" w:sz="0" w:space="0" w:color="auto"/>
                                                                <w:bottom w:val="none" w:sz="0" w:space="0" w:color="auto"/>
                                                                <w:right w:val="none" w:sz="0" w:space="0" w:color="auto"/>
                                                              </w:divBdr>
                                                              <w:divsChild>
                                                                <w:div w:id="1485318974">
                                                                  <w:marLeft w:val="0"/>
                                                                  <w:marRight w:val="0"/>
                                                                  <w:marTop w:val="83"/>
                                                                  <w:marBottom w:val="0"/>
                                                                  <w:divBdr>
                                                                    <w:top w:val="none" w:sz="0" w:space="0" w:color="auto"/>
                                                                    <w:left w:val="none" w:sz="0" w:space="0" w:color="auto"/>
                                                                    <w:bottom w:val="none" w:sz="0" w:space="0" w:color="auto"/>
                                                                    <w:right w:val="none" w:sz="0" w:space="0" w:color="auto"/>
                                                                  </w:divBdr>
                                                                  <w:divsChild>
                                                                    <w:div w:id="1551460685">
                                                                      <w:marLeft w:val="-626"/>
                                                                      <w:marRight w:val="0"/>
                                                                      <w:marTop w:val="0"/>
                                                                      <w:marBottom w:val="0"/>
                                                                      <w:divBdr>
                                                                        <w:top w:val="single" w:sz="6" w:space="0" w:color="E5E5E5"/>
                                                                        <w:left w:val="single" w:sz="6" w:space="0" w:color="E5E5E5"/>
                                                                        <w:bottom w:val="single" w:sz="6" w:space="0" w:color="E5E5E5"/>
                                                                        <w:right w:val="single" w:sz="6" w:space="0" w:color="E5E5E5"/>
                                                                      </w:divBdr>
                                                                      <w:divsChild>
                                                                        <w:div w:id="1902908807">
                                                                          <w:marLeft w:val="0"/>
                                                                          <w:marRight w:val="0"/>
                                                                          <w:marTop w:val="0"/>
                                                                          <w:marBottom w:val="0"/>
                                                                          <w:divBdr>
                                                                            <w:top w:val="none" w:sz="0" w:space="0" w:color="auto"/>
                                                                            <w:left w:val="none" w:sz="0" w:space="0" w:color="auto"/>
                                                                            <w:bottom w:val="none" w:sz="0" w:space="0" w:color="auto"/>
                                                                            <w:right w:val="none" w:sz="0" w:space="0" w:color="auto"/>
                                                                          </w:divBdr>
                                                                          <w:divsChild>
                                                                            <w:div w:id="1556962807">
                                                                              <w:marLeft w:val="0"/>
                                                                              <w:marRight w:val="0"/>
                                                                              <w:marTop w:val="0"/>
                                                                              <w:marBottom w:val="0"/>
                                                                              <w:divBdr>
                                                                                <w:top w:val="none" w:sz="0" w:space="0" w:color="auto"/>
                                                                                <w:left w:val="none" w:sz="0" w:space="0" w:color="auto"/>
                                                                                <w:bottom w:val="none" w:sz="0" w:space="0" w:color="auto"/>
                                                                                <w:right w:val="none" w:sz="0" w:space="0" w:color="auto"/>
                                                                              </w:divBdr>
                                                                              <w:divsChild>
                                                                                <w:div w:id="89282769">
                                                                                  <w:marLeft w:val="0"/>
                                                                                  <w:marRight w:val="0"/>
                                                                                  <w:marTop w:val="0"/>
                                                                                  <w:marBottom w:val="0"/>
                                                                                  <w:divBdr>
                                                                                    <w:top w:val="none" w:sz="0" w:space="0" w:color="auto"/>
                                                                                    <w:left w:val="none" w:sz="0" w:space="0" w:color="auto"/>
                                                                                    <w:bottom w:val="none" w:sz="0" w:space="0" w:color="auto"/>
                                                                                    <w:right w:val="none" w:sz="0" w:space="0" w:color="auto"/>
                                                                                  </w:divBdr>
                                                                                  <w:divsChild>
                                                                                    <w:div w:id="1141970295">
                                                                                      <w:marLeft w:val="0"/>
                                                                                      <w:marRight w:val="0"/>
                                                                                      <w:marTop w:val="83"/>
                                                                                      <w:marBottom w:val="0"/>
                                                                                      <w:divBdr>
                                                                                        <w:top w:val="none" w:sz="0" w:space="0" w:color="auto"/>
                                                                                        <w:left w:val="none" w:sz="0" w:space="0" w:color="auto"/>
                                                                                        <w:bottom w:val="none" w:sz="0" w:space="0" w:color="auto"/>
                                                                                        <w:right w:val="none" w:sz="0" w:space="0" w:color="auto"/>
                                                                                      </w:divBdr>
                                                                                      <w:divsChild>
                                                                                        <w:div w:id="756095467">
                                                                                          <w:marLeft w:val="0"/>
                                                                                          <w:marRight w:val="0"/>
                                                                                          <w:marTop w:val="0"/>
                                                                                          <w:marBottom w:val="0"/>
                                                                                          <w:divBdr>
                                                                                            <w:top w:val="none" w:sz="0" w:space="0" w:color="auto"/>
                                                                                            <w:left w:val="none" w:sz="0" w:space="0" w:color="auto"/>
                                                                                            <w:bottom w:val="none" w:sz="0" w:space="0" w:color="auto"/>
                                                                                            <w:right w:val="none" w:sz="0" w:space="0" w:color="auto"/>
                                                                                          </w:divBdr>
                                                                                          <w:divsChild>
                                                                                            <w:div w:id="2139300624">
                                                                                              <w:marLeft w:val="0"/>
                                                                                              <w:marRight w:val="0"/>
                                                                                              <w:marTop w:val="83"/>
                                                                                              <w:marBottom w:val="0"/>
                                                                                              <w:divBdr>
                                                                                                <w:top w:val="none" w:sz="0" w:space="0" w:color="auto"/>
                                                                                                <w:left w:val="none" w:sz="0" w:space="0" w:color="auto"/>
                                                                                                <w:bottom w:val="none" w:sz="0" w:space="0" w:color="auto"/>
                                                                                                <w:right w:val="none" w:sz="0" w:space="0" w:color="auto"/>
                                                                                              </w:divBdr>
                                                                                              <w:divsChild>
                                                                                                <w:div w:id="1170634401">
                                                                                                  <w:marLeft w:val="0"/>
                                                                                                  <w:marRight w:val="0"/>
                                                                                                  <w:marTop w:val="0"/>
                                                                                                  <w:marBottom w:val="0"/>
                                                                                                  <w:divBdr>
                                                                                                    <w:top w:val="none" w:sz="0" w:space="0" w:color="auto"/>
                                                                                                    <w:left w:val="none" w:sz="0" w:space="0" w:color="auto"/>
                                                                                                    <w:bottom w:val="none" w:sz="0" w:space="0" w:color="auto"/>
                                                                                                    <w:right w:val="none" w:sz="0" w:space="0" w:color="auto"/>
                                                                                                  </w:divBdr>
                                                                                                  <w:divsChild>
                                                                                                    <w:div w:id="1832526308">
                                                                                                      <w:marLeft w:val="0"/>
                                                                                                      <w:marRight w:val="0"/>
                                                                                                      <w:marTop w:val="83"/>
                                                                                                      <w:marBottom w:val="0"/>
                                                                                                      <w:divBdr>
                                                                                                        <w:top w:val="none" w:sz="0" w:space="0" w:color="auto"/>
                                                                                                        <w:left w:val="none" w:sz="0" w:space="0" w:color="auto"/>
                                                                                                        <w:bottom w:val="none" w:sz="0" w:space="0" w:color="auto"/>
                                                                                                        <w:right w:val="none" w:sz="0" w:space="0" w:color="auto"/>
                                                                                                      </w:divBdr>
                                                                                                    </w:div>
                                                                                                  </w:divsChild>
                                                                                                </w:div>
                                                                                                <w:div w:id="65886211">
                                                                                                  <w:marLeft w:val="0"/>
                                                                                                  <w:marRight w:val="0"/>
                                                                                                  <w:marTop w:val="0"/>
                                                                                                  <w:marBottom w:val="0"/>
                                                                                                  <w:divBdr>
                                                                                                    <w:top w:val="none" w:sz="0" w:space="0" w:color="auto"/>
                                                                                                    <w:left w:val="none" w:sz="0" w:space="0" w:color="auto"/>
                                                                                                    <w:bottom w:val="none" w:sz="0" w:space="0" w:color="auto"/>
                                                                                                    <w:right w:val="none" w:sz="0" w:space="0" w:color="auto"/>
                                                                                                  </w:divBdr>
                                                                                                  <w:divsChild>
                                                                                                    <w:div w:id="9248485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39894911">
                                                                                          <w:marLeft w:val="0"/>
                                                                                          <w:marRight w:val="0"/>
                                                                                          <w:marTop w:val="0"/>
                                                                                          <w:marBottom w:val="0"/>
                                                                                          <w:divBdr>
                                                                                            <w:top w:val="none" w:sz="0" w:space="0" w:color="auto"/>
                                                                                            <w:left w:val="none" w:sz="0" w:space="0" w:color="auto"/>
                                                                                            <w:bottom w:val="none" w:sz="0" w:space="0" w:color="auto"/>
                                                                                            <w:right w:val="none" w:sz="0" w:space="0" w:color="auto"/>
                                                                                          </w:divBdr>
                                                                                          <w:divsChild>
                                                                                            <w:div w:id="1643732158">
                                                                                              <w:marLeft w:val="0"/>
                                                                                              <w:marRight w:val="0"/>
                                                                                              <w:marTop w:val="83"/>
                                                                                              <w:marBottom w:val="0"/>
                                                                                              <w:divBdr>
                                                                                                <w:top w:val="none" w:sz="0" w:space="0" w:color="auto"/>
                                                                                                <w:left w:val="none" w:sz="0" w:space="0" w:color="auto"/>
                                                                                                <w:bottom w:val="none" w:sz="0" w:space="0" w:color="auto"/>
                                                                                                <w:right w:val="none" w:sz="0" w:space="0" w:color="auto"/>
                                                                                              </w:divBdr>
                                                                                            </w:div>
                                                                                          </w:divsChild>
                                                                                        </w:div>
                                                                                        <w:div w:id="909073009">
                                                                                          <w:marLeft w:val="0"/>
                                                                                          <w:marRight w:val="0"/>
                                                                                          <w:marTop w:val="0"/>
                                                                                          <w:marBottom w:val="0"/>
                                                                                          <w:divBdr>
                                                                                            <w:top w:val="none" w:sz="0" w:space="0" w:color="auto"/>
                                                                                            <w:left w:val="none" w:sz="0" w:space="0" w:color="auto"/>
                                                                                            <w:bottom w:val="none" w:sz="0" w:space="0" w:color="auto"/>
                                                                                            <w:right w:val="none" w:sz="0" w:space="0" w:color="auto"/>
                                                                                          </w:divBdr>
                                                                                          <w:divsChild>
                                                                                            <w:div w:id="586959371">
                                                                                              <w:marLeft w:val="0"/>
                                                                                              <w:marRight w:val="0"/>
                                                                                              <w:marTop w:val="83"/>
                                                                                              <w:marBottom w:val="0"/>
                                                                                              <w:divBdr>
                                                                                                <w:top w:val="none" w:sz="0" w:space="0" w:color="auto"/>
                                                                                                <w:left w:val="none" w:sz="0" w:space="0" w:color="auto"/>
                                                                                                <w:bottom w:val="none" w:sz="0" w:space="0" w:color="auto"/>
                                                                                                <w:right w:val="none" w:sz="0" w:space="0" w:color="auto"/>
                                                                                              </w:divBdr>
                                                                                              <w:divsChild>
                                                                                                <w:div w:id="583607693">
                                                                                                  <w:marLeft w:val="0"/>
                                                                                                  <w:marRight w:val="0"/>
                                                                                                  <w:marTop w:val="0"/>
                                                                                                  <w:marBottom w:val="0"/>
                                                                                                  <w:divBdr>
                                                                                                    <w:top w:val="none" w:sz="0" w:space="0" w:color="auto"/>
                                                                                                    <w:left w:val="none" w:sz="0" w:space="0" w:color="auto"/>
                                                                                                    <w:bottom w:val="none" w:sz="0" w:space="0" w:color="auto"/>
                                                                                                    <w:right w:val="none" w:sz="0" w:space="0" w:color="auto"/>
                                                                                                  </w:divBdr>
                                                                                                  <w:divsChild>
                                                                                                    <w:div w:id="1174035306">
                                                                                                      <w:marLeft w:val="0"/>
                                                                                                      <w:marRight w:val="0"/>
                                                                                                      <w:marTop w:val="83"/>
                                                                                                      <w:marBottom w:val="0"/>
                                                                                                      <w:divBdr>
                                                                                                        <w:top w:val="none" w:sz="0" w:space="0" w:color="auto"/>
                                                                                                        <w:left w:val="none" w:sz="0" w:space="0" w:color="auto"/>
                                                                                                        <w:bottom w:val="none" w:sz="0" w:space="0" w:color="auto"/>
                                                                                                        <w:right w:val="none" w:sz="0" w:space="0" w:color="auto"/>
                                                                                                      </w:divBdr>
                                                                                                    </w:div>
                                                                                                  </w:divsChild>
                                                                                                </w:div>
                                                                                                <w:div w:id="1922640811">
                                                                                                  <w:marLeft w:val="0"/>
                                                                                                  <w:marRight w:val="0"/>
                                                                                                  <w:marTop w:val="0"/>
                                                                                                  <w:marBottom w:val="0"/>
                                                                                                  <w:divBdr>
                                                                                                    <w:top w:val="none" w:sz="0" w:space="0" w:color="auto"/>
                                                                                                    <w:left w:val="none" w:sz="0" w:space="0" w:color="auto"/>
                                                                                                    <w:bottom w:val="none" w:sz="0" w:space="0" w:color="auto"/>
                                                                                                    <w:right w:val="none" w:sz="0" w:space="0" w:color="auto"/>
                                                                                                  </w:divBdr>
                                                                                                  <w:divsChild>
                                                                                                    <w:div w:id="542715336">
                                                                                                      <w:marLeft w:val="0"/>
                                                                                                      <w:marRight w:val="0"/>
                                                                                                      <w:marTop w:val="83"/>
                                                                                                      <w:marBottom w:val="0"/>
                                                                                                      <w:divBdr>
                                                                                                        <w:top w:val="none" w:sz="0" w:space="0" w:color="auto"/>
                                                                                                        <w:left w:val="none" w:sz="0" w:space="0" w:color="auto"/>
                                                                                                        <w:bottom w:val="none" w:sz="0" w:space="0" w:color="auto"/>
                                                                                                        <w:right w:val="none" w:sz="0" w:space="0" w:color="auto"/>
                                                                                                      </w:divBdr>
                                                                                                    </w:div>
                                                                                                  </w:divsChild>
                                                                                                </w:div>
                                                                                                <w:div w:id="1924994888">
                                                                                                  <w:marLeft w:val="0"/>
                                                                                                  <w:marRight w:val="0"/>
                                                                                                  <w:marTop w:val="0"/>
                                                                                                  <w:marBottom w:val="0"/>
                                                                                                  <w:divBdr>
                                                                                                    <w:top w:val="none" w:sz="0" w:space="0" w:color="auto"/>
                                                                                                    <w:left w:val="none" w:sz="0" w:space="0" w:color="auto"/>
                                                                                                    <w:bottom w:val="none" w:sz="0" w:space="0" w:color="auto"/>
                                                                                                    <w:right w:val="none" w:sz="0" w:space="0" w:color="auto"/>
                                                                                                  </w:divBdr>
                                                                                                  <w:divsChild>
                                                                                                    <w:div w:id="118837213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846863">
      <w:bodyDiv w:val="1"/>
      <w:marLeft w:val="0"/>
      <w:marRight w:val="0"/>
      <w:marTop w:val="0"/>
      <w:marBottom w:val="0"/>
      <w:divBdr>
        <w:top w:val="none" w:sz="0" w:space="0" w:color="auto"/>
        <w:left w:val="none" w:sz="0" w:space="0" w:color="auto"/>
        <w:bottom w:val="none" w:sz="0" w:space="0" w:color="auto"/>
        <w:right w:val="none" w:sz="0" w:space="0" w:color="auto"/>
      </w:divBdr>
    </w:div>
    <w:div w:id="1527913879">
      <w:bodyDiv w:val="1"/>
      <w:marLeft w:val="0"/>
      <w:marRight w:val="0"/>
      <w:marTop w:val="0"/>
      <w:marBottom w:val="0"/>
      <w:divBdr>
        <w:top w:val="none" w:sz="0" w:space="0" w:color="auto"/>
        <w:left w:val="none" w:sz="0" w:space="0" w:color="auto"/>
        <w:bottom w:val="none" w:sz="0" w:space="0" w:color="auto"/>
        <w:right w:val="none" w:sz="0" w:space="0" w:color="auto"/>
      </w:divBdr>
    </w:div>
    <w:div w:id="1790121137">
      <w:bodyDiv w:val="1"/>
      <w:marLeft w:val="0"/>
      <w:marRight w:val="0"/>
      <w:marTop w:val="0"/>
      <w:marBottom w:val="0"/>
      <w:divBdr>
        <w:top w:val="none" w:sz="0" w:space="0" w:color="auto"/>
        <w:left w:val="none" w:sz="0" w:space="0" w:color="auto"/>
        <w:bottom w:val="none" w:sz="0" w:space="0" w:color="auto"/>
        <w:right w:val="none" w:sz="0" w:space="0" w:color="auto"/>
      </w:divBdr>
      <w:divsChild>
        <w:div w:id="1442459510">
          <w:marLeft w:val="0"/>
          <w:marRight w:val="0"/>
          <w:marTop w:val="0"/>
          <w:marBottom w:val="0"/>
          <w:divBdr>
            <w:top w:val="none" w:sz="0" w:space="0" w:color="auto"/>
            <w:left w:val="none" w:sz="0" w:space="0" w:color="auto"/>
            <w:bottom w:val="none" w:sz="0" w:space="0" w:color="auto"/>
            <w:right w:val="none" w:sz="0" w:space="0" w:color="auto"/>
          </w:divBdr>
          <w:divsChild>
            <w:div w:id="622268122">
              <w:marLeft w:val="0"/>
              <w:marRight w:val="0"/>
              <w:marTop w:val="0"/>
              <w:marBottom w:val="0"/>
              <w:divBdr>
                <w:top w:val="none" w:sz="0" w:space="0" w:color="auto"/>
                <w:left w:val="none" w:sz="0" w:space="0" w:color="auto"/>
                <w:bottom w:val="none" w:sz="0" w:space="0" w:color="auto"/>
                <w:right w:val="none" w:sz="0" w:space="0" w:color="auto"/>
              </w:divBdr>
              <w:divsChild>
                <w:div w:id="49691660">
                  <w:marLeft w:val="0"/>
                  <w:marRight w:val="0"/>
                  <w:marTop w:val="105"/>
                  <w:marBottom w:val="0"/>
                  <w:divBdr>
                    <w:top w:val="none" w:sz="0" w:space="0" w:color="auto"/>
                    <w:left w:val="none" w:sz="0" w:space="0" w:color="auto"/>
                    <w:bottom w:val="none" w:sz="0" w:space="0" w:color="auto"/>
                    <w:right w:val="none" w:sz="0" w:space="0" w:color="auto"/>
                  </w:divBdr>
                  <w:divsChild>
                    <w:div w:id="1543206797">
                      <w:marLeft w:val="450"/>
                      <w:marRight w:val="225"/>
                      <w:marTop w:val="0"/>
                      <w:marBottom w:val="0"/>
                      <w:divBdr>
                        <w:top w:val="none" w:sz="0" w:space="0" w:color="auto"/>
                        <w:left w:val="none" w:sz="0" w:space="0" w:color="auto"/>
                        <w:bottom w:val="none" w:sz="0" w:space="0" w:color="auto"/>
                        <w:right w:val="none" w:sz="0" w:space="0" w:color="auto"/>
                      </w:divBdr>
                      <w:divsChild>
                        <w:div w:id="1367367949">
                          <w:marLeft w:val="0"/>
                          <w:marRight w:val="0"/>
                          <w:marTop w:val="0"/>
                          <w:marBottom w:val="600"/>
                          <w:divBdr>
                            <w:top w:val="single" w:sz="6" w:space="0" w:color="314664"/>
                            <w:left w:val="single" w:sz="6" w:space="0" w:color="314664"/>
                            <w:bottom w:val="single" w:sz="6" w:space="0" w:color="314664"/>
                            <w:right w:val="single" w:sz="6" w:space="0" w:color="314664"/>
                          </w:divBdr>
                          <w:divsChild>
                            <w:div w:id="1648705636">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1253709517">
                                      <w:marLeft w:val="0"/>
                                      <w:marRight w:val="0"/>
                                      <w:marTop w:val="0"/>
                                      <w:marBottom w:val="0"/>
                                      <w:divBdr>
                                        <w:top w:val="none" w:sz="0" w:space="0" w:color="auto"/>
                                        <w:left w:val="none" w:sz="0" w:space="0" w:color="auto"/>
                                        <w:bottom w:val="none" w:sz="0" w:space="0" w:color="auto"/>
                                        <w:right w:val="none" w:sz="0" w:space="0" w:color="auto"/>
                                      </w:divBdr>
                                      <w:divsChild>
                                        <w:div w:id="1274171259">
                                          <w:marLeft w:val="0"/>
                                          <w:marRight w:val="0"/>
                                          <w:marTop w:val="0"/>
                                          <w:marBottom w:val="0"/>
                                          <w:divBdr>
                                            <w:top w:val="none" w:sz="0" w:space="0" w:color="auto"/>
                                            <w:left w:val="none" w:sz="0" w:space="0" w:color="auto"/>
                                            <w:bottom w:val="none" w:sz="0" w:space="0" w:color="auto"/>
                                            <w:right w:val="none" w:sz="0" w:space="0" w:color="auto"/>
                                          </w:divBdr>
                                          <w:divsChild>
                                            <w:div w:id="1288466275">
                                              <w:marLeft w:val="0"/>
                                              <w:marRight w:val="0"/>
                                              <w:marTop w:val="0"/>
                                              <w:marBottom w:val="0"/>
                                              <w:divBdr>
                                                <w:top w:val="none" w:sz="0" w:space="0" w:color="auto"/>
                                                <w:left w:val="none" w:sz="0" w:space="0" w:color="auto"/>
                                                <w:bottom w:val="none" w:sz="0" w:space="0" w:color="auto"/>
                                                <w:right w:val="none" w:sz="0" w:space="0" w:color="auto"/>
                                              </w:divBdr>
                                              <w:divsChild>
                                                <w:div w:id="1920292015">
                                                  <w:marLeft w:val="0"/>
                                                  <w:marRight w:val="0"/>
                                                  <w:marTop w:val="0"/>
                                                  <w:marBottom w:val="0"/>
                                                  <w:divBdr>
                                                    <w:top w:val="none" w:sz="0" w:space="0" w:color="auto"/>
                                                    <w:left w:val="none" w:sz="0" w:space="0" w:color="auto"/>
                                                    <w:bottom w:val="none" w:sz="0" w:space="0" w:color="auto"/>
                                                    <w:right w:val="none" w:sz="0" w:space="0" w:color="auto"/>
                                                  </w:divBdr>
                                                  <w:divsChild>
                                                    <w:div w:id="710687190">
                                                      <w:marLeft w:val="0"/>
                                                      <w:marRight w:val="0"/>
                                                      <w:marTop w:val="0"/>
                                                      <w:marBottom w:val="0"/>
                                                      <w:divBdr>
                                                        <w:top w:val="none" w:sz="0" w:space="0" w:color="auto"/>
                                                        <w:left w:val="none" w:sz="0" w:space="0" w:color="auto"/>
                                                        <w:bottom w:val="none" w:sz="0" w:space="0" w:color="auto"/>
                                                        <w:right w:val="none" w:sz="0" w:space="0" w:color="auto"/>
                                                      </w:divBdr>
                                                    </w:div>
                                                    <w:div w:id="1870491006">
                                                      <w:marLeft w:val="0"/>
                                                      <w:marRight w:val="0"/>
                                                      <w:marTop w:val="0"/>
                                                      <w:marBottom w:val="0"/>
                                                      <w:divBdr>
                                                        <w:top w:val="none" w:sz="0" w:space="0" w:color="auto"/>
                                                        <w:left w:val="none" w:sz="0" w:space="0" w:color="auto"/>
                                                        <w:bottom w:val="none" w:sz="0" w:space="0" w:color="auto"/>
                                                        <w:right w:val="none" w:sz="0" w:space="0" w:color="auto"/>
                                                      </w:divBdr>
                                                      <w:divsChild>
                                                        <w:div w:id="700670592">
                                                          <w:marLeft w:val="-720"/>
                                                          <w:marRight w:val="0"/>
                                                          <w:marTop w:val="0"/>
                                                          <w:marBottom w:val="0"/>
                                                          <w:divBdr>
                                                            <w:top w:val="none" w:sz="0" w:space="0" w:color="auto"/>
                                                            <w:left w:val="none" w:sz="0" w:space="0" w:color="auto"/>
                                                            <w:bottom w:val="none" w:sz="0" w:space="0" w:color="auto"/>
                                                            <w:right w:val="none" w:sz="0" w:space="0" w:color="auto"/>
                                                          </w:divBdr>
                                                          <w:divsChild>
                                                            <w:div w:id="10041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32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236804">
      <w:bodyDiv w:val="1"/>
      <w:marLeft w:val="0"/>
      <w:marRight w:val="0"/>
      <w:marTop w:val="0"/>
      <w:marBottom w:val="0"/>
      <w:divBdr>
        <w:top w:val="none" w:sz="0" w:space="0" w:color="auto"/>
        <w:left w:val="none" w:sz="0" w:space="0" w:color="auto"/>
        <w:bottom w:val="none" w:sz="0" w:space="0" w:color="auto"/>
        <w:right w:val="none" w:sz="0" w:space="0" w:color="auto"/>
      </w:divBdr>
    </w:div>
    <w:div w:id="18359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B069-22D5-4614-A4EB-D371DF5A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7439</Words>
  <Characters>37271</Characters>
  <Application>Microsoft Office Word</Application>
  <DocSecurity>0</DocSecurity>
  <Lines>909</Lines>
  <Paragraphs>378</Paragraphs>
  <ScaleCrop>false</ScaleCrop>
  <HeadingPairs>
    <vt:vector size="2" baseType="variant">
      <vt:variant>
        <vt:lpstr>Title</vt:lpstr>
      </vt:variant>
      <vt:variant>
        <vt:i4>1</vt:i4>
      </vt:variant>
    </vt:vector>
  </HeadingPairs>
  <TitlesOfParts>
    <vt:vector size="1" baseType="lpstr">
      <vt:lpstr>Special report on the “cash out” of research and development tax losses</vt:lpstr>
    </vt:vector>
  </TitlesOfParts>
  <Company>Inland Revenue</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“cash out” of research and development tax losses</dc:title>
  <dc:subject/>
  <dc:creator>Policy and Strategy</dc:creator>
  <dc:description>Published in April 2016.</dc:description>
  <cp:lastModifiedBy>Sharon Andrews</cp:lastModifiedBy>
  <cp:revision>2</cp:revision>
  <dcterms:created xsi:type="dcterms:W3CDTF">2016-04-05T01:46:00Z</dcterms:created>
  <dcterms:modified xsi:type="dcterms:W3CDTF">2016-04-05T01:48:00Z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