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F2" w:rsidRPr="005D3931" w:rsidRDefault="00043BF2" w:rsidP="008D4D61">
      <w:pPr>
        <w:spacing w:after="0" w:line="240" w:lineRule="auto"/>
        <w:jc w:val="center"/>
        <w:rPr>
          <w:rFonts w:ascii="Times New Roman" w:hAnsi="Times New Roman" w:cs="Times New Roman"/>
          <w:b/>
          <w:sz w:val="32"/>
          <w:szCs w:val="32"/>
        </w:rPr>
      </w:pPr>
      <w:bookmarkStart w:id="0" w:name="_GoBack"/>
      <w:bookmarkEnd w:id="0"/>
      <w:r w:rsidRPr="005D3931">
        <w:rPr>
          <w:rFonts w:ascii="Times New Roman" w:hAnsi="Times New Roman" w:cs="Times New Roman"/>
          <w:b/>
          <w:sz w:val="32"/>
          <w:szCs w:val="32"/>
        </w:rPr>
        <w:t>REGULATORY IMPACT STATEMENT</w:t>
      </w:r>
    </w:p>
    <w:p w:rsidR="00043BF2" w:rsidRPr="005D3931" w:rsidRDefault="00043BF2" w:rsidP="008D4D61">
      <w:pPr>
        <w:spacing w:after="0" w:line="240" w:lineRule="auto"/>
        <w:jc w:val="both"/>
        <w:rPr>
          <w:rFonts w:ascii="Times New Roman" w:hAnsi="Times New Roman" w:cs="Times New Roman"/>
          <w:sz w:val="24"/>
          <w:szCs w:val="24"/>
        </w:rPr>
      </w:pPr>
    </w:p>
    <w:p w:rsidR="008D4D61" w:rsidRPr="00616B98" w:rsidRDefault="008D4D61" w:rsidP="008D4D61">
      <w:pPr>
        <w:spacing w:after="0" w:line="240" w:lineRule="auto"/>
        <w:jc w:val="both"/>
        <w:rPr>
          <w:rFonts w:ascii="Times New Roman" w:hAnsi="Times New Roman" w:cs="Times New Roman"/>
          <w:b/>
          <w:sz w:val="28"/>
          <w:szCs w:val="28"/>
        </w:rPr>
      </w:pPr>
      <w:r w:rsidRPr="00616B98">
        <w:rPr>
          <w:rFonts w:ascii="Times New Roman" w:hAnsi="Times New Roman" w:cs="Times New Roman"/>
          <w:b/>
          <w:sz w:val="28"/>
          <w:szCs w:val="28"/>
        </w:rPr>
        <w:t>Proposed changes to business tax</w:t>
      </w:r>
    </w:p>
    <w:p w:rsidR="008D4D61" w:rsidRPr="005D3931" w:rsidRDefault="008D4D61" w:rsidP="008D4D61">
      <w:pPr>
        <w:spacing w:after="0" w:line="240" w:lineRule="auto"/>
        <w:jc w:val="both"/>
        <w:rPr>
          <w:rFonts w:ascii="Times New Roman" w:hAnsi="Times New Roman" w:cs="Times New Roman"/>
          <w:sz w:val="24"/>
          <w:szCs w:val="24"/>
        </w:rPr>
      </w:pPr>
    </w:p>
    <w:p w:rsidR="008D4D61" w:rsidRPr="000F45CC" w:rsidRDefault="008D4D61" w:rsidP="000F45CC">
      <w:pPr>
        <w:rPr>
          <w:rFonts w:ascii="Times New Roman" w:hAnsi="Times New Roman" w:cs="Times New Roman"/>
          <w:b/>
          <w:sz w:val="24"/>
          <w:szCs w:val="24"/>
        </w:rPr>
      </w:pPr>
      <w:r w:rsidRPr="000F45CC">
        <w:rPr>
          <w:rFonts w:ascii="Times New Roman" w:hAnsi="Times New Roman" w:cs="Times New Roman"/>
          <w:b/>
          <w:sz w:val="24"/>
          <w:szCs w:val="24"/>
        </w:rPr>
        <w:t>Agency disclosure statement</w:t>
      </w:r>
    </w:p>
    <w:p w:rsidR="00C845B1" w:rsidRDefault="00F538B2" w:rsidP="00F538B2">
      <w:pPr>
        <w:spacing w:after="0" w:line="240" w:lineRule="auto"/>
        <w:jc w:val="both"/>
        <w:rPr>
          <w:rFonts w:ascii="Times New Roman" w:hAnsi="Times New Roman" w:cs="Times New Roman"/>
          <w:sz w:val="24"/>
          <w:szCs w:val="24"/>
        </w:rPr>
      </w:pPr>
      <w:r w:rsidRPr="0072735F">
        <w:rPr>
          <w:rFonts w:ascii="Times New Roman" w:hAnsi="Times New Roman" w:cs="Times New Roman"/>
          <w:sz w:val="24"/>
          <w:szCs w:val="24"/>
        </w:rPr>
        <w:t>This Regulatory Impact Statement has been prepared by Inland Revenue.</w:t>
      </w:r>
      <w:r>
        <w:rPr>
          <w:rFonts w:ascii="Times New Roman" w:hAnsi="Times New Roman" w:cs="Times New Roman"/>
          <w:sz w:val="24"/>
          <w:szCs w:val="24"/>
        </w:rPr>
        <w:t xml:space="preserve"> </w:t>
      </w:r>
      <w:r w:rsidRPr="0072735F">
        <w:rPr>
          <w:rFonts w:ascii="Times New Roman" w:hAnsi="Times New Roman" w:cs="Times New Roman"/>
          <w:sz w:val="24"/>
          <w:szCs w:val="24"/>
        </w:rPr>
        <w:t xml:space="preserve">It provides an analysis of options to address concerns taxpayers have with the tax policy settings for businesses. The concerns addressed were identified from submissions on the government discussion document </w:t>
      </w:r>
      <w:r w:rsidRPr="008D31DB">
        <w:rPr>
          <w:rFonts w:ascii="Times New Roman" w:hAnsi="Times New Roman" w:cs="Times New Roman"/>
          <w:i/>
          <w:sz w:val="24"/>
          <w:szCs w:val="24"/>
        </w:rPr>
        <w:t>Making Tax Simpler: A Government green paper on tax administration</w:t>
      </w:r>
      <w:r w:rsidRPr="00F538B2">
        <w:rPr>
          <w:rFonts w:ascii="Times New Roman" w:hAnsi="Times New Roman" w:cs="Times New Roman"/>
          <w:sz w:val="24"/>
          <w:szCs w:val="24"/>
        </w:rPr>
        <w:t xml:space="preserve"> </w:t>
      </w:r>
      <w:r w:rsidRPr="0072735F">
        <w:rPr>
          <w:rFonts w:ascii="Times New Roman" w:hAnsi="Times New Roman" w:cs="Times New Roman"/>
          <w:sz w:val="24"/>
          <w:szCs w:val="24"/>
        </w:rPr>
        <w:t>and other consultation.</w:t>
      </w:r>
    </w:p>
    <w:p w:rsidR="00F538B2" w:rsidRPr="0072735F" w:rsidRDefault="00F538B2" w:rsidP="00F538B2">
      <w:pPr>
        <w:spacing w:after="0" w:line="240" w:lineRule="auto"/>
        <w:jc w:val="both"/>
        <w:rPr>
          <w:rFonts w:ascii="Times New Roman" w:hAnsi="Times New Roman" w:cs="Times New Roman"/>
          <w:sz w:val="24"/>
          <w:szCs w:val="24"/>
        </w:rPr>
      </w:pPr>
      <w:r w:rsidRPr="0072735F">
        <w:rPr>
          <w:rFonts w:ascii="Times New Roman" w:hAnsi="Times New Roman" w:cs="Times New Roman"/>
          <w:sz w:val="24"/>
          <w:szCs w:val="24"/>
        </w:rPr>
        <w:t xml:space="preserve"> </w:t>
      </w:r>
    </w:p>
    <w:p w:rsidR="00F538B2" w:rsidRDefault="00F538B2" w:rsidP="00F538B2">
      <w:pPr>
        <w:spacing w:after="0" w:line="240" w:lineRule="auto"/>
        <w:jc w:val="both"/>
        <w:rPr>
          <w:rFonts w:ascii="Times New Roman" w:hAnsi="Times New Roman" w:cs="Times New Roman"/>
          <w:sz w:val="24"/>
          <w:szCs w:val="24"/>
        </w:rPr>
      </w:pPr>
      <w:r w:rsidRPr="00E43E16">
        <w:rPr>
          <w:rFonts w:ascii="Times New Roman" w:hAnsi="Times New Roman" w:cs="Times New Roman"/>
          <w:sz w:val="24"/>
          <w:szCs w:val="24"/>
        </w:rPr>
        <w:t>The options considered are intended to simplify the rules and reduce compliance costs for businesses, while ensuring the rules are robust. The options were developed in the context of the wider tax policy framework of a clear and coherent broad-base, low-rate tax system.</w:t>
      </w:r>
    </w:p>
    <w:p w:rsidR="00F538B2" w:rsidRDefault="00F538B2" w:rsidP="00F538B2">
      <w:pPr>
        <w:spacing w:after="0" w:line="240" w:lineRule="auto"/>
        <w:jc w:val="both"/>
        <w:rPr>
          <w:rFonts w:ascii="Times New Roman" w:hAnsi="Times New Roman" w:cs="Times New Roman"/>
          <w:sz w:val="24"/>
          <w:szCs w:val="24"/>
        </w:rPr>
      </w:pPr>
    </w:p>
    <w:p w:rsidR="00F538B2" w:rsidRPr="00E43E16" w:rsidRDefault="00F538B2" w:rsidP="00F538B2">
      <w:pPr>
        <w:spacing w:after="0" w:line="240" w:lineRule="auto"/>
        <w:jc w:val="both"/>
        <w:rPr>
          <w:rFonts w:ascii="Times New Roman" w:hAnsi="Times New Roman" w:cs="Times New Roman"/>
          <w:sz w:val="24"/>
          <w:szCs w:val="24"/>
        </w:rPr>
      </w:pPr>
      <w:r w:rsidRPr="00E43E16">
        <w:rPr>
          <w:rFonts w:ascii="Times New Roman" w:hAnsi="Times New Roman" w:cs="Times New Roman"/>
          <w:sz w:val="24"/>
          <w:szCs w:val="24"/>
        </w:rPr>
        <w:t xml:space="preserve">The options in </w:t>
      </w:r>
      <w:r w:rsidR="008E3413">
        <w:rPr>
          <w:rFonts w:ascii="Times New Roman" w:hAnsi="Times New Roman" w:cs="Times New Roman"/>
          <w:sz w:val="24"/>
          <w:szCs w:val="24"/>
        </w:rPr>
        <w:t>this</w:t>
      </w:r>
      <w:r w:rsidRPr="00E43E16">
        <w:rPr>
          <w:rFonts w:ascii="Times New Roman" w:hAnsi="Times New Roman" w:cs="Times New Roman"/>
          <w:sz w:val="24"/>
          <w:szCs w:val="24"/>
        </w:rPr>
        <w:t xml:space="preserve"> statement have been constrained as Ministers have asked for options that can be delivered with effect from 1</w:t>
      </w:r>
      <w:r w:rsidR="008E3413">
        <w:rPr>
          <w:rFonts w:ascii="Times New Roman" w:hAnsi="Times New Roman" w:cs="Times New Roman"/>
          <w:sz w:val="24"/>
          <w:szCs w:val="24"/>
        </w:rPr>
        <w:t xml:space="preserve"> </w:t>
      </w:r>
      <w:r w:rsidRPr="00E43E16">
        <w:rPr>
          <w:rFonts w:ascii="Times New Roman" w:hAnsi="Times New Roman" w:cs="Times New Roman"/>
          <w:sz w:val="24"/>
          <w:szCs w:val="24"/>
        </w:rPr>
        <w:t xml:space="preserve">April 2017. </w:t>
      </w:r>
      <w:r w:rsidR="00AB2FBC">
        <w:rPr>
          <w:rFonts w:ascii="Times New Roman" w:hAnsi="Times New Roman" w:cs="Times New Roman"/>
          <w:sz w:val="24"/>
          <w:szCs w:val="24"/>
        </w:rPr>
        <w:t>However, some</w:t>
      </w:r>
      <w:r w:rsidR="00AB2FBC" w:rsidRPr="00E43E16">
        <w:rPr>
          <w:rFonts w:ascii="Times New Roman" w:hAnsi="Times New Roman" w:cs="Times New Roman"/>
          <w:sz w:val="24"/>
          <w:szCs w:val="24"/>
        </w:rPr>
        <w:t xml:space="preserve"> options will apply from 1 April 2018 due to </w:t>
      </w:r>
      <w:r w:rsidR="00AB2FBC">
        <w:rPr>
          <w:rFonts w:ascii="Times New Roman" w:hAnsi="Times New Roman" w:cs="Times New Roman"/>
          <w:sz w:val="24"/>
          <w:szCs w:val="24"/>
        </w:rPr>
        <w:t xml:space="preserve">the additional time </w:t>
      </w:r>
      <w:r w:rsidR="00AB2FBC" w:rsidRPr="00E43E16">
        <w:rPr>
          <w:rFonts w:ascii="Times New Roman" w:hAnsi="Times New Roman" w:cs="Times New Roman"/>
          <w:sz w:val="24"/>
          <w:szCs w:val="24"/>
        </w:rPr>
        <w:t>need</w:t>
      </w:r>
      <w:r w:rsidR="00AB2FBC">
        <w:rPr>
          <w:rFonts w:ascii="Times New Roman" w:hAnsi="Times New Roman" w:cs="Times New Roman"/>
          <w:sz w:val="24"/>
          <w:szCs w:val="24"/>
        </w:rPr>
        <w:t>ed</w:t>
      </w:r>
      <w:r w:rsidR="00AB2FBC" w:rsidRPr="00E43E16">
        <w:rPr>
          <w:rFonts w:ascii="Times New Roman" w:hAnsi="Times New Roman" w:cs="Times New Roman"/>
          <w:sz w:val="24"/>
          <w:szCs w:val="24"/>
        </w:rPr>
        <w:t xml:space="preserve"> for taxpayers and Inland Revenue to implement system changes</w:t>
      </w:r>
      <w:r w:rsidR="00AB2FBC">
        <w:rPr>
          <w:rFonts w:ascii="Times New Roman" w:hAnsi="Times New Roman" w:cs="Times New Roman"/>
          <w:sz w:val="24"/>
          <w:szCs w:val="24"/>
        </w:rPr>
        <w:t>.</w:t>
      </w:r>
    </w:p>
    <w:p w:rsidR="00F538B2" w:rsidRDefault="00F538B2" w:rsidP="00F538B2">
      <w:pPr>
        <w:spacing w:after="0" w:line="240" w:lineRule="auto"/>
        <w:jc w:val="both"/>
        <w:rPr>
          <w:rFonts w:ascii="Times New Roman" w:hAnsi="Times New Roman" w:cs="Times New Roman"/>
          <w:sz w:val="24"/>
          <w:szCs w:val="24"/>
        </w:rPr>
      </w:pPr>
    </w:p>
    <w:p w:rsidR="00F538B2" w:rsidRDefault="00F538B2" w:rsidP="00F538B2">
      <w:pPr>
        <w:spacing w:after="0" w:line="240" w:lineRule="auto"/>
        <w:jc w:val="both"/>
        <w:rPr>
          <w:rFonts w:ascii="Times New Roman" w:hAnsi="Times New Roman" w:cs="Times New Roman"/>
          <w:sz w:val="24"/>
          <w:szCs w:val="24"/>
        </w:rPr>
      </w:pPr>
      <w:r w:rsidRPr="00E43E16">
        <w:rPr>
          <w:rFonts w:ascii="Times New Roman" w:hAnsi="Times New Roman" w:cs="Times New Roman"/>
          <w:sz w:val="24"/>
          <w:szCs w:val="24"/>
        </w:rPr>
        <w:t xml:space="preserve">It is </w:t>
      </w:r>
      <w:r>
        <w:rPr>
          <w:rFonts w:ascii="Times New Roman" w:hAnsi="Times New Roman" w:cs="Times New Roman"/>
          <w:sz w:val="24"/>
          <w:szCs w:val="24"/>
        </w:rPr>
        <w:t>challenging</w:t>
      </w:r>
      <w:r w:rsidRPr="00E43E16">
        <w:rPr>
          <w:rFonts w:ascii="Times New Roman" w:hAnsi="Times New Roman" w:cs="Times New Roman"/>
          <w:sz w:val="24"/>
          <w:szCs w:val="24"/>
        </w:rPr>
        <w:t xml:space="preserve"> to accurately forecast some of the costs (including compliance, </w:t>
      </w:r>
      <w:proofErr w:type="gramStart"/>
      <w:r w:rsidRPr="00E43E16">
        <w:rPr>
          <w:rFonts w:ascii="Times New Roman" w:hAnsi="Times New Roman" w:cs="Times New Roman"/>
          <w:sz w:val="24"/>
          <w:szCs w:val="24"/>
        </w:rPr>
        <w:t>administrative</w:t>
      </w:r>
      <w:proofErr w:type="gramEnd"/>
      <w:r w:rsidRPr="00E43E16">
        <w:rPr>
          <w:rFonts w:ascii="Times New Roman" w:hAnsi="Times New Roman" w:cs="Times New Roman"/>
          <w:sz w:val="24"/>
          <w:szCs w:val="24"/>
        </w:rPr>
        <w:t xml:space="preserve"> and fiscal costs) for </w:t>
      </w:r>
      <w:r>
        <w:rPr>
          <w:rFonts w:ascii="Times New Roman" w:hAnsi="Times New Roman" w:cs="Times New Roman"/>
          <w:sz w:val="24"/>
          <w:szCs w:val="24"/>
        </w:rPr>
        <w:t>the</w:t>
      </w:r>
      <w:r w:rsidRPr="00E43E16">
        <w:rPr>
          <w:rFonts w:ascii="Times New Roman" w:hAnsi="Times New Roman" w:cs="Times New Roman"/>
          <w:sz w:val="24"/>
          <w:szCs w:val="24"/>
        </w:rPr>
        <w:t xml:space="preserve"> options due to information not being available or difficulty in estimating likely behavioural changes. Equally</w:t>
      </w:r>
      <w:r w:rsidR="00AB2FBC">
        <w:rPr>
          <w:rFonts w:ascii="Times New Roman" w:hAnsi="Times New Roman" w:cs="Times New Roman"/>
          <w:sz w:val="24"/>
          <w:szCs w:val="24"/>
        </w:rPr>
        <w:t>,</w:t>
      </w:r>
      <w:r w:rsidRPr="00E43E16">
        <w:rPr>
          <w:rFonts w:ascii="Times New Roman" w:hAnsi="Times New Roman" w:cs="Times New Roman"/>
          <w:sz w:val="24"/>
          <w:szCs w:val="24"/>
        </w:rPr>
        <w:t xml:space="preserve"> it is difficult to determine the number of taxpayers who may be impacted by the proposals as various factors may influence the decision to adopt a proposal.  Instead</w:t>
      </w:r>
      <w:r>
        <w:rPr>
          <w:rFonts w:ascii="Times New Roman" w:hAnsi="Times New Roman" w:cs="Times New Roman"/>
          <w:sz w:val="24"/>
          <w:szCs w:val="24"/>
        </w:rPr>
        <w:t>,</w:t>
      </w:r>
      <w:r w:rsidRPr="00E43E16">
        <w:rPr>
          <w:rFonts w:ascii="Times New Roman" w:hAnsi="Times New Roman" w:cs="Times New Roman"/>
          <w:sz w:val="24"/>
          <w:szCs w:val="24"/>
        </w:rPr>
        <w:t xml:space="preserve"> indications of the direction and order of magnitude have been provided where appropriate.  </w:t>
      </w:r>
    </w:p>
    <w:p w:rsidR="00F538B2" w:rsidRDefault="00F538B2" w:rsidP="00F538B2">
      <w:pPr>
        <w:spacing w:after="0" w:line="240" w:lineRule="auto"/>
        <w:jc w:val="both"/>
        <w:rPr>
          <w:rFonts w:ascii="Times New Roman" w:hAnsi="Times New Roman" w:cs="Times New Roman"/>
          <w:sz w:val="24"/>
          <w:szCs w:val="24"/>
        </w:rPr>
      </w:pPr>
    </w:p>
    <w:p w:rsidR="00F538B2" w:rsidRDefault="00F538B2" w:rsidP="00F538B2">
      <w:pPr>
        <w:spacing w:after="0" w:line="240" w:lineRule="auto"/>
        <w:jc w:val="both"/>
        <w:rPr>
          <w:rFonts w:ascii="Times New Roman" w:hAnsi="Times New Roman" w:cs="Times New Roman"/>
          <w:sz w:val="24"/>
          <w:szCs w:val="24"/>
        </w:rPr>
      </w:pPr>
      <w:r w:rsidRPr="00E43E16">
        <w:rPr>
          <w:rFonts w:ascii="Times New Roman" w:hAnsi="Times New Roman" w:cs="Times New Roman"/>
          <w:sz w:val="24"/>
          <w:szCs w:val="24"/>
        </w:rPr>
        <w:t>Officials have been mindful of the fiscal implications stemming from the proposals.</w:t>
      </w:r>
    </w:p>
    <w:p w:rsidR="00F538B2" w:rsidRDefault="00F538B2" w:rsidP="00F538B2">
      <w:pPr>
        <w:spacing w:after="0" w:line="240" w:lineRule="auto"/>
        <w:jc w:val="both"/>
        <w:rPr>
          <w:rFonts w:ascii="Times New Roman" w:hAnsi="Times New Roman" w:cs="Times New Roman"/>
          <w:sz w:val="24"/>
          <w:szCs w:val="24"/>
        </w:rPr>
      </w:pPr>
    </w:p>
    <w:p w:rsidR="00F538B2" w:rsidRDefault="00F538B2" w:rsidP="00F538B2">
      <w:pPr>
        <w:spacing w:after="0" w:line="240" w:lineRule="auto"/>
        <w:jc w:val="both"/>
        <w:rPr>
          <w:rFonts w:ascii="Times New Roman" w:hAnsi="Times New Roman" w:cs="Times New Roman"/>
          <w:sz w:val="24"/>
          <w:szCs w:val="24"/>
        </w:rPr>
      </w:pPr>
      <w:r w:rsidRPr="00E43E16">
        <w:rPr>
          <w:rFonts w:ascii="Times New Roman" w:hAnsi="Times New Roman" w:cs="Times New Roman"/>
          <w:sz w:val="24"/>
          <w:szCs w:val="24"/>
        </w:rPr>
        <w:t xml:space="preserve">None of the policy options restrict market competition, impair property rights, </w:t>
      </w:r>
      <w:proofErr w:type="gramStart"/>
      <w:r w:rsidRPr="00E43E16">
        <w:rPr>
          <w:rFonts w:ascii="Times New Roman" w:hAnsi="Times New Roman" w:cs="Times New Roman"/>
          <w:sz w:val="24"/>
          <w:szCs w:val="24"/>
        </w:rPr>
        <w:t>reduce</w:t>
      </w:r>
      <w:proofErr w:type="gramEnd"/>
      <w:r w:rsidRPr="00E43E16">
        <w:rPr>
          <w:rFonts w:ascii="Times New Roman" w:hAnsi="Times New Roman" w:cs="Times New Roman"/>
          <w:sz w:val="24"/>
          <w:szCs w:val="24"/>
        </w:rPr>
        <w:t xml:space="preserve"> incentives for small businesses to operate, or override fundamental common law principles.</w:t>
      </w:r>
    </w:p>
    <w:p w:rsidR="00F538B2" w:rsidRDefault="008C19E1" w:rsidP="00F538B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NZ"/>
        </w:rPr>
        <w:drawing>
          <wp:anchor distT="0" distB="0" distL="114300" distR="114300" simplePos="0" relativeHeight="251658240" behindDoc="1" locked="0" layoutInCell="1" allowOverlap="1" wp14:anchorId="3F392FE4" wp14:editId="0FEF0576">
            <wp:simplePos x="0" y="0"/>
            <wp:positionH relativeFrom="column">
              <wp:posOffset>-41910</wp:posOffset>
            </wp:positionH>
            <wp:positionV relativeFrom="paragraph">
              <wp:posOffset>112395</wp:posOffset>
            </wp:positionV>
            <wp:extent cx="2435225" cy="572770"/>
            <wp:effectExtent l="0" t="0" r="3175" b="0"/>
            <wp:wrapTight wrapText="bothSides">
              <wp:wrapPolygon edited="0">
                <wp:start x="0" y="0"/>
                <wp:lineTo x="0" y="20834"/>
                <wp:lineTo x="21459" y="20834"/>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522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74D" w:rsidRDefault="00A2574D">
      <w:pPr>
        <w:rPr>
          <w:rFonts w:ascii="Times New Roman" w:hAnsi="Times New Roman" w:cs="Times New Roman"/>
          <w:sz w:val="24"/>
          <w:szCs w:val="24"/>
        </w:rPr>
      </w:pPr>
    </w:p>
    <w:p w:rsidR="00A2574D" w:rsidRDefault="00A2574D">
      <w:pPr>
        <w:rPr>
          <w:rFonts w:ascii="Times New Roman" w:hAnsi="Times New Roman" w:cs="Times New Roman"/>
          <w:sz w:val="24"/>
          <w:szCs w:val="24"/>
        </w:rPr>
      </w:pPr>
    </w:p>
    <w:p w:rsidR="00A2574D" w:rsidRPr="004342F0" w:rsidRDefault="00A2574D" w:rsidP="00A2574D">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Keith Taylor</w:t>
      </w:r>
    </w:p>
    <w:p w:rsidR="00A2574D" w:rsidRPr="004342F0" w:rsidRDefault="00A2574D" w:rsidP="00A2574D">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Policy Manager, Policy and Strategy</w:t>
      </w:r>
    </w:p>
    <w:p w:rsidR="00A2574D" w:rsidRPr="004342F0" w:rsidRDefault="00A2574D" w:rsidP="00A2574D">
      <w:pPr>
        <w:pStyle w:val="Text"/>
        <w:tabs>
          <w:tab w:val="left" w:pos="567"/>
        </w:tabs>
        <w:spacing w:before="0" w:after="0" w:line="240" w:lineRule="auto"/>
        <w:ind w:right="170"/>
        <w:rPr>
          <w:rFonts w:ascii="Times New Roman" w:hAnsi="Times New Roman"/>
          <w:sz w:val="24"/>
          <w:szCs w:val="24"/>
          <w:lang w:val="en-NZ"/>
        </w:rPr>
      </w:pPr>
      <w:r w:rsidRPr="004342F0">
        <w:rPr>
          <w:rFonts w:ascii="Times New Roman" w:hAnsi="Times New Roman"/>
          <w:sz w:val="24"/>
          <w:szCs w:val="24"/>
          <w:lang w:val="en-NZ"/>
        </w:rPr>
        <w:t>Inland Revenue</w:t>
      </w:r>
    </w:p>
    <w:p w:rsidR="00A2574D" w:rsidRPr="004342F0" w:rsidRDefault="00A2574D" w:rsidP="00A2574D">
      <w:pPr>
        <w:pStyle w:val="Text"/>
        <w:tabs>
          <w:tab w:val="left" w:pos="567"/>
        </w:tabs>
        <w:spacing w:before="0" w:after="0" w:line="240" w:lineRule="auto"/>
        <w:ind w:right="170"/>
        <w:rPr>
          <w:rFonts w:ascii="Times New Roman" w:hAnsi="Times New Roman"/>
          <w:sz w:val="24"/>
          <w:szCs w:val="24"/>
          <w:lang w:val="en-NZ"/>
        </w:rPr>
      </w:pPr>
    </w:p>
    <w:p w:rsidR="00A2574D" w:rsidRPr="004342F0" w:rsidRDefault="00272BC1" w:rsidP="00A2574D">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25</w:t>
      </w:r>
      <w:r w:rsidR="00A2574D">
        <w:rPr>
          <w:rFonts w:ascii="Times New Roman" w:hAnsi="Times New Roman"/>
          <w:sz w:val="24"/>
          <w:szCs w:val="24"/>
          <w:lang w:val="en-NZ"/>
        </w:rPr>
        <w:t xml:space="preserve"> February 2016</w:t>
      </w:r>
    </w:p>
    <w:p w:rsidR="00D52B3A" w:rsidRDefault="00D52B3A">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val="en-NZ" w:eastAsia="en-US"/>
        </w:rPr>
        <w:id w:val="-854261316"/>
        <w:docPartObj>
          <w:docPartGallery w:val="Table of Contents"/>
          <w:docPartUnique/>
        </w:docPartObj>
      </w:sdtPr>
      <w:sdtEndPr>
        <w:rPr>
          <w:noProof/>
        </w:rPr>
      </w:sdtEndPr>
      <w:sdtContent>
        <w:p w:rsidR="00604EE6" w:rsidRDefault="00604EE6">
          <w:pPr>
            <w:pStyle w:val="TOCHeading"/>
          </w:pPr>
          <w:r>
            <w:t>Contents</w:t>
          </w:r>
        </w:p>
        <w:p w:rsidR="00334B6B" w:rsidRDefault="00604EE6">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444145588" w:history="1">
            <w:r w:rsidR="00334B6B" w:rsidRPr="00EA128F">
              <w:rPr>
                <w:rStyle w:val="Hyperlink"/>
                <w:noProof/>
              </w:rPr>
              <w:t>Reader’s guide to this RIS</w:t>
            </w:r>
            <w:r w:rsidR="00334B6B">
              <w:rPr>
                <w:noProof/>
                <w:webHidden/>
              </w:rPr>
              <w:tab/>
            </w:r>
            <w:r w:rsidR="00334B6B">
              <w:rPr>
                <w:noProof/>
                <w:webHidden/>
              </w:rPr>
              <w:fldChar w:fldCharType="begin"/>
            </w:r>
            <w:r w:rsidR="00334B6B">
              <w:rPr>
                <w:noProof/>
                <w:webHidden/>
              </w:rPr>
              <w:instrText xml:space="preserve"> PAGEREF _Toc444145588 \h </w:instrText>
            </w:r>
            <w:r w:rsidR="00334B6B">
              <w:rPr>
                <w:noProof/>
                <w:webHidden/>
              </w:rPr>
            </w:r>
            <w:r w:rsidR="00334B6B">
              <w:rPr>
                <w:noProof/>
                <w:webHidden/>
              </w:rPr>
              <w:fldChar w:fldCharType="separate"/>
            </w:r>
            <w:r w:rsidR="005F03D5">
              <w:rPr>
                <w:noProof/>
                <w:webHidden/>
              </w:rPr>
              <w:t>4</w:t>
            </w:r>
            <w:r w:rsidR="00334B6B">
              <w:rPr>
                <w:noProof/>
                <w:webHidden/>
              </w:rPr>
              <w:fldChar w:fldCharType="end"/>
            </w:r>
          </w:hyperlink>
        </w:p>
        <w:p w:rsidR="00334B6B" w:rsidRDefault="00B800C5">
          <w:pPr>
            <w:pStyle w:val="TOC1"/>
            <w:tabs>
              <w:tab w:val="right" w:leader="dot" w:pos="9016"/>
            </w:tabs>
            <w:rPr>
              <w:rFonts w:eastAsiaTheme="minorEastAsia"/>
              <w:noProof/>
              <w:lang w:eastAsia="en-NZ"/>
            </w:rPr>
          </w:pPr>
          <w:hyperlink w:anchor="_Toc444145589" w:history="1">
            <w:r w:rsidR="00334B6B" w:rsidRPr="00EA128F">
              <w:rPr>
                <w:rStyle w:val="Hyperlink"/>
                <w:noProof/>
              </w:rPr>
              <w:t>STATUS QUO AND PROBLEM DEFINITION</w:t>
            </w:r>
            <w:r w:rsidR="00334B6B">
              <w:rPr>
                <w:noProof/>
                <w:webHidden/>
              </w:rPr>
              <w:tab/>
            </w:r>
            <w:r w:rsidR="00334B6B">
              <w:rPr>
                <w:noProof/>
                <w:webHidden/>
              </w:rPr>
              <w:fldChar w:fldCharType="begin"/>
            </w:r>
            <w:r w:rsidR="00334B6B">
              <w:rPr>
                <w:noProof/>
                <w:webHidden/>
              </w:rPr>
              <w:instrText xml:space="preserve"> PAGEREF _Toc444145589 \h </w:instrText>
            </w:r>
            <w:r w:rsidR="00334B6B">
              <w:rPr>
                <w:noProof/>
                <w:webHidden/>
              </w:rPr>
            </w:r>
            <w:r w:rsidR="00334B6B">
              <w:rPr>
                <w:noProof/>
                <w:webHidden/>
              </w:rPr>
              <w:fldChar w:fldCharType="separate"/>
            </w:r>
            <w:r w:rsidR="005F03D5">
              <w:rPr>
                <w:noProof/>
                <w:webHidden/>
              </w:rPr>
              <w:t>5</w:t>
            </w:r>
            <w:r w:rsidR="00334B6B">
              <w:rPr>
                <w:noProof/>
                <w:webHidden/>
              </w:rPr>
              <w:fldChar w:fldCharType="end"/>
            </w:r>
          </w:hyperlink>
        </w:p>
        <w:p w:rsidR="00334B6B" w:rsidRDefault="00B800C5">
          <w:pPr>
            <w:pStyle w:val="TOC1"/>
            <w:tabs>
              <w:tab w:val="right" w:leader="dot" w:pos="9016"/>
            </w:tabs>
            <w:rPr>
              <w:rFonts w:eastAsiaTheme="minorEastAsia"/>
              <w:noProof/>
              <w:lang w:eastAsia="en-NZ"/>
            </w:rPr>
          </w:pPr>
          <w:hyperlink w:anchor="_Toc444145590" w:history="1">
            <w:r w:rsidR="00334B6B" w:rsidRPr="00EA128F">
              <w:rPr>
                <w:rStyle w:val="Hyperlink"/>
                <w:noProof/>
              </w:rPr>
              <w:t>OBJECTIVES</w:t>
            </w:r>
            <w:r w:rsidR="00334B6B">
              <w:rPr>
                <w:noProof/>
                <w:webHidden/>
              </w:rPr>
              <w:tab/>
            </w:r>
            <w:r w:rsidR="00334B6B">
              <w:rPr>
                <w:noProof/>
                <w:webHidden/>
              </w:rPr>
              <w:fldChar w:fldCharType="begin"/>
            </w:r>
            <w:r w:rsidR="00334B6B">
              <w:rPr>
                <w:noProof/>
                <w:webHidden/>
              </w:rPr>
              <w:instrText xml:space="preserve"> PAGEREF _Toc444145590 \h </w:instrText>
            </w:r>
            <w:r w:rsidR="00334B6B">
              <w:rPr>
                <w:noProof/>
                <w:webHidden/>
              </w:rPr>
            </w:r>
            <w:r w:rsidR="00334B6B">
              <w:rPr>
                <w:noProof/>
                <w:webHidden/>
              </w:rPr>
              <w:fldChar w:fldCharType="separate"/>
            </w:r>
            <w:r w:rsidR="005F03D5">
              <w:rPr>
                <w:noProof/>
                <w:webHidden/>
              </w:rPr>
              <w:t>7</w:t>
            </w:r>
            <w:r w:rsidR="00334B6B">
              <w:rPr>
                <w:noProof/>
                <w:webHidden/>
              </w:rPr>
              <w:fldChar w:fldCharType="end"/>
            </w:r>
          </w:hyperlink>
        </w:p>
        <w:p w:rsidR="00334B6B" w:rsidRDefault="00B800C5">
          <w:pPr>
            <w:pStyle w:val="TOC1"/>
            <w:tabs>
              <w:tab w:val="right" w:leader="dot" w:pos="9016"/>
            </w:tabs>
            <w:rPr>
              <w:rFonts w:eastAsiaTheme="minorEastAsia"/>
              <w:noProof/>
              <w:lang w:eastAsia="en-NZ"/>
            </w:rPr>
          </w:pPr>
          <w:hyperlink w:anchor="_Toc444145591" w:history="1">
            <w:r w:rsidR="00334B6B" w:rsidRPr="00EA128F">
              <w:rPr>
                <w:rStyle w:val="Hyperlink"/>
                <w:noProof/>
              </w:rPr>
              <w:t>REGULATORY ANALYSIS</w:t>
            </w:r>
            <w:r w:rsidR="00334B6B">
              <w:rPr>
                <w:noProof/>
                <w:webHidden/>
              </w:rPr>
              <w:tab/>
            </w:r>
            <w:r w:rsidR="00334B6B">
              <w:rPr>
                <w:noProof/>
                <w:webHidden/>
              </w:rPr>
              <w:fldChar w:fldCharType="begin"/>
            </w:r>
            <w:r w:rsidR="00334B6B">
              <w:rPr>
                <w:noProof/>
                <w:webHidden/>
              </w:rPr>
              <w:instrText xml:space="preserve"> PAGEREF _Toc444145591 \h </w:instrText>
            </w:r>
            <w:r w:rsidR="00334B6B">
              <w:rPr>
                <w:noProof/>
                <w:webHidden/>
              </w:rPr>
            </w:r>
            <w:r w:rsidR="00334B6B">
              <w:rPr>
                <w:noProof/>
                <w:webHidden/>
              </w:rPr>
              <w:fldChar w:fldCharType="separate"/>
            </w:r>
            <w:r w:rsidR="005F03D5">
              <w:rPr>
                <w:noProof/>
                <w:webHidden/>
              </w:rPr>
              <w:t>7</w:t>
            </w:r>
            <w:r w:rsidR="00334B6B">
              <w:rPr>
                <w:noProof/>
                <w:webHidden/>
              </w:rPr>
              <w:fldChar w:fldCharType="end"/>
            </w:r>
          </w:hyperlink>
        </w:p>
        <w:p w:rsidR="00334B6B" w:rsidRDefault="00B800C5">
          <w:pPr>
            <w:pStyle w:val="TOC2"/>
            <w:tabs>
              <w:tab w:val="left" w:pos="660"/>
              <w:tab w:val="right" w:leader="dot" w:pos="9016"/>
            </w:tabs>
            <w:rPr>
              <w:rFonts w:eastAsiaTheme="minorEastAsia"/>
              <w:noProof/>
              <w:lang w:eastAsia="en-NZ"/>
            </w:rPr>
          </w:pPr>
          <w:hyperlink w:anchor="_Toc444145592" w:history="1">
            <w:r w:rsidR="00334B6B" w:rsidRPr="00EA128F">
              <w:rPr>
                <w:rStyle w:val="Hyperlink"/>
                <w:noProof/>
              </w:rPr>
              <w:t>A.</w:t>
            </w:r>
            <w:r w:rsidR="00334B6B">
              <w:rPr>
                <w:rFonts w:eastAsiaTheme="minorEastAsia"/>
                <w:noProof/>
                <w:lang w:eastAsia="en-NZ"/>
              </w:rPr>
              <w:tab/>
            </w:r>
            <w:r w:rsidR="00334B6B" w:rsidRPr="00EA128F">
              <w:rPr>
                <w:rStyle w:val="Hyperlink"/>
                <w:noProof/>
              </w:rPr>
              <w:t>Changes to provisional tax to increase certainty and reduce costs</w:t>
            </w:r>
            <w:r w:rsidR="00334B6B">
              <w:rPr>
                <w:noProof/>
                <w:webHidden/>
              </w:rPr>
              <w:tab/>
            </w:r>
            <w:r w:rsidR="00334B6B">
              <w:rPr>
                <w:noProof/>
                <w:webHidden/>
              </w:rPr>
              <w:fldChar w:fldCharType="begin"/>
            </w:r>
            <w:r w:rsidR="00334B6B">
              <w:rPr>
                <w:noProof/>
                <w:webHidden/>
              </w:rPr>
              <w:instrText xml:space="preserve"> PAGEREF _Toc444145592 \h </w:instrText>
            </w:r>
            <w:r w:rsidR="00334B6B">
              <w:rPr>
                <w:noProof/>
                <w:webHidden/>
              </w:rPr>
            </w:r>
            <w:r w:rsidR="00334B6B">
              <w:rPr>
                <w:noProof/>
                <w:webHidden/>
              </w:rPr>
              <w:fldChar w:fldCharType="separate"/>
            </w:r>
            <w:r w:rsidR="005F03D5">
              <w:rPr>
                <w:noProof/>
                <w:webHidden/>
              </w:rPr>
              <w:t>8</w:t>
            </w:r>
            <w:r w:rsidR="00334B6B">
              <w:rPr>
                <w:noProof/>
                <w:webHidden/>
              </w:rPr>
              <w:fldChar w:fldCharType="end"/>
            </w:r>
          </w:hyperlink>
        </w:p>
        <w:p w:rsidR="00334B6B" w:rsidRDefault="00B800C5">
          <w:pPr>
            <w:pStyle w:val="TOC2"/>
            <w:tabs>
              <w:tab w:val="left" w:pos="660"/>
              <w:tab w:val="right" w:leader="dot" w:pos="9016"/>
            </w:tabs>
            <w:rPr>
              <w:rFonts w:eastAsiaTheme="minorEastAsia"/>
              <w:noProof/>
              <w:lang w:eastAsia="en-NZ"/>
            </w:rPr>
          </w:pPr>
          <w:hyperlink w:anchor="_Toc444145593" w:history="1">
            <w:r w:rsidR="00334B6B" w:rsidRPr="00EA128F">
              <w:rPr>
                <w:rStyle w:val="Hyperlink"/>
                <w:noProof/>
              </w:rPr>
              <w:t>B.</w:t>
            </w:r>
            <w:r w:rsidR="00334B6B">
              <w:rPr>
                <w:rFonts w:eastAsiaTheme="minorEastAsia"/>
                <w:noProof/>
                <w:lang w:eastAsia="en-NZ"/>
              </w:rPr>
              <w:tab/>
            </w:r>
            <w:r w:rsidR="00334B6B" w:rsidRPr="00EA128F">
              <w:rPr>
                <w:rStyle w:val="Hyperlink"/>
                <w:noProof/>
              </w:rPr>
              <w:t>Self-management and integrity</w:t>
            </w:r>
            <w:r w:rsidR="00334B6B">
              <w:rPr>
                <w:noProof/>
                <w:webHidden/>
              </w:rPr>
              <w:tab/>
            </w:r>
            <w:r w:rsidR="00334B6B">
              <w:rPr>
                <w:noProof/>
                <w:webHidden/>
              </w:rPr>
              <w:fldChar w:fldCharType="begin"/>
            </w:r>
            <w:r w:rsidR="00334B6B">
              <w:rPr>
                <w:noProof/>
                <w:webHidden/>
              </w:rPr>
              <w:instrText xml:space="preserve"> PAGEREF _Toc444145593 \h </w:instrText>
            </w:r>
            <w:r w:rsidR="00334B6B">
              <w:rPr>
                <w:noProof/>
                <w:webHidden/>
              </w:rPr>
            </w:r>
            <w:r w:rsidR="00334B6B">
              <w:rPr>
                <w:noProof/>
                <w:webHidden/>
              </w:rPr>
              <w:fldChar w:fldCharType="separate"/>
            </w:r>
            <w:r w:rsidR="005F03D5">
              <w:rPr>
                <w:noProof/>
                <w:webHidden/>
              </w:rPr>
              <w:t>12</w:t>
            </w:r>
            <w:r w:rsidR="00334B6B">
              <w:rPr>
                <w:noProof/>
                <w:webHidden/>
              </w:rPr>
              <w:fldChar w:fldCharType="end"/>
            </w:r>
          </w:hyperlink>
        </w:p>
        <w:p w:rsidR="00334B6B" w:rsidRDefault="00B800C5">
          <w:pPr>
            <w:pStyle w:val="TOC2"/>
            <w:tabs>
              <w:tab w:val="left" w:pos="660"/>
              <w:tab w:val="right" w:leader="dot" w:pos="9016"/>
            </w:tabs>
            <w:rPr>
              <w:rFonts w:eastAsiaTheme="minorEastAsia"/>
              <w:noProof/>
              <w:lang w:eastAsia="en-NZ"/>
            </w:rPr>
          </w:pPr>
          <w:hyperlink w:anchor="_Toc444145594" w:history="1">
            <w:r w:rsidR="00334B6B" w:rsidRPr="00EA128F">
              <w:rPr>
                <w:rStyle w:val="Hyperlink"/>
                <w:noProof/>
              </w:rPr>
              <w:t>C.</w:t>
            </w:r>
            <w:r w:rsidR="00334B6B">
              <w:rPr>
                <w:rFonts w:eastAsiaTheme="minorEastAsia"/>
                <w:noProof/>
                <w:lang w:eastAsia="en-NZ"/>
              </w:rPr>
              <w:tab/>
            </w:r>
            <w:r w:rsidR="00334B6B" w:rsidRPr="00EA128F">
              <w:rPr>
                <w:rStyle w:val="Hyperlink"/>
                <w:noProof/>
              </w:rPr>
              <w:t>Making the system fairer</w:t>
            </w:r>
            <w:r w:rsidR="00334B6B">
              <w:rPr>
                <w:noProof/>
                <w:webHidden/>
              </w:rPr>
              <w:tab/>
            </w:r>
            <w:r w:rsidR="00334B6B">
              <w:rPr>
                <w:noProof/>
                <w:webHidden/>
              </w:rPr>
              <w:fldChar w:fldCharType="begin"/>
            </w:r>
            <w:r w:rsidR="00334B6B">
              <w:rPr>
                <w:noProof/>
                <w:webHidden/>
              </w:rPr>
              <w:instrText xml:space="preserve"> PAGEREF _Toc444145594 \h </w:instrText>
            </w:r>
            <w:r w:rsidR="00334B6B">
              <w:rPr>
                <w:noProof/>
                <w:webHidden/>
              </w:rPr>
            </w:r>
            <w:r w:rsidR="00334B6B">
              <w:rPr>
                <w:noProof/>
                <w:webHidden/>
              </w:rPr>
              <w:fldChar w:fldCharType="separate"/>
            </w:r>
            <w:r w:rsidR="005F03D5">
              <w:rPr>
                <w:noProof/>
                <w:webHidden/>
              </w:rPr>
              <w:t>13</w:t>
            </w:r>
            <w:r w:rsidR="00334B6B">
              <w:rPr>
                <w:noProof/>
                <w:webHidden/>
              </w:rPr>
              <w:fldChar w:fldCharType="end"/>
            </w:r>
          </w:hyperlink>
        </w:p>
        <w:p w:rsidR="00334B6B" w:rsidRDefault="00B800C5">
          <w:pPr>
            <w:pStyle w:val="TOC2"/>
            <w:tabs>
              <w:tab w:val="left" w:pos="660"/>
              <w:tab w:val="right" w:leader="dot" w:pos="9016"/>
            </w:tabs>
            <w:rPr>
              <w:rFonts w:eastAsiaTheme="minorEastAsia"/>
              <w:noProof/>
              <w:lang w:eastAsia="en-NZ"/>
            </w:rPr>
          </w:pPr>
          <w:hyperlink w:anchor="_Toc444145595" w:history="1">
            <w:r w:rsidR="00334B6B" w:rsidRPr="00EA128F">
              <w:rPr>
                <w:rStyle w:val="Hyperlink"/>
                <w:noProof/>
              </w:rPr>
              <w:t>D.</w:t>
            </w:r>
            <w:r w:rsidR="00334B6B">
              <w:rPr>
                <w:rFonts w:eastAsiaTheme="minorEastAsia"/>
                <w:noProof/>
                <w:lang w:eastAsia="en-NZ"/>
              </w:rPr>
              <w:tab/>
            </w:r>
            <w:r w:rsidR="00334B6B" w:rsidRPr="00EA128F">
              <w:rPr>
                <w:rStyle w:val="Hyperlink"/>
                <w:noProof/>
              </w:rPr>
              <w:t>Making markets work better through tax transparency</w:t>
            </w:r>
            <w:r w:rsidR="00334B6B">
              <w:rPr>
                <w:noProof/>
                <w:webHidden/>
              </w:rPr>
              <w:tab/>
            </w:r>
            <w:r w:rsidR="00334B6B">
              <w:rPr>
                <w:noProof/>
                <w:webHidden/>
              </w:rPr>
              <w:fldChar w:fldCharType="begin"/>
            </w:r>
            <w:r w:rsidR="00334B6B">
              <w:rPr>
                <w:noProof/>
                <w:webHidden/>
              </w:rPr>
              <w:instrText xml:space="preserve"> PAGEREF _Toc444145595 \h </w:instrText>
            </w:r>
            <w:r w:rsidR="00334B6B">
              <w:rPr>
                <w:noProof/>
                <w:webHidden/>
              </w:rPr>
            </w:r>
            <w:r w:rsidR="00334B6B">
              <w:rPr>
                <w:noProof/>
                <w:webHidden/>
              </w:rPr>
              <w:fldChar w:fldCharType="separate"/>
            </w:r>
            <w:r w:rsidR="005F03D5">
              <w:rPr>
                <w:noProof/>
                <w:webHidden/>
              </w:rPr>
              <w:t>14</w:t>
            </w:r>
            <w:r w:rsidR="00334B6B">
              <w:rPr>
                <w:noProof/>
                <w:webHidden/>
              </w:rPr>
              <w:fldChar w:fldCharType="end"/>
            </w:r>
          </w:hyperlink>
        </w:p>
        <w:p w:rsidR="00334B6B" w:rsidRDefault="00B800C5">
          <w:pPr>
            <w:pStyle w:val="TOC2"/>
            <w:tabs>
              <w:tab w:val="left" w:pos="660"/>
              <w:tab w:val="right" w:leader="dot" w:pos="9016"/>
            </w:tabs>
            <w:rPr>
              <w:rFonts w:eastAsiaTheme="minorEastAsia"/>
              <w:noProof/>
              <w:lang w:eastAsia="en-NZ"/>
            </w:rPr>
          </w:pPr>
          <w:hyperlink w:anchor="_Toc444145596" w:history="1">
            <w:r w:rsidR="00334B6B" w:rsidRPr="00EA128F">
              <w:rPr>
                <w:rStyle w:val="Hyperlink"/>
                <w:noProof/>
              </w:rPr>
              <w:t>E.</w:t>
            </w:r>
            <w:r w:rsidR="00334B6B">
              <w:rPr>
                <w:rFonts w:eastAsiaTheme="minorEastAsia"/>
                <w:noProof/>
                <w:lang w:eastAsia="en-NZ"/>
              </w:rPr>
              <w:tab/>
            </w:r>
            <w:r w:rsidR="00334B6B" w:rsidRPr="00EA128F">
              <w:rPr>
                <w:rStyle w:val="Hyperlink"/>
                <w:noProof/>
              </w:rPr>
              <w:t>Supplementary simplification measures</w:t>
            </w:r>
            <w:r w:rsidR="00334B6B">
              <w:rPr>
                <w:noProof/>
                <w:webHidden/>
              </w:rPr>
              <w:tab/>
            </w:r>
            <w:r w:rsidR="00334B6B">
              <w:rPr>
                <w:noProof/>
                <w:webHidden/>
              </w:rPr>
              <w:fldChar w:fldCharType="begin"/>
            </w:r>
            <w:r w:rsidR="00334B6B">
              <w:rPr>
                <w:noProof/>
                <w:webHidden/>
              </w:rPr>
              <w:instrText xml:space="preserve"> PAGEREF _Toc444145596 \h </w:instrText>
            </w:r>
            <w:r w:rsidR="00334B6B">
              <w:rPr>
                <w:noProof/>
                <w:webHidden/>
              </w:rPr>
            </w:r>
            <w:r w:rsidR="00334B6B">
              <w:rPr>
                <w:noProof/>
                <w:webHidden/>
              </w:rPr>
              <w:fldChar w:fldCharType="separate"/>
            </w:r>
            <w:r w:rsidR="005F03D5">
              <w:rPr>
                <w:noProof/>
                <w:webHidden/>
              </w:rPr>
              <w:t>15</w:t>
            </w:r>
            <w:r w:rsidR="00334B6B">
              <w:rPr>
                <w:noProof/>
                <w:webHidden/>
              </w:rPr>
              <w:fldChar w:fldCharType="end"/>
            </w:r>
          </w:hyperlink>
        </w:p>
        <w:p w:rsidR="00334B6B" w:rsidRDefault="00B800C5">
          <w:pPr>
            <w:pStyle w:val="TOC1"/>
            <w:tabs>
              <w:tab w:val="right" w:leader="dot" w:pos="9016"/>
            </w:tabs>
            <w:rPr>
              <w:rFonts w:eastAsiaTheme="minorEastAsia"/>
              <w:noProof/>
              <w:lang w:eastAsia="en-NZ"/>
            </w:rPr>
          </w:pPr>
          <w:hyperlink w:anchor="_Toc444145597" w:history="1">
            <w:r w:rsidR="00334B6B" w:rsidRPr="00EA128F">
              <w:rPr>
                <w:rStyle w:val="Hyperlink"/>
                <w:noProof/>
              </w:rPr>
              <w:t>CONCLUSION</w:t>
            </w:r>
            <w:r w:rsidR="00334B6B">
              <w:rPr>
                <w:noProof/>
                <w:webHidden/>
              </w:rPr>
              <w:tab/>
            </w:r>
            <w:r w:rsidR="00334B6B">
              <w:rPr>
                <w:noProof/>
                <w:webHidden/>
              </w:rPr>
              <w:fldChar w:fldCharType="begin"/>
            </w:r>
            <w:r w:rsidR="00334B6B">
              <w:rPr>
                <w:noProof/>
                <w:webHidden/>
              </w:rPr>
              <w:instrText xml:space="preserve"> PAGEREF _Toc444145597 \h </w:instrText>
            </w:r>
            <w:r w:rsidR="00334B6B">
              <w:rPr>
                <w:noProof/>
                <w:webHidden/>
              </w:rPr>
            </w:r>
            <w:r w:rsidR="00334B6B">
              <w:rPr>
                <w:noProof/>
                <w:webHidden/>
              </w:rPr>
              <w:fldChar w:fldCharType="separate"/>
            </w:r>
            <w:r w:rsidR="005F03D5">
              <w:rPr>
                <w:noProof/>
                <w:webHidden/>
              </w:rPr>
              <w:t>21</w:t>
            </w:r>
            <w:r w:rsidR="00334B6B">
              <w:rPr>
                <w:noProof/>
                <w:webHidden/>
              </w:rPr>
              <w:fldChar w:fldCharType="end"/>
            </w:r>
          </w:hyperlink>
        </w:p>
        <w:p w:rsidR="00334B6B" w:rsidRDefault="00B800C5">
          <w:pPr>
            <w:pStyle w:val="TOC1"/>
            <w:tabs>
              <w:tab w:val="right" w:leader="dot" w:pos="9016"/>
            </w:tabs>
            <w:rPr>
              <w:rFonts w:eastAsiaTheme="minorEastAsia"/>
              <w:noProof/>
              <w:lang w:eastAsia="en-NZ"/>
            </w:rPr>
          </w:pPr>
          <w:hyperlink w:anchor="_Toc444145598" w:history="1">
            <w:r w:rsidR="00334B6B" w:rsidRPr="00EA128F">
              <w:rPr>
                <w:rStyle w:val="Hyperlink"/>
                <w:noProof/>
              </w:rPr>
              <w:t>CONSULTATION</w:t>
            </w:r>
            <w:r w:rsidR="00334B6B">
              <w:rPr>
                <w:noProof/>
                <w:webHidden/>
              </w:rPr>
              <w:tab/>
            </w:r>
            <w:r w:rsidR="00334B6B">
              <w:rPr>
                <w:noProof/>
                <w:webHidden/>
              </w:rPr>
              <w:fldChar w:fldCharType="begin"/>
            </w:r>
            <w:r w:rsidR="00334B6B">
              <w:rPr>
                <w:noProof/>
                <w:webHidden/>
              </w:rPr>
              <w:instrText xml:space="preserve"> PAGEREF _Toc444145598 \h </w:instrText>
            </w:r>
            <w:r w:rsidR="00334B6B">
              <w:rPr>
                <w:noProof/>
                <w:webHidden/>
              </w:rPr>
            </w:r>
            <w:r w:rsidR="00334B6B">
              <w:rPr>
                <w:noProof/>
                <w:webHidden/>
              </w:rPr>
              <w:fldChar w:fldCharType="separate"/>
            </w:r>
            <w:r w:rsidR="005F03D5">
              <w:rPr>
                <w:noProof/>
                <w:webHidden/>
              </w:rPr>
              <w:t>21</w:t>
            </w:r>
            <w:r w:rsidR="00334B6B">
              <w:rPr>
                <w:noProof/>
                <w:webHidden/>
              </w:rPr>
              <w:fldChar w:fldCharType="end"/>
            </w:r>
          </w:hyperlink>
        </w:p>
        <w:p w:rsidR="00334B6B" w:rsidRDefault="00B800C5">
          <w:pPr>
            <w:pStyle w:val="TOC1"/>
            <w:tabs>
              <w:tab w:val="right" w:leader="dot" w:pos="9016"/>
            </w:tabs>
            <w:rPr>
              <w:rFonts w:eastAsiaTheme="minorEastAsia"/>
              <w:noProof/>
              <w:lang w:eastAsia="en-NZ"/>
            </w:rPr>
          </w:pPr>
          <w:hyperlink w:anchor="_Toc444145599" w:history="1">
            <w:r w:rsidR="00334B6B" w:rsidRPr="00EA128F">
              <w:rPr>
                <w:rStyle w:val="Hyperlink"/>
                <w:noProof/>
              </w:rPr>
              <w:t>IMPLEMENTATION</w:t>
            </w:r>
            <w:r w:rsidR="00334B6B">
              <w:rPr>
                <w:noProof/>
                <w:webHidden/>
              </w:rPr>
              <w:tab/>
            </w:r>
            <w:r w:rsidR="00334B6B">
              <w:rPr>
                <w:noProof/>
                <w:webHidden/>
              </w:rPr>
              <w:fldChar w:fldCharType="begin"/>
            </w:r>
            <w:r w:rsidR="00334B6B">
              <w:rPr>
                <w:noProof/>
                <w:webHidden/>
              </w:rPr>
              <w:instrText xml:space="preserve"> PAGEREF _Toc444145599 \h </w:instrText>
            </w:r>
            <w:r w:rsidR="00334B6B">
              <w:rPr>
                <w:noProof/>
                <w:webHidden/>
              </w:rPr>
            </w:r>
            <w:r w:rsidR="00334B6B">
              <w:rPr>
                <w:noProof/>
                <w:webHidden/>
              </w:rPr>
              <w:fldChar w:fldCharType="separate"/>
            </w:r>
            <w:r w:rsidR="005F03D5">
              <w:rPr>
                <w:noProof/>
                <w:webHidden/>
              </w:rPr>
              <w:t>22</w:t>
            </w:r>
            <w:r w:rsidR="00334B6B">
              <w:rPr>
                <w:noProof/>
                <w:webHidden/>
              </w:rPr>
              <w:fldChar w:fldCharType="end"/>
            </w:r>
          </w:hyperlink>
        </w:p>
        <w:p w:rsidR="00334B6B" w:rsidRDefault="00B800C5">
          <w:pPr>
            <w:pStyle w:val="TOC1"/>
            <w:tabs>
              <w:tab w:val="right" w:leader="dot" w:pos="9016"/>
            </w:tabs>
            <w:rPr>
              <w:rFonts w:eastAsiaTheme="minorEastAsia"/>
              <w:noProof/>
              <w:lang w:eastAsia="en-NZ"/>
            </w:rPr>
          </w:pPr>
          <w:hyperlink w:anchor="_Toc444145600" w:history="1">
            <w:r w:rsidR="00334B6B" w:rsidRPr="00EA128F">
              <w:rPr>
                <w:rStyle w:val="Hyperlink"/>
                <w:noProof/>
              </w:rPr>
              <w:t>MONITORING, EVALUATION AND REVIEW</w:t>
            </w:r>
            <w:r w:rsidR="00334B6B">
              <w:rPr>
                <w:noProof/>
                <w:webHidden/>
              </w:rPr>
              <w:tab/>
            </w:r>
            <w:r w:rsidR="00334B6B">
              <w:rPr>
                <w:noProof/>
                <w:webHidden/>
              </w:rPr>
              <w:fldChar w:fldCharType="begin"/>
            </w:r>
            <w:r w:rsidR="00334B6B">
              <w:rPr>
                <w:noProof/>
                <w:webHidden/>
              </w:rPr>
              <w:instrText xml:space="preserve"> PAGEREF _Toc444145600 \h </w:instrText>
            </w:r>
            <w:r w:rsidR="00334B6B">
              <w:rPr>
                <w:noProof/>
                <w:webHidden/>
              </w:rPr>
            </w:r>
            <w:r w:rsidR="00334B6B">
              <w:rPr>
                <w:noProof/>
                <w:webHidden/>
              </w:rPr>
              <w:fldChar w:fldCharType="separate"/>
            </w:r>
            <w:r w:rsidR="005F03D5">
              <w:rPr>
                <w:noProof/>
                <w:webHidden/>
              </w:rPr>
              <w:t>23</w:t>
            </w:r>
            <w:r w:rsidR="00334B6B">
              <w:rPr>
                <w:noProof/>
                <w:webHidden/>
              </w:rPr>
              <w:fldChar w:fldCharType="end"/>
            </w:r>
          </w:hyperlink>
        </w:p>
        <w:p w:rsidR="00334B6B" w:rsidRDefault="00B800C5">
          <w:pPr>
            <w:pStyle w:val="TOC1"/>
            <w:tabs>
              <w:tab w:val="right" w:leader="dot" w:pos="9016"/>
            </w:tabs>
            <w:rPr>
              <w:rFonts w:eastAsiaTheme="minorEastAsia"/>
              <w:noProof/>
              <w:lang w:eastAsia="en-NZ"/>
            </w:rPr>
          </w:pPr>
          <w:hyperlink w:anchor="_Toc444145601" w:history="1">
            <w:r w:rsidR="00334B6B" w:rsidRPr="00EA128F">
              <w:rPr>
                <w:rStyle w:val="Hyperlink"/>
                <w:noProof/>
              </w:rPr>
              <w:t>APPENDIX A – CHANGES TO PROVISIONAL TAX TO INCREASE CERTAINTY AND REDUCE COSTS</w:t>
            </w:r>
            <w:r w:rsidR="00334B6B">
              <w:rPr>
                <w:noProof/>
                <w:webHidden/>
              </w:rPr>
              <w:tab/>
            </w:r>
            <w:r w:rsidR="00334B6B">
              <w:rPr>
                <w:noProof/>
                <w:webHidden/>
              </w:rPr>
              <w:fldChar w:fldCharType="begin"/>
            </w:r>
            <w:r w:rsidR="00334B6B">
              <w:rPr>
                <w:noProof/>
                <w:webHidden/>
              </w:rPr>
              <w:instrText xml:space="preserve"> PAGEREF _Toc444145601 \h </w:instrText>
            </w:r>
            <w:r w:rsidR="00334B6B">
              <w:rPr>
                <w:noProof/>
                <w:webHidden/>
              </w:rPr>
            </w:r>
            <w:r w:rsidR="00334B6B">
              <w:rPr>
                <w:noProof/>
                <w:webHidden/>
              </w:rPr>
              <w:fldChar w:fldCharType="separate"/>
            </w:r>
            <w:r w:rsidR="005F03D5">
              <w:rPr>
                <w:noProof/>
                <w:webHidden/>
              </w:rPr>
              <w:t>24</w:t>
            </w:r>
            <w:r w:rsidR="00334B6B">
              <w:rPr>
                <w:noProof/>
                <w:webHidden/>
              </w:rPr>
              <w:fldChar w:fldCharType="end"/>
            </w:r>
          </w:hyperlink>
        </w:p>
        <w:p w:rsidR="00334B6B" w:rsidRDefault="00B800C5">
          <w:pPr>
            <w:pStyle w:val="TOC2"/>
            <w:tabs>
              <w:tab w:val="right" w:leader="dot" w:pos="9016"/>
            </w:tabs>
            <w:rPr>
              <w:rFonts w:eastAsiaTheme="minorEastAsia"/>
              <w:noProof/>
              <w:lang w:eastAsia="en-NZ"/>
            </w:rPr>
          </w:pPr>
          <w:hyperlink w:anchor="_Toc444145602" w:history="1">
            <w:r w:rsidR="00334B6B" w:rsidRPr="00EA128F">
              <w:rPr>
                <w:rStyle w:val="Hyperlink"/>
                <w:noProof/>
              </w:rPr>
              <w:t>1 – Extend the current safe harbour from UOMI</w:t>
            </w:r>
            <w:r w:rsidR="00334B6B">
              <w:rPr>
                <w:noProof/>
                <w:webHidden/>
              </w:rPr>
              <w:tab/>
            </w:r>
            <w:r w:rsidR="00334B6B">
              <w:rPr>
                <w:noProof/>
                <w:webHidden/>
              </w:rPr>
              <w:fldChar w:fldCharType="begin"/>
            </w:r>
            <w:r w:rsidR="00334B6B">
              <w:rPr>
                <w:noProof/>
                <w:webHidden/>
              </w:rPr>
              <w:instrText xml:space="preserve"> PAGEREF _Toc444145602 \h </w:instrText>
            </w:r>
            <w:r w:rsidR="00334B6B">
              <w:rPr>
                <w:noProof/>
                <w:webHidden/>
              </w:rPr>
            </w:r>
            <w:r w:rsidR="00334B6B">
              <w:rPr>
                <w:noProof/>
                <w:webHidden/>
              </w:rPr>
              <w:fldChar w:fldCharType="separate"/>
            </w:r>
            <w:r w:rsidR="005F03D5">
              <w:rPr>
                <w:noProof/>
                <w:webHidden/>
              </w:rPr>
              <w:t>25</w:t>
            </w:r>
            <w:r w:rsidR="00334B6B">
              <w:rPr>
                <w:noProof/>
                <w:webHidden/>
              </w:rPr>
              <w:fldChar w:fldCharType="end"/>
            </w:r>
          </w:hyperlink>
        </w:p>
        <w:p w:rsidR="00334B6B" w:rsidRDefault="00B800C5">
          <w:pPr>
            <w:pStyle w:val="TOC3"/>
            <w:tabs>
              <w:tab w:val="right" w:leader="dot" w:pos="9016"/>
            </w:tabs>
            <w:rPr>
              <w:rFonts w:eastAsiaTheme="minorEastAsia"/>
              <w:noProof/>
              <w:lang w:eastAsia="en-NZ"/>
            </w:rPr>
          </w:pPr>
          <w:hyperlink w:anchor="_Toc444145603" w:history="1">
            <w:r w:rsidR="00334B6B" w:rsidRPr="00EA128F">
              <w:rPr>
                <w:rStyle w:val="Hyperlink"/>
                <w:noProof/>
              </w:rPr>
              <w:t>Recommendations</w:t>
            </w:r>
            <w:r w:rsidR="00334B6B">
              <w:rPr>
                <w:noProof/>
                <w:webHidden/>
              </w:rPr>
              <w:tab/>
            </w:r>
            <w:r w:rsidR="00334B6B">
              <w:rPr>
                <w:noProof/>
                <w:webHidden/>
              </w:rPr>
              <w:fldChar w:fldCharType="begin"/>
            </w:r>
            <w:r w:rsidR="00334B6B">
              <w:rPr>
                <w:noProof/>
                <w:webHidden/>
              </w:rPr>
              <w:instrText xml:space="preserve"> PAGEREF _Toc444145603 \h </w:instrText>
            </w:r>
            <w:r w:rsidR="00334B6B">
              <w:rPr>
                <w:noProof/>
                <w:webHidden/>
              </w:rPr>
            </w:r>
            <w:r w:rsidR="00334B6B">
              <w:rPr>
                <w:noProof/>
                <w:webHidden/>
              </w:rPr>
              <w:fldChar w:fldCharType="separate"/>
            </w:r>
            <w:r w:rsidR="005F03D5">
              <w:rPr>
                <w:noProof/>
                <w:webHidden/>
              </w:rPr>
              <w:t>29</w:t>
            </w:r>
            <w:r w:rsidR="00334B6B">
              <w:rPr>
                <w:noProof/>
                <w:webHidden/>
              </w:rPr>
              <w:fldChar w:fldCharType="end"/>
            </w:r>
          </w:hyperlink>
        </w:p>
        <w:p w:rsidR="00334B6B" w:rsidRDefault="00B800C5">
          <w:pPr>
            <w:pStyle w:val="TOC2"/>
            <w:tabs>
              <w:tab w:val="right" w:leader="dot" w:pos="9016"/>
            </w:tabs>
            <w:rPr>
              <w:rFonts w:eastAsiaTheme="minorEastAsia"/>
              <w:noProof/>
              <w:lang w:eastAsia="en-NZ"/>
            </w:rPr>
          </w:pPr>
          <w:hyperlink w:anchor="_Toc444145604" w:history="1">
            <w:r w:rsidR="00334B6B" w:rsidRPr="00EA128F">
              <w:rPr>
                <w:rStyle w:val="Hyperlink"/>
                <w:noProof/>
              </w:rPr>
              <w:t>2 – Application of UOMI</w:t>
            </w:r>
            <w:r w:rsidR="00334B6B">
              <w:rPr>
                <w:noProof/>
                <w:webHidden/>
              </w:rPr>
              <w:tab/>
            </w:r>
            <w:r w:rsidR="00334B6B">
              <w:rPr>
                <w:noProof/>
                <w:webHidden/>
              </w:rPr>
              <w:fldChar w:fldCharType="begin"/>
            </w:r>
            <w:r w:rsidR="00334B6B">
              <w:rPr>
                <w:noProof/>
                <w:webHidden/>
              </w:rPr>
              <w:instrText xml:space="preserve"> PAGEREF _Toc444145604 \h </w:instrText>
            </w:r>
            <w:r w:rsidR="00334B6B">
              <w:rPr>
                <w:noProof/>
                <w:webHidden/>
              </w:rPr>
            </w:r>
            <w:r w:rsidR="00334B6B">
              <w:rPr>
                <w:noProof/>
                <w:webHidden/>
              </w:rPr>
              <w:fldChar w:fldCharType="separate"/>
            </w:r>
            <w:r w:rsidR="005F03D5">
              <w:rPr>
                <w:noProof/>
                <w:webHidden/>
              </w:rPr>
              <w:t>29</w:t>
            </w:r>
            <w:r w:rsidR="00334B6B">
              <w:rPr>
                <w:noProof/>
                <w:webHidden/>
              </w:rPr>
              <w:fldChar w:fldCharType="end"/>
            </w:r>
          </w:hyperlink>
        </w:p>
        <w:p w:rsidR="00334B6B" w:rsidRDefault="00B800C5">
          <w:pPr>
            <w:pStyle w:val="TOC3"/>
            <w:tabs>
              <w:tab w:val="right" w:leader="dot" w:pos="9016"/>
            </w:tabs>
            <w:rPr>
              <w:rFonts w:eastAsiaTheme="minorEastAsia"/>
              <w:noProof/>
              <w:lang w:eastAsia="en-NZ"/>
            </w:rPr>
          </w:pPr>
          <w:hyperlink w:anchor="_Toc444145605" w:history="1">
            <w:r w:rsidR="00334B6B" w:rsidRPr="00EA128F">
              <w:rPr>
                <w:rStyle w:val="Hyperlink"/>
                <w:noProof/>
              </w:rPr>
              <w:t>Recommendations</w:t>
            </w:r>
            <w:r w:rsidR="00334B6B">
              <w:rPr>
                <w:noProof/>
                <w:webHidden/>
              </w:rPr>
              <w:tab/>
            </w:r>
            <w:r w:rsidR="00334B6B">
              <w:rPr>
                <w:noProof/>
                <w:webHidden/>
              </w:rPr>
              <w:fldChar w:fldCharType="begin"/>
            </w:r>
            <w:r w:rsidR="00334B6B">
              <w:rPr>
                <w:noProof/>
                <w:webHidden/>
              </w:rPr>
              <w:instrText xml:space="preserve"> PAGEREF _Toc444145605 \h </w:instrText>
            </w:r>
            <w:r w:rsidR="00334B6B">
              <w:rPr>
                <w:noProof/>
                <w:webHidden/>
              </w:rPr>
            </w:r>
            <w:r w:rsidR="00334B6B">
              <w:rPr>
                <w:noProof/>
                <w:webHidden/>
              </w:rPr>
              <w:fldChar w:fldCharType="separate"/>
            </w:r>
            <w:r w:rsidR="005F03D5">
              <w:rPr>
                <w:noProof/>
                <w:webHidden/>
              </w:rPr>
              <w:t>33</w:t>
            </w:r>
            <w:r w:rsidR="00334B6B">
              <w:rPr>
                <w:noProof/>
                <w:webHidden/>
              </w:rPr>
              <w:fldChar w:fldCharType="end"/>
            </w:r>
          </w:hyperlink>
        </w:p>
        <w:p w:rsidR="00334B6B" w:rsidRDefault="00B800C5">
          <w:pPr>
            <w:pStyle w:val="TOC2"/>
            <w:tabs>
              <w:tab w:val="right" w:leader="dot" w:pos="9016"/>
            </w:tabs>
            <w:rPr>
              <w:rFonts w:eastAsiaTheme="minorEastAsia"/>
              <w:noProof/>
              <w:lang w:eastAsia="en-NZ"/>
            </w:rPr>
          </w:pPr>
          <w:hyperlink w:anchor="_Toc444145606" w:history="1">
            <w:r w:rsidR="00334B6B" w:rsidRPr="00EA128F">
              <w:rPr>
                <w:rStyle w:val="Hyperlink"/>
                <w:noProof/>
              </w:rPr>
              <w:t>3 – Calculation method for provisional tax</w:t>
            </w:r>
            <w:r w:rsidR="00334B6B">
              <w:rPr>
                <w:noProof/>
                <w:webHidden/>
              </w:rPr>
              <w:tab/>
            </w:r>
            <w:r w:rsidR="00334B6B">
              <w:rPr>
                <w:noProof/>
                <w:webHidden/>
              </w:rPr>
              <w:fldChar w:fldCharType="begin"/>
            </w:r>
            <w:r w:rsidR="00334B6B">
              <w:rPr>
                <w:noProof/>
                <w:webHidden/>
              </w:rPr>
              <w:instrText xml:space="preserve"> PAGEREF _Toc444145606 \h </w:instrText>
            </w:r>
            <w:r w:rsidR="00334B6B">
              <w:rPr>
                <w:noProof/>
                <w:webHidden/>
              </w:rPr>
            </w:r>
            <w:r w:rsidR="00334B6B">
              <w:rPr>
                <w:noProof/>
                <w:webHidden/>
              </w:rPr>
              <w:fldChar w:fldCharType="separate"/>
            </w:r>
            <w:r w:rsidR="005F03D5">
              <w:rPr>
                <w:noProof/>
                <w:webHidden/>
              </w:rPr>
              <w:t>33</w:t>
            </w:r>
            <w:r w:rsidR="00334B6B">
              <w:rPr>
                <w:noProof/>
                <w:webHidden/>
              </w:rPr>
              <w:fldChar w:fldCharType="end"/>
            </w:r>
          </w:hyperlink>
        </w:p>
        <w:p w:rsidR="00334B6B" w:rsidRDefault="00B800C5">
          <w:pPr>
            <w:pStyle w:val="TOC3"/>
            <w:tabs>
              <w:tab w:val="right" w:leader="dot" w:pos="9016"/>
            </w:tabs>
            <w:rPr>
              <w:rFonts w:eastAsiaTheme="minorEastAsia"/>
              <w:noProof/>
              <w:lang w:eastAsia="en-NZ"/>
            </w:rPr>
          </w:pPr>
          <w:hyperlink w:anchor="_Toc444145607" w:history="1">
            <w:r w:rsidR="00334B6B" w:rsidRPr="00EA128F">
              <w:rPr>
                <w:rStyle w:val="Hyperlink"/>
                <w:noProof/>
              </w:rPr>
              <w:t>Recommendations</w:t>
            </w:r>
            <w:r w:rsidR="00334B6B">
              <w:rPr>
                <w:noProof/>
                <w:webHidden/>
              </w:rPr>
              <w:tab/>
            </w:r>
            <w:r w:rsidR="00334B6B">
              <w:rPr>
                <w:noProof/>
                <w:webHidden/>
              </w:rPr>
              <w:fldChar w:fldCharType="begin"/>
            </w:r>
            <w:r w:rsidR="00334B6B">
              <w:rPr>
                <w:noProof/>
                <w:webHidden/>
              </w:rPr>
              <w:instrText xml:space="preserve"> PAGEREF _Toc444145607 \h </w:instrText>
            </w:r>
            <w:r w:rsidR="00334B6B">
              <w:rPr>
                <w:noProof/>
                <w:webHidden/>
              </w:rPr>
            </w:r>
            <w:r w:rsidR="00334B6B">
              <w:rPr>
                <w:noProof/>
                <w:webHidden/>
              </w:rPr>
              <w:fldChar w:fldCharType="separate"/>
            </w:r>
            <w:r w:rsidR="005F03D5">
              <w:rPr>
                <w:noProof/>
                <w:webHidden/>
              </w:rPr>
              <w:t>37</w:t>
            </w:r>
            <w:r w:rsidR="00334B6B">
              <w:rPr>
                <w:noProof/>
                <w:webHidden/>
              </w:rPr>
              <w:fldChar w:fldCharType="end"/>
            </w:r>
          </w:hyperlink>
        </w:p>
        <w:p w:rsidR="00334B6B" w:rsidRDefault="00B800C5">
          <w:pPr>
            <w:pStyle w:val="TOC2"/>
            <w:tabs>
              <w:tab w:val="right" w:leader="dot" w:pos="9016"/>
            </w:tabs>
            <w:rPr>
              <w:rFonts w:eastAsiaTheme="minorEastAsia"/>
              <w:noProof/>
              <w:lang w:eastAsia="en-NZ"/>
            </w:rPr>
          </w:pPr>
          <w:hyperlink w:anchor="_Toc444145608" w:history="1">
            <w:r w:rsidR="00334B6B" w:rsidRPr="00EA128F">
              <w:rPr>
                <w:rStyle w:val="Hyperlink"/>
                <w:noProof/>
              </w:rPr>
              <w:t>4 – Paying tax as agent for shareholder-employees</w:t>
            </w:r>
            <w:r w:rsidR="00334B6B">
              <w:rPr>
                <w:noProof/>
                <w:webHidden/>
              </w:rPr>
              <w:tab/>
            </w:r>
            <w:r w:rsidR="00334B6B">
              <w:rPr>
                <w:noProof/>
                <w:webHidden/>
              </w:rPr>
              <w:fldChar w:fldCharType="begin"/>
            </w:r>
            <w:r w:rsidR="00334B6B">
              <w:rPr>
                <w:noProof/>
                <w:webHidden/>
              </w:rPr>
              <w:instrText xml:space="preserve"> PAGEREF _Toc444145608 \h </w:instrText>
            </w:r>
            <w:r w:rsidR="00334B6B">
              <w:rPr>
                <w:noProof/>
                <w:webHidden/>
              </w:rPr>
            </w:r>
            <w:r w:rsidR="00334B6B">
              <w:rPr>
                <w:noProof/>
                <w:webHidden/>
              </w:rPr>
              <w:fldChar w:fldCharType="separate"/>
            </w:r>
            <w:r w:rsidR="005F03D5">
              <w:rPr>
                <w:noProof/>
                <w:webHidden/>
              </w:rPr>
              <w:t>37</w:t>
            </w:r>
            <w:r w:rsidR="00334B6B">
              <w:rPr>
                <w:noProof/>
                <w:webHidden/>
              </w:rPr>
              <w:fldChar w:fldCharType="end"/>
            </w:r>
          </w:hyperlink>
        </w:p>
        <w:p w:rsidR="00334B6B" w:rsidRDefault="00B800C5">
          <w:pPr>
            <w:pStyle w:val="TOC3"/>
            <w:tabs>
              <w:tab w:val="right" w:leader="dot" w:pos="9016"/>
            </w:tabs>
            <w:rPr>
              <w:rFonts w:eastAsiaTheme="minorEastAsia"/>
              <w:noProof/>
              <w:lang w:eastAsia="en-NZ"/>
            </w:rPr>
          </w:pPr>
          <w:hyperlink w:anchor="_Toc444145609" w:history="1">
            <w:r w:rsidR="00334B6B" w:rsidRPr="00EA128F">
              <w:rPr>
                <w:rStyle w:val="Hyperlink"/>
                <w:noProof/>
              </w:rPr>
              <w:t>Recommendations</w:t>
            </w:r>
            <w:r w:rsidR="00334B6B">
              <w:rPr>
                <w:noProof/>
                <w:webHidden/>
              </w:rPr>
              <w:tab/>
            </w:r>
            <w:r w:rsidR="00334B6B">
              <w:rPr>
                <w:noProof/>
                <w:webHidden/>
              </w:rPr>
              <w:fldChar w:fldCharType="begin"/>
            </w:r>
            <w:r w:rsidR="00334B6B">
              <w:rPr>
                <w:noProof/>
                <w:webHidden/>
              </w:rPr>
              <w:instrText xml:space="preserve"> PAGEREF _Toc444145609 \h </w:instrText>
            </w:r>
            <w:r w:rsidR="00334B6B">
              <w:rPr>
                <w:noProof/>
                <w:webHidden/>
              </w:rPr>
            </w:r>
            <w:r w:rsidR="00334B6B">
              <w:rPr>
                <w:noProof/>
                <w:webHidden/>
              </w:rPr>
              <w:fldChar w:fldCharType="separate"/>
            </w:r>
            <w:r w:rsidR="005F03D5">
              <w:rPr>
                <w:noProof/>
                <w:webHidden/>
              </w:rPr>
              <w:t>41</w:t>
            </w:r>
            <w:r w:rsidR="00334B6B">
              <w:rPr>
                <w:noProof/>
                <w:webHidden/>
              </w:rPr>
              <w:fldChar w:fldCharType="end"/>
            </w:r>
          </w:hyperlink>
        </w:p>
        <w:p w:rsidR="00334B6B" w:rsidRDefault="00B800C5">
          <w:pPr>
            <w:pStyle w:val="TOC1"/>
            <w:tabs>
              <w:tab w:val="right" w:leader="dot" w:pos="9016"/>
            </w:tabs>
            <w:rPr>
              <w:rFonts w:eastAsiaTheme="minorEastAsia"/>
              <w:noProof/>
              <w:lang w:eastAsia="en-NZ"/>
            </w:rPr>
          </w:pPr>
          <w:hyperlink w:anchor="_Toc444145610" w:history="1">
            <w:r w:rsidR="00334B6B" w:rsidRPr="00EA128F">
              <w:rPr>
                <w:rStyle w:val="Hyperlink"/>
                <w:noProof/>
              </w:rPr>
              <w:t>APPENDIX B – SELF-MANAGEMENT AND INTEGRITY</w:t>
            </w:r>
            <w:r w:rsidR="00334B6B">
              <w:rPr>
                <w:noProof/>
                <w:webHidden/>
              </w:rPr>
              <w:tab/>
            </w:r>
            <w:r w:rsidR="00334B6B">
              <w:rPr>
                <w:noProof/>
                <w:webHidden/>
              </w:rPr>
              <w:fldChar w:fldCharType="begin"/>
            </w:r>
            <w:r w:rsidR="00334B6B">
              <w:rPr>
                <w:noProof/>
                <w:webHidden/>
              </w:rPr>
              <w:instrText xml:space="preserve"> PAGEREF _Toc444145610 \h </w:instrText>
            </w:r>
            <w:r w:rsidR="00334B6B">
              <w:rPr>
                <w:noProof/>
                <w:webHidden/>
              </w:rPr>
            </w:r>
            <w:r w:rsidR="00334B6B">
              <w:rPr>
                <w:noProof/>
                <w:webHidden/>
              </w:rPr>
              <w:fldChar w:fldCharType="separate"/>
            </w:r>
            <w:r w:rsidR="005F03D5">
              <w:rPr>
                <w:noProof/>
                <w:webHidden/>
              </w:rPr>
              <w:t>42</w:t>
            </w:r>
            <w:r w:rsidR="00334B6B">
              <w:rPr>
                <w:noProof/>
                <w:webHidden/>
              </w:rPr>
              <w:fldChar w:fldCharType="end"/>
            </w:r>
          </w:hyperlink>
        </w:p>
        <w:p w:rsidR="00334B6B" w:rsidRDefault="00B800C5">
          <w:pPr>
            <w:pStyle w:val="TOC3"/>
            <w:tabs>
              <w:tab w:val="right" w:leader="dot" w:pos="9016"/>
            </w:tabs>
            <w:rPr>
              <w:rFonts w:eastAsiaTheme="minorEastAsia"/>
              <w:noProof/>
              <w:lang w:eastAsia="en-NZ"/>
            </w:rPr>
          </w:pPr>
          <w:hyperlink w:anchor="_Toc444145611" w:history="1">
            <w:r w:rsidR="00334B6B" w:rsidRPr="00EA128F">
              <w:rPr>
                <w:rStyle w:val="Hyperlink"/>
                <w:noProof/>
              </w:rPr>
              <w:t>Recommendations</w:t>
            </w:r>
            <w:r w:rsidR="00334B6B">
              <w:rPr>
                <w:noProof/>
                <w:webHidden/>
              </w:rPr>
              <w:tab/>
            </w:r>
            <w:r w:rsidR="00334B6B">
              <w:rPr>
                <w:noProof/>
                <w:webHidden/>
              </w:rPr>
              <w:fldChar w:fldCharType="begin"/>
            </w:r>
            <w:r w:rsidR="00334B6B">
              <w:rPr>
                <w:noProof/>
                <w:webHidden/>
              </w:rPr>
              <w:instrText xml:space="preserve"> PAGEREF _Toc444145611 \h </w:instrText>
            </w:r>
            <w:r w:rsidR="00334B6B">
              <w:rPr>
                <w:noProof/>
                <w:webHidden/>
              </w:rPr>
            </w:r>
            <w:r w:rsidR="00334B6B">
              <w:rPr>
                <w:noProof/>
                <w:webHidden/>
              </w:rPr>
              <w:fldChar w:fldCharType="separate"/>
            </w:r>
            <w:r w:rsidR="005F03D5">
              <w:rPr>
                <w:noProof/>
                <w:webHidden/>
              </w:rPr>
              <w:t>49</w:t>
            </w:r>
            <w:r w:rsidR="00334B6B">
              <w:rPr>
                <w:noProof/>
                <w:webHidden/>
              </w:rPr>
              <w:fldChar w:fldCharType="end"/>
            </w:r>
          </w:hyperlink>
        </w:p>
        <w:p w:rsidR="00334B6B" w:rsidRDefault="00B800C5">
          <w:pPr>
            <w:pStyle w:val="TOC1"/>
            <w:tabs>
              <w:tab w:val="right" w:leader="dot" w:pos="9016"/>
            </w:tabs>
            <w:rPr>
              <w:rFonts w:eastAsiaTheme="minorEastAsia"/>
              <w:noProof/>
              <w:lang w:eastAsia="en-NZ"/>
            </w:rPr>
          </w:pPr>
          <w:hyperlink w:anchor="_Toc444145612" w:history="1">
            <w:r w:rsidR="00334B6B" w:rsidRPr="00EA128F">
              <w:rPr>
                <w:rStyle w:val="Hyperlink"/>
                <w:noProof/>
              </w:rPr>
              <w:t>APPENDIX C – MAKING THE SYSTEM FAIRER</w:t>
            </w:r>
            <w:r w:rsidR="00334B6B">
              <w:rPr>
                <w:noProof/>
                <w:webHidden/>
              </w:rPr>
              <w:tab/>
            </w:r>
            <w:r w:rsidR="00334B6B">
              <w:rPr>
                <w:noProof/>
                <w:webHidden/>
              </w:rPr>
              <w:fldChar w:fldCharType="begin"/>
            </w:r>
            <w:r w:rsidR="00334B6B">
              <w:rPr>
                <w:noProof/>
                <w:webHidden/>
              </w:rPr>
              <w:instrText xml:space="preserve"> PAGEREF _Toc444145612 \h </w:instrText>
            </w:r>
            <w:r w:rsidR="00334B6B">
              <w:rPr>
                <w:noProof/>
                <w:webHidden/>
              </w:rPr>
            </w:r>
            <w:r w:rsidR="00334B6B">
              <w:rPr>
                <w:noProof/>
                <w:webHidden/>
              </w:rPr>
              <w:fldChar w:fldCharType="separate"/>
            </w:r>
            <w:r w:rsidR="005F03D5">
              <w:rPr>
                <w:noProof/>
                <w:webHidden/>
              </w:rPr>
              <w:t>50</w:t>
            </w:r>
            <w:r w:rsidR="00334B6B">
              <w:rPr>
                <w:noProof/>
                <w:webHidden/>
              </w:rPr>
              <w:fldChar w:fldCharType="end"/>
            </w:r>
          </w:hyperlink>
        </w:p>
        <w:p w:rsidR="00334B6B" w:rsidRDefault="00B800C5">
          <w:pPr>
            <w:pStyle w:val="TOC3"/>
            <w:tabs>
              <w:tab w:val="right" w:leader="dot" w:pos="9016"/>
            </w:tabs>
            <w:rPr>
              <w:rFonts w:eastAsiaTheme="minorEastAsia"/>
              <w:noProof/>
              <w:lang w:eastAsia="en-NZ"/>
            </w:rPr>
          </w:pPr>
          <w:hyperlink w:anchor="_Toc444145613" w:history="1">
            <w:r w:rsidR="00334B6B" w:rsidRPr="00EA128F">
              <w:rPr>
                <w:rStyle w:val="Hyperlink"/>
                <w:noProof/>
              </w:rPr>
              <w:t>Recommendations</w:t>
            </w:r>
            <w:r w:rsidR="00334B6B">
              <w:rPr>
                <w:noProof/>
                <w:webHidden/>
              </w:rPr>
              <w:tab/>
            </w:r>
            <w:r w:rsidR="00334B6B">
              <w:rPr>
                <w:noProof/>
                <w:webHidden/>
              </w:rPr>
              <w:fldChar w:fldCharType="begin"/>
            </w:r>
            <w:r w:rsidR="00334B6B">
              <w:rPr>
                <w:noProof/>
                <w:webHidden/>
              </w:rPr>
              <w:instrText xml:space="preserve"> PAGEREF _Toc444145613 \h </w:instrText>
            </w:r>
            <w:r w:rsidR="00334B6B">
              <w:rPr>
                <w:noProof/>
                <w:webHidden/>
              </w:rPr>
            </w:r>
            <w:r w:rsidR="00334B6B">
              <w:rPr>
                <w:noProof/>
                <w:webHidden/>
              </w:rPr>
              <w:fldChar w:fldCharType="separate"/>
            </w:r>
            <w:r w:rsidR="005F03D5">
              <w:rPr>
                <w:noProof/>
                <w:webHidden/>
              </w:rPr>
              <w:t>59</w:t>
            </w:r>
            <w:r w:rsidR="00334B6B">
              <w:rPr>
                <w:noProof/>
                <w:webHidden/>
              </w:rPr>
              <w:fldChar w:fldCharType="end"/>
            </w:r>
          </w:hyperlink>
        </w:p>
        <w:p w:rsidR="00334B6B" w:rsidRDefault="00B800C5">
          <w:pPr>
            <w:pStyle w:val="TOC1"/>
            <w:tabs>
              <w:tab w:val="right" w:leader="dot" w:pos="9016"/>
            </w:tabs>
            <w:rPr>
              <w:rFonts w:eastAsiaTheme="minorEastAsia"/>
              <w:noProof/>
              <w:lang w:eastAsia="en-NZ"/>
            </w:rPr>
          </w:pPr>
          <w:hyperlink w:anchor="_Toc444145614" w:history="1">
            <w:r w:rsidR="00334B6B" w:rsidRPr="00EA128F">
              <w:rPr>
                <w:rStyle w:val="Hyperlink"/>
                <w:noProof/>
              </w:rPr>
              <w:t>APPENDIX D – MAKING MARKETS WORK BETTER THROUGH TAX TRANSPARENCY</w:t>
            </w:r>
            <w:r w:rsidR="00334B6B">
              <w:rPr>
                <w:noProof/>
                <w:webHidden/>
              </w:rPr>
              <w:tab/>
            </w:r>
            <w:r w:rsidR="00334B6B">
              <w:rPr>
                <w:noProof/>
                <w:webHidden/>
              </w:rPr>
              <w:fldChar w:fldCharType="begin"/>
            </w:r>
            <w:r w:rsidR="00334B6B">
              <w:rPr>
                <w:noProof/>
                <w:webHidden/>
              </w:rPr>
              <w:instrText xml:space="preserve"> PAGEREF _Toc444145614 \h </w:instrText>
            </w:r>
            <w:r w:rsidR="00334B6B">
              <w:rPr>
                <w:noProof/>
                <w:webHidden/>
              </w:rPr>
            </w:r>
            <w:r w:rsidR="00334B6B">
              <w:rPr>
                <w:noProof/>
                <w:webHidden/>
              </w:rPr>
              <w:fldChar w:fldCharType="separate"/>
            </w:r>
            <w:r w:rsidR="005F03D5">
              <w:rPr>
                <w:noProof/>
                <w:webHidden/>
              </w:rPr>
              <w:t>60</w:t>
            </w:r>
            <w:r w:rsidR="00334B6B">
              <w:rPr>
                <w:noProof/>
                <w:webHidden/>
              </w:rPr>
              <w:fldChar w:fldCharType="end"/>
            </w:r>
          </w:hyperlink>
        </w:p>
        <w:p w:rsidR="00334B6B" w:rsidRDefault="00B800C5">
          <w:pPr>
            <w:pStyle w:val="TOC3"/>
            <w:tabs>
              <w:tab w:val="right" w:leader="dot" w:pos="9016"/>
            </w:tabs>
            <w:rPr>
              <w:rFonts w:eastAsiaTheme="minorEastAsia"/>
              <w:noProof/>
              <w:lang w:eastAsia="en-NZ"/>
            </w:rPr>
          </w:pPr>
          <w:hyperlink w:anchor="_Toc444145615" w:history="1">
            <w:r w:rsidR="00334B6B" w:rsidRPr="00EA128F">
              <w:rPr>
                <w:rStyle w:val="Hyperlink"/>
                <w:noProof/>
              </w:rPr>
              <w:t>Recommendations</w:t>
            </w:r>
            <w:r w:rsidR="00334B6B">
              <w:rPr>
                <w:noProof/>
                <w:webHidden/>
              </w:rPr>
              <w:tab/>
            </w:r>
            <w:r w:rsidR="00334B6B">
              <w:rPr>
                <w:noProof/>
                <w:webHidden/>
              </w:rPr>
              <w:fldChar w:fldCharType="begin"/>
            </w:r>
            <w:r w:rsidR="00334B6B">
              <w:rPr>
                <w:noProof/>
                <w:webHidden/>
              </w:rPr>
              <w:instrText xml:space="preserve"> PAGEREF _Toc444145615 \h </w:instrText>
            </w:r>
            <w:r w:rsidR="00334B6B">
              <w:rPr>
                <w:noProof/>
                <w:webHidden/>
              </w:rPr>
            </w:r>
            <w:r w:rsidR="00334B6B">
              <w:rPr>
                <w:noProof/>
                <w:webHidden/>
              </w:rPr>
              <w:fldChar w:fldCharType="separate"/>
            </w:r>
            <w:r w:rsidR="005F03D5">
              <w:rPr>
                <w:noProof/>
                <w:webHidden/>
              </w:rPr>
              <w:t>68</w:t>
            </w:r>
            <w:r w:rsidR="00334B6B">
              <w:rPr>
                <w:noProof/>
                <w:webHidden/>
              </w:rPr>
              <w:fldChar w:fldCharType="end"/>
            </w:r>
          </w:hyperlink>
        </w:p>
        <w:p w:rsidR="00334B6B" w:rsidRDefault="00B800C5">
          <w:pPr>
            <w:pStyle w:val="TOC1"/>
            <w:tabs>
              <w:tab w:val="right" w:leader="dot" w:pos="9016"/>
            </w:tabs>
            <w:rPr>
              <w:rFonts w:eastAsiaTheme="minorEastAsia"/>
              <w:noProof/>
              <w:lang w:eastAsia="en-NZ"/>
            </w:rPr>
          </w:pPr>
          <w:hyperlink w:anchor="_Toc444145616" w:history="1">
            <w:r w:rsidR="00334B6B" w:rsidRPr="00EA128F">
              <w:rPr>
                <w:rStyle w:val="Hyperlink"/>
                <w:noProof/>
              </w:rPr>
              <w:t>APPENDIX E – SUPPLEMENTARY SIMPLIFICATION MEASURES</w:t>
            </w:r>
            <w:r w:rsidR="00334B6B">
              <w:rPr>
                <w:noProof/>
                <w:webHidden/>
              </w:rPr>
              <w:tab/>
            </w:r>
            <w:r w:rsidR="00334B6B">
              <w:rPr>
                <w:noProof/>
                <w:webHidden/>
              </w:rPr>
              <w:fldChar w:fldCharType="begin"/>
            </w:r>
            <w:r w:rsidR="00334B6B">
              <w:rPr>
                <w:noProof/>
                <w:webHidden/>
              </w:rPr>
              <w:instrText xml:space="preserve"> PAGEREF _Toc444145616 \h </w:instrText>
            </w:r>
            <w:r w:rsidR="00334B6B">
              <w:rPr>
                <w:noProof/>
                <w:webHidden/>
              </w:rPr>
            </w:r>
            <w:r w:rsidR="00334B6B">
              <w:rPr>
                <w:noProof/>
                <w:webHidden/>
              </w:rPr>
              <w:fldChar w:fldCharType="separate"/>
            </w:r>
            <w:r w:rsidR="005F03D5">
              <w:rPr>
                <w:noProof/>
                <w:webHidden/>
              </w:rPr>
              <w:t>69</w:t>
            </w:r>
            <w:r w:rsidR="00334B6B">
              <w:rPr>
                <w:noProof/>
                <w:webHidden/>
              </w:rPr>
              <w:fldChar w:fldCharType="end"/>
            </w:r>
          </w:hyperlink>
        </w:p>
        <w:p w:rsidR="00334B6B" w:rsidRDefault="00B800C5">
          <w:pPr>
            <w:pStyle w:val="TOC2"/>
            <w:tabs>
              <w:tab w:val="right" w:leader="dot" w:pos="9016"/>
            </w:tabs>
            <w:rPr>
              <w:rFonts w:eastAsiaTheme="minorEastAsia"/>
              <w:noProof/>
              <w:lang w:eastAsia="en-NZ"/>
            </w:rPr>
          </w:pPr>
          <w:hyperlink w:anchor="_Toc444145617" w:history="1">
            <w:r w:rsidR="00334B6B" w:rsidRPr="00EA128F">
              <w:rPr>
                <w:rStyle w:val="Hyperlink"/>
                <w:noProof/>
              </w:rPr>
              <w:t>1 – Simplified calculation of deductions for dual use vehicles</w:t>
            </w:r>
            <w:r w:rsidR="00334B6B">
              <w:rPr>
                <w:noProof/>
                <w:webHidden/>
              </w:rPr>
              <w:tab/>
            </w:r>
            <w:r w:rsidR="00334B6B">
              <w:rPr>
                <w:noProof/>
                <w:webHidden/>
              </w:rPr>
              <w:fldChar w:fldCharType="begin"/>
            </w:r>
            <w:r w:rsidR="00334B6B">
              <w:rPr>
                <w:noProof/>
                <w:webHidden/>
              </w:rPr>
              <w:instrText xml:space="preserve"> PAGEREF _Toc444145617 \h </w:instrText>
            </w:r>
            <w:r w:rsidR="00334B6B">
              <w:rPr>
                <w:noProof/>
                <w:webHidden/>
              </w:rPr>
            </w:r>
            <w:r w:rsidR="00334B6B">
              <w:rPr>
                <w:noProof/>
                <w:webHidden/>
              </w:rPr>
              <w:fldChar w:fldCharType="separate"/>
            </w:r>
            <w:r w:rsidR="005F03D5">
              <w:rPr>
                <w:noProof/>
                <w:webHidden/>
              </w:rPr>
              <w:t>69</w:t>
            </w:r>
            <w:r w:rsidR="00334B6B">
              <w:rPr>
                <w:noProof/>
                <w:webHidden/>
              </w:rPr>
              <w:fldChar w:fldCharType="end"/>
            </w:r>
          </w:hyperlink>
        </w:p>
        <w:p w:rsidR="00334B6B" w:rsidRDefault="00B800C5">
          <w:pPr>
            <w:pStyle w:val="TOC3"/>
            <w:tabs>
              <w:tab w:val="right" w:leader="dot" w:pos="9016"/>
            </w:tabs>
            <w:rPr>
              <w:rFonts w:eastAsiaTheme="minorEastAsia"/>
              <w:noProof/>
              <w:lang w:eastAsia="en-NZ"/>
            </w:rPr>
          </w:pPr>
          <w:hyperlink w:anchor="_Toc444145618" w:history="1">
            <w:r w:rsidR="00334B6B" w:rsidRPr="00EA128F">
              <w:rPr>
                <w:rStyle w:val="Hyperlink"/>
                <w:noProof/>
              </w:rPr>
              <w:t>Recommendations</w:t>
            </w:r>
            <w:r w:rsidR="00334B6B">
              <w:rPr>
                <w:noProof/>
                <w:webHidden/>
              </w:rPr>
              <w:tab/>
            </w:r>
            <w:r w:rsidR="00334B6B">
              <w:rPr>
                <w:noProof/>
                <w:webHidden/>
              </w:rPr>
              <w:fldChar w:fldCharType="begin"/>
            </w:r>
            <w:r w:rsidR="00334B6B">
              <w:rPr>
                <w:noProof/>
                <w:webHidden/>
              </w:rPr>
              <w:instrText xml:space="preserve"> PAGEREF _Toc444145618 \h </w:instrText>
            </w:r>
            <w:r w:rsidR="00334B6B">
              <w:rPr>
                <w:noProof/>
                <w:webHidden/>
              </w:rPr>
            </w:r>
            <w:r w:rsidR="00334B6B">
              <w:rPr>
                <w:noProof/>
                <w:webHidden/>
              </w:rPr>
              <w:fldChar w:fldCharType="separate"/>
            </w:r>
            <w:r w:rsidR="005F03D5">
              <w:rPr>
                <w:noProof/>
                <w:webHidden/>
              </w:rPr>
              <w:t>73</w:t>
            </w:r>
            <w:r w:rsidR="00334B6B">
              <w:rPr>
                <w:noProof/>
                <w:webHidden/>
              </w:rPr>
              <w:fldChar w:fldCharType="end"/>
            </w:r>
          </w:hyperlink>
        </w:p>
        <w:p w:rsidR="00334B6B" w:rsidRDefault="00B800C5">
          <w:pPr>
            <w:pStyle w:val="TOC2"/>
            <w:tabs>
              <w:tab w:val="right" w:leader="dot" w:pos="9016"/>
            </w:tabs>
            <w:rPr>
              <w:rFonts w:eastAsiaTheme="minorEastAsia"/>
              <w:noProof/>
              <w:lang w:eastAsia="en-NZ"/>
            </w:rPr>
          </w:pPr>
          <w:hyperlink w:anchor="_Toc444145619" w:history="1">
            <w:r w:rsidR="00334B6B" w:rsidRPr="00EA128F">
              <w:rPr>
                <w:rStyle w:val="Hyperlink"/>
                <w:noProof/>
              </w:rPr>
              <w:t>2 – Simplified calculation of deductions for business use of premises.</w:t>
            </w:r>
            <w:r w:rsidR="00334B6B">
              <w:rPr>
                <w:noProof/>
                <w:webHidden/>
              </w:rPr>
              <w:tab/>
            </w:r>
            <w:r w:rsidR="00334B6B">
              <w:rPr>
                <w:noProof/>
                <w:webHidden/>
              </w:rPr>
              <w:fldChar w:fldCharType="begin"/>
            </w:r>
            <w:r w:rsidR="00334B6B">
              <w:rPr>
                <w:noProof/>
                <w:webHidden/>
              </w:rPr>
              <w:instrText xml:space="preserve"> PAGEREF _Toc444145619 \h </w:instrText>
            </w:r>
            <w:r w:rsidR="00334B6B">
              <w:rPr>
                <w:noProof/>
                <w:webHidden/>
              </w:rPr>
            </w:r>
            <w:r w:rsidR="00334B6B">
              <w:rPr>
                <w:noProof/>
                <w:webHidden/>
              </w:rPr>
              <w:fldChar w:fldCharType="separate"/>
            </w:r>
            <w:r w:rsidR="005F03D5">
              <w:rPr>
                <w:noProof/>
                <w:webHidden/>
              </w:rPr>
              <w:t>73</w:t>
            </w:r>
            <w:r w:rsidR="00334B6B">
              <w:rPr>
                <w:noProof/>
                <w:webHidden/>
              </w:rPr>
              <w:fldChar w:fldCharType="end"/>
            </w:r>
          </w:hyperlink>
        </w:p>
        <w:p w:rsidR="00334B6B" w:rsidRDefault="00B800C5">
          <w:pPr>
            <w:pStyle w:val="TOC3"/>
            <w:tabs>
              <w:tab w:val="right" w:leader="dot" w:pos="9016"/>
            </w:tabs>
            <w:rPr>
              <w:rFonts w:eastAsiaTheme="minorEastAsia"/>
              <w:noProof/>
              <w:lang w:eastAsia="en-NZ"/>
            </w:rPr>
          </w:pPr>
          <w:hyperlink w:anchor="_Toc444145620" w:history="1">
            <w:r w:rsidR="00334B6B" w:rsidRPr="00EA128F">
              <w:rPr>
                <w:rStyle w:val="Hyperlink"/>
                <w:noProof/>
              </w:rPr>
              <w:t>Recommendations</w:t>
            </w:r>
            <w:r w:rsidR="00334B6B">
              <w:rPr>
                <w:noProof/>
                <w:webHidden/>
              </w:rPr>
              <w:tab/>
            </w:r>
            <w:r w:rsidR="00334B6B">
              <w:rPr>
                <w:noProof/>
                <w:webHidden/>
              </w:rPr>
              <w:fldChar w:fldCharType="begin"/>
            </w:r>
            <w:r w:rsidR="00334B6B">
              <w:rPr>
                <w:noProof/>
                <w:webHidden/>
              </w:rPr>
              <w:instrText xml:space="preserve"> PAGEREF _Toc444145620 \h </w:instrText>
            </w:r>
            <w:r w:rsidR="00334B6B">
              <w:rPr>
                <w:noProof/>
                <w:webHidden/>
              </w:rPr>
            </w:r>
            <w:r w:rsidR="00334B6B">
              <w:rPr>
                <w:noProof/>
                <w:webHidden/>
              </w:rPr>
              <w:fldChar w:fldCharType="separate"/>
            </w:r>
            <w:r w:rsidR="005F03D5">
              <w:rPr>
                <w:noProof/>
                <w:webHidden/>
              </w:rPr>
              <w:t>76</w:t>
            </w:r>
            <w:r w:rsidR="00334B6B">
              <w:rPr>
                <w:noProof/>
                <w:webHidden/>
              </w:rPr>
              <w:fldChar w:fldCharType="end"/>
            </w:r>
          </w:hyperlink>
        </w:p>
        <w:p w:rsidR="00334B6B" w:rsidRDefault="00B800C5">
          <w:pPr>
            <w:pStyle w:val="TOC2"/>
            <w:tabs>
              <w:tab w:val="right" w:leader="dot" w:pos="9016"/>
            </w:tabs>
            <w:rPr>
              <w:rFonts w:eastAsiaTheme="minorEastAsia"/>
              <w:noProof/>
              <w:lang w:eastAsia="en-NZ"/>
            </w:rPr>
          </w:pPr>
          <w:hyperlink w:anchor="_Toc444145621" w:history="1">
            <w:r w:rsidR="00334B6B" w:rsidRPr="00EA128F">
              <w:rPr>
                <w:rStyle w:val="Hyperlink"/>
                <w:noProof/>
              </w:rPr>
              <w:t>3 – Increase threshold for taxpayer self-corrections of minor errors</w:t>
            </w:r>
            <w:r w:rsidR="00334B6B">
              <w:rPr>
                <w:noProof/>
                <w:webHidden/>
              </w:rPr>
              <w:tab/>
            </w:r>
            <w:r w:rsidR="00334B6B">
              <w:rPr>
                <w:noProof/>
                <w:webHidden/>
              </w:rPr>
              <w:fldChar w:fldCharType="begin"/>
            </w:r>
            <w:r w:rsidR="00334B6B">
              <w:rPr>
                <w:noProof/>
                <w:webHidden/>
              </w:rPr>
              <w:instrText xml:space="preserve"> PAGEREF _Toc444145621 \h </w:instrText>
            </w:r>
            <w:r w:rsidR="00334B6B">
              <w:rPr>
                <w:noProof/>
                <w:webHidden/>
              </w:rPr>
            </w:r>
            <w:r w:rsidR="00334B6B">
              <w:rPr>
                <w:noProof/>
                <w:webHidden/>
              </w:rPr>
              <w:fldChar w:fldCharType="separate"/>
            </w:r>
            <w:r w:rsidR="005F03D5">
              <w:rPr>
                <w:noProof/>
                <w:webHidden/>
              </w:rPr>
              <w:t>76</w:t>
            </w:r>
            <w:r w:rsidR="00334B6B">
              <w:rPr>
                <w:noProof/>
                <w:webHidden/>
              </w:rPr>
              <w:fldChar w:fldCharType="end"/>
            </w:r>
          </w:hyperlink>
        </w:p>
        <w:p w:rsidR="00334B6B" w:rsidRDefault="00B800C5">
          <w:pPr>
            <w:pStyle w:val="TOC3"/>
            <w:tabs>
              <w:tab w:val="right" w:leader="dot" w:pos="9016"/>
            </w:tabs>
            <w:rPr>
              <w:rFonts w:eastAsiaTheme="minorEastAsia"/>
              <w:noProof/>
              <w:lang w:eastAsia="en-NZ"/>
            </w:rPr>
          </w:pPr>
          <w:hyperlink w:anchor="_Toc444145622" w:history="1">
            <w:r w:rsidR="00334B6B" w:rsidRPr="00EA128F">
              <w:rPr>
                <w:rStyle w:val="Hyperlink"/>
                <w:noProof/>
              </w:rPr>
              <w:t>Recommendations</w:t>
            </w:r>
            <w:r w:rsidR="00334B6B">
              <w:rPr>
                <w:noProof/>
                <w:webHidden/>
              </w:rPr>
              <w:tab/>
            </w:r>
            <w:r w:rsidR="00334B6B">
              <w:rPr>
                <w:noProof/>
                <w:webHidden/>
              </w:rPr>
              <w:fldChar w:fldCharType="begin"/>
            </w:r>
            <w:r w:rsidR="00334B6B">
              <w:rPr>
                <w:noProof/>
                <w:webHidden/>
              </w:rPr>
              <w:instrText xml:space="preserve"> PAGEREF _Toc444145622 \h </w:instrText>
            </w:r>
            <w:r w:rsidR="00334B6B">
              <w:rPr>
                <w:noProof/>
                <w:webHidden/>
              </w:rPr>
            </w:r>
            <w:r w:rsidR="00334B6B">
              <w:rPr>
                <w:noProof/>
                <w:webHidden/>
              </w:rPr>
              <w:fldChar w:fldCharType="separate"/>
            </w:r>
            <w:r w:rsidR="005F03D5">
              <w:rPr>
                <w:noProof/>
                <w:webHidden/>
              </w:rPr>
              <w:t>79</w:t>
            </w:r>
            <w:r w:rsidR="00334B6B">
              <w:rPr>
                <w:noProof/>
                <w:webHidden/>
              </w:rPr>
              <w:fldChar w:fldCharType="end"/>
            </w:r>
          </w:hyperlink>
        </w:p>
        <w:p w:rsidR="00334B6B" w:rsidRDefault="00B800C5">
          <w:pPr>
            <w:pStyle w:val="TOC2"/>
            <w:tabs>
              <w:tab w:val="right" w:leader="dot" w:pos="9016"/>
            </w:tabs>
            <w:rPr>
              <w:rFonts w:eastAsiaTheme="minorEastAsia"/>
              <w:noProof/>
              <w:lang w:eastAsia="en-NZ"/>
            </w:rPr>
          </w:pPr>
          <w:hyperlink w:anchor="_Toc444145623" w:history="1">
            <w:r w:rsidR="00334B6B" w:rsidRPr="00EA128F">
              <w:rPr>
                <w:rStyle w:val="Hyperlink"/>
                <w:noProof/>
              </w:rPr>
              <w:t>4 – Remove the requirement to renew RWT exemption certificates annually</w:t>
            </w:r>
            <w:r w:rsidR="00334B6B">
              <w:rPr>
                <w:noProof/>
                <w:webHidden/>
              </w:rPr>
              <w:tab/>
            </w:r>
            <w:r w:rsidR="00334B6B">
              <w:rPr>
                <w:noProof/>
                <w:webHidden/>
              </w:rPr>
              <w:fldChar w:fldCharType="begin"/>
            </w:r>
            <w:r w:rsidR="00334B6B">
              <w:rPr>
                <w:noProof/>
                <w:webHidden/>
              </w:rPr>
              <w:instrText xml:space="preserve"> PAGEREF _Toc444145623 \h </w:instrText>
            </w:r>
            <w:r w:rsidR="00334B6B">
              <w:rPr>
                <w:noProof/>
                <w:webHidden/>
              </w:rPr>
            </w:r>
            <w:r w:rsidR="00334B6B">
              <w:rPr>
                <w:noProof/>
                <w:webHidden/>
              </w:rPr>
              <w:fldChar w:fldCharType="separate"/>
            </w:r>
            <w:r w:rsidR="005F03D5">
              <w:rPr>
                <w:noProof/>
                <w:webHidden/>
              </w:rPr>
              <w:t>79</w:t>
            </w:r>
            <w:r w:rsidR="00334B6B">
              <w:rPr>
                <w:noProof/>
                <w:webHidden/>
              </w:rPr>
              <w:fldChar w:fldCharType="end"/>
            </w:r>
          </w:hyperlink>
        </w:p>
        <w:p w:rsidR="00334B6B" w:rsidRDefault="00B800C5">
          <w:pPr>
            <w:pStyle w:val="TOC3"/>
            <w:tabs>
              <w:tab w:val="right" w:leader="dot" w:pos="9016"/>
            </w:tabs>
            <w:rPr>
              <w:rFonts w:eastAsiaTheme="minorEastAsia"/>
              <w:noProof/>
              <w:lang w:eastAsia="en-NZ"/>
            </w:rPr>
          </w:pPr>
          <w:hyperlink w:anchor="_Toc444145624" w:history="1">
            <w:r w:rsidR="00334B6B" w:rsidRPr="00EA128F">
              <w:rPr>
                <w:rStyle w:val="Hyperlink"/>
                <w:noProof/>
              </w:rPr>
              <w:t>Recommendations</w:t>
            </w:r>
            <w:r w:rsidR="00334B6B">
              <w:rPr>
                <w:noProof/>
                <w:webHidden/>
              </w:rPr>
              <w:tab/>
            </w:r>
            <w:r w:rsidR="00334B6B">
              <w:rPr>
                <w:noProof/>
                <w:webHidden/>
              </w:rPr>
              <w:fldChar w:fldCharType="begin"/>
            </w:r>
            <w:r w:rsidR="00334B6B">
              <w:rPr>
                <w:noProof/>
                <w:webHidden/>
              </w:rPr>
              <w:instrText xml:space="preserve"> PAGEREF _Toc444145624 \h </w:instrText>
            </w:r>
            <w:r w:rsidR="00334B6B">
              <w:rPr>
                <w:noProof/>
                <w:webHidden/>
              </w:rPr>
            </w:r>
            <w:r w:rsidR="00334B6B">
              <w:rPr>
                <w:noProof/>
                <w:webHidden/>
              </w:rPr>
              <w:fldChar w:fldCharType="separate"/>
            </w:r>
            <w:r w:rsidR="005F03D5">
              <w:rPr>
                <w:noProof/>
                <w:webHidden/>
              </w:rPr>
              <w:t>82</w:t>
            </w:r>
            <w:r w:rsidR="00334B6B">
              <w:rPr>
                <w:noProof/>
                <w:webHidden/>
              </w:rPr>
              <w:fldChar w:fldCharType="end"/>
            </w:r>
          </w:hyperlink>
        </w:p>
        <w:p w:rsidR="00334B6B" w:rsidRDefault="00B800C5">
          <w:pPr>
            <w:pStyle w:val="TOC2"/>
            <w:tabs>
              <w:tab w:val="right" w:leader="dot" w:pos="9016"/>
            </w:tabs>
            <w:rPr>
              <w:rFonts w:eastAsiaTheme="minorEastAsia"/>
              <w:noProof/>
              <w:lang w:eastAsia="en-NZ"/>
            </w:rPr>
          </w:pPr>
          <w:hyperlink w:anchor="_Toc444145625" w:history="1">
            <w:r w:rsidR="00334B6B" w:rsidRPr="00EA128F">
              <w:rPr>
                <w:rStyle w:val="Hyperlink"/>
                <w:noProof/>
              </w:rPr>
              <w:t>5 – Increase the threshold for annual FBT returns from $500,000 to $1 million of PAYE/ESCT</w:t>
            </w:r>
            <w:r w:rsidR="00334B6B">
              <w:rPr>
                <w:noProof/>
                <w:webHidden/>
              </w:rPr>
              <w:tab/>
            </w:r>
            <w:r w:rsidR="00334B6B">
              <w:rPr>
                <w:noProof/>
                <w:webHidden/>
              </w:rPr>
              <w:fldChar w:fldCharType="begin"/>
            </w:r>
            <w:r w:rsidR="00334B6B">
              <w:rPr>
                <w:noProof/>
                <w:webHidden/>
              </w:rPr>
              <w:instrText xml:space="preserve"> PAGEREF _Toc444145625 \h </w:instrText>
            </w:r>
            <w:r w:rsidR="00334B6B">
              <w:rPr>
                <w:noProof/>
                <w:webHidden/>
              </w:rPr>
            </w:r>
            <w:r w:rsidR="00334B6B">
              <w:rPr>
                <w:noProof/>
                <w:webHidden/>
              </w:rPr>
              <w:fldChar w:fldCharType="separate"/>
            </w:r>
            <w:r w:rsidR="005F03D5">
              <w:rPr>
                <w:noProof/>
                <w:webHidden/>
              </w:rPr>
              <w:t>82</w:t>
            </w:r>
            <w:r w:rsidR="00334B6B">
              <w:rPr>
                <w:noProof/>
                <w:webHidden/>
              </w:rPr>
              <w:fldChar w:fldCharType="end"/>
            </w:r>
          </w:hyperlink>
        </w:p>
        <w:p w:rsidR="00334B6B" w:rsidRDefault="00B800C5">
          <w:pPr>
            <w:pStyle w:val="TOC3"/>
            <w:tabs>
              <w:tab w:val="right" w:leader="dot" w:pos="9016"/>
            </w:tabs>
            <w:rPr>
              <w:rFonts w:eastAsiaTheme="minorEastAsia"/>
              <w:noProof/>
              <w:lang w:eastAsia="en-NZ"/>
            </w:rPr>
          </w:pPr>
          <w:hyperlink w:anchor="_Toc444145626" w:history="1">
            <w:r w:rsidR="00334B6B" w:rsidRPr="00EA128F">
              <w:rPr>
                <w:rStyle w:val="Hyperlink"/>
                <w:noProof/>
              </w:rPr>
              <w:t>Recommendations</w:t>
            </w:r>
            <w:r w:rsidR="00334B6B">
              <w:rPr>
                <w:noProof/>
                <w:webHidden/>
              </w:rPr>
              <w:tab/>
            </w:r>
            <w:r w:rsidR="00334B6B">
              <w:rPr>
                <w:noProof/>
                <w:webHidden/>
              </w:rPr>
              <w:fldChar w:fldCharType="begin"/>
            </w:r>
            <w:r w:rsidR="00334B6B">
              <w:rPr>
                <w:noProof/>
                <w:webHidden/>
              </w:rPr>
              <w:instrText xml:space="preserve"> PAGEREF _Toc444145626 \h </w:instrText>
            </w:r>
            <w:r w:rsidR="00334B6B">
              <w:rPr>
                <w:noProof/>
                <w:webHidden/>
              </w:rPr>
            </w:r>
            <w:r w:rsidR="00334B6B">
              <w:rPr>
                <w:noProof/>
                <w:webHidden/>
              </w:rPr>
              <w:fldChar w:fldCharType="separate"/>
            </w:r>
            <w:r w:rsidR="005F03D5">
              <w:rPr>
                <w:noProof/>
                <w:webHidden/>
              </w:rPr>
              <w:t>84</w:t>
            </w:r>
            <w:r w:rsidR="00334B6B">
              <w:rPr>
                <w:noProof/>
                <w:webHidden/>
              </w:rPr>
              <w:fldChar w:fldCharType="end"/>
            </w:r>
          </w:hyperlink>
        </w:p>
        <w:p w:rsidR="00334B6B" w:rsidRDefault="00B800C5">
          <w:pPr>
            <w:pStyle w:val="TOC2"/>
            <w:tabs>
              <w:tab w:val="right" w:leader="dot" w:pos="9016"/>
            </w:tabs>
            <w:rPr>
              <w:rFonts w:eastAsiaTheme="minorEastAsia"/>
              <w:noProof/>
              <w:lang w:eastAsia="en-NZ"/>
            </w:rPr>
          </w:pPr>
          <w:hyperlink w:anchor="_Toc444145627" w:history="1">
            <w:r w:rsidR="00334B6B" w:rsidRPr="00EA128F">
              <w:rPr>
                <w:rStyle w:val="Hyperlink"/>
                <w:noProof/>
              </w:rPr>
              <w:t>6 – Modify the 63 day rule on employee remuneration</w:t>
            </w:r>
            <w:r w:rsidR="00334B6B">
              <w:rPr>
                <w:noProof/>
                <w:webHidden/>
              </w:rPr>
              <w:tab/>
            </w:r>
            <w:r w:rsidR="00334B6B">
              <w:rPr>
                <w:noProof/>
                <w:webHidden/>
              </w:rPr>
              <w:fldChar w:fldCharType="begin"/>
            </w:r>
            <w:r w:rsidR="00334B6B">
              <w:rPr>
                <w:noProof/>
                <w:webHidden/>
              </w:rPr>
              <w:instrText xml:space="preserve"> PAGEREF _Toc444145627 \h </w:instrText>
            </w:r>
            <w:r w:rsidR="00334B6B">
              <w:rPr>
                <w:noProof/>
                <w:webHidden/>
              </w:rPr>
            </w:r>
            <w:r w:rsidR="00334B6B">
              <w:rPr>
                <w:noProof/>
                <w:webHidden/>
              </w:rPr>
              <w:fldChar w:fldCharType="separate"/>
            </w:r>
            <w:r w:rsidR="005F03D5">
              <w:rPr>
                <w:noProof/>
                <w:webHidden/>
              </w:rPr>
              <w:t>84</w:t>
            </w:r>
            <w:r w:rsidR="00334B6B">
              <w:rPr>
                <w:noProof/>
                <w:webHidden/>
              </w:rPr>
              <w:fldChar w:fldCharType="end"/>
            </w:r>
          </w:hyperlink>
        </w:p>
        <w:p w:rsidR="00334B6B" w:rsidRDefault="00B800C5">
          <w:pPr>
            <w:pStyle w:val="TOC3"/>
            <w:tabs>
              <w:tab w:val="right" w:leader="dot" w:pos="9016"/>
            </w:tabs>
            <w:rPr>
              <w:rFonts w:eastAsiaTheme="minorEastAsia"/>
              <w:noProof/>
              <w:lang w:eastAsia="en-NZ"/>
            </w:rPr>
          </w:pPr>
          <w:hyperlink w:anchor="_Toc444145628" w:history="1">
            <w:r w:rsidR="00334B6B" w:rsidRPr="00EA128F">
              <w:rPr>
                <w:rStyle w:val="Hyperlink"/>
                <w:noProof/>
              </w:rPr>
              <w:t>Recommendations</w:t>
            </w:r>
            <w:r w:rsidR="00334B6B">
              <w:rPr>
                <w:noProof/>
                <w:webHidden/>
              </w:rPr>
              <w:tab/>
            </w:r>
            <w:r w:rsidR="00334B6B">
              <w:rPr>
                <w:noProof/>
                <w:webHidden/>
              </w:rPr>
              <w:fldChar w:fldCharType="begin"/>
            </w:r>
            <w:r w:rsidR="00334B6B">
              <w:rPr>
                <w:noProof/>
                <w:webHidden/>
              </w:rPr>
              <w:instrText xml:space="preserve"> PAGEREF _Toc444145628 \h </w:instrText>
            </w:r>
            <w:r w:rsidR="00334B6B">
              <w:rPr>
                <w:noProof/>
                <w:webHidden/>
              </w:rPr>
            </w:r>
            <w:r w:rsidR="00334B6B">
              <w:rPr>
                <w:noProof/>
                <w:webHidden/>
              </w:rPr>
              <w:fldChar w:fldCharType="separate"/>
            </w:r>
            <w:r w:rsidR="005F03D5">
              <w:rPr>
                <w:noProof/>
                <w:webHidden/>
              </w:rPr>
              <w:t>86</w:t>
            </w:r>
            <w:r w:rsidR="00334B6B">
              <w:rPr>
                <w:noProof/>
                <w:webHidden/>
              </w:rPr>
              <w:fldChar w:fldCharType="end"/>
            </w:r>
          </w:hyperlink>
        </w:p>
        <w:p w:rsidR="00334B6B" w:rsidRDefault="00B800C5">
          <w:pPr>
            <w:pStyle w:val="TOC2"/>
            <w:tabs>
              <w:tab w:val="right" w:leader="dot" w:pos="9016"/>
            </w:tabs>
            <w:rPr>
              <w:rFonts w:eastAsiaTheme="minorEastAsia"/>
              <w:noProof/>
              <w:lang w:eastAsia="en-NZ"/>
            </w:rPr>
          </w:pPr>
          <w:hyperlink w:anchor="_Toc444145629" w:history="1">
            <w:r w:rsidR="00334B6B" w:rsidRPr="00EA128F">
              <w:rPr>
                <w:rStyle w:val="Hyperlink"/>
                <w:noProof/>
              </w:rPr>
              <w:t>7 – Simplification of fringe benefit calculation for close companies</w:t>
            </w:r>
            <w:r w:rsidR="00334B6B">
              <w:rPr>
                <w:noProof/>
                <w:webHidden/>
              </w:rPr>
              <w:tab/>
            </w:r>
            <w:r w:rsidR="00334B6B">
              <w:rPr>
                <w:noProof/>
                <w:webHidden/>
              </w:rPr>
              <w:fldChar w:fldCharType="begin"/>
            </w:r>
            <w:r w:rsidR="00334B6B">
              <w:rPr>
                <w:noProof/>
                <w:webHidden/>
              </w:rPr>
              <w:instrText xml:space="preserve"> PAGEREF _Toc444145629 \h </w:instrText>
            </w:r>
            <w:r w:rsidR="00334B6B">
              <w:rPr>
                <w:noProof/>
                <w:webHidden/>
              </w:rPr>
            </w:r>
            <w:r w:rsidR="00334B6B">
              <w:rPr>
                <w:noProof/>
                <w:webHidden/>
              </w:rPr>
              <w:fldChar w:fldCharType="separate"/>
            </w:r>
            <w:r w:rsidR="005F03D5">
              <w:rPr>
                <w:noProof/>
                <w:webHidden/>
              </w:rPr>
              <w:t>86</w:t>
            </w:r>
            <w:r w:rsidR="00334B6B">
              <w:rPr>
                <w:noProof/>
                <w:webHidden/>
              </w:rPr>
              <w:fldChar w:fldCharType="end"/>
            </w:r>
          </w:hyperlink>
        </w:p>
        <w:p w:rsidR="00334B6B" w:rsidRDefault="00B800C5">
          <w:pPr>
            <w:pStyle w:val="TOC3"/>
            <w:tabs>
              <w:tab w:val="right" w:leader="dot" w:pos="9016"/>
            </w:tabs>
            <w:rPr>
              <w:rFonts w:eastAsiaTheme="minorEastAsia"/>
              <w:noProof/>
              <w:lang w:eastAsia="en-NZ"/>
            </w:rPr>
          </w:pPr>
          <w:hyperlink w:anchor="_Toc444145630" w:history="1">
            <w:r w:rsidR="00334B6B" w:rsidRPr="00EA128F">
              <w:rPr>
                <w:rStyle w:val="Hyperlink"/>
                <w:noProof/>
              </w:rPr>
              <w:t>Recommendations</w:t>
            </w:r>
            <w:r w:rsidR="00334B6B">
              <w:rPr>
                <w:noProof/>
                <w:webHidden/>
              </w:rPr>
              <w:tab/>
            </w:r>
            <w:r w:rsidR="00334B6B">
              <w:rPr>
                <w:noProof/>
                <w:webHidden/>
              </w:rPr>
              <w:fldChar w:fldCharType="begin"/>
            </w:r>
            <w:r w:rsidR="00334B6B">
              <w:rPr>
                <w:noProof/>
                <w:webHidden/>
              </w:rPr>
              <w:instrText xml:space="preserve"> PAGEREF _Toc444145630 \h </w:instrText>
            </w:r>
            <w:r w:rsidR="00334B6B">
              <w:rPr>
                <w:noProof/>
                <w:webHidden/>
              </w:rPr>
            </w:r>
            <w:r w:rsidR="00334B6B">
              <w:rPr>
                <w:noProof/>
                <w:webHidden/>
              </w:rPr>
              <w:fldChar w:fldCharType="separate"/>
            </w:r>
            <w:r w:rsidR="005F03D5">
              <w:rPr>
                <w:noProof/>
                <w:webHidden/>
              </w:rPr>
              <w:t>88</w:t>
            </w:r>
            <w:r w:rsidR="00334B6B">
              <w:rPr>
                <w:noProof/>
                <w:webHidden/>
              </w:rPr>
              <w:fldChar w:fldCharType="end"/>
            </w:r>
          </w:hyperlink>
        </w:p>
        <w:p w:rsidR="00604EE6" w:rsidRDefault="00604EE6">
          <w:r>
            <w:rPr>
              <w:b/>
              <w:bCs/>
              <w:noProof/>
            </w:rPr>
            <w:fldChar w:fldCharType="end"/>
          </w:r>
        </w:p>
      </w:sdtContent>
    </w:sdt>
    <w:p w:rsidR="008D4D61" w:rsidRPr="005D3931" w:rsidRDefault="000F45CC" w:rsidP="008D31DB">
      <w:pPr>
        <w:pStyle w:val="Heading1"/>
      </w:pPr>
      <w:r>
        <w:br w:type="page"/>
      </w:r>
      <w:bookmarkStart w:id="1" w:name="_Toc444145588"/>
      <w:r w:rsidR="00AC0A37">
        <w:t xml:space="preserve">Reader’s guide to this </w:t>
      </w:r>
      <w:proofErr w:type="spellStart"/>
      <w:r w:rsidR="00AC0A37">
        <w:t>RIS</w:t>
      </w:r>
      <w:bookmarkEnd w:id="1"/>
      <w:proofErr w:type="spellEnd"/>
    </w:p>
    <w:p w:rsidR="00AC0A37" w:rsidRPr="008D31DB" w:rsidRDefault="00AC0A37" w:rsidP="008D31DB">
      <w:pPr>
        <w:spacing w:after="0" w:line="240" w:lineRule="auto"/>
        <w:jc w:val="both"/>
        <w:rPr>
          <w:rFonts w:ascii="Times New Roman" w:hAnsi="Times New Roman" w:cs="Times New Roman"/>
          <w:sz w:val="24"/>
          <w:szCs w:val="24"/>
        </w:rPr>
      </w:pPr>
    </w:p>
    <w:p w:rsidR="00AC0A37" w:rsidRDefault="00AC0A37" w:rsidP="008D31DB">
      <w:pPr>
        <w:spacing w:after="0" w:line="240" w:lineRule="auto"/>
        <w:jc w:val="both"/>
        <w:rPr>
          <w:rFonts w:ascii="Times New Roman" w:hAnsi="Times New Roman" w:cs="Times New Roman"/>
          <w:sz w:val="24"/>
          <w:szCs w:val="24"/>
        </w:rPr>
      </w:pPr>
      <w:r w:rsidRPr="008D31DB">
        <w:rPr>
          <w:rFonts w:ascii="Times New Roman" w:hAnsi="Times New Roman" w:cs="Times New Roman"/>
          <w:sz w:val="24"/>
          <w:szCs w:val="24"/>
        </w:rPr>
        <w:t>This document covers 16 discrete proposals which have been grouped into five themes.  To manage this large number of topics we have</w:t>
      </w:r>
      <w:r>
        <w:rPr>
          <w:rFonts w:ascii="Times New Roman" w:hAnsi="Times New Roman" w:cs="Times New Roman"/>
          <w:sz w:val="24"/>
          <w:szCs w:val="24"/>
        </w:rPr>
        <w:t xml:space="preserve"> shifted the detailed analysis of each theme, and the component proposals within that theme, out of the Regulatory Analysis section and into a set of five appendices.</w:t>
      </w:r>
    </w:p>
    <w:p w:rsidR="00AC0A37" w:rsidRDefault="00AC0A37" w:rsidP="008D31DB">
      <w:pPr>
        <w:spacing w:after="0" w:line="240" w:lineRule="auto"/>
        <w:jc w:val="both"/>
        <w:rPr>
          <w:rFonts w:ascii="Times New Roman" w:hAnsi="Times New Roman" w:cs="Times New Roman"/>
          <w:sz w:val="24"/>
          <w:szCs w:val="24"/>
        </w:rPr>
      </w:pPr>
    </w:p>
    <w:p w:rsidR="00AC0A37" w:rsidRDefault="00AC0A37" w:rsidP="008D3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body of the </w:t>
      </w:r>
      <w:proofErr w:type="spellStart"/>
      <w:r>
        <w:rPr>
          <w:rFonts w:ascii="Times New Roman" w:hAnsi="Times New Roman" w:cs="Times New Roman"/>
          <w:sz w:val="24"/>
          <w:szCs w:val="24"/>
        </w:rPr>
        <w:t>RIS</w:t>
      </w:r>
      <w:proofErr w:type="spellEnd"/>
      <w:r>
        <w:rPr>
          <w:rFonts w:ascii="Times New Roman" w:hAnsi="Times New Roman" w:cs="Times New Roman"/>
          <w:sz w:val="24"/>
          <w:szCs w:val="24"/>
        </w:rPr>
        <w:t xml:space="preserve"> still contains an overview of the options considered but the detailed analysis of the costs, benefits, impacts and recommendations is contained in the corresponding appendix.</w:t>
      </w:r>
      <w:r w:rsidR="00BC4745">
        <w:rPr>
          <w:rFonts w:ascii="Times New Roman" w:hAnsi="Times New Roman" w:cs="Times New Roman"/>
          <w:sz w:val="24"/>
          <w:szCs w:val="24"/>
        </w:rPr>
        <w:t xml:space="preserve">  Within the overview tables the following symbols are used:</w:t>
      </w:r>
    </w:p>
    <w:p w:rsidR="00BC4745" w:rsidRDefault="00BC4745" w:rsidP="008D31DB">
      <w:pPr>
        <w:spacing w:after="0" w:line="240" w:lineRule="auto"/>
        <w:jc w:val="both"/>
        <w:rPr>
          <w:rFonts w:ascii="Times New Roman" w:hAnsi="Times New Roman" w:cs="Times New Roman"/>
          <w:sz w:val="24"/>
          <w:szCs w:val="24"/>
        </w:rPr>
      </w:pPr>
    </w:p>
    <w:p w:rsidR="00BC4745" w:rsidRPr="008D31DB" w:rsidRDefault="00BC4745" w:rsidP="008D31DB">
      <w:pPr>
        <w:spacing w:after="0" w:line="240" w:lineRule="auto"/>
        <w:ind w:left="720"/>
        <w:jc w:val="both"/>
        <w:rPr>
          <w:rFonts w:ascii="Times New Roman" w:hAnsi="Times New Roman" w:cs="Times New Roman"/>
          <w:sz w:val="24"/>
          <w:szCs w:val="24"/>
        </w:rPr>
      </w:pPr>
      <w:r>
        <w:rPr>
          <w:rFonts w:ascii="Wingdings 2" w:hAnsi="Wingdings 2" w:cs="Times New Roman"/>
          <w:sz w:val="24"/>
          <w:szCs w:val="24"/>
        </w:rPr>
        <w:t></w:t>
      </w:r>
      <w:r>
        <w:rPr>
          <w:rFonts w:ascii="Wingdings 2" w:hAnsi="Wingdings 2" w:cs="Times New Roman"/>
          <w:sz w:val="24"/>
          <w:szCs w:val="24"/>
        </w:rPr>
        <w:t></w:t>
      </w:r>
      <w:r>
        <w:rPr>
          <w:rFonts w:ascii="Times New Roman" w:hAnsi="Times New Roman" w:cs="Times New Roman"/>
          <w:sz w:val="24"/>
          <w:szCs w:val="24"/>
        </w:rPr>
        <w:t xml:space="preserve"> - Fully meets objective</w:t>
      </w:r>
    </w:p>
    <w:p w:rsidR="00BC4745" w:rsidRPr="008D31DB" w:rsidRDefault="00BC4745" w:rsidP="008D31DB">
      <w:pPr>
        <w:spacing w:after="0" w:line="240" w:lineRule="auto"/>
        <w:ind w:left="720"/>
        <w:jc w:val="both"/>
        <w:rPr>
          <w:rFonts w:ascii="Times New Roman" w:hAnsi="Times New Roman" w:cs="Times New Roman"/>
          <w:sz w:val="24"/>
          <w:szCs w:val="24"/>
        </w:rPr>
      </w:pPr>
      <w:r>
        <w:rPr>
          <w:rFonts w:ascii="Wingdings 2" w:hAnsi="Wingdings 2" w:cs="Times New Roman"/>
          <w:sz w:val="24"/>
          <w:szCs w:val="24"/>
        </w:rPr>
        <w:t></w:t>
      </w:r>
      <w:r>
        <w:rPr>
          <w:rFonts w:ascii="Wingdings 2" w:hAnsi="Wingdings 2" w:cs="Times New Roman"/>
          <w:sz w:val="24"/>
          <w:szCs w:val="24"/>
        </w:rPr>
        <w:t></w:t>
      </w:r>
      <w:r>
        <w:rPr>
          <w:rFonts w:ascii="Times New Roman" w:hAnsi="Times New Roman" w:cs="Times New Roman"/>
          <w:sz w:val="24"/>
          <w:szCs w:val="24"/>
        </w:rPr>
        <w:t xml:space="preserve"> - Partially meets objective</w:t>
      </w:r>
    </w:p>
    <w:p w:rsidR="00BC4745" w:rsidRDefault="00BC4745" w:rsidP="008D31DB">
      <w:pPr>
        <w:spacing w:after="0" w:line="240" w:lineRule="auto"/>
        <w:ind w:left="720"/>
        <w:jc w:val="both"/>
        <w:rPr>
          <w:rFonts w:ascii="Wingdings 2" w:hAnsi="Wingdings 2" w:cs="Times New Roman"/>
          <w:sz w:val="24"/>
          <w:szCs w:val="24"/>
        </w:rPr>
      </w:pPr>
      <w:r>
        <w:rPr>
          <w:rFonts w:ascii="Wingdings 2" w:hAnsi="Wingdings 2" w:cs="Times New Roman"/>
          <w:sz w:val="24"/>
          <w:szCs w:val="24"/>
        </w:rPr>
        <w:t></w:t>
      </w:r>
      <w:r>
        <w:rPr>
          <w:rFonts w:ascii="Wingdings 2" w:hAnsi="Wingdings 2" w:cs="Times New Roman"/>
          <w:sz w:val="24"/>
          <w:szCs w:val="24"/>
        </w:rPr>
        <w:t></w:t>
      </w:r>
      <w:r>
        <w:rPr>
          <w:rFonts w:ascii="Times New Roman" w:hAnsi="Times New Roman" w:cs="Times New Roman"/>
          <w:sz w:val="24"/>
          <w:szCs w:val="24"/>
        </w:rPr>
        <w:t xml:space="preserve"> - Does not meet objective</w:t>
      </w:r>
    </w:p>
    <w:p w:rsidR="00BC4745" w:rsidRDefault="00BC4745" w:rsidP="008D31DB">
      <w:pPr>
        <w:spacing w:after="0" w:line="240" w:lineRule="auto"/>
        <w:jc w:val="both"/>
        <w:rPr>
          <w:rFonts w:ascii="Wingdings 2" w:hAnsi="Wingdings 2" w:cs="Times New Roman"/>
          <w:sz w:val="24"/>
          <w:szCs w:val="24"/>
        </w:rPr>
      </w:pPr>
    </w:p>
    <w:p w:rsidR="00AC0A37" w:rsidRPr="008D31DB" w:rsidRDefault="00AC0A37" w:rsidP="008D3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Consultation section of the </w:t>
      </w:r>
      <w:proofErr w:type="spellStart"/>
      <w:r>
        <w:rPr>
          <w:rFonts w:ascii="Times New Roman" w:hAnsi="Times New Roman" w:cs="Times New Roman"/>
          <w:sz w:val="24"/>
          <w:szCs w:val="24"/>
        </w:rPr>
        <w:t>RIS</w:t>
      </w:r>
      <w:proofErr w:type="spellEnd"/>
      <w:r>
        <w:rPr>
          <w:rFonts w:ascii="Times New Roman" w:hAnsi="Times New Roman" w:cs="Times New Roman"/>
          <w:sz w:val="24"/>
          <w:szCs w:val="24"/>
        </w:rPr>
        <w:t xml:space="preserve"> provides a summary of our consultation approach with the feedback received</w:t>
      </w:r>
      <w:r w:rsidR="00BC4745">
        <w:rPr>
          <w:rFonts w:ascii="Times New Roman" w:hAnsi="Times New Roman" w:cs="Times New Roman"/>
          <w:sz w:val="24"/>
          <w:szCs w:val="24"/>
        </w:rPr>
        <w:t xml:space="preserve"> on each proposal</w:t>
      </w:r>
      <w:r>
        <w:rPr>
          <w:rFonts w:ascii="Times New Roman" w:hAnsi="Times New Roman" w:cs="Times New Roman"/>
          <w:sz w:val="24"/>
          <w:szCs w:val="24"/>
        </w:rPr>
        <w:t xml:space="preserve"> set out in </w:t>
      </w:r>
      <w:r w:rsidR="00BC4745">
        <w:rPr>
          <w:rFonts w:ascii="Times New Roman" w:hAnsi="Times New Roman" w:cs="Times New Roman"/>
          <w:sz w:val="24"/>
          <w:szCs w:val="24"/>
        </w:rPr>
        <w:t>corresponding</w:t>
      </w:r>
      <w:r>
        <w:rPr>
          <w:rFonts w:ascii="Times New Roman" w:hAnsi="Times New Roman" w:cs="Times New Roman"/>
          <w:sz w:val="24"/>
          <w:szCs w:val="24"/>
        </w:rPr>
        <w:t xml:space="preserve"> appendix.</w:t>
      </w:r>
      <w:r w:rsidRPr="008D31DB">
        <w:rPr>
          <w:rFonts w:ascii="Times New Roman" w:hAnsi="Times New Roman" w:cs="Times New Roman"/>
          <w:sz w:val="24"/>
          <w:szCs w:val="24"/>
        </w:rPr>
        <w:br w:type="page"/>
      </w:r>
    </w:p>
    <w:p w:rsidR="008D4D61" w:rsidRPr="005D3931" w:rsidRDefault="0044470D" w:rsidP="002D0AC2">
      <w:pPr>
        <w:pStyle w:val="Heading1"/>
      </w:pPr>
      <w:bookmarkStart w:id="2" w:name="_Toc444145589"/>
      <w:r w:rsidRPr="005D3931">
        <w:t>STATUS QUO AND PROBLEM DEFINITION</w:t>
      </w:r>
      <w:bookmarkEnd w:id="2"/>
    </w:p>
    <w:p w:rsidR="007376FB" w:rsidRPr="005D3931" w:rsidRDefault="007376FB" w:rsidP="003D3278">
      <w:pPr>
        <w:spacing w:after="0" w:line="240" w:lineRule="auto"/>
        <w:rPr>
          <w:rFonts w:ascii="Times New Roman" w:hAnsi="Times New Roman" w:cs="Times New Roman"/>
          <w:sz w:val="24"/>
          <w:szCs w:val="24"/>
        </w:rPr>
      </w:pPr>
    </w:p>
    <w:p w:rsidR="00E35DE1" w:rsidRDefault="00E35DE1" w:rsidP="00E35DE1">
      <w:pPr>
        <w:spacing w:after="0" w:line="240" w:lineRule="auto"/>
        <w:rPr>
          <w:rFonts w:ascii="Times New Roman" w:hAnsi="Times New Roman" w:cs="Times New Roman"/>
          <w:b/>
          <w:sz w:val="24"/>
          <w:szCs w:val="24"/>
        </w:rPr>
      </w:pPr>
      <w:r>
        <w:rPr>
          <w:rFonts w:ascii="Times New Roman" w:hAnsi="Times New Roman" w:cs="Times New Roman"/>
          <w:b/>
          <w:sz w:val="24"/>
          <w:szCs w:val="24"/>
        </w:rPr>
        <w:t>Inland Revenue’s transformation programme</w:t>
      </w:r>
    </w:p>
    <w:p w:rsidR="00E35DE1" w:rsidRDefault="00E35DE1" w:rsidP="00E35DE1">
      <w:pPr>
        <w:pStyle w:val="ListParagraph"/>
        <w:spacing w:after="0" w:line="240" w:lineRule="auto"/>
        <w:ind w:left="0"/>
        <w:jc w:val="both"/>
        <w:rPr>
          <w:rFonts w:ascii="Times New Roman" w:hAnsi="Times New Roman" w:cs="Times New Roman"/>
          <w:sz w:val="24"/>
          <w:szCs w:val="24"/>
        </w:rPr>
      </w:pPr>
    </w:p>
    <w:p w:rsidR="00E35DE1" w:rsidRPr="002069FE" w:rsidRDefault="00277C23" w:rsidP="002069FE">
      <w:pPr>
        <w:pStyle w:val="ListParagraph"/>
        <w:numPr>
          <w:ilvl w:val="0"/>
          <w:numId w:val="31"/>
        </w:numPr>
        <w:spacing w:after="0" w:line="240" w:lineRule="auto"/>
        <w:ind w:left="0" w:firstLine="0"/>
        <w:jc w:val="both"/>
        <w:rPr>
          <w:rFonts w:ascii="Times New Roman" w:hAnsi="Times New Roman" w:cs="Times New Roman"/>
          <w:sz w:val="24"/>
          <w:szCs w:val="24"/>
        </w:rPr>
      </w:pPr>
      <w:r w:rsidRPr="002069FE">
        <w:rPr>
          <w:rFonts w:ascii="Times New Roman" w:hAnsi="Times New Roman" w:cs="Times New Roman"/>
          <w:sz w:val="24"/>
          <w:szCs w:val="24"/>
        </w:rPr>
        <w:t>The Government’s objective for the revenue system is for it to be as fair and efficient as possible in raising the revenue required to meet the Government’s needs. For taxpayers the tax system</w:t>
      </w:r>
      <w:r w:rsidR="00E35DE1" w:rsidRPr="002069FE">
        <w:rPr>
          <w:rFonts w:ascii="Times New Roman" w:hAnsi="Times New Roman" w:cs="Times New Roman"/>
          <w:sz w:val="24"/>
          <w:szCs w:val="24"/>
        </w:rPr>
        <w:t xml:space="preserve"> should be simple to comply with, making it easy to get right </w:t>
      </w:r>
      <w:r w:rsidR="00AB2FBC">
        <w:rPr>
          <w:rFonts w:ascii="Times New Roman" w:hAnsi="Times New Roman" w:cs="Times New Roman"/>
          <w:sz w:val="24"/>
          <w:szCs w:val="24"/>
        </w:rPr>
        <w:t>and</w:t>
      </w:r>
      <w:r w:rsidR="00AB2FBC" w:rsidRPr="002069FE">
        <w:rPr>
          <w:rFonts w:ascii="Times New Roman" w:hAnsi="Times New Roman" w:cs="Times New Roman"/>
          <w:sz w:val="24"/>
          <w:szCs w:val="24"/>
        </w:rPr>
        <w:t xml:space="preserve"> </w:t>
      </w:r>
      <w:r w:rsidR="00E35DE1" w:rsidRPr="002069FE">
        <w:rPr>
          <w:rFonts w:ascii="Times New Roman" w:hAnsi="Times New Roman" w:cs="Times New Roman"/>
          <w:sz w:val="24"/>
          <w:szCs w:val="24"/>
        </w:rPr>
        <w:t>difficult to get wrong. It should serve the needs of all New Zealanders, put customers at the centre and help them from the start, rather than when things go wrong.</w:t>
      </w:r>
    </w:p>
    <w:p w:rsidR="00E35DE1" w:rsidRDefault="00E35DE1" w:rsidP="00E35DE1">
      <w:pPr>
        <w:pStyle w:val="ListParagraph"/>
        <w:spacing w:after="0" w:line="240" w:lineRule="auto"/>
        <w:ind w:left="0"/>
        <w:jc w:val="both"/>
        <w:rPr>
          <w:rFonts w:ascii="Times New Roman" w:hAnsi="Times New Roman" w:cs="Times New Roman"/>
          <w:sz w:val="24"/>
          <w:szCs w:val="24"/>
        </w:rPr>
      </w:pPr>
    </w:p>
    <w:p w:rsidR="00E35DE1" w:rsidRDefault="00E35DE1" w:rsidP="00E35DE1">
      <w:pPr>
        <w:pStyle w:val="ListParagraph"/>
        <w:numPr>
          <w:ilvl w:val="0"/>
          <w:numId w:val="3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 shift to digital and greater globalisation has reshaped how businesses and individuals interact and connect, and their expectations of government.</w:t>
      </w:r>
    </w:p>
    <w:p w:rsidR="00E35DE1" w:rsidRPr="00277C23" w:rsidRDefault="00E35DE1" w:rsidP="00277C23">
      <w:pPr>
        <w:pStyle w:val="ListParagraph"/>
        <w:spacing w:after="0" w:line="240" w:lineRule="auto"/>
        <w:ind w:left="0"/>
        <w:jc w:val="both"/>
        <w:rPr>
          <w:rFonts w:ascii="Times New Roman" w:hAnsi="Times New Roman" w:cs="Times New Roman"/>
          <w:sz w:val="24"/>
          <w:szCs w:val="24"/>
        </w:rPr>
      </w:pPr>
    </w:p>
    <w:p w:rsidR="00E35DE1" w:rsidRDefault="00E35DE1" w:rsidP="00E35DE1">
      <w:pPr>
        <w:pStyle w:val="ListParagraph"/>
        <w:numPr>
          <w:ilvl w:val="0"/>
          <w:numId w:val="3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Businesses are increasingly using software packages to automate processes and reduce their compliance burden. Businesses have consistently ranked tax as their highest compliance priority, and it often contributes the most to their overall compliance burden. Compliance costs could be reduced </w:t>
      </w:r>
      <w:r w:rsidR="00AC3653">
        <w:rPr>
          <w:rFonts w:ascii="Times New Roman" w:hAnsi="Times New Roman" w:cs="Times New Roman"/>
          <w:sz w:val="24"/>
          <w:szCs w:val="24"/>
        </w:rPr>
        <w:t>by making better us</w:t>
      </w:r>
      <w:r w:rsidR="00062EA1">
        <w:rPr>
          <w:rFonts w:ascii="Times New Roman" w:hAnsi="Times New Roman" w:cs="Times New Roman"/>
          <w:sz w:val="24"/>
          <w:szCs w:val="24"/>
        </w:rPr>
        <w:t>e</w:t>
      </w:r>
      <w:r w:rsidR="00AC3653">
        <w:rPr>
          <w:rFonts w:ascii="Times New Roman" w:hAnsi="Times New Roman" w:cs="Times New Roman"/>
          <w:sz w:val="24"/>
          <w:szCs w:val="24"/>
        </w:rPr>
        <w:t xml:space="preserve"> of</w:t>
      </w:r>
      <w:r>
        <w:rPr>
          <w:rFonts w:ascii="Times New Roman" w:hAnsi="Times New Roman" w:cs="Times New Roman"/>
          <w:sz w:val="24"/>
          <w:szCs w:val="24"/>
        </w:rPr>
        <w:t xml:space="preserve"> business</w:t>
      </w:r>
      <w:r w:rsidR="006F26A3">
        <w:rPr>
          <w:rFonts w:ascii="Times New Roman" w:hAnsi="Times New Roman" w:cs="Times New Roman"/>
          <w:sz w:val="24"/>
          <w:szCs w:val="24"/>
        </w:rPr>
        <w:t>e</w:t>
      </w:r>
      <w:r>
        <w:rPr>
          <w:rFonts w:ascii="Times New Roman" w:hAnsi="Times New Roman" w:cs="Times New Roman"/>
          <w:sz w:val="24"/>
          <w:szCs w:val="24"/>
        </w:rPr>
        <w:t>s</w:t>
      </w:r>
      <w:r w:rsidR="006F26A3">
        <w:rPr>
          <w:rFonts w:ascii="Times New Roman" w:hAnsi="Times New Roman" w:cs="Times New Roman"/>
          <w:sz w:val="24"/>
          <w:szCs w:val="24"/>
        </w:rPr>
        <w:t>’</w:t>
      </w:r>
      <w:r>
        <w:rPr>
          <w:rFonts w:ascii="Times New Roman" w:hAnsi="Times New Roman" w:cs="Times New Roman"/>
          <w:sz w:val="24"/>
          <w:szCs w:val="24"/>
        </w:rPr>
        <w:t xml:space="preserve"> </w:t>
      </w:r>
      <w:r w:rsidR="00AC3653">
        <w:rPr>
          <w:rFonts w:ascii="Times New Roman" w:hAnsi="Times New Roman" w:cs="Times New Roman"/>
          <w:sz w:val="24"/>
          <w:szCs w:val="24"/>
        </w:rPr>
        <w:t>everyday</w:t>
      </w:r>
      <w:r>
        <w:rPr>
          <w:rFonts w:ascii="Times New Roman" w:hAnsi="Times New Roman" w:cs="Times New Roman"/>
          <w:sz w:val="24"/>
          <w:szCs w:val="24"/>
        </w:rPr>
        <w:t xml:space="preserve"> processes and systems to meet tax obligations. Enabling businesses to spend less time on tax and more time on running their business will support Government’s wider goals of building a more competitive economy and delivering better public services. </w:t>
      </w:r>
    </w:p>
    <w:p w:rsidR="00E35DE1" w:rsidRDefault="00E35DE1" w:rsidP="00E35DE1">
      <w:pPr>
        <w:pStyle w:val="ListParagraph"/>
        <w:spacing w:after="0" w:line="240" w:lineRule="auto"/>
        <w:ind w:left="0"/>
        <w:jc w:val="both"/>
        <w:rPr>
          <w:rFonts w:ascii="Times New Roman" w:hAnsi="Times New Roman" w:cs="Times New Roman"/>
          <w:sz w:val="24"/>
          <w:szCs w:val="24"/>
        </w:rPr>
      </w:pPr>
    </w:p>
    <w:p w:rsidR="00E35DE1" w:rsidRDefault="00E35DE1" w:rsidP="00E35DE1">
      <w:pPr>
        <w:pStyle w:val="ListParagraph"/>
        <w:numPr>
          <w:ilvl w:val="0"/>
          <w:numId w:val="3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 ways in which individuals work has changed with different types of employment and working arrangements.</w:t>
      </w:r>
      <w:r>
        <w:t xml:space="preserve"> </w:t>
      </w:r>
      <w:r>
        <w:rPr>
          <w:rFonts w:ascii="Times New Roman" w:hAnsi="Times New Roman" w:cs="Times New Roman"/>
          <w:sz w:val="24"/>
          <w:szCs w:val="24"/>
        </w:rPr>
        <w:t xml:space="preserve">The New Zealand workforce has become more </w:t>
      </w:r>
      <w:proofErr w:type="spellStart"/>
      <w:r>
        <w:rPr>
          <w:rFonts w:ascii="Times New Roman" w:hAnsi="Times New Roman" w:cs="Times New Roman"/>
          <w:sz w:val="24"/>
          <w:szCs w:val="24"/>
        </w:rPr>
        <w:t>casualised</w:t>
      </w:r>
      <w:proofErr w:type="spellEnd"/>
      <w:r>
        <w:rPr>
          <w:rFonts w:ascii="Times New Roman" w:hAnsi="Times New Roman" w:cs="Times New Roman"/>
          <w:sz w:val="24"/>
          <w:szCs w:val="24"/>
        </w:rPr>
        <w:t xml:space="preserve"> as permanent employment has become less common</w:t>
      </w:r>
      <w:r w:rsidR="008E3413">
        <w:rPr>
          <w:rFonts w:ascii="Times New Roman" w:hAnsi="Times New Roman" w:cs="Times New Roman"/>
          <w:sz w:val="24"/>
          <w:szCs w:val="24"/>
        </w:rPr>
        <w:t>,</w:t>
      </w:r>
      <w:r>
        <w:rPr>
          <w:rFonts w:ascii="Times New Roman" w:hAnsi="Times New Roman" w:cs="Times New Roman"/>
          <w:sz w:val="24"/>
          <w:szCs w:val="24"/>
        </w:rPr>
        <w:t xml:space="preserve"> and temporary</w:t>
      </w:r>
      <w:r w:rsidR="006E53AD">
        <w:rPr>
          <w:rFonts w:ascii="Times New Roman" w:hAnsi="Times New Roman" w:cs="Times New Roman"/>
          <w:sz w:val="24"/>
          <w:szCs w:val="24"/>
        </w:rPr>
        <w:t>,</w:t>
      </w:r>
      <w:r>
        <w:rPr>
          <w:rFonts w:ascii="Times New Roman" w:hAnsi="Times New Roman" w:cs="Times New Roman"/>
          <w:sz w:val="24"/>
          <w:szCs w:val="24"/>
        </w:rPr>
        <w:t xml:space="preserve"> casual </w:t>
      </w:r>
      <w:r w:rsidR="006E53AD">
        <w:rPr>
          <w:rFonts w:ascii="Times New Roman" w:hAnsi="Times New Roman" w:cs="Times New Roman"/>
          <w:sz w:val="24"/>
          <w:szCs w:val="24"/>
        </w:rPr>
        <w:t>and contract work has become</w:t>
      </w:r>
      <w:r>
        <w:rPr>
          <w:rFonts w:ascii="Times New Roman" w:hAnsi="Times New Roman" w:cs="Times New Roman"/>
          <w:sz w:val="24"/>
          <w:szCs w:val="24"/>
        </w:rPr>
        <w:t xml:space="preserve"> more prominent. Other trends include part-time and temporary workers increasingly holding multiple jobs, and more self-employment and small businesses. Many of the current </w:t>
      </w:r>
      <w:r w:rsidR="00F00BB2">
        <w:rPr>
          <w:rFonts w:ascii="Times New Roman" w:hAnsi="Times New Roman" w:cs="Times New Roman"/>
          <w:sz w:val="24"/>
          <w:szCs w:val="24"/>
        </w:rPr>
        <w:t xml:space="preserve">tax </w:t>
      </w:r>
      <w:r>
        <w:rPr>
          <w:rFonts w:ascii="Times New Roman" w:hAnsi="Times New Roman" w:cs="Times New Roman"/>
          <w:sz w:val="24"/>
          <w:szCs w:val="24"/>
        </w:rPr>
        <w:t>policies and administrative processes were designed for an era when New Zealand’s workforce was more strongly characterised by salary and wage earners in permanent full-time employment arrangements.</w:t>
      </w:r>
    </w:p>
    <w:p w:rsidR="00E35DE1" w:rsidRDefault="00E35DE1" w:rsidP="00E35DE1">
      <w:pPr>
        <w:pStyle w:val="ListParagraph"/>
        <w:spacing w:after="0" w:line="240" w:lineRule="auto"/>
        <w:ind w:left="0"/>
        <w:jc w:val="both"/>
        <w:rPr>
          <w:rFonts w:ascii="Times New Roman" w:hAnsi="Times New Roman" w:cs="Times New Roman"/>
          <w:sz w:val="24"/>
          <w:szCs w:val="24"/>
        </w:rPr>
      </w:pPr>
    </w:p>
    <w:p w:rsidR="00E35DE1" w:rsidRDefault="00E35DE1" w:rsidP="00E35DE1">
      <w:pPr>
        <w:pStyle w:val="ListParagraph"/>
        <w:numPr>
          <w:ilvl w:val="0"/>
          <w:numId w:val="3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To protect the Government’s ability to collect sufficient revenue to keep providing services, it is important that New Zealand’s revenue system keeps pace with change and is as efficient as possible. The fiscal challenges associated with an ageing population and associated demand for high quality healthcare and other services will add impetus to the need for a highly efficient and responsive revenue system. To meet these challenges, Inland Revenue requires a fundamental shift in the way it thinks, designs, and operates.</w:t>
      </w:r>
    </w:p>
    <w:p w:rsidR="00E35DE1" w:rsidRDefault="00E35DE1" w:rsidP="00E35DE1">
      <w:pPr>
        <w:spacing w:after="0" w:line="240" w:lineRule="auto"/>
        <w:rPr>
          <w:rFonts w:ascii="Times New Roman" w:hAnsi="Times New Roman" w:cs="Times New Roman"/>
          <w:sz w:val="24"/>
          <w:szCs w:val="24"/>
        </w:rPr>
      </w:pPr>
    </w:p>
    <w:p w:rsidR="00E35DE1" w:rsidRDefault="00E35DE1" w:rsidP="00E35DE1">
      <w:pPr>
        <w:pStyle w:val="ListParagraph"/>
        <w:numPr>
          <w:ilvl w:val="0"/>
          <w:numId w:val="3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 Government has agreed to change the revenue system through business process and technology change. A digitally-based revenue system, simplified policies, and better use of data and intelligence to better understand customers will simplify how services are delivered and change how customers interact with the revenue system.</w:t>
      </w:r>
    </w:p>
    <w:p w:rsidR="00E35DE1" w:rsidRDefault="00E35DE1" w:rsidP="00E35DE1">
      <w:pPr>
        <w:pStyle w:val="ListParagraph"/>
        <w:spacing w:after="0" w:line="240" w:lineRule="auto"/>
        <w:ind w:left="0"/>
        <w:jc w:val="both"/>
        <w:rPr>
          <w:rFonts w:ascii="Times New Roman" w:hAnsi="Times New Roman" w:cs="Times New Roman"/>
          <w:sz w:val="24"/>
          <w:szCs w:val="24"/>
        </w:rPr>
      </w:pPr>
    </w:p>
    <w:p w:rsidR="00E35DE1" w:rsidRDefault="00E35DE1" w:rsidP="00E35DE1">
      <w:pPr>
        <w:pStyle w:val="ListParagraph"/>
        <w:numPr>
          <w:ilvl w:val="0"/>
          <w:numId w:val="3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Having a good overall revenue system means having both good policies and good administration. While the policy framework is fundamentally sound, there is an opportunity to review current policy and legislative settings as levers to help modernise the revenue system and ensure it is responsive to global changes.</w:t>
      </w:r>
    </w:p>
    <w:p w:rsidR="00E35DE1" w:rsidRPr="00F200C6" w:rsidRDefault="00E35DE1" w:rsidP="00F200C6">
      <w:pPr>
        <w:pStyle w:val="ListParagraph"/>
        <w:spacing w:after="0" w:line="240" w:lineRule="auto"/>
        <w:ind w:left="0"/>
        <w:jc w:val="both"/>
        <w:rPr>
          <w:rFonts w:ascii="Times New Roman" w:hAnsi="Times New Roman" w:cs="Times New Roman"/>
          <w:sz w:val="24"/>
          <w:szCs w:val="24"/>
        </w:rPr>
      </w:pPr>
    </w:p>
    <w:p w:rsidR="00E35DE1" w:rsidRDefault="00E35DE1" w:rsidP="00E35DE1">
      <w:pPr>
        <w:pStyle w:val="ListParagraph"/>
        <w:numPr>
          <w:ilvl w:val="0"/>
          <w:numId w:val="3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There is no doubt that Inland Revenue’s </w:t>
      </w:r>
      <w:r w:rsidR="00277C23">
        <w:rPr>
          <w:rFonts w:ascii="Times New Roman" w:hAnsi="Times New Roman" w:cs="Times New Roman"/>
          <w:sz w:val="24"/>
          <w:szCs w:val="24"/>
        </w:rPr>
        <w:t xml:space="preserve">computer </w:t>
      </w:r>
      <w:r>
        <w:rPr>
          <w:rFonts w:ascii="Times New Roman" w:hAnsi="Times New Roman" w:cs="Times New Roman"/>
          <w:sz w:val="24"/>
          <w:szCs w:val="24"/>
        </w:rPr>
        <w:t xml:space="preserve">systems </w:t>
      </w:r>
      <w:r w:rsidR="00277C23">
        <w:rPr>
          <w:rFonts w:ascii="Times New Roman" w:hAnsi="Times New Roman" w:cs="Times New Roman"/>
          <w:sz w:val="24"/>
          <w:szCs w:val="24"/>
        </w:rPr>
        <w:t xml:space="preserve">(known as FIRST) </w:t>
      </w:r>
      <w:r>
        <w:rPr>
          <w:rFonts w:ascii="Times New Roman" w:hAnsi="Times New Roman" w:cs="Times New Roman"/>
          <w:sz w:val="24"/>
          <w:szCs w:val="24"/>
        </w:rPr>
        <w:t>need replacement to improve resilience and agility. They have reached the end of their life and are not sustainable in the medium to long term. The FIRST system</w:t>
      </w:r>
      <w:r w:rsidR="00277C23">
        <w:rPr>
          <w:rFonts w:ascii="Times New Roman" w:hAnsi="Times New Roman" w:cs="Times New Roman"/>
          <w:sz w:val="24"/>
          <w:szCs w:val="24"/>
        </w:rPr>
        <w:t>s are</w:t>
      </w:r>
      <w:r>
        <w:rPr>
          <w:rFonts w:ascii="Times New Roman" w:hAnsi="Times New Roman" w:cs="Times New Roman"/>
          <w:sz w:val="24"/>
          <w:szCs w:val="24"/>
        </w:rPr>
        <w:t xml:space="preserve"> aging, extremely complex, very difficult and costly to maintain</w:t>
      </w:r>
      <w:r w:rsidR="00C845B1">
        <w:rPr>
          <w:rFonts w:ascii="Times New Roman" w:hAnsi="Times New Roman" w:cs="Times New Roman"/>
          <w:sz w:val="24"/>
          <w:szCs w:val="24"/>
        </w:rPr>
        <w:t>,</w:t>
      </w:r>
      <w:r>
        <w:rPr>
          <w:rFonts w:ascii="Times New Roman" w:hAnsi="Times New Roman" w:cs="Times New Roman"/>
          <w:sz w:val="24"/>
          <w:szCs w:val="24"/>
        </w:rPr>
        <w:t xml:space="preserve"> and inflexible. Since FIRST was implemented, a number of income-related social policies have been added to the platform. Implementing social policies within a platform designed for tax administration has added layers of complexity and risk to Inland Revenue’s business processes and technology infrastructure. This in turn limits the department’s ability to respond to government policy priorities.</w:t>
      </w:r>
    </w:p>
    <w:p w:rsidR="00E35DE1" w:rsidRDefault="00E35DE1" w:rsidP="00E35DE1">
      <w:pPr>
        <w:spacing w:after="0" w:line="240" w:lineRule="auto"/>
        <w:rPr>
          <w:rFonts w:ascii="Times New Roman" w:hAnsi="Times New Roman" w:cs="Times New Roman"/>
          <w:sz w:val="24"/>
          <w:szCs w:val="24"/>
        </w:rPr>
      </w:pPr>
    </w:p>
    <w:p w:rsidR="00E35DE1" w:rsidRDefault="00E35DE1" w:rsidP="00E35DE1">
      <w:pPr>
        <w:pStyle w:val="ListParagraph"/>
        <w:numPr>
          <w:ilvl w:val="0"/>
          <w:numId w:val="3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However, </w:t>
      </w:r>
      <w:r w:rsidR="006F26A3">
        <w:rPr>
          <w:rFonts w:ascii="Times New Roman" w:hAnsi="Times New Roman" w:cs="Times New Roman"/>
          <w:sz w:val="24"/>
          <w:szCs w:val="24"/>
        </w:rPr>
        <w:t>B</w:t>
      </w:r>
      <w:r>
        <w:rPr>
          <w:rFonts w:ascii="Times New Roman" w:hAnsi="Times New Roman" w:cs="Times New Roman"/>
          <w:sz w:val="24"/>
          <w:szCs w:val="24"/>
        </w:rPr>
        <w:t xml:space="preserve">usiness </w:t>
      </w:r>
      <w:r w:rsidR="006F26A3">
        <w:rPr>
          <w:rFonts w:ascii="Times New Roman" w:hAnsi="Times New Roman" w:cs="Times New Roman"/>
          <w:sz w:val="24"/>
          <w:szCs w:val="24"/>
        </w:rPr>
        <w:t>T</w:t>
      </w:r>
      <w:r>
        <w:rPr>
          <w:rFonts w:ascii="Times New Roman" w:hAnsi="Times New Roman" w:cs="Times New Roman"/>
          <w:sz w:val="24"/>
          <w:szCs w:val="24"/>
        </w:rPr>
        <w:t>ransformation is far more than just updating a computer system. It is a long-term programme to modernise New Zealand’s revenue system, and will re-shape the way Inland Revenue works with customers, including improvements to policy and legislative settings and enabling more timely policy changes. A new operating model and new systems will be the catalysts for these changes.</w:t>
      </w:r>
    </w:p>
    <w:p w:rsidR="00E35DE1" w:rsidRDefault="00E35DE1" w:rsidP="00E35DE1">
      <w:pPr>
        <w:pStyle w:val="ListParagraph"/>
        <w:spacing w:after="0" w:line="240" w:lineRule="auto"/>
        <w:ind w:left="0"/>
        <w:jc w:val="both"/>
        <w:rPr>
          <w:rFonts w:ascii="Times New Roman" w:hAnsi="Times New Roman" w:cs="Times New Roman"/>
          <w:sz w:val="24"/>
          <w:szCs w:val="24"/>
        </w:rPr>
      </w:pPr>
    </w:p>
    <w:p w:rsidR="00E35DE1" w:rsidRDefault="00E35DE1" w:rsidP="00E35DE1">
      <w:pPr>
        <w:pStyle w:val="ListParagraph"/>
        <w:numPr>
          <w:ilvl w:val="0"/>
          <w:numId w:val="3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This regulatory impact statement outlines options for simplifying the tax policy settings for businesses.</w:t>
      </w:r>
    </w:p>
    <w:p w:rsidR="00E35DE1" w:rsidRDefault="00E35DE1" w:rsidP="00E35DE1">
      <w:pPr>
        <w:spacing w:after="0" w:line="240" w:lineRule="auto"/>
        <w:rPr>
          <w:rFonts w:ascii="Times New Roman" w:hAnsi="Times New Roman" w:cs="Times New Roman"/>
          <w:sz w:val="24"/>
          <w:szCs w:val="24"/>
        </w:rPr>
      </w:pPr>
    </w:p>
    <w:p w:rsidR="00E35DE1" w:rsidRDefault="00E35DE1" w:rsidP="00E35DE1">
      <w:pPr>
        <w:pStyle w:val="ListParagraph"/>
        <w:numPr>
          <w:ilvl w:val="0"/>
          <w:numId w:val="3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In March 2015 the Government released a discussion document </w:t>
      </w:r>
      <w:r w:rsidR="00277C23">
        <w:rPr>
          <w:rFonts w:ascii="Times New Roman" w:hAnsi="Times New Roman" w:cs="Times New Roman"/>
          <w:sz w:val="24"/>
          <w:szCs w:val="24"/>
        </w:rPr>
        <w:t xml:space="preserve">entitled </w:t>
      </w:r>
      <w:r>
        <w:rPr>
          <w:rFonts w:ascii="Times New Roman" w:hAnsi="Times New Roman" w:cs="Times New Roman"/>
          <w:i/>
          <w:sz w:val="24"/>
          <w:szCs w:val="24"/>
        </w:rPr>
        <w:t>Making tax simpler: A Government green paper on tax administration</w:t>
      </w:r>
      <w:r>
        <w:rPr>
          <w:rFonts w:ascii="Times New Roman" w:hAnsi="Times New Roman" w:cs="Times New Roman"/>
          <w:sz w:val="24"/>
          <w:szCs w:val="24"/>
        </w:rPr>
        <w:t xml:space="preserve">. The feedback from submitters relating to business tax </w:t>
      </w:r>
      <w:r w:rsidR="008C2958">
        <w:rPr>
          <w:rFonts w:ascii="Times New Roman" w:hAnsi="Times New Roman" w:cs="Times New Roman"/>
          <w:sz w:val="24"/>
          <w:szCs w:val="24"/>
        </w:rPr>
        <w:t xml:space="preserve">and other consultation/feedback from taxpayers </w:t>
      </w:r>
      <w:r>
        <w:rPr>
          <w:rFonts w:ascii="Times New Roman" w:hAnsi="Times New Roman" w:cs="Times New Roman"/>
          <w:sz w:val="24"/>
          <w:szCs w:val="24"/>
        </w:rPr>
        <w:t>can be grouped into f</w:t>
      </w:r>
      <w:r w:rsidR="00F00BB2">
        <w:rPr>
          <w:rFonts w:ascii="Times New Roman" w:hAnsi="Times New Roman" w:cs="Times New Roman"/>
          <w:sz w:val="24"/>
          <w:szCs w:val="24"/>
        </w:rPr>
        <w:t>ive</w:t>
      </w:r>
      <w:r>
        <w:rPr>
          <w:rFonts w:ascii="Times New Roman" w:hAnsi="Times New Roman" w:cs="Times New Roman"/>
          <w:sz w:val="24"/>
          <w:szCs w:val="24"/>
        </w:rPr>
        <w:t xml:space="preserve"> main areas:</w:t>
      </w:r>
    </w:p>
    <w:p w:rsidR="00E35DE1" w:rsidRDefault="00E35DE1" w:rsidP="00E35DE1">
      <w:pPr>
        <w:pStyle w:val="ListParagraph"/>
        <w:spacing w:after="0" w:line="240" w:lineRule="auto"/>
        <w:ind w:left="0"/>
        <w:jc w:val="both"/>
        <w:rPr>
          <w:rFonts w:ascii="Times New Roman" w:hAnsi="Times New Roman" w:cs="Times New Roman"/>
          <w:sz w:val="24"/>
          <w:szCs w:val="24"/>
        </w:rPr>
      </w:pPr>
    </w:p>
    <w:p w:rsidR="00E35DE1" w:rsidRDefault="00E35DE1" w:rsidP="00E35DE1">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Provisional tax is hard to get right and expensive to get wrong.</w:t>
      </w:r>
      <w:r>
        <w:rPr>
          <w:rFonts w:ascii="Times New Roman" w:hAnsi="Times New Roman" w:cs="Times New Roman"/>
          <w:sz w:val="24"/>
          <w:szCs w:val="24"/>
        </w:rPr>
        <w:t xml:space="preserve"> This affects businesses’ ability to comply, results in compliance or administration costs, and adversely impacts perceptions of fairness.</w:t>
      </w:r>
    </w:p>
    <w:p w:rsidR="00E35DE1" w:rsidRDefault="00E35DE1" w:rsidP="00E35DE1">
      <w:pPr>
        <w:spacing w:after="0" w:line="240" w:lineRule="auto"/>
        <w:jc w:val="both"/>
        <w:rPr>
          <w:rFonts w:ascii="Times New Roman" w:hAnsi="Times New Roman" w:cs="Times New Roman"/>
          <w:sz w:val="24"/>
          <w:szCs w:val="24"/>
        </w:rPr>
      </w:pPr>
    </w:p>
    <w:p w:rsidR="00E35DE1" w:rsidRDefault="00E35DE1" w:rsidP="00E35DE1">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The withholding tax regime for contractors is inflexible, out of date and open to abuse.</w:t>
      </w:r>
      <w:r>
        <w:rPr>
          <w:rFonts w:ascii="Times New Roman" w:hAnsi="Times New Roman" w:cs="Times New Roman"/>
          <w:sz w:val="24"/>
          <w:szCs w:val="24"/>
        </w:rPr>
        <w:t xml:space="preserve"> This affects the accuracy and timing of tax payments, results in compliance or administrative costs, and adversely impacts perceptions of fairness of the tax system.</w:t>
      </w:r>
    </w:p>
    <w:p w:rsidR="00E35DE1" w:rsidRDefault="00E35DE1" w:rsidP="00E35DE1">
      <w:pPr>
        <w:spacing w:after="0" w:line="240" w:lineRule="auto"/>
        <w:jc w:val="both"/>
        <w:rPr>
          <w:rFonts w:ascii="Times New Roman" w:hAnsi="Times New Roman" w:cs="Times New Roman"/>
          <w:sz w:val="24"/>
          <w:szCs w:val="24"/>
        </w:rPr>
      </w:pPr>
    </w:p>
    <w:p w:rsidR="00E35DE1" w:rsidRPr="00FA2D8C" w:rsidRDefault="008E3413" w:rsidP="00E35DE1">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w:t>
      </w:r>
      <w:r w:rsidR="00E35DE1" w:rsidRPr="00FA2D8C">
        <w:rPr>
          <w:rFonts w:ascii="Times New Roman" w:hAnsi="Times New Roman" w:cs="Times New Roman"/>
          <w:b/>
          <w:sz w:val="24"/>
          <w:szCs w:val="24"/>
        </w:rPr>
        <w:t>enalties are punitive and can reduce taxpayer compliance</w:t>
      </w:r>
      <w:r w:rsidR="00B34467" w:rsidRPr="00FA2D8C">
        <w:rPr>
          <w:rFonts w:ascii="Times New Roman" w:hAnsi="Times New Roman" w:cs="Times New Roman"/>
          <w:b/>
          <w:sz w:val="24"/>
          <w:szCs w:val="24"/>
        </w:rPr>
        <w:t xml:space="preserve">. </w:t>
      </w:r>
      <w:r w:rsidR="00B34467" w:rsidRPr="00FA2D8C">
        <w:rPr>
          <w:rFonts w:ascii="Times New Roman" w:hAnsi="Times New Roman" w:cs="Times New Roman"/>
          <w:sz w:val="24"/>
          <w:szCs w:val="24"/>
        </w:rPr>
        <w:t>The</w:t>
      </w:r>
      <w:r w:rsidR="00E35DE1" w:rsidRPr="00FA2D8C">
        <w:rPr>
          <w:rFonts w:ascii="Times New Roman" w:hAnsi="Times New Roman" w:cs="Times New Roman"/>
          <w:sz w:val="24"/>
          <w:szCs w:val="24"/>
        </w:rPr>
        <w:t xml:space="preserve"> </w:t>
      </w:r>
      <w:r w:rsidR="00B34467" w:rsidRPr="00FA2D8C">
        <w:rPr>
          <w:rFonts w:ascii="Times New Roman" w:hAnsi="Times New Roman" w:cs="Times New Roman"/>
          <w:sz w:val="24"/>
          <w:szCs w:val="24"/>
        </w:rPr>
        <w:t>c</w:t>
      </w:r>
      <w:r w:rsidR="00E35DE1" w:rsidRPr="00FA2D8C">
        <w:rPr>
          <w:rFonts w:ascii="Times New Roman" w:hAnsi="Times New Roman" w:cs="Times New Roman"/>
          <w:sz w:val="24"/>
          <w:szCs w:val="24"/>
        </w:rPr>
        <w:t>urrent penalty rules do not take account of businesses’ circumstances</w:t>
      </w:r>
      <w:r w:rsidR="00B34467" w:rsidRPr="00FA2D8C">
        <w:rPr>
          <w:rFonts w:ascii="Times New Roman" w:hAnsi="Times New Roman" w:cs="Times New Roman"/>
          <w:sz w:val="24"/>
          <w:szCs w:val="24"/>
        </w:rPr>
        <w:t xml:space="preserve"> or the interaction of the </w:t>
      </w:r>
      <w:r w:rsidR="00E21698">
        <w:rPr>
          <w:rFonts w:ascii="Times New Roman" w:hAnsi="Times New Roman" w:cs="Times New Roman"/>
          <w:sz w:val="24"/>
          <w:szCs w:val="24"/>
        </w:rPr>
        <w:t xml:space="preserve">use of money interest </w:t>
      </w:r>
      <w:r w:rsidR="0045650F">
        <w:rPr>
          <w:rFonts w:ascii="Times New Roman" w:hAnsi="Times New Roman" w:cs="Times New Roman"/>
          <w:sz w:val="24"/>
          <w:szCs w:val="24"/>
        </w:rPr>
        <w:t>(</w:t>
      </w:r>
      <w:proofErr w:type="spellStart"/>
      <w:r w:rsidR="0045650F">
        <w:rPr>
          <w:rFonts w:ascii="Times New Roman" w:hAnsi="Times New Roman" w:cs="Times New Roman"/>
          <w:sz w:val="24"/>
          <w:szCs w:val="24"/>
        </w:rPr>
        <w:t>UOMI</w:t>
      </w:r>
      <w:proofErr w:type="spellEnd"/>
      <w:r w:rsidR="0045650F">
        <w:rPr>
          <w:rFonts w:ascii="Times New Roman" w:hAnsi="Times New Roman" w:cs="Times New Roman"/>
          <w:sz w:val="24"/>
          <w:szCs w:val="24"/>
        </w:rPr>
        <w:t>)</w:t>
      </w:r>
      <w:r w:rsidR="00B34467" w:rsidRPr="00FA2D8C">
        <w:rPr>
          <w:rFonts w:ascii="Times New Roman" w:hAnsi="Times New Roman" w:cs="Times New Roman"/>
          <w:sz w:val="24"/>
          <w:szCs w:val="24"/>
        </w:rPr>
        <w:t xml:space="preserve"> and penalty rules and the affect these have in conjunction with the provisional tax rules.</w:t>
      </w:r>
      <w:r w:rsidR="00E35DE1" w:rsidRPr="00FA2D8C">
        <w:rPr>
          <w:rFonts w:ascii="Times New Roman" w:hAnsi="Times New Roman" w:cs="Times New Roman"/>
          <w:sz w:val="24"/>
          <w:szCs w:val="24"/>
        </w:rPr>
        <w:t xml:space="preserve"> </w:t>
      </w:r>
      <w:r w:rsidR="00B34467" w:rsidRPr="00FA2D8C">
        <w:rPr>
          <w:rFonts w:ascii="Times New Roman" w:hAnsi="Times New Roman" w:cs="Times New Roman"/>
          <w:sz w:val="24"/>
          <w:szCs w:val="24"/>
        </w:rPr>
        <w:t xml:space="preserve">Also an </w:t>
      </w:r>
      <w:r w:rsidR="00E35DE1" w:rsidRPr="00FA2D8C">
        <w:rPr>
          <w:rFonts w:ascii="Times New Roman" w:hAnsi="Times New Roman" w:cs="Times New Roman"/>
          <w:sz w:val="24"/>
          <w:szCs w:val="24"/>
        </w:rPr>
        <w:t xml:space="preserve">automatic penalty is frequently levied against those who </w:t>
      </w:r>
      <w:r w:rsidR="00E23FB7" w:rsidRPr="00275138">
        <w:rPr>
          <w:rFonts w:ascii="Times New Roman" w:hAnsi="Times New Roman" w:cs="Times New Roman"/>
          <w:sz w:val="24"/>
          <w:szCs w:val="24"/>
        </w:rPr>
        <w:t>did not pay due to an administrative error (as they have underdeveloped business processes), cannot pay (as they do not have the resources) or will not pay (as they have the resources, but choose not to pay)</w:t>
      </w:r>
      <w:r w:rsidR="00E35DE1" w:rsidRPr="00FA2D8C">
        <w:rPr>
          <w:rFonts w:ascii="Times New Roman" w:hAnsi="Times New Roman" w:cs="Times New Roman"/>
          <w:sz w:val="24"/>
          <w:szCs w:val="24"/>
        </w:rPr>
        <w:t>. This adversely impacts fairness by imposing excessive costs on businesses who are trying to comply, and reduces compliance.</w:t>
      </w:r>
    </w:p>
    <w:p w:rsidR="00E35DE1" w:rsidRDefault="00E35DE1" w:rsidP="00E35DE1">
      <w:pPr>
        <w:spacing w:after="0" w:line="240" w:lineRule="auto"/>
        <w:jc w:val="both"/>
        <w:rPr>
          <w:rFonts w:ascii="Times New Roman" w:hAnsi="Times New Roman" w:cs="Times New Roman"/>
          <w:sz w:val="24"/>
          <w:szCs w:val="24"/>
        </w:rPr>
      </w:pPr>
    </w:p>
    <w:p w:rsidR="00E35DE1" w:rsidRDefault="00E35DE1" w:rsidP="00E35DE1">
      <w:pPr>
        <w:pStyle w:val="ListParagraph"/>
        <w:numPr>
          <w:ilvl w:val="0"/>
          <w:numId w:val="33"/>
        </w:numPr>
        <w:spacing w:after="0" w:line="240" w:lineRule="auto"/>
        <w:ind w:left="709" w:hanging="283"/>
        <w:jc w:val="both"/>
        <w:rPr>
          <w:rFonts w:ascii="Times New Roman" w:hAnsi="Times New Roman" w:cs="Times New Roman"/>
          <w:sz w:val="24"/>
          <w:szCs w:val="24"/>
        </w:rPr>
      </w:pPr>
      <w:r>
        <w:rPr>
          <w:rFonts w:ascii="Times New Roman" w:hAnsi="Times New Roman" w:cs="Times New Roman"/>
          <w:b/>
          <w:sz w:val="24"/>
          <w:szCs w:val="24"/>
        </w:rPr>
        <w:t xml:space="preserve">Tax information </w:t>
      </w:r>
      <w:r w:rsidR="008B1513">
        <w:rPr>
          <w:rFonts w:ascii="Times New Roman" w:hAnsi="Times New Roman" w:cs="Times New Roman"/>
          <w:b/>
          <w:sz w:val="24"/>
          <w:szCs w:val="24"/>
        </w:rPr>
        <w:t xml:space="preserve">is </w:t>
      </w:r>
      <w:r>
        <w:rPr>
          <w:rFonts w:ascii="Times New Roman" w:hAnsi="Times New Roman" w:cs="Times New Roman"/>
          <w:b/>
          <w:sz w:val="24"/>
          <w:szCs w:val="24"/>
        </w:rPr>
        <w:t>not used to protect businesses</w:t>
      </w:r>
      <w:r>
        <w:rPr>
          <w:rFonts w:ascii="Times New Roman" w:hAnsi="Times New Roman" w:cs="Times New Roman"/>
          <w:sz w:val="24"/>
          <w:szCs w:val="24"/>
        </w:rPr>
        <w:t>. Compliant businesses would be better protected if data held by Inland Revenue indicating serious debt or malpractice was shared appropriately. However</w:t>
      </w:r>
      <w:r w:rsidR="00F00BB2">
        <w:rPr>
          <w:rFonts w:ascii="Times New Roman" w:hAnsi="Times New Roman" w:cs="Times New Roman"/>
          <w:sz w:val="24"/>
          <w:szCs w:val="24"/>
        </w:rPr>
        <w:t>,</w:t>
      </w:r>
      <w:r>
        <w:rPr>
          <w:rFonts w:ascii="Times New Roman" w:hAnsi="Times New Roman" w:cs="Times New Roman"/>
          <w:sz w:val="24"/>
          <w:szCs w:val="24"/>
        </w:rPr>
        <w:t xml:space="preserve"> legislation currently restricts this.</w:t>
      </w:r>
    </w:p>
    <w:p w:rsidR="00E35DE1" w:rsidRDefault="00E35DE1" w:rsidP="00E35DE1">
      <w:pPr>
        <w:spacing w:after="0" w:line="240" w:lineRule="auto"/>
        <w:jc w:val="both"/>
        <w:rPr>
          <w:rFonts w:ascii="Times New Roman" w:hAnsi="Times New Roman" w:cs="Times New Roman"/>
          <w:sz w:val="24"/>
          <w:szCs w:val="24"/>
        </w:rPr>
      </w:pPr>
    </w:p>
    <w:p w:rsidR="00E35DE1" w:rsidRDefault="00E35DE1" w:rsidP="00E35DE1">
      <w:pPr>
        <w:pStyle w:val="ListParagraph"/>
        <w:numPr>
          <w:ilvl w:val="0"/>
          <w:numId w:val="33"/>
        </w:numPr>
        <w:spacing w:after="0" w:line="240" w:lineRule="auto"/>
        <w:ind w:left="709" w:hanging="283"/>
        <w:jc w:val="both"/>
        <w:rPr>
          <w:rFonts w:ascii="Times New Roman" w:hAnsi="Times New Roman" w:cs="Times New Roman"/>
          <w:sz w:val="24"/>
          <w:szCs w:val="24"/>
        </w:rPr>
      </w:pPr>
      <w:r>
        <w:rPr>
          <w:rFonts w:ascii="Times New Roman" w:hAnsi="Times New Roman" w:cs="Times New Roman"/>
          <w:b/>
          <w:sz w:val="24"/>
          <w:szCs w:val="24"/>
        </w:rPr>
        <w:t>Rules require accuracy regardless of costs</w:t>
      </w:r>
      <w:r>
        <w:rPr>
          <w:rFonts w:ascii="Times New Roman" w:hAnsi="Times New Roman" w:cs="Times New Roman"/>
          <w:sz w:val="24"/>
          <w:szCs w:val="24"/>
        </w:rPr>
        <w:t>. Tax rules that try to get to a “perfect” answer can impose undue costs when</w:t>
      </w:r>
      <w:r w:rsidR="00A702CC">
        <w:rPr>
          <w:rFonts w:ascii="Times New Roman" w:hAnsi="Times New Roman" w:cs="Times New Roman"/>
          <w:sz w:val="24"/>
          <w:szCs w:val="24"/>
        </w:rPr>
        <w:t>,</w:t>
      </w:r>
      <w:r w:rsidR="00277C23">
        <w:rPr>
          <w:rFonts w:ascii="Times New Roman" w:hAnsi="Times New Roman" w:cs="Times New Roman"/>
          <w:sz w:val="24"/>
          <w:szCs w:val="24"/>
        </w:rPr>
        <w:t xml:space="preserve"> in some instances</w:t>
      </w:r>
      <w:r w:rsidR="00A702CC">
        <w:rPr>
          <w:rFonts w:ascii="Times New Roman" w:hAnsi="Times New Roman" w:cs="Times New Roman"/>
          <w:sz w:val="24"/>
          <w:szCs w:val="24"/>
        </w:rPr>
        <w:t>,</w:t>
      </w:r>
      <w:r>
        <w:rPr>
          <w:rFonts w:ascii="Times New Roman" w:hAnsi="Times New Roman" w:cs="Times New Roman"/>
          <w:sz w:val="24"/>
          <w:szCs w:val="24"/>
        </w:rPr>
        <w:t xml:space="preserve"> close enough should be good enough.</w:t>
      </w:r>
    </w:p>
    <w:p w:rsidR="00E35DE1" w:rsidRDefault="00E35DE1" w:rsidP="00E35DE1">
      <w:pPr>
        <w:spacing w:after="0" w:line="240" w:lineRule="auto"/>
        <w:rPr>
          <w:rFonts w:ascii="Times New Roman" w:hAnsi="Times New Roman" w:cs="Times New Roman"/>
          <w:sz w:val="24"/>
          <w:szCs w:val="24"/>
        </w:rPr>
      </w:pPr>
    </w:p>
    <w:p w:rsidR="00382BCD" w:rsidRPr="00D04D6B" w:rsidRDefault="00E153B3" w:rsidP="00047D1B">
      <w:pPr>
        <w:pStyle w:val="ListParagraph"/>
        <w:numPr>
          <w:ilvl w:val="0"/>
          <w:numId w:val="11"/>
        </w:numPr>
        <w:spacing w:after="0" w:line="240" w:lineRule="auto"/>
        <w:ind w:left="0" w:firstLine="0"/>
        <w:jc w:val="both"/>
        <w:rPr>
          <w:rFonts w:ascii="Times New Roman" w:hAnsi="Times New Roman" w:cs="Times New Roman"/>
          <w:sz w:val="24"/>
          <w:szCs w:val="24"/>
        </w:rPr>
      </w:pPr>
      <w:r w:rsidRPr="00D04D6B">
        <w:rPr>
          <w:rFonts w:ascii="Times New Roman" w:hAnsi="Times New Roman" w:cs="Times New Roman"/>
          <w:sz w:val="24"/>
          <w:szCs w:val="24"/>
        </w:rPr>
        <w:t xml:space="preserve">More detail </w:t>
      </w:r>
      <w:r w:rsidR="00E35DE1">
        <w:rPr>
          <w:rFonts w:ascii="Times New Roman" w:hAnsi="Times New Roman" w:cs="Times New Roman"/>
          <w:sz w:val="24"/>
          <w:szCs w:val="24"/>
        </w:rPr>
        <w:t>on each of these areas is provided below and in the appendi</w:t>
      </w:r>
      <w:r w:rsidR="005C245B">
        <w:rPr>
          <w:rFonts w:ascii="Times New Roman" w:hAnsi="Times New Roman" w:cs="Times New Roman"/>
          <w:sz w:val="24"/>
          <w:szCs w:val="24"/>
        </w:rPr>
        <w:t>ces</w:t>
      </w:r>
      <w:r w:rsidRPr="00D04D6B">
        <w:rPr>
          <w:rFonts w:ascii="Times New Roman" w:hAnsi="Times New Roman" w:cs="Times New Roman"/>
          <w:sz w:val="24"/>
          <w:szCs w:val="24"/>
        </w:rPr>
        <w:t>.</w:t>
      </w:r>
    </w:p>
    <w:p w:rsidR="00597570" w:rsidRDefault="00597570" w:rsidP="00597570">
      <w:pPr>
        <w:pStyle w:val="ListParagraph"/>
        <w:spacing w:after="0" w:line="240" w:lineRule="auto"/>
        <w:ind w:left="0"/>
        <w:jc w:val="both"/>
        <w:rPr>
          <w:rFonts w:ascii="Times New Roman" w:hAnsi="Times New Roman" w:cs="Times New Roman"/>
          <w:sz w:val="24"/>
          <w:szCs w:val="24"/>
        </w:rPr>
      </w:pPr>
    </w:p>
    <w:p w:rsidR="00D94BDF" w:rsidRPr="00D94BDF" w:rsidRDefault="00D94BDF" w:rsidP="00597570">
      <w:pPr>
        <w:pStyle w:val="ListParagraph"/>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Problems and their magnitude</w:t>
      </w:r>
    </w:p>
    <w:p w:rsidR="00D94BDF" w:rsidRDefault="00D94BDF" w:rsidP="00D94BDF">
      <w:pPr>
        <w:pStyle w:val="ListParagraph"/>
        <w:spacing w:after="0" w:line="240" w:lineRule="auto"/>
        <w:ind w:left="0"/>
        <w:jc w:val="both"/>
        <w:rPr>
          <w:rFonts w:ascii="Times New Roman" w:hAnsi="Times New Roman" w:cs="Times New Roman"/>
          <w:sz w:val="24"/>
          <w:szCs w:val="24"/>
        </w:rPr>
      </w:pPr>
    </w:p>
    <w:p w:rsidR="00597570" w:rsidRPr="00D94BDF" w:rsidRDefault="008E3413" w:rsidP="00D94BDF">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w:t>
      </w:r>
      <w:r w:rsidR="00597570" w:rsidRPr="00D94BDF">
        <w:rPr>
          <w:rFonts w:ascii="Times New Roman" w:hAnsi="Times New Roman" w:cs="Times New Roman"/>
          <w:sz w:val="24"/>
          <w:szCs w:val="24"/>
        </w:rPr>
        <w:t xml:space="preserve">rovisional tax is </w:t>
      </w:r>
      <w:r w:rsidR="00A702CC">
        <w:rPr>
          <w:rFonts w:ascii="Times New Roman" w:hAnsi="Times New Roman" w:cs="Times New Roman"/>
          <w:sz w:val="24"/>
          <w:szCs w:val="24"/>
        </w:rPr>
        <w:t xml:space="preserve">particularly </w:t>
      </w:r>
      <w:r>
        <w:rPr>
          <w:rFonts w:ascii="Times New Roman" w:hAnsi="Times New Roman" w:cs="Times New Roman"/>
          <w:sz w:val="24"/>
          <w:szCs w:val="24"/>
        </w:rPr>
        <w:t xml:space="preserve">problematic </w:t>
      </w:r>
      <w:r w:rsidR="00A702CC">
        <w:rPr>
          <w:rFonts w:ascii="Times New Roman" w:hAnsi="Times New Roman" w:cs="Times New Roman"/>
          <w:sz w:val="24"/>
          <w:szCs w:val="24"/>
        </w:rPr>
        <w:t>for</w:t>
      </w:r>
      <w:r w:rsidR="00597570" w:rsidRPr="00D94BDF">
        <w:rPr>
          <w:rFonts w:ascii="Times New Roman" w:hAnsi="Times New Roman" w:cs="Times New Roman"/>
          <w:sz w:val="24"/>
          <w:szCs w:val="24"/>
        </w:rPr>
        <w:t xml:space="preserve"> taxpayers who </w:t>
      </w:r>
      <w:r w:rsidR="00277C23">
        <w:rPr>
          <w:rFonts w:ascii="Times New Roman" w:hAnsi="Times New Roman" w:cs="Times New Roman"/>
          <w:sz w:val="24"/>
          <w:szCs w:val="24"/>
        </w:rPr>
        <w:t xml:space="preserve">have </w:t>
      </w:r>
      <w:r w:rsidR="00183E15">
        <w:rPr>
          <w:rFonts w:ascii="Times New Roman" w:hAnsi="Times New Roman" w:cs="Times New Roman"/>
          <w:sz w:val="24"/>
          <w:szCs w:val="24"/>
        </w:rPr>
        <w:t>relatively simple systems</w:t>
      </w:r>
      <w:r w:rsidR="00597570" w:rsidRPr="00D94BDF">
        <w:rPr>
          <w:rFonts w:ascii="Times New Roman" w:hAnsi="Times New Roman" w:cs="Times New Roman"/>
          <w:sz w:val="24"/>
          <w:szCs w:val="24"/>
        </w:rPr>
        <w:t xml:space="preserve"> and </w:t>
      </w:r>
      <w:r>
        <w:rPr>
          <w:rFonts w:ascii="Times New Roman" w:hAnsi="Times New Roman" w:cs="Times New Roman"/>
          <w:sz w:val="24"/>
          <w:szCs w:val="24"/>
        </w:rPr>
        <w:t xml:space="preserve">who </w:t>
      </w:r>
      <w:r w:rsidR="00597570" w:rsidRPr="00D94BDF">
        <w:rPr>
          <w:rFonts w:ascii="Times New Roman" w:hAnsi="Times New Roman" w:cs="Times New Roman"/>
          <w:sz w:val="24"/>
          <w:szCs w:val="24"/>
        </w:rPr>
        <w:t>have difficulty in forecasting their income. It leaves th</w:t>
      </w:r>
      <w:r w:rsidR="00C845B1">
        <w:rPr>
          <w:rFonts w:ascii="Times New Roman" w:hAnsi="Times New Roman" w:cs="Times New Roman"/>
          <w:sz w:val="24"/>
          <w:szCs w:val="24"/>
        </w:rPr>
        <w:t>e</w:t>
      </w:r>
      <w:r w:rsidR="00597570" w:rsidRPr="00D94BDF">
        <w:rPr>
          <w:rFonts w:ascii="Times New Roman" w:hAnsi="Times New Roman" w:cs="Times New Roman"/>
          <w:sz w:val="24"/>
          <w:szCs w:val="24"/>
        </w:rPr>
        <w:t>se particular taxpayers in an uncertain position in terms of the</w:t>
      </w:r>
      <w:r w:rsidR="00C845B1">
        <w:rPr>
          <w:rFonts w:ascii="Times New Roman" w:hAnsi="Times New Roman" w:cs="Times New Roman"/>
          <w:sz w:val="24"/>
          <w:szCs w:val="24"/>
        </w:rPr>
        <w:t>ir</w:t>
      </w:r>
      <w:r w:rsidR="00597570" w:rsidRPr="00D94BDF">
        <w:rPr>
          <w:rFonts w:ascii="Times New Roman" w:hAnsi="Times New Roman" w:cs="Times New Roman"/>
          <w:sz w:val="24"/>
          <w:szCs w:val="24"/>
        </w:rPr>
        <w:t xml:space="preserve"> total liability for tax and </w:t>
      </w:r>
      <w:proofErr w:type="spellStart"/>
      <w:r w:rsidR="0045650F">
        <w:rPr>
          <w:rFonts w:ascii="Times New Roman" w:hAnsi="Times New Roman" w:cs="Times New Roman"/>
          <w:sz w:val="24"/>
          <w:szCs w:val="24"/>
        </w:rPr>
        <w:t>UOMI</w:t>
      </w:r>
      <w:proofErr w:type="spellEnd"/>
      <w:r w:rsidR="00597570" w:rsidRPr="00D94BDF">
        <w:rPr>
          <w:rFonts w:ascii="Times New Roman" w:hAnsi="Times New Roman" w:cs="Times New Roman"/>
          <w:sz w:val="24"/>
          <w:szCs w:val="24"/>
        </w:rPr>
        <w:t>.</w:t>
      </w:r>
    </w:p>
    <w:p w:rsidR="00597570" w:rsidRPr="00597570" w:rsidRDefault="00597570" w:rsidP="00597570">
      <w:pPr>
        <w:pStyle w:val="ListParagraph"/>
        <w:spacing w:after="0" w:line="240" w:lineRule="auto"/>
        <w:ind w:left="0"/>
        <w:jc w:val="both"/>
        <w:rPr>
          <w:rFonts w:ascii="Times New Roman" w:hAnsi="Times New Roman" w:cs="Times New Roman"/>
          <w:sz w:val="24"/>
          <w:szCs w:val="24"/>
        </w:rPr>
      </w:pPr>
    </w:p>
    <w:p w:rsidR="00597570" w:rsidRPr="00D04D6B" w:rsidRDefault="00597570" w:rsidP="00597570">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Feedback suggests this creates stress for taxpayers during and at the end of the year for something that could be well outside their ability to control. The current </w:t>
      </w:r>
      <w:proofErr w:type="spellStart"/>
      <w:r w:rsidR="0045650F">
        <w:rPr>
          <w:rFonts w:ascii="Times New Roman" w:hAnsi="Times New Roman" w:cs="Times New Roman"/>
          <w:sz w:val="24"/>
          <w:szCs w:val="24"/>
        </w:rPr>
        <w:t>UOMI</w:t>
      </w:r>
      <w:proofErr w:type="spellEnd"/>
      <w:r>
        <w:rPr>
          <w:rFonts w:ascii="Times New Roman" w:hAnsi="Times New Roman" w:cs="Times New Roman"/>
          <w:sz w:val="24"/>
          <w:szCs w:val="24"/>
        </w:rPr>
        <w:t xml:space="preserve"> regime also has relatively expensive interest rates for taxpayers which can mean that </w:t>
      </w:r>
      <w:proofErr w:type="spellStart"/>
      <w:r w:rsidR="0045650F">
        <w:rPr>
          <w:rFonts w:ascii="Times New Roman" w:hAnsi="Times New Roman" w:cs="Times New Roman"/>
          <w:sz w:val="24"/>
          <w:szCs w:val="24"/>
        </w:rPr>
        <w:t>UOMI</w:t>
      </w:r>
      <w:proofErr w:type="spellEnd"/>
      <w:r>
        <w:rPr>
          <w:rFonts w:ascii="Times New Roman" w:hAnsi="Times New Roman" w:cs="Times New Roman"/>
          <w:sz w:val="24"/>
          <w:szCs w:val="24"/>
        </w:rPr>
        <w:t xml:space="preserve"> can appear to be a penalty.</w:t>
      </w:r>
    </w:p>
    <w:p w:rsidR="00BA74E6" w:rsidRPr="005D3931" w:rsidRDefault="00BA74E6" w:rsidP="00047D1B">
      <w:pPr>
        <w:spacing w:after="0" w:line="240" w:lineRule="auto"/>
        <w:jc w:val="both"/>
        <w:rPr>
          <w:rFonts w:ascii="Times New Roman" w:hAnsi="Times New Roman" w:cs="Times New Roman"/>
          <w:sz w:val="24"/>
          <w:szCs w:val="24"/>
        </w:rPr>
      </w:pPr>
    </w:p>
    <w:p w:rsidR="00EB1964" w:rsidRPr="005D3931" w:rsidRDefault="00EB1964" w:rsidP="008D4D61">
      <w:pPr>
        <w:spacing w:after="0" w:line="240" w:lineRule="auto"/>
        <w:jc w:val="both"/>
        <w:rPr>
          <w:rFonts w:ascii="Times New Roman" w:hAnsi="Times New Roman" w:cs="Times New Roman"/>
          <w:sz w:val="24"/>
          <w:szCs w:val="24"/>
        </w:rPr>
      </w:pPr>
    </w:p>
    <w:p w:rsidR="00667B69" w:rsidRPr="005D3931" w:rsidRDefault="0044470D" w:rsidP="002D0AC2">
      <w:pPr>
        <w:pStyle w:val="Heading1"/>
      </w:pPr>
      <w:bookmarkStart w:id="3" w:name="_Toc444145590"/>
      <w:r w:rsidRPr="005D3931">
        <w:t>OBJECTIVES</w:t>
      </w:r>
      <w:bookmarkEnd w:id="3"/>
    </w:p>
    <w:p w:rsidR="00667B69" w:rsidRPr="005D3931" w:rsidRDefault="00667B69" w:rsidP="008D4D61">
      <w:pPr>
        <w:spacing w:after="0" w:line="240" w:lineRule="auto"/>
        <w:jc w:val="both"/>
        <w:rPr>
          <w:rFonts w:ascii="Times New Roman" w:hAnsi="Times New Roman" w:cs="Times New Roman"/>
          <w:sz w:val="24"/>
          <w:szCs w:val="24"/>
        </w:rPr>
      </w:pPr>
    </w:p>
    <w:p w:rsidR="00667B69" w:rsidRPr="005D3931" w:rsidRDefault="00667B69" w:rsidP="008D4D61">
      <w:pPr>
        <w:pStyle w:val="ListParagraph"/>
        <w:numPr>
          <w:ilvl w:val="0"/>
          <w:numId w:val="11"/>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rPr>
        <w:t xml:space="preserve">The Government is committed to making positive changes to reduce the time and costs to businesses of </w:t>
      </w:r>
      <w:r w:rsidR="00EB2384">
        <w:rPr>
          <w:rFonts w:ascii="Times New Roman" w:hAnsi="Times New Roman" w:cs="Times New Roman"/>
          <w:sz w:val="24"/>
          <w:szCs w:val="24"/>
        </w:rPr>
        <w:t xml:space="preserve">meeting their </w:t>
      </w:r>
      <w:r w:rsidRPr="005D3931">
        <w:rPr>
          <w:rFonts w:ascii="Times New Roman" w:hAnsi="Times New Roman" w:cs="Times New Roman"/>
          <w:sz w:val="24"/>
          <w:szCs w:val="24"/>
        </w:rPr>
        <w:t>tax obligations. The objectives against which the options have been assessed are:</w:t>
      </w:r>
    </w:p>
    <w:p w:rsidR="00667B69" w:rsidRPr="005D3931" w:rsidRDefault="00667B69" w:rsidP="008D4D61">
      <w:pPr>
        <w:spacing w:after="0" w:line="240" w:lineRule="auto"/>
        <w:jc w:val="both"/>
        <w:rPr>
          <w:rFonts w:ascii="Times New Roman" w:hAnsi="Times New Roman" w:cs="Times New Roman"/>
          <w:sz w:val="24"/>
          <w:szCs w:val="24"/>
        </w:rPr>
      </w:pPr>
    </w:p>
    <w:p w:rsidR="00667B69" w:rsidRPr="005D3931" w:rsidRDefault="00667B69" w:rsidP="008D4D61">
      <w:pPr>
        <w:pStyle w:val="ListParagraph"/>
        <w:numPr>
          <w:ilvl w:val="0"/>
          <w:numId w:val="3"/>
        </w:numPr>
        <w:spacing w:after="0" w:line="240" w:lineRule="auto"/>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to support fairness in the tax system, options should, to the extent possible, seek to treat similar taxpayers in similar circumstan</w:t>
      </w:r>
      <w:r w:rsidR="00A70894">
        <w:rPr>
          <w:rFonts w:ascii="Times New Roman" w:hAnsi="Times New Roman" w:cs="Times New Roman"/>
          <w:sz w:val="24"/>
          <w:szCs w:val="24"/>
        </w:rPr>
        <w:t>ces in a similar way.</w:t>
      </w:r>
    </w:p>
    <w:p w:rsidR="00B82BFD" w:rsidRPr="005D3931" w:rsidRDefault="00B82BFD" w:rsidP="00B82BFD">
      <w:pPr>
        <w:spacing w:after="0" w:line="240" w:lineRule="auto"/>
        <w:jc w:val="both"/>
        <w:rPr>
          <w:rFonts w:ascii="Times New Roman" w:hAnsi="Times New Roman" w:cs="Times New Roman"/>
          <w:sz w:val="24"/>
          <w:szCs w:val="24"/>
        </w:rPr>
      </w:pPr>
    </w:p>
    <w:p w:rsidR="00667B69" w:rsidRPr="005D3931" w:rsidRDefault="00667B69" w:rsidP="008D4D61">
      <w:pPr>
        <w:pStyle w:val="ListParagraph"/>
        <w:numPr>
          <w:ilvl w:val="0"/>
          <w:numId w:val="3"/>
        </w:numPr>
        <w:spacing w:after="0" w:line="240" w:lineRule="auto"/>
        <w:jc w:val="both"/>
        <w:rPr>
          <w:rFonts w:ascii="Times New Roman" w:hAnsi="Times New Roman" w:cs="Times New Roman"/>
          <w:sz w:val="24"/>
          <w:szCs w:val="24"/>
        </w:rPr>
      </w:pPr>
      <w:r w:rsidRPr="00743E55">
        <w:rPr>
          <w:rFonts w:ascii="Times New Roman" w:hAnsi="Times New Roman" w:cs="Times New Roman"/>
          <w:i/>
          <w:sz w:val="24"/>
          <w:szCs w:val="24"/>
        </w:rPr>
        <w:t>Efficiency o</w:t>
      </w:r>
      <w:r w:rsidR="008A7A57" w:rsidRPr="00743E55">
        <w:rPr>
          <w:rFonts w:ascii="Times New Roman" w:hAnsi="Times New Roman" w:cs="Times New Roman"/>
          <w:i/>
          <w:sz w:val="24"/>
          <w:szCs w:val="24"/>
        </w:rPr>
        <w:t>f compliance and administrati</w:t>
      </w:r>
      <w:r w:rsidR="0043243C" w:rsidRPr="00743E55">
        <w:rPr>
          <w:rFonts w:ascii="Times New Roman" w:hAnsi="Times New Roman" w:cs="Times New Roman"/>
          <w:i/>
          <w:sz w:val="24"/>
          <w:szCs w:val="24"/>
        </w:rPr>
        <w:t>on</w:t>
      </w:r>
      <w:r w:rsidR="00743E55">
        <w:rPr>
          <w:rFonts w:ascii="Times New Roman" w:hAnsi="Times New Roman" w:cs="Times New Roman"/>
          <w:sz w:val="24"/>
          <w:szCs w:val="24"/>
        </w:rPr>
        <w:t>:</w:t>
      </w:r>
      <w:r w:rsidR="008A7A57" w:rsidRPr="005D3931">
        <w:rPr>
          <w:rFonts w:ascii="Times New Roman" w:hAnsi="Times New Roman" w:cs="Times New Roman"/>
          <w:sz w:val="24"/>
          <w:szCs w:val="24"/>
        </w:rPr>
        <w:t xml:space="preserve"> </w:t>
      </w:r>
      <w:r w:rsidRPr="005D3931">
        <w:rPr>
          <w:rFonts w:ascii="Times New Roman" w:hAnsi="Times New Roman" w:cs="Times New Roman"/>
          <w:sz w:val="24"/>
          <w:szCs w:val="24"/>
        </w:rPr>
        <w:t xml:space="preserve">the compliance </w:t>
      </w:r>
      <w:r w:rsidR="008A7A57" w:rsidRPr="005D3931">
        <w:rPr>
          <w:rFonts w:ascii="Times New Roman" w:hAnsi="Times New Roman" w:cs="Times New Roman"/>
          <w:sz w:val="24"/>
          <w:szCs w:val="24"/>
        </w:rPr>
        <w:t>impacts on</w:t>
      </w:r>
      <w:r w:rsidRPr="005D3931">
        <w:rPr>
          <w:rFonts w:ascii="Times New Roman" w:hAnsi="Times New Roman" w:cs="Times New Roman"/>
          <w:sz w:val="24"/>
          <w:szCs w:val="24"/>
        </w:rPr>
        <w:t xml:space="preserve"> taxpayers</w:t>
      </w:r>
      <w:r w:rsidR="008A7A57" w:rsidRPr="005D3931">
        <w:rPr>
          <w:rFonts w:ascii="Times New Roman" w:hAnsi="Times New Roman" w:cs="Times New Roman"/>
          <w:sz w:val="24"/>
          <w:szCs w:val="24"/>
        </w:rPr>
        <w:t xml:space="preserve"> </w:t>
      </w:r>
      <w:r w:rsidRPr="005D3931">
        <w:rPr>
          <w:rFonts w:ascii="Times New Roman" w:hAnsi="Times New Roman" w:cs="Times New Roman"/>
          <w:sz w:val="24"/>
          <w:szCs w:val="24"/>
        </w:rPr>
        <w:t xml:space="preserve">and the administrative costs </w:t>
      </w:r>
      <w:r w:rsidR="008E3413">
        <w:rPr>
          <w:rFonts w:ascii="Times New Roman" w:hAnsi="Times New Roman" w:cs="Times New Roman"/>
          <w:sz w:val="24"/>
          <w:szCs w:val="24"/>
        </w:rPr>
        <w:t xml:space="preserve">to Inland Revenue </w:t>
      </w:r>
      <w:r w:rsidRPr="005D3931">
        <w:rPr>
          <w:rFonts w:ascii="Times New Roman" w:hAnsi="Times New Roman" w:cs="Times New Roman"/>
          <w:sz w:val="24"/>
          <w:szCs w:val="24"/>
        </w:rPr>
        <w:t>should be minimised as far as possible.</w:t>
      </w:r>
    </w:p>
    <w:p w:rsidR="00B82BFD" w:rsidRPr="005D3931" w:rsidRDefault="00B82BFD" w:rsidP="00B82BFD">
      <w:pPr>
        <w:spacing w:after="0" w:line="240" w:lineRule="auto"/>
        <w:jc w:val="both"/>
        <w:rPr>
          <w:rFonts w:ascii="Times New Roman" w:hAnsi="Times New Roman" w:cs="Times New Roman"/>
          <w:sz w:val="24"/>
          <w:szCs w:val="24"/>
        </w:rPr>
      </w:pPr>
    </w:p>
    <w:p w:rsidR="00667B69" w:rsidRPr="005D3931" w:rsidRDefault="00667B69" w:rsidP="008D4D61">
      <w:pPr>
        <w:pStyle w:val="ListParagraph"/>
        <w:numPr>
          <w:ilvl w:val="0"/>
          <w:numId w:val="3"/>
        </w:numPr>
        <w:spacing w:after="0" w:line="240" w:lineRule="auto"/>
        <w:jc w:val="both"/>
        <w:rPr>
          <w:rFonts w:ascii="Times New Roman" w:hAnsi="Times New Roman" w:cs="Times New Roman"/>
          <w:sz w:val="24"/>
          <w:szCs w:val="24"/>
        </w:rPr>
      </w:pPr>
      <w:r w:rsidRPr="00743E55">
        <w:rPr>
          <w:rFonts w:ascii="Times New Roman" w:hAnsi="Times New Roman" w:cs="Times New Roman"/>
          <w:i/>
          <w:sz w:val="24"/>
          <w:szCs w:val="24"/>
        </w:rPr>
        <w:t>Sustainability of tax system:</w:t>
      </w:r>
      <w:r w:rsidRPr="005D3931">
        <w:rPr>
          <w:rFonts w:ascii="Times New Roman" w:hAnsi="Times New Roman" w:cs="Times New Roman"/>
          <w:sz w:val="24"/>
          <w:szCs w:val="24"/>
        </w:rPr>
        <w:t xml:space="preserve"> options should collect the revenue required in a </w:t>
      </w:r>
      <w:r w:rsidR="00AF34FA">
        <w:rPr>
          <w:rFonts w:ascii="Times New Roman" w:hAnsi="Times New Roman" w:cs="Times New Roman"/>
          <w:sz w:val="24"/>
          <w:szCs w:val="24"/>
        </w:rPr>
        <w:t xml:space="preserve">transparent and </w:t>
      </w:r>
      <w:r w:rsidRPr="005D3931">
        <w:rPr>
          <w:rFonts w:ascii="Times New Roman" w:hAnsi="Times New Roman" w:cs="Times New Roman"/>
          <w:sz w:val="24"/>
          <w:szCs w:val="24"/>
        </w:rPr>
        <w:t xml:space="preserve">timely manner while not leading to tax driven outcomes.  </w:t>
      </w:r>
    </w:p>
    <w:p w:rsidR="00667B69" w:rsidRDefault="00667B69" w:rsidP="008D4D61">
      <w:pPr>
        <w:spacing w:after="0" w:line="240" w:lineRule="auto"/>
        <w:jc w:val="both"/>
        <w:rPr>
          <w:rFonts w:ascii="Times New Roman" w:hAnsi="Times New Roman" w:cs="Times New Roman"/>
          <w:sz w:val="24"/>
          <w:szCs w:val="24"/>
        </w:rPr>
      </w:pPr>
    </w:p>
    <w:p w:rsidR="00A70894" w:rsidRPr="00A70894" w:rsidRDefault="00A70894" w:rsidP="00A70894">
      <w:pPr>
        <w:pStyle w:val="ListParagraph"/>
        <w:numPr>
          <w:ilvl w:val="0"/>
          <w:numId w:val="11"/>
        </w:numPr>
        <w:spacing w:after="0" w:line="240" w:lineRule="auto"/>
        <w:ind w:left="0" w:firstLine="0"/>
        <w:jc w:val="both"/>
        <w:rPr>
          <w:rFonts w:ascii="Times New Roman" w:hAnsi="Times New Roman" w:cs="Times New Roman"/>
          <w:sz w:val="24"/>
          <w:szCs w:val="24"/>
        </w:rPr>
      </w:pPr>
      <w:r w:rsidRPr="00A70894">
        <w:rPr>
          <w:rFonts w:ascii="Times New Roman" w:hAnsi="Times New Roman" w:cs="Times New Roman"/>
          <w:sz w:val="24"/>
          <w:szCs w:val="24"/>
        </w:rPr>
        <w:t>These objectives are weighted equally.</w:t>
      </w:r>
    </w:p>
    <w:p w:rsidR="00A70894" w:rsidRDefault="00A70894" w:rsidP="00A70894">
      <w:pPr>
        <w:pStyle w:val="ListParagraph"/>
        <w:spacing w:after="0" w:line="240" w:lineRule="auto"/>
        <w:ind w:left="0"/>
        <w:jc w:val="both"/>
        <w:rPr>
          <w:rFonts w:ascii="Times New Roman" w:hAnsi="Times New Roman" w:cs="Times New Roman"/>
          <w:sz w:val="24"/>
          <w:szCs w:val="24"/>
        </w:rPr>
      </w:pPr>
    </w:p>
    <w:p w:rsidR="00E462DF" w:rsidRPr="0043243C" w:rsidRDefault="00A70894" w:rsidP="0043243C">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w:t>
      </w:r>
      <w:r w:rsidR="0043243C" w:rsidRPr="0043243C">
        <w:rPr>
          <w:rFonts w:ascii="Times New Roman" w:hAnsi="Times New Roman" w:cs="Times New Roman"/>
          <w:sz w:val="24"/>
          <w:szCs w:val="24"/>
        </w:rPr>
        <w:t>here are no social, environmental or cultural impacts from these recommended changes.</w:t>
      </w:r>
    </w:p>
    <w:p w:rsidR="005B0D89" w:rsidRPr="00D56B23" w:rsidRDefault="005B0D89" w:rsidP="00D56B23">
      <w:pPr>
        <w:pStyle w:val="ListParagraph"/>
        <w:spacing w:after="0" w:line="240" w:lineRule="auto"/>
        <w:ind w:left="0"/>
        <w:jc w:val="both"/>
        <w:rPr>
          <w:rFonts w:ascii="Times New Roman" w:hAnsi="Times New Roman" w:cs="Times New Roman"/>
          <w:sz w:val="24"/>
          <w:szCs w:val="24"/>
        </w:rPr>
      </w:pPr>
    </w:p>
    <w:p w:rsidR="00D56B23" w:rsidRPr="005D3931" w:rsidRDefault="00D56B23" w:rsidP="008D4D61">
      <w:pPr>
        <w:spacing w:after="0" w:line="240" w:lineRule="auto"/>
        <w:jc w:val="both"/>
        <w:rPr>
          <w:rFonts w:ascii="Times New Roman" w:hAnsi="Times New Roman" w:cs="Times New Roman"/>
          <w:sz w:val="24"/>
          <w:szCs w:val="24"/>
        </w:rPr>
      </w:pPr>
    </w:p>
    <w:p w:rsidR="00C14B65" w:rsidRPr="005D3931" w:rsidRDefault="0044470D" w:rsidP="002D0AC2">
      <w:pPr>
        <w:pStyle w:val="Heading1"/>
      </w:pPr>
      <w:bookmarkStart w:id="4" w:name="_Toc444145591"/>
      <w:r w:rsidRPr="005D3931">
        <w:t>REGULATORY ANALYSIS</w:t>
      </w:r>
      <w:bookmarkEnd w:id="4"/>
      <w:r w:rsidRPr="005D3931">
        <w:t xml:space="preserve"> </w:t>
      </w:r>
    </w:p>
    <w:p w:rsidR="0075228D" w:rsidRDefault="0075228D" w:rsidP="0075228D">
      <w:pPr>
        <w:pStyle w:val="ListParagraph"/>
        <w:spacing w:after="0" w:line="240" w:lineRule="auto"/>
        <w:ind w:left="0"/>
        <w:jc w:val="both"/>
        <w:rPr>
          <w:rFonts w:ascii="Times New Roman" w:hAnsi="Times New Roman" w:cs="Times New Roman"/>
          <w:sz w:val="24"/>
          <w:szCs w:val="24"/>
        </w:rPr>
      </w:pPr>
    </w:p>
    <w:p w:rsidR="00667B69" w:rsidRDefault="00667B69" w:rsidP="008D4D61">
      <w:pPr>
        <w:pStyle w:val="ListParagraph"/>
        <w:numPr>
          <w:ilvl w:val="0"/>
          <w:numId w:val="11"/>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rPr>
        <w:t xml:space="preserve">Officials have developed options to address the above </w:t>
      </w:r>
      <w:r w:rsidR="00C164C7">
        <w:rPr>
          <w:rFonts w:ascii="Times New Roman" w:hAnsi="Times New Roman" w:cs="Times New Roman"/>
          <w:sz w:val="24"/>
          <w:szCs w:val="24"/>
        </w:rPr>
        <w:t>issue</w:t>
      </w:r>
      <w:r w:rsidR="00C164C7" w:rsidRPr="005D3931">
        <w:rPr>
          <w:rFonts w:ascii="Times New Roman" w:hAnsi="Times New Roman" w:cs="Times New Roman"/>
          <w:sz w:val="24"/>
          <w:szCs w:val="24"/>
        </w:rPr>
        <w:t>s</w:t>
      </w:r>
      <w:r w:rsidRPr="005D3931">
        <w:rPr>
          <w:rFonts w:ascii="Times New Roman" w:hAnsi="Times New Roman" w:cs="Times New Roman"/>
          <w:sz w:val="24"/>
          <w:szCs w:val="24"/>
        </w:rPr>
        <w:t xml:space="preserve">.  These options have been grouped into </w:t>
      </w:r>
      <w:r w:rsidR="000001F4" w:rsidRPr="005D3931">
        <w:rPr>
          <w:rFonts w:ascii="Times New Roman" w:hAnsi="Times New Roman" w:cs="Times New Roman"/>
          <w:sz w:val="24"/>
          <w:szCs w:val="24"/>
        </w:rPr>
        <w:t xml:space="preserve">the following </w:t>
      </w:r>
      <w:r w:rsidRPr="005D3931">
        <w:rPr>
          <w:rFonts w:ascii="Times New Roman" w:hAnsi="Times New Roman" w:cs="Times New Roman"/>
          <w:sz w:val="24"/>
          <w:szCs w:val="24"/>
        </w:rPr>
        <w:t>f</w:t>
      </w:r>
      <w:r w:rsidR="004C556A" w:rsidRPr="005D3931">
        <w:rPr>
          <w:rFonts w:ascii="Times New Roman" w:hAnsi="Times New Roman" w:cs="Times New Roman"/>
          <w:sz w:val="24"/>
          <w:szCs w:val="24"/>
        </w:rPr>
        <w:t>ive</w:t>
      </w:r>
      <w:r w:rsidRPr="005D3931">
        <w:rPr>
          <w:rFonts w:ascii="Times New Roman" w:hAnsi="Times New Roman" w:cs="Times New Roman"/>
          <w:sz w:val="24"/>
          <w:szCs w:val="24"/>
        </w:rPr>
        <w:t xml:space="preserve"> key themes</w:t>
      </w:r>
      <w:r w:rsidR="008D4D61" w:rsidRPr="005D3931">
        <w:rPr>
          <w:rFonts w:ascii="Times New Roman" w:hAnsi="Times New Roman" w:cs="Times New Roman"/>
          <w:sz w:val="24"/>
          <w:szCs w:val="24"/>
        </w:rPr>
        <w:t>:</w:t>
      </w:r>
    </w:p>
    <w:p w:rsidR="00D04D6B" w:rsidRPr="005D3931" w:rsidRDefault="00D04D6B" w:rsidP="00D04D6B">
      <w:pPr>
        <w:pStyle w:val="ListParagraph"/>
        <w:spacing w:after="0" w:line="240" w:lineRule="auto"/>
        <w:ind w:left="0"/>
        <w:jc w:val="both"/>
        <w:rPr>
          <w:rFonts w:ascii="Times New Roman" w:hAnsi="Times New Roman" w:cs="Times New Roman"/>
          <w:sz w:val="24"/>
          <w:szCs w:val="24"/>
        </w:rPr>
      </w:pPr>
    </w:p>
    <w:p w:rsidR="00B82BFD" w:rsidRDefault="008A519D" w:rsidP="0044470D">
      <w:pPr>
        <w:pStyle w:val="ListParagraph"/>
        <w:numPr>
          <w:ilvl w:val="0"/>
          <w:numId w:val="17"/>
        </w:numPr>
        <w:spacing w:after="0" w:line="240" w:lineRule="auto"/>
        <w:jc w:val="both"/>
        <w:rPr>
          <w:rFonts w:ascii="Times New Roman" w:hAnsi="Times New Roman" w:cs="Times New Roman"/>
          <w:sz w:val="24"/>
          <w:szCs w:val="24"/>
        </w:rPr>
      </w:pPr>
      <w:r w:rsidRPr="005D3931">
        <w:rPr>
          <w:rFonts w:ascii="Times New Roman" w:hAnsi="Times New Roman" w:cs="Times New Roman"/>
          <w:sz w:val="24"/>
          <w:szCs w:val="24"/>
        </w:rPr>
        <w:t>Changes to provisional tax to increase certainty</w:t>
      </w:r>
      <w:r w:rsidR="00743E55">
        <w:rPr>
          <w:rFonts w:ascii="Times New Roman" w:hAnsi="Times New Roman" w:cs="Times New Roman"/>
          <w:sz w:val="24"/>
          <w:szCs w:val="24"/>
        </w:rPr>
        <w:t xml:space="preserve"> and reduce costs</w:t>
      </w:r>
      <w:r w:rsidR="008E3413">
        <w:rPr>
          <w:rFonts w:ascii="Times New Roman" w:hAnsi="Times New Roman" w:cs="Times New Roman"/>
          <w:sz w:val="24"/>
          <w:szCs w:val="24"/>
        </w:rPr>
        <w:t>.</w:t>
      </w:r>
    </w:p>
    <w:p w:rsidR="00D04D6B" w:rsidRPr="005D3931" w:rsidRDefault="00D04D6B" w:rsidP="00D04D6B">
      <w:pPr>
        <w:spacing w:after="0" w:line="240" w:lineRule="auto"/>
        <w:jc w:val="both"/>
        <w:rPr>
          <w:rFonts w:ascii="Times New Roman" w:hAnsi="Times New Roman" w:cs="Times New Roman"/>
          <w:sz w:val="24"/>
          <w:szCs w:val="24"/>
        </w:rPr>
      </w:pPr>
    </w:p>
    <w:p w:rsidR="00B82BFD" w:rsidRDefault="008A519D" w:rsidP="0044470D">
      <w:pPr>
        <w:pStyle w:val="ListParagraph"/>
        <w:numPr>
          <w:ilvl w:val="0"/>
          <w:numId w:val="17"/>
        </w:numPr>
        <w:spacing w:after="0" w:line="240" w:lineRule="auto"/>
        <w:jc w:val="both"/>
        <w:rPr>
          <w:rFonts w:ascii="Times New Roman" w:hAnsi="Times New Roman" w:cs="Times New Roman"/>
          <w:sz w:val="24"/>
          <w:szCs w:val="24"/>
        </w:rPr>
      </w:pPr>
      <w:r w:rsidRPr="005D3931">
        <w:rPr>
          <w:rFonts w:ascii="Times New Roman" w:hAnsi="Times New Roman" w:cs="Times New Roman"/>
          <w:sz w:val="24"/>
          <w:szCs w:val="24"/>
        </w:rPr>
        <w:t>Self-management and integrity</w:t>
      </w:r>
      <w:r w:rsidR="008E3413">
        <w:rPr>
          <w:rFonts w:ascii="Times New Roman" w:hAnsi="Times New Roman" w:cs="Times New Roman"/>
          <w:sz w:val="24"/>
          <w:szCs w:val="24"/>
        </w:rPr>
        <w:t>.</w:t>
      </w:r>
    </w:p>
    <w:p w:rsidR="00D04D6B" w:rsidRPr="005D3931" w:rsidRDefault="00D04D6B" w:rsidP="00D04D6B">
      <w:pPr>
        <w:spacing w:after="0" w:line="240" w:lineRule="auto"/>
        <w:jc w:val="both"/>
        <w:rPr>
          <w:rFonts w:ascii="Times New Roman" w:hAnsi="Times New Roman" w:cs="Times New Roman"/>
          <w:sz w:val="24"/>
          <w:szCs w:val="24"/>
        </w:rPr>
      </w:pPr>
    </w:p>
    <w:p w:rsidR="00667B69" w:rsidRDefault="008A519D" w:rsidP="0044470D">
      <w:pPr>
        <w:pStyle w:val="ListParagraph"/>
        <w:numPr>
          <w:ilvl w:val="0"/>
          <w:numId w:val="17"/>
        </w:numPr>
        <w:spacing w:after="0" w:line="240" w:lineRule="auto"/>
        <w:jc w:val="both"/>
        <w:rPr>
          <w:rFonts w:ascii="Times New Roman" w:hAnsi="Times New Roman" w:cs="Times New Roman"/>
          <w:sz w:val="24"/>
          <w:szCs w:val="24"/>
        </w:rPr>
      </w:pPr>
      <w:r w:rsidRPr="005D3931">
        <w:rPr>
          <w:rFonts w:ascii="Times New Roman" w:hAnsi="Times New Roman" w:cs="Times New Roman"/>
          <w:sz w:val="24"/>
          <w:szCs w:val="24"/>
        </w:rPr>
        <w:t xml:space="preserve">Making the system </w:t>
      </w:r>
      <w:r w:rsidR="00667B69" w:rsidRPr="005D3931">
        <w:rPr>
          <w:rFonts w:ascii="Times New Roman" w:hAnsi="Times New Roman" w:cs="Times New Roman"/>
          <w:sz w:val="24"/>
          <w:szCs w:val="24"/>
        </w:rPr>
        <w:t>fairer</w:t>
      </w:r>
      <w:r w:rsidR="008E3413">
        <w:rPr>
          <w:rFonts w:ascii="Times New Roman" w:hAnsi="Times New Roman" w:cs="Times New Roman"/>
          <w:sz w:val="24"/>
          <w:szCs w:val="24"/>
        </w:rPr>
        <w:t>.</w:t>
      </w:r>
    </w:p>
    <w:p w:rsidR="00D04D6B" w:rsidRPr="005D3931" w:rsidRDefault="00D04D6B" w:rsidP="00D04D6B">
      <w:pPr>
        <w:spacing w:after="0" w:line="240" w:lineRule="auto"/>
        <w:jc w:val="both"/>
        <w:rPr>
          <w:rFonts w:ascii="Times New Roman" w:hAnsi="Times New Roman" w:cs="Times New Roman"/>
          <w:sz w:val="24"/>
          <w:szCs w:val="24"/>
        </w:rPr>
      </w:pPr>
    </w:p>
    <w:p w:rsidR="00667B69" w:rsidRDefault="00667B69" w:rsidP="0044470D">
      <w:pPr>
        <w:pStyle w:val="ListParagraph"/>
        <w:numPr>
          <w:ilvl w:val="0"/>
          <w:numId w:val="17"/>
        </w:numPr>
        <w:spacing w:after="0" w:line="240" w:lineRule="auto"/>
        <w:jc w:val="both"/>
        <w:rPr>
          <w:rFonts w:ascii="Times New Roman" w:hAnsi="Times New Roman" w:cs="Times New Roman"/>
          <w:sz w:val="24"/>
          <w:szCs w:val="24"/>
        </w:rPr>
      </w:pPr>
      <w:r w:rsidRPr="005D3931">
        <w:rPr>
          <w:rFonts w:ascii="Times New Roman" w:hAnsi="Times New Roman" w:cs="Times New Roman"/>
          <w:sz w:val="24"/>
          <w:szCs w:val="24"/>
        </w:rPr>
        <w:t>Making markets work better</w:t>
      </w:r>
      <w:r w:rsidR="008A519D" w:rsidRPr="005D3931">
        <w:rPr>
          <w:rFonts w:ascii="Times New Roman" w:hAnsi="Times New Roman" w:cs="Times New Roman"/>
          <w:sz w:val="24"/>
          <w:szCs w:val="24"/>
        </w:rPr>
        <w:t xml:space="preserve"> through tax transparency</w:t>
      </w:r>
      <w:r w:rsidR="008E3413">
        <w:rPr>
          <w:rFonts w:ascii="Times New Roman" w:hAnsi="Times New Roman" w:cs="Times New Roman"/>
          <w:sz w:val="24"/>
          <w:szCs w:val="24"/>
        </w:rPr>
        <w:t>.</w:t>
      </w:r>
    </w:p>
    <w:p w:rsidR="00D04D6B" w:rsidRPr="00D04D6B" w:rsidRDefault="00D04D6B" w:rsidP="00D04D6B">
      <w:pPr>
        <w:spacing w:after="0" w:line="240" w:lineRule="auto"/>
        <w:jc w:val="both"/>
        <w:rPr>
          <w:rFonts w:ascii="Times New Roman" w:hAnsi="Times New Roman" w:cs="Times New Roman"/>
          <w:sz w:val="24"/>
          <w:szCs w:val="24"/>
        </w:rPr>
      </w:pPr>
    </w:p>
    <w:p w:rsidR="004C556A" w:rsidRPr="005D3931" w:rsidRDefault="008A519D" w:rsidP="0044470D">
      <w:pPr>
        <w:pStyle w:val="ListParagraph"/>
        <w:numPr>
          <w:ilvl w:val="0"/>
          <w:numId w:val="17"/>
        </w:numPr>
        <w:spacing w:after="0" w:line="240" w:lineRule="auto"/>
        <w:jc w:val="both"/>
        <w:rPr>
          <w:rFonts w:ascii="Times New Roman" w:hAnsi="Times New Roman" w:cs="Times New Roman"/>
          <w:sz w:val="24"/>
          <w:szCs w:val="24"/>
        </w:rPr>
      </w:pPr>
      <w:r w:rsidRPr="005D3931">
        <w:rPr>
          <w:rFonts w:ascii="Times New Roman" w:hAnsi="Times New Roman" w:cs="Times New Roman"/>
          <w:sz w:val="24"/>
          <w:szCs w:val="24"/>
        </w:rPr>
        <w:t>Supplementary simplification</w:t>
      </w:r>
      <w:r w:rsidR="008E3413">
        <w:rPr>
          <w:rFonts w:ascii="Times New Roman" w:hAnsi="Times New Roman" w:cs="Times New Roman"/>
          <w:sz w:val="24"/>
          <w:szCs w:val="24"/>
        </w:rPr>
        <w:t xml:space="preserve"> measures.</w:t>
      </w:r>
    </w:p>
    <w:p w:rsidR="00667B69" w:rsidRPr="005D3931" w:rsidRDefault="00667B69" w:rsidP="008D4D61">
      <w:pPr>
        <w:spacing w:after="0" w:line="240" w:lineRule="auto"/>
        <w:jc w:val="both"/>
        <w:rPr>
          <w:rFonts w:ascii="Times New Roman" w:hAnsi="Times New Roman" w:cs="Times New Roman"/>
          <w:sz w:val="24"/>
          <w:szCs w:val="24"/>
        </w:rPr>
      </w:pPr>
    </w:p>
    <w:p w:rsidR="008B779E" w:rsidRPr="008B779E" w:rsidRDefault="00667B69" w:rsidP="008B779E">
      <w:pPr>
        <w:pStyle w:val="ListParagraph"/>
        <w:numPr>
          <w:ilvl w:val="0"/>
          <w:numId w:val="11"/>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rPr>
        <w:t xml:space="preserve">Each of these themes </w:t>
      </w:r>
      <w:r w:rsidR="000001F4" w:rsidRPr="005D3931">
        <w:rPr>
          <w:rFonts w:ascii="Times New Roman" w:hAnsi="Times New Roman" w:cs="Times New Roman"/>
          <w:sz w:val="24"/>
          <w:szCs w:val="24"/>
        </w:rPr>
        <w:t xml:space="preserve">and the options under them are summarised below. Further detail on the </w:t>
      </w:r>
      <w:r w:rsidR="00C164C7">
        <w:rPr>
          <w:rFonts w:ascii="Times New Roman" w:hAnsi="Times New Roman" w:cs="Times New Roman"/>
          <w:sz w:val="24"/>
          <w:szCs w:val="24"/>
        </w:rPr>
        <w:t xml:space="preserve">issues </w:t>
      </w:r>
      <w:r w:rsidR="00743E55">
        <w:rPr>
          <w:rFonts w:ascii="Times New Roman" w:hAnsi="Times New Roman" w:cs="Times New Roman"/>
          <w:sz w:val="24"/>
          <w:szCs w:val="24"/>
        </w:rPr>
        <w:t xml:space="preserve">and </w:t>
      </w:r>
      <w:r w:rsidR="000001F4" w:rsidRPr="005D3931">
        <w:rPr>
          <w:rFonts w:ascii="Times New Roman" w:hAnsi="Times New Roman" w:cs="Times New Roman"/>
          <w:sz w:val="24"/>
          <w:szCs w:val="24"/>
        </w:rPr>
        <w:t>options under each theme is contained in the appendi</w:t>
      </w:r>
      <w:r w:rsidR="00165D24">
        <w:rPr>
          <w:rFonts w:ascii="Times New Roman" w:hAnsi="Times New Roman" w:cs="Times New Roman"/>
          <w:sz w:val="24"/>
          <w:szCs w:val="24"/>
        </w:rPr>
        <w:t>ces</w:t>
      </w:r>
      <w:r w:rsidR="000001F4" w:rsidRPr="005D3931">
        <w:rPr>
          <w:rFonts w:ascii="Times New Roman" w:hAnsi="Times New Roman" w:cs="Times New Roman"/>
          <w:sz w:val="24"/>
          <w:szCs w:val="24"/>
        </w:rPr>
        <w:t>.</w:t>
      </w:r>
    </w:p>
    <w:p w:rsidR="008B779E" w:rsidRDefault="008B779E" w:rsidP="008D31DB">
      <w:pPr>
        <w:spacing w:after="0" w:line="240" w:lineRule="auto"/>
        <w:jc w:val="both"/>
        <w:rPr>
          <w:rFonts w:ascii="Times New Roman" w:hAnsi="Times New Roman" w:cs="Times New Roman"/>
          <w:sz w:val="24"/>
          <w:szCs w:val="24"/>
        </w:rPr>
      </w:pPr>
    </w:p>
    <w:p w:rsidR="008B779E" w:rsidRDefault="008B779E" w:rsidP="008D31DB">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Within the overview tables the following symbols are used:</w:t>
      </w:r>
    </w:p>
    <w:p w:rsidR="008B779E" w:rsidRDefault="008B779E" w:rsidP="008B779E">
      <w:pPr>
        <w:spacing w:after="0" w:line="240" w:lineRule="auto"/>
        <w:jc w:val="both"/>
        <w:rPr>
          <w:rFonts w:ascii="Times New Roman" w:hAnsi="Times New Roman" w:cs="Times New Roman"/>
          <w:sz w:val="24"/>
          <w:szCs w:val="24"/>
        </w:rPr>
      </w:pPr>
    </w:p>
    <w:p w:rsidR="008B779E" w:rsidRPr="00E74014" w:rsidRDefault="008B779E" w:rsidP="008B779E">
      <w:pPr>
        <w:spacing w:after="0" w:line="240" w:lineRule="auto"/>
        <w:ind w:left="720"/>
        <w:jc w:val="both"/>
        <w:rPr>
          <w:rFonts w:ascii="Times New Roman" w:hAnsi="Times New Roman" w:cs="Times New Roman"/>
          <w:sz w:val="24"/>
          <w:szCs w:val="24"/>
        </w:rPr>
      </w:pPr>
      <w:r>
        <w:rPr>
          <w:rFonts w:ascii="Wingdings 2" w:hAnsi="Wingdings 2" w:cs="Times New Roman"/>
          <w:sz w:val="24"/>
          <w:szCs w:val="24"/>
        </w:rPr>
        <w:t></w:t>
      </w:r>
      <w:r>
        <w:rPr>
          <w:rFonts w:ascii="Wingdings 2" w:hAnsi="Wingdings 2" w:cs="Times New Roman"/>
          <w:sz w:val="24"/>
          <w:szCs w:val="24"/>
        </w:rPr>
        <w:t></w:t>
      </w:r>
      <w:r>
        <w:rPr>
          <w:rFonts w:ascii="Times New Roman" w:hAnsi="Times New Roman" w:cs="Times New Roman"/>
          <w:sz w:val="24"/>
          <w:szCs w:val="24"/>
        </w:rPr>
        <w:t xml:space="preserve"> - Fully meets objective</w:t>
      </w:r>
    </w:p>
    <w:p w:rsidR="008B779E" w:rsidRPr="00E74014" w:rsidRDefault="008B779E" w:rsidP="008B779E">
      <w:pPr>
        <w:spacing w:after="0" w:line="240" w:lineRule="auto"/>
        <w:ind w:left="720"/>
        <w:jc w:val="both"/>
        <w:rPr>
          <w:rFonts w:ascii="Times New Roman" w:hAnsi="Times New Roman" w:cs="Times New Roman"/>
          <w:sz w:val="24"/>
          <w:szCs w:val="24"/>
        </w:rPr>
      </w:pPr>
      <w:r>
        <w:rPr>
          <w:rFonts w:ascii="Wingdings 2" w:hAnsi="Wingdings 2" w:cs="Times New Roman"/>
          <w:sz w:val="24"/>
          <w:szCs w:val="24"/>
        </w:rPr>
        <w:t></w:t>
      </w:r>
      <w:r>
        <w:rPr>
          <w:rFonts w:ascii="Wingdings 2" w:hAnsi="Wingdings 2" w:cs="Times New Roman"/>
          <w:sz w:val="24"/>
          <w:szCs w:val="24"/>
        </w:rPr>
        <w:t></w:t>
      </w:r>
      <w:r>
        <w:rPr>
          <w:rFonts w:ascii="Times New Roman" w:hAnsi="Times New Roman" w:cs="Times New Roman"/>
          <w:sz w:val="24"/>
          <w:szCs w:val="24"/>
        </w:rPr>
        <w:t xml:space="preserve"> - Partially meets objective</w:t>
      </w:r>
    </w:p>
    <w:p w:rsidR="008B779E" w:rsidRDefault="008B779E" w:rsidP="008B779E">
      <w:pPr>
        <w:spacing w:after="0" w:line="240" w:lineRule="auto"/>
        <w:ind w:left="720"/>
        <w:jc w:val="both"/>
        <w:rPr>
          <w:rFonts w:ascii="Wingdings 2" w:hAnsi="Wingdings 2" w:cs="Times New Roman"/>
          <w:sz w:val="24"/>
          <w:szCs w:val="24"/>
        </w:rPr>
      </w:pPr>
      <w:r>
        <w:rPr>
          <w:rFonts w:ascii="Wingdings 2" w:hAnsi="Wingdings 2" w:cs="Times New Roman"/>
          <w:sz w:val="24"/>
          <w:szCs w:val="24"/>
        </w:rPr>
        <w:t></w:t>
      </w:r>
      <w:r>
        <w:rPr>
          <w:rFonts w:ascii="Wingdings 2" w:hAnsi="Wingdings 2" w:cs="Times New Roman"/>
          <w:sz w:val="24"/>
          <w:szCs w:val="24"/>
        </w:rPr>
        <w:t></w:t>
      </w:r>
      <w:r>
        <w:rPr>
          <w:rFonts w:ascii="Times New Roman" w:hAnsi="Times New Roman" w:cs="Times New Roman"/>
          <w:sz w:val="24"/>
          <w:szCs w:val="24"/>
        </w:rPr>
        <w:t xml:space="preserve"> - Does not meet objective</w:t>
      </w:r>
    </w:p>
    <w:p w:rsidR="008B779E" w:rsidRPr="008D31DB" w:rsidRDefault="008B779E" w:rsidP="008D31DB">
      <w:pPr>
        <w:spacing w:after="0" w:line="240" w:lineRule="auto"/>
        <w:jc w:val="both"/>
        <w:rPr>
          <w:rFonts w:ascii="Times New Roman" w:hAnsi="Times New Roman" w:cs="Times New Roman"/>
          <w:sz w:val="24"/>
          <w:szCs w:val="24"/>
        </w:rPr>
      </w:pPr>
    </w:p>
    <w:p w:rsidR="0075228D" w:rsidRDefault="0075228D" w:rsidP="0075228D">
      <w:pPr>
        <w:pStyle w:val="ListParagraph"/>
        <w:spacing w:after="0" w:line="240" w:lineRule="auto"/>
        <w:ind w:left="0"/>
        <w:jc w:val="both"/>
        <w:rPr>
          <w:rFonts w:ascii="Times New Roman" w:hAnsi="Times New Roman" w:cs="Times New Roman"/>
          <w:sz w:val="24"/>
          <w:szCs w:val="24"/>
        </w:rPr>
      </w:pPr>
    </w:p>
    <w:p w:rsidR="00D314CD" w:rsidRPr="005D3931" w:rsidRDefault="00165D24" w:rsidP="00165D24">
      <w:pPr>
        <w:pStyle w:val="Heading2"/>
      </w:pPr>
      <w:bookmarkStart w:id="5" w:name="_Toc444145592"/>
      <w:r>
        <w:t>A.</w:t>
      </w:r>
      <w:r>
        <w:tab/>
      </w:r>
      <w:r w:rsidR="00D314CD" w:rsidRPr="005D3931">
        <w:t>Changes to provisional tax to increase certainty</w:t>
      </w:r>
      <w:r w:rsidR="00E77176" w:rsidRPr="005D3931">
        <w:t xml:space="preserve"> and reduce costs</w:t>
      </w:r>
      <w:bookmarkEnd w:id="5"/>
    </w:p>
    <w:p w:rsidR="0043243C" w:rsidRDefault="0043243C" w:rsidP="0043243C">
      <w:pPr>
        <w:pStyle w:val="ListParagraph"/>
        <w:spacing w:after="0" w:line="240" w:lineRule="auto"/>
        <w:ind w:left="0"/>
        <w:jc w:val="both"/>
        <w:rPr>
          <w:rFonts w:ascii="Times New Roman" w:hAnsi="Times New Roman" w:cs="Times New Roman"/>
          <w:sz w:val="24"/>
          <w:szCs w:val="24"/>
        </w:rPr>
      </w:pPr>
    </w:p>
    <w:p w:rsidR="00D314CD" w:rsidRDefault="004D5385" w:rsidP="00D314CD">
      <w:pPr>
        <w:pStyle w:val="ListParagraph"/>
        <w:numPr>
          <w:ilvl w:val="0"/>
          <w:numId w:val="11"/>
        </w:numPr>
        <w:spacing w:after="0" w:line="240" w:lineRule="auto"/>
        <w:ind w:left="0" w:firstLine="0"/>
        <w:jc w:val="both"/>
        <w:rPr>
          <w:rFonts w:ascii="Times New Roman" w:hAnsi="Times New Roman" w:cs="Times New Roman"/>
          <w:sz w:val="24"/>
          <w:szCs w:val="24"/>
        </w:rPr>
      </w:pPr>
      <w:r w:rsidRPr="00D04D6B">
        <w:rPr>
          <w:rFonts w:ascii="Times New Roman" w:hAnsi="Times New Roman" w:cs="Times New Roman"/>
          <w:sz w:val="24"/>
          <w:szCs w:val="24"/>
        </w:rPr>
        <w:t xml:space="preserve">While the consultation on the </w:t>
      </w:r>
      <w:r w:rsidRPr="00D04D6B">
        <w:rPr>
          <w:rFonts w:ascii="Times New Roman" w:hAnsi="Times New Roman" w:cs="Times New Roman"/>
          <w:i/>
          <w:sz w:val="24"/>
          <w:szCs w:val="24"/>
        </w:rPr>
        <w:t>Making tax simpler: A Government green paper on tax administration</w:t>
      </w:r>
      <w:r w:rsidRPr="00D04D6B">
        <w:rPr>
          <w:rFonts w:ascii="Times New Roman" w:hAnsi="Times New Roman" w:cs="Times New Roman"/>
          <w:sz w:val="24"/>
          <w:szCs w:val="24"/>
        </w:rPr>
        <w:t xml:space="preserve"> discussion document sought views on issues across the tax system, the majority of submissions received identified issues with the current provisional tax rules, and expressed enthusiasm for different approaches. For example, of the 750 comments made on the 17 questions on the Green paper online forum, more than 200 comments were made in response to a single question about provisional tax.</w:t>
      </w:r>
    </w:p>
    <w:p w:rsidR="009E0294" w:rsidRDefault="009E0294" w:rsidP="009E0294">
      <w:pPr>
        <w:pStyle w:val="ListParagraph"/>
        <w:spacing w:after="0" w:line="240" w:lineRule="auto"/>
        <w:ind w:left="0"/>
        <w:jc w:val="both"/>
        <w:rPr>
          <w:rFonts w:ascii="Times New Roman" w:hAnsi="Times New Roman" w:cs="Times New Roman"/>
          <w:sz w:val="24"/>
          <w:szCs w:val="24"/>
        </w:rPr>
      </w:pPr>
    </w:p>
    <w:p w:rsidR="00A9203E" w:rsidRPr="00FA2D8C" w:rsidRDefault="00A9203E" w:rsidP="00A9203E">
      <w:pPr>
        <w:pStyle w:val="ListParagraph"/>
        <w:numPr>
          <w:ilvl w:val="0"/>
          <w:numId w:val="11"/>
        </w:numPr>
        <w:spacing w:after="0" w:line="240" w:lineRule="auto"/>
        <w:ind w:left="0" w:firstLine="0"/>
        <w:jc w:val="both"/>
        <w:rPr>
          <w:rFonts w:ascii="Times New Roman" w:hAnsi="Times New Roman" w:cs="Times New Roman"/>
          <w:sz w:val="24"/>
          <w:szCs w:val="24"/>
        </w:rPr>
      </w:pPr>
      <w:r w:rsidRPr="00A9203E">
        <w:rPr>
          <w:rFonts w:ascii="Times New Roman" w:hAnsi="Times New Roman"/>
          <w:sz w:val="24"/>
          <w:szCs w:val="24"/>
        </w:rPr>
        <w:t>While taxpayers generally agree with having to pay tax as they earn income</w:t>
      </w:r>
      <w:r w:rsidR="006875AD">
        <w:rPr>
          <w:rFonts w:ascii="Times New Roman" w:hAnsi="Times New Roman"/>
          <w:sz w:val="24"/>
          <w:szCs w:val="24"/>
        </w:rPr>
        <w:t>,</w:t>
      </w:r>
      <w:r w:rsidRPr="00A9203E">
        <w:rPr>
          <w:rFonts w:ascii="Times New Roman" w:hAnsi="Times New Roman"/>
          <w:sz w:val="24"/>
          <w:szCs w:val="24"/>
        </w:rPr>
        <w:t xml:space="preserve"> the </w:t>
      </w:r>
      <w:r w:rsidR="00183E15">
        <w:rPr>
          <w:rFonts w:ascii="Times New Roman" w:hAnsi="Times New Roman"/>
          <w:sz w:val="24"/>
          <w:szCs w:val="24"/>
        </w:rPr>
        <w:t xml:space="preserve">perceived </w:t>
      </w:r>
      <w:r w:rsidRPr="00A9203E">
        <w:rPr>
          <w:rFonts w:ascii="Times New Roman" w:hAnsi="Times New Roman"/>
          <w:sz w:val="24"/>
          <w:szCs w:val="24"/>
        </w:rPr>
        <w:t xml:space="preserve">penalising effect of </w:t>
      </w:r>
      <w:proofErr w:type="spellStart"/>
      <w:r w:rsidR="0045650F">
        <w:rPr>
          <w:rFonts w:ascii="Times New Roman" w:hAnsi="Times New Roman"/>
          <w:sz w:val="24"/>
          <w:szCs w:val="24"/>
        </w:rPr>
        <w:t>UOMI</w:t>
      </w:r>
      <w:proofErr w:type="spellEnd"/>
      <w:r w:rsidRPr="00A9203E">
        <w:rPr>
          <w:rFonts w:ascii="Times New Roman" w:hAnsi="Times New Roman"/>
          <w:sz w:val="24"/>
          <w:szCs w:val="24"/>
        </w:rPr>
        <w:t xml:space="preserve"> promot</w:t>
      </w:r>
      <w:r w:rsidR="006875AD">
        <w:rPr>
          <w:rFonts w:ascii="Times New Roman" w:hAnsi="Times New Roman"/>
          <w:sz w:val="24"/>
          <w:szCs w:val="24"/>
        </w:rPr>
        <w:t>es</w:t>
      </w:r>
      <w:r w:rsidRPr="00A9203E">
        <w:rPr>
          <w:rFonts w:ascii="Times New Roman" w:hAnsi="Times New Roman"/>
          <w:sz w:val="24"/>
          <w:szCs w:val="24"/>
        </w:rPr>
        <w:t xml:space="preserve"> general dissatisfaction with provisional tax rather than solely</w:t>
      </w:r>
      <w:r w:rsidR="008E3413">
        <w:rPr>
          <w:rFonts w:ascii="Times New Roman" w:hAnsi="Times New Roman"/>
          <w:sz w:val="24"/>
          <w:szCs w:val="24"/>
        </w:rPr>
        <w:t xml:space="preserve"> with</w:t>
      </w:r>
      <w:r w:rsidRPr="00A9203E">
        <w:rPr>
          <w:rFonts w:ascii="Times New Roman" w:hAnsi="Times New Roman"/>
          <w:sz w:val="24"/>
          <w:szCs w:val="24"/>
        </w:rPr>
        <w:t xml:space="preserve"> the application of </w:t>
      </w:r>
      <w:proofErr w:type="spellStart"/>
      <w:r w:rsidR="0045650F">
        <w:rPr>
          <w:rFonts w:ascii="Times New Roman" w:hAnsi="Times New Roman"/>
          <w:sz w:val="24"/>
          <w:szCs w:val="24"/>
        </w:rPr>
        <w:t>UOMI</w:t>
      </w:r>
      <w:proofErr w:type="spellEnd"/>
      <w:r w:rsidR="002A5ED9" w:rsidRPr="000302D3">
        <w:rPr>
          <w:rFonts w:ascii="Times New Roman" w:hAnsi="Times New Roman"/>
          <w:sz w:val="24"/>
          <w:szCs w:val="24"/>
        </w:rPr>
        <w:t>. This adversely affects the fairness of the provisional tax system</w:t>
      </w:r>
      <w:r w:rsidR="00FA2D8C">
        <w:rPr>
          <w:rFonts w:ascii="Times New Roman" w:hAnsi="Times New Roman"/>
          <w:sz w:val="24"/>
          <w:szCs w:val="24"/>
        </w:rPr>
        <w:t>.</w:t>
      </w:r>
    </w:p>
    <w:p w:rsidR="00A9203E" w:rsidRPr="005B2E03" w:rsidRDefault="00A9203E" w:rsidP="00A9203E">
      <w:pPr>
        <w:pStyle w:val="ListParagraph"/>
        <w:spacing w:after="0" w:line="240" w:lineRule="auto"/>
        <w:ind w:left="0"/>
        <w:jc w:val="both"/>
        <w:rPr>
          <w:rFonts w:ascii="Times New Roman" w:hAnsi="Times New Roman" w:cs="Times New Roman"/>
          <w:sz w:val="24"/>
          <w:szCs w:val="24"/>
        </w:rPr>
      </w:pPr>
    </w:p>
    <w:p w:rsidR="00A9203E" w:rsidRPr="000302D3" w:rsidRDefault="00A9203E" w:rsidP="00A9203E">
      <w:pPr>
        <w:pStyle w:val="ListParagraph"/>
        <w:numPr>
          <w:ilvl w:val="0"/>
          <w:numId w:val="11"/>
        </w:numPr>
        <w:spacing w:after="0" w:line="240" w:lineRule="auto"/>
        <w:ind w:left="0" w:firstLine="0"/>
        <w:jc w:val="both"/>
        <w:rPr>
          <w:rFonts w:ascii="Times New Roman" w:hAnsi="Times New Roman" w:cs="Times New Roman"/>
          <w:sz w:val="24"/>
          <w:szCs w:val="24"/>
        </w:rPr>
      </w:pPr>
      <w:r w:rsidRPr="00A9203E">
        <w:rPr>
          <w:rFonts w:ascii="Times New Roman" w:hAnsi="Times New Roman"/>
          <w:sz w:val="24"/>
          <w:szCs w:val="24"/>
        </w:rPr>
        <w:t xml:space="preserve">Maintaining the current rules would continue to cause taxpayers stress and difficulties especially for those who pay provisional tax based on their best indicator of current year performance being their </w:t>
      </w:r>
      <w:r>
        <w:rPr>
          <w:rFonts w:ascii="Times New Roman" w:hAnsi="Times New Roman"/>
          <w:sz w:val="24"/>
          <w:szCs w:val="24"/>
        </w:rPr>
        <w:t>immediately prior income year</w:t>
      </w:r>
      <w:r w:rsidRPr="000302D3">
        <w:rPr>
          <w:rFonts w:ascii="Times New Roman" w:hAnsi="Times New Roman"/>
          <w:sz w:val="24"/>
          <w:szCs w:val="24"/>
        </w:rPr>
        <w:t>.</w:t>
      </w:r>
      <w:r w:rsidR="002A5ED9" w:rsidRPr="000302D3">
        <w:rPr>
          <w:rFonts w:ascii="Times New Roman" w:hAnsi="Times New Roman"/>
          <w:sz w:val="24"/>
          <w:szCs w:val="24"/>
        </w:rPr>
        <w:t xml:space="preserve"> This increases the costs of complying with the provisional tax rules.</w:t>
      </w:r>
    </w:p>
    <w:p w:rsidR="00A9203E" w:rsidRPr="000302D3" w:rsidRDefault="00A9203E" w:rsidP="00A9203E">
      <w:pPr>
        <w:pStyle w:val="ListParagraph"/>
        <w:spacing w:after="0" w:line="240" w:lineRule="auto"/>
        <w:ind w:left="0"/>
        <w:jc w:val="both"/>
        <w:rPr>
          <w:rFonts w:ascii="Times New Roman" w:hAnsi="Times New Roman" w:cs="Times New Roman"/>
          <w:sz w:val="24"/>
          <w:szCs w:val="24"/>
        </w:rPr>
      </w:pPr>
    </w:p>
    <w:p w:rsidR="00A9203E" w:rsidRPr="000302D3" w:rsidRDefault="00A9203E" w:rsidP="00A9203E">
      <w:pPr>
        <w:pStyle w:val="ListParagraph"/>
        <w:numPr>
          <w:ilvl w:val="0"/>
          <w:numId w:val="11"/>
        </w:numPr>
        <w:spacing w:after="0" w:line="240" w:lineRule="auto"/>
        <w:ind w:left="0" w:firstLine="0"/>
        <w:jc w:val="both"/>
        <w:rPr>
          <w:rFonts w:ascii="Times New Roman" w:hAnsi="Times New Roman" w:cs="Times New Roman"/>
          <w:sz w:val="24"/>
          <w:szCs w:val="24"/>
        </w:rPr>
      </w:pPr>
      <w:r w:rsidRPr="00A9203E">
        <w:rPr>
          <w:rFonts w:ascii="Times New Roman" w:hAnsi="Times New Roman"/>
          <w:sz w:val="24"/>
          <w:szCs w:val="24"/>
        </w:rPr>
        <w:t xml:space="preserve">Another </w:t>
      </w:r>
      <w:r w:rsidR="008E3413">
        <w:rPr>
          <w:rFonts w:ascii="Times New Roman" w:hAnsi="Times New Roman"/>
          <w:sz w:val="24"/>
          <w:szCs w:val="24"/>
        </w:rPr>
        <w:t>issue</w:t>
      </w:r>
      <w:r w:rsidR="008E3413" w:rsidRPr="00A9203E">
        <w:rPr>
          <w:rFonts w:ascii="Times New Roman" w:hAnsi="Times New Roman"/>
          <w:sz w:val="24"/>
          <w:szCs w:val="24"/>
        </w:rPr>
        <w:t xml:space="preserve"> </w:t>
      </w:r>
      <w:r w:rsidRPr="00A9203E">
        <w:rPr>
          <w:rFonts w:ascii="Times New Roman" w:hAnsi="Times New Roman"/>
          <w:sz w:val="24"/>
          <w:szCs w:val="24"/>
        </w:rPr>
        <w:t xml:space="preserve">with the current provisional tax regime is that it attempts to approximate a pay as you </w:t>
      </w:r>
      <w:r w:rsidR="006D41E5">
        <w:rPr>
          <w:rFonts w:ascii="Times New Roman" w:hAnsi="Times New Roman"/>
          <w:sz w:val="24"/>
          <w:szCs w:val="24"/>
        </w:rPr>
        <w:t>earn</w:t>
      </w:r>
      <w:r w:rsidRPr="00A9203E">
        <w:rPr>
          <w:rFonts w:ascii="Times New Roman" w:hAnsi="Times New Roman"/>
          <w:sz w:val="24"/>
          <w:szCs w:val="24"/>
        </w:rPr>
        <w:t xml:space="preserve"> system by assuming, wrongly in a large number of cases, that income is earned evenly throughout an income year. This m</w:t>
      </w:r>
      <w:r w:rsidR="003B249B">
        <w:rPr>
          <w:rFonts w:ascii="Times New Roman" w:hAnsi="Times New Roman"/>
          <w:sz w:val="24"/>
          <w:szCs w:val="24"/>
        </w:rPr>
        <w:t xml:space="preserve">eans that what was </w:t>
      </w:r>
      <w:r w:rsidRPr="00A9203E">
        <w:rPr>
          <w:rFonts w:ascii="Times New Roman" w:hAnsi="Times New Roman"/>
          <w:sz w:val="24"/>
          <w:szCs w:val="24"/>
        </w:rPr>
        <w:t>intended to be a pay as you earn type system can become a pay before you have earned system which can cause cash</w:t>
      </w:r>
      <w:r w:rsidR="006875AD">
        <w:rPr>
          <w:rFonts w:ascii="Times New Roman" w:hAnsi="Times New Roman"/>
          <w:sz w:val="24"/>
          <w:szCs w:val="24"/>
        </w:rPr>
        <w:t>-</w:t>
      </w:r>
      <w:r w:rsidRPr="00A9203E">
        <w:rPr>
          <w:rFonts w:ascii="Times New Roman" w:hAnsi="Times New Roman"/>
          <w:sz w:val="24"/>
          <w:szCs w:val="24"/>
        </w:rPr>
        <w:t>flow issues. This is particularly so for small</w:t>
      </w:r>
      <w:r>
        <w:rPr>
          <w:rFonts w:ascii="Times New Roman" w:hAnsi="Times New Roman"/>
          <w:sz w:val="24"/>
          <w:szCs w:val="24"/>
        </w:rPr>
        <w:t>er</w:t>
      </w:r>
      <w:r w:rsidR="006875AD">
        <w:rPr>
          <w:rFonts w:ascii="Times New Roman" w:hAnsi="Times New Roman"/>
          <w:sz w:val="24"/>
          <w:szCs w:val="24"/>
        </w:rPr>
        <w:t>,</w:t>
      </w:r>
      <w:r>
        <w:rPr>
          <w:rFonts w:ascii="Times New Roman" w:hAnsi="Times New Roman"/>
          <w:sz w:val="24"/>
          <w:szCs w:val="24"/>
        </w:rPr>
        <w:t xml:space="preserve"> unsophisticated </w:t>
      </w:r>
      <w:r w:rsidRPr="000302D3">
        <w:rPr>
          <w:rFonts w:ascii="Times New Roman" w:hAnsi="Times New Roman"/>
          <w:sz w:val="24"/>
          <w:szCs w:val="24"/>
        </w:rPr>
        <w:t>businesses.</w:t>
      </w:r>
      <w:r w:rsidR="002A5ED9" w:rsidRPr="000302D3">
        <w:rPr>
          <w:rFonts w:ascii="Times New Roman" w:hAnsi="Times New Roman"/>
          <w:sz w:val="24"/>
          <w:szCs w:val="24"/>
        </w:rPr>
        <w:t xml:space="preserve"> This can have a financial impact on taxpayers and increases compliance costs.</w:t>
      </w:r>
    </w:p>
    <w:p w:rsidR="00A9203E" w:rsidRPr="00A9203E" w:rsidRDefault="00A9203E" w:rsidP="00A9203E">
      <w:pPr>
        <w:pStyle w:val="ListParagraph"/>
        <w:spacing w:after="0" w:line="240" w:lineRule="auto"/>
        <w:ind w:left="0"/>
        <w:jc w:val="both"/>
        <w:rPr>
          <w:rFonts w:ascii="Times New Roman" w:hAnsi="Times New Roman" w:cs="Times New Roman"/>
          <w:sz w:val="24"/>
          <w:szCs w:val="24"/>
        </w:rPr>
      </w:pPr>
    </w:p>
    <w:p w:rsidR="00A9203E" w:rsidRPr="000302D3" w:rsidRDefault="00A9203E" w:rsidP="00A9203E">
      <w:pPr>
        <w:pStyle w:val="ListParagraph"/>
        <w:numPr>
          <w:ilvl w:val="0"/>
          <w:numId w:val="11"/>
        </w:numPr>
        <w:spacing w:after="0" w:line="240" w:lineRule="auto"/>
        <w:ind w:left="0" w:firstLine="0"/>
        <w:jc w:val="both"/>
        <w:rPr>
          <w:rFonts w:ascii="Times New Roman" w:hAnsi="Times New Roman" w:cs="Times New Roman"/>
          <w:sz w:val="24"/>
          <w:szCs w:val="24"/>
        </w:rPr>
      </w:pPr>
      <w:r w:rsidRPr="00A9203E">
        <w:rPr>
          <w:rFonts w:ascii="Times New Roman" w:hAnsi="Times New Roman"/>
          <w:sz w:val="24"/>
          <w:szCs w:val="24"/>
        </w:rPr>
        <w:t xml:space="preserve">A final issue with provisional tax </w:t>
      </w:r>
      <w:r w:rsidR="006D41E5">
        <w:rPr>
          <w:rFonts w:ascii="Times New Roman" w:hAnsi="Times New Roman"/>
          <w:sz w:val="24"/>
          <w:szCs w:val="24"/>
        </w:rPr>
        <w:t>relates to</w:t>
      </w:r>
      <w:r w:rsidRPr="00A9203E">
        <w:rPr>
          <w:rFonts w:ascii="Times New Roman" w:hAnsi="Times New Roman"/>
          <w:sz w:val="24"/>
          <w:szCs w:val="24"/>
        </w:rPr>
        <w:t xml:space="preserve"> </w:t>
      </w:r>
      <w:r w:rsidR="008C25E5">
        <w:rPr>
          <w:rFonts w:ascii="Times New Roman" w:hAnsi="Times New Roman"/>
          <w:sz w:val="24"/>
          <w:szCs w:val="24"/>
        </w:rPr>
        <w:t>close</w:t>
      </w:r>
      <w:r w:rsidRPr="00A9203E">
        <w:rPr>
          <w:rFonts w:ascii="Times New Roman" w:hAnsi="Times New Roman"/>
          <w:sz w:val="24"/>
          <w:szCs w:val="24"/>
        </w:rPr>
        <w:t xml:space="preserve"> companies where all parties are related. In this situation there can be multiple taxpayers who are subject to provisional tax on different rules</w:t>
      </w:r>
      <w:r w:rsidR="006875AD">
        <w:rPr>
          <w:rFonts w:ascii="Times New Roman" w:hAnsi="Times New Roman"/>
          <w:sz w:val="24"/>
          <w:szCs w:val="24"/>
        </w:rPr>
        <w:t>.</w:t>
      </w:r>
      <w:r w:rsidRPr="00A9203E">
        <w:rPr>
          <w:rFonts w:ascii="Times New Roman" w:hAnsi="Times New Roman"/>
          <w:sz w:val="24"/>
          <w:szCs w:val="24"/>
        </w:rPr>
        <w:t xml:space="preserve"> </w:t>
      </w:r>
      <w:r w:rsidR="006875AD">
        <w:rPr>
          <w:rFonts w:ascii="Times New Roman" w:hAnsi="Times New Roman"/>
          <w:sz w:val="24"/>
          <w:szCs w:val="24"/>
        </w:rPr>
        <w:t>I</w:t>
      </w:r>
      <w:r w:rsidRPr="00A9203E">
        <w:rPr>
          <w:rFonts w:ascii="Times New Roman" w:hAnsi="Times New Roman"/>
          <w:sz w:val="24"/>
          <w:szCs w:val="24"/>
        </w:rPr>
        <w:t>n essence</w:t>
      </w:r>
      <w:r w:rsidR="006875AD">
        <w:rPr>
          <w:rFonts w:ascii="Times New Roman" w:hAnsi="Times New Roman"/>
          <w:sz w:val="24"/>
          <w:szCs w:val="24"/>
        </w:rPr>
        <w:t>,</w:t>
      </w:r>
      <w:r w:rsidRPr="00A9203E">
        <w:rPr>
          <w:rFonts w:ascii="Times New Roman" w:hAnsi="Times New Roman"/>
          <w:sz w:val="24"/>
          <w:szCs w:val="24"/>
        </w:rPr>
        <w:t xml:space="preserve"> there is one taxpaying group which should be subject to one rule to ease compliance and reduce the number of people subject to provisional </w:t>
      </w:r>
      <w:r w:rsidRPr="000302D3">
        <w:rPr>
          <w:rFonts w:ascii="Times New Roman" w:hAnsi="Times New Roman"/>
          <w:sz w:val="24"/>
          <w:szCs w:val="24"/>
        </w:rPr>
        <w:t>tax.</w:t>
      </w:r>
      <w:r w:rsidR="002A5ED9" w:rsidRPr="000302D3">
        <w:rPr>
          <w:rFonts w:ascii="Times New Roman" w:hAnsi="Times New Roman"/>
          <w:sz w:val="24"/>
          <w:szCs w:val="24"/>
        </w:rPr>
        <w:t xml:space="preserve"> This adversely impacts the fairness of the system and increases compliance and administration costs.</w:t>
      </w:r>
    </w:p>
    <w:p w:rsidR="00A9203E" w:rsidRDefault="00A9203E" w:rsidP="00A9203E">
      <w:pPr>
        <w:pStyle w:val="ListParagraph"/>
        <w:spacing w:after="0" w:line="240" w:lineRule="auto"/>
        <w:ind w:left="0"/>
        <w:jc w:val="both"/>
        <w:rPr>
          <w:rFonts w:ascii="Times New Roman" w:hAnsi="Times New Roman" w:cs="Times New Roman"/>
          <w:sz w:val="24"/>
          <w:szCs w:val="24"/>
        </w:rPr>
      </w:pPr>
    </w:p>
    <w:p w:rsidR="009E0294" w:rsidRPr="009E0294" w:rsidRDefault="009E0294" w:rsidP="00A9203E">
      <w:pPr>
        <w:pStyle w:val="ListParagraph"/>
        <w:spacing w:after="0" w:line="240" w:lineRule="auto"/>
        <w:ind w:left="0"/>
        <w:jc w:val="both"/>
        <w:rPr>
          <w:rFonts w:ascii="Times New Roman" w:hAnsi="Times New Roman" w:cs="Times New Roman"/>
          <w:b/>
          <w:i/>
          <w:sz w:val="24"/>
          <w:szCs w:val="24"/>
        </w:rPr>
      </w:pPr>
      <w:r w:rsidRPr="009E0294">
        <w:rPr>
          <w:rFonts w:ascii="Times New Roman" w:hAnsi="Times New Roman" w:cs="Times New Roman"/>
          <w:b/>
          <w:i/>
          <w:sz w:val="24"/>
          <w:szCs w:val="24"/>
        </w:rPr>
        <w:t>Options and analysis</w:t>
      </w:r>
    </w:p>
    <w:p w:rsidR="009E0294" w:rsidRPr="00A9203E" w:rsidRDefault="009E0294" w:rsidP="00A9203E">
      <w:pPr>
        <w:pStyle w:val="ListParagraph"/>
        <w:spacing w:after="0" w:line="240" w:lineRule="auto"/>
        <w:ind w:left="0"/>
        <w:jc w:val="both"/>
        <w:rPr>
          <w:rFonts w:ascii="Times New Roman" w:hAnsi="Times New Roman" w:cs="Times New Roman"/>
          <w:sz w:val="24"/>
          <w:szCs w:val="24"/>
        </w:rPr>
      </w:pPr>
    </w:p>
    <w:p w:rsidR="00A9203E" w:rsidRPr="00A9203E" w:rsidRDefault="00A9203E" w:rsidP="00A9203E">
      <w:pPr>
        <w:pStyle w:val="ListParagraph"/>
        <w:numPr>
          <w:ilvl w:val="0"/>
          <w:numId w:val="11"/>
        </w:numPr>
        <w:spacing w:after="0" w:line="240" w:lineRule="auto"/>
        <w:ind w:left="0" w:firstLine="0"/>
        <w:jc w:val="both"/>
        <w:rPr>
          <w:rFonts w:ascii="Times New Roman" w:hAnsi="Times New Roman" w:cs="Times New Roman"/>
          <w:sz w:val="24"/>
          <w:szCs w:val="24"/>
        </w:rPr>
      </w:pPr>
      <w:r w:rsidRPr="00A9203E">
        <w:rPr>
          <w:rFonts w:ascii="Times New Roman" w:hAnsi="Times New Roman" w:cs="Times New Roman"/>
          <w:sz w:val="24"/>
          <w:szCs w:val="24"/>
        </w:rPr>
        <w:t xml:space="preserve">The </w:t>
      </w:r>
      <w:r w:rsidR="00D94BDF">
        <w:rPr>
          <w:rFonts w:ascii="Times New Roman" w:hAnsi="Times New Roman" w:cs="Times New Roman"/>
          <w:sz w:val="24"/>
          <w:szCs w:val="24"/>
        </w:rPr>
        <w:t>proposals</w:t>
      </w:r>
      <w:r w:rsidRPr="00A9203E">
        <w:rPr>
          <w:rFonts w:ascii="Times New Roman" w:hAnsi="Times New Roman" w:cs="Times New Roman"/>
          <w:sz w:val="24"/>
          <w:szCs w:val="24"/>
        </w:rPr>
        <w:t xml:space="preserve"> to address the </w:t>
      </w:r>
      <w:r w:rsidR="008E3413">
        <w:rPr>
          <w:rFonts w:ascii="Times New Roman" w:hAnsi="Times New Roman" w:cs="Times New Roman"/>
          <w:sz w:val="24"/>
          <w:szCs w:val="24"/>
        </w:rPr>
        <w:t>issues identified</w:t>
      </w:r>
      <w:r w:rsidR="008E3413" w:rsidRPr="00A9203E">
        <w:rPr>
          <w:rFonts w:ascii="Times New Roman" w:hAnsi="Times New Roman" w:cs="Times New Roman"/>
          <w:sz w:val="24"/>
          <w:szCs w:val="24"/>
        </w:rPr>
        <w:t xml:space="preserve"> </w:t>
      </w:r>
      <w:r w:rsidRPr="00A9203E">
        <w:rPr>
          <w:rFonts w:ascii="Times New Roman" w:hAnsi="Times New Roman" w:cs="Times New Roman"/>
          <w:sz w:val="24"/>
          <w:szCs w:val="24"/>
        </w:rPr>
        <w:t>are:</w:t>
      </w:r>
    </w:p>
    <w:p w:rsidR="00A9203E" w:rsidRPr="00311B0C" w:rsidRDefault="00A9203E" w:rsidP="00A9203E">
      <w:pPr>
        <w:spacing w:after="0" w:line="240" w:lineRule="auto"/>
        <w:jc w:val="both"/>
        <w:rPr>
          <w:rFonts w:ascii="Times New Roman" w:hAnsi="Times New Roman" w:cs="Times New Roman"/>
          <w:sz w:val="24"/>
          <w:szCs w:val="24"/>
        </w:rPr>
      </w:pPr>
    </w:p>
    <w:p w:rsidR="00A9203E" w:rsidRDefault="00A9203E" w:rsidP="00E35DE1">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Extend </w:t>
      </w:r>
      <w:r w:rsidRPr="00311B0C">
        <w:rPr>
          <w:rFonts w:ascii="Times New Roman" w:hAnsi="Times New Roman" w:cs="Times New Roman"/>
          <w:sz w:val="24"/>
          <w:szCs w:val="24"/>
        </w:rPr>
        <w:t xml:space="preserve">the safe harbour from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w:t>
      </w:r>
    </w:p>
    <w:p w:rsidR="00E35DE1" w:rsidRPr="00E35DE1" w:rsidRDefault="00E35DE1" w:rsidP="00E35DE1">
      <w:pPr>
        <w:spacing w:after="0" w:line="240" w:lineRule="auto"/>
        <w:jc w:val="both"/>
        <w:rPr>
          <w:rFonts w:ascii="Times New Roman" w:hAnsi="Times New Roman" w:cs="Times New Roman"/>
          <w:sz w:val="24"/>
          <w:szCs w:val="24"/>
        </w:rPr>
      </w:pPr>
    </w:p>
    <w:p w:rsidR="00A9203E" w:rsidRDefault="00A9203E" w:rsidP="00E35DE1">
      <w:pPr>
        <w:pStyle w:val="ListParagraph"/>
        <w:numPr>
          <w:ilvl w:val="0"/>
          <w:numId w:val="34"/>
        </w:num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Remove the application of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w:t>
      </w:r>
    </w:p>
    <w:p w:rsidR="00E35DE1" w:rsidRPr="00E35DE1" w:rsidRDefault="00E35DE1" w:rsidP="00E35DE1">
      <w:pPr>
        <w:spacing w:after="0" w:line="240" w:lineRule="auto"/>
        <w:jc w:val="both"/>
        <w:rPr>
          <w:rFonts w:ascii="Times New Roman" w:hAnsi="Times New Roman" w:cs="Times New Roman"/>
          <w:sz w:val="24"/>
          <w:szCs w:val="24"/>
        </w:rPr>
      </w:pPr>
    </w:p>
    <w:p w:rsidR="00A9203E" w:rsidRDefault="00A9203E" w:rsidP="00E35DE1">
      <w:pPr>
        <w:pStyle w:val="ListParagraph"/>
        <w:numPr>
          <w:ilvl w:val="0"/>
          <w:numId w:val="34"/>
        </w:num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Introduce </w:t>
      </w:r>
      <w:r>
        <w:rPr>
          <w:rFonts w:ascii="Times New Roman" w:hAnsi="Times New Roman" w:cs="Times New Roman"/>
          <w:sz w:val="24"/>
          <w:szCs w:val="24"/>
        </w:rPr>
        <w:t xml:space="preserve">a </w:t>
      </w:r>
      <w:r w:rsidRPr="00311B0C">
        <w:rPr>
          <w:rFonts w:ascii="Times New Roman" w:hAnsi="Times New Roman" w:cs="Times New Roman"/>
          <w:sz w:val="24"/>
          <w:szCs w:val="24"/>
        </w:rPr>
        <w:t>new method of calculating provisional tax; and</w:t>
      </w:r>
    </w:p>
    <w:p w:rsidR="005B2E03" w:rsidRPr="005B2E03" w:rsidRDefault="005B2E03" w:rsidP="005B2E03">
      <w:pPr>
        <w:spacing w:after="0" w:line="240" w:lineRule="auto"/>
        <w:jc w:val="both"/>
        <w:rPr>
          <w:rFonts w:ascii="Times New Roman" w:hAnsi="Times New Roman" w:cs="Times New Roman"/>
          <w:sz w:val="24"/>
          <w:szCs w:val="24"/>
        </w:rPr>
      </w:pPr>
    </w:p>
    <w:p w:rsidR="00A9203E" w:rsidRPr="00311B0C" w:rsidRDefault="004C78E5" w:rsidP="00E35DE1">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Enable </w:t>
      </w:r>
      <w:r w:rsidRPr="00311B0C">
        <w:rPr>
          <w:rFonts w:ascii="Times New Roman" w:hAnsi="Times New Roman" w:cs="Times New Roman"/>
          <w:sz w:val="24"/>
          <w:szCs w:val="24"/>
        </w:rPr>
        <w:t xml:space="preserve">tax to be paid by companies </w:t>
      </w:r>
      <w:r>
        <w:rPr>
          <w:rFonts w:ascii="Times New Roman" w:hAnsi="Times New Roman" w:cs="Times New Roman"/>
          <w:sz w:val="24"/>
          <w:szCs w:val="24"/>
        </w:rPr>
        <w:t>as agents for shareholder-employees</w:t>
      </w:r>
      <w:r w:rsidR="00A9203E" w:rsidRPr="00311B0C">
        <w:rPr>
          <w:rFonts w:ascii="Times New Roman" w:hAnsi="Times New Roman" w:cs="Times New Roman"/>
          <w:sz w:val="24"/>
          <w:szCs w:val="24"/>
        </w:rPr>
        <w:t>.</w:t>
      </w:r>
    </w:p>
    <w:p w:rsidR="0043243C" w:rsidRDefault="0043243C" w:rsidP="0043243C">
      <w:pPr>
        <w:pStyle w:val="ListParagraph"/>
        <w:spacing w:after="0" w:line="240" w:lineRule="auto"/>
        <w:ind w:left="0"/>
        <w:jc w:val="both"/>
        <w:rPr>
          <w:rFonts w:ascii="Times New Roman" w:hAnsi="Times New Roman" w:cs="Times New Roman"/>
          <w:sz w:val="24"/>
          <w:szCs w:val="24"/>
        </w:rPr>
      </w:pPr>
    </w:p>
    <w:p w:rsidR="0044470D" w:rsidRPr="008D31DB" w:rsidRDefault="00D94BDF" w:rsidP="008D31DB">
      <w:pPr>
        <w:spacing w:after="0" w:line="240" w:lineRule="auto"/>
        <w:jc w:val="both"/>
        <w:rPr>
          <w:rFonts w:ascii="Times New Roman" w:hAnsi="Times New Roman" w:cs="Times New Roman"/>
          <w:i/>
          <w:sz w:val="24"/>
          <w:szCs w:val="24"/>
          <w:u w:val="single"/>
        </w:rPr>
      </w:pPr>
      <w:r w:rsidRPr="008D31DB">
        <w:rPr>
          <w:rFonts w:ascii="Times New Roman" w:hAnsi="Times New Roman" w:cs="Times New Roman"/>
          <w:i/>
          <w:sz w:val="24"/>
          <w:szCs w:val="24"/>
          <w:u w:val="single"/>
        </w:rPr>
        <w:t>E</w:t>
      </w:r>
      <w:r w:rsidR="003B249B" w:rsidRPr="008D31DB">
        <w:rPr>
          <w:rFonts w:ascii="Times New Roman" w:hAnsi="Times New Roman" w:cs="Times New Roman"/>
          <w:i/>
          <w:sz w:val="24"/>
          <w:szCs w:val="24"/>
          <w:u w:val="single"/>
        </w:rPr>
        <w:t xml:space="preserve">xtend the safe harbour from </w:t>
      </w:r>
      <w:proofErr w:type="spellStart"/>
      <w:r w:rsidR="0045650F" w:rsidRPr="008D31DB">
        <w:rPr>
          <w:rFonts w:ascii="Times New Roman" w:hAnsi="Times New Roman" w:cs="Times New Roman"/>
          <w:i/>
          <w:sz w:val="24"/>
          <w:szCs w:val="24"/>
          <w:u w:val="single"/>
        </w:rPr>
        <w:t>UOMI</w:t>
      </w:r>
      <w:proofErr w:type="spellEnd"/>
    </w:p>
    <w:p w:rsidR="0043243C" w:rsidRDefault="0043243C" w:rsidP="0043243C">
      <w:pPr>
        <w:pStyle w:val="ListParagraph"/>
        <w:spacing w:after="0" w:line="240" w:lineRule="auto"/>
        <w:ind w:left="0"/>
        <w:jc w:val="both"/>
        <w:rPr>
          <w:rFonts w:ascii="Times New Roman" w:hAnsi="Times New Roman" w:cs="Times New Roman"/>
          <w:sz w:val="24"/>
          <w:szCs w:val="24"/>
        </w:rPr>
      </w:pPr>
    </w:p>
    <w:p w:rsidR="00463E14" w:rsidRDefault="002A5ED9" w:rsidP="0043243C">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To address concerns about fairness of the </w:t>
      </w:r>
      <w:proofErr w:type="spellStart"/>
      <w:r w:rsidR="0045650F">
        <w:rPr>
          <w:rFonts w:ascii="Times New Roman" w:hAnsi="Times New Roman" w:cs="Times New Roman"/>
          <w:sz w:val="24"/>
          <w:szCs w:val="24"/>
        </w:rPr>
        <w:t>UOMI</w:t>
      </w:r>
      <w:proofErr w:type="spellEnd"/>
      <w:r w:rsidR="008E3413">
        <w:rPr>
          <w:rFonts w:ascii="Times New Roman" w:hAnsi="Times New Roman" w:cs="Times New Roman"/>
          <w:sz w:val="24"/>
          <w:szCs w:val="24"/>
        </w:rPr>
        <w:t xml:space="preserve"> </w:t>
      </w:r>
      <w:r>
        <w:rPr>
          <w:rFonts w:ascii="Times New Roman" w:hAnsi="Times New Roman" w:cs="Times New Roman"/>
          <w:sz w:val="24"/>
          <w:szCs w:val="24"/>
        </w:rPr>
        <w:t>rules, o</w:t>
      </w:r>
      <w:r w:rsidR="003B249B">
        <w:rPr>
          <w:rFonts w:ascii="Times New Roman" w:hAnsi="Times New Roman" w:cs="Times New Roman"/>
          <w:sz w:val="24"/>
          <w:szCs w:val="24"/>
        </w:rPr>
        <w:t>fficials have considered a number of options to address the issue of provisional taxpayers</w:t>
      </w:r>
      <w:r w:rsidR="006875AD">
        <w:rPr>
          <w:rFonts w:ascii="Times New Roman" w:hAnsi="Times New Roman" w:cs="Times New Roman"/>
          <w:sz w:val="24"/>
          <w:szCs w:val="24"/>
        </w:rPr>
        <w:t>’</w:t>
      </w:r>
      <w:r w:rsidR="003B249B">
        <w:rPr>
          <w:rFonts w:ascii="Times New Roman" w:hAnsi="Times New Roman" w:cs="Times New Roman"/>
          <w:sz w:val="24"/>
          <w:szCs w:val="24"/>
        </w:rPr>
        <w:t xml:space="preserve"> exposure to </w:t>
      </w:r>
      <w:proofErr w:type="spellStart"/>
      <w:r w:rsidR="0045650F">
        <w:rPr>
          <w:rFonts w:ascii="Times New Roman" w:hAnsi="Times New Roman" w:cs="Times New Roman"/>
          <w:sz w:val="24"/>
          <w:szCs w:val="24"/>
        </w:rPr>
        <w:t>UOMI</w:t>
      </w:r>
      <w:proofErr w:type="spellEnd"/>
      <w:r w:rsidR="003B249B">
        <w:rPr>
          <w:rFonts w:ascii="Times New Roman" w:hAnsi="Times New Roman" w:cs="Times New Roman"/>
          <w:sz w:val="24"/>
          <w:szCs w:val="24"/>
        </w:rPr>
        <w:t xml:space="preserve">. </w:t>
      </w:r>
      <w:r>
        <w:rPr>
          <w:rFonts w:ascii="Times New Roman" w:hAnsi="Times New Roman" w:cs="Times New Roman"/>
          <w:sz w:val="24"/>
          <w:szCs w:val="24"/>
        </w:rPr>
        <w:t xml:space="preserve">These options focus on the dollar threshold below which provisional taxpayers are not subject to </w:t>
      </w:r>
      <w:proofErr w:type="spellStart"/>
      <w:r w:rsidR="0045650F">
        <w:rPr>
          <w:rFonts w:ascii="Times New Roman" w:hAnsi="Times New Roman" w:cs="Times New Roman"/>
          <w:sz w:val="24"/>
          <w:szCs w:val="24"/>
        </w:rPr>
        <w:t>UOMI</w:t>
      </w:r>
      <w:proofErr w:type="spellEnd"/>
      <w:r>
        <w:rPr>
          <w:rFonts w:ascii="Times New Roman" w:hAnsi="Times New Roman" w:cs="Times New Roman"/>
          <w:sz w:val="24"/>
          <w:szCs w:val="24"/>
        </w:rPr>
        <w:t xml:space="preserve"> and the scope of the threshold (who it applies to). </w:t>
      </w:r>
    </w:p>
    <w:p w:rsidR="00463E14" w:rsidRDefault="00463E14" w:rsidP="008D31DB">
      <w:pPr>
        <w:pStyle w:val="ListParagraph"/>
        <w:spacing w:after="0" w:line="240" w:lineRule="auto"/>
        <w:ind w:left="0"/>
        <w:jc w:val="both"/>
        <w:rPr>
          <w:rFonts w:ascii="Times New Roman" w:hAnsi="Times New Roman" w:cs="Times New Roman"/>
          <w:sz w:val="24"/>
          <w:szCs w:val="24"/>
        </w:rPr>
      </w:pPr>
    </w:p>
    <w:p w:rsidR="0043243C" w:rsidRPr="005D3931" w:rsidRDefault="003B249B" w:rsidP="0043243C">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These options are summarised below and are outlined further in appendix </w:t>
      </w:r>
      <w:r w:rsidR="005C245B">
        <w:rPr>
          <w:rFonts w:ascii="Times New Roman" w:hAnsi="Times New Roman" w:cs="Times New Roman"/>
          <w:sz w:val="24"/>
          <w:szCs w:val="24"/>
        </w:rPr>
        <w:t>A-1</w:t>
      </w:r>
      <w:r>
        <w:rPr>
          <w:rFonts w:ascii="Times New Roman" w:hAnsi="Times New Roman" w:cs="Times New Roman"/>
          <w:sz w:val="24"/>
          <w:szCs w:val="24"/>
        </w:rPr>
        <w:t>.</w:t>
      </w:r>
    </w:p>
    <w:p w:rsidR="0044470D" w:rsidRPr="005D3931" w:rsidRDefault="0044470D" w:rsidP="0044470D">
      <w:pPr>
        <w:spacing w:after="0" w:line="240" w:lineRule="auto"/>
        <w:jc w:val="both"/>
        <w:rPr>
          <w:rFonts w:ascii="Times New Roman" w:hAnsi="Times New Roman" w:cs="Times New Roman"/>
          <w:b/>
          <w:sz w:val="24"/>
          <w:szCs w:val="24"/>
        </w:rPr>
      </w:pPr>
    </w:p>
    <w:tbl>
      <w:tblPr>
        <w:tblStyle w:val="TableGrid"/>
        <w:tblW w:w="9072" w:type="dxa"/>
        <w:tblInd w:w="108" w:type="dxa"/>
        <w:tblLook w:val="04A0" w:firstRow="1" w:lastRow="0" w:firstColumn="1" w:lastColumn="0" w:noHBand="0" w:noVBand="1"/>
      </w:tblPr>
      <w:tblGrid>
        <w:gridCol w:w="3828"/>
        <w:gridCol w:w="5244"/>
      </w:tblGrid>
      <w:tr w:rsidR="000576B9" w:rsidRPr="005D3931" w:rsidTr="000576B9">
        <w:tc>
          <w:tcPr>
            <w:tcW w:w="3828" w:type="dxa"/>
          </w:tcPr>
          <w:p w:rsidR="000576B9" w:rsidRPr="005D3931" w:rsidRDefault="000576B9" w:rsidP="00D314CD">
            <w:pPr>
              <w:jc w:val="both"/>
              <w:rPr>
                <w:rFonts w:ascii="Times New Roman" w:hAnsi="Times New Roman" w:cs="Times New Roman"/>
                <w:b/>
                <w:sz w:val="24"/>
                <w:szCs w:val="24"/>
              </w:rPr>
            </w:pPr>
            <w:r w:rsidRPr="005D3931">
              <w:rPr>
                <w:rFonts w:ascii="Times New Roman" w:hAnsi="Times New Roman" w:cs="Times New Roman"/>
                <w:b/>
                <w:sz w:val="24"/>
                <w:szCs w:val="24"/>
              </w:rPr>
              <w:t>Option</w:t>
            </w:r>
            <w:r w:rsidR="00E77176" w:rsidRPr="005D3931">
              <w:rPr>
                <w:rFonts w:ascii="Times New Roman" w:hAnsi="Times New Roman" w:cs="Times New Roman"/>
                <w:b/>
                <w:sz w:val="24"/>
                <w:szCs w:val="24"/>
              </w:rPr>
              <w:t>s</w:t>
            </w:r>
          </w:p>
        </w:tc>
        <w:tc>
          <w:tcPr>
            <w:tcW w:w="5244" w:type="dxa"/>
          </w:tcPr>
          <w:p w:rsidR="000576B9" w:rsidRPr="005D3931" w:rsidRDefault="000576B9" w:rsidP="00D314CD">
            <w:pPr>
              <w:jc w:val="both"/>
              <w:rPr>
                <w:rFonts w:ascii="Times New Roman" w:hAnsi="Times New Roman" w:cs="Times New Roman"/>
                <w:b/>
                <w:sz w:val="24"/>
                <w:szCs w:val="24"/>
              </w:rPr>
            </w:pPr>
            <w:r w:rsidRPr="005D3931">
              <w:rPr>
                <w:rFonts w:ascii="Times New Roman" w:hAnsi="Times New Roman" w:cs="Times New Roman"/>
                <w:b/>
                <w:sz w:val="24"/>
                <w:szCs w:val="24"/>
              </w:rPr>
              <w:t>Analysis against the objectives</w:t>
            </w:r>
          </w:p>
        </w:tc>
      </w:tr>
      <w:tr w:rsidR="000576B9" w:rsidRPr="005D3931" w:rsidTr="000576B9">
        <w:trPr>
          <w:trHeight w:val="729"/>
        </w:trPr>
        <w:tc>
          <w:tcPr>
            <w:tcW w:w="3828" w:type="dxa"/>
          </w:tcPr>
          <w:p w:rsidR="000576B9" w:rsidRPr="00420D8B" w:rsidRDefault="005248B5" w:rsidP="00A9203E">
            <w:pPr>
              <w:jc w:val="both"/>
              <w:rPr>
                <w:rFonts w:ascii="Times New Roman" w:hAnsi="Times New Roman" w:cs="Times New Roman"/>
                <w:sz w:val="24"/>
                <w:szCs w:val="24"/>
              </w:rPr>
            </w:pPr>
            <w:r w:rsidRPr="00420D8B">
              <w:rPr>
                <w:rFonts w:ascii="Times New Roman" w:hAnsi="Times New Roman" w:cs="Times New Roman"/>
                <w:sz w:val="24"/>
                <w:szCs w:val="24"/>
              </w:rPr>
              <w:t xml:space="preserve">1. </w:t>
            </w:r>
            <w:r w:rsidR="00A9203E" w:rsidRPr="00420D8B">
              <w:rPr>
                <w:rFonts w:ascii="Times New Roman" w:hAnsi="Times New Roman" w:cs="Times New Roman"/>
                <w:sz w:val="24"/>
                <w:szCs w:val="24"/>
              </w:rPr>
              <w:t>Retain the s</w:t>
            </w:r>
            <w:r w:rsidR="000576B9" w:rsidRPr="00420D8B">
              <w:rPr>
                <w:rFonts w:ascii="Times New Roman" w:hAnsi="Times New Roman" w:cs="Times New Roman"/>
                <w:sz w:val="24"/>
                <w:szCs w:val="24"/>
              </w:rPr>
              <w:t>tatus quo</w:t>
            </w:r>
          </w:p>
        </w:tc>
        <w:tc>
          <w:tcPr>
            <w:tcW w:w="5244" w:type="dxa"/>
          </w:tcPr>
          <w:p w:rsidR="000576B9" w:rsidRPr="005D3931" w:rsidRDefault="000576B9" w:rsidP="00D314CD">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0576B9" w:rsidRPr="005D3931" w:rsidRDefault="000576B9" w:rsidP="00D314CD">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0576B9" w:rsidRPr="005D3931" w:rsidRDefault="00183E15" w:rsidP="00D314CD">
            <w:pPr>
              <w:jc w:val="both"/>
              <w:rPr>
                <w:rFonts w:ascii="Times New Roman" w:hAnsi="Times New Roman" w:cs="Times New Roman"/>
                <w:sz w:val="24"/>
                <w:szCs w:val="24"/>
              </w:rPr>
            </w:pPr>
            <w:r>
              <w:rPr>
                <w:rFonts w:ascii="Times New Roman" w:hAnsi="Times New Roman" w:cs="Times New Roman"/>
                <w:i/>
                <w:sz w:val="24"/>
                <w:szCs w:val="24"/>
              </w:rPr>
              <w:t>S</w:t>
            </w:r>
            <w:r w:rsidR="000576B9" w:rsidRPr="005D3931">
              <w:rPr>
                <w:rFonts w:ascii="Times New Roman" w:hAnsi="Times New Roman" w:cs="Times New Roman"/>
                <w:i/>
                <w:sz w:val="24"/>
                <w:szCs w:val="24"/>
              </w:rPr>
              <w:t>ustainability</w:t>
            </w:r>
            <w:r w:rsidR="000576B9"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0576B9" w:rsidRPr="005D3931" w:rsidRDefault="000576B9" w:rsidP="00D314CD">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008C2958">
              <w:rPr>
                <w:rFonts w:ascii="Times New Roman" w:hAnsi="Times New Roman" w:cs="Times New Roman"/>
                <w:i/>
                <w:sz w:val="24"/>
                <w:szCs w:val="24"/>
              </w:rPr>
              <w:t xml:space="preserve">: </w:t>
            </w:r>
            <w:r w:rsidR="00A9203E" w:rsidRPr="008C2958">
              <w:rPr>
                <w:rFonts w:ascii="Times New Roman" w:hAnsi="Times New Roman" w:cs="Times New Roman"/>
                <w:sz w:val="24"/>
                <w:szCs w:val="24"/>
              </w:rPr>
              <w:t xml:space="preserve"> no impact</w:t>
            </w:r>
          </w:p>
        </w:tc>
      </w:tr>
      <w:tr w:rsidR="00711A45" w:rsidRPr="005D3931" w:rsidTr="000576B9">
        <w:trPr>
          <w:trHeight w:val="729"/>
        </w:trPr>
        <w:tc>
          <w:tcPr>
            <w:tcW w:w="3828" w:type="dxa"/>
          </w:tcPr>
          <w:p w:rsidR="00711A45" w:rsidRPr="00420D8B" w:rsidRDefault="005248B5" w:rsidP="008E3413">
            <w:pPr>
              <w:jc w:val="both"/>
              <w:rPr>
                <w:rFonts w:ascii="Times New Roman" w:hAnsi="Times New Roman" w:cs="Times New Roman"/>
                <w:sz w:val="24"/>
                <w:szCs w:val="24"/>
              </w:rPr>
            </w:pPr>
            <w:r w:rsidRPr="00420D8B">
              <w:rPr>
                <w:rFonts w:ascii="Times New Roman" w:hAnsi="Times New Roman" w:cs="Times New Roman"/>
                <w:sz w:val="24"/>
                <w:szCs w:val="24"/>
              </w:rPr>
              <w:t xml:space="preserve">2. </w:t>
            </w:r>
            <w:r w:rsidR="006D41E5" w:rsidRPr="00420D8B">
              <w:rPr>
                <w:rFonts w:ascii="Times New Roman" w:hAnsi="Times New Roman" w:cs="Times New Roman"/>
                <w:sz w:val="24"/>
                <w:szCs w:val="24"/>
              </w:rPr>
              <w:t>Increase the safe harbour threshold to $60</w:t>
            </w:r>
            <w:r w:rsidR="006D41E5">
              <w:rPr>
                <w:rFonts w:ascii="Times New Roman" w:hAnsi="Times New Roman" w:cs="Times New Roman"/>
                <w:sz w:val="24"/>
                <w:szCs w:val="24"/>
              </w:rPr>
              <w:t>,000</w:t>
            </w:r>
            <w:r w:rsidR="006D41E5" w:rsidRPr="00420D8B">
              <w:rPr>
                <w:rFonts w:ascii="Times New Roman" w:hAnsi="Times New Roman" w:cs="Times New Roman"/>
                <w:sz w:val="24"/>
                <w:szCs w:val="24"/>
              </w:rPr>
              <w:t xml:space="preserve"> and expansion of safe harbour from </w:t>
            </w:r>
            <w:proofErr w:type="spellStart"/>
            <w:r w:rsidR="006D41E5">
              <w:rPr>
                <w:rFonts w:ascii="Times New Roman" w:hAnsi="Times New Roman" w:cs="Times New Roman"/>
                <w:sz w:val="24"/>
                <w:szCs w:val="24"/>
              </w:rPr>
              <w:t>UOMI</w:t>
            </w:r>
            <w:proofErr w:type="spellEnd"/>
            <w:r w:rsidR="006D41E5" w:rsidRPr="00420D8B">
              <w:rPr>
                <w:rFonts w:ascii="Times New Roman" w:hAnsi="Times New Roman" w:cs="Times New Roman"/>
                <w:sz w:val="24"/>
                <w:szCs w:val="24"/>
              </w:rPr>
              <w:t xml:space="preserve"> to non-individuals</w:t>
            </w:r>
          </w:p>
        </w:tc>
        <w:tc>
          <w:tcPr>
            <w:tcW w:w="5244" w:type="dxa"/>
          </w:tcPr>
          <w:p w:rsidR="00711A45" w:rsidRPr="005D3931" w:rsidRDefault="00711A45" w:rsidP="00711A45">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711A45" w:rsidRPr="005D3931" w:rsidRDefault="00711A45" w:rsidP="00711A45">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711A45" w:rsidRPr="005D3931" w:rsidRDefault="00183E15" w:rsidP="00711A45">
            <w:pPr>
              <w:jc w:val="both"/>
              <w:rPr>
                <w:rFonts w:ascii="Times New Roman" w:hAnsi="Times New Roman" w:cs="Times New Roman"/>
                <w:sz w:val="24"/>
                <w:szCs w:val="24"/>
              </w:rPr>
            </w:pPr>
            <w:r>
              <w:rPr>
                <w:rFonts w:ascii="Times New Roman" w:hAnsi="Times New Roman" w:cs="Times New Roman"/>
                <w:i/>
                <w:sz w:val="24"/>
                <w:szCs w:val="24"/>
              </w:rPr>
              <w:t>S</w:t>
            </w:r>
            <w:r w:rsidR="00711A45" w:rsidRPr="005D3931">
              <w:rPr>
                <w:rFonts w:ascii="Times New Roman" w:hAnsi="Times New Roman" w:cs="Times New Roman"/>
                <w:i/>
                <w:sz w:val="24"/>
                <w:szCs w:val="24"/>
              </w:rPr>
              <w:t>ustainability</w:t>
            </w:r>
            <w:r w:rsidR="00711A45"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711A45" w:rsidRPr="005D3931" w:rsidRDefault="00711A45" w:rsidP="00711A45">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 xml:space="preserve">: </w:t>
            </w:r>
            <w:r w:rsidR="00A9203E">
              <w:rPr>
                <w:rFonts w:ascii="Times New Roman" w:hAnsi="Times New Roman" w:cs="Times New Roman"/>
                <w:sz w:val="24"/>
                <w:szCs w:val="24"/>
              </w:rPr>
              <w:t xml:space="preserve"> revenue cost of $47 million over 4 years</w:t>
            </w:r>
          </w:p>
        </w:tc>
      </w:tr>
      <w:tr w:rsidR="00711A45" w:rsidRPr="005D3931" w:rsidTr="00C1088D">
        <w:trPr>
          <w:trHeight w:val="20"/>
        </w:trPr>
        <w:tc>
          <w:tcPr>
            <w:tcW w:w="3828" w:type="dxa"/>
          </w:tcPr>
          <w:p w:rsidR="00711A45" w:rsidRPr="00420D8B" w:rsidRDefault="00C1088D" w:rsidP="003B249B">
            <w:pPr>
              <w:jc w:val="both"/>
              <w:rPr>
                <w:rFonts w:ascii="Times New Roman" w:hAnsi="Times New Roman" w:cs="Times New Roman"/>
                <w:sz w:val="24"/>
                <w:szCs w:val="24"/>
              </w:rPr>
            </w:pPr>
            <w:r w:rsidRPr="00420D8B">
              <w:rPr>
                <w:rFonts w:ascii="Times New Roman" w:hAnsi="Times New Roman" w:cs="Times New Roman"/>
                <w:sz w:val="24"/>
                <w:szCs w:val="24"/>
              </w:rPr>
              <w:t xml:space="preserve">3. </w:t>
            </w:r>
            <w:r w:rsidR="006D41E5" w:rsidRPr="00420D8B">
              <w:rPr>
                <w:rFonts w:ascii="Times New Roman" w:hAnsi="Times New Roman" w:cs="Times New Roman"/>
                <w:sz w:val="24"/>
                <w:szCs w:val="24"/>
              </w:rPr>
              <w:t>Increase the safe harbour threshold to $70</w:t>
            </w:r>
            <w:r w:rsidR="006D41E5">
              <w:rPr>
                <w:rFonts w:ascii="Times New Roman" w:hAnsi="Times New Roman" w:cs="Times New Roman"/>
                <w:sz w:val="24"/>
                <w:szCs w:val="24"/>
              </w:rPr>
              <w:t>,000</w:t>
            </w:r>
            <w:r w:rsidR="006D41E5" w:rsidRPr="00420D8B">
              <w:rPr>
                <w:rFonts w:ascii="Times New Roman" w:hAnsi="Times New Roman" w:cs="Times New Roman"/>
                <w:sz w:val="24"/>
                <w:szCs w:val="24"/>
              </w:rPr>
              <w:t xml:space="preserve"> and expansion of safe harbour from </w:t>
            </w:r>
            <w:proofErr w:type="spellStart"/>
            <w:r w:rsidR="006D41E5">
              <w:rPr>
                <w:rFonts w:ascii="Times New Roman" w:hAnsi="Times New Roman" w:cs="Times New Roman"/>
                <w:sz w:val="24"/>
                <w:szCs w:val="24"/>
              </w:rPr>
              <w:t>UOMI</w:t>
            </w:r>
            <w:proofErr w:type="spellEnd"/>
            <w:r w:rsidR="006D41E5" w:rsidRPr="00420D8B">
              <w:rPr>
                <w:rFonts w:ascii="Times New Roman" w:hAnsi="Times New Roman" w:cs="Times New Roman"/>
                <w:sz w:val="24"/>
                <w:szCs w:val="24"/>
              </w:rPr>
              <w:t xml:space="preserve"> to non-individuals</w:t>
            </w:r>
          </w:p>
        </w:tc>
        <w:tc>
          <w:tcPr>
            <w:tcW w:w="5244" w:type="dxa"/>
          </w:tcPr>
          <w:p w:rsidR="00A9203E" w:rsidRPr="005D3931" w:rsidRDefault="00A9203E" w:rsidP="00A9203E">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A9203E" w:rsidRPr="005D3931" w:rsidRDefault="00A9203E" w:rsidP="00A9203E">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A9203E" w:rsidRPr="005D3931" w:rsidRDefault="00183E15" w:rsidP="00A9203E">
            <w:pPr>
              <w:jc w:val="both"/>
              <w:rPr>
                <w:rFonts w:ascii="Times New Roman" w:hAnsi="Times New Roman" w:cs="Times New Roman"/>
                <w:sz w:val="24"/>
                <w:szCs w:val="24"/>
              </w:rPr>
            </w:pPr>
            <w:r>
              <w:rPr>
                <w:rFonts w:ascii="Times New Roman" w:hAnsi="Times New Roman" w:cs="Times New Roman"/>
                <w:i/>
                <w:sz w:val="24"/>
                <w:szCs w:val="24"/>
              </w:rPr>
              <w:t>S</w:t>
            </w:r>
            <w:r w:rsidR="00A9203E" w:rsidRPr="005D3931">
              <w:rPr>
                <w:rFonts w:ascii="Times New Roman" w:hAnsi="Times New Roman" w:cs="Times New Roman"/>
                <w:i/>
                <w:sz w:val="24"/>
                <w:szCs w:val="24"/>
              </w:rPr>
              <w:t>ustainability</w:t>
            </w:r>
            <w:r w:rsidR="00A9203E"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711A45" w:rsidRPr="005D3931" w:rsidRDefault="00A9203E" w:rsidP="00A9203E">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00C1088D">
              <w:rPr>
                <w:rFonts w:ascii="Times New Roman" w:hAnsi="Times New Roman" w:cs="Times New Roman"/>
                <w:i/>
                <w:sz w:val="24"/>
                <w:szCs w:val="24"/>
              </w:rPr>
              <w:t xml:space="preserve">: </w:t>
            </w:r>
            <w:r w:rsidR="00C1088D" w:rsidRPr="008D31DB">
              <w:rPr>
                <w:rFonts w:ascii="Times New Roman" w:hAnsi="Times New Roman" w:cs="Times New Roman"/>
                <w:sz w:val="24"/>
                <w:szCs w:val="24"/>
              </w:rPr>
              <w:t>higher fiscal cost than option 2.</w:t>
            </w:r>
          </w:p>
        </w:tc>
      </w:tr>
      <w:tr w:rsidR="00C1088D" w:rsidRPr="005D3931" w:rsidTr="00C1088D">
        <w:trPr>
          <w:trHeight w:val="20"/>
        </w:trPr>
        <w:tc>
          <w:tcPr>
            <w:tcW w:w="3828" w:type="dxa"/>
          </w:tcPr>
          <w:p w:rsidR="00C1088D" w:rsidRPr="00420D8B" w:rsidRDefault="00C1088D" w:rsidP="008E3413">
            <w:pPr>
              <w:jc w:val="both"/>
              <w:rPr>
                <w:rFonts w:ascii="Times New Roman" w:hAnsi="Times New Roman" w:cs="Times New Roman"/>
                <w:sz w:val="24"/>
                <w:szCs w:val="24"/>
              </w:rPr>
            </w:pPr>
            <w:r w:rsidRPr="00420D8B">
              <w:rPr>
                <w:rFonts w:ascii="Times New Roman" w:hAnsi="Times New Roman" w:cs="Times New Roman"/>
                <w:sz w:val="24"/>
                <w:szCs w:val="24"/>
              </w:rPr>
              <w:t xml:space="preserve">4. </w:t>
            </w:r>
            <w:r w:rsidR="006D41E5" w:rsidRPr="00420D8B">
              <w:rPr>
                <w:rFonts w:ascii="Times New Roman" w:hAnsi="Times New Roman" w:cs="Times New Roman"/>
                <w:sz w:val="24"/>
                <w:szCs w:val="24"/>
              </w:rPr>
              <w:t xml:space="preserve">Increase to the safe harbour from </w:t>
            </w:r>
            <w:proofErr w:type="spellStart"/>
            <w:r w:rsidR="006D41E5">
              <w:rPr>
                <w:rFonts w:ascii="Times New Roman" w:hAnsi="Times New Roman" w:cs="Times New Roman"/>
                <w:sz w:val="24"/>
                <w:szCs w:val="24"/>
              </w:rPr>
              <w:t>UOMI</w:t>
            </w:r>
            <w:proofErr w:type="spellEnd"/>
            <w:r w:rsidR="006D41E5" w:rsidRPr="00420D8B">
              <w:rPr>
                <w:rFonts w:ascii="Times New Roman" w:hAnsi="Times New Roman" w:cs="Times New Roman"/>
                <w:sz w:val="24"/>
                <w:szCs w:val="24"/>
              </w:rPr>
              <w:t xml:space="preserve"> to $60</w:t>
            </w:r>
            <w:r w:rsidR="006D41E5">
              <w:rPr>
                <w:rFonts w:ascii="Times New Roman" w:hAnsi="Times New Roman" w:cs="Times New Roman"/>
                <w:sz w:val="24"/>
                <w:szCs w:val="24"/>
              </w:rPr>
              <w:t>,000</w:t>
            </w:r>
            <w:r w:rsidR="006D41E5" w:rsidRPr="00420D8B">
              <w:rPr>
                <w:rFonts w:ascii="Times New Roman" w:hAnsi="Times New Roman" w:cs="Times New Roman"/>
                <w:sz w:val="24"/>
                <w:szCs w:val="24"/>
              </w:rPr>
              <w:t xml:space="preserve"> with no extension to non-individuals</w:t>
            </w:r>
          </w:p>
        </w:tc>
        <w:tc>
          <w:tcPr>
            <w:tcW w:w="5244" w:type="dxa"/>
          </w:tcPr>
          <w:p w:rsidR="00C1088D" w:rsidRPr="005D3931" w:rsidRDefault="00C1088D" w:rsidP="00C1088D">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C1088D" w:rsidRPr="005D3931" w:rsidRDefault="00C1088D" w:rsidP="00C1088D">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C1088D" w:rsidRPr="005D3931" w:rsidRDefault="00183E15" w:rsidP="00C1088D">
            <w:pPr>
              <w:jc w:val="both"/>
              <w:rPr>
                <w:rFonts w:ascii="Times New Roman" w:hAnsi="Times New Roman" w:cs="Times New Roman"/>
                <w:sz w:val="24"/>
                <w:szCs w:val="24"/>
              </w:rPr>
            </w:pPr>
            <w:r>
              <w:rPr>
                <w:rFonts w:ascii="Times New Roman" w:hAnsi="Times New Roman" w:cs="Times New Roman"/>
                <w:i/>
                <w:sz w:val="24"/>
                <w:szCs w:val="24"/>
              </w:rPr>
              <w:t>S</w:t>
            </w:r>
            <w:r w:rsidR="00C1088D" w:rsidRPr="005D3931">
              <w:rPr>
                <w:rFonts w:ascii="Times New Roman" w:hAnsi="Times New Roman" w:cs="Times New Roman"/>
                <w:i/>
                <w:sz w:val="24"/>
                <w:szCs w:val="24"/>
              </w:rPr>
              <w:t>ustainability</w:t>
            </w:r>
            <w:r w:rsidR="00C1088D"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C1088D" w:rsidRPr="005D3931" w:rsidRDefault="00C1088D" w:rsidP="00C1088D">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Pr>
                <w:rFonts w:ascii="Times New Roman" w:hAnsi="Times New Roman" w:cs="Times New Roman"/>
                <w:i/>
                <w:sz w:val="24"/>
                <w:szCs w:val="24"/>
              </w:rPr>
              <w:t>:</w:t>
            </w:r>
            <w:r w:rsidR="003B249B">
              <w:rPr>
                <w:rFonts w:ascii="Times New Roman" w:hAnsi="Times New Roman" w:cs="Times New Roman"/>
                <w:i/>
                <w:sz w:val="24"/>
                <w:szCs w:val="24"/>
              </w:rPr>
              <w:t xml:space="preserve"> </w:t>
            </w:r>
            <w:r w:rsidR="003B249B" w:rsidRPr="008C2958">
              <w:rPr>
                <w:rFonts w:ascii="Times New Roman" w:hAnsi="Times New Roman" w:cs="Times New Roman"/>
                <w:sz w:val="24"/>
                <w:szCs w:val="24"/>
              </w:rPr>
              <w:t>marginal revenue impact</w:t>
            </w:r>
          </w:p>
        </w:tc>
      </w:tr>
    </w:tbl>
    <w:p w:rsidR="00CD565D" w:rsidRDefault="00CD565D" w:rsidP="00CD565D">
      <w:pPr>
        <w:pStyle w:val="ListParagraph"/>
        <w:spacing w:after="0" w:line="240" w:lineRule="auto"/>
        <w:ind w:left="0"/>
        <w:jc w:val="both"/>
        <w:rPr>
          <w:rFonts w:ascii="Times New Roman" w:hAnsi="Times New Roman" w:cs="Times New Roman"/>
          <w:sz w:val="24"/>
          <w:szCs w:val="24"/>
        </w:rPr>
      </w:pPr>
    </w:p>
    <w:p w:rsidR="00CD565D" w:rsidRPr="008D31DB" w:rsidRDefault="00CD565D" w:rsidP="00CD565D">
      <w:pPr>
        <w:pStyle w:val="ListParagraph"/>
        <w:spacing w:after="0" w:line="240" w:lineRule="auto"/>
        <w:ind w:left="0"/>
        <w:jc w:val="both"/>
        <w:rPr>
          <w:rFonts w:ascii="Times New Roman" w:hAnsi="Times New Roman" w:cs="Times New Roman"/>
          <w:i/>
          <w:sz w:val="24"/>
          <w:szCs w:val="24"/>
        </w:rPr>
      </w:pPr>
      <w:r w:rsidRPr="008D31DB">
        <w:rPr>
          <w:rFonts w:ascii="Times New Roman" w:hAnsi="Times New Roman" w:cs="Times New Roman"/>
          <w:i/>
          <w:sz w:val="24"/>
          <w:szCs w:val="24"/>
        </w:rPr>
        <w:t>Recommendation</w:t>
      </w:r>
    </w:p>
    <w:p w:rsidR="007142F0" w:rsidRDefault="007142F0" w:rsidP="007142F0">
      <w:pPr>
        <w:pStyle w:val="ListParagraph"/>
        <w:spacing w:after="0" w:line="240" w:lineRule="auto"/>
        <w:ind w:left="0"/>
        <w:jc w:val="both"/>
        <w:rPr>
          <w:rFonts w:ascii="Times New Roman" w:hAnsi="Times New Roman" w:cs="Times New Roman"/>
          <w:sz w:val="24"/>
          <w:szCs w:val="24"/>
        </w:rPr>
      </w:pPr>
    </w:p>
    <w:p w:rsidR="0005071B" w:rsidRPr="0005071B" w:rsidRDefault="00597570" w:rsidP="0005071B">
      <w:pPr>
        <w:numPr>
          <w:ilvl w:val="0"/>
          <w:numId w:val="11"/>
        </w:numPr>
        <w:spacing w:after="0" w:line="240" w:lineRule="auto"/>
        <w:ind w:left="0" w:firstLine="0"/>
        <w:contextualSpacing/>
        <w:jc w:val="both"/>
        <w:rPr>
          <w:rFonts w:ascii="Times New Roman" w:hAnsi="Times New Roman" w:cs="Times New Roman"/>
          <w:sz w:val="24"/>
          <w:szCs w:val="24"/>
        </w:rPr>
      </w:pPr>
      <w:r w:rsidRPr="0005071B">
        <w:rPr>
          <w:rFonts w:ascii="Times New Roman" w:hAnsi="Times New Roman" w:cs="Times New Roman"/>
          <w:sz w:val="24"/>
          <w:szCs w:val="24"/>
        </w:rPr>
        <w:t xml:space="preserve">Officials recommend option 2 to increase the safe harbour from </w:t>
      </w:r>
      <w:proofErr w:type="spellStart"/>
      <w:r w:rsidR="0045650F">
        <w:rPr>
          <w:rFonts w:ascii="Times New Roman" w:hAnsi="Times New Roman" w:cs="Times New Roman"/>
          <w:sz w:val="24"/>
          <w:szCs w:val="24"/>
        </w:rPr>
        <w:t>UOMI</w:t>
      </w:r>
      <w:proofErr w:type="spellEnd"/>
      <w:r w:rsidRPr="0005071B">
        <w:rPr>
          <w:rFonts w:ascii="Times New Roman" w:hAnsi="Times New Roman" w:cs="Times New Roman"/>
          <w:sz w:val="24"/>
          <w:szCs w:val="24"/>
        </w:rPr>
        <w:t xml:space="preserve"> to $60,000 and to extend it to non-individual taxpayers. This option deals with the problems of uncertainty of tax payments</w:t>
      </w:r>
      <w:r w:rsidR="0005071B">
        <w:rPr>
          <w:rFonts w:ascii="Times New Roman" w:hAnsi="Times New Roman" w:cs="Times New Roman"/>
          <w:sz w:val="24"/>
          <w:szCs w:val="24"/>
        </w:rPr>
        <w:t xml:space="preserve"> and</w:t>
      </w:r>
      <w:r w:rsidRPr="0005071B">
        <w:rPr>
          <w:rFonts w:ascii="Times New Roman" w:hAnsi="Times New Roman" w:cs="Times New Roman"/>
          <w:sz w:val="24"/>
          <w:szCs w:val="24"/>
        </w:rPr>
        <w:t xml:space="preserve"> reduces the stress that some taxpayers with low levels of tax payments feel over provisional tax and the application of </w:t>
      </w:r>
      <w:proofErr w:type="spellStart"/>
      <w:r w:rsidR="0045650F">
        <w:rPr>
          <w:rFonts w:ascii="Times New Roman" w:hAnsi="Times New Roman" w:cs="Times New Roman"/>
          <w:sz w:val="24"/>
          <w:szCs w:val="24"/>
        </w:rPr>
        <w:t>UOMI</w:t>
      </w:r>
      <w:proofErr w:type="spellEnd"/>
      <w:r w:rsidRPr="0005071B">
        <w:rPr>
          <w:rFonts w:ascii="Times New Roman" w:hAnsi="Times New Roman" w:cs="Times New Roman"/>
          <w:sz w:val="24"/>
          <w:szCs w:val="24"/>
        </w:rPr>
        <w:t>.</w:t>
      </w:r>
      <w:r w:rsidR="008C2958" w:rsidRPr="0005071B">
        <w:rPr>
          <w:rFonts w:ascii="Times New Roman" w:hAnsi="Times New Roman" w:cs="Times New Roman"/>
          <w:sz w:val="24"/>
          <w:szCs w:val="24"/>
        </w:rPr>
        <w:t xml:space="preserve"> As a result 67,000 taxpayers will no longer be subject to </w:t>
      </w:r>
      <w:proofErr w:type="spellStart"/>
      <w:r w:rsidR="0045650F">
        <w:rPr>
          <w:rFonts w:ascii="Times New Roman" w:hAnsi="Times New Roman" w:cs="Times New Roman"/>
          <w:sz w:val="24"/>
          <w:szCs w:val="24"/>
        </w:rPr>
        <w:t>UOMI</w:t>
      </w:r>
      <w:proofErr w:type="spellEnd"/>
      <w:r w:rsidR="008C2958" w:rsidRPr="0005071B">
        <w:rPr>
          <w:rFonts w:ascii="Times New Roman" w:hAnsi="Times New Roman" w:cs="Times New Roman"/>
          <w:sz w:val="24"/>
          <w:szCs w:val="24"/>
        </w:rPr>
        <w:t>.</w:t>
      </w:r>
      <w:r w:rsidR="0005071B">
        <w:rPr>
          <w:rFonts w:ascii="Times New Roman" w:hAnsi="Times New Roman" w:cs="Times New Roman"/>
          <w:sz w:val="24"/>
          <w:szCs w:val="24"/>
        </w:rPr>
        <w:t xml:space="preserve"> </w:t>
      </w:r>
      <w:r w:rsidR="0005071B" w:rsidRPr="0005071B">
        <w:rPr>
          <w:rFonts w:ascii="Times New Roman" w:hAnsi="Times New Roman" w:cs="Times New Roman"/>
          <w:sz w:val="24"/>
          <w:szCs w:val="24"/>
        </w:rPr>
        <w:t xml:space="preserve">Option 2 has been chosen over the other options principally on the basis that option 3 does not fit within fiscal constraints and option 4 </w:t>
      </w:r>
      <w:r w:rsidR="006875AD">
        <w:rPr>
          <w:rFonts w:ascii="Times New Roman" w:hAnsi="Times New Roman" w:cs="Times New Roman"/>
          <w:sz w:val="24"/>
          <w:szCs w:val="24"/>
        </w:rPr>
        <w:t>a</w:t>
      </w:r>
      <w:r w:rsidR="0005071B" w:rsidRPr="0005071B">
        <w:rPr>
          <w:rFonts w:ascii="Times New Roman" w:hAnsi="Times New Roman" w:cs="Times New Roman"/>
          <w:sz w:val="24"/>
          <w:szCs w:val="24"/>
        </w:rPr>
        <w:t>ffects very few taxpayers.</w:t>
      </w:r>
    </w:p>
    <w:p w:rsidR="00CD565D" w:rsidRPr="00D94BDF" w:rsidRDefault="00CD565D" w:rsidP="00CD565D">
      <w:pPr>
        <w:pStyle w:val="ListParagraph"/>
        <w:spacing w:after="0" w:line="240" w:lineRule="auto"/>
        <w:ind w:left="0"/>
        <w:jc w:val="both"/>
        <w:rPr>
          <w:rFonts w:ascii="Times New Roman" w:hAnsi="Times New Roman" w:cs="Times New Roman"/>
          <w:sz w:val="24"/>
          <w:szCs w:val="24"/>
        </w:rPr>
      </w:pPr>
    </w:p>
    <w:p w:rsidR="00CD565D" w:rsidRPr="008D31DB" w:rsidRDefault="007E4C33" w:rsidP="008D31DB">
      <w:pPr>
        <w:pStyle w:val="ListParagraph"/>
        <w:spacing w:after="0" w:line="240" w:lineRule="auto"/>
        <w:ind w:left="0"/>
        <w:jc w:val="both"/>
        <w:rPr>
          <w:rFonts w:ascii="Times New Roman" w:hAnsi="Times New Roman" w:cs="Times New Roman"/>
          <w:i/>
          <w:sz w:val="24"/>
          <w:szCs w:val="24"/>
          <w:u w:val="single"/>
        </w:rPr>
      </w:pPr>
      <w:r w:rsidRPr="008D31DB">
        <w:rPr>
          <w:rFonts w:ascii="Times New Roman" w:hAnsi="Times New Roman" w:cs="Times New Roman"/>
          <w:i/>
          <w:sz w:val="24"/>
          <w:szCs w:val="24"/>
          <w:u w:val="single"/>
        </w:rPr>
        <w:t>Remove the a</w:t>
      </w:r>
      <w:r w:rsidR="00CD565D" w:rsidRPr="008D31DB">
        <w:rPr>
          <w:rFonts w:ascii="Times New Roman" w:hAnsi="Times New Roman" w:cs="Times New Roman"/>
          <w:i/>
          <w:sz w:val="24"/>
          <w:szCs w:val="24"/>
          <w:u w:val="single"/>
        </w:rPr>
        <w:t xml:space="preserve">pplication of </w:t>
      </w:r>
      <w:proofErr w:type="spellStart"/>
      <w:r w:rsidR="0045650F" w:rsidRPr="008D31DB">
        <w:rPr>
          <w:rFonts w:ascii="Times New Roman" w:hAnsi="Times New Roman" w:cs="Times New Roman"/>
          <w:i/>
          <w:sz w:val="24"/>
          <w:szCs w:val="24"/>
          <w:u w:val="single"/>
        </w:rPr>
        <w:t>UOMI</w:t>
      </w:r>
      <w:proofErr w:type="spellEnd"/>
    </w:p>
    <w:p w:rsidR="00CD565D" w:rsidRDefault="00CD565D" w:rsidP="00CD565D">
      <w:pPr>
        <w:pStyle w:val="ListParagraph"/>
        <w:spacing w:after="0" w:line="240" w:lineRule="auto"/>
        <w:ind w:left="0"/>
        <w:jc w:val="both"/>
        <w:rPr>
          <w:rFonts w:ascii="Times New Roman" w:hAnsi="Times New Roman" w:cs="Times New Roman"/>
          <w:sz w:val="24"/>
          <w:szCs w:val="24"/>
        </w:rPr>
      </w:pPr>
    </w:p>
    <w:p w:rsidR="009E0294" w:rsidRPr="009E0294" w:rsidRDefault="00BC4098" w:rsidP="00CD565D">
      <w:pPr>
        <w:pStyle w:val="ListParagraph"/>
        <w:numPr>
          <w:ilvl w:val="0"/>
          <w:numId w:val="11"/>
        </w:numPr>
        <w:spacing w:after="0" w:line="240" w:lineRule="auto"/>
        <w:ind w:left="0" w:firstLine="0"/>
        <w:jc w:val="both"/>
        <w:rPr>
          <w:rFonts w:ascii="Times New Roman" w:hAnsi="Times New Roman" w:cs="Times New Roman"/>
          <w:b/>
          <w:sz w:val="24"/>
          <w:szCs w:val="24"/>
        </w:rPr>
      </w:pPr>
      <w:r>
        <w:rPr>
          <w:rFonts w:ascii="Times New Roman" w:hAnsi="Times New Roman"/>
          <w:sz w:val="24"/>
          <w:szCs w:val="24"/>
        </w:rPr>
        <w:t>In some cases</w:t>
      </w:r>
      <w:r w:rsidR="006E7D65">
        <w:rPr>
          <w:rFonts w:ascii="Times New Roman" w:hAnsi="Times New Roman"/>
          <w:sz w:val="24"/>
          <w:szCs w:val="24"/>
        </w:rPr>
        <w:t xml:space="preserve"> taxpayers who use the best information available to them to </w:t>
      </w:r>
      <w:r w:rsidR="000302D3">
        <w:rPr>
          <w:rFonts w:ascii="Times New Roman" w:hAnsi="Times New Roman"/>
          <w:sz w:val="24"/>
          <w:szCs w:val="24"/>
        </w:rPr>
        <w:t>pay</w:t>
      </w:r>
      <w:r w:rsidR="006E7D65">
        <w:rPr>
          <w:rFonts w:ascii="Times New Roman" w:hAnsi="Times New Roman"/>
          <w:sz w:val="24"/>
          <w:szCs w:val="24"/>
        </w:rPr>
        <w:t xml:space="preserve"> their provisional tax payments are </w:t>
      </w:r>
      <w:r w:rsidR="000302D3">
        <w:rPr>
          <w:rFonts w:ascii="Times New Roman" w:hAnsi="Times New Roman"/>
          <w:sz w:val="24"/>
          <w:szCs w:val="24"/>
        </w:rPr>
        <w:t xml:space="preserve">effectively </w:t>
      </w:r>
      <w:r w:rsidR="006E7D65">
        <w:rPr>
          <w:rFonts w:ascii="Times New Roman" w:hAnsi="Times New Roman"/>
          <w:sz w:val="24"/>
          <w:szCs w:val="24"/>
        </w:rPr>
        <w:t xml:space="preserve">penalised. </w:t>
      </w:r>
      <w:r w:rsidR="008121B2">
        <w:rPr>
          <w:rFonts w:ascii="Times New Roman" w:hAnsi="Times New Roman"/>
          <w:sz w:val="24"/>
          <w:szCs w:val="24"/>
        </w:rPr>
        <w:t xml:space="preserve">For taxpayers who use the </w:t>
      </w:r>
      <w:r w:rsidR="00597570">
        <w:rPr>
          <w:rFonts w:ascii="Times New Roman" w:hAnsi="Times New Roman"/>
          <w:sz w:val="24"/>
          <w:szCs w:val="24"/>
        </w:rPr>
        <w:t xml:space="preserve">standard </w:t>
      </w:r>
      <w:r w:rsidR="008121B2">
        <w:rPr>
          <w:rFonts w:ascii="Times New Roman" w:hAnsi="Times New Roman"/>
          <w:sz w:val="24"/>
          <w:szCs w:val="24"/>
        </w:rPr>
        <w:t>uplift method of calculating provisional tax, i</w:t>
      </w:r>
      <w:r w:rsidR="008121B2" w:rsidRPr="008121B2">
        <w:rPr>
          <w:rFonts w:ascii="Times New Roman" w:hAnsi="Times New Roman"/>
          <w:sz w:val="24"/>
          <w:szCs w:val="24"/>
        </w:rPr>
        <w:t>f the</w:t>
      </w:r>
      <w:r w:rsidR="008121B2">
        <w:rPr>
          <w:rFonts w:ascii="Times New Roman" w:hAnsi="Times New Roman"/>
          <w:sz w:val="24"/>
          <w:szCs w:val="24"/>
        </w:rPr>
        <w:t>ir</w:t>
      </w:r>
      <w:r w:rsidR="008121B2" w:rsidRPr="008121B2">
        <w:rPr>
          <w:rFonts w:ascii="Times New Roman" w:hAnsi="Times New Roman"/>
          <w:sz w:val="24"/>
          <w:szCs w:val="24"/>
        </w:rPr>
        <w:t xml:space="preserve"> </w:t>
      </w:r>
      <w:r w:rsidR="00EB2384">
        <w:rPr>
          <w:rFonts w:ascii="Times New Roman" w:hAnsi="Times New Roman"/>
          <w:sz w:val="24"/>
          <w:szCs w:val="24"/>
        </w:rPr>
        <w:t>residual income tax (</w:t>
      </w:r>
      <w:proofErr w:type="spellStart"/>
      <w:r w:rsidR="008121B2" w:rsidRPr="008121B2">
        <w:rPr>
          <w:rFonts w:ascii="Times New Roman" w:hAnsi="Times New Roman"/>
          <w:sz w:val="24"/>
          <w:szCs w:val="24"/>
        </w:rPr>
        <w:t>RIT</w:t>
      </w:r>
      <w:proofErr w:type="spellEnd"/>
      <w:r w:rsidR="00EB2384">
        <w:rPr>
          <w:rFonts w:ascii="Times New Roman" w:hAnsi="Times New Roman"/>
          <w:sz w:val="24"/>
          <w:szCs w:val="24"/>
        </w:rPr>
        <w:t>)</w:t>
      </w:r>
      <w:r w:rsidR="008121B2" w:rsidRPr="008121B2">
        <w:rPr>
          <w:rFonts w:ascii="Times New Roman" w:hAnsi="Times New Roman"/>
          <w:sz w:val="24"/>
          <w:szCs w:val="24"/>
        </w:rPr>
        <w:t xml:space="preserve"> exceeds the safe harbour threshold and is different from the instalments paid during the year, </w:t>
      </w:r>
      <w:proofErr w:type="spellStart"/>
      <w:r w:rsidR="0045650F">
        <w:rPr>
          <w:rFonts w:ascii="Times New Roman" w:hAnsi="Times New Roman"/>
          <w:sz w:val="24"/>
          <w:szCs w:val="24"/>
        </w:rPr>
        <w:t>UOMI</w:t>
      </w:r>
      <w:proofErr w:type="spellEnd"/>
      <w:r w:rsidR="008121B2" w:rsidRPr="008121B2">
        <w:rPr>
          <w:rFonts w:ascii="Times New Roman" w:hAnsi="Times New Roman"/>
          <w:sz w:val="24"/>
          <w:szCs w:val="24"/>
        </w:rPr>
        <w:t xml:space="preserve"> will apply from the first instalment date. Although this seeks to compensate the party who ends up funding this difference in tax liability</w:t>
      </w:r>
      <w:r w:rsidR="008121B2">
        <w:rPr>
          <w:rFonts w:ascii="Times New Roman" w:hAnsi="Times New Roman"/>
          <w:sz w:val="24"/>
          <w:szCs w:val="24"/>
        </w:rPr>
        <w:t xml:space="preserve">, it can result in taxpayers overpaying their tax to ensure they end up being the funding party so as not to incur large amounts of </w:t>
      </w:r>
      <w:proofErr w:type="spellStart"/>
      <w:r w:rsidR="0045650F">
        <w:rPr>
          <w:rFonts w:ascii="Times New Roman" w:hAnsi="Times New Roman"/>
          <w:sz w:val="24"/>
          <w:szCs w:val="24"/>
        </w:rPr>
        <w:t>UOMI</w:t>
      </w:r>
      <w:proofErr w:type="spellEnd"/>
      <w:r w:rsidR="008121B2">
        <w:rPr>
          <w:rFonts w:ascii="Times New Roman" w:hAnsi="Times New Roman"/>
          <w:sz w:val="24"/>
          <w:szCs w:val="24"/>
        </w:rPr>
        <w:t>.</w:t>
      </w:r>
    </w:p>
    <w:p w:rsidR="009E0294" w:rsidRPr="009E0294" w:rsidRDefault="009E0294" w:rsidP="009E0294">
      <w:pPr>
        <w:pStyle w:val="ListParagraph"/>
        <w:spacing w:after="0" w:line="240" w:lineRule="auto"/>
        <w:ind w:left="0"/>
        <w:jc w:val="both"/>
        <w:rPr>
          <w:rFonts w:ascii="Times New Roman" w:hAnsi="Times New Roman" w:cs="Times New Roman"/>
          <w:b/>
          <w:sz w:val="24"/>
          <w:szCs w:val="24"/>
        </w:rPr>
      </w:pPr>
    </w:p>
    <w:p w:rsidR="00CD565D" w:rsidRPr="008121B2" w:rsidRDefault="00463E14" w:rsidP="00CD565D">
      <w:pPr>
        <w:pStyle w:val="ListParagraph"/>
        <w:numPr>
          <w:ilvl w:val="0"/>
          <w:numId w:val="11"/>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These options are summarised below and are outlined further in</w:t>
      </w:r>
      <w:r w:rsidDel="00463E14">
        <w:rPr>
          <w:rFonts w:ascii="Times New Roman" w:hAnsi="Times New Roman"/>
          <w:sz w:val="24"/>
          <w:szCs w:val="24"/>
        </w:rPr>
        <w:t xml:space="preserve"> </w:t>
      </w:r>
      <w:r w:rsidR="006E7D65">
        <w:rPr>
          <w:rFonts w:ascii="Times New Roman" w:hAnsi="Times New Roman"/>
          <w:sz w:val="24"/>
          <w:szCs w:val="24"/>
        </w:rPr>
        <w:t>appendix</w:t>
      </w:r>
      <w:r w:rsidR="005C245B">
        <w:rPr>
          <w:rFonts w:ascii="Times New Roman" w:hAnsi="Times New Roman"/>
          <w:sz w:val="24"/>
          <w:szCs w:val="24"/>
        </w:rPr>
        <w:t xml:space="preserve"> A-2</w:t>
      </w:r>
      <w:r w:rsidR="006E7D65">
        <w:rPr>
          <w:rFonts w:ascii="Times New Roman" w:hAnsi="Times New Roman"/>
          <w:sz w:val="24"/>
          <w:szCs w:val="24"/>
        </w:rPr>
        <w:t>.</w:t>
      </w:r>
    </w:p>
    <w:p w:rsidR="008121B2" w:rsidRPr="008121B2" w:rsidRDefault="008121B2" w:rsidP="006E7D65">
      <w:pPr>
        <w:pStyle w:val="ListParagraph"/>
        <w:spacing w:after="0" w:line="240" w:lineRule="auto"/>
        <w:ind w:left="0"/>
        <w:jc w:val="both"/>
        <w:rPr>
          <w:rFonts w:ascii="Times New Roman" w:hAnsi="Times New Roman" w:cs="Times New Roman"/>
          <w:b/>
          <w:sz w:val="24"/>
          <w:szCs w:val="24"/>
        </w:rPr>
      </w:pPr>
    </w:p>
    <w:tbl>
      <w:tblPr>
        <w:tblStyle w:val="TableGrid"/>
        <w:tblW w:w="9072" w:type="dxa"/>
        <w:tblInd w:w="108" w:type="dxa"/>
        <w:tblLook w:val="04A0" w:firstRow="1" w:lastRow="0" w:firstColumn="1" w:lastColumn="0" w:noHBand="0" w:noVBand="1"/>
      </w:tblPr>
      <w:tblGrid>
        <w:gridCol w:w="3828"/>
        <w:gridCol w:w="5244"/>
      </w:tblGrid>
      <w:tr w:rsidR="00CD565D" w:rsidRPr="005D3931" w:rsidTr="005341D1">
        <w:tc>
          <w:tcPr>
            <w:tcW w:w="3828" w:type="dxa"/>
          </w:tcPr>
          <w:p w:rsidR="00CD565D" w:rsidRPr="005D3931" w:rsidRDefault="00CD565D" w:rsidP="005341D1">
            <w:pPr>
              <w:jc w:val="both"/>
              <w:rPr>
                <w:rFonts w:ascii="Times New Roman" w:hAnsi="Times New Roman" w:cs="Times New Roman"/>
                <w:b/>
                <w:sz w:val="24"/>
                <w:szCs w:val="24"/>
              </w:rPr>
            </w:pPr>
            <w:r w:rsidRPr="005D3931">
              <w:rPr>
                <w:rFonts w:ascii="Times New Roman" w:hAnsi="Times New Roman" w:cs="Times New Roman"/>
                <w:b/>
                <w:sz w:val="24"/>
                <w:szCs w:val="24"/>
              </w:rPr>
              <w:t>Options</w:t>
            </w:r>
          </w:p>
        </w:tc>
        <w:tc>
          <w:tcPr>
            <w:tcW w:w="5244" w:type="dxa"/>
          </w:tcPr>
          <w:p w:rsidR="00CD565D" w:rsidRPr="005D3931" w:rsidRDefault="00CD565D" w:rsidP="005341D1">
            <w:pPr>
              <w:jc w:val="both"/>
              <w:rPr>
                <w:rFonts w:ascii="Times New Roman" w:hAnsi="Times New Roman" w:cs="Times New Roman"/>
                <w:b/>
                <w:sz w:val="24"/>
                <w:szCs w:val="24"/>
              </w:rPr>
            </w:pPr>
            <w:r w:rsidRPr="005D3931">
              <w:rPr>
                <w:rFonts w:ascii="Times New Roman" w:hAnsi="Times New Roman" w:cs="Times New Roman"/>
                <w:b/>
                <w:sz w:val="24"/>
                <w:szCs w:val="24"/>
              </w:rPr>
              <w:t>Analysis against the objectives</w:t>
            </w:r>
          </w:p>
        </w:tc>
      </w:tr>
      <w:tr w:rsidR="00CD565D" w:rsidRPr="005D3931" w:rsidTr="005341D1">
        <w:trPr>
          <w:trHeight w:val="729"/>
        </w:trPr>
        <w:tc>
          <w:tcPr>
            <w:tcW w:w="3828" w:type="dxa"/>
          </w:tcPr>
          <w:p w:rsidR="00CD565D" w:rsidRPr="00420D8B" w:rsidRDefault="00CD565D" w:rsidP="005341D1">
            <w:pPr>
              <w:jc w:val="both"/>
              <w:rPr>
                <w:rFonts w:ascii="Times New Roman" w:hAnsi="Times New Roman" w:cs="Times New Roman"/>
                <w:sz w:val="24"/>
                <w:szCs w:val="24"/>
              </w:rPr>
            </w:pPr>
            <w:r w:rsidRPr="00420D8B">
              <w:rPr>
                <w:rFonts w:ascii="Times New Roman" w:hAnsi="Times New Roman" w:cs="Times New Roman"/>
                <w:sz w:val="24"/>
                <w:szCs w:val="24"/>
              </w:rPr>
              <w:t xml:space="preserve">1. </w:t>
            </w:r>
            <w:r w:rsidR="005341D1" w:rsidRPr="00420D8B">
              <w:rPr>
                <w:rFonts w:ascii="Times New Roman" w:hAnsi="Times New Roman" w:cs="Times New Roman"/>
                <w:sz w:val="24"/>
                <w:szCs w:val="24"/>
              </w:rPr>
              <w:t>Retain the s</w:t>
            </w:r>
            <w:r w:rsidRPr="00420D8B">
              <w:rPr>
                <w:rFonts w:ascii="Times New Roman" w:hAnsi="Times New Roman" w:cs="Times New Roman"/>
                <w:sz w:val="24"/>
                <w:szCs w:val="24"/>
              </w:rPr>
              <w:t>tatus quo</w:t>
            </w:r>
          </w:p>
        </w:tc>
        <w:tc>
          <w:tcPr>
            <w:tcW w:w="5244" w:type="dxa"/>
          </w:tcPr>
          <w:p w:rsidR="00CD565D" w:rsidRPr="005D3931" w:rsidRDefault="00CD565D" w:rsidP="005341D1">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CD565D" w:rsidRPr="005D3931" w:rsidRDefault="00CD565D" w:rsidP="005341D1">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CD565D" w:rsidRPr="005D3931" w:rsidRDefault="00183E15" w:rsidP="005341D1">
            <w:pPr>
              <w:jc w:val="both"/>
              <w:rPr>
                <w:rFonts w:ascii="Times New Roman" w:hAnsi="Times New Roman" w:cs="Times New Roman"/>
                <w:sz w:val="24"/>
                <w:szCs w:val="24"/>
              </w:rPr>
            </w:pPr>
            <w:r>
              <w:rPr>
                <w:rFonts w:ascii="Times New Roman" w:hAnsi="Times New Roman" w:cs="Times New Roman"/>
                <w:i/>
                <w:sz w:val="24"/>
                <w:szCs w:val="24"/>
              </w:rPr>
              <w:t>S</w:t>
            </w:r>
            <w:r w:rsidR="00CD565D" w:rsidRPr="005D3931">
              <w:rPr>
                <w:rFonts w:ascii="Times New Roman" w:hAnsi="Times New Roman" w:cs="Times New Roman"/>
                <w:i/>
                <w:sz w:val="24"/>
                <w:szCs w:val="24"/>
              </w:rPr>
              <w:t>ustainability</w:t>
            </w:r>
            <w:r w:rsidR="00CD565D"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CD565D" w:rsidRPr="005D3931" w:rsidRDefault="00CD565D" w:rsidP="005341D1">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Pr>
                <w:rFonts w:ascii="Times New Roman" w:hAnsi="Times New Roman" w:cs="Times New Roman"/>
                <w:i/>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tc>
      </w:tr>
      <w:tr w:rsidR="00CD565D" w:rsidRPr="005D3931" w:rsidTr="005341D1">
        <w:tc>
          <w:tcPr>
            <w:tcW w:w="3828" w:type="dxa"/>
          </w:tcPr>
          <w:p w:rsidR="00CD565D" w:rsidRPr="00420D8B" w:rsidRDefault="00D94BDF" w:rsidP="005341D1">
            <w:pPr>
              <w:jc w:val="both"/>
              <w:rPr>
                <w:rFonts w:ascii="Times New Roman" w:hAnsi="Times New Roman" w:cs="Times New Roman"/>
                <w:sz w:val="24"/>
                <w:szCs w:val="24"/>
              </w:rPr>
            </w:pPr>
            <w:r>
              <w:rPr>
                <w:rFonts w:ascii="Times New Roman" w:hAnsi="Times New Roman" w:cs="Times New Roman"/>
                <w:sz w:val="24"/>
                <w:szCs w:val="24"/>
              </w:rPr>
              <w:t>2</w:t>
            </w:r>
            <w:r w:rsidR="00CD565D" w:rsidRPr="00420D8B">
              <w:rPr>
                <w:rFonts w:ascii="Times New Roman" w:hAnsi="Times New Roman" w:cs="Times New Roman"/>
                <w:sz w:val="24"/>
                <w:szCs w:val="24"/>
              </w:rPr>
              <w:t>. Remov</w:t>
            </w:r>
            <w:r w:rsidR="005341D1" w:rsidRPr="00420D8B">
              <w:rPr>
                <w:rFonts w:ascii="Times New Roman" w:hAnsi="Times New Roman" w:cs="Times New Roman"/>
                <w:sz w:val="24"/>
                <w:szCs w:val="24"/>
              </w:rPr>
              <w:t>e</w:t>
            </w:r>
            <w:r w:rsidR="00CD565D" w:rsidRPr="00420D8B">
              <w:rPr>
                <w:rFonts w:ascii="Times New Roman" w:hAnsi="Times New Roman" w:cs="Times New Roman"/>
                <w:sz w:val="24"/>
                <w:szCs w:val="24"/>
              </w:rPr>
              <w:t xml:space="preserve"> the application of </w:t>
            </w:r>
            <w:proofErr w:type="spellStart"/>
            <w:r w:rsidR="0045650F">
              <w:rPr>
                <w:rFonts w:ascii="Times New Roman" w:hAnsi="Times New Roman" w:cs="Times New Roman"/>
                <w:sz w:val="24"/>
                <w:szCs w:val="24"/>
              </w:rPr>
              <w:t>UOMI</w:t>
            </w:r>
            <w:proofErr w:type="spellEnd"/>
            <w:r w:rsidR="00CD565D" w:rsidRPr="00420D8B">
              <w:rPr>
                <w:rFonts w:ascii="Times New Roman" w:hAnsi="Times New Roman" w:cs="Times New Roman"/>
                <w:sz w:val="24"/>
                <w:szCs w:val="24"/>
              </w:rPr>
              <w:t xml:space="preserve"> for </w:t>
            </w:r>
            <w:r w:rsidR="00CD565D" w:rsidRPr="008D31DB">
              <w:rPr>
                <w:rFonts w:ascii="Times New Roman" w:hAnsi="Times New Roman" w:cs="Times New Roman"/>
                <w:b/>
                <w:sz w:val="24"/>
                <w:szCs w:val="24"/>
              </w:rPr>
              <w:t>the first two provisional tax payments</w:t>
            </w:r>
            <w:r w:rsidR="00CD565D" w:rsidRPr="00420D8B">
              <w:rPr>
                <w:rFonts w:ascii="Times New Roman" w:hAnsi="Times New Roman" w:cs="Times New Roman"/>
                <w:sz w:val="24"/>
                <w:szCs w:val="24"/>
              </w:rPr>
              <w:t xml:space="preserve"> for all taxpayers who use the </w:t>
            </w:r>
            <w:r w:rsidR="00597570" w:rsidRPr="00420D8B">
              <w:rPr>
                <w:rFonts w:ascii="Times New Roman" w:hAnsi="Times New Roman" w:cs="Times New Roman"/>
                <w:sz w:val="24"/>
                <w:szCs w:val="24"/>
              </w:rPr>
              <w:t xml:space="preserve">standard </w:t>
            </w:r>
            <w:r w:rsidR="00CD565D" w:rsidRPr="00420D8B">
              <w:rPr>
                <w:rFonts w:ascii="Times New Roman" w:hAnsi="Times New Roman" w:cs="Times New Roman"/>
                <w:sz w:val="24"/>
                <w:szCs w:val="24"/>
              </w:rPr>
              <w:t>uplift method</w:t>
            </w:r>
          </w:p>
        </w:tc>
        <w:tc>
          <w:tcPr>
            <w:tcW w:w="5244" w:type="dxa"/>
          </w:tcPr>
          <w:p w:rsidR="00CD565D" w:rsidRPr="005D3931" w:rsidRDefault="00CD565D" w:rsidP="005341D1">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CD565D" w:rsidRPr="005D3931" w:rsidRDefault="00CD565D" w:rsidP="005341D1">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CD565D" w:rsidRPr="005D3931" w:rsidRDefault="00183E15" w:rsidP="005341D1">
            <w:pPr>
              <w:jc w:val="both"/>
              <w:rPr>
                <w:rFonts w:ascii="Times New Roman" w:hAnsi="Times New Roman" w:cs="Times New Roman"/>
                <w:sz w:val="24"/>
                <w:szCs w:val="24"/>
              </w:rPr>
            </w:pPr>
            <w:r>
              <w:rPr>
                <w:rFonts w:ascii="Times New Roman" w:hAnsi="Times New Roman" w:cs="Times New Roman"/>
                <w:i/>
                <w:sz w:val="24"/>
                <w:szCs w:val="24"/>
              </w:rPr>
              <w:t>S</w:t>
            </w:r>
            <w:r w:rsidR="00CD565D" w:rsidRPr="005D3931">
              <w:rPr>
                <w:rFonts w:ascii="Times New Roman" w:hAnsi="Times New Roman" w:cs="Times New Roman"/>
                <w:i/>
                <w:sz w:val="24"/>
                <w:szCs w:val="24"/>
              </w:rPr>
              <w:t>ustainability</w:t>
            </w:r>
            <w:r w:rsidR="00CD565D"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CD565D" w:rsidRPr="005D3931" w:rsidRDefault="00CD565D" w:rsidP="00607E1F">
            <w:pPr>
              <w:ind w:left="1026" w:hanging="1026"/>
              <w:jc w:val="both"/>
              <w:rPr>
                <w:rFonts w:ascii="Times New Roman" w:hAnsi="Times New Roman" w:cs="Times New Roman"/>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Pr>
                <w:rFonts w:ascii="Times New Roman" w:hAnsi="Times New Roman" w:cs="Times New Roman"/>
                <w:sz w:val="24"/>
                <w:szCs w:val="24"/>
              </w:rPr>
              <w:t xml:space="preserve"> revenue cost of $7.5</w:t>
            </w:r>
            <w:r w:rsidR="008C2958">
              <w:rPr>
                <w:rFonts w:ascii="Times New Roman" w:hAnsi="Times New Roman" w:cs="Times New Roman"/>
                <w:sz w:val="24"/>
                <w:szCs w:val="24"/>
              </w:rPr>
              <w:t xml:space="preserve"> </w:t>
            </w:r>
            <w:r>
              <w:rPr>
                <w:rFonts w:ascii="Times New Roman" w:hAnsi="Times New Roman" w:cs="Times New Roman"/>
                <w:sz w:val="24"/>
                <w:szCs w:val="24"/>
              </w:rPr>
              <w:t>m</w:t>
            </w:r>
            <w:r w:rsidR="008C2958">
              <w:rPr>
                <w:rFonts w:ascii="Times New Roman" w:hAnsi="Times New Roman" w:cs="Times New Roman"/>
                <w:sz w:val="24"/>
                <w:szCs w:val="24"/>
              </w:rPr>
              <w:t>illion</w:t>
            </w:r>
            <w:r>
              <w:rPr>
                <w:rFonts w:ascii="Times New Roman" w:hAnsi="Times New Roman" w:cs="Times New Roman"/>
                <w:sz w:val="24"/>
                <w:szCs w:val="24"/>
              </w:rPr>
              <w:t xml:space="preserve"> and a cash</w:t>
            </w:r>
            <w:r w:rsidR="00DE2246">
              <w:rPr>
                <w:rFonts w:ascii="Times New Roman" w:hAnsi="Times New Roman" w:cs="Times New Roman"/>
                <w:sz w:val="24"/>
                <w:szCs w:val="24"/>
              </w:rPr>
              <w:t>-</w:t>
            </w:r>
            <w:r>
              <w:rPr>
                <w:rFonts w:ascii="Times New Roman" w:hAnsi="Times New Roman" w:cs="Times New Roman"/>
                <w:sz w:val="24"/>
                <w:szCs w:val="24"/>
              </w:rPr>
              <w:t>flow cost of $334</w:t>
            </w:r>
            <w:r w:rsidR="008C2958">
              <w:rPr>
                <w:rFonts w:ascii="Times New Roman" w:hAnsi="Times New Roman" w:cs="Times New Roman"/>
                <w:sz w:val="24"/>
                <w:szCs w:val="24"/>
              </w:rPr>
              <w:t xml:space="preserve"> </w:t>
            </w:r>
            <w:r>
              <w:rPr>
                <w:rFonts w:ascii="Times New Roman" w:hAnsi="Times New Roman" w:cs="Times New Roman"/>
                <w:sz w:val="24"/>
                <w:szCs w:val="24"/>
              </w:rPr>
              <w:t>m</w:t>
            </w:r>
            <w:r w:rsidR="008C2958">
              <w:rPr>
                <w:rFonts w:ascii="Times New Roman" w:hAnsi="Times New Roman" w:cs="Times New Roman"/>
                <w:sz w:val="24"/>
                <w:szCs w:val="24"/>
              </w:rPr>
              <w:t>illion</w:t>
            </w:r>
            <w:r w:rsidR="00607E1F">
              <w:rPr>
                <w:rFonts w:ascii="Times New Roman" w:hAnsi="Times New Roman" w:cs="Times New Roman"/>
                <w:sz w:val="24"/>
                <w:szCs w:val="24"/>
              </w:rPr>
              <w:t xml:space="preserve"> over 4 years</w:t>
            </w:r>
          </w:p>
        </w:tc>
      </w:tr>
      <w:tr w:rsidR="008F1D87" w:rsidRPr="005D3931" w:rsidTr="00E907AB">
        <w:tc>
          <w:tcPr>
            <w:tcW w:w="3828" w:type="dxa"/>
          </w:tcPr>
          <w:p w:rsidR="008F1D87" w:rsidRDefault="008F1D87" w:rsidP="008F1D87">
            <w:pPr>
              <w:jc w:val="both"/>
              <w:rPr>
                <w:rFonts w:ascii="Times New Roman" w:hAnsi="Times New Roman" w:cs="Times New Roman"/>
                <w:sz w:val="24"/>
                <w:szCs w:val="24"/>
              </w:rPr>
            </w:pPr>
            <w:r>
              <w:rPr>
                <w:rFonts w:ascii="Times New Roman" w:hAnsi="Times New Roman" w:cs="Times New Roman"/>
                <w:sz w:val="24"/>
                <w:szCs w:val="24"/>
              </w:rPr>
              <w:t>3</w:t>
            </w:r>
            <w:r w:rsidRPr="00420D8B">
              <w:rPr>
                <w:rFonts w:ascii="Times New Roman" w:hAnsi="Times New Roman" w:cs="Times New Roman"/>
                <w:sz w:val="24"/>
                <w:szCs w:val="24"/>
              </w:rPr>
              <w:t xml:space="preserve">. Remove the application of </w:t>
            </w:r>
            <w:proofErr w:type="spellStart"/>
            <w:r>
              <w:rPr>
                <w:rFonts w:ascii="Times New Roman" w:hAnsi="Times New Roman" w:cs="Times New Roman"/>
                <w:sz w:val="24"/>
                <w:szCs w:val="24"/>
              </w:rPr>
              <w:t>UOMI</w:t>
            </w:r>
            <w:proofErr w:type="spellEnd"/>
            <w:r w:rsidRPr="00420D8B">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D42C53">
              <w:rPr>
                <w:rFonts w:ascii="Times New Roman" w:hAnsi="Times New Roman" w:cs="Times New Roman"/>
                <w:b/>
                <w:sz w:val="24"/>
                <w:szCs w:val="24"/>
              </w:rPr>
              <w:t>all provisional tax payments</w:t>
            </w:r>
            <w:r w:rsidRPr="00420D8B">
              <w:rPr>
                <w:rFonts w:ascii="Times New Roman" w:hAnsi="Times New Roman" w:cs="Times New Roman"/>
                <w:sz w:val="24"/>
                <w:szCs w:val="24"/>
              </w:rPr>
              <w:t xml:space="preserve"> for all taxpayers who use the standard uplift method</w:t>
            </w:r>
          </w:p>
        </w:tc>
        <w:tc>
          <w:tcPr>
            <w:tcW w:w="5244" w:type="dxa"/>
          </w:tcPr>
          <w:p w:rsidR="008F1D87" w:rsidRPr="005D3931" w:rsidRDefault="008F1D87" w:rsidP="00E907AB">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Pr>
                <w:rFonts w:ascii="Wingdings 2" w:hAnsi="Wingdings 2" w:cs="Times New Roman"/>
                <w:sz w:val="24"/>
                <w:szCs w:val="24"/>
              </w:rPr>
              <w:t></w:t>
            </w:r>
            <w:r>
              <w:rPr>
                <w:rFonts w:ascii="Wingdings 2" w:hAnsi="Wingdings 2" w:cs="Times New Roman"/>
                <w:sz w:val="24"/>
                <w:szCs w:val="24"/>
              </w:rPr>
              <w:t></w:t>
            </w:r>
          </w:p>
          <w:p w:rsidR="008F1D87" w:rsidRPr="005D3931" w:rsidRDefault="008F1D87" w:rsidP="00E907AB">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Pr>
                <w:rFonts w:ascii="Wingdings 2" w:hAnsi="Wingdings 2" w:cs="Times New Roman"/>
                <w:sz w:val="24"/>
                <w:szCs w:val="24"/>
              </w:rPr>
              <w:t></w:t>
            </w:r>
            <w:r>
              <w:rPr>
                <w:rFonts w:ascii="Wingdings 2" w:hAnsi="Wingdings 2" w:cs="Times New Roman"/>
                <w:sz w:val="24"/>
                <w:szCs w:val="24"/>
              </w:rPr>
              <w:t></w:t>
            </w:r>
          </w:p>
          <w:p w:rsidR="008F1D87" w:rsidRPr="005D3931" w:rsidRDefault="008F1D87" w:rsidP="00E907AB">
            <w:pPr>
              <w:jc w:val="both"/>
              <w:rPr>
                <w:rFonts w:ascii="Times New Roman" w:hAnsi="Times New Roman" w:cs="Times New Roman"/>
                <w:sz w:val="24"/>
                <w:szCs w:val="24"/>
              </w:rPr>
            </w:pPr>
            <w:r>
              <w:rPr>
                <w:rFonts w:ascii="Times New Roman" w:hAnsi="Times New Roman" w:cs="Times New Roman"/>
                <w:i/>
                <w:sz w:val="24"/>
                <w:szCs w:val="24"/>
              </w:rPr>
              <w:t>S</w:t>
            </w:r>
            <w:r w:rsidRPr="005D3931">
              <w:rPr>
                <w:rFonts w:ascii="Times New Roman" w:hAnsi="Times New Roman" w:cs="Times New Roman"/>
                <w:i/>
                <w:sz w:val="24"/>
                <w:szCs w:val="24"/>
              </w:rPr>
              <w:t>ustainability</w:t>
            </w:r>
            <w:r w:rsidRPr="005D3931">
              <w:rPr>
                <w:rFonts w:ascii="Times New Roman" w:hAnsi="Times New Roman" w:cs="Times New Roman"/>
                <w:sz w:val="24"/>
                <w:szCs w:val="24"/>
              </w:rPr>
              <w:t xml:space="preserve">: </w:t>
            </w:r>
            <w:r>
              <w:rPr>
                <w:rFonts w:ascii="Wingdings 2" w:hAnsi="Wingdings 2" w:cs="Times New Roman"/>
                <w:sz w:val="24"/>
                <w:szCs w:val="24"/>
              </w:rPr>
              <w:t></w:t>
            </w:r>
            <w:r>
              <w:rPr>
                <w:rFonts w:ascii="Wingdings 2" w:hAnsi="Wingdings 2" w:cs="Times New Roman"/>
                <w:sz w:val="24"/>
                <w:szCs w:val="24"/>
              </w:rPr>
              <w:t></w:t>
            </w:r>
          </w:p>
          <w:p w:rsidR="008F1D87" w:rsidRPr="005D3931" w:rsidRDefault="008F1D87" w:rsidP="00E907AB">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Pr>
                <w:rFonts w:ascii="Times New Roman" w:hAnsi="Times New Roman" w:cs="Times New Roman"/>
                <w:sz w:val="24"/>
                <w:szCs w:val="24"/>
              </w:rPr>
              <w:t xml:space="preserve"> this measure has a higher revenue and cash-flow cost than option 2.</w:t>
            </w:r>
          </w:p>
        </w:tc>
      </w:tr>
      <w:tr w:rsidR="00CD565D" w:rsidRPr="005D3931" w:rsidTr="005341D1">
        <w:tc>
          <w:tcPr>
            <w:tcW w:w="3828" w:type="dxa"/>
          </w:tcPr>
          <w:p w:rsidR="00CD565D" w:rsidRPr="00420D8B" w:rsidRDefault="008F1D87" w:rsidP="008E3413">
            <w:pPr>
              <w:jc w:val="both"/>
              <w:rPr>
                <w:rFonts w:ascii="Times New Roman" w:hAnsi="Times New Roman" w:cs="Times New Roman"/>
                <w:sz w:val="24"/>
                <w:szCs w:val="24"/>
              </w:rPr>
            </w:pPr>
            <w:r>
              <w:rPr>
                <w:rFonts w:ascii="Times New Roman" w:hAnsi="Times New Roman" w:cs="Times New Roman"/>
                <w:sz w:val="24"/>
                <w:szCs w:val="24"/>
              </w:rPr>
              <w:t>4</w:t>
            </w:r>
            <w:r w:rsidR="005341D1" w:rsidRPr="00420D8B">
              <w:rPr>
                <w:rFonts w:ascii="Times New Roman" w:hAnsi="Times New Roman" w:cs="Times New Roman"/>
                <w:sz w:val="24"/>
                <w:szCs w:val="24"/>
              </w:rPr>
              <w:t>. R</w:t>
            </w:r>
            <w:r w:rsidR="00CD565D" w:rsidRPr="00420D8B">
              <w:rPr>
                <w:rFonts w:ascii="Times New Roman" w:hAnsi="Times New Roman" w:cs="Times New Roman"/>
                <w:sz w:val="24"/>
                <w:szCs w:val="24"/>
              </w:rPr>
              <w:t xml:space="preserve">emove </w:t>
            </w:r>
            <w:r w:rsidR="005341D1" w:rsidRPr="00420D8B">
              <w:rPr>
                <w:rFonts w:ascii="Times New Roman" w:hAnsi="Times New Roman" w:cs="Times New Roman"/>
                <w:sz w:val="24"/>
                <w:szCs w:val="24"/>
              </w:rPr>
              <w:t xml:space="preserve">the </w:t>
            </w:r>
            <w:r w:rsidR="00CD565D" w:rsidRPr="00420D8B">
              <w:rPr>
                <w:rFonts w:ascii="Times New Roman" w:hAnsi="Times New Roman" w:cs="Times New Roman"/>
                <w:sz w:val="24"/>
                <w:szCs w:val="24"/>
              </w:rPr>
              <w:t xml:space="preserve">application of </w:t>
            </w:r>
            <w:proofErr w:type="spellStart"/>
            <w:r w:rsidR="0045650F">
              <w:rPr>
                <w:rFonts w:ascii="Times New Roman" w:hAnsi="Times New Roman" w:cs="Times New Roman"/>
                <w:sz w:val="24"/>
                <w:szCs w:val="24"/>
              </w:rPr>
              <w:t>UOMI</w:t>
            </w:r>
            <w:proofErr w:type="spellEnd"/>
            <w:r w:rsidR="00CD565D" w:rsidRPr="00420D8B">
              <w:rPr>
                <w:rFonts w:ascii="Times New Roman" w:hAnsi="Times New Roman" w:cs="Times New Roman"/>
                <w:sz w:val="24"/>
                <w:szCs w:val="24"/>
              </w:rPr>
              <w:t xml:space="preserve"> for </w:t>
            </w:r>
            <w:r w:rsidR="00A702CC" w:rsidRPr="008D31DB">
              <w:rPr>
                <w:rFonts w:ascii="Times New Roman" w:hAnsi="Times New Roman" w:cs="Times New Roman"/>
                <w:b/>
                <w:sz w:val="24"/>
                <w:szCs w:val="24"/>
              </w:rPr>
              <w:t xml:space="preserve">the </w:t>
            </w:r>
            <w:r w:rsidR="00CD565D" w:rsidRPr="008D31DB">
              <w:rPr>
                <w:rFonts w:ascii="Times New Roman" w:hAnsi="Times New Roman" w:cs="Times New Roman"/>
                <w:b/>
                <w:sz w:val="24"/>
                <w:szCs w:val="24"/>
              </w:rPr>
              <w:t>first provisional tax payment</w:t>
            </w:r>
            <w:r w:rsidR="00CD565D" w:rsidRPr="00420D8B">
              <w:rPr>
                <w:rFonts w:ascii="Times New Roman" w:hAnsi="Times New Roman" w:cs="Times New Roman"/>
                <w:sz w:val="24"/>
                <w:szCs w:val="24"/>
              </w:rPr>
              <w:t xml:space="preserve"> for all taxpayers who use the </w:t>
            </w:r>
            <w:r w:rsidR="00597570" w:rsidRPr="00420D8B">
              <w:rPr>
                <w:rFonts w:ascii="Times New Roman" w:hAnsi="Times New Roman" w:cs="Times New Roman"/>
                <w:sz w:val="24"/>
                <w:szCs w:val="24"/>
              </w:rPr>
              <w:t xml:space="preserve">standard </w:t>
            </w:r>
            <w:r w:rsidR="00CD565D" w:rsidRPr="00420D8B">
              <w:rPr>
                <w:rFonts w:ascii="Times New Roman" w:hAnsi="Times New Roman" w:cs="Times New Roman"/>
                <w:sz w:val="24"/>
                <w:szCs w:val="24"/>
              </w:rPr>
              <w:t>uplift method</w:t>
            </w:r>
          </w:p>
        </w:tc>
        <w:tc>
          <w:tcPr>
            <w:tcW w:w="5244" w:type="dxa"/>
          </w:tcPr>
          <w:p w:rsidR="00CD565D" w:rsidRPr="005D3931" w:rsidRDefault="00CD565D" w:rsidP="005341D1">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CD565D" w:rsidRPr="005D3931" w:rsidRDefault="00CD565D" w:rsidP="005341D1">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CD565D" w:rsidRPr="005D3931" w:rsidRDefault="00183E15" w:rsidP="005341D1">
            <w:pPr>
              <w:jc w:val="both"/>
              <w:rPr>
                <w:rFonts w:ascii="Times New Roman" w:hAnsi="Times New Roman" w:cs="Times New Roman"/>
                <w:sz w:val="24"/>
                <w:szCs w:val="24"/>
              </w:rPr>
            </w:pPr>
            <w:r>
              <w:rPr>
                <w:rFonts w:ascii="Times New Roman" w:hAnsi="Times New Roman" w:cs="Times New Roman"/>
                <w:i/>
                <w:sz w:val="24"/>
                <w:szCs w:val="24"/>
              </w:rPr>
              <w:t>S</w:t>
            </w:r>
            <w:r w:rsidR="00CD565D" w:rsidRPr="005D3931">
              <w:rPr>
                <w:rFonts w:ascii="Times New Roman" w:hAnsi="Times New Roman" w:cs="Times New Roman"/>
                <w:i/>
                <w:sz w:val="24"/>
                <w:szCs w:val="24"/>
              </w:rPr>
              <w:t>ustainability</w:t>
            </w:r>
            <w:r w:rsidR="00CD565D"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CD565D" w:rsidRPr="005D3931" w:rsidRDefault="00CD565D" w:rsidP="00DE2246">
            <w:pPr>
              <w:ind w:left="1026" w:hanging="1026"/>
              <w:jc w:val="both"/>
              <w:rPr>
                <w:rFonts w:ascii="Times New Roman" w:hAnsi="Times New Roman" w:cs="Times New Roman"/>
                <w:i/>
                <w:sz w:val="24"/>
                <w:szCs w:val="24"/>
              </w:rPr>
            </w:pPr>
            <w:r w:rsidRPr="005D3931">
              <w:rPr>
                <w:rFonts w:ascii="Times New Roman" w:hAnsi="Times New Roman" w:cs="Times New Roman"/>
                <w:i/>
                <w:sz w:val="24"/>
                <w:szCs w:val="24"/>
              </w:rPr>
              <w:t>Revenue</w:t>
            </w:r>
            <w:r>
              <w:rPr>
                <w:rFonts w:ascii="Times New Roman" w:hAnsi="Times New Roman" w:cs="Times New Roman"/>
                <w:i/>
                <w:sz w:val="24"/>
                <w:szCs w:val="24"/>
              </w:rPr>
              <w:t xml:space="preserve">: </w:t>
            </w:r>
            <w:r w:rsidRPr="008C2958">
              <w:rPr>
                <w:rFonts w:ascii="Times New Roman" w:hAnsi="Times New Roman" w:cs="Times New Roman"/>
                <w:sz w:val="24"/>
                <w:szCs w:val="24"/>
              </w:rPr>
              <w:t xml:space="preserve">this measure has a </w:t>
            </w:r>
            <w:r w:rsidR="0005071B">
              <w:rPr>
                <w:rFonts w:ascii="Times New Roman" w:hAnsi="Times New Roman" w:cs="Times New Roman"/>
                <w:sz w:val="24"/>
                <w:szCs w:val="24"/>
              </w:rPr>
              <w:t>lower</w:t>
            </w:r>
            <w:r w:rsidRPr="008C2958">
              <w:rPr>
                <w:rFonts w:ascii="Times New Roman" w:hAnsi="Times New Roman" w:cs="Times New Roman"/>
                <w:sz w:val="24"/>
                <w:szCs w:val="24"/>
              </w:rPr>
              <w:t xml:space="preserve"> revenue and cash</w:t>
            </w:r>
            <w:r w:rsidR="00DE2246">
              <w:rPr>
                <w:rFonts w:ascii="Times New Roman" w:hAnsi="Times New Roman" w:cs="Times New Roman"/>
                <w:sz w:val="24"/>
                <w:szCs w:val="24"/>
              </w:rPr>
              <w:t>-</w:t>
            </w:r>
            <w:r w:rsidRPr="008C2958">
              <w:rPr>
                <w:rFonts w:ascii="Times New Roman" w:hAnsi="Times New Roman" w:cs="Times New Roman"/>
                <w:sz w:val="24"/>
                <w:szCs w:val="24"/>
              </w:rPr>
              <w:t>flow cost than</w:t>
            </w:r>
            <w:r w:rsidR="005341D1" w:rsidRPr="008C2958">
              <w:rPr>
                <w:rFonts w:ascii="Times New Roman" w:hAnsi="Times New Roman" w:cs="Times New Roman"/>
                <w:sz w:val="24"/>
                <w:szCs w:val="24"/>
              </w:rPr>
              <w:t xml:space="preserve"> option </w:t>
            </w:r>
            <w:r w:rsidR="00DE2246">
              <w:rPr>
                <w:rFonts w:ascii="Times New Roman" w:hAnsi="Times New Roman" w:cs="Times New Roman"/>
                <w:sz w:val="24"/>
                <w:szCs w:val="24"/>
              </w:rPr>
              <w:t>2</w:t>
            </w:r>
            <w:r w:rsidR="005341D1" w:rsidRPr="008C2958">
              <w:rPr>
                <w:rFonts w:ascii="Times New Roman" w:hAnsi="Times New Roman" w:cs="Times New Roman"/>
                <w:sz w:val="24"/>
                <w:szCs w:val="24"/>
              </w:rPr>
              <w:t>.</w:t>
            </w:r>
          </w:p>
        </w:tc>
      </w:tr>
    </w:tbl>
    <w:p w:rsidR="00CD565D" w:rsidRPr="005D3931" w:rsidRDefault="00CD565D" w:rsidP="00CD565D">
      <w:pPr>
        <w:spacing w:after="0" w:line="240" w:lineRule="auto"/>
        <w:jc w:val="both"/>
        <w:rPr>
          <w:rFonts w:ascii="Times New Roman" w:hAnsi="Times New Roman" w:cs="Times New Roman"/>
          <w:sz w:val="24"/>
          <w:szCs w:val="24"/>
        </w:rPr>
      </w:pPr>
    </w:p>
    <w:p w:rsidR="00CD565D" w:rsidRPr="008D31DB" w:rsidRDefault="00CD565D" w:rsidP="00CD565D">
      <w:pPr>
        <w:spacing w:after="0" w:line="240" w:lineRule="auto"/>
        <w:jc w:val="both"/>
        <w:rPr>
          <w:rFonts w:ascii="Times New Roman" w:hAnsi="Times New Roman" w:cs="Times New Roman"/>
          <w:i/>
          <w:sz w:val="24"/>
          <w:szCs w:val="24"/>
        </w:rPr>
      </w:pPr>
      <w:r w:rsidRPr="008D31DB">
        <w:rPr>
          <w:rFonts w:ascii="Times New Roman" w:hAnsi="Times New Roman" w:cs="Times New Roman"/>
          <w:i/>
          <w:sz w:val="24"/>
          <w:szCs w:val="24"/>
        </w:rPr>
        <w:t>Recommendation</w:t>
      </w:r>
    </w:p>
    <w:p w:rsidR="00CD565D" w:rsidRPr="005D3931" w:rsidRDefault="00CD565D" w:rsidP="00CD565D">
      <w:pPr>
        <w:spacing w:after="0" w:line="240" w:lineRule="auto"/>
        <w:jc w:val="both"/>
        <w:rPr>
          <w:rFonts w:ascii="Times New Roman" w:hAnsi="Times New Roman" w:cs="Times New Roman"/>
          <w:sz w:val="24"/>
          <w:szCs w:val="24"/>
        </w:rPr>
      </w:pPr>
    </w:p>
    <w:p w:rsidR="0005071B" w:rsidRPr="0005071B" w:rsidRDefault="005341D1" w:rsidP="0005071B">
      <w:pPr>
        <w:pStyle w:val="ListParagraph"/>
        <w:numPr>
          <w:ilvl w:val="0"/>
          <w:numId w:val="11"/>
        </w:numPr>
        <w:spacing w:after="0" w:line="240" w:lineRule="auto"/>
        <w:ind w:left="0" w:firstLine="0"/>
        <w:jc w:val="both"/>
        <w:rPr>
          <w:rFonts w:ascii="Times New Roman" w:hAnsi="Times New Roman" w:cs="Times New Roman"/>
          <w:sz w:val="24"/>
          <w:szCs w:val="24"/>
        </w:rPr>
      </w:pPr>
      <w:r w:rsidRPr="0005071B">
        <w:rPr>
          <w:rFonts w:ascii="Times New Roman" w:hAnsi="Times New Roman" w:cs="Times New Roman"/>
          <w:sz w:val="24"/>
          <w:szCs w:val="24"/>
        </w:rPr>
        <w:t xml:space="preserve">Officials recommend option </w:t>
      </w:r>
      <w:r w:rsidR="00D94BDF" w:rsidRPr="0005071B">
        <w:rPr>
          <w:rFonts w:ascii="Times New Roman" w:hAnsi="Times New Roman" w:cs="Times New Roman"/>
          <w:sz w:val="24"/>
          <w:szCs w:val="24"/>
        </w:rPr>
        <w:t>2</w:t>
      </w:r>
      <w:r w:rsidRPr="0005071B">
        <w:rPr>
          <w:rFonts w:ascii="Times New Roman" w:hAnsi="Times New Roman" w:cs="Times New Roman"/>
          <w:sz w:val="24"/>
          <w:szCs w:val="24"/>
        </w:rPr>
        <w:t xml:space="preserve"> as it reduces the exposure to </w:t>
      </w:r>
      <w:proofErr w:type="spellStart"/>
      <w:r w:rsidR="0045650F">
        <w:rPr>
          <w:rFonts w:ascii="Times New Roman" w:hAnsi="Times New Roman" w:cs="Times New Roman"/>
          <w:sz w:val="24"/>
          <w:szCs w:val="24"/>
        </w:rPr>
        <w:t>UOMI</w:t>
      </w:r>
      <w:proofErr w:type="spellEnd"/>
      <w:r w:rsidRPr="0005071B">
        <w:rPr>
          <w:rFonts w:ascii="Times New Roman" w:hAnsi="Times New Roman" w:cs="Times New Roman"/>
          <w:sz w:val="24"/>
          <w:szCs w:val="24"/>
        </w:rPr>
        <w:t xml:space="preserve"> for taxpayers who struggle to estimate their income during the year.</w:t>
      </w:r>
      <w:r w:rsidR="008C2958" w:rsidRPr="0005071B">
        <w:rPr>
          <w:rFonts w:ascii="Times New Roman" w:hAnsi="Times New Roman" w:cs="Times New Roman"/>
          <w:sz w:val="24"/>
          <w:szCs w:val="24"/>
        </w:rPr>
        <w:t xml:space="preserve"> This option is expected to remove 19</w:t>
      </w:r>
      <w:r w:rsidR="004C64C4" w:rsidRPr="0005071B">
        <w:rPr>
          <w:rFonts w:ascii="Times New Roman" w:hAnsi="Times New Roman" w:cs="Times New Roman"/>
          <w:sz w:val="24"/>
          <w:szCs w:val="24"/>
        </w:rPr>
        <w:t>,</w:t>
      </w:r>
      <w:r w:rsidR="008C2958" w:rsidRPr="0005071B">
        <w:rPr>
          <w:rFonts w:ascii="Times New Roman" w:hAnsi="Times New Roman" w:cs="Times New Roman"/>
          <w:sz w:val="24"/>
          <w:szCs w:val="24"/>
        </w:rPr>
        <w:t xml:space="preserve">000 taxpayers from the requirement to pay </w:t>
      </w:r>
      <w:proofErr w:type="spellStart"/>
      <w:r w:rsidR="0045650F">
        <w:rPr>
          <w:rFonts w:ascii="Times New Roman" w:hAnsi="Times New Roman" w:cs="Times New Roman"/>
          <w:sz w:val="24"/>
          <w:szCs w:val="24"/>
        </w:rPr>
        <w:t>UOMI</w:t>
      </w:r>
      <w:proofErr w:type="spellEnd"/>
      <w:r w:rsidR="00DE2246">
        <w:rPr>
          <w:rFonts w:ascii="Times New Roman" w:hAnsi="Times New Roman" w:cs="Times New Roman"/>
          <w:sz w:val="24"/>
          <w:szCs w:val="24"/>
        </w:rPr>
        <w:t xml:space="preserve"> </w:t>
      </w:r>
      <w:r w:rsidR="008C2958" w:rsidRPr="0005071B">
        <w:rPr>
          <w:rFonts w:ascii="Times New Roman" w:hAnsi="Times New Roman" w:cs="Times New Roman"/>
          <w:sz w:val="24"/>
          <w:szCs w:val="24"/>
        </w:rPr>
        <w:t>on their first two instalments of provisional tax.</w:t>
      </w:r>
      <w:r w:rsidR="0005071B" w:rsidRPr="0005071B">
        <w:rPr>
          <w:rFonts w:ascii="Times New Roman" w:hAnsi="Times New Roman" w:cs="Times New Roman"/>
          <w:sz w:val="24"/>
          <w:szCs w:val="24"/>
        </w:rPr>
        <w:t xml:space="preserve"> Option </w:t>
      </w:r>
      <w:r w:rsidR="0005071B">
        <w:rPr>
          <w:rFonts w:ascii="Times New Roman" w:hAnsi="Times New Roman" w:cs="Times New Roman"/>
          <w:sz w:val="24"/>
          <w:szCs w:val="24"/>
        </w:rPr>
        <w:t>2</w:t>
      </w:r>
      <w:r w:rsidR="0005071B" w:rsidRPr="0005071B">
        <w:rPr>
          <w:rFonts w:ascii="Times New Roman" w:hAnsi="Times New Roman" w:cs="Times New Roman"/>
          <w:sz w:val="24"/>
          <w:szCs w:val="24"/>
        </w:rPr>
        <w:t xml:space="preserve"> was selected as option </w:t>
      </w:r>
      <w:r w:rsidR="0005071B">
        <w:rPr>
          <w:rFonts w:ascii="Times New Roman" w:hAnsi="Times New Roman" w:cs="Times New Roman"/>
          <w:sz w:val="24"/>
          <w:szCs w:val="24"/>
        </w:rPr>
        <w:t>3</w:t>
      </w:r>
      <w:r w:rsidR="0005071B" w:rsidRPr="0005071B">
        <w:rPr>
          <w:rFonts w:ascii="Times New Roman" w:hAnsi="Times New Roman" w:cs="Times New Roman"/>
          <w:sz w:val="24"/>
          <w:szCs w:val="24"/>
        </w:rPr>
        <w:t xml:space="preserve"> did not provide enough benefits to taxpayers </w:t>
      </w:r>
      <w:r w:rsidR="00DE2246">
        <w:rPr>
          <w:rFonts w:ascii="Times New Roman" w:hAnsi="Times New Roman" w:cs="Times New Roman"/>
          <w:sz w:val="24"/>
          <w:szCs w:val="24"/>
        </w:rPr>
        <w:t>as</w:t>
      </w:r>
      <w:r w:rsidR="0005071B" w:rsidRPr="0005071B">
        <w:rPr>
          <w:rFonts w:ascii="Times New Roman" w:hAnsi="Times New Roman" w:cs="Times New Roman"/>
          <w:sz w:val="24"/>
          <w:szCs w:val="24"/>
        </w:rPr>
        <w:t xml:space="preserve"> </w:t>
      </w:r>
      <w:proofErr w:type="spellStart"/>
      <w:r w:rsidR="0045650F">
        <w:rPr>
          <w:rFonts w:ascii="Times New Roman" w:hAnsi="Times New Roman" w:cs="Times New Roman"/>
          <w:sz w:val="24"/>
          <w:szCs w:val="24"/>
        </w:rPr>
        <w:t>UOMI</w:t>
      </w:r>
      <w:proofErr w:type="spellEnd"/>
      <w:r w:rsidR="0005071B" w:rsidRPr="0005071B">
        <w:rPr>
          <w:rFonts w:ascii="Times New Roman" w:hAnsi="Times New Roman" w:cs="Times New Roman"/>
          <w:sz w:val="24"/>
          <w:szCs w:val="24"/>
        </w:rPr>
        <w:t xml:space="preserve"> </w:t>
      </w:r>
      <w:r w:rsidR="00DE2246">
        <w:rPr>
          <w:rFonts w:ascii="Times New Roman" w:hAnsi="Times New Roman" w:cs="Times New Roman"/>
          <w:sz w:val="24"/>
          <w:szCs w:val="24"/>
        </w:rPr>
        <w:t xml:space="preserve">would still </w:t>
      </w:r>
      <w:r w:rsidR="0005071B" w:rsidRPr="0005071B">
        <w:rPr>
          <w:rFonts w:ascii="Times New Roman" w:hAnsi="Times New Roman" w:cs="Times New Roman"/>
          <w:sz w:val="24"/>
          <w:szCs w:val="24"/>
        </w:rPr>
        <w:t>hav</w:t>
      </w:r>
      <w:r w:rsidR="00DE2246">
        <w:rPr>
          <w:rFonts w:ascii="Times New Roman" w:hAnsi="Times New Roman" w:cs="Times New Roman"/>
          <w:sz w:val="24"/>
          <w:szCs w:val="24"/>
        </w:rPr>
        <w:t>e</w:t>
      </w:r>
      <w:r w:rsidR="0005071B" w:rsidRPr="0005071B">
        <w:rPr>
          <w:rFonts w:ascii="Times New Roman" w:hAnsi="Times New Roman" w:cs="Times New Roman"/>
          <w:sz w:val="24"/>
          <w:szCs w:val="24"/>
        </w:rPr>
        <w:t xml:space="preserve"> some type of penalty aspect to it. Option </w:t>
      </w:r>
      <w:r w:rsidR="0005071B">
        <w:rPr>
          <w:rFonts w:ascii="Times New Roman" w:hAnsi="Times New Roman" w:cs="Times New Roman"/>
          <w:sz w:val="24"/>
          <w:szCs w:val="24"/>
        </w:rPr>
        <w:t>2</w:t>
      </w:r>
      <w:r w:rsidR="0005071B" w:rsidRPr="0005071B">
        <w:rPr>
          <w:rFonts w:ascii="Times New Roman" w:hAnsi="Times New Roman" w:cs="Times New Roman"/>
          <w:sz w:val="24"/>
          <w:szCs w:val="24"/>
        </w:rPr>
        <w:t xml:space="preserve"> balances fiscal constraints with benefits to taxpayers.</w:t>
      </w:r>
    </w:p>
    <w:p w:rsidR="00E8196C" w:rsidRPr="005D3931" w:rsidRDefault="00E8196C" w:rsidP="00CD565D">
      <w:pPr>
        <w:spacing w:after="0" w:line="240" w:lineRule="auto"/>
        <w:jc w:val="both"/>
        <w:rPr>
          <w:rFonts w:ascii="Times New Roman" w:hAnsi="Times New Roman" w:cs="Times New Roman"/>
          <w:sz w:val="24"/>
          <w:szCs w:val="24"/>
        </w:rPr>
      </w:pPr>
    </w:p>
    <w:p w:rsidR="00CD565D" w:rsidRPr="008D31DB" w:rsidRDefault="008E3413" w:rsidP="008D31DB">
      <w:pPr>
        <w:spacing w:after="0" w:line="240" w:lineRule="auto"/>
        <w:jc w:val="both"/>
        <w:rPr>
          <w:rFonts w:ascii="Times New Roman" w:hAnsi="Times New Roman" w:cs="Times New Roman"/>
          <w:i/>
          <w:sz w:val="24"/>
          <w:szCs w:val="24"/>
          <w:u w:val="single"/>
        </w:rPr>
      </w:pPr>
      <w:r w:rsidRPr="008D31DB">
        <w:rPr>
          <w:rFonts w:ascii="Times New Roman" w:hAnsi="Times New Roman" w:cs="Times New Roman"/>
          <w:i/>
          <w:sz w:val="24"/>
          <w:szCs w:val="24"/>
          <w:u w:val="single"/>
        </w:rPr>
        <w:t>Introduce a new method of c</w:t>
      </w:r>
      <w:r w:rsidR="005341D1" w:rsidRPr="008D31DB">
        <w:rPr>
          <w:rFonts w:ascii="Times New Roman" w:hAnsi="Times New Roman" w:cs="Times New Roman"/>
          <w:i/>
          <w:sz w:val="24"/>
          <w:szCs w:val="24"/>
          <w:u w:val="single"/>
        </w:rPr>
        <w:t>alculati</w:t>
      </w:r>
      <w:r w:rsidR="00D94BDF" w:rsidRPr="008D31DB">
        <w:rPr>
          <w:rFonts w:ascii="Times New Roman" w:hAnsi="Times New Roman" w:cs="Times New Roman"/>
          <w:i/>
          <w:sz w:val="24"/>
          <w:szCs w:val="24"/>
          <w:u w:val="single"/>
        </w:rPr>
        <w:t>n</w:t>
      </w:r>
      <w:r w:rsidRPr="008D31DB">
        <w:rPr>
          <w:rFonts w:ascii="Times New Roman" w:hAnsi="Times New Roman" w:cs="Times New Roman"/>
          <w:i/>
          <w:sz w:val="24"/>
          <w:szCs w:val="24"/>
          <w:u w:val="single"/>
        </w:rPr>
        <w:t>g</w:t>
      </w:r>
      <w:r w:rsidR="00D94BDF" w:rsidRPr="008D31DB">
        <w:rPr>
          <w:rFonts w:ascii="Times New Roman" w:hAnsi="Times New Roman" w:cs="Times New Roman"/>
          <w:i/>
          <w:sz w:val="24"/>
          <w:szCs w:val="24"/>
          <w:u w:val="single"/>
        </w:rPr>
        <w:t xml:space="preserve"> </w:t>
      </w:r>
      <w:r w:rsidR="005341D1" w:rsidRPr="008D31DB">
        <w:rPr>
          <w:rFonts w:ascii="Times New Roman" w:hAnsi="Times New Roman" w:cs="Times New Roman"/>
          <w:i/>
          <w:sz w:val="24"/>
          <w:szCs w:val="24"/>
          <w:u w:val="single"/>
        </w:rPr>
        <w:t>provisional tax</w:t>
      </w:r>
    </w:p>
    <w:p w:rsidR="007142F0" w:rsidRDefault="007142F0" w:rsidP="007142F0">
      <w:pPr>
        <w:pStyle w:val="ListParagraph"/>
        <w:spacing w:after="0" w:line="240" w:lineRule="auto"/>
        <w:ind w:left="0"/>
        <w:jc w:val="both"/>
        <w:rPr>
          <w:rFonts w:ascii="Times New Roman" w:hAnsi="Times New Roman" w:cs="Times New Roman"/>
          <w:sz w:val="24"/>
          <w:szCs w:val="24"/>
        </w:rPr>
      </w:pPr>
    </w:p>
    <w:p w:rsidR="00597570" w:rsidRPr="00597570" w:rsidRDefault="00597570" w:rsidP="00597570">
      <w:pPr>
        <w:numPr>
          <w:ilvl w:val="0"/>
          <w:numId w:val="11"/>
        </w:numPr>
        <w:spacing w:after="0" w:line="240" w:lineRule="auto"/>
        <w:ind w:left="0" w:firstLine="0"/>
        <w:contextualSpacing/>
        <w:jc w:val="both"/>
        <w:rPr>
          <w:rFonts w:ascii="Times New Roman" w:hAnsi="Times New Roman" w:cs="Times New Roman"/>
          <w:sz w:val="24"/>
          <w:szCs w:val="24"/>
        </w:rPr>
      </w:pPr>
      <w:r w:rsidRPr="00597570">
        <w:rPr>
          <w:rFonts w:ascii="Times New Roman" w:hAnsi="Times New Roman" w:cs="Times New Roman"/>
          <w:sz w:val="24"/>
          <w:szCs w:val="24"/>
        </w:rPr>
        <w:t xml:space="preserve">To </w:t>
      </w:r>
      <w:r w:rsidR="000302D3">
        <w:rPr>
          <w:rFonts w:ascii="Times New Roman" w:hAnsi="Times New Roman" w:cs="Times New Roman"/>
          <w:sz w:val="24"/>
          <w:szCs w:val="24"/>
        </w:rPr>
        <w:t>approximate</w:t>
      </w:r>
      <w:r w:rsidRPr="00597570">
        <w:rPr>
          <w:rFonts w:ascii="Times New Roman" w:hAnsi="Times New Roman" w:cs="Times New Roman"/>
          <w:sz w:val="24"/>
          <w:szCs w:val="24"/>
        </w:rPr>
        <w:t xml:space="preserve"> the objective that tax payments should be made when income is earned, provisional tax rules assume that income is evenly earned throughout the year. This assumption is not realistic for many taxpayers, especially those who have seasonal income who may have to make payments before they earn their income, or for businesses with varying income throughout the year. Where a taxpayer does not pay the correct amount at each instalment </w:t>
      </w:r>
      <w:proofErr w:type="spellStart"/>
      <w:r w:rsidR="0045650F">
        <w:rPr>
          <w:rFonts w:ascii="Times New Roman" w:hAnsi="Times New Roman" w:cs="Times New Roman"/>
          <w:sz w:val="24"/>
          <w:szCs w:val="24"/>
        </w:rPr>
        <w:t>UOMI</w:t>
      </w:r>
      <w:proofErr w:type="spellEnd"/>
      <w:r w:rsidRPr="00597570">
        <w:rPr>
          <w:rFonts w:ascii="Times New Roman" w:hAnsi="Times New Roman" w:cs="Times New Roman"/>
          <w:sz w:val="24"/>
          <w:szCs w:val="24"/>
        </w:rPr>
        <w:t xml:space="preserve"> applies</w:t>
      </w:r>
      <w:r w:rsidR="008E3413">
        <w:rPr>
          <w:rFonts w:ascii="Times New Roman" w:hAnsi="Times New Roman" w:cs="Times New Roman"/>
          <w:sz w:val="24"/>
          <w:szCs w:val="24"/>
        </w:rPr>
        <w:t>,</w:t>
      </w:r>
      <w:r w:rsidRPr="00597570">
        <w:rPr>
          <w:rFonts w:ascii="Times New Roman" w:hAnsi="Times New Roman" w:cs="Times New Roman"/>
          <w:sz w:val="24"/>
          <w:szCs w:val="24"/>
        </w:rPr>
        <w:t xml:space="preserve"> which can act as a penalty for something that is outside the</w:t>
      </w:r>
      <w:r w:rsidR="008E3413">
        <w:rPr>
          <w:rFonts w:ascii="Times New Roman" w:hAnsi="Times New Roman" w:cs="Times New Roman"/>
          <w:sz w:val="24"/>
          <w:szCs w:val="24"/>
        </w:rPr>
        <w:t>ir</w:t>
      </w:r>
      <w:r w:rsidRPr="00597570">
        <w:rPr>
          <w:rFonts w:ascii="Times New Roman" w:hAnsi="Times New Roman" w:cs="Times New Roman"/>
          <w:sz w:val="24"/>
          <w:szCs w:val="24"/>
        </w:rPr>
        <w:t xml:space="preserve"> immediate control.</w:t>
      </w:r>
    </w:p>
    <w:p w:rsidR="00597570" w:rsidRPr="00597570" w:rsidRDefault="00597570" w:rsidP="00597570">
      <w:pPr>
        <w:spacing w:after="0" w:line="240" w:lineRule="auto"/>
        <w:contextualSpacing/>
        <w:jc w:val="both"/>
        <w:rPr>
          <w:rFonts w:ascii="Times New Roman" w:hAnsi="Times New Roman" w:cs="Times New Roman"/>
          <w:sz w:val="24"/>
          <w:szCs w:val="24"/>
        </w:rPr>
      </w:pPr>
    </w:p>
    <w:p w:rsidR="00597570" w:rsidRPr="00597570" w:rsidRDefault="00597570" w:rsidP="00597570">
      <w:pPr>
        <w:numPr>
          <w:ilvl w:val="0"/>
          <w:numId w:val="11"/>
        </w:numPr>
        <w:spacing w:after="0" w:line="240" w:lineRule="auto"/>
        <w:ind w:left="0" w:firstLine="0"/>
        <w:contextualSpacing/>
        <w:jc w:val="both"/>
        <w:rPr>
          <w:rFonts w:ascii="Times New Roman" w:hAnsi="Times New Roman" w:cs="Times New Roman"/>
          <w:sz w:val="24"/>
          <w:szCs w:val="24"/>
        </w:rPr>
      </w:pPr>
      <w:r w:rsidRPr="00597570">
        <w:rPr>
          <w:rFonts w:ascii="Times New Roman" w:hAnsi="Times New Roman" w:cs="Times New Roman"/>
          <w:sz w:val="24"/>
          <w:szCs w:val="24"/>
        </w:rPr>
        <w:t xml:space="preserve">In a </w:t>
      </w:r>
      <w:r w:rsidR="000E3461">
        <w:rPr>
          <w:rFonts w:ascii="Times New Roman" w:hAnsi="Times New Roman" w:cs="Times New Roman"/>
          <w:sz w:val="24"/>
          <w:szCs w:val="24"/>
        </w:rPr>
        <w:t xml:space="preserve">world with perfect </w:t>
      </w:r>
      <w:r w:rsidR="000A5A5C">
        <w:rPr>
          <w:rFonts w:ascii="Times New Roman" w:hAnsi="Times New Roman" w:cs="Times New Roman"/>
          <w:sz w:val="24"/>
          <w:szCs w:val="24"/>
        </w:rPr>
        <w:t>foresight</w:t>
      </w:r>
      <w:r w:rsidR="000E3461">
        <w:rPr>
          <w:rFonts w:ascii="Times New Roman" w:hAnsi="Times New Roman" w:cs="Times New Roman"/>
          <w:sz w:val="24"/>
          <w:szCs w:val="24"/>
        </w:rPr>
        <w:t>,</w:t>
      </w:r>
      <w:r w:rsidRPr="00597570">
        <w:rPr>
          <w:rFonts w:ascii="Times New Roman" w:hAnsi="Times New Roman" w:cs="Times New Roman"/>
          <w:sz w:val="24"/>
          <w:szCs w:val="24"/>
        </w:rPr>
        <w:t xml:space="preserve"> most businesses would pay the amount of their actual liability during the year. The difficulty is</w:t>
      </w:r>
      <w:r w:rsidR="00DE2246">
        <w:rPr>
          <w:rFonts w:ascii="Times New Roman" w:hAnsi="Times New Roman" w:cs="Times New Roman"/>
          <w:sz w:val="24"/>
          <w:szCs w:val="24"/>
        </w:rPr>
        <w:t xml:space="preserve"> that</w:t>
      </w:r>
      <w:r w:rsidRPr="00597570">
        <w:rPr>
          <w:rFonts w:ascii="Times New Roman" w:hAnsi="Times New Roman" w:cs="Times New Roman"/>
          <w:sz w:val="24"/>
          <w:szCs w:val="24"/>
        </w:rPr>
        <w:t xml:space="preserve"> for most taxpayers forecasting their final income tax amounts is an art more than a science and differences will inevitably arise which were not predictable.</w:t>
      </w:r>
    </w:p>
    <w:p w:rsidR="00597570" w:rsidRPr="00597570" w:rsidRDefault="00597570" w:rsidP="00597570">
      <w:pPr>
        <w:ind w:left="720"/>
        <w:contextualSpacing/>
        <w:rPr>
          <w:rFonts w:ascii="Times New Roman" w:hAnsi="Times New Roman" w:cs="Times New Roman"/>
          <w:sz w:val="24"/>
          <w:szCs w:val="24"/>
        </w:rPr>
      </w:pPr>
    </w:p>
    <w:p w:rsidR="00597570" w:rsidRPr="00597570" w:rsidRDefault="000E3461" w:rsidP="00597570">
      <w:pPr>
        <w:numPr>
          <w:ilvl w:val="0"/>
          <w:numId w:val="11"/>
        </w:numPr>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A new provisional tax method</w:t>
      </w:r>
      <w:r w:rsidR="00597570" w:rsidRPr="00597570">
        <w:rPr>
          <w:rFonts w:ascii="Times New Roman" w:hAnsi="Times New Roman" w:cs="Times New Roman"/>
          <w:sz w:val="24"/>
          <w:szCs w:val="24"/>
        </w:rPr>
        <w:t xml:space="preserve"> </w:t>
      </w:r>
      <w:r w:rsidR="008E3413">
        <w:rPr>
          <w:rFonts w:ascii="Times New Roman" w:hAnsi="Times New Roman" w:cs="Times New Roman"/>
          <w:sz w:val="24"/>
          <w:szCs w:val="24"/>
        </w:rPr>
        <w:t>that better align</w:t>
      </w:r>
      <w:r>
        <w:rPr>
          <w:rFonts w:ascii="Times New Roman" w:hAnsi="Times New Roman" w:cs="Times New Roman"/>
          <w:sz w:val="24"/>
          <w:szCs w:val="24"/>
        </w:rPr>
        <w:t>s</w:t>
      </w:r>
      <w:r w:rsidR="00597570" w:rsidRPr="00597570">
        <w:rPr>
          <w:rFonts w:ascii="Times New Roman" w:hAnsi="Times New Roman" w:cs="Times New Roman"/>
          <w:sz w:val="24"/>
          <w:szCs w:val="24"/>
        </w:rPr>
        <w:t xml:space="preserve"> the payment of tax with the income earning activity of a business </w:t>
      </w:r>
      <w:r>
        <w:rPr>
          <w:rFonts w:ascii="Times New Roman" w:hAnsi="Times New Roman" w:cs="Times New Roman"/>
          <w:sz w:val="24"/>
          <w:szCs w:val="24"/>
        </w:rPr>
        <w:t>should result in a closer match between the provisional tax payments and the end of year liability</w:t>
      </w:r>
      <w:r w:rsidR="0005071B">
        <w:rPr>
          <w:rFonts w:ascii="Times New Roman" w:hAnsi="Times New Roman" w:cs="Times New Roman"/>
          <w:sz w:val="24"/>
          <w:szCs w:val="24"/>
        </w:rPr>
        <w:t xml:space="preserve">. </w:t>
      </w:r>
      <w:r>
        <w:rPr>
          <w:rFonts w:ascii="Times New Roman" w:hAnsi="Times New Roman" w:cs="Times New Roman"/>
          <w:sz w:val="24"/>
          <w:szCs w:val="24"/>
        </w:rPr>
        <w:t>Reducing the gap</w:t>
      </w:r>
      <w:r w:rsidR="00597570" w:rsidRPr="00597570">
        <w:rPr>
          <w:rFonts w:ascii="Times New Roman" w:hAnsi="Times New Roman" w:cs="Times New Roman"/>
          <w:sz w:val="24"/>
          <w:szCs w:val="24"/>
        </w:rPr>
        <w:t xml:space="preserve"> between provisional and actual liabilities </w:t>
      </w:r>
      <w:r>
        <w:rPr>
          <w:rFonts w:ascii="Times New Roman" w:hAnsi="Times New Roman" w:cs="Times New Roman"/>
          <w:sz w:val="24"/>
          <w:szCs w:val="24"/>
        </w:rPr>
        <w:t>could mean that</w:t>
      </w:r>
      <w:r w:rsidR="00597570" w:rsidRPr="00597570">
        <w:rPr>
          <w:rFonts w:ascii="Times New Roman" w:hAnsi="Times New Roman" w:cs="Times New Roman"/>
          <w:sz w:val="24"/>
          <w:szCs w:val="24"/>
        </w:rPr>
        <w:t xml:space="preserve"> </w:t>
      </w:r>
      <w:proofErr w:type="spellStart"/>
      <w:r w:rsidR="0045650F">
        <w:rPr>
          <w:rFonts w:ascii="Times New Roman" w:hAnsi="Times New Roman" w:cs="Times New Roman"/>
          <w:sz w:val="24"/>
          <w:szCs w:val="24"/>
        </w:rPr>
        <w:t>UOMI</w:t>
      </w:r>
      <w:proofErr w:type="spellEnd"/>
      <w:r w:rsidR="00597570" w:rsidRPr="00597570">
        <w:rPr>
          <w:rFonts w:ascii="Times New Roman" w:hAnsi="Times New Roman" w:cs="Times New Roman"/>
          <w:sz w:val="24"/>
          <w:szCs w:val="24"/>
        </w:rPr>
        <w:t xml:space="preserve"> </w:t>
      </w:r>
      <w:r w:rsidR="00EB2384">
        <w:rPr>
          <w:rFonts w:ascii="Times New Roman" w:hAnsi="Times New Roman" w:cs="Times New Roman"/>
          <w:sz w:val="24"/>
          <w:szCs w:val="24"/>
        </w:rPr>
        <w:t>is not required</w:t>
      </w:r>
      <w:r w:rsidR="00597570" w:rsidRPr="00597570">
        <w:rPr>
          <w:rFonts w:ascii="Times New Roman" w:hAnsi="Times New Roman" w:cs="Times New Roman"/>
          <w:sz w:val="24"/>
          <w:szCs w:val="24"/>
        </w:rPr>
        <w:t>.</w:t>
      </w:r>
      <w:r w:rsidR="00463E14" w:rsidRPr="00463E14">
        <w:rPr>
          <w:rFonts w:ascii="Times New Roman" w:hAnsi="Times New Roman" w:cs="Times New Roman"/>
          <w:sz w:val="24"/>
          <w:szCs w:val="24"/>
        </w:rPr>
        <w:t xml:space="preserve"> </w:t>
      </w:r>
      <w:r w:rsidR="00463E14" w:rsidRPr="004808A1">
        <w:rPr>
          <w:rFonts w:ascii="Times New Roman" w:hAnsi="Times New Roman" w:cs="Times New Roman"/>
          <w:sz w:val="24"/>
          <w:szCs w:val="24"/>
        </w:rPr>
        <w:t>Officials have considered a number of options to address these concerns</w:t>
      </w:r>
    </w:p>
    <w:p w:rsidR="009E0294" w:rsidRPr="00597570" w:rsidRDefault="009E0294" w:rsidP="00CD565D">
      <w:pPr>
        <w:pStyle w:val="ListParagraph"/>
        <w:spacing w:after="0" w:line="240" w:lineRule="auto"/>
        <w:ind w:left="0"/>
        <w:jc w:val="both"/>
        <w:rPr>
          <w:rFonts w:ascii="Times New Roman" w:hAnsi="Times New Roman" w:cs="Times New Roman"/>
          <w:sz w:val="24"/>
          <w:szCs w:val="24"/>
        </w:rPr>
      </w:pPr>
    </w:p>
    <w:p w:rsidR="009E0294" w:rsidRPr="004808A1" w:rsidRDefault="00463E14" w:rsidP="009E0294">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These options are summarised below and are outlined further in</w:t>
      </w:r>
      <w:r w:rsidRPr="004808A1" w:rsidDel="00463E14">
        <w:rPr>
          <w:rFonts w:ascii="Times New Roman" w:hAnsi="Times New Roman" w:cs="Times New Roman"/>
          <w:sz w:val="24"/>
          <w:szCs w:val="24"/>
        </w:rPr>
        <w:t xml:space="preserve"> </w:t>
      </w:r>
      <w:r w:rsidR="005C245B">
        <w:rPr>
          <w:rFonts w:ascii="Times New Roman" w:hAnsi="Times New Roman" w:cs="Times New Roman"/>
          <w:sz w:val="24"/>
          <w:szCs w:val="24"/>
        </w:rPr>
        <w:t>appendix A-3</w:t>
      </w:r>
      <w:r w:rsidR="009E0294" w:rsidRPr="004808A1">
        <w:rPr>
          <w:rFonts w:ascii="Times New Roman" w:hAnsi="Times New Roman" w:cs="Times New Roman"/>
          <w:sz w:val="24"/>
          <w:szCs w:val="24"/>
        </w:rPr>
        <w:t>.</w:t>
      </w:r>
    </w:p>
    <w:p w:rsidR="00545D04" w:rsidRPr="00CD565D" w:rsidRDefault="00545D04" w:rsidP="00CD565D">
      <w:pPr>
        <w:pStyle w:val="ListParagraph"/>
        <w:spacing w:after="0" w:line="240" w:lineRule="auto"/>
        <w:ind w:left="0"/>
        <w:jc w:val="both"/>
        <w:rPr>
          <w:rFonts w:ascii="Times New Roman" w:hAnsi="Times New Roman" w:cs="Times New Roman"/>
          <w:sz w:val="24"/>
          <w:szCs w:val="24"/>
        </w:rPr>
      </w:pPr>
    </w:p>
    <w:tbl>
      <w:tblPr>
        <w:tblStyle w:val="TableGrid"/>
        <w:tblW w:w="9072" w:type="dxa"/>
        <w:tblInd w:w="108" w:type="dxa"/>
        <w:tblLook w:val="04A0" w:firstRow="1" w:lastRow="0" w:firstColumn="1" w:lastColumn="0" w:noHBand="0" w:noVBand="1"/>
      </w:tblPr>
      <w:tblGrid>
        <w:gridCol w:w="3828"/>
        <w:gridCol w:w="5244"/>
      </w:tblGrid>
      <w:tr w:rsidR="00122C09" w:rsidRPr="00122C09" w:rsidTr="00C1088D">
        <w:trPr>
          <w:trHeight w:val="20"/>
        </w:trPr>
        <w:tc>
          <w:tcPr>
            <w:tcW w:w="3828" w:type="dxa"/>
          </w:tcPr>
          <w:p w:rsidR="00122C09" w:rsidRPr="008D31DB" w:rsidRDefault="00122C09" w:rsidP="005341D1">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Options</w:t>
            </w:r>
          </w:p>
        </w:tc>
        <w:tc>
          <w:tcPr>
            <w:tcW w:w="5244" w:type="dxa"/>
          </w:tcPr>
          <w:p w:rsidR="00122C09" w:rsidRPr="008D31DB" w:rsidRDefault="00122C09" w:rsidP="005341D1">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Analysis against the objectives</w:t>
            </w:r>
          </w:p>
        </w:tc>
      </w:tr>
      <w:tr w:rsidR="005341D1" w:rsidRPr="005D3931" w:rsidTr="00C1088D">
        <w:trPr>
          <w:trHeight w:val="20"/>
        </w:trPr>
        <w:tc>
          <w:tcPr>
            <w:tcW w:w="3828" w:type="dxa"/>
          </w:tcPr>
          <w:p w:rsidR="005341D1" w:rsidRPr="004C64C4" w:rsidRDefault="005341D1" w:rsidP="005341D1">
            <w:pPr>
              <w:jc w:val="both"/>
              <w:rPr>
                <w:rFonts w:ascii="Times New Roman" w:hAnsi="Times New Roman" w:cs="Times New Roman"/>
                <w:sz w:val="24"/>
                <w:szCs w:val="24"/>
              </w:rPr>
            </w:pPr>
            <w:r w:rsidRPr="004C64C4">
              <w:rPr>
                <w:rFonts w:ascii="Times New Roman" w:hAnsi="Times New Roman" w:cs="Times New Roman"/>
                <w:sz w:val="24"/>
                <w:szCs w:val="24"/>
              </w:rPr>
              <w:t>1. Retain the status quo</w:t>
            </w:r>
          </w:p>
        </w:tc>
        <w:tc>
          <w:tcPr>
            <w:tcW w:w="5244" w:type="dxa"/>
          </w:tcPr>
          <w:p w:rsidR="005341D1" w:rsidRPr="005D3931" w:rsidRDefault="005341D1" w:rsidP="005341D1">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5341D1" w:rsidRPr="005D3931" w:rsidRDefault="005341D1" w:rsidP="005341D1">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5341D1" w:rsidRPr="005D3931" w:rsidRDefault="00183E15" w:rsidP="005341D1">
            <w:pPr>
              <w:jc w:val="both"/>
              <w:rPr>
                <w:rFonts w:ascii="Times New Roman" w:hAnsi="Times New Roman" w:cs="Times New Roman"/>
                <w:sz w:val="24"/>
                <w:szCs w:val="24"/>
              </w:rPr>
            </w:pPr>
            <w:r>
              <w:rPr>
                <w:rFonts w:ascii="Times New Roman" w:hAnsi="Times New Roman" w:cs="Times New Roman"/>
                <w:i/>
                <w:sz w:val="24"/>
                <w:szCs w:val="24"/>
              </w:rPr>
              <w:t>S</w:t>
            </w:r>
            <w:r w:rsidR="005341D1" w:rsidRPr="005D3931">
              <w:rPr>
                <w:rFonts w:ascii="Times New Roman" w:hAnsi="Times New Roman" w:cs="Times New Roman"/>
                <w:i/>
                <w:sz w:val="24"/>
                <w:szCs w:val="24"/>
              </w:rPr>
              <w:t>ustainability</w:t>
            </w:r>
            <w:r w:rsidR="005341D1"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5341D1" w:rsidRPr="005D3931" w:rsidRDefault="005341D1" w:rsidP="005341D1">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Pr>
                <w:rFonts w:ascii="Times New Roman" w:hAnsi="Times New Roman" w:cs="Times New Roman"/>
                <w:i/>
                <w:sz w:val="24"/>
                <w:szCs w:val="24"/>
              </w:rPr>
              <w:t xml:space="preserve">: </w:t>
            </w:r>
            <w:r w:rsidRPr="008C2958">
              <w:rPr>
                <w:rFonts w:ascii="Times New Roman" w:hAnsi="Times New Roman" w:cs="Times New Roman"/>
                <w:sz w:val="24"/>
                <w:szCs w:val="24"/>
              </w:rPr>
              <w:t>no impact</w:t>
            </w:r>
          </w:p>
        </w:tc>
      </w:tr>
      <w:tr w:rsidR="005341D1" w:rsidRPr="005D3931" w:rsidTr="00C1088D">
        <w:trPr>
          <w:trHeight w:val="20"/>
        </w:trPr>
        <w:tc>
          <w:tcPr>
            <w:tcW w:w="3828" w:type="dxa"/>
          </w:tcPr>
          <w:p w:rsidR="005341D1" w:rsidRPr="004C64C4" w:rsidRDefault="00D94BDF" w:rsidP="00D42C53">
            <w:pPr>
              <w:rPr>
                <w:rFonts w:ascii="Times New Roman" w:hAnsi="Times New Roman" w:cs="Times New Roman"/>
                <w:sz w:val="24"/>
                <w:szCs w:val="24"/>
              </w:rPr>
            </w:pPr>
            <w:r>
              <w:rPr>
                <w:rFonts w:ascii="Times New Roman" w:hAnsi="Times New Roman" w:cs="Times New Roman"/>
                <w:sz w:val="24"/>
                <w:szCs w:val="24"/>
              </w:rPr>
              <w:t>2</w:t>
            </w:r>
            <w:r w:rsidR="005341D1" w:rsidRPr="004C64C4">
              <w:rPr>
                <w:rFonts w:ascii="Times New Roman" w:hAnsi="Times New Roman" w:cs="Times New Roman"/>
                <w:sz w:val="24"/>
                <w:szCs w:val="24"/>
              </w:rPr>
              <w:t>.</w:t>
            </w:r>
            <w:r w:rsidR="002E34E7">
              <w:rPr>
                <w:rFonts w:ascii="Times New Roman" w:hAnsi="Times New Roman" w:cs="Times New Roman"/>
                <w:sz w:val="24"/>
                <w:szCs w:val="24"/>
              </w:rPr>
              <w:t xml:space="preserve"> </w:t>
            </w:r>
            <w:r w:rsidR="002E34E7" w:rsidRPr="005F61A1">
              <w:rPr>
                <w:rFonts w:ascii="Times New Roman" w:hAnsi="Times New Roman" w:cs="Times New Roman"/>
                <w:sz w:val="24"/>
                <w:szCs w:val="24"/>
              </w:rPr>
              <w:t>Introduce the accounting income method</w:t>
            </w:r>
          </w:p>
        </w:tc>
        <w:tc>
          <w:tcPr>
            <w:tcW w:w="5244" w:type="dxa"/>
          </w:tcPr>
          <w:p w:rsidR="005341D1" w:rsidRPr="005D3931" w:rsidRDefault="005341D1" w:rsidP="00C1088D">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5341D1" w:rsidRPr="005D3931" w:rsidRDefault="005341D1" w:rsidP="00C1088D">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5341D1" w:rsidRPr="005D3931" w:rsidRDefault="00183E15" w:rsidP="00C1088D">
            <w:pPr>
              <w:jc w:val="both"/>
              <w:rPr>
                <w:rFonts w:ascii="Times New Roman" w:hAnsi="Times New Roman" w:cs="Times New Roman"/>
                <w:sz w:val="24"/>
                <w:szCs w:val="24"/>
              </w:rPr>
            </w:pPr>
            <w:r>
              <w:rPr>
                <w:rFonts w:ascii="Times New Roman" w:hAnsi="Times New Roman" w:cs="Times New Roman"/>
                <w:i/>
                <w:sz w:val="24"/>
                <w:szCs w:val="24"/>
              </w:rPr>
              <w:t>S</w:t>
            </w:r>
            <w:r w:rsidR="005341D1" w:rsidRPr="005D3931">
              <w:rPr>
                <w:rFonts w:ascii="Times New Roman" w:hAnsi="Times New Roman" w:cs="Times New Roman"/>
                <w:i/>
                <w:sz w:val="24"/>
                <w:szCs w:val="24"/>
              </w:rPr>
              <w:t>ustainability</w:t>
            </w:r>
            <w:r w:rsidR="005341D1"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5341D1" w:rsidRPr="005D3931" w:rsidRDefault="005341D1" w:rsidP="007A1ED1">
            <w:pPr>
              <w:ind w:left="1026" w:hanging="1026"/>
              <w:jc w:val="both"/>
              <w:rPr>
                <w:rFonts w:ascii="Times New Roman" w:hAnsi="Times New Roman" w:cs="Times New Roman"/>
                <w:i/>
                <w:sz w:val="24"/>
                <w:szCs w:val="24"/>
              </w:rPr>
            </w:pPr>
            <w:r w:rsidRPr="00A702CC">
              <w:rPr>
                <w:rFonts w:ascii="Times New Roman" w:hAnsi="Times New Roman" w:cs="Times New Roman"/>
                <w:i/>
                <w:sz w:val="24"/>
                <w:szCs w:val="24"/>
              </w:rPr>
              <w:t xml:space="preserve">Revenue: </w:t>
            </w:r>
            <w:r w:rsidR="00607E1F" w:rsidRPr="008D31DB">
              <w:rPr>
                <w:rFonts w:ascii="Times New Roman" w:hAnsi="Times New Roman" w:cs="Times New Roman"/>
                <w:sz w:val="24"/>
                <w:szCs w:val="24"/>
              </w:rPr>
              <w:t xml:space="preserve">Impact is expected to be </w:t>
            </w:r>
            <w:r w:rsidR="007A1ED1">
              <w:rPr>
                <w:rFonts w:ascii="Times New Roman" w:hAnsi="Times New Roman" w:cs="Times New Roman"/>
                <w:sz w:val="24"/>
                <w:szCs w:val="24"/>
              </w:rPr>
              <w:t>neutral</w:t>
            </w:r>
          </w:p>
        </w:tc>
      </w:tr>
      <w:tr w:rsidR="005341D1" w:rsidRPr="005D3931" w:rsidTr="00C1088D">
        <w:trPr>
          <w:trHeight w:val="20"/>
        </w:trPr>
        <w:tc>
          <w:tcPr>
            <w:tcW w:w="3828" w:type="dxa"/>
          </w:tcPr>
          <w:p w:rsidR="005341D1" w:rsidRPr="004C64C4" w:rsidRDefault="00D94BDF" w:rsidP="008E3413">
            <w:pPr>
              <w:jc w:val="both"/>
              <w:rPr>
                <w:rFonts w:ascii="Times New Roman" w:hAnsi="Times New Roman" w:cs="Times New Roman"/>
                <w:sz w:val="24"/>
                <w:szCs w:val="24"/>
              </w:rPr>
            </w:pPr>
            <w:r>
              <w:rPr>
                <w:rFonts w:ascii="Times New Roman" w:hAnsi="Times New Roman" w:cs="Times New Roman"/>
                <w:sz w:val="24"/>
                <w:szCs w:val="24"/>
              </w:rPr>
              <w:t>3</w:t>
            </w:r>
            <w:r w:rsidR="008121B2" w:rsidRPr="004C64C4">
              <w:rPr>
                <w:rFonts w:ascii="Times New Roman" w:hAnsi="Times New Roman" w:cs="Times New Roman"/>
                <w:sz w:val="24"/>
                <w:szCs w:val="24"/>
              </w:rPr>
              <w:t xml:space="preserve">. </w:t>
            </w:r>
            <w:r w:rsidR="002E34E7" w:rsidRPr="00D94BDF">
              <w:rPr>
                <w:rFonts w:ascii="Times New Roman" w:hAnsi="Times New Roman" w:cs="Times New Roman"/>
                <w:sz w:val="24"/>
                <w:szCs w:val="24"/>
              </w:rPr>
              <w:t>Extend the GST ratio method</w:t>
            </w:r>
          </w:p>
        </w:tc>
        <w:tc>
          <w:tcPr>
            <w:tcW w:w="5244" w:type="dxa"/>
          </w:tcPr>
          <w:p w:rsidR="005341D1" w:rsidRPr="005D3931" w:rsidRDefault="005341D1" w:rsidP="00C1088D">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5341D1" w:rsidRPr="005D3931" w:rsidRDefault="005341D1" w:rsidP="00C1088D">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5341D1" w:rsidRPr="005D3931" w:rsidRDefault="00183E15" w:rsidP="00C1088D">
            <w:pPr>
              <w:jc w:val="both"/>
              <w:rPr>
                <w:rFonts w:ascii="Times New Roman" w:hAnsi="Times New Roman" w:cs="Times New Roman"/>
                <w:sz w:val="24"/>
                <w:szCs w:val="24"/>
              </w:rPr>
            </w:pPr>
            <w:r>
              <w:rPr>
                <w:rFonts w:ascii="Times New Roman" w:hAnsi="Times New Roman" w:cs="Times New Roman"/>
                <w:i/>
                <w:sz w:val="24"/>
                <w:szCs w:val="24"/>
              </w:rPr>
              <w:t>S</w:t>
            </w:r>
            <w:r w:rsidR="005341D1" w:rsidRPr="005D3931">
              <w:rPr>
                <w:rFonts w:ascii="Times New Roman" w:hAnsi="Times New Roman" w:cs="Times New Roman"/>
                <w:i/>
                <w:sz w:val="24"/>
                <w:szCs w:val="24"/>
              </w:rPr>
              <w:t>ustainability</w:t>
            </w:r>
            <w:r w:rsidR="005341D1"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5341D1" w:rsidRPr="005D3931" w:rsidRDefault="005341D1" w:rsidP="00C1088D">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Pr>
                <w:rFonts w:ascii="Times New Roman" w:hAnsi="Times New Roman" w:cs="Times New Roman"/>
                <w:i/>
                <w:sz w:val="24"/>
                <w:szCs w:val="24"/>
              </w:rPr>
              <w:t>:</w:t>
            </w:r>
            <w:r w:rsidR="008121B2">
              <w:rPr>
                <w:rFonts w:ascii="Times New Roman" w:hAnsi="Times New Roman" w:cs="Times New Roman"/>
                <w:i/>
                <w:sz w:val="24"/>
                <w:szCs w:val="24"/>
              </w:rPr>
              <w:t xml:space="preserve"> </w:t>
            </w:r>
            <w:r w:rsidR="008121B2" w:rsidRPr="008C2958">
              <w:rPr>
                <w:rFonts w:ascii="Times New Roman" w:hAnsi="Times New Roman" w:cs="Times New Roman"/>
                <w:sz w:val="24"/>
                <w:szCs w:val="24"/>
              </w:rPr>
              <w:t>no impact</w:t>
            </w:r>
          </w:p>
        </w:tc>
      </w:tr>
      <w:tr w:rsidR="005341D1" w:rsidRPr="005D3931" w:rsidTr="00C1088D">
        <w:trPr>
          <w:trHeight w:val="20"/>
        </w:trPr>
        <w:tc>
          <w:tcPr>
            <w:tcW w:w="3828" w:type="dxa"/>
          </w:tcPr>
          <w:p w:rsidR="005341D1" w:rsidRPr="004C64C4" w:rsidRDefault="00D94BDF" w:rsidP="004E5176">
            <w:pPr>
              <w:jc w:val="both"/>
              <w:rPr>
                <w:rFonts w:ascii="Times New Roman" w:hAnsi="Times New Roman" w:cs="Times New Roman"/>
                <w:sz w:val="24"/>
                <w:szCs w:val="24"/>
              </w:rPr>
            </w:pPr>
            <w:r>
              <w:rPr>
                <w:rFonts w:ascii="Times New Roman" w:hAnsi="Times New Roman" w:cs="Times New Roman"/>
                <w:sz w:val="24"/>
                <w:szCs w:val="24"/>
              </w:rPr>
              <w:t>4</w:t>
            </w:r>
            <w:r w:rsidR="008121B2" w:rsidRPr="004C64C4">
              <w:rPr>
                <w:rFonts w:ascii="Times New Roman" w:hAnsi="Times New Roman" w:cs="Times New Roman"/>
                <w:sz w:val="24"/>
                <w:szCs w:val="24"/>
              </w:rPr>
              <w:t xml:space="preserve">. Introduce a turnover method </w:t>
            </w:r>
          </w:p>
        </w:tc>
        <w:tc>
          <w:tcPr>
            <w:tcW w:w="5244" w:type="dxa"/>
          </w:tcPr>
          <w:p w:rsidR="005341D1" w:rsidRPr="005D3931" w:rsidRDefault="005341D1" w:rsidP="00C1088D">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5341D1" w:rsidRPr="005D3931" w:rsidRDefault="005341D1" w:rsidP="00C1088D">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5341D1" w:rsidRPr="005D3931" w:rsidRDefault="00183E15" w:rsidP="00C1088D">
            <w:pPr>
              <w:jc w:val="both"/>
              <w:rPr>
                <w:rFonts w:ascii="Times New Roman" w:hAnsi="Times New Roman" w:cs="Times New Roman"/>
                <w:sz w:val="24"/>
                <w:szCs w:val="24"/>
              </w:rPr>
            </w:pPr>
            <w:r>
              <w:rPr>
                <w:rFonts w:ascii="Times New Roman" w:hAnsi="Times New Roman" w:cs="Times New Roman"/>
                <w:i/>
                <w:sz w:val="24"/>
                <w:szCs w:val="24"/>
              </w:rPr>
              <w:t>S</w:t>
            </w:r>
            <w:r w:rsidR="005341D1" w:rsidRPr="005D3931">
              <w:rPr>
                <w:rFonts w:ascii="Times New Roman" w:hAnsi="Times New Roman" w:cs="Times New Roman"/>
                <w:i/>
                <w:sz w:val="24"/>
                <w:szCs w:val="24"/>
              </w:rPr>
              <w:t>ustainability</w:t>
            </w:r>
            <w:r w:rsidR="005341D1"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5341D1" w:rsidRPr="005D3931" w:rsidRDefault="005341D1" w:rsidP="00C1088D">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Pr>
                <w:rFonts w:ascii="Times New Roman" w:hAnsi="Times New Roman" w:cs="Times New Roman"/>
                <w:i/>
                <w:sz w:val="24"/>
                <w:szCs w:val="24"/>
              </w:rPr>
              <w:t>:</w:t>
            </w:r>
            <w:r w:rsidR="008121B2">
              <w:rPr>
                <w:rFonts w:ascii="Times New Roman" w:hAnsi="Times New Roman" w:cs="Times New Roman"/>
                <w:i/>
                <w:sz w:val="24"/>
                <w:szCs w:val="24"/>
              </w:rPr>
              <w:t xml:space="preserve"> </w:t>
            </w:r>
            <w:r w:rsidR="008121B2" w:rsidRPr="008C2958">
              <w:rPr>
                <w:rFonts w:ascii="Times New Roman" w:hAnsi="Times New Roman" w:cs="Times New Roman"/>
                <w:sz w:val="24"/>
                <w:szCs w:val="24"/>
              </w:rPr>
              <w:t>no impact</w:t>
            </w:r>
          </w:p>
        </w:tc>
      </w:tr>
    </w:tbl>
    <w:p w:rsidR="00B30234" w:rsidRPr="005D3931" w:rsidRDefault="00B30234" w:rsidP="00B30234">
      <w:pPr>
        <w:spacing w:after="0" w:line="240" w:lineRule="auto"/>
        <w:jc w:val="both"/>
        <w:rPr>
          <w:rFonts w:ascii="Times New Roman" w:hAnsi="Times New Roman" w:cs="Times New Roman"/>
          <w:sz w:val="24"/>
          <w:szCs w:val="24"/>
        </w:rPr>
      </w:pPr>
    </w:p>
    <w:p w:rsidR="00B30234" w:rsidRPr="008D31DB" w:rsidRDefault="00B30234" w:rsidP="00B30234">
      <w:pPr>
        <w:spacing w:after="0" w:line="240" w:lineRule="auto"/>
        <w:jc w:val="both"/>
        <w:rPr>
          <w:rFonts w:ascii="Times New Roman" w:hAnsi="Times New Roman" w:cs="Times New Roman"/>
          <w:i/>
          <w:sz w:val="24"/>
          <w:szCs w:val="24"/>
        </w:rPr>
      </w:pPr>
      <w:r w:rsidRPr="008D31DB">
        <w:rPr>
          <w:rFonts w:ascii="Times New Roman" w:hAnsi="Times New Roman" w:cs="Times New Roman"/>
          <w:i/>
          <w:sz w:val="24"/>
          <w:szCs w:val="24"/>
        </w:rPr>
        <w:t>Recommendation</w:t>
      </w:r>
    </w:p>
    <w:p w:rsidR="00D04D6B" w:rsidRPr="005D3931" w:rsidRDefault="00D04D6B" w:rsidP="00D04D6B">
      <w:pPr>
        <w:spacing w:after="0" w:line="240" w:lineRule="auto"/>
        <w:jc w:val="both"/>
        <w:rPr>
          <w:rFonts w:ascii="Times New Roman" w:hAnsi="Times New Roman" w:cs="Times New Roman"/>
          <w:sz w:val="24"/>
          <w:szCs w:val="24"/>
          <w:u w:val="single"/>
        </w:rPr>
      </w:pPr>
    </w:p>
    <w:p w:rsidR="00597570" w:rsidRPr="00597570" w:rsidRDefault="00597570" w:rsidP="00597570">
      <w:pPr>
        <w:numPr>
          <w:ilvl w:val="0"/>
          <w:numId w:val="11"/>
        </w:numPr>
        <w:spacing w:after="0" w:line="240" w:lineRule="auto"/>
        <w:ind w:left="0" w:firstLine="0"/>
        <w:contextualSpacing/>
        <w:jc w:val="both"/>
        <w:rPr>
          <w:rFonts w:ascii="Times New Roman" w:hAnsi="Times New Roman" w:cs="Times New Roman"/>
          <w:sz w:val="24"/>
          <w:szCs w:val="24"/>
        </w:rPr>
      </w:pPr>
      <w:r w:rsidRPr="00597570">
        <w:rPr>
          <w:rFonts w:ascii="Times New Roman" w:hAnsi="Times New Roman" w:cs="Times New Roman"/>
          <w:sz w:val="24"/>
          <w:szCs w:val="24"/>
        </w:rPr>
        <w:t xml:space="preserve">Officials recommend option </w:t>
      </w:r>
      <w:r w:rsidR="00D94BDF">
        <w:rPr>
          <w:rFonts w:ascii="Times New Roman" w:hAnsi="Times New Roman" w:cs="Times New Roman"/>
          <w:sz w:val="24"/>
          <w:szCs w:val="24"/>
        </w:rPr>
        <w:t>2</w:t>
      </w:r>
      <w:r w:rsidRPr="00597570">
        <w:rPr>
          <w:rFonts w:ascii="Times New Roman" w:hAnsi="Times New Roman" w:cs="Times New Roman"/>
          <w:sz w:val="24"/>
          <w:szCs w:val="24"/>
        </w:rPr>
        <w:t xml:space="preserve"> as tax payments based on actual rather than forecast income, excluding shareholder salaries, will work for a large number of businesses where income accumulates over the year</w:t>
      </w:r>
      <w:r w:rsidR="00DE2246">
        <w:rPr>
          <w:rFonts w:ascii="Times New Roman" w:hAnsi="Times New Roman" w:cs="Times New Roman"/>
          <w:sz w:val="24"/>
          <w:szCs w:val="24"/>
        </w:rPr>
        <w:t xml:space="preserve">. </w:t>
      </w:r>
      <w:r w:rsidRPr="00597570">
        <w:rPr>
          <w:rFonts w:ascii="Times New Roman" w:hAnsi="Times New Roman" w:cs="Times New Roman"/>
          <w:sz w:val="24"/>
          <w:szCs w:val="24"/>
        </w:rPr>
        <w:t xml:space="preserve"> </w:t>
      </w:r>
      <w:r w:rsidR="00DE2246">
        <w:rPr>
          <w:rFonts w:ascii="Times New Roman" w:hAnsi="Times New Roman" w:cs="Times New Roman"/>
          <w:sz w:val="24"/>
          <w:szCs w:val="24"/>
        </w:rPr>
        <w:t xml:space="preserve">This </w:t>
      </w:r>
      <w:r w:rsidRPr="00597570">
        <w:rPr>
          <w:rFonts w:ascii="Times New Roman" w:hAnsi="Times New Roman" w:cs="Times New Roman"/>
          <w:sz w:val="24"/>
          <w:szCs w:val="24"/>
        </w:rPr>
        <w:t xml:space="preserve">will reduce stress around year end payments and </w:t>
      </w:r>
      <w:proofErr w:type="spellStart"/>
      <w:r w:rsidR="0045650F">
        <w:rPr>
          <w:rFonts w:ascii="Times New Roman" w:hAnsi="Times New Roman" w:cs="Times New Roman"/>
          <w:sz w:val="24"/>
          <w:szCs w:val="24"/>
        </w:rPr>
        <w:t>UOMI</w:t>
      </w:r>
      <w:proofErr w:type="spellEnd"/>
      <w:r w:rsidRPr="00597570">
        <w:rPr>
          <w:rFonts w:ascii="Times New Roman" w:hAnsi="Times New Roman" w:cs="Times New Roman"/>
          <w:sz w:val="24"/>
          <w:szCs w:val="24"/>
        </w:rPr>
        <w:t xml:space="preserve"> for</w:t>
      </w:r>
      <w:r w:rsidR="000302D3">
        <w:rPr>
          <w:rFonts w:ascii="Times New Roman" w:hAnsi="Times New Roman" w:cs="Times New Roman"/>
          <w:sz w:val="24"/>
          <w:szCs w:val="24"/>
        </w:rPr>
        <w:t xml:space="preserve"> taxpayers who use this method.</w:t>
      </w:r>
    </w:p>
    <w:p w:rsidR="00825CC3" w:rsidRPr="005D3931" w:rsidRDefault="00825CC3" w:rsidP="00B30234">
      <w:pPr>
        <w:spacing w:after="0" w:line="240" w:lineRule="auto"/>
        <w:jc w:val="both"/>
        <w:rPr>
          <w:rFonts w:ascii="Times New Roman" w:hAnsi="Times New Roman" w:cs="Times New Roman"/>
          <w:sz w:val="24"/>
          <w:szCs w:val="24"/>
        </w:rPr>
      </w:pPr>
    </w:p>
    <w:p w:rsidR="004C78E5" w:rsidRPr="008D31DB" w:rsidRDefault="004C78E5" w:rsidP="004C78E5">
      <w:pPr>
        <w:spacing w:after="0" w:line="240" w:lineRule="auto"/>
        <w:jc w:val="both"/>
        <w:rPr>
          <w:rFonts w:ascii="Times New Roman" w:hAnsi="Times New Roman" w:cs="Times New Roman"/>
          <w:i/>
          <w:sz w:val="24"/>
          <w:szCs w:val="24"/>
          <w:u w:val="single"/>
        </w:rPr>
      </w:pPr>
      <w:r w:rsidRPr="008D31DB">
        <w:rPr>
          <w:rFonts w:ascii="Times New Roman" w:hAnsi="Times New Roman" w:cs="Times New Roman"/>
          <w:i/>
          <w:sz w:val="24"/>
          <w:szCs w:val="24"/>
          <w:u w:val="single"/>
        </w:rPr>
        <w:t xml:space="preserve">Paying tax </w:t>
      </w:r>
      <w:r>
        <w:rPr>
          <w:rFonts w:ascii="Times New Roman" w:hAnsi="Times New Roman" w:cs="Times New Roman"/>
          <w:i/>
          <w:sz w:val="24"/>
          <w:szCs w:val="24"/>
          <w:u w:val="single"/>
        </w:rPr>
        <w:t>as agent for</w:t>
      </w:r>
      <w:r w:rsidRPr="008D31DB">
        <w:rPr>
          <w:rFonts w:ascii="Times New Roman" w:hAnsi="Times New Roman" w:cs="Times New Roman"/>
          <w:i/>
          <w:sz w:val="24"/>
          <w:szCs w:val="24"/>
          <w:u w:val="single"/>
        </w:rPr>
        <w:t xml:space="preserve"> </w:t>
      </w:r>
      <w:r>
        <w:rPr>
          <w:rFonts w:ascii="Times New Roman" w:hAnsi="Times New Roman" w:cs="Times New Roman"/>
          <w:i/>
          <w:sz w:val="24"/>
          <w:szCs w:val="24"/>
          <w:u w:val="single"/>
        </w:rPr>
        <w:t>shareholder-employees</w:t>
      </w:r>
    </w:p>
    <w:p w:rsidR="0043243C" w:rsidRDefault="0043243C" w:rsidP="0043243C">
      <w:pPr>
        <w:pStyle w:val="ListParagraph"/>
        <w:spacing w:after="0" w:line="240" w:lineRule="auto"/>
        <w:ind w:left="0"/>
        <w:jc w:val="both"/>
        <w:rPr>
          <w:rFonts w:ascii="Times New Roman" w:hAnsi="Times New Roman" w:cs="Times New Roman"/>
          <w:sz w:val="24"/>
          <w:szCs w:val="24"/>
        </w:rPr>
      </w:pPr>
    </w:p>
    <w:p w:rsidR="004C78E5" w:rsidRDefault="004C78E5" w:rsidP="008D31DB">
      <w:pPr>
        <w:numPr>
          <w:ilvl w:val="0"/>
          <w:numId w:val="11"/>
        </w:numPr>
        <w:spacing w:after="0" w:line="240" w:lineRule="auto"/>
        <w:ind w:left="0" w:firstLine="0"/>
        <w:contextualSpacing/>
        <w:jc w:val="both"/>
        <w:rPr>
          <w:rFonts w:ascii="Times New Roman" w:hAnsi="Times New Roman" w:cs="Times New Roman"/>
          <w:sz w:val="24"/>
          <w:szCs w:val="24"/>
        </w:rPr>
      </w:pPr>
      <w:r w:rsidRPr="00000418">
        <w:rPr>
          <w:rFonts w:ascii="Times New Roman" w:hAnsi="Times New Roman" w:cs="Times New Roman"/>
          <w:sz w:val="24"/>
          <w:szCs w:val="24"/>
        </w:rPr>
        <w:t xml:space="preserve">Provisional tax gives rise to particular concerns for small businesses and their </w:t>
      </w:r>
      <w:r>
        <w:rPr>
          <w:rFonts w:ascii="Times New Roman" w:hAnsi="Times New Roman" w:cs="Times New Roman"/>
          <w:sz w:val="24"/>
          <w:szCs w:val="24"/>
        </w:rPr>
        <w:t>owners</w:t>
      </w:r>
      <w:r w:rsidRPr="00000418">
        <w:rPr>
          <w:rFonts w:ascii="Times New Roman" w:hAnsi="Times New Roman" w:cs="Times New Roman"/>
          <w:sz w:val="24"/>
          <w:szCs w:val="24"/>
        </w:rPr>
        <w:t xml:space="preserve">. The current rules apply separate obligations </w:t>
      </w:r>
      <w:r>
        <w:rPr>
          <w:rFonts w:ascii="Times New Roman" w:hAnsi="Times New Roman" w:cs="Times New Roman"/>
          <w:sz w:val="24"/>
          <w:szCs w:val="24"/>
        </w:rPr>
        <w:t>to</w:t>
      </w:r>
      <w:r w:rsidRPr="00000418">
        <w:rPr>
          <w:rFonts w:ascii="Times New Roman" w:hAnsi="Times New Roman" w:cs="Times New Roman"/>
          <w:sz w:val="24"/>
          <w:szCs w:val="24"/>
        </w:rPr>
        <w:t xml:space="preserve"> a company and each of its shareholders</w:t>
      </w:r>
      <w:r>
        <w:rPr>
          <w:rFonts w:ascii="Times New Roman" w:hAnsi="Times New Roman" w:cs="Times New Roman"/>
          <w:sz w:val="24"/>
          <w:szCs w:val="24"/>
        </w:rPr>
        <w:t>.</w:t>
      </w:r>
      <w:r w:rsidRPr="00000418">
        <w:rPr>
          <w:rFonts w:ascii="Times New Roman" w:hAnsi="Times New Roman" w:cs="Times New Roman"/>
          <w:sz w:val="24"/>
          <w:szCs w:val="24"/>
        </w:rPr>
        <w:t xml:space="preserve"> </w:t>
      </w:r>
      <w:r>
        <w:rPr>
          <w:rFonts w:ascii="Times New Roman" w:hAnsi="Times New Roman" w:cs="Times New Roman"/>
          <w:sz w:val="24"/>
          <w:szCs w:val="24"/>
        </w:rPr>
        <w:t>A</w:t>
      </w:r>
      <w:r w:rsidRPr="00000418">
        <w:rPr>
          <w:rFonts w:ascii="Times New Roman" w:hAnsi="Times New Roman" w:cs="Times New Roman"/>
          <w:sz w:val="24"/>
          <w:szCs w:val="24"/>
        </w:rPr>
        <w:t xml:space="preserve">t its core what is happening is that a flow of income is being derived in a single economic entity and being partitioned out at the end of the year between </w:t>
      </w:r>
      <w:r>
        <w:rPr>
          <w:rFonts w:ascii="Times New Roman" w:hAnsi="Times New Roman" w:cs="Times New Roman"/>
          <w:sz w:val="24"/>
          <w:szCs w:val="24"/>
        </w:rPr>
        <w:t>the company and its shareholders, normally by way of shareholder salary</w:t>
      </w:r>
      <w:r w:rsidRPr="00000418">
        <w:rPr>
          <w:rFonts w:ascii="Times New Roman" w:hAnsi="Times New Roman" w:cs="Times New Roman"/>
          <w:sz w:val="24"/>
          <w:szCs w:val="24"/>
        </w:rPr>
        <w:t xml:space="preserve">. </w:t>
      </w:r>
      <w:r>
        <w:rPr>
          <w:rFonts w:ascii="Times New Roman" w:hAnsi="Times New Roman" w:cs="Times New Roman"/>
          <w:sz w:val="24"/>
          <w:szCs w:val="24"/>
        </w:rPr>
        <w:t>Each shareholder will typically be liable for provisional tax on that income</w:t>
      </w:r>
      <w:r w:rsidR="00000418" w:rsidRPr="00000418">
        <w:rPr>
          <w:rFonts w:ascii="Times New Roman" w:hAnsi="Times New Roman" w:cs="Times New Roman"/>
          <w:sz w:val="24"/>
          <w:szCs w:val="24"/>
        </w:rPr>
        <w:t xml:space="preserve">. </w:t>
      </w:r>
    </w:p>
    <w:p w:rsidR="004C78E5" w:rsidRDefault="004C78E5" w:rsidP="00D42C53">
      <w:pPr>
        <w:spacing w:after="0" w:line="240" w:lineRule="auto"/>
        <w:contextualSpacing/>
        <w:jc w:val="both"/>
        <w:rPr>
          <w:rFonts w:ascii="Times New Roman" w:hAnsi="Times New Roman" w:cs="Times New Roman"/>
          <w:sz w:val="24"/>
          <w:szCs w:val="24"/>
        </w:rPr>
      </w:pPr>
    </w:p>
    <w:p w:rsidR="00000418" w:rsidRPr="00000418" w:rsidRDefault="00000418" w:rsidP="008D31DB">
      <w:pPr>
        <w:numPr>
          <w:ilvl w:val="0"/>
          <w:numId w:val="11"/>
        </w:numPr>
        <w:spacing w:after="0" w:line="240" w:lineRule="auto"/>
        <w:ind w:left="0" w:firstLine="0"/>
        <w:contextualSpacing/>
        <w:jc w:val="both"/>
        <w:rPr>
          <w:rFonts w:ascii="Times New Roman" w:hAnsi="Times New Roman" w:cs="Times New Roman"/>
          <w:sz w:val="24"/>
          <w:szCs w:val="24"/>
        </w:rPr>
      </w:pPr>
      <w:r w:rsidRPr="00000418">
        <w:rPr>
          <w:rFonts w:ascii="Times New Roman" w:hAnsi="Times New Roman" w:cs="Times New Roman"/>
          <w:sz w:val="24"/>
          <w:szCs w:val="24"/>
        </w:rPr>
        <w:t xml:space="preserve">The current approach does not align with the principle that tax should be collected by the person who is able to do so most efficiently, and compliance costs minimised. </w:t>
      </w:r>
    </w:p>
    <w:p w:rsidR="00260B8F" w:rsidRPr="00420D8B" w:rsidRDefault="00260B8F" w:rsidP="0043243C">
      <w:pPr>
        <w:pStyle w:val="ListParagraph"/>
        <w:spacing w:after="0" w:line="240" w:lineRule="auto"/>
        <w:ind w:left="0"/>
        <w:jc w:val="both"/>
        <w:rPr>
          <w:rFonts w:ascii="Times New Roman" w:hAnsi="Times New Roman" w:cs="Times New Roman"/>
          <w:sz w:val="24"/>
          <w:szCs w:val="24"/>
        </w:rPr>
      </w:pPr>
    </w:p>
    <w:p w:rsidR="009E0294" w:rsidRPr="009E0294" w:rsidRDefault="009E0294" w:rsidP="009E0294">
      <w:pPr>
        <w:pStyle w:val="ListParagraph"/>
        <w:numPr>
          <w:ilvl w:val="0"/>
          <w:numId w:val="11"/>
        </w:numPr>
        <w:spacing w:after="0" w:line="240" w:lineRule="auto"/>
        <w:ind w:left="0" w:firstLine="0"/>
        <w:jc w:val="both"/>
        <w:rPr>
          <w:rFonts w:ascii="Times New Roman" w:hAnsi="Times New Roman" w:cs="Times New Roman"/>
          <w:sz w:val="24"/>
          <w:szCs w:val="24"/>
        </w:rPr>
      </w:pPr>
      <w:r w:rsidRPr="009E0294">
        <w:rPr>
          <w:rFonts w:ascii="Times New Roman" w:hAnsi="Times New Roman" w:cs="Times New Roman"/>
          <w:sz w:val="24"/>
          <w:szCs w:val="24"/>
        </w:rPr>
        <w:t xml:space="preserve">Officials have considered a number of options to address these concerns, which are summarised below and outlined in more detail in appendix </w:t>
      </w:r>
      <w:r w:rsidR="005C245B">
        <w:rPr>
          <w:rFonts w:ascii="Times New Roman" w:hAnsi="Times New Roman" w:cs="Times New Roman"/>
          <w:sz w:val="24"/>
          <w:szCs w:val="24"/>
        </w:rPr>
        <w:t>A-4</w:t>
      </w:r>
      <w:r w:rsidRPr="009E0294">
        <w:rPr>
          <w:rFonts w:ascii="Times New Roman" w:hAnsi="Times New Roman" w:cs="Times New Roman"/>
          <w:sz w:val="24"/>
          <w:szCs w:val="24"/>
        </w:rPr>
        <w:t>.</w:t>
      </w:r>
    </w:p>
    <w:p w:rsidR="00B30234" w:rsidRPr="005D3931" w:rsidRDefault="00B30234" w:rsidP="00B30234">
      <w:pPr>
        <w:spacing w:after="0" w:line="240" w:lineRule="auto"/>
        <w:jc w:val="both"/>
        <w:rPr>
          <w:rFonts w:ascii="Times New Roman" w:hAnsi="Times New Roman" w:cs="Times New Roman"/>
          <w:sz w:val="24"/>
          <w:szCs w:val="24"/>
        </w:rPr>
      </w:pPr>
    </w:p>
    <w:tbl>
      <w:tblPr>
        <w:tblStyle w:val="TableGrid"/>
        <w:tblW w:w="9072" w:type="dxa"/>
        <w:tblInd w:w="108" w:type="dxa"/>
        <w:tblLook w:val="04A0" w:firstRow="1" w:lastRow="0" w:firstColumn="1" w:lastColumn="0" w:noHBand="0" w:noVBand="1"/>
      </w:tblPr>
      <w:tblGrid>
        <w:gridCol w:w="3828"/>
        <w:gridCol w:w="5244"/>
      </w:tblGrid>
      <w:tr w:rsidR="00B30234" w:rsidRPr="005D3931" w:rsidTr="00B30234">
        <w:tc>
          <w:tcPr>
            <w:tcW w:w="3828" w:type="dxa"/>
          </w:tcPr>
          <w:p w:rsidR="00B30234" w:rsidRPr="005D3931" w:rsidRDefault="00B30234" w:rsidP="00B30234">
            <w:pPr>
              <w:jc w:val="both"/>
              <w:rPr>
                <w:rFonts w:ascii="Times New Roman" w:hAnsi="Times New Roman" w:cs="Times New Roman"/>
                <w:b/>
                <w:sz w:val="24"/>
                <w:szCs w:val="24"/>
              </w:rPr>
            </w:pPr>
            <w:r w:rsidRPr="005D3931">
              <w:rPr>
                <w:rFonts w:ascii="Times New Roman" w:hAnsi="Times New Roman" w:cs="Times New Roman"/>
                <w:b/>
                <w:sz w:val="24"/>
                <w:szCs w:val="24"/>
              </w:rPr>
              <w:t>Options</w:t>
            </w:r>
          </w:p>
        </w:tc>
        <w:tc>
          <w:tcPr>
            <w:tcW w:w="5244" w:type="dxa"/>
          </w:tcPr>
          <w:p w:rsidR="00B30234" w:rsidRPr="005D3931" w:rsidRDefault="00B30234" w:rsidP="00B30234">
            <w:pPr>
              <w:jc w:val="both"/>
              <w:rPr>
                <w:rFonts w:ascii="Times New Roman" w:hAnsi="Times New Roman" w:cs="Times New Roman"/>
                <w:b/>
                <w:sz w:val="24"/>
                <w:szCs w:val="24"/>
              </w:rPr>
            </w:pPr>
            <w:r w:rsidRPr="005D3931">
              <w:rPr>
                <w:rFonts w:ascii="Times New Roman" w:hAnsi="Times New Roman" w:cs="Times New Roman"/>
                <w:b/>
                <w:sz w:val="24"/>
                <w:szCs w:val="24"/>
              </w:rPr>
              <w:t>Analysis against the objectives</w:t>
            </w:r>
          </w:p>
        </w:tc>
      </w:tr>
      <w:tr w:rsidR="00825CC3" w:rsidRPr="005D3931" w:rsidTr="00B30234">
        <w:trPr>
          <w:trHeight w:val="729"/>
        </w:trPr>
        <w:tc>
          <w:tcPr>
            <w:tcW w:w="3828" w:type="dxa"/>
          </w:tcPr>
          <w:p w:rsidR="00825CC3" w:rsidRPr="005D3931" w:rsidRDefault="005248B5" w:rsidP="00D94BDF">
            <w:pPr>
              <w:jc w:val="both"/>
              <w:rPr>
                <w:rFonts w:ascii="Times New Roman" w:hAnsi="Times New Roman" w:cs="Times New Roman"/>
                <w:sz w:val="24"/>
                <w:szCs w:val="24"/>
              </w:rPr>
            </w:pPr>
            <w:r w:rsidRPr="005D3931">
              <w:rPr>
                <w:rFonts w:ascii="Times New Roman" w:hAnsi="Times New Roman" w:cs="Times New Roman"/>
                <w:sz w:val="24"/>
                <w:szCs w:val="24"/>
              </w:rPr>
              <w:t xml:space="preserve">1. </w:t>
            </w:r>
            <w:r w:rsidR="007142F0">
              <w:rPr>
                <w:rFonts w:ascii="Times New Roman" w:hAnsi="Times New Roman" w:cs="Times New Roman"/>
                <w:sz w:val="24"/>
                <w:szCs w:val="24"/>
              </w:rPr>
              <w:t>Retain the s</w:t>
            </w:r>
            <w:r w:rsidR="00825CC3" w:rsidRPr="005D3931">
              <w:rPr>
                <w:rFonts w:ascii="Times New Roman" w:hAnsi="Times New Roman" w:cs="Times New Roman"/>
                <w:sz w:val="24"/>
                <w:szCs w:val="24"/>
              </w:rPr>
              <w:t>tatus quo</w:t>
            </w:r>
          </w:p>
        </w:tc>
        <w:tc>
          <w:tcPr>
            <w:tcW w:w="5244" w:type="dxa"/>
          </w:tcPr>
          <w:p w:rsidR="00825CC3" w:rsidRPr="005D3931" w:rsidRDefault="00825CC3" w:rsidP="00825CC3">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825CC3" w:rsidRPr="005D3931" w:rsidRDefault="00825CC3" w:rsidP="00825CC3">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825CC3" w:rsidRPr="005D3931" w:rsidRDefault="00183E15" w:rsidP="00825CC3">
            <w:pPr>
              <w:jc w:val="both"/>
              <w:rPr>
                <w:rFonts w:ascii="Times New Roman" w:hAnsi="Times New Roman" w:cs="Times New Roman"/>
                <w:sz w:val="24"/>
                <w:szCs w:val="24"/>
              </w:rPr>
            </w:pPr>
            <w:r>
              <w:rPr>
                <w:rFonts w:ascii="Times New Roman" w:hAnsi="Times New Roman" w:cs="Times New Roman"/>
                <w:i/>
                <w:sz w:val="24"/>
                <w:szCs w:val="24"/>
              </w:rPr>
              <w:t>S</w:t>
            </w:r>
            <w:r w:rsidR="00825CC3" w:rsidRPr="005D3931">
              <w:rPr>
                <w:rFonts w:ascii="Times New Roman" w:hAnsi="Times New Roman" w:cs="Times New Roman"/>
                <w:i/>
                <w:sz w:val="24"/>
                <w:szCs w:val="24"/>
              </w:rPr>
              <w:t>ustainability</w:t>
            </w:r>
            <w:r w:rsidR="00825CC3"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825CC3" w:rsidRPr="005D3931" w:rsidRDefault="00825CC3" w:rsidP="00F610F4">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005248B5" w:rsidRPr="005D3931">
              <w:rPr>
                <w:rFonts w:ascii="Times New Roman" w:hAnsi="Times New Roman" w:cs="Times New Roman"/>
                <w:i/>
                <w:sz w:val="24"/>
                <w:szCs w:val="24"/>
              </w:rPr>
              <w:t xml:space="preserve">: </w:t>
            </w:r>
            <w:r w:rsidR="000C74B4">
              <w:rPr>
                <w:rFonts w:ascii="Times New Roman" w:hAnsi="Times New Roman" w:cs="Times New Roman"/>
                <w:sz w:val="24"/>
                <w:szCs w:val="24"/>
              </w:rPr>
              <w:t>no impact</w:t>
            </w:r>
          </w:p>
        </w:tc>
      </w:tr>
      <w:tr w:rsidR="00711A45" w:rsidRPr="005D3931" w:rsidTr="00B30234">
        <w:tc>
          <w:tcPr>
            <w:tcW w:w="3828" w:type="dxa"/>
          </w:tcPr>
          <w:p w:rsidR="00711A45" w:rsidRPr="005D3931" w:rsidRDefault="005248B5" w:rsidP="005248B5">
            <w:pPr>
              <w:jc w:val="both"/>
              <w:rPr>
                <w:rFonts w:ascii="Times New Roman" w:hAnsi="Times New Roman" w:cs="Times New Roman"/>
                <w:sz w:val="24"/>
                <w:szCs w:val="24"/>
              </w:rPr>
            </w:pPr>
            <w:r w:rsidRPr="005D3931">
              <w:rPr>
                <w:rFonts w:ascii="Times New Roman" w:hAnsi="Times New Roman" w:cs="Times New Roman"/>
                <w:sz w:val="24"/>
                <w:szCs w:val="24"/>
              </w:rPr>
              <w:t xml:space="preserve">2. </w:t>
            </w:r>
            <w:r w:rsidR="004A0517" w:rsidRPr="00D42C53">
              <w:rPr>
                <w:rFonts w:ascii="Times New Roman" w:hAnsi="Times New Roman" w:cs="Times New Roman"/>
                <w:b/>
                <w:sz w:val="24"/>
                <w:szCs w:val="24"/>
              </w:rPr>
              <w:t>Allow</w:t>
            </w:r>
            <w:r w:rsidR="004A0517" w:rsidRPr="00D94BDF">
              <w:rPr>
                <w:rFonts w:ascii="Times New Roman" w:hAnsi="Times New Roman" w:cs="Times New Roman"/>
                <w:sz w:val="24"/>
                <w:szCs w:val="24"/>
              </w:rPr>
              <w:t xml:space="preserve"> </w:t>
            </w:r>
            <w:r w:rsidR="004A0517">
              <w:rPr>
                <w:rFonts w:ascii="Times New Roman" w:hAnsi="Times New Roman" w:cs="Times New Roman"/>
                <w:sz w:val="24"/>
                <w:szCs w:val="24"/>
              </w:rPr>
              <w:t>companies</w:t>
            </w:r>
            <w:r w:rsidR="004A0517" w:rsidRPr="00D94BDF">
              <w:rPr>
                <w:rFonts w:ascii="Times New Roman" w:hAnsi="Times New Roman" w:cs="Times New Roman"/>
                <w:sz w:val="24"/>
                <w:szCs w:val="24"/>
              </w:rPr>
              <w:t xml:space="preserve"> to pay tax as agent for </w:t>
            </w:r>
            <w:r w:rsidR="004A0517">
              <w:rPr>
                <w:rFonts w:ascii="Times New Roman" w:hAnsi="Times New Roman" w:cs="Times New Roman"/>
                <w:sz w:val="24"/>
                <w:szCs w:val="24"/>
              </w:rPr>
              <w:t>shareholder-employees</w:t>
            </w:r>
          </w:p>
        </w:tc>
        <w:tc>
          <w:tcPr>
            <w:tcW w:w="5244" w:type="dxa"/>
          </w:tcPr>
          <w:p w:rsidR="00711A45" w:rsidRPr="005D3931" w:rsidRDefault="00711A45" w:rsidP="00D314CD">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711A45" w:rsidRPr="005D3931" w:rsidRDefault="00711A45" w:rsidP="00D314CD">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711A45" w:rsidRPr="005D3931" w:rsidRDefault="00183E15" w:rsidP="00D314CD">
            <w:pPr>
              <w:jc w:val="both"/>
              <w:rPr>
                <w:rFonts w:ascii="Times New Roman" w:hAnsi="Times New Roman" w:cs="Times New Roman"/>
                <w:sz w:val="24"/>
                <w:szCs w:val="24"/>
              </w:rPr>
            </w:pPr>
            <w:r>
              <w:rPr>
                <w:rFonts w:ascii="Times New Roman" w:hAnsi="Times New Roman" w:cs="Times New Roman"/>
                <w:i/>
                <w:sz w:val="24"/>
                <w:szCs w:val="24"/>
              </w:rPr>
              <w:t>S</w:t>
            </w:r>
            <w:r w:rsidR="00711A45" w:rsidRPr="005D3931">
              <w:rPr>
                <w:rFonts w:ascii="Times New Roman" w:hAnsi="Times New Roman" w:cs="Times New Roman"/>
                <w:i/>
                <w:sz w:val="24"/>
                <w:szCs w:val="24"/>
              </w:rPr>
              <w:t>ustainability</w:t>
            </w:r>
            <w:r w:rsidR="00711A45"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711A45" w:rsidRPr="005D3931" w:rsidRDefault="00711A45" w:rsidP="00E825A0">
            <w:pPr>
              <w:jc w:val="both"/>
              <w:rPr>
                <w:rFonts w:ascii="Times New Roman" w:hAnsi="Times New Roman" w:cs="Times New Roman"/>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sidR="005248B5" w:rsidRPr="005D3931">
              <w:rPr>
                <w:rFonts w:ascii="Times New Roman" w:hAnsi="Times New Roman" w:cs="Times New Roman"/>
                <w:sz w:val="24"/>
                <w:szCs w:val="24"/>
              </w:rPr>
              <w:t xml:space="preserve"> </w:t>
            </w:r>
            <w:r w:rsidR="00E825A0">
              <w:rPr>
                <w:rFonts w:ascii="Times New Roman" w:hAnsi="Times New Roman" w:cs="Times New Roman"/>
                <w:sz w:val="24"/>
                <w:szCs w:val="24"/>
              </w:rPr>
              <w:t>no impact</w:t>
            </w:r>
          </w:p>
        </w:tc>
      </w:tr>
      <w:tr w:rsidR="00825CC3" w:rsidRPr="005D3931" w:rsidTr="00B30234">
        <w:tc>
          <w:tcPr>
            <w:tcW w:w="3828" w:type="dxa"/>
          </w:tcPr>
          <w:p w:rsidR="00825CC3" w:rsidRPr="005D3931" w:rsidRDefault="005248B5" w:rsidP="005248B5">
            <w:pPr>
              <w:jc w:val="both"/>
              <w:rPr>
                <w:rFonts w:ascii="Times New Roman" w:hAnsi="Times New Roman" w:cs="Times New Roman"/>
                <w:sz w:val="24"/>
                <w:szCs w:val="24"/>
              </w:rPr>
            </w:pPr>
            <w:r w:rsidRPr="005D3931">
              <w:rPr>
                <w:rFonts w:ascii="Times New Roman" w:hAnsi="Times New Roman" w:cs="Times New Roman"/>
                <w:sz w:val="24"/>
                <w:szCs w:val="24"/>
              </w:rPr>
              <w:t xml:space="preserve">3. </w:t>
            </w:r>
            <w:r w:rsidRPr="005D3931">
              <w:rPr>
                <w:rFonts w:ascii="Times New Roman" w:hAnsi="Times New Roman" w:cs="Times New Roman"/>
                <w:b/>
                <w:sz w:val="24"/>
                <w:szCs w:val="24"/>
              </w:rPr>
              <w:t>Require</w:t>
            </w:r>
            <w:r w:rsidRPr="005D3931">
              <w:rPr>
                <w:rFonts w:ascii="Times New Roman" w:hAnsi="Times New Roman" w:cs="Times New Roman"/>
                <w:sz w:val="24"/>
                <w:szCs w:val="24"/>
              </w:rPr>
              <w:t xml:space="preserve"> businesses to pay tax as agent for related parties</w:t>
            </w:r>
          </w:p>
        </w:tc>
        <w:tc>
          <w:tcPr>
            <w:tcW w:w="5244" w:type="dxa"/>
          </w:tcPr>
          <w:p w:rsidR="005248B5" w:rsidRPr="005D3931" w:rsidRDefault="005248B5" w:rsidP="005248B5">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5248B5" w:rsidRPr="005D3931" w:rsidRDefault="005248B5" w:rsidP="005248B5">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5248B5" w:rsidRPr="005D3931" w:rsidRDefault="00183E15" w:rsidP="005248B5">
            <w:pPr>
              <w:jc w:val="both"/>
              <w:rPr>
                <w:rFonts w:ascii="Times New Roman" w:hAnsi="Times New Roman" w:cs="Times New Roman"/>
                <w:sz w:val="24"/>
                <w:szCs w:val="24"/>
              </w:rPr>
            </w:pPr>
            <w:r>
              <w:rPr>
                <w:rFonts w:ascii="Times New Roman" w:hAnsi="Times New Roman" w:cs="Times New Roman"/>
                <w:i/>
                <w:sz w:val="24"/>
                <w:szCs w:val="24"/>
              </w:rPr>
              <w:t>S</w:t>
            </w:r>
            <w:r w:rsidR="005248B5" w:rsidRPr="005D3931">
              <w:rPr>
                <w:rFonts w:ascii="Times New Roman" w:hAnsi="Times New Roman" w:cs="Times New Roman"/>
                <w:i/>
                <w:sz w:val="24"/>
                <w:szCs w:val="24"/>
              </w:rPr>
              <w:t>ustainability</w:t>
            </w:r>
            <w:r w:rsidR="005248B5"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825CC3" w:rsidRPr="005D3931" w:rsidRDefault="005248B5" w:rsidP="000E76BE">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 xml:space="preserve">: </w:t>
            </w:r>
            <w:r w:rsidR="000E76BE">
              <w:rPr>
                <w:rFonts w:ascii="Times New Roman" w:hAnsi="Times New Roman" w:cs="Times New Roman"/>
                <w:sz w:val="24"/>
                <w:szCs w:val="24"/>
              </w:rPr>
              <w:t>no impact</w:t>
            </w:r>
          </w:p>
        </w:tc>
      </w:tr>
      <w:tr w:rsidR="005248B5" w:rsidRPr="005D3931" w:rsidTr="00B30234">
        <w:tc>
          <w:tcPr>
            <w:tcW w:w="3828" w:type="dxa"/>
          </w:tcPr>
          <w:p w:rsidR="005248B5" w:rsidRPr="005D3931" w:rsidRDefault="005248B5" w:rsidP="00D314CD">
            <w:pPr>
              <w:jc w:val="both"/>
              <w:rPr>
                <w:rFonts w:ascii="Times New Roman" w:hAnsi="Times New Roman" w:cs="Times New Roman"/>
                <w:sz w:val="24"/>
                <w:szCs w:val="24"/>
              </w:rPr>
            </w:pPr>
            <w:r w:rsidRPr="005D3931">
              <w:rPr>
                <w:rFonts w:ascii="Times New Roman" w:hAnsi="Times New Roman" w:cs="Times New Roman"/>
                <w:sz w:val="24"/>
                <w:szCs w:val="24"/>
              </w:rPr>
              <w:t xml:space="preserve">4. </w:t>
            </w:r>
            <w:r w:rsidRPr="005D3931">
              <w:rPr>
                <w:rFonts w:ascii="Times New Roman" w:hAnsi="Times New Roman" w:cs="Times New Roman"/>
                <w:b/>
                <w:sz w:val="24"/>
                <w:szCs w:val="24"/>
              </w:rPr>
              <w:t>Exclude</w:t>
            </w:r>
            <w:r w:rsidRPr="005D3931">
              <w:rPr>
                <w:rFonts w:ascii="Times New Roman" w:hAnsi="Times New Roman" w:cs="Times New Roman"/>
                <w:sz w:val="24"/>
                <w:szCs w:val="24"/>
              </w:rPr>
              <w:t xml:space="preserve"> those associated with small businesses from paying provisional tax entirely and pay at terminal tax date</w:t>
            </w:r>
          </w:p>
        </w:tc>
        <w:tc>
          <w:tcPr>
            <w:tcW w:w="5244" w:type="dxa"/>
          </w:tcPr>
          <w:p w:rsidR="005248B5" w:rsidRPr="005D3931" w:rsidRDefault="005248B5" w:rsidP="005248B5">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5248B5" w:rsidRPr="005D3931" w:rsidRDefault="005248B5" w:rsidP="005248B5">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5248B5" w:rsidRPr="005D3931" w:rsidRDefault="00183E15" w:rsidP="005248B5">
            <w:pPr>
              <w:jc w:val="both"/>
              <w:rPr>
                <w:rFonts w:ascii="Times New Roman" w:hAnsi="Times New Roman" w:cs="Times New Roman"/>
                <w:sz w:val="24"/>
                <w:szCs w:val="24"/>
              </w:rPr>
            </w:pPr>
            <w:r>
              <w:rPr>
                <w:rFonts w:ascii="Times New Roman" w:hAnsi="Times New Roman" w:cs="Times New Roman"/>
                <w:i/>
                <w:sz w:val="24"/>
                <w:szCs w:val="24"/>
              </w:rPr>
              <w:t>S</w:t>
            </w:r>
            <w:r w:rsidR="005248B5" w:rsidRPr="005D3931">
              <w:rPr>
                <w:rFonts w:ascii="Times New Roman" w:hAnsi="Times New Roman" w:cs="Times New Roman"/>
                <w:i/>
                <w:sz w:val="24"/>
                <w:szCs w:val="24"/>
              </w:rPr>
              <w:t>ustainability</w:t>
            </w:r>
            <w:r w:rsidR="005248B5"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5248B5" w:rsidRPr="005D3931" w:rsidRDefault="005248B5" w:rsidP="000E76BE">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 xml:space="preserve">: </w:t>
            </w:r>
            <w:proofErr w:type="spellStart"/>
            <w:r w:rsidR="000E76BE">
              <w:rPr>
                <w:rFonts w:ascii="Times New Roman" w:hAnsi="Times New Roman" w:cs="Times New Roman"/>
                <w:sz w:val="24"/>
                <w:szCs w:val="24"/>
              </w:rPr>
              <w:t>unquantified</w:t>
            </w:r>
            <w:proofErr w:type="spellEnd"/>
            <w:r w:rsidR="000E76BE">
              <w:rPr>
                <w:rFonts w:ascii="Times New Roman" w:hAnsi="Times New Roman" w:cs="Times New Roman"/>
                <w:sz w:val="24"/>
                <w:szCs w:val="24"/>
              </w:rPr>
              <w:t xml:space="preserve"> revenue cost due to deferral</w:t>
            </w:r>
          </w:p>
        </w:tc>
      </w:tr>
    </w:tbl>
    <w:p w:rsidR="005248B5" w:rsidRPr="005D3931" w:rsidRDefault="005248B5" w:rsidP="00D314CD">
      <w:pPr>
        <w:spacing w:after="0" w:line="240" w:lineRule="auto"/>
        <w:jc w:val="both"/>
        <w:rPr>
          <w:rFonts w:ascii="Times New Roman" w:hAnsi="Times New Roman" w:cs="Times New Roman"/>
          <w:sz w:val="24"/>
          <w:szCs w:val="24"/>
        </w:rPr>
      </w:pPr>
    </w:p>
    <w:p w:rsidR="00D314CD" w:rsidRPr="008D31DB" w:rsidRDefault="00825CC3" w:rsidP="00D314CD">
      <w:pPr>
        <w:spacing w:after="0" w:line="240" w:lineRule="auto"/>
        <w:jc w:val="both"/>
        <w:rPr>
          <w:rFonts w:ascii="Times New Roman" w:hAnsi="Times New Roman" w:cs="Times New Roman"/>
          <w:i/>
          <w:sz w:val="24"/>
          <w:szCs w:val="24"/>
        </w:rPr>
      </w:pPr>
      <w:r w:rsidRPr="008D31DB">
        <w:rPr>
          <w:rFonts w:ascii="Times New Roman" w:hAnsi="Times New Roman" w:cs="Times New Roman"/>
          <w:i/>
          <w:sz w:val="24"/>
          <w:szCs w:val="24"/>
        </w:rPr>
        <w:t>Recommendation</w:t>
      </w:r>
    </w:p>
    <w:p w:rsidR="00061BE6" w:rsidRDefault="00061BE6" w:rsidP="00D314CD">
      <w:pPr>
        <w:spacing w:after="0" w:line="240" w:lineRule="auto"/>
        <w:jc w:val="both"/>
        <w:rPr>
          <w:rFonts w:ascii="Times New Roman" w:hAnsi="Times New Roman" w:cs="Times New Roman"/>
          <w:sz w:val="24"/>
          <w:szCs w:val="24"/>
        </w:rPr>
      </w:pPr>
    </w:p>
    <w:p w:rsidR="00000418" w:rsidRPr="00597570" w:rsidRDefault="00000418" w:rsidP="00000418">
      <w:pPr>
        <w:pStyle w:val="ListParagraph"/>
        <w:numPr>
          <w:ilvl w:val="0"/>
          <w:numId w:val="11"/>
        </w:numPr>
        <w:spacing w:after="0" w:line="240" w:lineRule="auto"/>
        <w:ind w:left="0" w:firstLine="0"/>
        <w:jc w:val="both"/>
        <w:rPr>
          <w:rFonts w:ascii="Times New Roman" w:hAnsi="Times New Roman" w:cs="Times New Roman"/>
          <w:sz w:val="24"/>
          <w:szCs w:val="24"/>
        </w:rPr>
      </w:pPr>
      <w:r w:rsidRPr="00597570">
        <w:rPr>
          <w:rFonts w:ascii="Times New Roman" w:hAnsi="Times New Roman" w:cs="Times New Roman"/>
          <w:sz w:val="24"/>
          <w:szCs w:val="24"/>
        </w:rPr>
        <w:t>Option 2 is recommended by officials as this enables businesses and associated individuals to evaluate whether the benefits from removing associated parties from the requirement to pay provisional tax outweighs any additional costs or complexity. This option is also supported by the stakeholders consulted</w:t>
      </w:r>
      <w:r>
        <w:rPr>
          <w:rFonts w:ascii="Times New Roman" w:hAnsi="Times New Roman" w:cs="Times New Roman"/>
          <w:sz w:val="24"/>
          <w:szCs w:val="24"/>
        </w:rPr>
        <w:t>.</w:t>
      </w:r>
    </w:p>
    <w:p w:rsidR="00825CC3" w:rsidRDefault="00825CC3" w:rsidP="00D314CD">
      <w:pPr>
        <w:spacing w:after="0" w:line="240" w:lineRule="auto"/>
        <w:jc w:val="both"/>
        <w:rPr>
          <w:rFonts w:ascii="Times New Roman" w:hAnsi="Times New Roman" w:cs="Times New Roman"/>
          <w:sz w:val="24"/>
          <w:szCs w:val="24"/>
        </w:rPr>
      </w:pPr>
    </w:p>
    <w:p w:rsidR="00420D8B" w:rsidRPr="005D3931" w:rsidRDefault="00420D8B" w:rsidP="00D314CD">
      <w:pPr>
        <w:spacing w:after="0" w:line="240" w:lineRule="auto"/>
        <w:jc w:val="both"/>
        <w:rPr>
          <w:rFonts w:ascii="Times New Roman" w:hAnsi="Times New Roman" w:cs="Times New Roman"/>
          <w:sz w:val="24"/>
          <w:szCs w:val="24"/>
        </w:rPr>
      </w:pPr>
    </w:p>
    <w:p w:rsidR="00D314CD" w:rsidRPr="005D3931" w:rsidRDefault="00D56B23" w:rsidP="00604EE6">
      <w:pPr>
        <w:pStyle w:val="Heading2"/>
      </w:pPr>
      <w:bookmarkStart w:id="6" w:name="_Toc444145593"/>
      <w:r>
        <w:t>B.</w:t>
      </w:r>
      <w:r>
        <w:tab/>
      </w:r>
      <w:r w:rsidR="00D314CD" w:rsidRPr="005D3931">
        <w:t>Self-management and integrity</w:t>
      </w:r>
      <w:bookmarkEnd w:id="6"/>
    </w:p>
    <w:p w:rsidR="00420D8B" w:rsidRDefault="00420D8B" w:rsidP="00420D8B">
      <w:pPr>
        <w:pStyle w:val="ListParagraph"/>
        <w:spacing w:after="0" w:line="240" w:lineRule="auto"/>
        <w:ind w:left="0"/>
        <w:jc w:val="both"/>
        <w:rPr>
          <w:rFonts w:ascii="Times New Roman" w:hAnsi="Times New Roman" w:cs="Times New Roman"/>
          <w:sz w:val="24"/>
          <w:szCs w:val="24"/>
        </w:rPr>
      </w:pPr>
    </w:p>
    <w:p w:rsidR="00372415" w:rsidRPr="005D3931" w:rsidRDefault="00372415" w:rsidP="00372415">
      <w:pPr>
        <w:pStyle w:val="ListParagraph"/>
        <w:numPr>
          <w:ilvl w:val="0"/>
          <w:numId w:val="11"/>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rPr>
        <w:t xml:space="preserve">Withholding tax at source from payments to contractors reduces compliance costs for the majority of contractors, is a more accurate method of matching tax payments to when income is earned and </w:t>
      </w:r>
      <w:r>
        <w:rPr>
          <w:rFonts w:ascii="Times New Roman" w:hAnsi="Times New Roman" w:cs="Times New Roman"/>
          <w:sz w:val="24"/>
          <w:szCs w:val="24"/>
        </w:rPr>
        <w:t>ensures contractors pay their fair share of tax</w:t>
      </w:r>
      <w:r w:rsidRPr="005D3931">
        <w:rPr>
          <w:rFonts w:ascii="Times New Roman" w:hAnsi="Times New Roman" w:cs="Times New Roman"/>
          <w:sz w:val="24"/>
          <w:szCs w:val="24"/>
        </w:rPr>
        <w:t xml:space="preserve">. However, the current withholding </w:t>
      </w:r>
      <w:proofErr w:type="gramStart"/>
      <w:r w:rsidRPr="005D3931">
        <w:rPr>
          <w:rFonts w:ascii="Times New Roman" w:hAnsi="Times New Roman" w:cs="Times New Roman"/>
          <w:sz w:val="24"/>
          <w:szCs w:val="24"/>
        </w:rPr>
        <w:t>tax</w:t>
      </w:r>
      <w:proofErr w:type="gramEnd"/>
      <w:r w:rsidRPr="005D3931">
        <w:rPr>
          <w:rFonts w:ascii="Times New Roman" w:hAnsi="Times New Roman" w:cs="Times New Roman"/>
          <w:sz w:val="24"/>
          <w:szCs w:val="24"/>
        </w:rPr>
        <w:t xml:space="preserve"> rules are out of date, inflexible</w:t>
      </w:r>
      <w:r w:rsidR="00213C1F">
        <w:rPr>
          <w:rFonts w:ascii="Times New Roman" w:hAnsi="Times New Roman" w:cs="Times New Roman"/>
          <w:sz w:val="24"/>
          <w:szCs w:val="24"/>
        </w:rPr>
        <w:t>,</w:t>
      </w:r>
      <w:r w:rsidRPr="005D3931">
        <w:rPr>
          <w:rFonts w:ascii="Times New Roman" w:hAnsi="Times New Roman" w:cs="Times New Roman"/>
          <w:sz w:val="24"/>
          <w:szCs w:val="24"/>
        </w:rPr>
        <w:t xml:space="preserve"> and don’t cover modern employment arrangements and industries. There are 130,000 contractors who are subject to withholding tax who could benefit from changes to the withholding tax rules.</w:t>
      </w:r>
    </w:p>
    <w:p w:rsidR="00372415" w:rsidRPr="005D3931" w:rsidRDefault="00372415" w:rsidP="00372415">
      <w:pPr>
        <w:spacing w:after="0" w:line="240" w:lineRule="auto"/>
        <w:jc w:val="both"/>
        <w:rPr>
          <w:rFonts w:ascii="Times New Roman" w:hAnsi="Times New Roman" w:cs="Times New Roman"/>
          <w:sz w:val="24"/>
          <w:szCs w:val="24"/>
        </w:rPr>
      </w:pPr>
    </w:p>
    <w:p w:rsidR="00372415" w:rsidRPr="005D3931" w:rsidRDefault="00372415" w:rsidP="00372415">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w:t>
      </w:r>
      <w:r w:rsidRPr="005D3931">
        <w:rPr>
          <w:rFonts w:ascii="Times New Roman" w:hAnsi="Times New Roman" w:cs="Times New Roman"/>
          <w:sz w:val="24"/>
          <w:szCs w:val="24"/>
        </w:rPr>
        <w:t>here</w:t>
      </w:r>
      <w:r>
        <w:rPr>
          <w:rFonts w:ascii="Times New Roman" w:hAnsi="Times New Roman" w:cs="Times New Roman"/>
          <w:sz w:val="24"/>
          <w:szCs w:val="24"/>
        </w:rPr>
        <w:t xml:space="preserve"> also</w:t>
      </w:r>
      <w:r w:rsidRPr="005D3931">
        <w:rPr>
          <w:rFonts w:ascii="Times New Roman" w:hAnsi="Times New Roman" w:cs="Times New Roman"/>
          <w:sz w:val="24"/>
          <w:szCs w:val="24"/>
        </w:rPr>
        <w:t xml:space="preserve"> are groups of contractors who are not covered by the rules having to manage their own tax obligations and incur higher compliance costs as a result. For example,</w:t>
      </w:r>
      <w:r>
        <w:rPr>
          <w:rFonts w:ascii="Times New Roman" w:hAnsi="Times New Roman" w:cs="Times New Roman"/>
          <w:sz w:val="24"/>
          <w:szCs w:val="24"/>
        </w:rPr>
        <w:t xml:space="preserve"> at least</w:t>
      </w:r>
      <w:r w:rsidRPr="005D3931">
        <w:rPr>
          <w:rFonts w:ascii="Times New Roman" w:hAnsi="Times New Roman" w:cs="Times New Roman"/>
          <w:sz w:val="24"/>
          <w:szCs w:val="24"/>
        </w:rPr>
        <w:t xml:space="preserve"> 4,200 contractors of labour hire firms are not covered by the rules</w:t>
      </w:r>
      <w:r w:rsidR="00213C1F">
        <w:rPr>
          <w:rFonts w:ascii="Times New Roman" w:hAnsi="Times New Roman" w:cs="Times New Roman"/>
          <w:sz w:val="24"/>
          <w:szCs w:val="24"/>
        </w:rPr>
        <w:t>,</w:t>
      </w:r>
      <w:r w:rsidRPr="005D3931">
        <w:rPr>
          <w:rFonts w:ascii="Times New Roman" w:hAnsi="Times New Roman" w:cs="Times New Roman"/>
          <w:sz w:val="24"/>
          <w:szCs w:val="24"/>
        </w:rPr>
        <w:t xml:space="preserve"> but </w:t>
      </w:r>
      <w:r>
        <w:rPr>
          <w:rFonts w:ascii="Times New Roman" w:hAnsi="Times New Roman" w:cs="Times New Roman"/>
          <w:sz w:val="24"/>
          <w:szCs w:val="24"/>
        </w:rPr>
        <w:t>c</w:t>
      </w:r>
      <w:r w:rsidRPr="005D3931">
        <w:rPr>
          <w:rFonts w:ascii="Times New Roman" w:hAnsi="Times New Roman" w:cs="Times New Roman"/>
          <w:sz w:val="24"/>
          <w:szCs w:val="24"/>
        </w:rPr>
        <w:t>ould</w:t>
      </w:r>
      <w:r>
        <w:rPr>
          <w:rFonts w:ascii="Times New Roman" w:hAnsi="Times New Roman" w:cs="Times New Roman"/>
          <w:sz w:val="24"/>
          <w:szCs w:val="24"/>
        </w:rPr>
        <w:t xml:space="preserve"> have an easier means o</w:t>
      </w:r>
      <w:r w:rsidR="00213C1F">
        <w:rPr>
          <w:rFonts w:ascii="Times New Roman" w:hAnsi="Times New Roman" w:cs="Times New Roman"/>
          <w:sz w:val="24"/>
          <w:szCs w:val="24"/>
        </w:rPr>
        <w:t>f</w:t>
      </w:r>
      <w:r>
        <w:rPr>
          <w:rFonts w:ascii="Times New Roman" w:hAnsi="Times New Roman" w:cs="Times New Roman"/>
          <w:sz w:val="24"/>
          <w:szCs w:val="24"/>
        </w:rPr>
        <w:t xml:space="preserve"> pay</w:t>
      </w:r>
      <w:r w:rsidR="00213C1F">
        <w:rPr>
          <w:rFonts w:ascii="Times New Roman" w:hAnsi="Times New Roman" w:cs="Times New Roman"/>
          <w:sz w:val="24"/>
          <w:szCs w:val="24"/>
        </w:rPr>
        <w:t>ing</w:t>
      </w:r>
      <w:r>
        <w:rPr>
          <w:rFonts w:ascii="Times New Roman" w:hAnsi="Times New Roman" w:cs="Times New Roman"/>
          <w:sz w:val="24"/>
          <w:szCs w:val="24"/>
        </w:rPr>
        <w:t xml:space="preserve"> their tax</w:t>
      </w:r>
      <w:r w:rsidRPr="005D3931">
        <w:rPr>
          <w:rFonts w:ascii="Times New Roman" w:hAnsi="Times New Roman" w:cs="Times New Roman"/>
          <w:sz w:val="24"/>
          <w:szCs w:val="24"/>
        </w:rPr>
        <w:t xml:space="preserve"> if withholding tax was extended to them</w:t>
      </w:r>
      <w:r w:rsidR="00213C1F">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372415" w:rsidRPr="005D3931" w:rsidRDefault="00372415" w:rsidP="00492374">
      <w:pPr>
        <w:pStyle w:val="ListParagraph"/>
        <w:spacing w:after="0" w:line="240" w:lineRule="auto"/>
        <w:ind w:left="0"/>
        <w:jc w:val="both"/>
        <w:rPr>
          <w:rFonts w:ascii="Times New Roman" w:hAnsi="Times New Roman" w:cs="Times New Roman"/>
          <w:sz w:val="24"/>
          <w:szCs w:val="24"/>
        </w:rPr>
      </w:pPr>
    </w:p>
    <w:p w:rsidR="00C4105A" w:rsidRPr="008D31DB" w:rsidRDefault="00C4105A" w:rsidP="008D31DB">
      <w:pPr>
        <w:spacing w:after="0" w:line="240" w:lineRule="auto"/>
        <w:jc w:val="both"/>
        <w:rPr>
          <w:rFonts w:ascii="Times New Roman" w:hAnsi="Times New Roman" w:cs="Times New Roman"/>
          <w:b/>
          <w:i/>
          <w:sz w:val="24"/>
          <w:szCs w:val="24"/>
        </w:rPr>
      </w:pPr>
      <w:r w:rsidRPr="008D31DB">
        <w:rPr>
          <w:rFonts w:ascii="Times New Roman" w:hAnsi="Times New Roman" w:cs="Times New Roman"/>
          <w:b/>
          <w:i/>
          <w:sz w:val="24"/>
          <w:szCs w:val="24"/>
        </w:rPr>
        <w:t>Options and analysis</w:t>
      </w:r>
    </w:p>
    <w:p w:rsidR="00B30B01" w:rsidRPr="002D1A55" w:rsidRDefault="005248B5" w:rsidP="00B30B01">
      <w:pPr>
        <w:pStyle w:val="ListParagraph"/>
        <w:numPr>
          <w:ilvl w:val="0"/>
          <w:numId w:val="11"/>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rPr>
        <w:t xml:space="preserve">There are a number of options to address the issues with the current withholding tax </w:t>
      </w:r>
      <w:r w:rsidRPr="00FF0902">
        <w:rPr>
          <w:rFonts w:ascii="Times New Roman" w:hAnsi="Times New Roman" w:cs="Times New Roman"/>
          <w:sz w:val="24"/>
          <w:szCs w:val="24"/>
        </w:rPr>
        <w:t>rules</w:t>
      </w:r>
      <w:r w:rsidR="00D86138" w:rsidRPr="00FF0902">
        <w:rPr>
          <w:rFonts w:ascii="Times New Roman" w:hAnsi="Times New Roman" w:cs="Times New Roman"/>
          <w:sz w:val="24"/>
          <w:szCs w:val="24"/>
        </w:rPr>
        <w:t>.</w:t>
      </w:r>
      <w:r w:rsidR="00D86138" w:rsidRPr="00FF0902">
        <w:rPr>
          <w:rFonts w:ascii="Times New Roman" w:hAnsi="Times New Roman" w:cs="Times New Roman"/>
          <w:b/>
          <w:sz w:val="24"/>
          <w:szCs w:val="24"/>
        </w:rPr>
        <w:t xml:space="preserve"> </w:t>
      </w:r>
      <w:r w:rsidRPr="002D1A55">
        <w:rPr>
          <w:rFonts w:ascii="Times New Roman" w:hAnsi="Times New Roman" w:cs="Times New Roman"/>
          <w:sz w:val="24"/>
          <w:szCs w:val="24"/>
        </w:rPr>
        <w:t>However the requirement for options to apply from 1 April 2017 has limited the feasible options available to th</w:t>
      </w:r>
      <w:r w:rsidR="00061BE6" w:rsidRPr="002D1A55">
        <w:rPr>
          <w:rFonts w:ascii="Times New Roman" w:hAnsi="Times New Roman" w:cs="Times New Roman"/>
          <w:sz w:val="24"/>
          <w:szCs w:val="24"/>
        </w:rPr>
        <w:t>r</w:t>
      </w:r>
      <w:r w:rsidRPr="002D1A55">
        <w:rPr>
          <w:rFonts w:ascii="Times New Roman" w:hAnsi="Times New Roman" w:cs="Times New Roman"/>
          <w:sz w:val="24"/>
          <w:szCs w:val="24"/>
        </w:rPr>
        <w:t>e</w:t>
      </w:r>
      <w:r w:rsidR="00061BE6" w:rsidRPr="002D1A55">
        <w:rPr>
          <w:rFonts w:ascii="Times New Roman" w:hAnsi="Times New Roman" w:cs="Times New Roman"/>
          <w:sz w:val="24"/>
          <w:szCs w:val="24"/>
        </w:rPr>
        <w:t>e</w:t>
      </w:r>
      <w:r w:rsidR="00EB2384">
        <w:rPr>
          <w:rFonts w:ascii="Times New Roman" w:hAnsi="Times New Roman" w:cs="Times New Roman"/>
          <w:sz w:val="24"/>
          <w:szCs w:val="24"/>
        </w:rPr>
        <w:t>.</w:t>
      </w:r>
    </w:p>
    <w:p w:rsidR="009E0294" w:rsidRPr="009E0294" w:rsidRDefault="009E0294" w:rsidP="009E0294">
      <w:pPr>
        <w:spacing w:after="0" w:line="240" w:lineRule="auto"/>
        <w:rPr>
          <w:rFonts w:ascii="Times New Roman" w:hAnsi="Times New Roman" w:cs="Times New Roman"/>
          <w:sz w:val="24"/>
          <w:szCs w:val="24"/>
        </w:rPr>
      </w:pPr>
    </w:p>
    <w:p w:rsidR="001167B6" w:rsidRDefault="00C4105A" w:rsidP="001167B6">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These options are summarised below and are outlined further in </w:t>
      </w:r>
      <w:r w:rsidR="001167B6" w:rsidRPr="001167B6">
        <w:rPr>
          <w:rFonts w:ascii="Times New Roman" w:hAnsi="Times New Roman" w:cs="Times New Roman"/>
          <w:sz w:val="24"/>
          <w:szCs w:val="24"/>
        </w:rPr>
        <w:t xml:space="preserve">appendix </w:t>
      </w:r>
      <w:r w:rsidR="005C245B">
        <w:rPr>
          <w:rFonts w:ascii="Times New Roman" w:hAnsi="Times New Roman" w:cs="Times New Roman"/>
          <w:sz w:val="24"/>
          <w:szCs w:val="24"/>
        </w:rPr>
        <w:t>B</w:t>
      </w:r>
      <w:r w:rsidR="001167B6">
        <w:rPr>
          <w:rFonts w:ascii="Times New Roman" w:hAnsi="Times New Roman" w:cs="Times New Roman"/>
          <w:sz w:val="24"/>
          <w:szCs w:val="24"/>
        </w:rPr>
        <w:t>.</w:t>
      </w:r>
    </w:p>
    <w:p w:rsidR="001167B6" w:rsidRDefault="001167B6" w:rsidP="00E236E9">
      <w:pPr>
        <w:pStyle w:val="ListParagraph"/>
        <w:spacing w:after="0" w:line="240" w:lineRule="auto"/>
        <w:ind w:left="0"/>
        <w:jc w:val="both"/>
        <w:rPr>
          <w:rFonts w:ascii="Times New Roman" w:hAnsi="Times New Roman" w:cs="Times New Roman"/>
          <w:sz w:val="24"/>
          <w:szCs w:val="24"/>
        </w:rPr>
      </w:pPr>
    </w:p>
    <w:tbl>
      <w:tblPr>
        <w:tblStyle w:val="TableGrid"/>
        <w:tblW w:w="9072" w:type="dxa"/>
        <w:tblInd w:w="108" w:type="dxa"/>
        <w:tblLook w:val="04A0" w:firstRow="1" w:lastRow="0" w:firstColumn="1" w:lastColumn="0" w:noHBand="0" w:noVBand="1"/>
      </w:tblPr>
      <w:tblGrid>
        <w:gridCol w:w="3828"/>
        <w:gridCol w:w="5244"/>
      </w:tblGrid>
      <w:tr w:rsidR="000576B9" w:rsidRPr="005D3931" w:rsidTr="00B30234">
        <w:trPr>
          <w:trHeight w:val="20"/>
        </w:trPr>
        <w:tc>
          <w:tcPr>
            <w:tcW w:w="3828" w:type="dxa"/>
          </w:tcPr>
          <w:p w:rsidR="000576B9" w:rsidRPr="005D3931" w:rsidRDefault="000576B9" w:rsidP="00B30234">
            <w:pPr>
              <w:jc w:val="both"/>
              <w:rPr>
                <w:rFonts w:ascii="Times New Roman" w:hAnsi="Times New Roman" w:cs="Times New Roman"/>
                <w:b/>
                <w:sz w:val="24"/>
                <w:szCs w:val="24"/>
              </w:rPr>
            </w:pPr>
            <w:r w:rsidRPr="005D3931">
              <w:rPr>
                <w:rFonts w:ascii="Times New Roman" w:hAnsi="Times New Roman" w:cs="Times New Roman"/>
                <w:b/>
                <w:sz w:val="24"/>
                <w:szCs w:val="24"/>
              </w:rPr>
              <w:t>Option</w:t>
            </w:r>
          </w:p>
        </w:tc>
        <w:tc>
          <w:tcPr>
            <w:tcW w:w="5244" w:type="dxa"/>
          </w:tcPr>
          <w:p w:rsidR="000576B9" w:rsidRPr="005D3931" w:rsidRDefault="000576B9" w:rsidP="00B30234">
            <w:pPr>
              <w:jc w:val="both"/>
              <w:rPr>
                <w:rFonts w:ascii="Times New Roman" w:hAnsi="Times New Roman" w:cs="Times New Roman"/>
                <w:b/>
                <w:sz w:val="24"/>
                <w:szCs w:val="24"/>
              </w:rPr>
            </w:pPr>
            <w:r w:rsidRPr="005D3931">
              <w:rPr>
                <w:rFonts w:ascii="Times New Roman" w:hAnsi="Times New Roman" w:cs="Times New Roman"/>
                <w:b/>
                <w:sz w:val="24"/>
                <w:szCs w:val="24"/>
              </w:rPr>
              <w:t>Analysis against the objectives</w:t>
            </w:r>
          </w:p>
        </w:tc>
      </w:tr>
      <w:tr w:rsidR="00AB3A6E" w:rsidRPr="005D3931" w:rsidTr="000576B9">
        <w:trPr>
          <w:trHeight w:val="496"/>
        </w:trPr>
        <w:tc>
          <w:tcPr>
            <w:tcW w:w="3828" w:type="dxa"/>
          </w:tcPr>
          <w:p w:rsidR="00AB3A6E" w:rsidRPr="005D3931" w:rsidRDefault="00AB3A6E" w:rsidP="00B53CDE">
            <w:pPr>
              <w:jc w:val="both"/>
              <w:rPr>
                <w:rFonts w:ascii="Times New Roman" w:hAnsi="Times New Roman" w:cs="Times New Roman"/>
                <w:sz w:val="24"/>
                <w:szCs w:val="24"/>
              </w:rPr>
            </w:pPr>
            <w:r>
              <w:rPr>
                <w:rFonts w:ascii="Times New Roman" w:hAnsi="Times New Roman" w:cs="Times New Roman"/>
                <w:sz w:val="24"/>
                <w:szCs w:val="24"/>
              </w:rPr>
              <w:t>1. Retain the status quo</w:t>
            </w:r>
          </w:p>
        </w:tc>
        <w:tc>
          <w:tcPr>
            <w:tcW w:w="5244" w:type="dxa"/>
          </w:tcPr>
          <w:p w:rsidR="00AB3A6E" w:rsidRPr="00061BE6" w:rsidRDefault="00AB3A6E" w:rsidP="00E907AB">
            <w:pPr>
              <w:jc w:val="both"/>
              <w:rPr>
                <w:rFonts w:ascii="Times New Roman" w:hAnsi="Times New Roman" w:cs="Times New Roman"/>
                <w:i/>
                <w:sz w:val="24"/>
                <w:szCs w:val="24"/>
              </w:rPr>
            </w:pPr>
            <w:r w:rsidRPr="00061BE6">
              <w:rPr>
                <w:rFonts w:ascii="Times New Roman" w:hAnsi="Times New Roman" w:cs="Times New Roman"/>
                <w:i/>
                <w:sz w:val="24"/>
                <w:szCs w:val="24"/>
              </w:rPr>
              <w:t xml:space="preserve">Fairness and equity: </w:t>
            </w:r>
            <w:r>
              <w:rPr>
                <w:rFonts w:ascii="Wingdings 2" w:hAnsi="Wingdings 2" w:cs="Times New Roman"/>
                <w:sz w:val="24"/>
                <w:szCs w:val="24"/>
              </w:rPr>
              <w:t></w:t>
            </w:r>
            <w:r>
              <w:rPr>
                <w:rFonts w:ascii="Wingdings 2" w:hAnsi="Wingdings 2" w:cs="Times New Roman"/>
                <w:sz w:val="24"/>
                <w:szCs w:val="24"/>
              </w:rPr>
              <w:t></w:t>
            </w:r>
          </w:p>
          <w:p w:rsidR="00AB3A6E" w:rsidRPr="00061BE6" w:rsidRDefault="00AB3A6E" w:rsidP="00E907AB">
            <w:pPr>
              <w:jc w:val="both"/>
              <w:rPr>
                <w:rFonts w:ascii="Times New Roman" w:hAnsi="Times New Roman" w:cs="Times New Roman"/>
                <w:i/>
                <w:sz w:val="24"/>
                <w:szCs w:val="24"/>
              </w:rPr>
            </w:pPr>
            <w:r w:rsidRPr="00061BE6">
              <w:rPr>
                <w:rFonts w:ascii="Times New Roman" w:hAnsi="Times New Roman" w:cs="Times New Roman"/>
                <w:i/>
                <w:sz w:val="24"/>
                <w:szCs w:val="24"/>
              </w:rPr>
              <w:t xml:space="preserve">Compliance and administration: </w:t>
            </w:r>
            <w:r>
              <w:rPr>
                <w:rFonts w:ascii="Wingdings 2" w:hAnsi="Wingdings 2" w:cs="Times New Roman"/>
                <w:sz w:val="24"/>
                <w:szCs w:val="24"/>
              </w:rPr>
              <w:t></w:t>
            </w:r>
            <w:r>
              <w:rPr>
                <w:rFonts w:ascii="Wingdings 2" w:hAnsi="Wingdings 2" w:cs="Times New Roman"/>
                <w:sz w:val="24"/>
                <w:szCs w:val="24"/>
              </w:rPr>
              <w:t></w:t>
            </w:r>
          </w:p>
          <w:p w:rsidR="00AB3A6E" w:rsidRPr="00061BE6" w:rsidRDefault="00AB3A6E" w:rsidP="00E907AB">
            <w:pPr>
              <w:jc w:val="both"/>
              <w:rPr>
                <w:rFonts w:ascii="Times New Roman" w:hAnsi="Times New Roman" w:cs="Times New Roman"/>
                <w:i/>
                <w:sz w:val="24"/>
                <w:szCs w:val="24"/>
              </w:rPr>
            </w:pPr>
            <w:r>
              <w:rPr>
                <w:rFonts w:ascii="Times New Roman" w:hAnsi="Times New Roman" w:cs="Times New Roman"/>
                <w:i/>
                <w:sz w:val="24"/>
                <w:szCs w:val="24"/>
              </w:rPr>
              <w:t>S</w:t>
            </w:r>
            <w:r w:rsidRPr="00061BE6">
              <w:rPr>
                <w:rFonts w:ascii="Times New Roman" w:hAnsi="Times New Roman" w:cs="Times New Roman"/>
                <w:i/>
                <w:sz w:val="24"/>
                <w:szCs w:val="24"/>
              </w:rPr>
              <w:t xml:space="preserve">ustainability: </w:t>
            </w:r>
            <w:r>
              <w:rPr>
                <w:rFonts w:ascii="Wingdings 2" w:hAnsi="Wingdings 2" w:cs="Times New Roman"/>
                <w:sz w:val="24"/>
                <w:szCs w:val="24"/>
              </w:rPr>
              <w:t></w:t>
            </w:r>
            <w:r>
              <w:rPr>
                <w:rFonts w:ascii="Wingdings 2" w:hAnsi="Wingdings 2" w:cs="Times New Roman"/>
                <w:sz w:val="24"/>
                <w:szCs w:val="24"/>
              </w:rPr>
              <w:t></w:t>
            </w:r>
          </w:p>
          <w:p w:rsidR="00AB3A6E" w:rsidRPr="005D3931" w:rsidRDefault="00AB3A6E" w:rsidP="00061BE6">
            <w:pPr>
              <w:jc w:val="both"/>
              <w:rPr>
                <w:rFonts w:ascii="Times New Roman" w:hAnsi="Times New Roman" w:cs="Times New Roman"/>
                <w:i/>
                <w:sz w:val="24"/>
                <w:szCs w:val="24"/>
              </w:rPr>
            </w:pPr>
            <w:r w:rsidRPr="00061BE6">
              <w:rPr>
                <w:rFonts w:ascii="Times New Roman" w:hAnsi="Times New Roman" w:cs="Times New Roman"/>
                <w:i/>
                <w:sz w:val="24"/>
                <w:szCs w:val="24"/>
              </w:rPr>
              <w:t>Revenue:</w:t>
            </w:r>
            <w:r>
              <w:rPr>
                <w:rFonts w:ascii="Times New Roman" w:hAnsi="Times New Roman" w:cs="Times New Roman"/>
                <w:i/>
                <w:sz w:val="24"/>
                <w:szCs w:val="24"/>
              </w:rPr>
              <w:t xml:space="preserve"> </w:t>
            </w:r>
            <w:r w:rsidRPr="00B53CDE">
              <w:rPr>
                <w:rFonts w:ascii="Times New Roman" w:hAnsi="Times New Roman" w:cs="Times New Roman"/>
                <w:sz w:val="24"/>
                <w:szCs w:val="24"/>
              </w:rPr>
              <w:t>no impact</w:t>
            </w:r>
          </w:p>
        </w:tc>
      </w:tr>
      <w:tr w:rsidR="00AB3A6E" w:rsidRPr="005D3931" w:rsidTr="000576B9">
        <w:trPr>
          <w:trHeight w:val="496"/>
        </w:trPr>
        <w:tc>
          <w:tcPr>
            <w:tcW w:w="3828" w:type="dxa"/>
          </w:tcPr>
          <w:p w:rsidR="00AB3A6E" w:rsidRPr="005D3931" w:rsidRDefault="00AB3A6E" w:rsidP="00372415">
            <w:pPr>
              <w:jc w:val="both"/>
              <w:rPr>
                <w:rFonts w:ascii="Times New Roman" w:hAnsi="Times New Roman" w:cs="Times New Roman"/>
                <w:sz w:val="24"/>
                <w:szCs w:val="24"/>
              </w:rPr>
            </w:pPr>
            <w:r>
              <w:rPr>
                <w:rFonts w:ascii="Times New Roman" w:hAnsi="Times New Roman" w:cs="Times New Roman"/>
                <w:sz w:val="24"/>
                <w:szCs w:val="24"/>
              </w:rPr>
              <w:t>2</w:t>
            </w:r>
            <w:r w:rsidRPr="005D3931">
              <w:rPr>
                <w:rFonts w:ascii="Times New Roman" w:hAnsi="Times New Roman" w:cs="Times New Roman"/>
                <w:sz w:val="24"/>
                <w:szCs w:val="24"/>
              </w:rPr>
              <w:t xml:space="preserve">. </w:t>
            </w:r>
            <w:r>
              <w:rPr>
                <w:rFonts w:ascii="Times New Roman" w:hAnsi="Times New Roman" w:cs="Times New Roman"/>
                <w:sz w:val="24"/>
                <w:szCs w:val="24"/>
              </w:rPr>
              <w:t xml:space="preserve">Allow contractors currently in the withholding tax rules to </w:t>
            </w:r>
            <w:r w:rsidRPr="005D3931">
              <w:rPr>
                <w:rFonts w:ascii="Times New Roman" w:hAnsi="Times New Roman" w:cs="Times New Roman"/>
                <w:sz w:val="24"/>
                <w:szCs w:val="24"/>
              </w:rPr>
              <w:t>elect their own withholding rate</w:t>
            </w:r>
            <w:r>
              <w:rPr>
                <w:rFonts w:ascii="Times New Roman" w:hAnsi="Times New Roman" w:cs="Times New Roman"/>
                <w:sz w:val="24"/>
                <w:szCs w:val="24"/>
              </w:rPr>
              <w:t xml:space="preserve"> (with a 1</w:t>
            </w:r>
            <w:r w:rsidR="0004521D">
              <w:rPr>
                <w:rFonts w:ascii="Times New Roman" w:hAnsi="Times New Roman" w:cs="Times New Roman"/>
                <w:sz w:val="24"/>
                <w:szCs w:val="24"/>
              </w:rPr>
              <w:t>0</w:t>
            </w:r>
            <w:r>
              <w:rPr>
                <w:rFonts w:ascii="Times New Roman" w:hAnsi="Times New Roman" w:cs="Times New Roman"/>
                <w:sz w:val="24"/>
                <w:szCs w:val="24"/>
              </w:rPr>
              <w:t>% minimum)</w:t>
            </w:r>
          </w:p>
        </w:tc>
        <w:tc>
          <w:tcPr>
            <w:tcW w:w="5244" w:type="dxa"/>
          </w:tcPr>
          <w:p w:rsidR="00AB3A6E" w:rsidRPr="005D3931" w:rsidRDefault="00AB3A6E" w:rsidP="00E907AB">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Pr>
                <w:rFonts w:ascii="Wingdings 2" w:hAnsi="Wingdings 2" w:cs="Times New Roman"/>
                <w:sz w:val="24"/>
                <w:szCs w:val="24"/>
              </w:rPr>
              <w:t></w:t>
            </w:r>
            <w:r>
              <w:rPr>
                <w:rFonts w:ascii="Wingdings 2" w:hAnsi="Wingdings 2" w:cs="Times New Roman"/>
                <w:sz w:val="24"/>
                <w:szCs w:val="24"/>
              </w:rPr>
              <w:t></w:t>
            </w:r>
          </w:p>
          <w:p w:rsidR="00AB3A6E" w:rsidRPr="005D3931" w:rsidRDefault="00AB3A6E" w:rsidP="00E907AB">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Pr>
                <w:rFonts w:ascii="Wingdings 2" w:hAnsi="Wingdings 2" w:cs="Times New Roman"/>
                <w:sz w:val="24"/>
                <w:szCs w:val="24"/>
              </w:rPr>
              <w:t></w:t>
            </w:r>
            <w:r>
              <w:rPr>
                <w:rFonts w:ascii="Wingdings 2" w:hAnsi="Wingdings 2" w:cs="Times New Roman"/>
                <w:sz w:val="24"/>
                <w:szCs w:val="24"/>
              </w:rPr>
              <w:t></w:t>
            </w:r>
          </w:p>
          <w:p w:rsidR="00AB3A6E" w:rsidRPr="005D3931" w:rsidRDefault="00AB3A6E" w:rsidP="00E907AB">
            <w:pPr>
              <w:jc w:val="both"/>
              <w:rPr>
                <w:rFonts w:ascii="Times New Roman" w:hAnsi="Times New Roman" w:cs="Times New Roman"/>
                <w:sz w:val="24"/>
                <w:szCs w:val="24"/>
              </w:rPr>
            </w:pPr>
            <w:r>
              <w:rPr>
                <w:rFonts w:ascii="Times New Roman" w:hAnsi="Times New Roman" w:cs="Times New Roman"/>
                <w:i/>
                <w:sz w:val="24"/>
                <w:szCs w:val="24"/>
              </w:rPr>
              <w:t>S</w:t>
            </w:r>
            <w:r w:rsidRPr="005D3931">
              <w:rPr>
                <w:rFonts w:ascii="Times New Roman" w:hAnsi="Times New Roman" w:cs="Times New Roman"/>
                <w:i/>
                <w:sz w:val="24"/>
                <w:szCs w:val="24"/>
              </w:rPr>
              <w:t>ustainability</w:t>
            </w:r>
            <w:r w:rsidRPr="005D3931">
              <w:rPr>
                <w:rFonts w:ascii="Times New Roman" w:hAnsi="Times New Roman" w:cs="Times New Roman"/>
                <w:sz w:val="24"/>
                <w:szCs w:val="24"/>
              </w:rPr>
              <w:t xml:space="preserve">: </w:t>
            </w:r>
            <w:r>
              <w:rPr>
                <w:rFonts w:ascii="Wingdings 2" w:hAnsi="Wingdings 2" w:cs="Times New Roman"/>
                <w:sz w:val="24"/>
                <w:szCs w:val="24"/>
              </w:rPr>
              <w:t></w:t>
            </w:r>
            <w:r>
              <w:rPr>
                <w:rFonts w:ascii="Wingdings 2" w:hAnsi="Wingdings 2" w:cs="Times New Roman"/>
                <w:sz w:val="24"/>
                <w:szCs w:val="24"/>
              </w:rPr>
              <w:t></w:t>
            </w:r>
          </w:p>
          <w:p w:rsidR="00AB3A6E" w:rsidRPr="005D3931" w:rsidRDefault="00AB3A6E" w:rsidP="00372415">
            <w:pPr>
              <w:jc w:val="both"/>
              <w:rPr>
                <w:rFonts w:ascii="Times New Roman" w:hAnsi="Times New Roman" w:cs="Times New Roman"/>
                <w:sz w:val="24"/>
                <w:szCs w:val="24"/>
              </w:rPr>
            </w:pPr>
            <w:r w:rsidRPr="00D42C53">
              <w:rPr>
                <w:rFonts w:ascii="Times New Roman" w:hAnsi="Times New Roman" w:cs="Times New Roman"/>
                <w:i/>
                <w:sz w:val="24"/>
                <w:szCs w:val="24"/>
              </w:rPr>
              <w:t>Revenue</w:t>
            </w:r>
            <w:r w:rsidRPr="00D42C53">
              <w:rPr>
                <w:rFonts w:ascii="Times New Roman" w:hAnsi="Times New Roman" w:cs="Times New Roman"/>
                <w:sz w:val="24"/>
                <w:szCs w:val="24"/>
              </w:rPr>
              <w:t>: one-off fiscal cost of approximately $</w:t>
            </w:r>
            <w:r w:rsidR="0004521D">
              <w:rPr>
                <w:rFonts w:ascii="Times New Roman" w:hAnsi="Times New Roman" w:cs="Times New Roman"/>
                <w:sz w:val="24"/>
                <w:szCs w:val="24"/>
              </w:rPr>
              <w:t>35</w:t>
            </w:r>
            <w:r w:rsidRPr="00D42C53">
              <w:rPr>
                <w:rFonts w:ascii="Times New Roman" w:hAnsi="Times New Roman" w:cs="Times New Roman"/>
                <w:sz w:val="24"/>
                <w:szCs w:val="24"/>
              </w:rPr>
              <w:t xml:space="preserve"> million</w:t>
            </w:r>
          </w:p>
        </w:tc>
      </w:tr>
      <w:tr w:rsidR="00AB3A6E" w:rsidRPr="005D3931" w:rsidTr="000576B9">
        <w:tc>
          <w:tcPr>
            <w:tcW w:w="3828" w:type="dxa"/>
          </w:tcPr>
          <w:p w:rsidR="00AB3A6E" w:rsidRPr="005D3931" w:rsidRDefault="00AB3A6E" w:rsidP="008E3413">
            <w:pPr>
              <w:jc w:val="both"/>
              <w:rPr>
                <w:rFonts w:ascii="Times New Roman" w:hAnsi="Times New Roman" w:cs="Times New Roman"/>
                <w:sz w:val="24"/>
                <w:szCs w:val="24"/>
              </w:rPr>
            </w:pPr>
            <w:r>
              <w:rPr>
                <w:rFonts w:ascii="Times New Roman" w:hAnsi="Times New Roman" w:cs="Times New Roman"/>
                <w:sz w:val="24"/>
                <w:szCs w:val="24"/>
              </w:rPr>
              <w:t>3</w:t>
            </w:r>
            <w:r w:rsidRPr="005D3931">
              <w:rPr>
                <w:rFonts w:ascii="Times New Roman" w:hAnsi="Times New Roman" w:cs="Times New Roman"/>
                <w:sz w:val="24"/>
                <w:szCs w:val="24"/>
              </w:rPr>
              <w:t>.</w:t>
            </w:r>
            <w:r>
              <w:rPr>
                <w:rFonts w:ascii="Times New Roman" w:hAnsi="Times New Roman" w:cs="Times New Roman"/>
                <w:sz w:val="24"/>
                <w:szCs w:val="24"/>
              </w:rPr>
              <w:t xml:space="preserve"> Allow contractors not covered by the current withholding tax rules to enter into v</w:t>
            </w:r>
            <w:r w:rsidRPr="005D3931">
              <w:rPr>
                <w:rFonts w:ascii="Times New Roman" w:hAnsi="Times New Roman" w:cs="Times New Roman"/>
                <w:sz w:val="24"/>
                <w:szCs w:val="24"/>
              </w:rPr>
              <w:t>oluntary withholding agreements</w:t>
            </w:r>
            <w:r>
              <w:rPr>
                <w:rFonts w:ascii="Times New Roman" w:hAnsi="Times New Roman" w:cs="Times New Roman"/>
                <w:sz w:val="24"/>
                <w:szCs w:val="24"/>
              </w:rPr>
              <w:t xml:space="preserve"> with their employer</w:t>
            </w:r>
          </w:p>
        </w:tc>
        <w:tc>
          <w:tcPr>
            <w:tcW w:w="5244" w:type="dxa"/>
          </w:tcPr>
          <w:p w:rsidR="00AB3A6E" w:rsidRPr="005D3931" w:rsidRDefault="00AB3A6E" w:rsidP="00E907AB">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Pr>
                <w:rFonts w:ascii="Wingdings 2" w:hAnsi="Wingdings 2" w:cs="Times New Roman"/>
                <w:sz w:val="24"/>
                <w:szCs w:val="24"/>
              </w:rPr>
              <w:t></w:t>
            </w:r>
            <w:r>
              <w:rPr>
                <w:rFonts w:ascii="Wingdings 2" w:hAnsi="Wingdings 2" w:cs="Times New Roman"/>
                <w:sz w:val="24"/>
                <w:szCs w:val="24"/>
              </w:rPr>
              <w:t></w:t>
            </w:r>
          </w:p>
          <w:p w:rsidR="00AB3A6E" w:rsidRPr="005D3931" w:rsidRDefault="00AB3A6E" w:rsidP="00E907AB">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Pr>
                <w:rFonts w:ascii="Wingdings 2" w:hAnsi="Wingdings 2" w:cs="Times New Roman"/>
                <w:sz w:val="24"/>
                <w:szCs w:val="24"/>
              </w:rPr>
              <w:t></w:t>
            </w:r>
            <w:r>
              <w:rPr>
                <w:rFonts w:ascii="Wingdings 2" w:hAnsi="Wingdings 2" w:cs="Times New Roman"/>
                <w:sz w:val="24"/>
                <w:szCs w:val="24"/>
              </w:rPr>
              <w:t></w:t>
            </w:r>
          </w:p>
          <w:p w:rsidR="00AB3A6E" w:rsidRPr="003C5AF2" w:rsidRDefault="00AB3A6E" w:rsidP="00E907AB">
            <w:pPr>
              <w:jc w:val="both"/>
              <w:rPr>
                <w:rFonts w:ascii="Times New Roman" w:hAnsi="Times New Roman" w:cs="Times New Roman"/>
                <w:sz w:val="24"/>
                <w:szCs w:val="24"/>
              </w:rPr>
            </w:pPr>
            <w:r>
              <w:rPr>
                <w:rFonts w:ascii="Times New Roman" w:hAnsi="Times New Roman" w:cs="Times New Roman"/>
                <w:i/>
                <w:sz w:val="24"/>
                <w:szCs w:val="24"/>
              </w:rPr>
              <w:t>S</w:t>
            </w:r>
            <w:r w:rsidRPr="005D3931">
              <w:rPr>
                <w:rFonts w:ascii="Times New Roman" w:hAnsi="Times New Roman" w:cs="Times New Roman"/>
                <w:i/>
                <w:sz w:val="24"/>
                <w:szCs w:val="24"/>
              </w:rPr>
              <w:t>ustainability</w:t>
            </w:r>
            <w:r w:rsidRPr="005D3931">
              <w:rPr>
                <w:rFonts w:ascii="Times New Roman" w:hAnsi="Times New Roman" w:cs="Times New Roman"/>
                <w:sz w:val="24"/>
                <w:szCs w:val="24"/>
              </w:rPr>
              <w:t xml:space="preserve">: </w:t>
            </w:r>
            <w:r>
              <w:rPr>
                <w:rFonts w:ascii="Wingdings 2" w:hAnsi="Wingdings 2" w:cs="Times New Roman"/>
                <w:sz w:val="24"/>
                <w:szCs w:val="24"/>
              </w:rPr>
              <w:t></w:t>
            </w:r>
            <w:r>
              <w:rPr>
                <w:rFonts w:ascii="Wingdings 2" w:hAnsi="Wingdings 2" w:cs="Times New Roman"/>
                <w:sz w:val="24"/>
                <w:szCs w:val="24"/>
              </w:rPr>
              <w:t></w:t>
            </w:r>
          </w:p>
          <w:p w:rsidR="00AB3A6E" w:rsidRPr="005D3931" w:rsidRDefault="00AB3A6E" w:rsidP="007A1ED1">
            <w:pPr>
              <w:ind w:left="1026" w:hanging="1026"/>
              <w:jc w:val="both"/>
              <w:rPr>
                <w:rFonts w:ascii="Times New Roman" w:hAnsi="Times New Roman" w:cs="Times New Roman"/>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Pr>
                <w:rFonts w:ascii="Times New Roman" w:hAnsi="Times New Roman" w:cs="Times New Roman"/>
                <w:sz w:val="24"/>
                <w:szCs w:val="24"/>
              </w:rPr>
              <w:t xml:space="preserve"> </w:t>
            </w:r>
            <w:r w:rsidR="007A1ED1">
              <w:rPr>
                <w:rFonts w:ascii="Times New Roman" w:hAnsi="Times New Roman" w:cs="Times New Roman"/>
                <w:sz w:val="24"/>
                <w:szCs w:val="24"/>
              </w:rPr>
              <w:t>marginal upfront gain</w:t>
            </w:r>
          </w:p>
        </w:tc>
      </w:tr>
      <w:tr w:rsidR="00AB3A6E" w:rsidRPr="005D3931" w:rsidTr="000576B9">
        <w:tc>
          <w:tcPr>
            <w:tcW w:w="3828" w:type="dxa"/>
          </w:tcPr>
          <w:p w:rsidR="00AB3A6E" w:rsidRPr="005D3931" w:rsidRDefault="00AB3A6E" w:rsidP="00743E55">
            <w:pPr>
              <w:jc w:val="both"/>
              <w:rPr>
                <w:rFonts w:ascii="Times New Roman" w:hAnsi="Times New Roman" w:cs="Times New Roman"/>
                <w:sz w:val="24"/>
                <w:szCs w:val="24"/>
              </w:rPr>
            </w:pPr>
            <w:r>
              <w:rPr>
                <w:rFonts w:ascii="Times New Roman" w:hAnsi="Times New Roman" w:cs="Times New Roman"/>
                <w:sz w:val="24"/>
                <w:szCs w:val="24"/>
              </w:rPr>
              <w:t>4</w:t>
            </w:r>
            <w:r w:rsidRPr="005D3931">
              <w:rPr>
                <w:rFonts w:ascii="Times New Roman" w:hAnsi="Times New Roman" w:cs="Times New Roman"/>
                <w:sz w:val="24"/>
                <w:szCs w:val="24"/>
              </w:rPr>
              <w:t xml:space="preserve">. </w:t>
            </w:r>
            <w:r>
              <w:rPr>
                <w:rFonts w:ascii="Times New Roman" w:hAnsi="Times New Roman" w:cs="Times New Roman"/>
                <w:sz w:val="24"/>
                <w:szCs w:val="24"/>
              </w:rPr>
              <w:t xml:space="preserve">Extend the withholding tax rules to </w:t>
            </w:r>
            <w:r w:rsidRPr="005D3931">
              <w:rPr>
                <w:rFonts w:ascii="Times New Roman" w:hAnsi="Times New Roman" w:cs="Times New Roman"/>
                <w:sz w:val="24"/>
                <w:szCs w:val="24"/>
              </w:rPr>
              <w:t>contractors of labour hire firms</w:t>
            </w:r>
          </w:p>
        </w:tc>
        <w:tc>
          <w:tcPr>
            <w:tcW w:w="5244" w:type="dxa"/>
          </w:tcPr>
          <w:p w:rsidR="00AB3A6E" w:rsidRPr="005D3931" w:rsidRDefault="00AB3A6E" w:rsidP="00E907AB">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Pr>
                <w:rFonts w:ascii="Wingdings 2" w:hAnsi="Wingdings 2" w:cs="Times New Roman"/>
                <w:sz w:val="24"/>
                <w:szCs w:val="24"/>
              </w:rPr>
              <w:t></w:t>
            </w:r>
            <w:r>
              <w:rPr>
                <w:rFonts w:ascii="Wingdings 2" w:hAnsi="Wingdings 2" w:cs="Times New Roman"/>
                <w:sz w:val="24"/>
                <w:szCs w:val="24"/>
              </w:rPr>
              <w:t></w:t>
            </w:r>
          </w:p>
          <w:p w:rsidR="00AB3A6E" w:rsidRPr="005D3931" w:rsidRDefault="00AB3A6E" w:rsidP="00E907AB">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Pr>
                <w:rFonts w:ascii="Wingdings 2" w:hAnsi="Wingdings 2" w:cs="Times New Roman"/>
                <w:sz w:val="24"/>
                <w:szCs w:val="24"/>
              </w:rPr>
              <w:t></w:t>
            </w:r>
            <w:r>
              <w:rPr>
                <w:rFonts w:ascii="Wingdings 2" w:hAnsi="Wingdings 2" w:cs="Times New Roman"/>
                <w:sz w:val="24"/>
                <w:szCs w:val="24"/>
              </w:rPr>
              <w:t></w:t>
            </w:r>
          </w:p>
          <w:p w:rsidR="00AB3A6E" w:rsidRPr="005D3931" w:rsidRDefault="00AB3A6E" w:rsidP="00E907AB">
            <w:pPr>
              <w:jc w:val="both"/>
              <w:rPr>
                <w:rFonts w:ascii="Times New Roman" w:hAnsi="Times New Roman" w:cs="Times New Roman"/>
                <w:sz w:val="24"/>
                <w:szCs w:val="24"/>
              </w:rPr>
            </w:pPr>
            <w:r>
              <w:rPr>
                <w:rFonts w:ascii="Times New Roman" w:hAnsi="Times New Roman" w:cs="Times New Roman"/>
                <w:i/>
                <w:sz w:val="24"/>
                <w:szCs w:val="24"/>
              </w:rPr>
              <w:t>S</w:t>
            </w:r>
            <w:r w:rsidRPr="005D3931">
              <w:rPr>
                <w:rFonts w:ascii="Times New Roman" w:hAnsi="Times New Roman" w:cs="Times New Roman"/>
                <w:i/>
                <w:sz w:val="24"/>
                <w:szCs w:val="24"/>
              </w:rPr>
              <w:t>ustainability</w:t>
            </w:r>
            <w:r w:rsidRPr="005D3931">
              <w:rPr>
                <w:rFonts w:ascii="Times New Roman" w:hAnsi="Times New Roman" w:cs="Times New Roman"/>
                <w:sz w:val="24"/>
                <w:szCs w:val="24"/>
              </w:rPr>
              <w:t xml:space="preserve">: </w:t>
            </w:r>
            <w:r>
              <w:rPr>
                <w:rFonts w:ascii="Wingdings 2" w:hAnsi="Wingdings 2" w:cs="Times New Roman"/>
                <w:sz w:val="24"/>
                <w:szCs w:val="24"/>
              </w:rPr>
              <w:t></w:t>
            </w:r>
            <w:r>
              <w:rPr>
                <w:rFonts w:ascii="Wingdings 2" w:hAnsi="Wingdings 2" w:cs="Times New Roman"/>
                <w:sz w:val="24"/>
                <w:szCs w:val="24"/>
              </w:rPr>
              <w:t></w:t>
            </w:r>
          </w:p>
          <w:p w:rsidR="00AB3A6E" w:rsidRPr="005D3931" w:rsidRDefault="00AB3A6E" w:rsidP="00393F3E">
            <w:pPr>
              <w:jc w:val="both"/>
              <w:rPr>
                <w:rFonts w:ascii="Times New Roman" w:hAnsi="Times New Roman" w:cs="Times New Roman"/>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Pr>
                <w:rFonts w:ascii="Times New Roman" w:hAnsi="Times New Roman" w:cs="Times New Roman"/>
                <w:sz w:val="24"/>
                <w:szCs w:val="24"/>
              </w:rPr>
              <w:t xml:space="preserve"> difficult to measure but expect a small revenue benefit</w:t>
            </w:r>
          </w:p>
        </w:tc>
      </w:tr>
    </w:tbl>
    <w:p w:rsidR="00213C1F" w:rsidRDefault="00213C1F" w:rsidP="00213C1F">
      <w:pPr>
        <w:pStyle w:val="ListParagraph"/>
        <w:spacing w:after="0" w:line="240" w:lineRule="auto"/>
        <w:ind w:left="0"/>
        <w:jc w:val="both"/>
        <w:rPr>
          <w:rFonts w:ascii="Times New Roman" w:hAnsi="Times New Roman" w:cs="Times New Roman"/>
          <w:sz w:val="24"/>
          <w:szCs w:val="24"/>
        </w:rPr>
      </w:pPr>
    </w:p>
    <w:p w:rsidR="00213C1F" w:rsidRDefault="00EB2384" w:rsidP="00213C1F">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w:t>
      </w:r>
      <w:r w:rsidR="00213C1F" w:rsidRPr="00B30B01">
        <w:rPr>
          <w:rFonts w:ascii="Times New Roman" w:hAnsi="Times New Roman" w:cs="Times New Roman"/>
          <w:sz w:val="24"/>
          <w:szCs w:val="24"/>
        </w:rPr>
        <w:t xml:space="preserve">ther options </w:t>
      </w:r>
      <w:r w:rsidR="00213C1F">
        <w:rPr>
          <w:rFonts w:ascii="Times New Roman" w:hAnsi="Times New Roman" w:cs="Times New Roman"/>
          <w:sz w:val="24"/>
          <w:szCs w:val="24"/>
        </w:rPr>
        <w:t xml:space="preserve">considered but </w:t>
      </w:r>
      <w:r w:rsidR="002E34E7">
        <w:rPr>
          <w:rFonts w:ascii="Times New Roman" w:hAnsi="Times New Roman" w:cs="Times New Roman"/>
          <w:sz w:val="24"/>
          <w:szCs w:val="24"/>
        </w:rPr>
        <w:t xml:space="preserve">that could not be developed in the time available </w:t>
      </w:r>
      <w:r w:rsidR="00213C1F">
        <w:rPr>
          <w:rFonts w:ascii="Times New Roman" w:hAnsi="Times New Roman" w:cs="Times New Roman"/>
          <w:sz w:val="24"/>
          <w:szCs w:val="24"/>
        </w:rPr>
        <w:t>include</w:t>
      </w:r>
      <w:r w:rsidR="00213C1F" w:rsidRPr="00B30B01">
        <w:rPr>
          <w:rFonts w:ascii="Times New Roman" w:hAnsi="Times New Roman" w:cs="Times New Roman"/>
          <w:sz w:val="24"/>
          <w:szCs w:val="24"/>
        </w:rPr>
        <w:t>:</w:t>
      </w:r>
    </w:p>
    <w:p w:rsidR="00213C1F" w:rsidRDefault="00213C1F" w:rsidP="00213C1F">
      <w:pPr>
        <w:pStyle w:val="ListParagraph"/>
        <w:spacing w:after="0" w:line="240" w:lineRule="auto"/>
        <w:ind w:left="0"/>
        <w:jc w:val="both"/>
        <w:rPr>
          <w:rFonts w:ascii="Times New Roman" w:hAnsi="Times New Roman" w:cs="Times New Roman"/>
          <w:sz w:val="24"/>
          <w:szCs w:val="24"/>
        </w:rPr>
      </w:pPr>
    </w:p>
    <w:p w:rsidR="00213C1F" w:rsidRPr="00E236E9" w:rsidRDefault="00213C1F" w:rsidP="00213C1F">
      <w:pPr>
        <w:pStyle w:val="ListParagraph"/>
        <w:numPr>
          <w:ilvl w:val="0"/>
          <w:numId w:val="19"/>
        </w:numPr>
        <w:spacing w:after="0" w:line="240" w:lineRule="auto"/>
        <w:ind w:left="709" w:hanging="283"/>
        <w:rPr>
          <w:rFonts w:ascii="Times New Roman" w:hAnsi="Times New Roman" w:cs="Times New Roman"/>
          <w:sz w:val="24"/>
          <w:szCs w:val="24"/>
        </w:rPr>
      </w:pPr>
      <w:r w:rsidRPr="00E236E9">
        <w:rPr>
          <w:rFonts w:ascii="Times New Roman" w:hAnsi="Times New Roman" w:cs="Times New Roman"/>
          <w:sz w:val="24"/>
          <w:szCs w:val="24"/>
        </w:rPr>
        <w:tab/>
        <w:t>Extending withholding to other contractors (for example, IT contractors)</w:t>
      </w:r>
      <w:r>
        <w:rPr>
          <w:rFonts w:ascii="Times New Roman" w:hAnsi="Times New Roman" w:cs="Times New Roman"/>
          <w:sz w:val="24"/>
          <w:szCs w:val="24"/>
        </w:rPr>
        <w:t>.</w:t>
      </w:r>
    </w:p>
    <w:p w:rsidR="00213C1F" w:rsidRPr="001167B6" w:rsidRDefault="00213C1F" w:rsidP="00213C1F">
      <w:pPr>
        <w:spacing w:after="0" w:line="240" w:lineRule="auto"/>
        <w:jc w:val="both"/>
        <w:rPr>
          <w:rFonts w:ascii="Times New Roman" w:hAnsi="Times New Roman" w:cs="Times New Roman"/>
          <w:sz w:val="24"/>
          <w:szCs w:val="24"/>
        </w:rPr>
      </w:pPr>
    </w:p>
    <w:p w:rsidR="00213C1F" w:rsidRPr="00E236E9" w:rsidRDefault="00213C1F" w:rsidP="00213C1F">
      <w:pPr>
        <w:pStyle w:val="ListParagraph"/>
        <w:numPr>
          <w:ilvl w:val="0"/>
          <w:numId w:val="19"/>
        </w:numPr>
        <w:spacing w:after="0" w:line="240" w:lineRule="auto"/>
        <w:ind w:left="709" w:hanging="283"/>
        <w:rPr>
          <w:rFonts w:ascii="Times New Roman" w:hAnsi="Times New Roman" w:cs="Times New Roman"/>
          <w:sz w:val="24"/>
          <w:szCs w:val="24"/>
        </w:rPr>
      </w:pPr>
      <w:r w:rsidRPr="00E236E9">
        <w:rPr>
          <w:rFonts w:ascii="Times New Roman" w:hAnsi="Times New Roman" w:cs="Times New Roman"/>
          <w:sz w:val="24"/>
          <w:szCs w:val="24"/>
        </w:rPr>
        <w:t xml:space="preserve">Removing or amending the company exception to the </w:t>
      </w:r>
      <w:proofErr w:type="spellStart"/>
      <w:r w:rsidRPr="00E236E9">
        <w:rPr>
          <w:rFonts w:ascii="Times New Roman" w:hAnsi="Times New Roman" w:cs="Times New Roman"/>
          <w:sz w:val="24"/>
          <w:szCs w:val="24"/>
        </w:rPr>
        <w:t>schedular</w:t>
      </w:r>
      <w:proofErr w:type="spellEnd"/>
      <w:r w:rsidRPr="00E236E9">
        <w:rPr>
          <w:rFonts w:ascii="Times New Roman" w:hAnsi="Times New Roman" w:cs="Times New Roman"/>
          <w:sz w:val="24"/>
          <w:szCs w:val="24"/>
        </w:rPr>
        <w:t xml:space="preserve"> payment rules comprehensively</w:t>
      </w:r>
      <w:r>
        <w:rPr>
          <w:rFonts w:ascii="Times New Roman" w:hAnsi="Times New Roman" w:cs="Times New Roman"/>
          <w:sz w:val="24"/>
          <w:szCs w:val="24"/>
        </w:rPr>
        <w:t>.</w:t>
      </w:r>
    </w:p>
    <w:p w:rsidR="00213C1F" w:rsidRPr="00E8196C" w:rsidRDefault="00213C1F" w:rsidP="00213C1F">
      <w:pPr>
        <w:spacing w:after="0" w:line="240" w:lineRule="auto"/>
        <w:rPr>
          <w:rFonts w:ascii="Times New Roman" w:hAnsi="Times New Roman" w:cs="Times New Roman"/>
          <w:sz w:val="24"/>
          <w:szCs w:val="24"/>
        </w:rPr>
      </w:pPr>
    </w:p>
    <w:p w:rsidR="00213C1F" w:rsidRPr="00E236E9" w:rsidRDefault="00213C1F" w:rsidP="00213C1F">
      <w:pPr>
        <w:pStyle w:val="ListParagraph"/>
        <w:numPr>
          <w:ilvl w:val="0"/>
          <w:numId w:val="19"/>
        </w:numPr>
        <w:spacing w:after="0" w:line="240" w:lineRule="auto"/>
        <w:ind w:left="709" w:hanging="283"/>
        <w:rPr>
          <w:rFonts w:ascii="Times New Roman" w:hAnsi="Times New Roman" w:cs="Times New Roman"/>
          <w:sz w:val="24"/>
          <w:szCs w:val="24"/>
        </w:rPr>
      </w:pPr>
      <w:r w:rsidRPr="00E236E9">
        <w:rPr>
          <w:rFonts w:ascii="Times New Roman" w:hAnsi="Times New Roman" w:cs="Times New Roman"/>
          <w:sz w:val="24"/>
          <w:szCs w:val="24"/>
        </w:rPr>
        <w:t>Using banks as an intermediary for withholding rather than the payer of the contractor.</w:t>
      </w:r>
    </w:p>
    <w:p w:rsidR="00213C1F" w:rsidRPr="00E8196C" w:rsidRDefault="00213C1F" w:rsidP="00213C1F">
      <w:pPr>
        <w:spacing w:after="0" w:line="240" w:lineRule="auto"/>
        <w:rPr>
          <w:rFonts w:ascii="Times New Roman" w:hAnsi="Times New Roman" w:cs="Times New Roman"/>
          <w:sz w:val="24"/>
          <w:szCs w:val="24"/>
        </w:rPr>
      </w:pPr>
    </w:p>
    <w:p w:rsidR="00213C1F" w:rsidRPr="001167B6" w:rsidRDefault="00213C1F" w:rsidP="00213C1F">
      <w:pPr>
        <w:pStyle w:val="ListParagraph"/>
        <w:numPr>
          <w:ilvl w:val="0"/>
          <w:numId w:val="11"/>
        </w:numPr>
        <w:spacing w:after="0" w:line="240" w:lineRule="auto"/>
        <w:ind w:left="0" w:firstLine="0"/>
        <w:jc w:val="both"/>
        <w:rPr>
          <w:rFonts w:ascii="Times New Roman" w:hAnsi="Times New Roman" w:cs="Times New Roman"/>
          <w:sz w:val="24"/>
          <w:szCs w:val="24"/>
        </w:rPr>
      </w:pPr>
      <w:r w:rsidRPr="001167B6">
        <w:rPr>
          <w:rFonts w:ascii="Times New Roman" w:hAnsi="Times New Roman" w:cs="Times New Roman"/>
          <w:sz w:val="24"/>
          <w:szCs w:val="24"/>
        </w:rPr>
        <w:t>We consider that these measures require greater policy work and consultation than can be achieved in time for a 1 April 2017 application date.</w:t>
      </w:r>
    </w:p>
    <w:p w:rsidR="005B2E03" w:rsidRPr="005D3931" w:rsidRDefault="005B2E03" w:rsidP="00D314CD">
      <w:pPr>
        <w:spacing w:after="0" w:line="240" w:lineRule="auto"/>
        <w:jc w:val="both"/>
        <w:rPr>
          <w:rFonts w:ascii="Times New Roman" w:hAnsi="Times New Roman" w:cs="Times New Roman"/>
          <w:sz w:val="24"/>
          <w:szCs w:val="24"/>
        </w:rPr>
      </w:pPr>
    </w:p>
    <w:p w:rsidR="00393F3E" w:rsidRPr="00061BE6" w:rsidRDefault="00825CC3" w:rsidP="00D314CD">
      <w:pPr>
        <w:spacing w:after="0" w:line="240" w:lineRule="auto"/>
        <w:jc w:val="both"/>
        <w:rPr>
          <w:rFonts w:ascii="Times New Roman" w:hAnsi="Times New Roman" w:cs="Times New Roman"/>
          <w:b/>
          <w:i/>
          <w:sz w:val="24"/>
          <w:szCs w:val="24"/>
        </w:rPr>
      </w:pPr>
      <w:r w:rsidRPr="00061BE6">
        <w:rPr>
          <w:rFonts w:ascii="Times New Roman" w:hAnsi="Times New Roman" w:cs="Times New Roman"/>
          <w:b/>
          <w:i/>
          <w:sz w:val="24"/>
          <w:szCs w:val="24"/>
        </w:rPr>
        <w:t>Recommendation</w:t>
      </w:r>
    </w:p>
    <w:p w:rsidR="00061BE6" w:rsidRDefault="00061BE6" w:rsidP="00D314CD">
      <w:pPr>
        <w:spacing w:after="0" w:line="240" w:lineRule="auto"/>
        <w:jc w:val="both"/>
        <w:rPr>
          <w:rFonts w:ascii="Times New Roman" w:hAnsi="Times New Roman" w:cs="Times New Roman"/>
          <w:sz w:val="24"/>
          <w:szCs w:val="24"/>
        </w:rPr>
      </w:pPr>
    </w:p>
    <w:p w:rsidR="00825CC3" w:rsidRPr="00146EAF" w:rsidRDefault="00825CC3" w:rsidP="007618F8">
      <w:pPr>
        <w:pStyle w:val="ListParagraph"/>
        <w:numPr>
          <w:ilvl w:val="0"/>
          <w:numId w:val="11"/>
        </w:numPr>
        <w:spacing w:after="0" w:line="240" w:lineRule="auto"/>
        <w:ind w:left="0" w:firstLine="0"/>
        <w:jc w:val="both"/>
        <w:rPr>
          <w:rFonts w:ascii="Times New Roman" w:hAnsi="Times New Roman" w:cs="Times New Roman"/>
          <w:sz w:val="24"/>
          <w:szCs w:val="24"/>
        </w:rPr>
      </w:pPr>
      <w:r w:rsidRPr="007618F8">
        <w:rPr>
          <w:rFonts w:ascii="Times New Roman" w:hAnsi="Times New Roman" w:cs="Times New Roman"/>
          <w:sz w:val="24"/>
          <w:szCs w:val="24"/>
        </w:rPr>
        <w:t>Officials recommend that options 2, 3, and 4 be adopted as they reduce overall compliance costs and provide a fairer, more sustainable tax system. As a result we consider them an improvement over the status quo</w:t>
      </w:r>
      <w:r w:rsidR="00D04D6B" w:rsidRPr="00146EAF">
        <w:rPr>
          <w:rFonts w:ascii="Times New Roman" w:hAnsi="Times New Roman" w:cs="Times New Roman"/>
          <w:sz w:val="24"/>
          <w:szCs w:val="24"/>
        </w:rPr>
        <w:t>.</w:t>
      </w:r>
      <w:r w:rsidR="00B53CDE" w:rsidRPr="00146EAF">
        <w:rPr>
          <w:rFonts w:ascii="Times New Roman" w:hAnsi="Times New Roman" w:cs="Times New Roman"/>
          <w:sz w:val="24"/>
          <w:szCs w:val="24"/>
        </w:rPr>
        <w:t xml:space="preserve"> </w:t>
      </w:r>
      <w:r w:rsidR="00146EAF" w:rsidRPr="00146EAF">
        <w:rPr>
          <w:rFonts w:ascii="Times New Roman" w:hAnsi="Times New Roman" w:cs="Times New Roman"/>
          <w:sz w:val="24"/>
          <w:szCs w:val="24"/>
        </w:rPr>
        <w:t xml:space="preserve">Approximately </w:t>
      </w:r>
      <w:r w:rsidR="00B53CDE" w:rsidRPr="00146EAF">
        <w:rPr>
          <w:rFonts w:ascii="Times New Roman" w:hAnsi="Times New Roman" w:cs="Times New Roman"/>
          <w:sz w:val="24"/>
          <w:szCs w:val="24"/>
        </w:rPr>
        <w:t>130,000 taxpayers currently subject to withholding tax for contract work will have greater flexibility to self-manage</w:t>
      </w:r>
      <w:r w:rsidR="00213C1F">
        <w:rPr>
          <w:rFonts w:ascii="Times New Roman" w:hAnsi="Times New Roman" w:cs="Times New Roman"/>
          <w:sz w:val="24"/>
          <w:szCs w:val="24"/>
        </w:rPr>
        <w:t>,</w:t>
      </w:r>
      <w:r w:rsidR="00B53CDE" w:rsidRPr="00146EAF">
        <w:rPr>
          <w:rFonts w:ascii="Times New Roman" w:hAnsi="Times New Roman" w:cs="Times New Roman"/>
          <w:sz w:val="24"/>
          <w:szCs w:val="24"/>
        </w:rPr>
        <w:t xml:space="preserve"> and </w:t>
      </w:r>
      <w:r w:rsidR="00146EAF" w:rsidRPr="00146EAF">
        <w:rPr>
          <w:rFonts w:ascii="Times New Roman" w:hAnsi="Times New Roman" w:cs="Times New Roman"/>
          <w:sz w:val="24"/>
          <w:szCs w:val="24"/>
        </w:rPr>
        <w:t xml:space="preserve">at least </w:t>
      </w:r>
      <w:r w:rsidR="00B53CDE" w:rsidRPr="00146EAF">
        <w:rPr>
          <w:rFonts w:ascii="Times New Roman" w:hAnsi="Times New Roman" w:cs="Times New Roman"/>
          <w:sz w:val="24"/>
          <w:szCs w:val="24"/>
        </w:rPr>
        <w:t>4,200 labour hire contractors will be brought into withholding.</w:t>
      </w:r>
    </w:p>
    <w:p w:rsidR="00825CC3" w:rsidRPr="00146EAF" w:rsidRDefault="00825CC3" w:rsidP="00D314CD">
      <w:pPr>
        <w:spacing w:after="0" w:line="240" w:lineRule="auto"/>
        <w:jc w:val="both"/>
        <w:rPr>
          <w:rFonts w:ascii="Times New Roman" w:hAnsi="Times New Roman" w:cs="Times New Roman"/>
          <w:sz w:val="24"/>
          <w:szCs w:val="24"/>
        </w:rPr>
      </w:pPr>
    </w:p>
    <w:p w:rsidR="00420D8B" w:rsidRPr="005D3931" w:rsidRDefault="00420D8B" w:rsidP="00D314CD">
      <w:pPr>
        <w:spacing w:after="0" w:line="240" w:lineRule="auto"/>
        <w:jc w:val="both"/>
        <w:rPr>
          <w:rFonts w:ascii="Times New Roman" w:hAnsi="Times New Roman" w:cs="Times New Roman"/>
          <w:sz w:val="24"/>
          <w:szCs w:val="24"/>
        </w:rPr>
      </w:pPr>
    </w:p>
    <w:p w:rsidR="00393F3E" w:rsidRPr="005D3931" w:rsidRDefault="00D56B23" w:rsidP="00165D24">
      <w:pPr>
        <w:pStyle w:val="Heading2"/>
      </w:pPr>
      <w:bookmarkStart w:id="7" w:name="_Toc444145594"/>
      <w:r>
        <w:t>C.</w:t>
      </w:r>
      <w:r>
        <w:tab/>
      </w:r>
      <w:r w:rsidR="00393F3E" w:rsidRPr="005D3931">
        <w:t>Making the system fairer</w:t>
      </w:r>
      <w:bookmarkEnd w:id="7"/>
    </w:p>
    <w:p w:rsidR="00492374" w:rsidRPr="005D3931" w:rsidRDefault="00492374" w:rsidP="00492374">
      <w:pPr>
        <w:pStyle w:val="ListParagraph"/>
        <w:spacing w:after="0" w:line="240" w:lineRule="auto"/>
        <w:ind w:left="0"/>
        <w:jc w:val="both"/>
        <w:rPr>
          <w:rFonts w:ascii="Times New Roman" w:hAnsi="Times New Roman" w:cs="Times New Roman"/>
          <w:sz w:val="24"/>
          <w:szCs w:val="24"/>
        </w:rPr>
      </w:pPr>
    </w:p>
    <w:p w:rsidR="00FE5D74" w:rsidRDefault="00FE5D74" w:rsidP="00492374">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 current late payment penalty is imposed in two stages: the initial penalty, of 1% the day after the due date and a further 4% imposed seven days after the due date, and an incremental penalty of 1% imposed each month the tax remains outstanding.</w:t>
      </w:r>
    </w:p>
    <w:p w:rsidR="00BC0EA0" w:rsidRDefault="00BC0EA0" w:rsidP="00BC0EA0">
      <w:pPr>
        <w:pStyle w:val="ListParagraph"/>
        <w:spacing w:after="0" w:line="240" w:lineRule="auto"/>
        <w:ind w:left="0"/>
        <w:jc w:val="both"/>
        <w:rPr>
          <w:rFonts w:ascii="Times New Roman" w:hAnsi="Times New Roman" w:cs="Times New Roman"/>
          <w:sz w:val="24"/>
          <w:szCs w:val="24"/>
        </w:rPr>
      </w:pPr>
    </w:p>
    <w:p w:rsidR="00402669" w:rsidRDefault="00402669" w:rsidP="00402669">
      <w:pPr>
        <w:pStyle w:val="ListParagraph"/>
        <w:numPr>
          <w:ilvl w:val="0"/>
          <w:numId w:val="11"/>
        </w:numPr>
        <w:spacing w:after="0" w:line="240" w:lineRule="auto"/>
        <w:ind w:left="0" w:firstLine="0"/>
        <w:jc w:val="both"/>
        <w:rPr>
          <w:rFonts w:ascii="Times New Roman" w:hAnsi="Times New Roman" w:cs="Times New Roman"/>
          <w:sz w:val="24"/>
          <w:szCs w:val="24"/>
        </w:rPr>
      </w:pPr>
      <w:r w:rsidRPr="00BC0EA0">
        <w:rPr>
          <w:rFonts w:ascii="Times New Roman" w:hAnsi="Times New Roman" w:cs="Times New Roman"/>
          <w:sz w:val="24"/>
          <w:szCs w:val="24"/>
        </w:rPr>
        <w:t xml:space="preserve">The late payment penalty does not effectively encourage all taxpayers to comply. For some taxpayers, late payment penalties can be seen as ineffective if they are imposed on people who </w:t>
      </w:r>
      <w:r w:rsidRPr="00296C18">
        <w:rPr>
          <w:rFonts w:ascii="Times New Roman" w:hAnsi="Times New Roman" w:cs="Times New Roman"/>
          <w:sz w:val="24"/>
          <w:szCs w:val="24"/>
        </w:rPr>
        <w:t xml:space="preserve">did not pay due to an administrative error (as they </w:t>
      </w:r>
      <w:r>
        <w:rPr>
          <w:rFonts w:ascii="Times New Roman" w:hAnsi="Times New Roman" w:cs="Times New Roman"/>
          <w:sz w:val="24"/>
          <w:szCs w:val="24"/>
        </w:rPr>
        <w:t>have underdeveloped business processes</w:t>
      </w:r>
      <w:r w:rsidRPr="00296C18">
        <w:rPr>
          <w:rFonts w:ascii="Times New Roman" w:hAnsi="Times New Roman" w:cs="Times New Roman"/>
          <w:sz w:val="24"/>
          <w:szCs w:val="24"/>
        </w:rPr>
        <w:t xml:space="preserve">), cannot pay (as they do not have the resources) or will not pay (as they have the resources, but choose not to pay). The first group </w:t>
      </w:r>
      <w:r>
        <w:rPr>
          <w:rFonts w:ascii="Times New Roman" w:hAnsi="Times New Roman" w:cs="Times New Roman"/>
          <w:sz w:val="24"/>
          <w:szCs w:val="24"/>
        </w:rPr>
        <w:t xml:space="preserve">feel </w:t>
      </w:r>
      <w:r w:rsidRPr="00E91BFA">
        <w:rPr>
          <w:rFonts w:ascii="Times New Roman" w:hAnsi="Times New Roman" w:cs="Times New Roman"/>
          <w:sz w:val="24"/>
          <w:szCs w:val="24"/>
        </w:rPr>
        <w:t>Inland Revenue</w:t>
      </w:r>
      <w:r>
        <w:rPr>
          <w:rFonts w:ascii="Times New Roman" w:hAnsi="Times New Roman" w:cs="Times New Roman"/>
          <w:sz w:val="24"/>
          <w:szCs w:val="24"/>
        </w:rPr>
        <w:t xml:space="preserve"> is penalising them for an honest mistake and will grudgingly pay the penalty</w:t>
      </w:r>
      <w:r w:rsidR="00E23FB7">
        <w:rPr>
          <w:rFonts w:ascii="Times New Roman" w:hAnsi="Times New Roman" w:cs="Times New Roman"/>
          <w:sz w:val="24"/>
          <w:szCs w:val="24"/>
        </w:rPr>
        <w:t>.</w:t>
      </w:r>
      <w:r w:rsidRPr="00296C18">
        <w:rPr>
          <w:rFonts w:ascii="Times New Roman" w:hAnsi="Times New Roman" w:cs="Times New Roman"/>
          <w:sz w:val="24"/>
          <w:szCs w:val="24"/>
        </w:rPr>
        <w:t xml:space="preserve"> </w:t>
      </w:r>
      <w:r w:rsidR="00AD4E75">
        <w:rPr>
          <w:rFonts w:ascii="Times New Roman" w:hAnsi="Times New Roman" w:cs="Times New Roman"/>
          <w:sz w:val="24"/>
          <w:szCs w:val="24"/>
        </w:rPr>
        <w:t>T</w:t>
      </w:r>
      <w:r w:rsidRPr="00296C18">
        <w:rPr>
          <w:rFonts w:ascii="Times New Roman" w:hAnsi="Times New Roman" w:cs="Times New Roman"/>
          <w:sz w:val="24"/>
          <w:szCs w:val="24"/>
        </w:rPr>
        <w:t>he second cannot pay the initial amount and so will not be able to pay the penalties</w:t>
      </w:r>
      <w:r w:rsidR="00AD4E75">
        <w:rPr>
          <w:rFonts w:ascii="Times New Roman" w:hAnsi="Times New Roman" w:cs="Times New Roman"/>
          <w:sz w:val="24"/>
          <w:szCs w:val="24"/>
        </w:rPr>
        <w:t>.</w:t>
      </w:r>
      <w:r w:rsidRPr="00296C18">
        <w:rPr>
          <w:rFonts w:ascii="Times New Roman" w:hAnsi="Times New Roman" w:cs="Times New Roman"/>
          <w:sz w:val="24"/>
          <w:szCs w:val="24"/>
        </w:rPr>
        <w:t xml:space="preserve"> </w:t>
      </w:r>
      <w:r w:rsidR="00AD4E75">
        <w:rPr>
          <w:rFonts w:ascii="Times New Roman" w:hAnsi="Times New Roman" w:cs="Times New Roman"/>
          <w:sz w:val="24"/>
          <w:szCs w:val="24"/>
        </w:rPr>
        <w:t>T</w:t>
      </w:r>
      <w:r>
        <w:rPr>
          <w:rFonts w:ascii="Times New Roman" w:hAnsi="Times New Roman" w:cs="Times New Roman"/>
          <w:sz w:val="24"/>
          <w:szCs w:val="24"/>
        </w:rPr>
        <w:t>he third</w:t>
      </w:r>
      <w:r w:rsidRPr="00296C18">
        <w:rPr>
          <w:rFonts w:ascii="Times New Roman" w:hAnsi="Times New Roman" w:cs="Times New Roman"/>
          <w:sz w:val="24"/>
          <w:szCs w:val="24"/>
        </w:rPr>
        <w:t xml:space="preserve"> is unlikely to be motivated by a financial penalty and so other tools would </w:t>
      </w:r>
      <w:r w:rsidR="00E23FB7">
        <w:rPr>
          <w:rFonts w:ascii="Times New Roman" w:hAnsi="Times New Roman" w:cs="Times New Roman"/>
          <w:sz w:val="24"/>
          <w:szCs w:val="24"/>
        </w:rPr>
        <w:t xml:space="preserve">likely </w:t>
      </w:r>
      <w:r w:rsidRPr="00296C18">
        <w:rPr>
          <w:rFonts w:ascii="Times New Roman" w:hAnsi="Times New Roman" w:cs="Times New Roman"/>
          <w:sz w:val="24"/>
          <w:szCs w:val="24"/>
        </w:rPr>
        <w:t>be more effective</w:t>
      </w:r>
      <w:r>
        <w:rPr>
          <w:rFonts w:ascii="Times New Roman" w:hAnsi="Times New Roman" w:cs="Times New Roman"/>
          <w:sz w:val="24"/>
          <w:szCs w:val="24"/>
        </w:rPr>
        <w:t>.</w:t>
      </w:r>
    </w:p>
    <w:p w:rsidR="00BC0EA0" w:rsidRPr="00BC0EA0" w:rsidRDefault="00BC0EA0" w:rsidP="00BC0EA0">
      <w:pPr>
        <w:pStyle w:val="ListParagraph"/>
        <w:spacing w:after="0" w:line="240" w:lineRule="auto"/>
        <w:ind w:left="0"/>
        <w:jc w:val="both"/>
        <w:rPr>
          <w:rFonts w:ascii="Times New Roman" w:hAnsi="Times New Roman" w:cs="Times New Roman"/>
          <w:sz w:val="24"/>
          <w:szCs w:val="24"/>
        </w:rPr>
      </w:pPr>
    </w:p>
    <w:p w:rsidR="00BC0EA0" w:rsidRDefault="00BC0EA0" w:rsidP="00BC0EA0">
      <w:pPr>
        <w:pStyle w:val="ListParagraph"/>
        <w:spacing w:after="0" w:line="240" w:lineRule="auto"/>
        <w:ind w:left="0"/>
        <w:jc w:val="both"/>
        <w:rPr>
          <w:rFonts w:ascii="Times New Roman" w:hAnsi="Times New Roman" w:cs="Times New Roman"/>
          <w:sz w:val="24"/>
          <w:szCs w:val="24"/>
        </w:rPr>
      </w:pPr>
    </w:p>
    <w:p w:rsidR="00402669" w:rsidRPr="00402669" w:rsidRDefault="00402669" w:rsidP="00402669">
      <w:pPr>
        <w:numPr>
          <w:ilvl w:val="0"/>
          <w:numId w:val="11"/>
        </w:numPr>
        <w:spacing w:after="0" w:line="240" w:lineRule="auto"/>
        <w:ind w:left="0" w:firstLine="0"/>
        <w:contextualSpacing/>
        <w:jc w:val="both"/>
        <w:rPr>
          <w:rFonts w:ascii="Times New Roman" w:hAnsi="Times New Roman" w:cs="Times New Roman"/>
          <w:sz w:val="24"/>
          <w:szCs w:val="24"/>
        </w:rPr>
      </w:pPr>
      <w:r w:rsidRPr="00402669">
        <w:rPr>
          <w:rFonts w:ascii="Times New Roman" w:hAnsi="Times New Roman" w:cs="Times New Roman"/>
          <w:sz w:val="24"/>
          <w:szCs w:val="24"/>
        </w:rPr>
        <w:t xml:space="preserve">The </w:t>
      </w:r>
      <w:r w:rsidR="00C164C7">
        <w:rPr>
          <w:rFonts w:ascii="Times New Roman" w:hAnsi="Times New Roman" w:cs="Times New Roman"/>
          <w:sz w:val="24"/>
          <w:szCs w:val="24"/>
        </w:rPr>
        <w:t>issue</w:t>
      </w:r>
      <w:r w:rsidR="00C164C7" w:rsidRPr="00402669">
        <w:rPr>
          <w:rFonts w:ascii="Times New Roman" w:hAnsi="Times New Roman" w:cs="Times New Roman"/>
          <w:sz w:val="24"/>
          <w:szCs w:val="24"/>
        </w:rPr>
        <w:t xml:space="preserve">s </w:t>
      </w:r>
      <w:r w:rsidRPr="00402669">
        <w:rPr>
          <w:rFonts w:ascii="Times New Roman" w:hAnsi="Times New Roman" w:cs="Times New Roman"/>
          <w:sz w:val="24"/>
          <w:szCs w:val="24"/>
        </w:rPr>
        <w:t xml:space="preserve">with the late payment penalty are </w:t>
      </w:r>
      <w:r w:rsidR="00EB2384">
        <w:rPr>
          <w:rFonts w:ascii="Times New Roman" w:hAnsi="Times New Roman" w:cs="Times New Roman"/>
          <w:sz w:val="24"/>
          <w:szCs w:val="24"/>
        </w:rPr>
        <w:t>its</w:t>
      </w:r>
      <w:r w:rsidR="00EB2384" w:rsidRPr="00402669">
        <w:rPr>
          <w:rFonts w:ascii="Times New Roman" w:hAnsi="Times New Roman" w:cs="Times New Roman"/>
          <w:sz w:val="24"/>
          <w:szCs w:val="24"/>
        </w:rPr>
        <w:t xml:space="preserve"> </w:t>
      </w:r>
      <w:r w:rsidRPr="00402669">
        <w:rPr>
          <w:rFonts w:ascii="Times New Roman" w:hAnsi="Times New Roman" w:cs="Times New Roman"/>
          <w:sz w:val="24"/>
          <w:szCs w:val="24"/>
        </w:rPr>
        <w:t>size</w:t>
      </w:r>
      <w:r w:rsidR="00B53CDE">
        <w:rPr>
          <w:rFonts w:ascii="Times New Roman" w:hAnsi="Times New Roman" w:cs="Times New Roman"/>
          <w:sz w:val="24"/>
          <w:szCs w:val="24"/>
        </w:rPr>
        <w:t>,</w:t>
      </w:r>
      <w:r w:rsidRPr="00402669">
        <w:rPr>
          <w:rFonts w:ascii="Times New Roman" w:hAnsi="Times New Roman" w:cs="Times New Roman"/>
          <w:sz w:val="24"/>
          <w:szCs w:val="24"/>
        </w:rPr>
        <w:t xml:space="preserve"> blunt</w:t>
      </w:r>
      <w:r w:rsidR="00AD4E75" w:rsidRPr="00AD4E75">
        <w:rPr>
          <w:rFonts w:ascii="Times New Roman" w:hAnsi="Times New Roman" w:cs="Times New Roman"/>
          <w:sz w:val="24"/>
          <w:szCs w:val="24"/>
        </w:rPr>
        <w:t xml:space="preserve"> </w:t>
      </w:r>
      <w:r w:rsidR="00AD4E75" w:rsidRPr="00402669">
        <w:rPr>
          <w:rFonts w:ascii="Times New Roman" w:hAnsi="Times New Roman" w:cs="Times New Roman"/>
          <w:sz w:val="24"/>
          <w:szCs w:val="24"/>
        </w:rPr>
        <w:t>appli</w:t>
      </w:r>
      <w:r w:rsidR="00AD4E75">
        <w:rPr>
          <w:rFonts w:ascii="Times New Roman" w:hAnsi="Times New Roman" w:cs="Times New Roman"/>
          <w:sz w:val="24"/>
          <w:szCs w:val="24"/>
        </w:rPr>
        <w:t>cation</w:t>
      </w:r>
      <w:r w:rsidR="00B53CDE">
        <w:rPr>
          <w:rFonts w:ascii="Times New Roman" w:hAnsi="Times New Roman" w:cs="Times New Roman"/>
          <w:sz w:val="24"/>
          <w:szCs w:val="24"/>
        </w:rPr>
        <w:t>,</w:t>
      </w:r>
      <w:r w:rsidRPr="00402669">
        <w:rPr>
          <w:rFonts w:ascii="Times New Roman" w:hAnsi="Times New Roman" w:cs="Times New Roman"/>
          <w:sz w:val="24"/>
          <w:szCs w:val="24"/>
        </w:rPr>
        <w:t xml:space="preserve"> and impos</w:t>
      </w:r>
      <w:r w:rsidR="00AD4E75">
        <w:rPr>
          <w:rFonts w:ascii="Times New Roman" w:hAnsi="Times New Roman" w:cs="Times New Roman"/>
          <w:sz w:val="24"/>
          <w:szCs w:val="24"/>
        </w:rPr>
        <w:t>ition</w:t>
      </w:r>
      <w:r w:rsidRPr="00402669">
        <w:rPr>
          <w:rFonts w:ascii="Times New Roman" w:hAnsi="Times New Roman" w:cs="Times New Roman"/>
          <w:sz w:val="24"/>
          <w:szCs w:val="24"/>
        </w:rPr>
        <w:t xml:space="preserve"> on groups where it is ineffective as a collection tool.</w:t>
      </w:r>
    </w:p>
    <w:p w:rsidR="00402669" w:rsidRDefault="00402669" w:rsidP="00402669">
      <w:pPr>
        <w:spacing w:after="0" w:line="240" w:lineRule="auto"/>
        <w:contextualSpacing/>
        <w:jc w:val="both"/>
        <w:rPr>
          <w:rFonts w:ascii="Times New Roman" w:hAnsi="Times New Roman" w:cs="Times New Roman"/>
          <w:sz w:val="24"/>
          <w:szCs w:val="24"/>
        </w:rPr>
      </w:pPr>
    </w:p>
    <w:p w:rsidR="00420D8B" w:rsidRDefault="00420D8B" w:rsidP="00420D8B">
      <w:pPr>
        <w:pStyle w:val="ListParagraph"/>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Options and analysis</w:t>
      </w:r>
    </w:p>
    <w:p w:rsidR="00BC0EA0" w:rsidRPr="004E12CC" w:rsidRDefault="00BC0EA0" w:rsidP="008D31DB">
      <w:pPr>
        <w:spacing w:after="0" w:line="240" w:lineRule="auto"/>
        <w:contextualSpacing/>
        <w:jc w:val="both"/>
        <w:rPr>
          <w:rFonts w:ascii="Times New Roman" w:hAnsi="Times New Roman" w:cs="Times New Roman"/>
          <w:sz w:val="24"/>
          <w:szCs w:val="24"/>
        </w:rPr>
      </w:pPr>
    </w:p>
    <w:p w:rsidR="00C4105A" w:rsidRDefault="00C4105A" w:rsidP="00BC0EA0">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To address concerns about the fairness and efficacy of the late payment penalty regime o</w:t>
      </w:r>
      <w:r w:rsidR="00A25937">
        <w:rPr>
          <w:rFonts w:ascii="Times New Roman" w:hAnsi="Times New Roman" w:cs="Times New Roman"/>
          <w:sz w:val="24"/>
          <w:szCs w:val="24"/>
        </w:rPr>
        <w:t>fficials have considered a number of options</w:t>
      </w:r>
      <w:r>
        <w:rPr>
          <w:rFonts w:ascii="Times New Roman" w:hAnsi="Times New Roman" w:cs="Times New Roman"/>
          <w:sz w:val="24"/>
          <w:szCs w:val="24"/>
        </w:rPr>
        <w:t xml:space="preserve"> focussing on the amount of penalty charged and the circumstances when a penalty should be charged.</w:t>
      </w:r>
    </w:p>
    <w:p w:rsidR="00C4105A" w:rsidRDefault="00C4105A" w:rsidP="008D31DB">
      <w:pPr>
        <w:pStyle w:val="ListParagraph"/>
        <w:spacing w:after="0" w:line="240" w:lineRule="auto"/>
        <w:ind w:left="0"/>
        <w:jc w:val="both"/>
        <w:rPr>
          <w:rFonts w:ascii="Times New Roman" w:hAnsi="Times New Roman" w:cs="Times New Roman"/>
          <w:sz w:val="24"/>
          <w:szCs w:val="24"/>
        </w:rPr>
      </w:pPr>
    </w:p>
    <w:p w:rsidR="00BC0EA0" w:rsidRPr="009E0294" w:rsidRDefault="00C4105A" w:rsidP="00BC0EA0">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These options are summarised below and are outlined further in </w:t>
      </w:r>
      <w:r w:rsidR="00BC0EA0" w:rsidRPr="009E0294">
        <w:rPr>
          <w:rFonts w:ascii="Times New Roman" w:hAnsi="Times New Roman" w:cs="Times New Roman"/>
          <w:sz w:val="24"/>
          <w:szCs w:val="24"/>
        </w:rPr>
        <w:t xml:space="preserve">appendix </w:t>
      </w:r>
      <w:r w:rsidR="005C245B">
        <w:rPr>
          <w:rFonts w:ascii="Times New Roman" w:hAnsi="Times New Roman" w:cs="Times New Roman"/>
          <w:sz w:val="24"/>
          <w:szCs w:val="24"/>
        </w:rPr>
        <w:t>C</w:t>
      </w:r>
      <w:r w:rsidR="00BC0EA0" w:rsidRPr="009E0294">
        <w:rPr>
          <w:rFonts w:ascii="Times New Roman" w:hAnsi="Times New Roman" w:cs="Times New Roman"/>
          <w:sz w:val="24"/>
          <w:szCs w:val="24"/>
        </w:rPr>
        <w:t>.</w:t>
      </w:r>
    </w:p>
    <w:p w:rsidR="00BC0EA0" w:rsidRDefault="00BC0EA0" w:rsidP="00FE5D74">
      <w:pPr>
        <w:pStyle w:val="ListParagraph"/>
        <w:spacing w:after="0" w:line="240" w:lineRule="auto"/>
        <w:ind w:left="0"/>
        <w:jc w:val="both"/>
        <w:rPr>
          <w:rFonts w:ascii="Times New Roman" w:hAnsi="Times New Roman" w:cs="Times New Roman"/>
          <w:sz w:val="24"/>
          <w:szCs w:val="24"/>
        </w:rPr>
      </w:pPr>
    </w:p>
    <w:tbl>
      <w:tblPr>
        <w:tblStyle w:val="TableGrid"/>
        <w:tblW w:w="9072" w:type="dxa"/>
        <w:tblInd w:w="108" w:type="dxa"/>
        <w:tblLook w:val="04A0" w:firstRow="1" w:lastRow="0" w:firstColumn="1" w:lastColumn="0" w:noHBand="0" w:noVBand="1"/>
      </w:tblPr>
      <w:tblGrid>
        <w:gridCol w:w="3828"/>
        <w:gridCol w:w="5244"/>
      </w:tblGrid>
      <w:tr w:rsidR="000576B9" w:rsidRPr="005D3931" w:rsidTr="000576B9">
        <w:trPr>
          <w:trHeight w:val="340"/>
        </w:trPr>
        <w:tc>
          <w:tcPr>
            <w:tcW w:w="3828" w:type="dxa"/>
          </w:tcPr>
          <w:p w:rsidR="000576B9" w:rsidRPr="005D3931" w:rsidRDefault="000576B9" w:rsidP="00B30234">
            <w:pPr>
              <w:jc w:val="both"/>
              <w:rPr>
                <w:rFonts w:ascii="Times New Roman" w:hAnsi="Times New Roman" w:cs="Times New Roman"/>
                <w:b/>
                <w:sz w:val="24"/>
                <w:szCs w:val="24"/>
              </w:rPr>
            </w:pPr>
            <w:r w:rsidRPr="005D3931">
              <w:rPr>
                <w:rFonts w:ascii="Times New Roman" w:hAnsi="Times New Roman" w:cs="Times New Roman"/>
                <w:b/>
                <w:sz w:val="24"/>
                <w:szCs w:val="24"/>
              </w:rPr>
              <w:t>Option</w:t>
            </w:r>
          </w:p>
        </w:tc>
        <w:tc>
          <w:tcPr>
            <w:tcW w:w="5244" w:type="dxa"/>
          </w:tcPr>
          <w:p w:rsidR="000576B9" w:rsidRPr="005D3931" w:rsidRDefault="000576B9" w:rsidP="00B30234">
            <w:pPr>
              <w:jc w:val="both"/>
              <w:rPr>
                <w:rFonts w:ascii="Times New Roman" w:hAnsi="Times New Roman" w:cs="Times New Roman"/>
                <w:b/>
                <w:sz w:val="24"/>
                <w:szCs w:val="24"/>
              </w:rPr>
            </w:pPr>
            <w:r w:rsidRPr="005D3931">
              <w:rPr>
                <w:rFonts w:ascii="Times New Roman" w:hAnsi="Times New Roman" w:cs="Times New Roman"/>
                <w:b/>
                <w:sz w:val="24"/>
                <w:szCs w:val="24"/>
              </w:rPr>
              <w:t>Analysis against the objectives</w:t>
            </w:r>
          </w:p>
        </w:tc>
      </w:tr>
      <w:tr w:rsidR="00825CC3" w:rsidRPr="005D3931" w:rsidTr="00825CC3">
        <w:trPr>
          <w:trHeight w:val="729"/>
        </w:trPr>
        <w:tc>
          <w:tcPr>
            <w:tcW w:w="3828" w:type="dxa"/>
          </w:tcPr>
          <w:p w:rsidR="00825CC3" w:rsidRPr="005D3931" w:rsidRDefault="00D86138" w:rsidP="00C54805">
            <w:pPr>
              <w:jc w:val="both"/>
              <w:rPr>
                <w:rFonts w:ascii="Times New Roman" w:hAnsi="Times New Roman" w:cs="Times New Roman"/>
                <w:sz w:val="24"/>
                <w:szCs w:val="24"/>
              </w:rPr>
            </w:pPr>
            <w:r w:rsidRPr="005D3931">
              <w:rPr>
                <w:rFonts w:ascii="Times New Roman" w:hAnsi="Times New Roman" w:cs="Times New Roman"/>
                <w:sz w:val="24"/>
                <w:szCs w:val="24"/>
              </w:rPr>
              <w:t xml:space="preserve">1. </w:t>
            </w:r>
            <w:r w:rsidR="00C54805">
              <w:rPr>
                <w:rFonts w:ascii="Times New Roman" w:hAnsi="Times New Roman" w:cs="Times New Roman"/>
                <w:sz w:val="24"/>
                <w:szCs w:val="24"/>
              </w:rPr>
              <w:t>Retain the s</w:t>
            </w:r>
            <w:r w:rsidR="00825CC3" w:rsidRPr="005D3931">
              <w:rPr>
                <w:rFonts w:ascii="Times New Roman" w:hAnsi="Times New Roman" w:cs="Times New Roman"/>
                <w:sz w:val="24"/>
                <w:szCs w:val="24"/>
              </w:rPr>
              <w:t>tatus quo</w:t>
            </w:r>
          </w:p>
        </w:tc>
        <w:tc>
          <w:tcPr>
            <w:tcW w:w="5244" w:type="dxa"/>
          </w:tcPr>
          <w:p w:rsidR="00825CC3" w:rsidRPr="005D3931" w:rsidRDefault="00825CC3" w:rsidP="00825CC3">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E23FB7">
              <w:rPr>
                <w:rFonts w:ascii="Wingdings 2" w:hAnsi="Wingdings 2" w:cs="Times New Roman"/>
                <w:sz w:val="24"/>
                <w:szCs w:val="24"/>
              </w:rPr>
              <w:t></w:t>
            </w:r>
            <w:r w:rsidR="00E23FB7">
              <w:rPr>
                <w:rFonts w:ascii="Wingdings 2" w:hAnsi="Wingdings 2" w:cs="Times New Roman"/>
                <w:sz w:val="24"/>
                <w:szCs w:val="24"/>
              </w:rPr>
              <w:t></w:t>
            </w:r>
          </w:p>
          <w:p w:rsidR="00825CC3" w:rsidRPr="005D3931" w:rsidRDefault="00825CC3" w:rsidP="00825CC3">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825CC3" w:rsidRPr="005D3931" w:rsidRDefault="00183E15" w:rsidP="00825CC3">
            <w:pPr>
              <w:jc w:val="both"/>
              <w:rPr>
                <w:rFonts w:ascii="Times New Roman" w:hAnsi="Times New Roman" w:cs="Times New Roman"/>
                <w:sz w:val="24"/>
                <w:szCs w:val="24"/>
              </w:rPr>
            </w:pPr>
            <w:r>
              <w:rPr>
                <w:rFonts w:ascii="Times New Roman" w:hAnsi="Times New Roman" w:cs="Times New Roman"/>
                <w:i/>
                <w:sz w:val="24"/>
                <w:szCs w:val="24"/>
              </w:rPr>
              <w:t>S</w:t>
            </w:r>
            <w:r w:rsidR="00825CC3" w:rsidRPr="005D3931">
              <w:rPr>
                <w:rFonts w:ascii="Times New Roman" w:hAnsi="Times New Roman" w:cs="Times New Roman"/>
                <w:i/>
                <w:sz w:val="24"/>
                <w:szCs w:val="24"/>
              </w:rPr>
              <w:t>ustainability</w:t>
            </w:r>
            <w:r w:rsidR="00825CC3"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825CC3" w:rsidRPr="005D3931" w:rsidRDefault="00825CC3" w:rsidP="00825CC3">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006F58AC">
              <w:rPr>
                <w:rFonts w:ascii="Times New Roman" w:hAnsi="Times New Roman" w:cs="Times New Roman"/>
                <w:i/>
                <w:sz w:val="24"/>
                <w:szCs w:val="24"/>
              </w:rPr>
              <w:t xml:space="preserve">: </w:t>
            </w:r>
            <w:r w:rsidR="006F58AC" w:rsidRPr="00B53CDE">
              <w:rPr>
                <w:rFonts w:ascii="Times New Roman" w:hAnsi="Times New Roman" w:cs="Times New Roman"/>
                <w:sz w:val="24"/>
                <w:szCs w:val="24"/>
              </w:rPr>
              <w:t>no impact</w:t>
            </w:r>
          </w:p>
        </w:tc>
      </w:tr>
      <w:tr w:rsidR="000576B9" w:rsidRPr="005D3931" w:rsidTr="000576B9">
        <w:trPr>
          <w:trHeight w:val="496"/>
        </w:trPr>
        <w:tc>
          <w:tcPr>
            <w:tcW w:w="3828" w:type="dxa"/>
          </w:tcPr>
          <w:p w:rsidR="000576B9" w:rsidRPr="005D3931" w:rsidRDefault="00D86138" w:rsidP="00BC0EA0">
            <w:pPr>
              <w:jc w:val="both"/>
              <w:rPr>
                <w:rFonts w:ascii="Times New Roman" w:hAnsi="Times New Roman" w:cs="Times New Roman"/>
                <w:sz w:val="24"/>
                <w:szCs w:val="24"/>
              </w:rPr>
            </w:pPr>
            <w:r w:rsidRPr="005D3931">
              <w:rPr>
                <w:rFonts w:ascii="Times New Roman" w:hAnsi="Times New Roman" w:cs="Times New Roman"/>
                <w:sz w:val="24"/>
                <w:szCs w:val="24"/>
              </w:rPr>
              <w:t xml:space="preserve">2. </w:t>
            </w:r>
            <w:r w:rsidR="00825CC3" w:rsidRPr="005D3931">
              <w:rPr>
                <w:rFonts w:ascii="Times New Roman" w:hAnsi="Times New Roman" w:cs="Times New Roman"/>
                <w:sz w:val="24"/>
                <w:szCs w:val="24"/>
              </w:rPr>
              <w:t>Re</w:t>
            </w:r>
            <w:r w:rsidR="00BC0EA0">
              <w:rPr>
                <w:rFonts w:ascii="Times New Roman" w:hAnsi="Times New Roman" w:cs="Times New Roman"/>
                <w:sz w:val="24"/>
                <w:szCs w:val="24"/>
              </w:rPr>
              <w:t xml:space="preserve">duce the rate of the </w:t>
            </w:r>
            <w:r w:rsidR="00825CC3" w:rsidRPr="005D3931">
              <w:rPr>
                <w:rFonts w:ascii="Times New Roman" w:hAnsi="Times New Roman" w:cs="Times New Roman"/>
                <w:sz w:val="24"/>
                <w:szCs w:val="24"/>
              </w:rPr>
              <w:t xml:space="preserve">incremental late payment penalty </w:t>
            </w:r>
          </w:p>
        </w:tc>
        <w:tc>
          <w:tcPr>
            <w:tcW w:w="5244" w:type="dxa"/>
          </w:tcPr>
          <w:p w:rsidR="00430E57" w:rsidRPr="005D3931" w:rsidRDefault="00430E57" w:rsidP="00430E57">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430E57" w:rsidRPr="005D3931" w:rsidRDefault="00430E57" w:rsidP="00430E57">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430E57" w:rsidRPr="005D3931" w:rsidRDefault="00183E15" w:rsidP="00430E57">
            <w:pPr>
              <w:jc w:val="both"/>
              <w:rPr>
                <w:rFonts w:ascii="Times New Roman" w:hAnsi="Times New Roman" w:cs="Times New Roman"/>
                <w:sz w:val="24"/>
                <w:szCs w:val="24"/>
              </w:rPr>
            </w:pPr>
            <w:r>
              <w:rPr>
                <w:rFonts w:ascii="Times New Roman" w:hAnsi="Times New Roman" w:cs="Times New Roman"/>
                <w:i/>
                <w:sz w:val="24"/>
                <w:szCs w:val="24"/>
              </w:rPr>
              <w:t>S</w:t>
            </w:r>
            <w:r w:rsidR="00430E57" w:rsidRPr="005D3931">
              <w:rPr>
                <w:rFonts w:ascii="Times New Roman" w:hAnsi="Times New Roman" w:cs="Times New Roman"/>
                <w:i/>
                <w:sz w:val="24"/>
                <w:szCs w:val="24"/>
              </w:rPr>
              <w:t>ustainability</w:t>
            </w:r>
            <w:r w:rsidR="00430E57"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0576B9" w:rsidRPr="005D3931" w:rsidRDefault="00430E57" w:rsidP="006F58AC">
            <w:pPr>
              <w:ind w:left="1026" w:hanging="1026"/>
              <w:jc w:val="both"/>
              <w:rPr>
                <w:rFonts w:ascii="Times New Roman" w:hAnsi="Times New Roman" w:cs="Times New Roman"/>
                <w:i/>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sidR="006F58AC">
              <w:rPr>
                <w:rFonts w:ascii="Times New Roman" w:hAnsi="Times New Roman" w:cs="Times New Roman"/>
                <w:sz w:val="24"/>
                <w:szCs w:val="24"/>
              </w:rPr>
              <w:t xml:space="preserve"> higher cost than status quo but lower cost than recommended option</w:t>
            </w:r>
            <w:r w:rsidR="00AD4E75">
              <w:rPr>
                <w:rFonts w:ascii="Times New Roman" w:hAnsi="Times New Roman" w:cs="Times New Roman"/>
                <w:sz w:val="24"/>
                <w:szCs w:val="24"/>
              </w:rPr>
              <w:t>s</w:t>
            </w:r>
          </w:p>
        </w:tc>
      </w:tr>
      <w:tr w:rsidR="000576B9" w:rsidRPr="005D3931" w:rsidTr="000576B9">
        <w:trPr>
          <w:trHeight w:val="496"/>
        </w:trPr>
        <w:tc>
          <w:tcPr>
            <w:tcW w:w="3828" w:type="dxa"/>
          </w:tcPr>
          <w:p w:rsidR="000576B9" w:rsidRPr="005D3931" w:rsidRDefault="00BC0EA0" w:rsidP="00393F3E">
            <w:pPr>
              <w:jc w:val="both"/>
              <w:rPr>
                <w:rFonts w:ascii="Times New Roman" w:hAnsi="Times New Roman" w:cs="Times New Roman"/>
                <w:sz w:val="24"/>
                <w:szCs w:val="24"/>
              </w:rPr>
            </w:pPr>
            <w:r>
              <w:rPr>
                <w:rFonts w:ascii="Times New Roman" w:hAnsi="Times New Roman" w:cs="Times New Roman"/>
                <w:sz w:val="24"/>
                <w:szCs w:val="24"/>
              </w:rPr>
              <w:t>3. Remove the 1% monthly incremental late payment penalty</w:t>
            </w:r>
          </w:p>
        </w:tc>
        <w:tc>
          <w:tcPr>
            <w:tcW w:w="5244" w:type="dxa"/>
          </w:tcPr>
          <w:p w:rsidR="000576B9" w:rsidRPr="005D3931" w:rsidRDefault="000576B9" w:rsidP="00393F3E">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0576B9" w:rsidRPr="005D3931" w:rsidRDefault="000576B9" w:rsidP="00393F3E">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0576B9" w:rsidRPr="005D3931" w:rsidRDefault="00183E15" w:rsidP="00393F3E">
            <w:pPr>
              <w:jc w:val="both"/>
              <w:rPr>
                <w:rFonts w:ascii="Times New Roman" w:hAnsi="Times New Roman" w:cs="Times New Roman"/>
                <w:sz w:val="24"/>
                <w:szCs w:val="24"/>
              </w:rPr>
            </w:pPr>
            <w:r>
              <w:rPr>
                <w:rFonts w:ascii="Times New Roman" w:hAnsi="Times New Roman" w:cs="Times New Roman"/>
                <w:i/>
                <w:sz w:val="24"/>
                <w:szCs w:val="24"/>
              </w:rPr>
              <w:t>S</w:t>
            </w:r>
            <w:r w:rsidR="000576B9" w:rsidRPr="005D3931">
              <w:rPr>
                <w:rFonts w:ascii="Times New Roman" w:hAnsi="Times New Roman" w:cs="Times New Roman"/>
                <w:i/>
                <w:sz w:val="24"/>
                <w:szCs w:val="24"/>
              </w:rPr>
              <w:t>ustainability</w:t>
            </w:r>
            <w:r w:rsidR="000576B9"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0576B9" w:rsidRPr="005D3931" w:rsidRDefault="000576B9" w:rsidP="00334B6B">
            <w:pPr>
              <w:jc w:val="both"/>
              <w:rPr>
                <w:rFonts w:ascii="Times New Roman" w:hAnsi="Times New Roman" w:cs="Times New Roman"/>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sidR="006F58AC">
              <w:rPr>
                <w:rFonts w:ascii="Times New Roman" w:hAnsi="Times New Roman" w:cs="Times New Roman"/>
                <w:sz w:val="24"/>
                <w:szCs w:val="24"/>
              </w:rPr>
              <w:t xml:space="preserve"> fiscal cost of $</w:t>
            </w:r>
            <w:r w:rsidR="007A1ED1">
              <w:rPr>
                <w:rFonts w:ascii="Times New Roman" w:hAnsi="Times New Roman" w:cs="Times New Roman"/>
                <w:sz w:val="24"/>
                <w:szCs w:val="24"/>
              </w:rPr>
              <w:t>87</w:t>
            </w:r>
            <w:r w:rsidR="004C1FFF">
              <w:rPr>
                <w:rFonts w:ascii="Times New Roman" w:hAnsi="Times New Roman" w:cs="Times New Roman"/>
                <w:sz w:val="24"/>
                <w:szCs w:val="24"/>
              </w:rPr>
              <w:t xml:space="preserve"> </w:t>
            </w:r>
            <w:r w:rsidR="006F58AC">
              <w:rPr>
                <w:rFonts w:ascii="Times New Roman" w:hAnsi="Times New Roman" w:cs="Times New Roman"/>
                <w:sz w:val="24"/>
                <w:szCs w:val="24"/>
              </w:rPr>
              <w:t>million over 4 years</w:t>
            </w:r>
          </w:p>
        </w:tc>
      </w:tr>
      <w:tr w:rsidR="00BC0EA0" w:rsidRPr="005D3931" w:rsidTr="000576B9">
        <w:trPr>
          <w:trHeight w:val="496"/>
        </w:trPr>
        <w:tc>
          <w:tcPr>
            <w:tcW w:w="3828" w:type="dxa"/>
          </w:tcPr>
          <w:p w:rsidR="00BC0EA0" w:rsidRPr="005D3931" w:rsidRDefault="00BC0EA0" w:rsidP="00BC0EA0">
            <w:pPr>
              <w:jc w:val="both"/>
              <w:rPr>
                <w:rFonts w:ascii="Times New Roman" w:hAnsi="Times New Roman" w:cs="Times New Roman"/>
                <w:sz w:val="24"/>
                <w:szCs w:val="24"/>
              </w:rPr>
            </w:pPr>
            <w:r>
              <w:rPr>
                <w:rFonts w:ascii="Times New Roman" w:hAnsi="Times New Roman" w:cs="Times New Roman"/>
                <w:sz w:val="24"/>
                <w:szCs w:val="24"/>
              </w:rPr>
              <w:t xml:space="preserve">4. Remove all late payment penalties and apply </w:t>
            </w:r>
            <w:proofErr w:type="spellStart"/>
            <w:r w:rsidR="0045650F">
              <w:rPr>
                <w:rFonts w:ascii="Times New Roman" w:hAnsi="Times New Roman" w:cs="Times New Roman"/>
                <w:sz w:val="24"/>
                <w:szCs w:val="24"/>
              </w:rPr>
              <w:t>UOMI</w:t>
            </w:r>
            <w:proofErr w:type="spellEnd"/>
            <w:r>
              <w:rPr>
                <w:rFonts w:ascii="Times New Roman" w:hAnsi="Times New Roman" w:cs="Times New Roman"/>
                <w:sz w:val="24"/>
                <w:szCs w:val="24"/>
              </w:rPr>
              <w:t xml:space="preserve"> only</w:t>
            </w:r>
          </w:p>
        </w:tc>
        <w:tc>
          <w:tcPr>
            <w:tcW w:w="5244" w:type="dxa"/>
          </w:tcPr>
          <w:p w:rsidR="00BC0EA0" w:rsidRPr="005D3931" w:rsidRDefault="00BC0EA0" w:rsidP="00BC0EA0">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BC0EA0" w:rsidRPr="005D3931" w:rsidRDefault="00BC0EA0" w:rsidP="00BC0EA0">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BC0EA0" w:rsidRPr="005D3931" w:rsidRDefault="00183E15" w:rsidP="00BC0EA0">
            <w:pPr>
              <w:jc w:val="both"/>
              <w:rPr>
                <w:rFonts w:ascii="Times New Roman" w:hAnsi="Times New Roman" w:cs="Times New Roman"/>
                <w:sz w:val="24"/>
                <w:szCs w:val="24"/>
              </w:rPr>
            </w:pPr>
            <w:r>
              <w:rPr>
                <w:rFonts w:ascii="Times New Roman" w:hAnsi="Times New Roman" w:cs="Times New Roman"/>
                <w:i/>
                <w:sz w:val="24"/>
                <w:szCs w:val="24"/>
              </w:rPr>
              <w:t>S</w:t>
            </w:r>
            <w:r w:rsidR="00BC0EA0" w:rsidRPr="005D3931">
              <w:rPr>
                <w:rFonts w:ascii="Times New Roman" w:hAnsi="Times New Roman" w:cs="Times New Roman"/>
                <w:i/>
                <w:sz w:val="24"/>
                <w:szCs w:val="24"/>
              </w:rPr>
              <w:t>ustainability</w:t>
            </w:r>
            <w:r w:rsidR="00BC0EA0"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BC0EA0" w:rsidRPr="005D3931" w:rsidRDefault="00BC0EA0" w:rsidP="00B53CDE">
            <w:pPr>
              <w:ind w:left="1026" w:hanging="993"/>
              <w:jc w:val="both"/>
              <w:rPr>
                <w:rFonts w:ascii="Times New Roman" w:hAnsi="Times New Roman" w:cs="Times New Roman"/>
                <w:i/>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sidR="006F58AC">
              <w:rPr>
                <w:rFonts w:ascii="Times New Roman" w:hAnsi="Times New Roman" w:cs="Times New Roman"/>
                <w:sz w:val="24"/>
                <w:szCs w:val="24"/>
              </w:rPr>
              <w:t xml:space="preserve"> higher fiscal cost than both status quo and recommended option</w:t>
            </w:r>
            <w:r w:rsidR="00AD4E75">
              <w:rPr>
                <w:rFonts w:ascii="Times New Roman" w:hAnsi="Times New Roman" w:cs="Times New Roman"/>
                <w:sz w:val="24"/>
                <w:szCs w:val="24"/>
              </w:rPr>
              <w:t>s</w:t>
            </w:r>
          </w:p>
        </w:tc>
      </w:tr>
      <w:tr w:rsidR="00BC0EA0" w:rsidRPr="005D3931" w:rsidTr="000576B9">
        <w:trPr>
          <w:trHeight w:val="496"/>
        </w:trPr>
        <w:tc>
          <w:tcPr>
            <w:tcW w:w="3828" w:type="dxa"/>
          </w:tcPr>
          <w:p w:rsidR="00BC0EA0" w:rsidRPr="005D3931" w:rsidRDefault="005B69C2" w:rsidP="004E12CC">
            <w:pPr>
              <w:jc w:val="both"/>
              <w:rPr>
                <w:rFonts w:ascii="Times New Roman" w:hAnsi="Times New Roman" w:cs="Times New Roman"/>
                <w:sz w:val="24"/>
                <w:szCs w:val="24"/>
              </w:rPr>
            </w:pPr>
            <w:r>
              <w:rPr>
                <w:rFonts w:ascii="Times New Roman" w:hAnsi="Times New Roman" w:cs="Times New Roman"/>
                <w:sz w:val="24"/>
                <w:szCs w:val="24"/>
              </w:rPr>
              <w:t>5</w:t>
            </w:r>
            <w:r w:rsidR="00BC0EA0">
              <w:rPr>
                <w:rFonts w:ascii="Times New Roman" w:hAnsi="Times New Roman" w:cs="Times New Roman"/>
                <w:sz w:val="24"/>
                <w:szCs w:val="24"/>
              </w:rPr>
              <w:t xml:space="preserve">. </w:t>
            </w:r>
            <w:r w:rsidR="004E12CC">
              <w:rPr>
                <w:rFonts w:ascii="Times New Roman" w:hAnsi="Times New Roman" w:cs="Times New Roman"/>
                <w:sz w:val="24"/>
                <w:szCs w:val="24"/>
              </w:rPr>
              <w:t>Broad d</w:t>
            </w:r>
            <w:r w:rsidR="00BC0EA0">
              <w:rPr>
                <w:rFonts w:ascii="Times New Roman" w:hAnsi="Times New Roman" w:cs="Times New Roman"/>
                <w:sz w:val="24"/>
                <w:szCs w:val="24"/>
              </w:rPr>
              <w:t xml:space="preserve">iscretion to impose </w:t>
            </w:r>
            <w:r w:rsidR="004E12CC">
              <w:rPr>
                <w:rFonts w:ascii="Times New Roman" w:hAnsi="Times New Roman" w:cs="Times New Roman"/>
                <w:sz w:val="24"/>
                <w:szCs w:val="24"/>
              </w:rPr>
              <w:t>penalties based on individual circumstances</w:t>
            </w:r>
          </w:p>
        </w:tc>
        <w:tc>
          <w:tcPr>
            <w:tcW w:w="5244" w:type="dxa"/>
          </w:tcPr>
          <w:p w:rsidR="00BC0EA0" w:rsidRPr="005D3931" w:rsidRDefault="00BC0EA0" w:rsidP="00BC0EA0">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BC0EA0" w:rsidRPr="005D3931" w:rsidRDefault="00BC0EA0" w:rsidP="00BC0EA0">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BC0EA0" w:rsidRPr="005D3931" w:rsidRDefault="00183E15" w:rsidP="00BC0EA0">
            <w:pPr>
              <w:jc w:val="both"/>
              <w:rPr>
                <w:rFonts w:ascii="Times New Roman" w:hAnsi="Times New Roman" w:cs="Times New Roman"/>
                <w:sz w:val="24"/>
                <w:szCs w:val="24"/>
              </w:rPr>
            </w:pPr>
            <w:r>
              <w:rPr>
                <w:rFonts w:ascii="Times New Roman" w:hAnsi="Times New Roman" w:cs="Times New Roman"/>
                <w:i/>
                <w:sz w:val="24"/>
                <w:szCs w:val="24"/>
              </w:rPr>
              <w:t>S</w:t>
            </w:r>
            <w:r w:rsidR="00BC0EA0" w:rsidRPr="005D3931">
              <w:rPr>
                <w:rFonts w:ascii="Times New Roman" w:hAnsi="Times New Roman" w:cs="Times New Roman"/>
                <w:i/>
                <w:sz w:val="24"/>
                <w:szCs w:val="24"/>
              </w:rPr>
              <w:t>ustainability</w:t>
            </w:r>
            <w:r w:rsidR="00BC0EA0"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BC0EA0" w:rsidRPr="005D3931" w:rsidRDefault="00BC0EA0" w:rsidP="00BC0EA0">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sidR="006F58AC">
              <w:rPr>
                <w:rFonts w:ascii="Times New Roman" w:hAnsi="Times New Roman" w:cs="Times New Roman"/>
                <w:sz w:val="24"/>
                <w:szCs w:val="24"/>
              </w:rPr>
              <w:t xml:space="preserve"> fiscal impact cannot be determined</w:t>
            </w:r>
          </w:p>
        </w:tc>
      </w:tr>
    </w:tbl>
    <w:p w:rsidR="00B30234" w:rsidRPr="005D3931" w:rsidRDefault="00B30234" w:rsidP="00B30234">
      <w:pPr>
        <w:spacing w:after="0" w:line="240" w:lineRule="auto"/>
        <w:jc w:val="both"/>
        <w:rPr>
          <w:rFonts w:ascii="Times New Roman" w:hAnsi="Times New Roman" w:cs="Times New Roman"/>
          <w:sz w:val="24"/>
          <w:szCs w:val="24"/>
        </w:rPr>
      </w:pPr>
    </w:p>
    <w:p w:rsidR="00B30234" w:rsidRPr="00061BE6" w:rsidRDefault="00B30234" w:rsidP="00B30234">
      <w:pPr>
        <w:spacing w:after="0" w:line="240" w:lineRule="auto"/>
        <w:jc w:val="both"/>
        <w:rPr>
          <w:rFonts w:ascii="Times New Roman" w:hAnsi="Times New Roman" w:cs="Times New Roman"/>
          <w:b/>
          <w:i/>
          <w:sz w:val="24"/>
          <w:szCs w:val="24"/>
        </w:rPr>
      </w:pPr>
      <w:r w:rsidRPr="00061BE6">
        <w:rPr>
          <w:rFonts w:ascii="Times New Roman" w:hAnsi="Times New Roman" w:cs="Times New Roman"/>
          <w:b/>
          <w:i/>
          <w:sz w:val="24"/>
          <w:szCs w:val="24"/>
        </w:rPr>
        <w:t>Recommendation</w:t>
      </w:r>
    </w:p>
    <w:p w:rsidR="0043243C" w:rsidRDefault="0043243C" w:rsidP="0043243C">
      <w:pPr>
        <w:pStyle w:val="ListParagraph"/>
        <w:spacing w:after="0" w:line="240" w:lineRule="auto"/>
        <w:ind w:left="0"/>
        <w:jc w:val="both"/>
        <w:rPr>
          <w:rFonts w:ascii="Times New Roman" w:hAnsi="Times New Roman" w:cs="Times New Roman"/>
          <w:sz w:val="24"/>
          <w:szCs w:val="24"/>
        </w:rPr>
      </w:pPr>
    </w:p>
    <w:p w:rsidR="00350B5C" w:rsidRPr="00090647" w:rsidRDefault="00350B5C" w:rsidP="00350B5C">
      <w:pPr>
        <w:pStyle w:val="ListParagraph"/>
        <w:numPr>
          <w:ilvl w:val="0"/>
          <w:numId w:val="11"/>
        </w:numPr>
        <w:spacing w:after="0" w:line="240" w:lineRule="auto"/>
        <w:ind w:left="0" w:firstLine="0"/>
        <w:jc w:val="both"/>
        <w:rPr>
          <w:rFonts w:ascii="Times New Roman" w:hAnsi="Times New Roman" w:cs="Times New Roman"/>
          <w:sz w:val="24"/>
          <w:szCs w:val="24"/>
        </w:rPr>
      </w:pPr>
      <w:r w:rsidRPr="00350B5C">
        <w:rPr>
          <w:rFonts w:ascii="Times New Roman" w:hAnsi="Times New Roman" w:cs="Times New Roman"/>
          <w:sz w:val="24"/>
          <w:szCs w:val="24"/>
        </w:rPr>
        <w:t xml:space="preserve">Officials recommend that options 3 be adopted as they will improve the effectiveness of the late payment penalty and thus improve the fairness and sustainability of the tax system. </w:t>
      </w:r>
      <w:r w:rsidR="00B53CDE" w:rsidRPr="00090647">
        <w:rPr>
          <w:rFonts w:ascii="Times New Roman" w:hAnsi="Times New Roman" w:cs="Times New Roman"/>
          <w:sz w:val="24"/>
          <w:szCs w:val="24"/>
        </w:rPr>
        <w:t>O</w:t>
      </w:r>
      <w:r w:rsidR="007618F8" w:rsidRPr="00090647">
        <w:rPr>
          <w:rFonts w:ascii="Times New Roman" w:hAnsi="Times New Roman" w:cs="Times New Roman"/>
          <w:sz w:val="24"/>
          <w:szCs w:val="24"/>
        </w:rPr>
        <w:t>nce fully implemented o</w:t>
      </w:r>
      <w:r w:rsidR="00B53CDE" w:rsidRPr="00090647">
        <w:rPr>
          <w:rFonts w:ascii="Times New Roman" w:hAnsi="Times New Roman" w:cs="Times New Roman"/>
          <w:sz w:val="24"/>
          <w:szCs w:val="24"/>
        </w:rPr>
        <w:t xml:space="preserve">ption 3 will result in the incremental late payment penalty no longer being imposed on 65,000 taxpayers with income tax debt, 67,000 taxpayers with GST tax debt, and 23,000 families with Working for Families </w:t>
      </w:r>
      <w:r w:rsidR="00AD4E75">
        <w:rPr>
          <w:rFonts w:ascii="Times New Roman" w:hAnsi="Times New Roman" w:cs="Times New Roman"/>
          <w:sz w:val="24"/>
          <w:szCs w:val="24"/>
        </w:rPr>
        <w:t>T</w:t>
      </w:r>
      <w:r w:rsidR="00B53CDE" w:rsidRPr="00090647">
        <w:rPr>
          <w:rFonts w:ascii="Times New Roman" w:hAnsi="Times New Roman" w:cs="Times New Roman"/>
          <w:sz w:val="24"/>
          <w:szCs w:val="24"/>
        </w:rPr>
        <w:t xml:space="preserve">ax </w:t>
      </w:r>
      <w:r w:rsidR="00AD4E75">
        <w:rPr>
          <w:rFonts w:ascii="Times New Roman" w:hAnsi="Times New Roman" w:cs="Times New Roman"/>
          <w:sz w:val="24"/>
          <w:szCs w:val="24"/>
        </w:rPr>
        <w:t>C</w:t>
      </w:r>
      <w:r w:rsidR="00B53CDE" w:rsidRPr="00090647">
        <w:rPr>
          <w:rFonts w:ascii="Times New Roman" w:hAnsi="Times New Roman" w:cs="Times New Roman"/>
          <w:sz w:val="24"/>
          <w:szCs w:val="24"/>
        </w:rPr>
        <w:t>redit debt.</w:t>
      </w:r>
    </w:p>
    <w:p w:rsidR="00402669" w:rsidRPr="00090647" w:rsidRDefault="00402669" w:rsidP="00402669">
      <w:pPr>
        <w:spacing w:after="0" w:line="240" w:lineRule="auto"/>
        <w:jc w:val="both"/>
        <w:rPr>
          <w:rFonts w:ascii="Times New Roman" w:hAnsi="Times New Roman" w:cs="Times New Roman"/>
          <w:sz w:val="24"/>
          <w:szCs w:val="24"/>
        </w:rPr>
      </w:pPr>
    </w:p>
    <w:p w:rsidR="00402669" w:rsidRPr="005D3931" w:rsidRDefault="00402669" w:rsidP="00D314CD">
      <w:pPr>
        <w:spacing w:after="0" w:line="240" w:lineRule="auto"/>
        <w:jc w:val="both"/>
        <w:rPr>
          <w:rFonts w:ascii="Times New Roman" w:hAnsi="Times New Roman" w:cs="Times New Roman"/>
          <w:sz w:val="24"/>
          <w:szCs w:val="24"/>
        </w:rPr>
      </w:pPr>
    </w:p>
    <w:p w:rsidR="00FF0902" w:rsidRPr="00FF0902" w:rsidRDefault="00D56B23" w:rsidP="00165D24">
      <w:pPr>
        <w:pStyle w:val="Heading2"/>
      </w:pPr>
      <w:bookmarkStart w:id="8" w:name="_Toc444145595"/>
      <w:r>
        <w:t>D.</w:t>
      </w:r>
      <w:r>
        <w:tab/>
      </w:r>
      <w:r w:rsidR="00FF0902" w:rsidRPr="00FF0902">
        <w:t>Making markets work better through tax transparency</w:t>
      </w:r>
      <w:bookmarkEnd w:id="8"/>
    </w:p>
    <w:p w:rsidR="00FF0902" w:rsidRPr="00FF0902" w:rsidRDefault="00FF0902" w:rsidP="00FF0902">
      <w:pPr>
        <w:spacing w:after="0" w:line="240" w:lineRule="auto"/>
        <w:contextualSpacing/>
        <w:jc w:val="both"/>
        <w:rPr>
          <w:rFonts w:ascii="Times New Roman" w:hAnsi="Times New Roman" w:cs="Times New Roman"/>
          <w:sz w:val="24"/>
          <w:szCs w:val="24"/>
        </w:rPr>
      </w:pPr>
    </w:p>
    <w:p w:rsidR="00FF0902" w:rsidRPr="00FF0902" w:rsidRDefault="00FF0902" w:rsidP="00FF0902">
      <w:pPr>
        <w:numPr>
          <w:ilvl w:val="0"/>
          <w:numId w:val="11"/>
        </w:numPr>
        <w:spacing w:after="0" w:line="240" w:lineRule="auto"/>
        <w:ind w:left="0" w:firstLine="0"/>
        <w:contextualSpacing/>
        <w:jc w:val="both"/>
        <w:rPr>
          <w:rFonts w:ascii="Times New Roman" w:hAnsi="Times New Roman" w:cs="Times New Roman"/>
          <w:sz w:val="24"/>
          <w:szCs w:val="24"/>
        </w:rPr>
      </w:pPr>
      <w:r w:rsidRPr="00FF0902">
        <w:rPr>
          <w:rFonts w:ascii="Times New Roman" w:hAnsi="Times New Roman" w:cs="Times New Roman"/>
          <w:sz w:val="24"/>
          <w:szCs w:val="24"/>
        </w:rPr>
        <w:t xml:space="preserve">Tax secrecy rules mean that Inland Revenue cannot generally disclose information relating to significant </w:t>
      </w:r>
      <w:r w:rsidR="007562FB" w:rsidRPr="00FF0902">
        <w:rPr>
          <w:rFonts w:ascii="Times New Roman" w:hAnsi="Times New Roman" w:cs="Times New Roman"/>
          <w:sz w:val="24"/>
          <w:szCs w:val="24"/>
        </w:rPr>
        <w:t xml:space="preserve">business </w:t>
      </w:r>
      <w:r w:rsidRPr="00FF0902">
        <w:rPr>
          <w:rFonts w:ascii="Times New Roman" w:hAnsi="Times New Roman" w:cs="Times New Roman"/>
          <w:sz w:val="24"/>
          <w:szCs w:val="24"/>
        </w:rPr>
        <w:t xml:space="preserve">tax debt, or information relating to non-compliance with wider business legal obligations </w:t>
      </w:r>
      <w:r w:rsidR="007562FB">
        <w:rPr>
          <w:rFonts w:ascii="Times New Roman" w:hAnsi="Times New Roman" w:cs="Times New Roman"/>
          <w:sz w:val="24"/>
          <w:szCs w:val="24"/>
        </w:rPr>
        <w:t>to</w:t>
      </w:r>
      <w:r w:rsidR="007562FB" w:rsidRPr="00FF0902">
        <w:rPr>
          <w:rFonts w:ascii="Times New Roman" w:hAnsi="Times New Roman" w:cs="Times New Roman"/>
          <w:sz w:val="24"/>
          <w:szCs w:val="24"/>
        </w:rPr>
        <w:t xml:space="preserve"> </w:t>
      </w:r>
      <w:r w:rsidRPr="00FF0902">
        <w:rPr>
          <w:rFonts w:ascii="Times New Roman" w:hAnsi="Times New Roman" w:cs="Times New Roman"/>
          <w:sz w:val="24"/>
          <w:szCs w:val="24"/>
        </w:rPr>
        <w:t>relevant enforcement agencies. As a result businesses may be unaware of the credit risks they are dealing with</w:t>
      </w:r>
      <w:r w:rsidR="007562FB">
        <w:rPr>
          <w:rFonts w:ascii="Times New Roman" w:hAnsi="Times New Roman" w:cs="Times New Roman"/>
          <w:sz w:val="24"/>
          <w:szCs w:val="24"/>
        </w:rPr>
        <w:t>,</w:t>
      </w:r>
      <w:r w:rsidRPr="00FF0902">
        <w:rPr>
          <w:rFonts w:ascii="Times New Roman" w:hAnsi="Times New Roman" w:cs="Times New Roman"/>
          <w:sz w:val="24"/>
          <w:szCs w:val="24"/>
        </w:rPr>
        <w:t xml:space="preserve"> and enforcement agencies may be unaware of illegal conduct taking place. </w:t>
      </w:r>
    </w:p>
    <w:p w:rsidR="00FF0902" w:rsidRPr="00FF0902" w:rsidRDefault="00FF0902" w:rsidP="00FF0902">
      <w:pPr>
        <w:spacing w:after="0" w:line="240" w:lineRule="auto"/>
        <w:contextualSpacing/>
        <w:jc w:val="both"/>
        <w:rPr>
          <w:rFonts w:ascii="Times New Roman" w:hAnsi="Times New Roman" w:cs="Times New Roman"/>
          <w:sz w:val="24"/>
          <w:szCs w:val="24"/>
        </w:rPr>
      </w:pPr>
    </w:p>
    <w:p w:rsidR="00FF0902" w:rsidRPr="00FF0902" w:rsidRDefault="00FF0902" w:rsidP="00FF0902">
      <w:pPr>
        <w:numPr>
          <w:ilvl w:val="0"/>
          <w:numId w:val="11"/>
        </w:numPr>
        <w:spacing w:after="0" w:line="240" w:lineRule="auto"/>
        <w:ind w:left="0" w:firstLine="0"/>
        <w:contextualSpacing/>
        <w:jc w:val="both"/>
        <w:rPr>
          <w:rFonts w:ascii="Times New Roman" w:hAnsi="Times New Roman" w:cs="Times New Roman"/>
          <w:sz w:val="24"/>
          <w:szCs w:val="24"/>
        </w:rPr>
      </w:pPr>
      <w:r w:rsidRPr="00FF0902">
        <w:rPr>
          <w:rFonts w:ascii="Times New Roman" w:hAnsi="Times New Roman" w:cs="Times New Roman"/>
          <w:sz w:val="24"/>
          <w:szCs w:val="24"/>
        </w:rPr>
        <w:t>In these ways tax secrecy can lead to inefficiencies and can allow non-compliant businesses to unfairly compete with compliant businesses. Making certain tax information available to others would assist in making markets work better.</w:t>
      </w:r>
    </w:p>
    <w:p w:rsidR="00FF0902" w:rsidRDefault="00FF0902" w:rsidP="00FF0902">
      <w:pPr>
        <w:pStyle w:val="ListParagraph"/>
        <w:spacing w:after="0" w:line="240" w:lineRule="auto"/>
        <w:ind w:left="0"/>
        <w:jc w:val="both"/>
        <w:rPr>
          <w:rFonts w:ascii="Times New Roman" w:hAnsi="Times New Roman" w:cs="Times New Roman"/>
          <w:sz w:val="24"/>
          <w:szCs w:val="24"/>
        </w:rPr>
      </w:pPr>
    </w:p>
    <w:p w:rsidR="00C4105A" w:rsidRDefault="00C4105A" w:rsidP="00C4105A">
      <w:pPr>
        <w:pStyle w:val="ListParagraph"/>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Options and analysis</w:t>
      </w:r>
    </w:p>
    <w:p w:rsidR="00C4105A" w:rsidRDefault="00C4105A" w:rsidP="00FF0902">
      <w:pPr>
        <w:pStyle w:val="ListParagraph"/>
        <w:spacing w:after="0" w:line="240" w:lineRule="auto"/>
        <w:ind w:left="0"/>
        <w:jc w:val="both"/>
        <w:rPr>
          <w:rFonts w:ascii="Times New Roman" w:hAnsi="Times New Roman" w:cs="Times New Roman"/>
          <w:sz w:val="24"/>
          <w:szCs w:val="24"/>
        </w:rPr>
      </w:pPr>
    </w:p>
    <w:p w:rsidR="00C4105A" w:rsidRDefault="00FF0902" w:rsidP="00FF0902">
      <w:pPr>
        <w:pStyle w:val="ListParagraph"/>
        <w:numPr>
          <w:ilvl w:val="0"/>
          <w:numId w:val="11"/>
        </w:numPr>
        <w:spacing w:after="0" w:line="240" w:lineRule="auto"/>
        <w:ind w:left="0" w:firstLine="0"/>
        <w:jc w:val="both"/>
        <w:rPr>
          <w:rFonts w:ascii="Times New Roman" w:hAnsi="Times New Roman" w:cs="Times New Roman"/>
          <w:sz w:val="24"/>
          <w:szCs w:val="24"/>
        </w:rPr>
      </w:pPr>
      <w:r w:rsidRPr="009E0294">
        <w:rPr>
          <w:rFonts w:ascii="Times New Roman" w:hAnsi="Times New Roman" w:cs="Times New Roman"/>
          <w:sz w:val="24"/>
          <w:szCs w:val="24"/>
        </w:rPr>
        <w:t>Officials have considered a number of options to address these concerns</w:t>
      </w:r>
      <w:r w:rsidR="00C4105A">
        <w:rPr>
          <w:rFonts w:ascii="Times New Roman" w:hAnsi="Times New Roman" w:cs="Times New Roman"/>
          <w:sz w:val="24"/>
          <w:szCs w:val="24"/>
        </w:rPr>
        <w:t xml:space="preserve"> which consider sharing both financial debt information and other intelligence.  </w:t>
      </w:r>
    </w:p>
    <w:p w:rsidR="00C4105A" w:rsidRDefault="00C4105A" w:rsidP="008D31DB">
      <w:pPr>
        <w:pStyle w:val="ListParagraph"/>
        <w:spacing w:after="0" w:line="240" w:lineRule="auto"/>
        <w:ind w:left="0"/>
        <w:jc w:val="both"/>
        <w:rPr>
          <w:rFonts w:ascii="Times New Roman" w:hAnsi="Times New Roman" w:cs="Times New Roman"/>
          <w:sz w:val="24"/>
          <w:szCs w:val="24"/>
        </w:rPr>
      </w:pPr>
    </w:p>
    <w:p w:rsidR="00FF0902" w:rsidRPr="009E0294" w:rsidRDefault="00C4105A" w:rsidP="00FF0902">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These options are summarised below and are outlined further in </w:t>
      </w:r>
      <w:r w:rsidR="00FF0902" w:rsidRPr="009E0294">
        <w:rPr>
          <w:rFonts w:ascii="Times New Roman" w:hAnsi="Times New Roman" w:cs="Times New Roman"/>
          <w:sz w:val="24"/>
          <w:szCs w:val="24"/>
        </w:rPr>
        <w:t xml:space="preserve">appendix </w:t>
      </w:r>
      <w:r w:rsidR="005C245B">
        <w:rPr>
          <w:rFonts w:ascii="Times New Roman" w:hAnsi="Times New Roman" w:cs="Times New Roman"/>
          <w:sz w:val="24"/>
          <w:szCs w:val="24"/>
        </w:rPr>
        <w:t>D</w:t>
      </w:r>
      <w:r w:rsidR="00FF0902" w:rsidRPr="009E0294">
        <w:rPr>
          <w:rFonts w:ascii="Times New Roman" w:hAnsi="Times New Roman" w:cs="Times New Roman"/>
          <w:sz w:val="24"/>
          <w:szCs w:val="24"/>
        </w:rPr>
        <w:t>.</w:t>
      </w:r>
    </w:p>
    <w:p w:rsidR="00FF0902" w:rsidRPr="00FF0902" w:rsidRDefault="00FF0902" w:rsidP="00FF0902">
      <w:pPr>
        <w:spacing w:after="0" w:line="240" w:lineRule="auto"/>
        <w:jc w:val="both"/>
        <w:rPr>
          <w:rFonts w:ascii="Times New Roman" w:hAnsi="Times New Roman" w:cs="Times New Roman"/>
          <w:sz w:val="24"/>
          <w:szCs w:val="24"/>
        </w:rPr>
      </w:pPr>
    </w:p>
    <w:tbl>
      <w:tblPr>
        <w:tblStyle w:val="TableGrid11"/>
        <w:tblW w:w="9072" w:type="dxa"/>
        <w:tblInd w:w="108" w:type="dxa"/>
        <w:tblLook w:val="04A0" w:firstRow="1" w:lastRow="0" w:firstColumn="1" w:lastColumn="0" w:noHBand="0" w:noVBand="1"/>
      </w:tblPr>
      <w:tblGrid>
        <w:gridCol w:w="3828"/>
        <w:gridCol w:w="5244"/>
      </w:tblGrid>
      <w:tr w:rsidR="00B53CDE" w:rsidRPr="005D3931" w:rsidTr="00B53CDE">
        <w:trPr>
          <w:trHeight w:val="340"/>
        </w:trPr>
        <w:tc>
          <w:tcPr>
            <w:tcW w:w="3828" w:type="dxa"/>
          </w:tcPr>
          <w:p w:rsidR="00B53CDE" w:rsidRPr="005D3931" w:rsidRDefault="00B53CDE" w:rsidP="00B53CDE">
            <w:pPr>
              <w:jc w:val="both"/>
              <w:rPr>
                <w:rFonts w:ascii="Times New Roman" w:hAnsi="Times New Roman" w:cs="Times New Roman"/>
                <w:b/>
                <w:sz w:val="24"/>
                <w:szCs w:val="24"/>
              </w:rPr>
            </w:pPr>
            <w:r w:rsidRPr="005D3931">
              <w:rPr>
                <w:rFonts w:ascii="Times New Roman" w:hAnsi="Times New Roman" w:cs="Times New Roman"/>
                <w:b/>
                <w:sz w:val="24"/>
                <w:szCs w:val="24"/>
              </w:rPr>
              <w:t>Option</w:t>
            </w:r>
          </w:p>
        </w:tc>
        <w:tc>
          <w:tcPr>
            <w:tcW w:w="5244" w:type="dxa"/>
          </w:tcPr>
          <w:p w:rsidR="00B53CDE" w:rsidRPr="005D3931" w:rsidRDefault="00B53CDE" w:rsidP="00B53CDE">
            <w:pPr>
              <w:jc w:val="both"/>
              <w:rPr>
                <w:rFonts w:ascii="Times New Roman" w:hAnsi="Times New Roman" w:cs="Times New Roman"/>
                <w:b/>
                <w:sz w:val="24"/>
                <w:szCs w:val="24"/>
              </w:rPr>
            </w:pPr>
            <w:r w:rsidRPr="005D3931">
              <w:rPr>
                <w:rFonts w:ascii="Times New Roman" w:hAnsi="Times New Roman" w:cs="Times New Roman"/>
                <w:b/>
                <w:sz w:val="24"/>
                <w:szCs w:val="24"/>
              </w:rPr>
              <w:t>Analysis against the objectives</w:t>
            </w:r>
          </w:p>
        </w:tc>
      </w:tr>
      <w:tr w:rsidR="00FF0902" w:rsidRPr="00FF0902" w:rsidTr="00B53CDE">
        <w:tc>
          <w:tcPr>
            <w:tcW w:w="3828" w:type="dxa"/>
          </w:tcPr>
          <w:p w:rsidR="00FF0902" w:rsidRPr="00FF0902" w:rsidRDefault="00FA044A" w:rsidP="00FA044A">
            <w:pPr>
              <w:spacing w:after="200" w:line="276" w:lineRule="auto"/>
              <w:jc w:val="both"/>
              <w:rPr>
                <w:rFonts w:ascii="Times New Roman" w:hAnsi="Times New Roman" w:cs="Times New Roman"/>
                <w:i/>
                <w:sz w:val="24"/>
                <w:szCs w:val="24"/>
              </w:rPr>
            </w:pPr>
            <w:r>
              <w:rPr>
                <w:rFonts w:ascii="Times New Roman" w:hAnsi="Times New Roman" w:cs="Times New Roman"/>
                <w:sz w:val="24"/>
                <w:szCs w:val="24"/>
              </w:rPr>
              <w:t xml:space="preserve">1. </w:t>
            </w:r>
            <w:r w:rsidR="00FF0902">
              <w:rPr>
                <w:rFonts w:ascii="Times New Roman" w:hAnsi="Times New Roman" w:cs="Times New Roman"/>
                <w:sz w:val="24"/>
                <w:szCs w:val="24"/>
              </w:rPr>
              <w:t>Retain the s</w:t>
            </w:r>
            <w:r w:rsidR="00FF0902" w:rsidRPr="00FF0902">
              <w:rPr>
                <w:rFonts w:ascii="Times New Roman" w:hAnsi="Times New Roman" w:cs="Times New Roman"/>
                <w:sz w:val="24"/>
                <w:szCs w:val="24"/>
              </w:rPr>
              <w:t>tatus quo</w:t>
            </w:r>
          </w:p>
          <w:p w:rsidR="00FF0902" w:rsidRPr="00FF0902" w:rsidRDefault="00FF0902" w:rsidP="00FF0902">
            <w:pPr>
              <w:spacing w:after="200" w:line="276" w:lineRule="auto"/>
              <w:jc w:val="both"/>
              <w:rPr>
                <w:rFonts w:ascii="Times New Roman" w:hAnsi="Times New Roman" w:cs="Times New Roman"/>
                <w:sz w:val="24"/>
                <w:szCs w:val="24"/>
              </w:rPr>
            </w:pPr>
          </w:p>
        </w:tc>
        <w:tc>
          <w:tcPr>
            <w:tcW w:w="5244" w:type="dxa"/>
          </w:tcPr>
          <w:p w:rsidR="00FF0902" w:rsidRPr="00FF0902" w:rsidRDefault="00FF0902" w:rsidP="00FF0902">
            <w:pPr>
              <w:jc w:val="both"/>
              <w:rPr>
                <w:rFonts w:ascii="Times New Roman" w:hAnsi="Times New Roman" w:cs="Times New Roman"/>
                <w:sz w:val="24"/>
                <w:szCs w:val="24"/>
              </w:rPr>
            </w:pPr>
            <w:r w:rsidRPr="00FF0902">
              <w:rPr>
                <w:rFonts w:ascii="Times New Roman" w:hAnsi="Times New Roman" w:cs="Times New Roman"/>
                <w:i/>
                <w:sz w:val="24"/>
                <w:szCs w:val="24"/>
              </w:rPr>
              <w:t xml:space="preserve">Fairness and equity: </w:t>
            </w:r>
            <w:r w:rsidR="008B779E">
              <w:rPr>
                <w:rFonts w:ascii="Wingdings 2" w:hAnsi="Wingdings 2" w:cs="Times New Roman"/>
                <w:sz w:val="24"/>
                <w:szCs w:val="24"/>
              </w:rPr>
              <w:t></w:t>
            </w:r>
            <w:r w:rsidR="008B779E">
              <w:rPr>
                <w:rFonts w:ascii="Wingdings 2" w:hAnsi="Wingdings 2" w:cs="Times New Roman"/>
                <w:sz w:val="24"/>
                <w:szCs w:val="24"/>
              </w:rPr>
              <w:t></w:t>
            </w:r>
            <w:r w:rsidR="008B779E">
              <w:rPr>
                <w:rFonts w:ascii="Wingdings 2" w:hAnsi="Wingdings 2" w:cs="Times New Roman"/>
                <w:sz w:val="24"/>
                <w:szCs w:val="24"/>
              </w:rPr>
              <w:t></w:t>
            </w:r>
          </w:p>
          <w:p w:rsidR="00FF0902" w:rsidRPr="00FF0902" w:rsidRDefault="00FF0902" w:rsidP="00FF0902">
            <w:pPr>
              <w:jc w:val="both"/>
              <w:rPr>
                <w:rFonts w:ascii="Times New Roman" w:hAnsi="Times New Roman" w:cs="Times New Roman"/>
                <w:i/>
                <w:sz w:val="24"/>
                <w:szCs w:val="24"/>
              </w:rPr>
            </w:pPr>
            <w:r w:rsidRPr="00FF0902">
              <w:rPr>
                <w:rFonts w:ascii="Times New Roman" w:hAnsi="Times New Roman" w:cs="Times New Roman"/>
                <w:i/>
                <w:sz w:val="24"/>
                <w:szCs w:val="24"/>
              </w:rPr>
              <w:t xml:space="preserve">Compliance and administration: </w:t>
            </w:r>
            <w:r w:rsidR="008B779E">
              <w:rPr>
                <w:rFonts w:ascii="Wingdings 2" w:hAnsi="Wingdings 2" w:cs="Times New Roman"/>
                <w:sz w:val="24"/>
                <w:szCs w:val="24"/>
              </w:rPr>
              <w:t></w:t>
            </w:r>
            <w:r w:rsidR="008B779E">
              <w:rPr>
                <w:rFonts w:ascii="Wingdings 2" w:hAnsi="Wingdings 2" w:cs="Times New Roman"/>
                <w:sz w:val="24"/>
                <w:szCs w:val="24"/>
              </w:rPr>
              <w:t></w:t>
            </w:r>
            <w:r w:rsidR="008B779E">
              <w:rPr>
                <w:rFonts w:ascii="Wingdings 2" w:hAnsi="Wingdings 2" w:cs="Times New Roman"/>
                <w:sz w:val="24"/>
                <w:szCs w:val="24"/>
              </w:rPr>
              <w:t></w:t>
            </w:r>
          </w:p>
          <w:p w:rsidR="00FF0902" w:rsidRPr="00FF0902" w:rsidRDefault="00183E15" w:rsidP="00FF0902">
            <w:pPr>
              <w:jc w:val="both"/>
              <w:rPr>
                <w:rFonts w:ascii="Times New Roman" w:hAnsi="Times New Roman" w:cs="Times New Roman"/>
                <w:i/>
                <w:sz w:val="24"/>
                <w:szCs w:val="24"/>
              </w:rPr>
            </w:pPr>
            <w:r>
              <w:rPr>
                <w:rFonts w:ascii="Times New Roman" w:hAnsi="Times New Roman" w:cs="Times New Roman"/>
                <w:i/>
                <w:sz w:val="24"/>
                <w:szCs w:val="24"/>
              </w:rPr>
              <w:t>S</w:t>
            </w:r>
            <w:r w:rsidR="00FF0902" w:rsidRPr="00FF0902">
              <w:rPr>
                <w:rFonts w:ascii="Times New Roman" w:hAnsi="Times New Roman" w:cs="Times New Roman"/>
                <w:i/>
                <w:sz w:val="24"/>
                <w:szCs w:val="24"/>
              </w:rPr>
              <w:t xml:space="preserve">ustainability: </w:t>
            </w:r>
            <w:r w:rsidR="008B779E">
              <w:rPr>
                <w:rFonts w:ascii="Wingdings 2" w:hAnsi="Wingdings 2" w:cs="Times New Roman"/>
                <w:sz w:val="24"/>
                <w:szCs w:val="24"/>
              </w:rPr>
              <w:t></w:t>
            </w:r>
            <w:r w:rsidR="008B779E">
              <w:rPr>
                <w:rFonts w:ascii="Wingdings 2" w:hAnsi="Wingdings 2" w:cs="Times New Roman"/>
                <w:sz w:val="24"/>
                <w:szCs w:val="24"/>
              </w:rPr>
              <w:t></w:t>
            </w:r>
            <w:r w:rsidR="008B779E">
              <w:rPr>
                <w:rFonts w:ascii="Wingdings 2" w:hAnsi="Wingdings 2" w:cs="Times New Roman"/>
                <w:sz w:val="24"/>
                <w:szCs w:val="24"/>
              </w:rPr>
              <w:t></w:t>
            </w:r>
          </w:p>
          <w:p w:rsidR="00FF0902" w:rsidRPr="00FF0902" w:rsidRDefault="00FF0902" w:rsidP="00FF0902">
            <w:pPr>
              <w:jc w:val="both"/>
              <w:rPr>
                <w:rFonts w:ascii="Times New Roman" w:hAnsi="Times New Roman" w:cs="Times New Roman"/>
                <w:i/>
                <w:sz w:val="24"/>
                <w:szCs w:val="24"/>
              </w:rPr>
            </w:pPr>
            <w:r w:rsidRPr="00E528EF">
              <w:rPr>
                <w:rFonts w:ascii="Times New Roman" w:hAnsi="Times New Roman" w:cs="Times New Roman"/>
                <w:i/>
                <w:sz w:val="24"/>
                <w:szCs w:val="24"/>
              </w:rPr>
              <w:t>Revenue:</w:t>
            </w:r>
            <w:r w:rsidR="00DD208B" w:rsidRPr="00E528EF">
              <w:rPr>
                <w:rFonts w:ascii="Times New Roman" w:hAnsi="Times New Roman" w:cs="Times New Roman"/>
                <w:i/>
                <w:sz w:val="24"/>
                <w:szCs w:val="24"/>
              </w:rPr>
              <w:t xml:space="preserve"> </w:t>
            </w:r>
            <w:r w:rsidR="00DD208B" w:rsidRPr="008D31DB">
              <w:rPr>
                <w:rFonts w:ascii="Times New Roman" w:hAnsi="Times New Roman" w:cs="Times New Roman"/>
                <w:sz w:val="24"/>
                <w:szCs w:val="24"/>
              </w:rPr>
              <w:t>no impact</w:t>
            </w:r>
          </w:p>
        </w:tc>
      </w:tr>
      <w:tr w:rsidR="00FF0902" w:rsidRPr="00FF0902" w:rsidTr="00B53CDE">
        <w:tc>
          <w:tcPr>
            <w:tcW w:w="3828" w:type="dxa"/>
          </w:tcPr>
          <w:p w:rsidR="00FF0902" w:rsidRPr="00FF0902" w:rsidRDefault="00FA044A" w:rsidP="00FA044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F0902" w:rsidRPr="00FF0902">
              <w:rPr>
                <w:rFonts w:ascii="Times New Roman" w:hAnsi="Times New Roman" w:cs="Times New Roman"/>
                <w:sz w:val="24"/>
                <w:szCs w:val="24"/>
              </w:rPr>
              <w:t>Share information on significant tax debt with credit reporting agencies</w:t>
            </w:r>
          </w:p>
        </w:tc>
        <w:tc>
          <w:tcPr>
            <w:tcW w:w="5244" w:type="dxa"/>
          </w:tcPr>
          <w:p w:rsidR="00FF0902" w:rsidRPr="00FF0902" w:rsidRDefault="00FF0902" w:rsidP="00FF0902">
            <w:pPr>
              <w:jc w:val="both"/>
              <w:rPr>
                <w:rFonts w:ascii="Times New Roman" w:hAnsi="Times New Roman" w:cs="Times New Roman"/>
                <w:i/>
                <w:sz w:val="24"/>
                <w:szCs w:val="24"/>
              </w:rPr>
            </w:pPr>
            <w:r w:rsidRPr="00FF0902">
              <w:rPr>
                <w:rFonts w:ascii="Times New Roman" w:hAnsi="Times New Roman" w:cs="Times New Roman"/>
                <w:i/>
                <w:sz w:val="24"/>
                <w:szCs w:val="24"/>
              </w:rPr>
              <w:t xml:space="preserve">Fairness and equity: </w:t>
            </w:r>
            <w:r w:rsidR="00B20F8B">
              <w:rPr>
                <w:rFonts w:ascii="Wingdings 2" w:hAnsi="Wingdings 2" w:cs="Times New Roman"/>
                <w:sz w:val="24"/>
                <w:szCs w:val="24"/>
              </w:rPr>
              <w:t></w:t>
            </w:r>
            <w:r w:rsidR="00B20F8B">
              <w:rPr>
                <w:rFonts w:ascii="Wingdings 2" w:hAnsi="Wingdings 2" w:cs="Times New Roman"/>
                <w:sz w:val="24"/>
                <w:szCs w:val="24"/>
              </w:rPr>
              <w:t></w:t>
            </w:r>
          </w:p>
          <w:p w:rsidR="00FF0902" w:rsidRPr="00FF0902" w:rsidRDefault="00FF0902" w:rsidP="00FF0902">
            <w:pPr>
              <w:jc w:val="both"/>
              <w:rPr>
                <w:rFonts w:ascii="Times New Roman" w:hAnsi="Times New Roman" w:cs="Times New Roman"/>
                <w:sz w:val="24"/>
                <w:szCs w:val="24"/>
              </w:rPr>
            </w:pPr>
            <w:r w:rsidRPr="00FF0902">
              <w:rPr>
                <w:rFonts w:ascii="Times New Roman" w:hAnsi="Times New Roman" w:cs="Times New Roman"/>
                <w:i/>
                <w:sz w:val="24"/>
                <w:szCs w:val="24"/>
              </w:rPr>
              <w:t xml:space="preserve">Compliance and administration: </w:t>
            </w:r>
            <w:r w:rsidR="00B20F8B">
              <w:rPr>
                <w:rFonts w:ascii="Wingdings 2" w:hAnsi="Wingdings 2" w:cs="Times New Roman"/>
                <w:sz w:val="24"/>
                <w:szCs w:val="24"/>
              </w:rPr>
              <w:t></w:t>
            </w:r>
            <w:r w:rsidR="00B20F8B">
              <w:rPr>
                <w:rFonts w:ascii="Wingdings 2" w:hAnsi="Wingdings 2" w:cs="Times New Roman"/>
                <w:sz w:val="24"/>
                <w:szCs w:val="24"/>
              </w:rPr>
              <w:t></w:t>
            </w:r>
            <w:r w:rsidR="00B20F8B">
              <w:rPr>
                <w:rFonts w:ascii="Wingdings 2" w:hAnsi="Wingdings 2" w:cs="Times New Roman"/>
                <w:sz w:val="24"/>
                <w:szCs w:val="24"/>
              </w:rPr>
              <w:t></w:t>
            </w:r>
          </w:p>
          <w:p w:rsidR="00FF0902" w:rsidRPr="00FF0902" w:rsidRDefault="00183E15" w:rsidP="00FF0902">
            <w:pPr>
              <w:jc w:val="both"/>
              <w:rPr>
                <w:rFonts w:ascii="Times New Roman" w:hAnsi="Times New Roman" w:cs="Times New Roman"/>
                <w:i/>
                <w:sz w:val="24"/>
                <w:szCs w:val="24"/>
              </w:rPr>
            </w:pPr>
            <w:r>
              <w:rPr>
                <w:rFonts w:ascii="Times New Roman" w:hAnsi="Times New Roman" w:cs="Times New Roman"/>
                <w:i/>
                <w:sz w:val="24"/>
                <w:szCs w:val="24"/>
              </w:rPr>
              <w:t>S</w:t>
            </w:r>
            <w:r w:rsidR="00FF0902" w:rsidRPr="00FF0902">
              <w:rPr>
                <w:rFonts w:ascii="Times New Roman" w:hAnsi="Times New Roman" w:cs="Times New Roman"/>
                <w:i/>
                <w:sz w:val="24"/>
                <w:szCs w:val="24"/>
              </w:rPr>
              <w:t xml:space="preserve">ustainability: </w:t>
            </w:r>
            <w:r w:rsidR="00B20F8B">
              <w:rPr>
                <w:rFonts w:ascii="Wingdings 2" w:hAnsi="Wingdings 2" w:cs="Times New Roman"/>
                <w:sz w:val="24"/>
                <w:szCs w:val="24"/>
              </w:rPr>
              <w:t></w:t>
            </w:r>
            <w:r w:rsidR="00B20F8B">
              <w:rPr>
                <w:rFonts w:ascii="Wingdings 2" w:hAnsi="Wingdings 2" w:cs="Times New Roman"/>
                <w:sz w:val="24"/>
                <w:szCs w:val="24"/>
              </w:rPr>
              <w:t></w:t>
            </w:r>
            <w:r w:rsidR="00B20F8B">
              <w:rPr>
                <w:rFonts w:ascii="Wingdings 2" w:hAnsi="Wingdings 2" w:cs="Times New Roman"/>
                <w:sz w:val="24"/>
                <w:szCs w:val="24"/>
              </w:rPr>
              <w:t></w:t>
            </w:r>
          </w:p>
          <w:p w:rsidR="00FF0902" w:rsidRPr="00FF0902" w:rsidRDefault="00FF0902" w:rsidP="00FF0902">
            <w:pPr>
              <w:jc w:val="both"/>
              <w:rPr>
                <w:rFonts w:ascii="Times New Roman" w:hAnsi="Times New Roman" w:cs="Times New Roman"/>
                <w:sz w:val="24"/>
                <w:szCs w:val="24"/>
              </w:rPr>
            </w:pPr>
            <w:r w:rsidRPr="00FF0902">
              <w:rPr>
                <w:rFonts w:ascii="Times New Roman" w:hAnsi="Times New Roman" w:cs="Times New Roman"/>
                <w:i/>
                <w:sz w:val="24"/>
                <w:szCs w:val="24"/>
              </w:rPr>
              <w:t xml:space="preserve">Revenue: </w:t>
            </w:r>
            <w:r w:rsidRPr="00FF0902">
              <w:rPr>
                <w:rFonts w:ascii="Times New Roman" w:hAnsi="Times New Roman" w:cs="Times New Roman"/>
                <w:sz w:val="24"/>
                <w:szCs w:val="24"/>
              </w:rPr>
              <w:t>potentially positive impact</w:t>
            </w:r>
          </w:p>
        </w:tc>
      </w:tr>
      <w:tr w:rsidR="00FF0902" w:rsidRPr="00FF0902" w:rsidTr="00B53CDE">
        <w:tc>
          <w:tcPr>
            <w:tcW w:w="3828" w:type="dxa"/>
          </w:tcPr>
          <w:p w:rsidR="00FF0902" w:rsidRPr="00FF0902" w:rsidRDefault="00FA044A" w:rsidP="00FA044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F0902" w:rsidRPr="00FF0902">
              <w:rPr>
                <w:rFonts w:ascii="Times New Roman" w:hAnsi="Times New Roman" w:cs="Times New Roman"/>
                <w:sz w:val="24"/>
                <w:szCs w:val="24"/>
              </w:rPr>
              <w:t>Share information on significant tax debt with the wider public</w:t>
            </w:r>
          </w:p>
        </w:tc>
        <w:tc>
          <w:tcPr>
            <w:tcW w:w="5244" w:type="dxa"/>
          </w:tcPr>
          <w:p w:rsidR="00FF0902" w:rsidRPr="00FF0902" w:rsidRDefault="00FF0902" w:rsidP="00FF0902">
            <w:pPr>
              <w:jc w:val="both"/>
              <w:rPr>
                <w:rFonts w:ascii="Times New Roman" w:hAnsi="Times New Roman" w:cs="Times New Roman"/>
                <w:sz w:val="24"/>
                <w:szCs w:val="24"/>
              </w:rPr>
            </w:pPr>
            <w:r w:rsidRPr="00FF0902">
              <w:rPr>
                <w:rFonts w:ascii="Times New Roman" w:hAnsi="Times New Roman" w:cs="Times New Roman"/>
                <w:i/>
                <w:sz w:val="24"/>
                <w:szCs w:val="24"/>
              </w:rPr>
              <w:t xml:space="preserve">Fairness and equity: </w:t>
            </w:r>
            <w:r w:rsidR="008B779E">
              <w:rPr>
                <w:rFonts w:ascii="Wingdings 2" w:hAnsi="Wingdings 2" w:cs="Times New Roman"/>
                <w:sz w:val="24"/>
                <w:szCs w:val="24"/>
              </w:rPr>
              <w:t></w:t>
            </w:r>
            <w:r w:rsidR="008B779E">
              <w:rPr>
                <w:rFonts w:ascii="Wingdings 2" w:hAnsi="Wingdings 2" w:cs="Times New Roman"/>
                <w:sz w:val="24"/>
                <w:szCs w:val="24"/>
              </w:rPr>
              <w:t></w:t>
            </w:r>
            <w:r w:rsidR="008B779E">
              <w:rPr>
                <w:rFonts w:ascii="Wingdings 2" w:hAnsi="Wingdings 2" w:cs="Times New Roman"/>
                <w:sz w:val="24"/>
                <w:szCs w:val="24"/>
              </w:rPr>
              <w:t></w:t>
            </w:r>
          </w:p>
          <w:p w:rsidR="00FF0902" w:rsidRPr="00FF0902" w:rsidRDefault="00FF0902" w:rsidP="00FF0902">
            <w:pPr>
              <w:jc w:val="both"/>
              <w:rPr>
                <w:rFonts w:ascii="Times New Roman" w:hAnsi="Times New Roman" w:cs="Times New Roman"/>
                <w:sz w:val="24"/>
                <w:szCs w:val="24"/>
              </w:rPr>
            </w:pPr>
            <w:r w:rsidRPr="00FF0902">
              <w:rPr>
                <w:rFonts w:ascii="Times New Roman" w:hAnsi="Times New Roman" w:cs="Times New Roman"/>
                <w:i/>
                <w:sz w:val="24"/>
                <w:szCs w:val="24"/>
              </w:rPr>
              <w:t xml:space="preserve">Compliance and administration: </w:t>
            </w:r>
            <w:r w:rsidR="008B779E">
              <w:rPr>
                <w:rFonts w:ascii="Wingdings 2" w:hAnsi="Wingdings 2" w:cs="Times New Roman"/>
                <w:sz w:val="24"/>
                <w:szCs w:val="24"/>
              </w:rPr>
              <w:t></w:t>
            </w:r>
            <w:r w:rsidR="008B779E">
              <w:rPr>
                <w:rFonts w:ascii="Wingdings 2" w:hAnsi="Wingdings 2" w:cs="Times New Roman"/>
                <w:sz w:val="24"/>
                <w:szCs w:val="24"/>
              </w:rPr>
              <w:t></w:t>
            </w:r>
            <w:r w:rsidR="008B779E">
              <w:rPr>
                <w:rFonts w:ascii="Wingdings 2" w:hAnsi="Wingdings 2" w:cs="Times New Roman"/>
                <w:sz w:val="24"/>
                <w:szCs w:val="24"/>
              </w:rPr>
              <w:t></w:t>
            </w:r>
          </w:p>
          <w:p w:rsidR="00FF0902" w:rsidRPr="00FF0902" w:rsidRDefault="00FF0902" w:rsidP="00FF0902">
            <w:pPr>
              <w:jc w:val="both"/>
              <w:rPr>
                <w:rFonts w:ascii="Times New Roman" w:hAnsi="Times New Roman" w:cs="Times New Roman"/>
                <w:i/>
                <w:sz w:val="24"/>
                <w:szCs w:val="24"/>
              </w:rPr>
            </w:pPr>
            <w:r w:rsidRPr="00FF0902">
              <w:rPr>
                <w:rFonts w:ascii="Times New Roman" w:hAnsi="Times New Roman" w:cs="Times New Roman"/>
                <w:i/>
                <w:sz w:val="24"/>
                <w:szCs w:val="24"/>
              </w:rPr>
              <w:t xml:space="preserve">Sustainability: </w:t>
            </w:r>
            <w:r w:rsidR="00B20F8B">
              <w:rPr>
                <w:rFonts w:ascii="Wingdings 2" w:hAnsi="Wingdings 2" w:cs="Times New Roman"/>
                <w:sz w:val="24"/>
                <w:szCs w:val="24"/>
              </w:rPr>
              <w:t></w:t>
            </w:r>
            <w:r w:rsidR="00B20F8B">
              <w:rPr>
                <w:rFonts w:ascii="Wingdings 2" w:hAnsi="Wingdings 2" w:cs="Times New Roman"/>
                <w:sz w:val="24"/>
                <w:szCs w:val="24"/>
              </w:rPr>
              <w:t></w:t>
            </w:r>
          </w:p>
          <w:p w:rsidR="00FF0902" w:rsidRPr="00FF0902" w:rsidRDefault="00FF0902" w:rsidP="00FF0902">
            <w:pPr>
              <w:jc w:val="both"/>
              <w:rPr>
                <w:rFonts w:ascii="Times New Roman" w:hAnsi="Times New Roman" w:cs="Times New Roman"/>
                <w:sz w:val="24"/>
                <w:szCs w:val="24"/>
              </w:rPr>
            </w:pPr>
            <w:r w:rsidRPr="00FF0902">
              <w:rPr>
                <w:rFonts w:ascii="Times New Roman" w:hAnsi="Times New Roman" w:cs="Times New Roman"/>
                <w:i/>
                <w:sz w:val="24"/>
                <w:szCs w:val="24"/>
              </w:rPr>
              <w:t xml:space="preserve">Revenue: </w:t>
            </w:r>
            <w:r w:rsidRPr="00FF0902">
              <w:rPr>
                <w:rFonts w:ascii="Times New Roman" w:hAnsi="Times New Roman" w:cs="Times New Roman"/>
                <w:sz w:val="24"/>
                <w:szCs w:val="24"/>
              </w:rPr>
              <w:t>potentially positive impact</w:t>
            </w:r>
          </w:p>
        </w:tc>
      </w:tr>
      <w:tr w:rsidR="00FF0902" w:rsidRPr="00FF0902" w:rsidTr="00B53CDE">
        <w:tc>
          <w:tcPr>
            <w:tcW w:w="3828" w:type="dxa"/>
          </w:tcPr>
          <w:p w:rsidR="00FF0902" w:rsidRPr="00FF0902" w:rsidRDefault="00B53CDE" w:rsidP="00B53CDE">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FF0902" w:rsidRPr="00FF0902">
              <w:rPr>
                <w:rFonts w:ascii="Times New Roman" w:hAnsi="Times New Roman" w:cs="Times New Roman"/>
                <w:sz w:val="24"/>
                <w:szCs w:val="24"/>
              </w:rPr>
              <w:t>Share information on serious offences with the Registrar of Companies</w:t>
            </w:r>
          </w:p>
          <w:p w:rsidR="00FF0902" w:rsidRPr="00FF0902" w:rsidRDefault="00FF0902" w:rsidP="00FF0902">
            <w:pPr>
              <w:ind w:left="720"/>
              <w:contextualSpacing/>
              <w:jc w:val="both"/>
              <w:rPr>
                <w:rFonts w:ascii="Times New Roman" w:hAnsi="Times New Roman" w:cs="Times New Roman"/>
                <w:sz w:val="24"/>
                <w:szCs w:val="24"/>
              </w:rPr>
            </w:pPr>
          </w:p>
        </w:tc>
        <w:tc>
          <w:tcPr>
            <w:tcW w:w="5244" w:type="dxa"/>
          </w:tcPr>
          <w:p w:rsidR="00FF0902" w:rsidRPr="00FF0902" w:rsidRDefault="00FF0902" w:rsidP="00FF0902">
            <w:pPr>
              <w:jc w:val="both"/>
              <w:rPr>
                <w:rFonts w:ascii="Times New Roman" w:hAnsi="Times New Roman" w:cs="Times New Roman"/>
                <w:sz w:val="24"/>
                <w:szCs w:val="24"/>
              </w:rPr>
            </w:pPr>
            <w:r w:rsidRPr="00FF0902">
              <w:rPr>
                <w:rFonts w:ascii="Times New Roman" w:hAnsi="Times New Roman" w:cs="Times New Roman"/>
                <w:i/>
                <w:sz w:val="24"/>
                <w:szCs w:val="24"/>
              </w:rPr>
              <w:t xml:space="preserve">Fairness and equity: </w:t>
            </w:r>
            <w:r w:rsidR="00B20F8B">
              <w:rPr>
                <w:rFonts w:ascii="Wingdings 2" w:hAnsi="Wingdings 2" w:cs="Times New Roman"/>
                <w:sz w:val="24"/>
                <w:szCs w:val="24"/>
              </w:rPr>
              <w:t></w:t>
            </w:r>
            <w:r w:rsidR="00B20F8B">
              <w:rPr>
                <w:rFonts w:ascii="Wingdings 2" w:hAnsi="Wingdings 2" w:cs="Times New Roman"/>
                <w:sz w:val="24"/>
                <w:szCs w:val="24"/>
              </w:rPr>
              <w:t></w:t>
            </w:r>
            <w:r w:rsidR="00B20F8B">
              <w:rPr>
                <w:rFonts w:ascii="Wingdings 2" w:hAnsi="Wingdings 2" w:cs="Times New Roman"/>
                <w:sz w:val="24"/>
                <w:szCs w:val="24"/>
              </w:rPr>
              <w:t></w:t>
            </w:r>
          </w:p>
          <w:p w:rsidR="00FF0902" w:rsidRPr="00FF0902" w:rsidRDefault="00FF0902" w:rsidP="00FF0902">
            <w:pPr>
              <w:jc w:val="both"/>
              <w:rPr>
                <w:rFonts w:ascii="Times New Roman" w:hAnsi="Times New Roman" w:cs="Times New Roman"/>
                <w:i/>
                <w:sz w:val="24"/>
                <w:szCs w:val="24"/>
              </w:rPr>
            </w:pPr>
            <w:r w:rsidRPr="00FF0902">
              <w:rPr>
                <w:rFonts w:ascii="Times New Roman" w:hAnsi="Times New Roman" w:cs="Times New Roman"/>
                <w:i/>
                <w:sz w:val="24"/>
                <w:szCs w:val="24"/>
              </w:rPr>
              <w:t xml:space="preserve">Compliance and administration: </w:t>
            </w:r>
            <w:r w:rsidR="00B20F8B">
              <w:rPr>
                <w:rFonts w:ascii="Wingdings 2" w:hAnsi="Wingdings 2" w:cs="Times New Roman"/>
                <w:sz w:val="24"/>
                <w:szCs w:val="24"/>
              </w:rPr>
              <w:t></w:t>
            </w:r>
            <w:r w:rsidR="00B20F8B">
              <w:rPr>
                <w:rFonts w:ascii="Wingdings 2" w:hAnsi="Wingdings 2" w:cs="Times New Roman"/>
                <w:sz w:val="24"/>
                <w:szCs w:val="24"/>
              </w:rPr>
              <w:t></w:t>
            </w:r>
            <w:r w:rsidR="00B20F8B">
              <w:rPr>
                <w:rFonts w:ascii="Wingdings 2" w:hAnsi="Wingdings 2" w:cs="Times New Roman"/>
                <w:sz w:val="24"/>
                <w:szCs w:val="24"/>
              </w:rPr>
              <w:t></w:t>
            </w:r>
          </w:p>
          <w:p w:rsidR="00FF0902" w:rsidRPr="00FF0902" w:rsidRDefault="00183E15" w:rsidP="00FF0902">
            <w:pPr>
              <w:jc w:val="both"/>
              <w:rPr>
                <w:rFonts w:ascii="Times New Roman" w:hAnsi="Times New Roman" w:cs="Times New Roman"/>
                <w:sz w:val="24"/>
                <w:szCs w:val="24"/>
              </w:rPr>
            </w:pPr>
            <w:r>
              <w:rPr>
                <w:rFonts w:ascii="Times New Roman" w:hAnsi="Times New Roman" w:cs="Times New Roman"/>
                <w:i/>
                <w:sz w:val="24"/>
                <w:szCs w:val="24"/>
              </w:rPr>
              <w:t>S</w:t>
            </w:r>
            <w:r w:rsidR="00FF0902" w:rsidRPr="00FF0902">
              <w:rPr>
                <w:rFonts w:ascii="Times New Roman" w:hAnsi="Times New Roman" w:cs="Times New Roman"/>
                <w:i/>
                <w:sz w:val="24"/>
                <w:szCs w:val="24"/>
              </w:rPr>
              <w:t xml:space="preserve">ustainability: </w:t>
            </w:r>
            <w:r w:rsidR="00B20F8B">
              <w:rPr>
                <w:rFonts w:ascii="Wingdings 2" w:hAnsi="Wingdings 2" w:cs="Times New Roman"/>
                <w:sz w:val="24"/>
                <w:szCs w:val="24"/>
              </w:rPr>
              <w:t></w:t>
            </w:r>
            <w:r w:rsidR="00B20F8B">
              <w:rPr>
                <w:rFonts w:ascii="Wingdings 2" w:hAnsi="Wingdings 2" w:cs="Times New Roman"/>
                <w:sz w:val="24"/>
                <w:szCs w:val="24"/>
              </w:rPr>
              <w:t></w:t>
            </w:r>
            <w:r w:rsidR="00B20F8B">
              <w:rPr>
                <w:rFonts w:ascii="Wingdings 2" w:hAnsi="Wingdings 2" w:cs="Times New Roman"/>
                <w:sz w:val="24"/>
                <w:szCs w:val="24"/>
              </w:rPr>
              <w:t></w:t>
            </w:r>
          </w:p>
          <w:p w:rsidR="00FF0902" w:rsidRPr="00FF0902" w:rsidRDefault="00FF0902" w:rsidP="00FF0902">
            <w:pPr>
              <w:jc w:val="both"/>
              <w:rPr>
                <w:rFonts w:ascii="Times New Roman" w:hAnsi="Times New Roman" w:cs="Times New Roman"/>
                <w:i/>
                <w:sz w:val="24"/>
                <w:szCs w:val="24"/>
              </w:rPr>
            </w:pPr>
            <w:r w:rsidRPr="00FF0902">
              <w:rPr>
                <w:rFonts w:ascii="Times New Roman" w:hAnsi="Times New Roman" w:cs="Times New Roman"/>
                <w:i/>
                <w:sz w:val="24"/>
                <w:szCs w:val="24"/>
              </w:rPr>
              <w:t xml:space="preserve">Revenue: </w:t>
            </w:r>
            <w:r w:rsidRPr="00FF0902">
              <w:rPr>
                <w:rFonts w:ascii="Times New Roman" w:hAnsi="Times New Roman" w:cs="Times New Roman"/>
                <w:sz w:val="24"/>
                <w:szCs w:val="24"/>
              </w:rPr>
              <w:t>potentially positive impact</w:t>
            </w:r>
          </w:p>
        </w:tc>
      </w:tr>
      <w:tr w:rsidR="00FF0902" w:rsidRPr="00FF0902" w:rsidTr="00B53CDE">
        <w:tc>
          <w:tcPr>
            <w:tcW w:w="3828" w:type="dxa"/>
          </w:tcPr>
          <w:p w:rsidR="00FF0902" w:rsidRPr="00FF0902" w:rsidRDefault="00B53CDE" w:rsidP="00B53CDE">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FF0902" w:rsidRPr="00FF0902">
              <w:rPr>
                <w:rFonts w:ascii="Times New Roman" w:hAnsi="Times New Roman" w:cs="Times New Roman"/>
                <w:sz w:val="24"/>
                <w:szCs w:val="24"/>
              </w:rPr>
              <w:t>Share information for enforcement of wider business obligations</w:t>
            </w:r>
          </w:p>
        </w:tc>
        <w:tc>
          <w:tcPr>
            <w:tcW w:w="5244" w:type="dxa"/>
          </w:tcPr>
          <w:p w:rsidR="00FF0902" w:rsidRPr="00FF0902" w:rsidRDefault="00FF0902" w:rsidP="00FF0902">
            <w:pPr>
              <w:jc w:val="both"/>
              <w:rPr>
                <w:rFonts w:ascii="Times New Roman" w:hAnsi="Times New Roman" w:cs="Times New Roman"/>
                <w:sz w:val="24"/>
                <w:szCs w:val="24"/>
              </w:rPr>
            </w:pPr>
            <w:r w:rsidRPr="00FF0902">
              <w:rPr>
                <w:rFonts w:ascii="Times New Roman" w:hAnsi="Times New Roman" w:cs="Times New Roman"/>
                <w:i/>
                <w:sz w:val="24"/>
                <w:szCs w:val="24"/>
              </w:rPr>
              <w:t xml:space="preserve">Fairness and equity: </w:t>
            </w:r>
            <w:r w:rsidR="008B779E">
              <w:rPr>
                <w:rFonts w:ascii="Wingdings 2" w:hAnsi="Wingdings 2" w:cs="Times New Roman"/>
                <w:sz w:val="24"/>
                <w:szCs w:val="24"/>
              </w:rPr>
              <w:t></w:t>
            </w:r>
            <w:r w:rsidR="008B779E">
              <w:rPr>
                <w:rFonts w:ascii="Wingdings 2" w:hAnsi="Wingdings 2" w:cs="Times New Roman"/>
                <w:sz w:val="24"/>
                <w:szCs w:val="24"/>
              </w:rPr>
              <w:t></w:t>
            </w:r>
            <w:r w:rsidR="008B779E">
              <w:rPr>
                <w:rFonts w:ascii="Wingdings 2" w:hAnsi="Wingdings 2" w:cs="Times New Roman"/>
                <w:sz w:val="24"/>
                <w:szCs w:val="24"/>
              </w:rPr>
              <w:t></w:t>
            </w:r>
          </w:p>
          <w:p w:rsidR="00FF0902" w:rsidRPr="00FF0902" w:rsidRDefault="00FF0902" w:rsidP="00FF0902">
            <w:pPr>
              <w:jc w:val="both"/>
              <w:rPr>
                <w:rFonts w:ascii="Times New Roman" w:hAnsi="Times New Roman" w:cs="Times New Roman"/>
                <w:i/>
                <w:sz w:val="24"/>
                <w:szCs w:val="24"/>
              </w:rPr>
            </w:pPr>
            <w:r w:rsidRPr="00FF0902">
              <w:rPr>
                <w:rFonts w:ascii="Times New Roman" w:hAnsi="Times New Roman" w:cs="Times New Roman"/>
                <w:i/>
                <w:sz w:val="24"/>
                <w:szCs w:val="24"/>
              </w:rPr>
              <w:t xml:space="preserve">Compliance and administration: </w:t>
            </w:r>
            <w:r w:rsidR="008B779E">
              <w:rPr>
                <w:rFonts w:ascii="Wingdings 2" w:hAnsi="Wingdings 2" w:cs="Times New Roman"/>
                <w:sz w:val="24"/>
                <w:szCs w:val="24"/>
              </w:rPr>
              <w:t></w:t>
            </w:r>
            <w:r w:rsidR="008B779E">
              <w:rPr>
                <w:rFonts w:ascii="Wingdings 2" w:hAnsi="Wingdings 2" w:cs="Times New Roman"/>
                <w:sz w:val="24"/>
                <w:szCs w:val="24"/>
              </w:rPr>
              <w:t></w:t>
            </w:r>
            <w:r w:rsidR="008B779E">
              <w:rPr>
                <w:rFonts w:ascii="Wingdings 2" w:hAnsi="Wingdings 2" w:cs="Times New Roman"/>
                <w:sz w:val="24"/>
                <w:szCs w:val="24"/>
              </w:rPr>
              <w:t></w:t>
            </w:r>
          </w:p>
          <w:p w:rsidR="00FF0902" w:rsidRPr="00FF0902" w:rsidRDefault="00183E15" w:rsidP="00FF0902">
            <w:pPr>
              <w:jc w:val="both"/>
              <w:rPr>
                <w:rFonts w:ascii="Times New Roman" w:hAnsi="Times New Roman" w:cs="Times New Roman"/>
                <w:sz w:val="24"/>
                <w:szCs w:val="24"/>
              </w:rPr>
            </w:pPr>
            <w:r>
              <w:rPr>
                <w:rFonts w:ascii="Times New Roman" w:hAnsi="Times New Roman" w:cs="Times New Roman"/>
                <w:i/>
                <w:sz w:val="24"/>
                <w:szCs w:val="24"/>
              </w:rPr>
              <w:t>S</w:t>
            </w:r>
            <w:r w:rsidR="00FF0902" w:rsidRPr="00FF0902">
              <w:rPr>
                <w:rFonts w:ascii="Times New Roman" w:hAnsi="Times New Roman" w:cs="Times New Roman"/>
                <w:i/>
                <w:sz w:val="24"/>
                <w:szCs w:val="24"/>
              </w:rPr>
              <w:t xml:space="preserve">ustainability: </w:t>
            </w:r>
            <w:r w:rsidR="008B779E">
              <w:rPr>
                <w:rFonts w:ascii="Wingdings 2" w:hAnsi="Wingdings 2" w:cs="Times New Roman"/>
                <w:sz w:val="24"/>
                <w:szCs w:val="24"/>
              </w:rPr>
              <w:t></w:t>
            </w:r>
            <w:r w:rsidR="008B779E">
              <w:rPr>
                <w:rFonts w:ascii="Wingdings 2" w:hAnsi="Wingdings 2" w:cs="Times New Roman"/>
                <w:sz w:val="24"/>
                <w:szCs w:val="24"/>
              </w:rPr>
              <w:t></w:t>
            </w:r>
            <w:r w:rsidR="008B779E">
              <w:rPr>
                <w:rFonts w:ascii="Wingdings 2" w:hAnsi="Wingdings 2" w:cs="Times New Roman"/>
                <w:sz w:val="24"/>
                <w:szCs w:val="24"/>
              </w:rPr>
              <w:t></w:t>
            </w:r>
          </w:p>
          <w:p w:rsidR="00FF0902" w:rsidRPr="00FF0902" w:rsidRDefault="00FF0902" w:rsidP="00FF0902">
            <w:pPr>
              <w:jc w:val="both"/>
              <w:rPr>
                <w:rFonts w:ascii="Times New Roman" w:hAnsi="Times New Roman" w:cs="Times New Roman"/>
                <w:i/>
                <w:sz w:val="24"/>
                <w:szCs w:val="24"/>
              </w:rPr>
            </w:pPr>
            <w:r w:rsidRPr="00FF0902">
              <w:rPr>
                <w:rFonts w:ascii="Times New Roman" w:hAnsi="Times New Roman" w:cs="Times New Roman"/>
                <w:i/>
                <w:sz w:val="24"/>
                <w:szCs w:val="24"/>
              </w:rPr>
              <w:t xml:space="preserve">Revenue: </w:t>
            </w:r>
            <w:r w:rsidRPr="00FF0902">
              <w:rPr>
                <w:rFonts w:ascii="Times New Roman" w:hAnsi="Times New Roman" w:cs="Times New Roman"/>
                <w:sz w:val="24"/>
                <w:szCs w:val="24"/>
              </w:rPr>
              <w:t>potentially positive impact</w:t>
            </w:r>
          </w:p>
        </w:tc>
      </w:tr>
    </w:tbl>
    <w:p w:rsidR="00FF0902" w:rsidRPr="00FF0902" w:rsidRDefault="00FF0902" w:rsidP="00FF0902">
      <w:pPr>
        <w:spacing w:after="0" w:line="240" w:lineRule="auto"/>
        <w:jc w:val="both"/>
        <w:rPr>
          <w:rFonts w:ascii="Times New Roman" w:hAnsi="Times New Roman" w:cs="Times New Roman"/>
          <w:sz w:val="24"/>
          <w:szCs w:val="24"/>
        </w:rPr>
      </w:pPr>
    </w:p>
    <w:p w:rsidR="00FF0902" w:rsidRPr="00FF0902" w:rsidRDefault="00FF0902" w:rsidP="00FF0902">
      <w:pPr>
        <w:spacing w:after="0" w:line="240" w:lineRule="auto"/>
        <w:jc w:val="both"/>
        <w:rPr>
          <w:rFonts w:ascii="Times New Roman" w:hAnsi="Times New Roman" w:cs="Times New Roman"/>
          <w:b/>
          <w:i/>
          <w:sz w:val="24"/>
          <w:szCs w:val="24"/>
        </w:rPr>
      </w:pPr>
      <w:r w:rsidRPr="00FF0902">
        <w:rPr>
          <w:rFonts w:ascii="Times New Roman" w:hAnsi="Times New Roman" w:cs="Times New Roman"/>
          <w:b/>
          <w:i/>
          <w:sz w:val="24"/>
          <w:szCs w:val="24"/>
        </w:rPr>
        <w:t>Recommendation</w:t>
      </w:r>
    </w:p>
    <w:p w:rsidR="00FF0902" w:rsidRPr="00FF0902" w:rsidRDefault="00FF0902" w:rsidP="00FF0902">
      <w:pPr>
        <w:pStyle w:val="ListParagraph"/>
        <w:spacing w:after="0" w:line="240" w:lineRule="auto"/>
        <w:ind w:left="0"/>
        <w:jc w:val="both"/>
        <w:rPr>
          <w:rFonts w:ascii="Times New Roman" w:hAnsi="Times New Roman" w:cs="Times New Roman"/>
          <w:sz w:val="24"/>
          <w:szCs w:val="24"/>
        </w:rPr>
      </w:pPr>
    </w:p>
    <w:p w:rsidR="00FF0902" w:rsidRPr="00FF0902" w:rsidRDefault="00FF0902" w:rsidP="00FF0902">
      <w:pPr>
        <w:pStyle w:val="ListParagraph"/>
        <w:numPr>
          <w:ilvl w:val="0"/>
          <w:numId w:val="11"/>
        </w:numPr>
        <w:spacing w:after="0" w:line="240" w:lineRule="auto"/>
        <w:ind w:left="0" w:firstLine="0"/>
        <w:jc w:val="both"/>
        <w:rPr>
          <w:rFonts w:ascii="Times New Roman" w:hAnsi="Times New Roman" w:cs="Times New Roman"/>
          <w:sz w:val="24"/>
          <w:szCs w:val="24"/>
        </w:rPr>
      </w:pPr>
      <w:r w:rsidRPr="00FF0902">
        <w:rPr>
          <w:rFonts w:ascii="Times New Roman" w:hAnsi="Times New Roman" w:cs="Times New Roman"/>
          <w:sz w:val="24"/>
          <w:szCs w:val="24"/>
        </w:rPr>
        <w:t xml:space="preserve">Officials recommend options 2 and 4 as these options appear to be justifiable exceptions to tax secrecy principles and would benefit market efficiency. These options </w:t>
      </w:r>
      <w:r w:rsidR="002E34E7">
        <w:rPr>
          <w:rFonts w:ascii="Times New Roman" w:hAnsi="Times New Roman" w:cs="Times New Roman"/>
          <w:sz w:val="24"/>
          <w:szCs w:val="24"/>
        </w:rPr>
        <w:t>address</w:t>
      </w:r>
      <w:r w:rsidRPr="00FF0902">
        <w:rPr>
          <w:rFonts w:ascii="Times New Roman" w:hAnsi="Times New Roman" w:cs="Times New Roman"/>
          <w:sz w:val="24"/>
          <w:szCs w:val="24"/>
        </w:rPr>
        <w:t xml:space="preserve"> policy problem and would achieve the objectives without unreasonably disclosing tax secret information.</w:t>
      </w:r>
    </w:p>
    <w:p w:rsidR="00FF0902" w:rsidRDefault="00FF0902" w:rsidP="00FF0902">
      <w:pPr>
        <w:spacing w:after="0" w:line="240" w:lineRule="auto"/>
        <w:jc w:val="both"/>
        <w:rPr>
          <w:rFonts w:ascii="Times New Roman" w:hAnsi="Times New Roman" w:cs="Times New Roman"/>
          <w:b/>
          <w:sz w:val="24"/>
          <w:szCs w:val="24"/>
        </w:rPr>
      </w:pPr>
    </w:p>
    <w:p w:rsidR="00420D8B" w:rsidRDefault="00420D8B" w:rsidP="00FF0902">
      <w:pPr>
        <w:spacing w:after="0" w:line="240" w:lineRule="auto"/>
        <w:jc w:val="both"/>
        <w:rPr>
          <w:rFonts w:ascii="Times New Roman" w:hAnsi="Times New Roman" w:cs="Times New Roman"/>
          <w:b/>
          <w:sz w:val="24"/>
          <w:szCs w:val="24"/>
        </w:rPr>
      </w:pPr>
    </w:p>
    <w:p w:rsidR="001476F5" w:rsidRPr="005D3931" w:rsidRDefault="00D56B23" w:rsidP="00165D24">
      <w:pPr>
        <w:pStyle w:val="Heading2"/>
      </w:pPr>
      <w:bookmarkStart w:id="9" w:name="_Toc444145596"/>
      <w:r>
        <w:t>E.</w:t>
      </w:r>
      <w:r>
        <w:tab/>
      </w:r>
      <w:r w:rsidR="001476F5" w:rsidRPr="005D3931">
        <w:t>Supplementary simplification</w:t>
      </w:r>
      <w:r w:rsidR="00E8196C">
        <w:t xml:space="preserve"> measures</w:t>
      </w:r>
      <w:bookmarkEnd w:id="9"/>
    </w:p>
    <w:p w:rsidR="00FF0902" w:rsidRDefault="00FF0902" w:rsidP="00FF0902">
      <w:pPr>
        <w:pStyle w:val="ListParagraph"/>
        <w:spacing w:after="0" w:line="240" w:lineRule="auto"/>
        <w:ind w:left="0"/>
        <w:jc w:val="both"/>
        <w:rPr>
          <w:rFonts w:ascii="Times New Roman" w:hAnsi="Times New Roman" w:cs="Times New Roman"/>
          <w:sz w:val="24"/>
          <w:szCs w:val="24"/>
        </w:rPr>
      </w:pPr>
    </w:p>
    <w:p w:rsidR="001476F5" w:rsidRPr="0046344E" w:rsidRDefault="004B20C4" w:rsidP="004B20C4">
      <w:pPr>
        <w:pStyle w:val="ListParagraph"/>
        <w:numPr>
          <w:ilvl w:val="0"/>
          <w:numId w:val="11"/>
        </w:numPr>
        <w:spacing w:after="0" w:line="240" w:lineRule="auto"/>
        <w:ind w:left="0" w:firstLine="0"/>
        <w:jc w:val="both"/>
        <w:rPr>
          <w:rFonts w:ascii="Times New Roman" w:hAnsi="Times New Roman" w:cs="Times New Roman"/>
          <w:sz w:val="24"/>
          <w:szCs w:val="24"/>
        </w:rPr>
      </w:pPr>
      <w:r w:rsidRPr="0046344E">
        <w:rPr>
          <w:rFonts w:ascii="Times New Roman" w:hAnsi="Times New Roman" w:cs="Times New Roman"/>
          <w:sz w:val="24"/>
          <w:szCs w:val="24"/>
        </w:rPr>
        <w:t xml:space="preserve">Research shows that tax compliance costs are relatively high for small businesses. However measures to simplify tax rules often face a trade-off between the accuracy of the rules in question and reduced compliance costs. This section outlines supporting simplification measures to address these concerns and move towards a close enough is good enough tax outcome at lower compliance costs. They will reduce the amount of paperwork required by businesses and make it easier to manage their tax affairs without significantly affecting the amount of revenue collected by the </w:t>
      </w:r>
      <w:r w:rsidR="008E3413">
        <w:rPr>
          <w:rFonts w:ascii="Times New Roman" w:hAnsi="Times New Roman" w:cs="Times New Roman"/>
          <w:sz w:val="24"/>
          <w:szCs w:val="24"/>
        </w:rPr>
        <w:t>g</w:t>
      </w:r>
      <w:r w:rsidRPr="0046344E">
        <w:rPr>
          <w:rFonts w:ascii="Times New Roman" w:hAnsi="Times New Roman" w:cs="Times New Roman"/>
          <w:sz w:val="24"/>
          <w:szCs w:val="24"/>
        </w:rPr>
        <w:t xml:space="preserve">overnment. The measures include simplified rules for businesses to calculate </w:t>
      </w:r>
      <w:r w:rsidR="008E3413">
        <w:rPr>
          <w:rFonts w:ascii="Times New Roman" w:hAnsi="Times New Roman" w:cs="Times New Roman"/>
          <w:sz w:val="24"/>
          <w:szCs w:val="24"/>
        </w:rPr>
        <w:t>fringe benefit tax (</w:t>
      </w:r>
      <w:proofErr w:type="spellStart"/>
      <w:r w:rsidRPr="0046344E">
        <w:rPr>
          <w:rFonts w:ascii="Times New Roman" w:hAnsi="Times New Roman" w:cs="Times New Roman"/>
          <w:sz w:val="24"/>
          <w:szCs w:val="24"/>
        </w:rPr>
        <w:t>FBT</w:t>
      </w:r>
      <w:proofErr w:type="spellEnd"/>
      <w:r w:rsidR="008E3413">
        <w:rPr>
          <w:rFonts w:ascii="Times New Roman" w:hAnsi="Times New Roman" w:cs="Times New Roman"/>
          <w:sz w:val="24"/>
          <w:szCs w:val="24"/>
        </w:rPr>
        <w:t>)</w:t>
      </w:r>
      <w:r w:rsidRPr="0046344E">
        <w:rPr>
          <w:rFonts w:ascii="Times New Roman" w:hAnsi="Times New Roman" w:cs="Times New Roman"/>
          <w:sz w:val="24"/>
          <w:szCs w:val="24"/>
        </w:rPr>
        <w:t>, account for vehicles and premises, and deduct employee remuneration. They also include some threshold adjustments to enable more small businesses access to simplified rules for</w:t>
      </w:r>
      <w:r w:rsidR="0046344E" w:rsidRPr="0046344E">
        <w:rPr>
          <w:rFonts w:ascii="Times New Roman" w:hAnsi="Times New Roman" w:cs="Times New Roman"/>
          <w:sz w:val="24"/>
          <w:szCs w:val="24"/>
        </w:rPr>
        <w:t xml:space="preserve"> filing and correcting errors.</w:t>
      </w:r>
    </w:p>
    <w:p w:rsidR="00061BE6" w:rsidRDefault="00061BE6" w:rsidP="00D314CD">
      <w:pPr>
        <w:spacing w:after="0" w:line="240" w:lineRule="auto"/>
        <w:jc w:val="both"/>
        <w:rPr>
          <w:rFonts w:ascii="Times New Roman" w:hAnsi="Times New Roman" w:cs="Times New Roman"/>
          <w:sz w:val="24"/>
          <w:szCs w:val="24"/>
        </w:rPr>
      </w:pPr>
    </w:p>
    <w:p w:rsidR="007142F0" w:rsidRPr="005D3931" w:rsidRDefault="007142F0" w:rsidP="00D314CD">
      <w:pPr>
        <w:spacing w:after="0" w:line="240" w:lineRule="auto"/>
        <w:jc w:val="both"/>
        <w:rPr>
          <w:rFonts w:ascii="Times New Roman" w:hAnsi="Times New Roman" w:cs="Times New Roman"/>
          <w:sz w:val="24"/>
          <w:szCs w:val="24"/>
        </w:rPr>
      </w:pPr>
    </w:p>
    <w:p w:rsidR="000446F0" w:rsidRPr="00E8196C" w:rsidRDefault="000446F0" w:rsidP="00E8196C">
      <w:pPr>
        <w:spacing w:after="0" w:line="240" w:lineRule="auto"/>
        <w:ind w:firstLine="720"/>
        <w:jc w:val="both"/>
        <w:rPr>
          <w:rFonts w:ascii="Times New Roman" w:hAnsi="Times New Roman" w:cs="Times New Roman"/>
          <w:b/>
          <w:i/>
          <w:sz w:val="24"/>
          <w:szCs w:val="24"/>
        </w:rPr>
      </w:pPr>
      <w:r w:rsidRPr="00E8196C">
        <w:rPr>
          <w:rFonts w:ascii="Times New Roman" w:hAnsi="Times New Roman" w:cs="Times New Roman"/>
          <w:b/>
          <w:i/>
          <w:sz w:val="24"/>
          <w:szCs w:val="24"/>
        </w:rPr>
        <w:t>Simplified calculat</w:t>
      </w:r>
      <w:r w:rsidR="006E78D2">
        <w:rPr>
          <w:rFonts w:ascii="Times New Roman" w:hAnsi="Times New Roman" w:cs="Times New Roman"/>
          <w:b/>
          <w:i/>
          <w:sz w:val="24"/>
          <w:szCs w:val="24"/>
        </w:rPr>
        <w:t>ion</w:t>
      </w:r>
      <w:r w:rsidRPr="00E8196C">
        <w:rPr>
          <w:rFonts w:ascii="Times New Roman" w:hAnsi="Times New Roman" w:cs="Times New Roman"/>
          <w:b/>
          <w:i/>
          <w:sz w:val="24"/>
          <w:szCs w:val="24"/>
        </w:rPr>
        <w:t xml:space="preserve"> of deductions for </w:t>
      </w:r>
      <w:r w:rsidR="00E8196C">
        <w:rPr>
          <w:rFonts w:ascii="Times New Roman" w:hAnsi="Times New Roman" w:cs="Times New Roman"/>
          <w:b/>
          <w:i/>
          <w:sz w:val="24"/>
          <w:szCs w:val="24"/>
        </w:rPr>
        <w:t xml:space="preserve">dual use </w:t>
      </w:r>
      <w:r w:rsidRPr="00E8196C">
        <w:rPr>
          <w:rFonts w:ascii="Times New Roman" w:hAnsi="Times New Roman" w:cs="Times New Roman"/>
          <w:b/>
          <w:i/>
          <w:sz w:val="24"/>
          <w:szCs w:val="24"/>
        </w:rPr>
        <w:t>vehicles and premises</w:t>
      </w:r>
    </w:p>
    <w:p w:rsidR="00061BE6" w:rsidRDefault="00061BE6" w:rsidP="000446F0">
      <w:pPr>
        <w:spacing w:after="0" w:line="240" w:lineRule="auto"/>
        <w:rPr>
          <w:rFonts w:ascii="Times New Roman" w:hAnsi="Times New Roman" w:cs="Times New Roman"/>
          <w:sz w:val="24"/>
          <w:szCs w:val="24"/>
        </w:rPr>
      </w:pPr>
    </w:p>
    <w:p w:rsidR="000446F0" w:rsidRDefault="000446F0" w:rsidP="000446F0">
      <w:pPr>
        <w:pStyle w:val="ListParagraph"/>
        <w:numPr>
          <w:ilvl w:val="0"/>
          <w:numId w:val="11"/>
        </w:numPr>
        <w:spacing w:after="0" w:line="240" w:lineRule="auto"/>
        <w:ind w:left="0" w:firstLine="0"/>
        <w:jc w:val="both"/>
        <w:rPr>
          <w:rFonts w:ascii="Times New Roman" w:hAnsi="Times New Roman" w:cs="Times New Roman"/>
          <w:sz w:val="24"/>
          <w:szCs w:val="24"/>
        </w:rPr>
      </w:pPr>
      <w:r w:rsidRPr="0043243C">
        <w:rPr>
          <w:rFonts w:ascii="Times New Roman" w:hAnsi="Times New Roman" w:cs="Times New Roman"/>
          <w:sz w:val="24"/>
          <w:szCs w:val="24"/>
        </w:rPr>
        <w:t>Small business owners often use their personal vehicles and homes for both business and private purposes. Currently they need to allocate all their related expenses between private and business use. The private use percentage might also vary between different items of expenditure. Because there are numerous expenses for these items, allocating these between business and personal use</w:t>
      </w:r>
      <w:r w:rsidRPr="0043243C" w:rsidDel="00C94897">
        <w:rPr>
          <w:rFonts w:ascii="Times New Roman" w:hAnsi="Times New Roman" w:cs="Times New Roman"/>
          <w:sz w:val="24"/>
          <w:szCs w:val="24"/>
        </w:rPr>
        <w:t xml:space="preserve"> </w:t>
      </w:r>
      <w:r w:rsidRPr="0043243C">
        <w:rPr>
          <w:rFonts w:ascii="Times New Roman" w:hAnsi="Times New Roman" w:cs="Times New Roman"/>
          <w:sz w:val="24"/>
          <w:szCs w:val="24"/>
        </w:rPr>
        <w:t>can create large compliance obligations compare</w:t>
      </w:r>
      <w:r w:rsidR="004808A1">
        <w:rPr>
          <w:rFonts w:ascii="Times New Roman" w:hAnsi="Times New Roman" w:cs="Times New Roman"/>
          <w:sz w:val="24"/>
          <w:szCs w:val="24"/>
        </w:rPr>
        <w:t>d to the amount of tax at stake.</w:t>
      </w:r>
    </w:p>
    <w:p w:rsidR="007574AE" w:rsidRDefault="007574AE" w:rsidP="00D42C53">
      <w:pPr>
        <w:spacing w:after="0" w:line="240" w:lineRule="auto"/>
        <w:jc w:val="both"/>
        <w:rPr>
          <w:rFonts w:ascii="Times New Roman" w:hAnsi="Times New Roman" w:cs="Times New Roman"/>
          <w:i/>
          <w:sz w:val="24"/>
          <w:szCs w:val="24"/>
        </w:rPr>
      </w:pPr>
    </w:p>
    <w:p w:rsidR="007574AE" w:rsidRPr="00D42C53" w:rsidRDefault="007574AE" w:rsidP="00D42C53">
      <w:pPr>
        <w:spacing w:after="0" w:line="240" w:lineRule="auto"/>
        <w:ind w:firstLine="720"/>
        <w:jc w:val="both"/>
        <w:rPr>
          <w:rFonts w:ascii="Times New Roman" w:hAnsi="Times New Roman" w:cs="Times New Roman"/>
          <w:i/>
          <w:sz w:val="24"/>
          <w:szCs w:val="24"/>
        </w:rPr>
      </w:pPr>
      <w:r w:rsidRPr="00D42C53">
        <w:rPr>
          <w:rFonts w:ascii="Times New Roman" w:hAnsi="Times New Roman" w:cs="Times New Roman"/>
          <w:i/>
          <w:sz w:val="24"/>
          <w:szCs w:val="24"/>
        </w:rPr>
        <w:t>Simplified calculation of deductions for dual use vehicles</w:t>
      </w:r>
    </w:p>
    <w:p w:rsidR="007574AE" w:rsidRDefault="007574AE" w:rsidP="007574AE">
      <w:pPr>
        <w:spacing w:after="0" w:line="240" w:lineRule="auto"/>
        <w:jc w:val="both"/>
        <w:rPr>
          <w:rFonts w:ascii="Times New Roman" w:hAnsi="Times New Roman" w:cs="Times New Roman"/>
          <w:b/>
          <w:i/>
          <w:sz w:val="24"/>
          <w:szCs w:val="24"/>
        </w:rPr>
      </w:pPr>
    </w:p>
    <w:p w:rsidR="007574AE" w:rsidRPr="009E0294" w:rsidRDefault="007574AE" w:rsidP="007574AE">
      <w:pPr>
        <w:spacing w:after="0" w:line="240" w:lineRule="auto"/>
        <w:jc w:val="both"/>
        <w:rPr>
          <w:rFonts w:ascii="Times New Roman" w:hAnsi="Times New Roman" w:cs="Times New Roman"/>
          <w:b/>
          <w:i/>
          <w:sz w:val="24"/>
          <w:szCs w:val="24"/>
        </w:rPr>
      </w:pPr>
      <w:r w:rsidRPr="009E0294">
        <w:rPr>
          <w:rFonts w:ascii="Times New Roman" w:hAnsi="Times New Roman" w:cs="Times New Roman"/>
          <w:b/>
          <w:i/>
          <w:sz w:val="24"/>
          <w:szCs w:val="24"/>
        </w:rPr>
        <w:t>Options and analysis</w:t>
      </w:r>
    </w:p>
    <w:p w:rsidR="007574AE" w:rsidRPr="004808A1" w:rsidRDefault="007574AE" w:rsidP="007574AE">
      <w:pPr>
        <w:spacing w:after="0" w:line="240" w:lineRule="auto"/>
        <w:jc w:val="both"/>
        <w:rPr>
          <w:rFonts w:ascii="Times New Roman" w:hAnsi="Times New Roman" w:cs="Times New Roman"/>
          <w:sz w:val="24"/>
          <w:szCs w:val="24"/>
        </w:rPr>
      </w:pPr>
    </w:p>
    <w:p w:rsidR="004808A1" w:rsidRPr="008D31DB" w:rsidRDefault="004808A1" w:rsidP="008D31DB">
      <w:pPr>
        <w:pStyle w:val="ListParagraph"/>
        <w:numPr>
          <w:ilvl w:val="0"/>
          <w:numId w:val="11"/>
        </w:numPr>
        <w:spacing w:after="0" w:line="240" w:lineRule="auto"/>
        <w:ind w:left="0" w:firstLine="0"/>
        <w:jc w:val="both"/>
        <w:rPr>
          <w:rFonts w:ascii="Times New Roman" w:hAnsi="Times New Roman" w:cs="Times New Roman"/>
          <w:sz w:val="24"/>
          <w:szCs w:val="24"/>
        </w:rPr>
      </w:pPr>
      <w:r w:rsidRPr="004808A1">
        <w:rPr>
          <w:rFonts w:ascii="Times New Roman" w:hAnsi="Times New Roman" w:cs="Times New Roman"/>
          <w:sz w:val="24"/>
          <w:szCs w:val="24"/>
        </w:rPr>
        <w:t>Officials have considered a number of options to address these concerns, which are summarised below and outlined in more detail in appendix</w:t>
      </w:r>
      <w:r w:rsidR="005C245B">
        <w:rPr>
          <w:rFonts w:ascii="Times New Roman" w:hAnsi="Times New Roman" w:cs="Times New Roman"/>
          <w:sz w:val="24"/>
          <w:szCs w:val="24"/>
        </w:rPr>
        <w:t xml:space="preserve"> E-1</w:t>
      </w:r>
      <w:r w:rsidRPr="004808A1">
        <w:rPr>
          <w:rFonts w:ascii="Times New Roman" w:hAnsi="Times New Roman" w:cs="Times New Roman"/>
          <w:sz w:val="24"/>
          <w:szCs w:val="24"/>
        </w:rPr>
        <w:t xml:space="preserve"> to this report.</w:t>
      </w:r>
    </w:p>
    <w:p w:rsidR="00E8196C" w:rsidRDefault="00E8196C" w:rsidP="00D314CD">
      <w:pPr>
        <w:spacing w:after="0" w:line="240" w:lineRule="auto"/>
        <w:jc w:val="both"/>
        <w:rPr>
          <w:rFonts w:ascii="Times New Roman" w:hAnsi="Times New Roman" w:cs="Times New Roman"/>
          <w:sz w:val="24"/>
          <w:szCs w:val="24"/>
        </w:rPr>
      </w:pPr>
    </w:p>
    <w:p w:rsidR="00E8196C" w:rsidRDefault="00E8196C" w:rsidP="00E8196C">
      <w:pPr>
        <w:pStyle w:val="ListParagraph"/>
        <w:spacing w:after="0" w:line="240" w:lineRule="auto"/>
        <w:ind w:left="0"/>
        <w:jc w:val="both"/>
        <w:rPr>
          <w:rFonts w:ascii="Times New Roman" w:hAnsi="Times New Roman" w:cs="Times New Roman"/>
          <w:sz w:val="24"/>
          <w:szCs w:val="24"/>
        </w:rPr>
      </w:pPr>
    </w:p>
    <w:tbl>
      <w:tblPr>
        <w:tblStyle w:val="TableGrid"/>
        <w:tblW w:w="9072" w:type="dxa"/>
        <w:tblInd w:w="108" w:type="dxa"/>
        <w:tblLook w:val="04A0" w:firstRow="1" w:lastRow="0" w:firstColumn="1" w:lastColumn="0" w:noHBand="0" w:noVBand="1"/>
      </w:tblPr>
      <w:tblGrid>
        <w:gridCol w:w="3828"/>
        <w:gridCol w:w="5244"/>
      </w:tblGrid>
      <w:tr w:rsidR="000576B9" w:rsidRPr="005D3931" w:rsidTr="000576B9">
        <w:tc>
          <w:tcPr>
            <w:tcW w:w="3828" w:type="dxa"/>
          </w:tcPr>
          <w:p w:rsidR="000576B9" w:rsidRPr="005D3931" w:rsidRDefault="000576B9" w:rsidP="00915120">
            <w:pPr>
              <w:jc w:val="both"/>
              <w:rPr>
                <w:rFonts w:ascii="Times New Roman" w:hAnsi="Times New Roman" w:cs="Times New Roman"/>
                <w:b/>
                <w:sz w:val="24"/>
                <w:szCs w:val="24"/>
              </w:rPr>
            </w:pPr>
            <w:r w:rsidRPr="005D3931">
              <w:rPr>
                <w:rFonts w:ascii="Times New Roman" w:hAnsi="Times New Roman" w:cs="Times New Roman"/>
                <w:b/>
                <w:sz w:val="24"/>
                <w:szCs w:val="24"/>
              </w:rPr>
              <w:t>Options</w:t>
            </w:r>
          </w:p>
        </w:tc>
        <w:tc>
          <w:tcPr>
            <w:tcW w:w="5244" w:type="dxa"/>
          </w:tcPr>
          <w:p w:rsidR="000576B9" w:rsidRPr="005D3931" w:rsidRDefault="000576B9" w:rsidP="00915120">
            <w:pPr>
              <w:jc w:val="both"/>
              <w:rPr>
                <w:rFonts w:ascii="Times New Roman" w:hAnsi="Times New Roman" w:cs="Times New Roman"/>
                <w:b/>
                <w:sz w:val="24"/>
                <w:szCs w:val="24"/>
              </w:rPr>
            </w:pPr>
            <w:r w:rsidRPr="005D3931">
              <w:rPr>
                <w:rFonts w:ascii="Times New Roman" w:hAnsi="Times New Roman" w:cs="Times New Roman"/>
                <w:b/>
                <w:sz w:val="24"/>
                <w:szCs w:val="24"/>
              </w:rPr>
              <w:t>Analysis against the objectives</w:t>
            </w:r>
          </w:p>
        </w:tc>
      </w:tr>
      <w:tr w:rsidR="000576B9" w:rsidRPr="005D3931" w:rsidTr="000576B9">
        <w:tc>
          <w:tcPr>
            <w:tcW w:w="3828" w:type="dxa"/>
          </w:tcPr>
          <w:p w:rsidR="000576B9" w:rsidRPr="005D3931" w:rsidRDefault="00D86138" w:rsidP="00C54805">
            <w:pPr>
              <w:jc w:val="both"/>
              <w:rPr>
                <w:rFonts w:ascii="Times New Roman" w:hAnsi="Times New Roman" w:cs="Times New Roman"/>
                <w:sz w:val="24"/>
                <w:szCs w:val="24"/>
              </w:rPr>
            </w:pPr>
            <w:r w:rsidRPr="005D3931">
              <w:rPr>
                <w:rFonts w:ascii="Times New Roman" w:hAnsi="Times New Roman" w:cs="Times New Roman"/>
                <w:sz w:val="24"/>
                <w:szCs w:val="24"/>
              </w:rPr>
              <w:t xml:space="preserve">1. </w:t>
            </w:r>
            <w:r w:rsidR="00C54805">
              <w:rPr>
                <w:rFonts w:ascii="Times New Roman" w:hAnsi="Times New Roman" w:cs="Times New Roman"/>
                <w:sz w:val="24"/>
                <w:szCs w:val="24"/>
              </w:rPr>
              <w:t>Retain the s</w:t>
            </w:r>
            <w:r w:rsidRPr="005D3931">
              <w:rPr>
                <w:rFonts w:ascii="Times New Roman" w:hAnsi="Times New Roman" w:cs="Times New Roman"/>
                <w:sz w:val="24"/>
                <w:szCs w:val="24"/>
              </w:rPr>
              <w:t>tatus quo</w:t>
            </w:r>
            <w:r w:rsidR="00D675C9" w:rsidRPr="005D3931">
              <w:rPr>
                <w:rFonts w:ascii="Times New Roman" w:hAnsi="Times New Roman" w:cs="Times New Roman"/>
                <w:sz w:val="24"/>
                <w:szCs w:val="24"/>
              </w:rPr>
              <w:t xml:space="preserve"> for vehicles</w:t>
            </w:r>
          </w:p>
        </w:tc>
        <w:tc>
          <w:tcPr>
            <w:tcW w:w="5244" w:type="dxa"/>
          </w:tcPr>
          <w:p w:rsidR="000576B9" w:rsidRPr="005D3931" w:rsidRDefault="000576B9" w:rsidP="00915120">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0576B9" w:rsidRPr="005D3931" w:rsidRDefault="000576B9" w:rsidP="00915120">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0576B9" w:rsidRPr="005D3931" w:rsidRDefault="00183E15" w:rsidP="00915120">
            <w:pPr>
              <w:jc w:val="both"/>
              <w:rPr>
                <w:rFonts w:ascii="Times New Roman" w:hAnsi="Times New Roman" w:cs="Times New Roman"/>
                <w:sz w:val="24"/>
                <w:szCs w:val="24"/>
              </w:rPr>
            </w:pPr>
            <w:r>
              <w:rPr>
                <w:rFonts w:ascii="Times New Roman" w:hAnsi="Times New Roman" w:cs="Times New Roman"/>
                <w:i/>
                <w:sz w:val="24"/>
                <w:szCs w:val="24"/>
              </w:rPr>
              <w:t>S</w:t>
            </w:r>
            <w:r w:rsidR="000576B9" w:rsidRPr="005D3931">
              <w:rPr>
                <w:rFonts w:ascii="Times New Roman" w:hAnsi="Times New Roman" w:cs="Times New Roman"/>
                <w:i/>
                <w:sz w:val="24"/>
                <w:szCs w:val="24"/>
              </w:rPr>
              <w:t>ustainability</w:t>
            </w:r>
            <w:r w:rsidR="000576B9"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0576B9" w:rsidRPr="005D3931" w:rsidRDefault="000576B9" w:rsidP="00915120">
            <w:pPr>
              <w:jc w:val="both"/>
              <w:rPr>
                <w:rFonts w:ascii="Times New Roman" w:hAnsi="Times New Roman" w:cs="Times New Roman"/>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sidR="00D675C9" w:rsidRPr="005D3931">
              <w:rPr>
                <w:rFonts w:ascii="Times New Roman" w:hAnsi="Times New Roman" w:cs="Times New Roman"/>
                <w:sz w:val="24"/>
                <w:szCs w:val="24"/>
              </w:rPr>
              <w:t xml:space="preserve"> no impact</w:t>
            </w:r>
          </w:p>
        </w:tc>
      </w:tr>
      <w:tr w:rsidR="00D86138" w:rsidRPr="005D3931" w:rsidTr="000576B9">
        <w:tc>
          <w:tcPr>
            <w:tcW w:w="3828" w:type="dxa"/>
          </w:tcPr>
          <w:p w:rsidR="00D86138" w:rsidRPr="005D3931" w:rsidRDefault="00D86138" w:rsidP="00D86138">
            <w:pPr>
              <w:jc w:val="both"/>
              <w:rPr>
                <w:rFonts w:ascii="Times New Roman" w:hAnsi="Times New Roman" w:cs="Times New Roman"/>
                <w:sz w:val="24"/>
                <w:szCs w:val="24"/>
              </w:rPr>
            </w:pPr>
            <w:r w:rsidRPr="005D3931">
              <w:rPr>
                <w:rFonts w:ascii="Times New Roman" w:hAnsi="Times New Roman" w:cs="Times New Roman"/>
                <w:sz w:val="24"/>
                <w:szCs w:val="24"/>
              </w:rPr>
              <w:t>2. Optional single rate for vehicles</w:t>
            </w:r>
          </w:p>
        </w:tc>
        <w:tc>
          <w:tcPr>
            <w:tcW w:w="5244" w:type="dxa"/>
          </w:tcPr>
          <w:p w:rsidR="00D86138" w:rsidRPr="005D3931" w:rsidRDefault="00D86138" w:rsidP="00D86138">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D86138" w:rsidRPr="005D3931" w:rsidRDefault="00D86138" w:rsidP="00D86138">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D86138" w:rsidRPr="005D3931" w:rsidRDefault="00183E15" w:rsidP="00D86138">
            <w:pPr>
              <w:jc w:val="both"/>
              <w:rPr>
                <w:rFonts w:ascii="Times New Roman" w:hAnsi="Times New Roman" w:cs="Times New Roman"/>
                <w:sz w:val="24"/>
                <w:szCs w:val="24"/>
              </w:rPr>
            </w:pPr>
            <w:r>
              <w:rPr>
                <w:rFonts w:ascii="Times New Roman" w:hAnsi="Times New Roman" w:cs="Times New Roman"/>
                <w:i/>
                <w:sz w:val="24"/>
                <w:szCs w:val="24"/>
              </w:rPr>
              <w:t>S</w:t>
            </w:r>
            <w:r w:rsidR="00D86138" w:rsidRPr="005D3931">
              <w:rPr>
                <w:rFonts w:ascii="Times New Roman" w:hAnsi="Times New Roman" w:cs="Times New Roman"/>
                <w:i/>
                <w:sz w:val="24"/>
                <w:szCs w:val="24"/>
              </w:rPr>
              <w:t>ustainability</w:t>
            </w:r>
            <w:r w:rsidR="00D86138"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D86138" w:rsidRPr="005D3931" w:rsidRDefault="00D86138" w:rsidP="00BC4745">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sidR="00D675C9" w:rsidRPr="005D3931">
              <w:rPr>
                <w:rFonts w:ascii="Times New Roman" w:hAnsi="Times New Roman" w:cs="Times New Roman"/>
                <w:sz w:val="24"/>
                <w:szCs w:val="24"/>
              </w:rPr>
              <w:t xml:space="preserve"> small revenue </w:t>
            </w:r>
            <w:r w:rsidR="00BC4745">
              <w:rPr>
                <w:rFonts w:ascii="Times New Roman" w:hAnsi="Times New Roman" w:cs="Times New Roman"/>
                <w:sz w:val="24"/>
                <w:szCs w:val="24"/>
              </w:rPr>
              <w:t>cost</w:t>
            </w:r>
          </w:p>
        </w:tc>
      </w:tr>
      <w:tr w:rsidR="00D86138" w:rsidRPr="005D3931" w:rsidTr="000576B9">
        <w:tc>
          <w:tcPr>
            <w:tcW w:w="3828" w:type="dxa"/>
          </w:tcPr>
          <w:p w:rsidR="00D86138" w:rsidRPr="005D3931" w:rsidRDefault="00D86138" w:rsidP="00D86138">
            <w:pPr>
              <w:jc w:val="both"/>
              <w:rPr>
                <w:rFonts w:ascii="Times New Roman" w:hAnsi="Times New Roman" w:cs="Times New Roman"/>
                <w:sz w:val="24"/>
                <w:szCs w:val="24"/>
              </w:rPr>
            </w:pPr>
            <w:r w:rsidRPr="005D3931">
              <w:rPr>
                <w:rFonts w:ascii="Times New Roman" w:hAnsi="Times New Roman" w:cs="Times New Roman"/>
                <w:sz w:val="24"/>
                <w:szCs w:val="24"/>
              </w:rPr>
              <w:t>3. Compulsory single rate for vehicles</w:t>
            </w:r>
          </w:p>
        </w:tc>
        <w:tc>
          <w:tcPr>
            <w:tcW w:w="5244" w:type="dxa"/>
          </w:tcPr>
          <w:p w:rsidR="00D86138" w:rsidRPr="005D3931" w:rsidRDefault="00D86138" w:rsidP="00D86138">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D86138" w:rsidRPr="005D3931" w:rsidRDefault="00D86138" w:rsidP="00D86138">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D86138" w:rsidRPr="005D3931" w:rsidRDefault="00183E15" w:rsidP="00D86138">
            <w:pPr>
              <w:jc w:val="both"/>
              <w:rPr>
                <w:rFonts w:ascii="Times New Roman" w:hAnsi="Times New Roman" w:cs="Times New Roman"/>
                <w:sz w:val="24"/>
                <w:szCs w:val="24"/>
              </w:rPr>
            </w:pPr>
            <w:r>
              <w:rPr>
                <w:rFonts w:ascii="Times New Roman" w:hAnsi="Times New Roman" w:cs="Times New Roman"/>
                <w:i/>
                <w:sz w:val="24"/>
                <w:szCs w:val="24"/>
              </w:rPr>
              <w:t>S</w:t>
            </w:r>
            <w:r w:rsidR="00D86138" w:rsidRPr="005D3931">
              <w:rPr>
                <w:rFonts w:ascii="Times New Roman" w:hAnsi="Times New Roman" w:cs="Times New Roman"/>
                <w:i/>
                <w:sz w:val="24"/>
                <w:szCs w:val="24"/>
              </w:rPr>
              <w:t>ustainability</w:t>
            </w:r>
            <w:r w:rsidR="00D86138"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D86138" w:rsidRPr="005D3931" w:rsidRDefault="00D86138" w:rsidP="00D86138">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sidR="00D675C9" w:rsidRPr="005D3931">
              <w:rPr>
                <w:rFonts w:ascii="Times New Roman" w:hAnsi="Times New Roman" w:cs="Times New Roman"/>
                <w:sz w:val="24"/>
                <w:szCs w:val="24"/>
              </w:rPr>
              <w:t xml:space="preserve"> no impact</w:t>
            </w:r>
          </w:p>
        </w:tc>
      </w:tr>
    </w:tbl>
    <w:p w:rsidR="00E8196C" w:rsidRDefault="00E8196C" w:rsidP="00E8196C">
      <w:pPr>
        <w:spacing w:after="0" w:line="240" w:lineRule="auto"/>
        <w:jc w:val="both"/>
        <w:rPr>
          <w:rFonts w:ascii="Times New Roman" w:hAnsi="Times New Roman" w:cs="Times New Roman"/>
          <w:b/>
          <w:i/>
          <w:sz w:val="24"/>
          <w:szCs w:val="24"/>
        </w:rPr>
      </w:pPr>
    </w:p>
    <w:p w:rsidR="00E8196C" w:rsidRPr="00061BE6" w:rsidRDefault="00E8196C" w:rsidP="00E8196C">
      <w:pPr>
        <w:spacing w:after="0" w:line="240" w:lineRule="auto"/>
        <w:jc w:val="both"/>
        <w:rPr>
          <w:rFonts w:ascii="Times New Roman" w:hAnsi="Times New Roman" w:cs="Times New Roman"/>
          <w:b/>
          <w:i/>
          <w:sz w:val="24"/>
          <w:szCs w:val="24"/>
        </w:rPr>
      </w:pPr>
      <w:r w:rsidRPr="00061BE6">
        <w:rPr>
          <w:rFonts w:ascii="Times New Roman" w:hAnsi="Times New Roman" w:cs="Times New Roman"/>
          <w:b/>
          <w:i/>
          <w:sz w:val="24"/>
          <w:szCs w:val="24"/>
        </w:rPr>
        <w:t>Recommendation</w:t>
      </w:r>
    </w:p>
    <w:p w:rsidR="00E8196C" w:rsidRPr="005D3931" w:rsidRDefault="00E8196C" w:rsidP="00E8196C">
      <w:pPr>
        <w:spacing w:after="0" w:line="240" w:lineRule="auto"/>
        <w:jc w:val="both"/>
        <w:rPr>
          <w:rFonts w:ascii="Times New Roman" w:hAnsi="Times New Roman" w:cs="Times New Roman"/>
          <w:i/>
          <w:sz w:val="24"/>
          <w:szCs w:val="24"/>
        </w:rPr>
      </w:pPr>
    </w:p>
    <w:p w:rsidR="00E8196C" w:rsidRPr="00D04D6B" w:rsidRDefault="00E8196C" w:rsidP="00E8196C">
      <w:pPr>
        <w:pStyle w:val="ListParagraph"/>
        <w:numPr>
          <w:ilvl w:val="0"/>
          <w:numId w:val="11"/>
        </w:numPr>
        <w:spacing w:after="0" w:line="240" w:lineRule="auto"/>
        <w:ind w:left="0" w:firstLine="0"/>
        <w:jc w:val="both"/>
        <w:rPr>
          <w:rFonts w:ascii="Times New Roman" w:hAnsi="Times New Roman" w:cs="Times New Roman"/>
          <w:sz w:val="24"/>
          <w:szCs w:val="24"/>
        </w:rPr>
      </w:pPr>
      <w:r w:rsidRPr="00D04D6B">
        <w:rPr>
          <w:rFonts w:ascii="Times New Roman" w:hAnsi="Times New Roman" w:cs="Times New Roman"/>
          <w:sz w:val="24"/>
          <w:szCs w:val="24"/>
        </w:rPr>
        <w:t xml:space="preserve">Officials recommend </w:t>
      </w:r>
      <w:r w:rsidRPr="008D31DB">
        <w:rPr>
          <w:rFonts w:ascii="Times New Roman" w:hAnsi="Times New Roman" w:cs="Times New Roman"/>
          <w:sz w:val="24"/>
          <w:szCs w:val="24"/>
        </w:rPr>
        <w:t xml:space="preserve">option 2 </w:t>
      </w:r>
      <w:proofErr w:type="gramStart"/>
      <w:r w:rsidRPr="00D04D6B">
        <w:rPr>
          <w:rFonts w:ascii="Times New Roman" w:hAnsi="Times New Roman" w:cs="Times New Roman"/>
          <w:sz w:val="24"/>
          <w:szCs w:val="24"/>
        </w:rPr>
        <w:t>be</w:t>
      </w:r>
      <w:proofErr w:type="gramEnd"/>
      <w:r w:rsidRPr="00D04D6B">
        <w:rPr>
          <w:rFonts w:ascii="Times New Roman" w:hAnsi="Times New Roman" w:cs="Times New Roman"/>
          <w:sz w:val="24"/>
          <w:szCs w:val="24"/>
        </w:rPr>
        <w:t xml:space="preserve"> adopted as the calculation method for vehicles. While an optional method has some disadvantages in terms of efficiency and sustainability, </w:t>
      </w:r>
      <w:r>
        <w:rPr>
          <w:rFonts w:ascii="Times New Roman" w:hAnsi="Times New Roman" w:cs="Times New Roman"/>
          <w:sz w:val="24"/>
          <w:szCs w:val="24"/>
        </w:rPr>
        <w:t>o</w:t>
      </w:r>
      <w:r w:rsidRPr="00D04D6B">
        <w:rPr>
          <w:rFonts w:ascii="Times New Roman" w:hAnsi="Times New Roman" w:cs="Times New Roman"/>
          <w:sz w:val="24"/>
          <w:szCs w:val="24"/>
        </w:rPr>
        <w:t xml:space="preserve">fficials consider the variance in the actual costs of car ownership is too wide for a compulsory single rate to be acceptably fair. </w:t>
      </w:r>
      <w:r w:rsidR="004E12CC">
        <w:rPr>
          <w:rFonts w:ascii="Times New Roman" w:hAnsi="Times New Roman" w:cs="Times New Roman"/>
          <w:sz w:val="24"/>
          <w:szCs w:val="24"/>
        </w:rPr>
        <w:t xml:space="preserve">Introducing a new option will prompt some taxpayers to undertake both sets of calculations, in order to determine which gives the best result, and thereby undermine the compliance savings.  It is unlikely that taxpayers would do this every year as vehicle expenses would likely remain fairly stable and so a reassessment of the calculation options would not be necessary. </w:t>
      </w:r>
      <w:r w:rsidRPr="00D04D6B">
        <w:rPr>
          <w:rFonts w:ascii="Times New Roman" w:hAnsi="Times New Roman" w:cs="Times New Roman"/>
          <w:sz w:val="24"/>
          <w:szCs w:val="24"/>
        </w:rPr>
        <w:t xml:space="preserve">Owners of newer and more expensive cars may see </w:t>
      </w:r>
      <w:r w:rsidR="00E907AB">
        <w:rPr>
          <w:rFonts w:ascii="Times New Roman" w:hAnsi="Times New Roman" w:cs="Times New Roman"/>
          <w:sz w:val="24"/>
          <w:szCs w:val="24"/>
        </w:rPr>
        <w:t>a compulsory</w:t>
      </w:r>
      <w:r w:rsidR="00E907AB" w:rsidRPr="00D04D6B">
        <w:rPr>
          <w:rFonts w:ascii="Times New Roman" w:hAnsi="Times New Roman" w:cs="Times New Roman"/>
          <w:sz w:val="24"/>
          <w:szCs w:val="24"/>
        </w:rPr>
        <w:t xml:space="preserve"> </w:t>
      </w:r>
      <w:r w:rsidRPr="00D04D6B">
        <w:rPr>
          <w:rFonts w:ascii="Times New Roman" w:hAnsi="Times New Roman" w:cs="Times New Roman"/>
          <w:sz w:val="24"/>
          <w:szCs w:val="24"/>
        </w:rPr>
        <w:t>measure as a cap on their deductions rather than a simplification. A more accurate compulsory method could be developed, but this would erode the compliance cost benefits.</w:t>
      </w:r>
    </w:p>
    <w:p w:rsidR="00E8196C" w:rsidRDefault="00E8196C" w:rsidP="00E8196C">
      <w:pPr>
        <w:spacing w:after="0" w:line="240" w:lineRule="auto"/>
        <w:jc w:val="both"/>
        <w:rPr>
          <w:rFonts w:ascii="Times New Roman" w:hAnsi="Times New Roman" w:cs="Times New Roman"/>
          <w:sz w:val="24"/>
          <w:szCs w:val="24"/>
        </w:rPr>
      </w:pPr>
    </w:p>
    <w:p w:rsidR="007142F0" w:rsidRPr="005D3931" w:rsidRDefault="007142F0" w:rsidP="00E8196C">
      <w:pPr>
        <w:spacing w:after="0" w:line="240" w:lineRule="auto"/>
        <w:jc w:val="both"/>
        <w:rPr>
          <w:rFonts w:ascii="Times New Roman" w:hAnsi="Times New Roman" w:cs="Times New Roman"/>
          <w:sz w:val="24"/>
          <w:szCs w:val="24"/>
        </w:rPr>
      </w:pPr>
    </w:p>
    <w:p w:rsidR="00E8196C" w:rsidRPr="00DC53C9" w:rsidRDefault="00E8196C" w:rsidP="00E8196C">
      <w:pPr>
        <w:spacing w:after="0" w:line="240" w:lineRule="auto"/>
        <w:ind w:firstLine="720"/>
        <w:jc w:val="both"/>
        <w:rPr>
          <w:rFonts w:ascii="Times New Roman" w:hAnsi="Times New Roman" w:cs="Times New Roman"/>
          <w:i/>
          <w:sz w:val="24"/>
          <w:szCs w:val="24"/>
        </w:rPr>
      </w:pPr>
      <w:r w:rsidRPr="00DC53C9">
        <w:rPr>
          <w:rFonts w:ascii="Times New Roman" w:hAnsi="Times New Roman" w:cs="Times New Roman"/>
          <w:i/>
          <w:sz w:val="24"/>
          <w:szCs w:val="24"/>
        </w:rPr>
        <w:t>Simplified calculation of deductions for dual use premises</w:t>
      </w:r>
    </w:p>
    <w:p w:rsidR="00043703" w:rsidRDefault="00043703" w:rsidP="005C245B">
      <w:pPr>
        <w:spacing w:after="0" w:line="240" w:lineRule="auto"/>
        <w:jc w:val="both"/>
        <w:rPr>
          <w:rFonts w:ascii="Times New Roman" w:hAnsi="Times New Roman" w:cs="Times New Roman"/>
          <w:b/>
          <w:i/>
          <w:sz w:val="24"/>
          <w:szCs w:val="24"/>
        </w:rPr>
      </w:pPr>
    </w:p>
    <w:p w:rsidR="005C245B" w:rsidRPr="009E0294" w:rsidRDefault="005C245B" w:rsidP="005C245B">
      <w:pPr>
        <w:spacing w:after="0" w:line="240" w:lineRule="auto"/>
        <w:jc w:val="both"/>
        <w:rPr>
          <w:rFonts w:ascii="Times New Roman" w:hAnsi="Times New Roman" w:cs="Times New Roman"/>
          <w:b/>
          <w:i/>
          <w:sz w:val="24"/>
          <w:szCs w:val="24"/>
        </w:rPr>
      </w:pPr>
      <w:r w:rsidRPr="009E0294">
        <w:rPr>
          <w:rFonts w:ascii="Times New Roman" w:hAnsi="Times New Roman" w:cs="Times New Roman"/>
          <w:b/>
          <w:i/>
          <w:sz w:val="24"/>
          <w:szCs w:val="24"/>
        </w:rPr>
        <w:t>Options and analysis</w:t>
      </w:r>
    </w:p>
    <w:p w:rsidR="005C245B" w:rsidRPr="004808A1" w:rsidRDefault="005C245B" w:rsidP="005C245B">
      <w:pPr>
        <w:spacing w:after="0" w:line="240" w:lineRule="auto"/>
        <w:jc w:val="both"/>
        <w:rPr>
          <w:rFonts w:ascii="Times New Roman" w:hAnsi="Times New Roman" w:cs="Times New Roman"/>
          <w:sz w:val="24"/>
          <w:szCs w:val="24"/>
        </w:rPr>
      </w:pPr>
    </w:p>
    <w:p w:rsidR="00E8196C" w:rsidRDefault="00C4105A" w:rsidP="008D31DB">
      <w:pPr>
        <w:pStyle w:val="ListParagraph"/>
        <w:numPr>
          <w:ilvl w:val="0"/>
          <w:numId w:val="11"/>
        </w:numPr>
        <w:spacing w:after="0" w:line="240" w:lineRule="auto"/>
        <w:ind w:left="0" w:firstLine="0"/>
        <w:jc w:val="both"/>
        <w:rPr>
          <w:rFonts w:ascii="Times New Roman" w:hAnsi="Times New Roman" w:cs="Times New Roman"/>
          <w:sz w:val="24"/>
          <w:szCs w:val="24"/>
        </w:rPr>
      </w:pPr>
      <w:r w:rsidRPr="004808A1">
        <w:rPr>
          <w:rFonts w:ascii="Times New Roman" w:hAnsi="Times New Roman" w:cs="Times New Roman"/>
          <w:sz w:val="24"/>
          <w:szCs w:val="24"/>
        </w:rPr>
        <w:t>Officials have considered a number of options to address these concerns, which are summarised below and outlined in more detail in appendix</w:t>
      </w:r>
      <w:r>
        <w:rPr>
          <w:rFonts w:ascii="Times New Roman" w:hAnsi="Times New Roman" w:cs="Times New Roman"/>
          <w:sz w:val="24"/>
          <w:szCs w:val="24"/>
        </w:rPr>
        <w:t xml:space="preserve"> </w:t>
      </w:r>
      <w:r w:rsidR="005C245B">
        <w:rPr>
          <w:rFonts w:ascii="Times New Roman" w:hAnsi="Times New Roman" w:cs="Times New Roman"/>
          <w:sz w:val="24"/>
          <w:szCs w:val="24"/>
        </w:rPr>
        <w:t>E-2</w:t>
      </w:r>
      <w:r w:rsidR="005C245B" w:rsidRPr="004808A1">
        <w:rPr>
          <w:rFonts w:ascii="Times New Roman" w:hAnsi="Times New Roman" w:cs="Times New Roman"/>
          <w:sz w:val="24"/>
          <w:szCs w:val="24"/>
        </w:rPr>
        <w:t xml:space="preserve"> to this report.</w:t>
      </w:r>
    </w:p>
    <w:p w:rsidR="005C245B" w:rsidRPr="00E8196C" w:rsidRDefault="005C245B" w:rsidP="008D31DB">
      <w:pPr>
        <w:pStyle w:val="ListParagraph"/>
        <w:spacing w:after="0" w:line="240" w:lineRule="auto"/>
        <w:ind w:left="0"/>
        <w:jc w:val="both"/>
        <w:rPr>
          <w:rFonts w:ascii="Times New Roman" w:hAnsi="Times New Roman" w:cs="Times New Roman"/>
          <w:sz w:val="24"/>
          <w:szCs w:val="24"/>
        </w:rPr>
      </w:pPr>
    </w:p>
    <w:tbl>
      <w:tblPr>
        <w:tblStyle w:val="TableGrid"/>
        <w:tblW w:w="9072" w:type="dxa"/>
        <w:tblInd w:w="108" w:type="dxa"/>
        <w:tblLook w:val="04A0" w:firstRow="1" w:lastRow="0" w:firstColumn="1" w:lastColumn="0" w:noHBand="0" w:noVBand="1"/>
      </w:tblPr>
      <w:tblGrid>
        <w:gridCol w:w="3828"/>
        <w:gridCol w:w="5244"/>
      </w:tblGrid>
      <w:tr w:rsidR="00B53CDE" w:rsidRPr="005D3931" w:rsidTr="00B53CDE">
        <w:trPr>
          <w:trHeight w:val="340"/>
        </w:trPr>
        <w:tc>
          <w:tcPr>
            <w:tcW w:w="3828" w:type="dxa"/>
          </w:tcPr>
          <w:p w:rsidR="00B53CDE" w:rsidRPr="005D3931" w:rsidRDefault="00B53CDE" w:rsidP="00B53CDE">
            <w:pPr>
              <w:jc w:val="both"/>
              <w:rPr>
                <w:rFonts w:ascii="Times New Roman" w:hAnsi="Times New Roman" w:cs="Times New Roman"/>
                <w:b/>
                <w:sz w:val="24"/>
                <w:szCs w:val="24"/>
              </w:rPr>
            </w:pPr>
            <w:r w:rsidRPr="005D3931">
              <w:rPr>
                <w:rFonts w:ascii="Times New Roman" w:hAnsi="Times New Roman" w:cs="Times New Roman"/>
                <w:b/>
                <w:sz w:val="24"/>
                <w:szCs w:val="24"/>
              </w:rPr>
              <w:t>Option</w:t>
            </w:r>
          </w:p>
        </w:tc>
        <w:tc>
          <w:tcPr>
            <w:tcW w:w="5244" w:type="dxa"/>
          </w:tcPr>
          <w:p w:rsidR="00B53CDE" w:rsidRPr="005D3931" w:rsidRDefault="00B53CDE" w:rsidP="00B53CDE">
            <w:pPr>
              <w:jc w:val="both"/>
              <w:rPr>
                <w:rFonts w:ascii="Times New Roman" w:hAnsi="Times New Roman" w:cs="Times New Roman"/>
                <w:b/>
                <w:sz w:val="24"/>
                <w:szCs w:val="24"/>
              </w:rPr>
            </w:pPr>
            <w:r w:rsidRPr="005D3931">
              <w:rPr>
                <w:rFonts w:ascii="Times New Roman" w:hAnsi="Times New Roman" w:cs="Times New Roman"/>
                <w:b/>
                <w:sz w:val="24"/>
                <w:szCs w:val="24"/>
              </w:rPr>
              <w:t>Analysis against the objectives</w:t>
            </w:r>
          </w:p>
        </w:tc>
      </w:tr>
      <w:tr w:rsidR="00D86138" w:rsidRPr="005D3931" w:rsidTr="000576B9">
        <w:tc>
          <w:tcPr>
            <w:tcW w:w="3828" w:type="dxa"/>
          </w:tcPr>
          <w:p w:rsidR="00D86138" w:rsidRPr="005D3931" w:rsidRDefault="00E907AB" w:rsidP="00C54805">
            <w:pPr>
              <w:jc w:val="both"/>
              <w:rPr>
                <w:rFonts w:ascii="Times New Roman" w:hAnsi="Times New Roman" w:cs="Times New Roman"/>
                <w:sz w:val="24"/>
                <w:szCs w:val="24"/>
              </w:rPr>
            </w:pPr>
            <w:r>
              <w:rPr>
                <w:rFonts w:ascii="Times New Roman" w:hAnsi="Times New Roman" w:cs="Times New Roman"/>
                <w:sz w:val="24"/>
                <w:szCs w:val="24"/>
              </w:rPr>
              <w:t>1</w:t>
            </w:r>
            <w:r w:rsidR="00D86138" w:rsidRPr="005D3931">
              <w:rPr>
                <w:rFonts w:ascii="Times New Roman" w:hAnsi="Times New Roman" w:cs="Times New Roman"/>
                <w:sz w:val="24"/>
                <w:szCs w:val="24"/>
              </w:rPr>
              <w:t xml:space="preserve">. </w:t>
            </w:r>
            <w:r w:rsidR="00C54805">
              <w:rPr>
                <w:rFonts w:ascii="Times New Roman" w:hAnsi="Times New Roman" w:cs="Times New Roman"/>
                <w:sz w:val="24"/>
                <w:szCs w:val="24"/>
              </w:rPr>
              <w:t>Retain the s</w:t>
            </w:r>
            <w:r w:rsidR="00D86138" w:rsidRPr="005D3931">
              <w:rPr>
                <w:rFonts w:ascii="Times New Roman" w:hAnsi="Times New Roman" w:cs="Times New Roman"/>
                <w:sz w:val="24"/>
                <w:szCs w:val="24"/>
              </w:rPr>
              <w:t>tatus quo for premises</w:t>
            </w:r>
          </w:p>
        </w:tc>
        <w:tc>
          <w:tcPr>
            <w:tcW w:w="5244" w:type="dxa"/>
          </w:tcPr>
          <w:p w:rsidR="00C434B5" w:rsidRPr="005D3931" w:rsidRDefault="00C434B5" w:rsidP="00C434B5">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C434B5" w:rsidRPr="005D3931" w:rsidRDefault="00C434B5" w:rsidP="00C434B5">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C434B5" w:rsidRPr="005D3931" w:rsidRDefault="00183E15" w:rsidP="00C434B5">
            <w:pPr>
              <w:jc w:val="both"/>
              <w:rPr>
                <w:rFonts w:ascii="Times New Roman" w:hAnsi="Times New Roman" w:cs="Times New Roman"/>
                <w:sz w:val="24"/>
                <w:szCs w:val="24"/>
              </w:rPr>
            </w:pPr>
            <w:r>
              <w:rPr>
                <w:rFonts w:ascii="Times New Roman" w:hAnsi="Times New Roman" w:cs="Times New Roman"/>
                <w:i/>
                <w:sz w:val="24"/>
                <w:szCs w:val="24"/>
              </w:rPr>
              <w:t>S</w:t>
            </w:r>
            <w:r w:rsidR="00C434B5" w:rsidRPr="005D3931">
              <w:rPr>
                <w:rFonts w:ascii="Times New Roman" w:hAnsi="Times New Roman" w:cs="Times New Roman"/>
                <w:i/>
                <w:sz w:val="24"/>
                <w:szCs w:val="24"/>
              </w:rPr>
              <w:t>ustainability</w:t>
            </w:r>
            <w:r w:rsidR="00C434B5"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D86138" w:rsidRPr="005D3931" w:rsidRDefault="00C434B5" w:rsidP="00C434B5">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sidR="00D675C9" w:rsidRPr="005D3931">
              <w:rPr>
                <w:rFonts w:ascii="Times New Roman" w:hAnsi="Times New Roman" w:cs="Times New Roman"/>
                <w:sz w:val="24"/>
                <w:szCs w:val="24"/>
              </w:rPr>
              <w:t xml:space="preserve"> no impact</w:t>
            </w:r>
          </w:p>
        </w:tc>
      </w:tr>
      <w:tr w:rsidR="00D86138" w:rsidRPr="005D3931" w:rsidTr="000576B9">
        <w:tc>
          <w:tcPr>
            <w:tcW w:w="3828" w:type="dxa"/>
          </w:tcPr>
          <w:p w:rsidR="00D86138" w:rsidRPr="005D3931" w:rsidRDefault="00E907AB" w:rsidP="00915120">
            <w:pPr>
              <w:jc w:val="both"/>
              <w:rPr>
                <w:rFonts w:ascii="Times New Roman" w:hAnsi="Times New Roman" w:cs="Times New Roman"/>
                <w:sz w:val="24"/>
                <w:szCs w:val="24"/>
              </w:rPr>
            </w:pPr>
            <w:r>
              <w:rPr>
                <w:rFonts w:ascii="Times New Roman" w:hAnsi="Times New Roman" w:cs="Times New Roman"/>
                <w:sz w:val="24"/>
                <w:szCs w:val="24"/>
              </w:rPr>
              <w:t>2</w:t>
            </w:r>
            <w:r w:rsidR="00D86138" w:rsidRPr="005D3931">
              <w:rPr>
                <w:rFonts w:ascii="Times New Roman" w:hAnsi="Times New Roman" w:cs="Times New Roman"/>
                <w:sz w:val="24"/>
                <w:szCs w:val="24"/>
              </w:rPr>
              <w:t>. Optional single rate for premises</w:t>
            </w:r>
          </w:p>
        </w:tc>
        <w:tc>
          <w:tcPr>
            <w:tcW w:w="5244" w:type="dxa"/>
          </w:tcPr>
          <w:p w:rsidR="00C434B5" w:rsidRPr="005D3931" w:rsidRDefault="00C434B5" w:rsidP="00C434B5">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C434B5" w:rsidRPr="005D3931" w:rsidRDefault="00C434B5" w:rsidP="00C434B5">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C434B5" w:rsidRPr="005D3931" w:rsidRDefault="00183E15" w:rsidP="00C434B5">
            <w:pPr>
              <w:jc w:val="both"/>
              <w:rPr>
                <w:rFonts w:ascii="Times New Roman" w:hAnsi="Times New Roman" w:cs="Times New Roman"/>
                <w:sz w:val="24"/>
                <w:szCs w:val="24"/>
              </w:rPr>
            </w:pPr>
            <w:r>
              <w:rPr>
                <w:rFonts w:ascii="Times New Roman" w:hAnsi="Times New Roman" w:cs="Times New Roman"/>
                <w:i/>
                <w:sz w:val="24"/>
                <w:szCs w:val="24"/>
              </w:rPr>
              <w:t>S</w:t>
            </w:r>
            <w:r w:rsidR="00C434B5" w:rsidRPr="005D3931">
              <w:rPr>
                <w:rFonts w:ascii="Times New Roman" w:hAnsi="Times New Roman" w:cs="Times New Roman"/>
                <w:i/>
                <w:sz w:val="24"/>
                <w:szCs w:val="24"/>
              </w:rPr>
              <w:t>ustainability</w:t>
            </w:r>
            <w:r w:rsidR="00C434B5"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D86138" w:rsidRPr="005D3931" w:rsidRDefault="00C434B5" w:rsidP="00BC4745">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sidR="00D675C9" w:rsidRPr="005D3931">
              <w:rPr>
                <w:rFonts w:ascii="Times New Roman" w:hAnsi="Times New Roman" w:cs="Times New Roman"/>
                <w:sz w:val="24"/>
                <w:szCs w:val="24"/>
              </w:rPr>
              <w:t xml:space="preserve"> small revenue </w:t>
            </w:r>
            <w:r w:rsidR="00BC4745">
              <w:rPr>
                <w:rFonts w:ascii="Times New Roman" w:hAnsi="Times New Roman" w:cs="Times New Roman"/>
                <w:sz w:val="24"/>
                <w:szCs w:val="24"/>
              </w:rPr>
              <w:t>cost</w:t>
            </w:r>
          </w:p>
        </w:tc>
      </w:tr>
      <w:tr w:rsidR="00D86138" w:rsidRPr="005D3931" w:rsidTr="000576B9">
        <w:tc>
          <w:tcPr>
            <w:tcW w:w="3828" w:type="dxa"/>
          </w:tcPr>
          <w:p w:rsidR="00D86138" w:rsidRPr="005D3931" w:rsidRDefault="00E907AB" w:rsidP="00D42C53">
            <w:pPr>
              <w:rPr>
                <w:rFonts w:ascii="Times New Roman" w:hAnsi="Times New Roman" w:cs="Times New Roman"/>
                <w:sz w:val="24"/>
                <w:szCs w:val="24"/>
              </w:rPr>
            </w:pPr>
            <w:r>
              <w:rPr>
                <w:rFonts w:ascii="Times New Roman" w:hAnsi="Times New Roman" w:cs="Times New Roman"/>
                <w:sz w:val="24"/>
                <w:szCs w:val="24"/>
              </w:rPr>
              <w:t>3</w:t>
            </w:r>
            <w:r w:rsidR="00D86138" w:rsidRPr="005D3931">
              <w:rPr>
                <w:rFonts w:ascii="Times New Roman" w:hAnsi="Times New Roman" w:cs="Times New Roman"/>
                <w:sz w:val="24"/>
                <w:szCs w:val="24"/>
              </w:rPr>
              <w:t>. Compulsory single rate for premises</w:t>
            </w:r>
          </w:p>
        </w:tc>
        <w:tc>
          <w:tcPr>
            <w:tcW w:w="5244" w:type="dxa"/>
          </w:tcPr>
          <w:p w:rsidR="00C434B5" w:rsidRPr="005D3931" w:rsidRDefault="00C434B5" w:rsidP="00C434B5">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C434B5" w:rsidRPr="005D3931" w:rsidRDefault="00C434B5" w:rsidP="00C434B5">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C434B5" w:rsidRPr="005D3931" w:rsidRDefault="00183E15" w:rsidP="00C434B5">
            <w:pPr>
              <w:jc w:val="both"/>
              <w:rPr>
                <w:rFonts w:ascii="Times New Roman" w:hAnsi="Times New Roman" w:cs="Times New Roman"/>
                <w:sz w:val="24"/>
                <w:szCs w:val="24"/>
              </w:rPr>
            </w:pPr>
            <w:r>
              <w:rPr>
                <w:rFonts w:ascii="Times New Roman" w:hAnsi="Times New Roman" w:cs="Times New Roman"/>
                <w:i/>
                <w:sz w:val="24"/>
                <w:szCs w:val="24"/>
              </w:rPr>
              <w:t>S</w:t>
            </w:r>
            <w:r w:rsidR="00C434B5" w:rsidRPr="005D3931">
              <w:rPr>
                <w:rFonts w:ascii="Times New Roman" w:hAnsi="Times New Roman" w:cs="Times New Roman"/>
                <w:i/>
                <w:sz w:val="24"/>
                <w:szCs w:val="24"/>
              </w:rPr>
              <w:t>ustainability</w:t>
            </w:r>
            <w:r w:rsidR="00C434B5"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D86138" w:rsidRPr="005D3931" w:rsidRDefault="00C434B5" w:rsidP="00C434B5">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sidR="00D675C9" w:rsidRPr="005D3931">
              <w:rPr>
                <w:rFonts w:ascii="Times New Roman" w:hAnsi="Times New Roman" w:cs="Times New Roman"/>
                <w:sz w:val="24"/>
                <w:szCs w:val="24"/>
              </w:rPr>
              <w:t xml:space="preserve"> no impact</w:t>
            </w:r>
          </w:p>
        </w:tc>
      </w:tr>
    </w:tbl>
    <w:p w:rsidR="00C434B5" w:rsidRPr="005D3931" w:rsidRDefault="00C434B5" w:rsidP="00C434B5">
      <w:pPr>
        <w:spacing w:after="0" w:line="240" w:lineRule="auto"/>
        <w:jc w:val="both"/>
        <w:rPr>
          <w:rFonts w:ascii="Times New Roman" w:hAnsi="Times New Roman" w:cs="Times New Roman"/>
          <w:sz w:val="24"/>
          <w:szCs w:val="24"/>
        </w:rPr>
      </w:pPr>
    </w:p>
    <w:p w:rsidR="00C434B5" w:rsidRPr="00E8196C" w:rsidRDefault="00E8196C" w:rsidP="00C434B5">
      <w:pPr>
        <w:spacing w:after="0" w:line="240" w:lineRule="auto"/>
        <w:jc w:val="both"/>
        <w:rPr>
          <w:rFonts w:ascii="Times New Roman" w:hAnsi="Times New Roman" w:cs="Times New Roman"/>
          <w:b/>
          <w:i/>
          <w:sz w:val="24"/>
          <w:szCs w:val="24"/>
        </w:rPr>
      </w:pPr>
      <w:r w:rsidRPr="00E8196C">
        <w:rPr>
          <w:rFonts w:ascii="Times New Roman" w:hAnsi="Times New Roman" w:cs="Times New Roman"/>
          <w:b/>
          <w:i/>
          <w:sz w:val="24"/>
          <w:szCs w:val="24"/>
        </w:rPr>
        <w:t>Recommendation</w:t>
      </w:r>
    </w:p>
    <w:p w:rsidR="00E8196C" w:rsidRDefault="00E8196C" w:rsidP="00E8196C">
      <w:pPr>
        <w:pStyle w:val="ListParagraph"/>
        <w:spacing w:after="0" w:line="240" w:lineRule="auto"/>
        <w:ind w:left="0"/>
        <w:jc w:val="both"/>
        <w:rPr>
          <w:rFonts w:ascii="Times New Roman" w:hAnsi="Times New Roman" w:cs="Times New Roman"/>
          <w:sz w:val="24"/>
          <w:szCs w:val="24"/>
        </w:rPr>
      </w:pPr>
    </w:p>
    <w:p w:rsidR="00C434B5" w:rsidRPr="00D04D6B" w:rsidRDefault="00E907AB" w:rsidP="00C434B5">
      <w:pPr>
        <w:pStyle w:val="ListParagraph"/>
        <w:numPr>
          <w:ilvl w:val="0"/>
          <w:numId w:val="11"/>
        </w:numPr>
        <w:spacing w:after="0" w:line="240" w:lineRule="auto"/>
        <w:ind w:left="0" w:firstLine="0"/>
        <w:jc w:val="both"/>
        <w:rPr>
          <w:rFonts w:ascii="Times New Roman" w:hAnsi="Times New Roman" w:cs="Times New Roman"/>
          <w:sz w:val="24"/>
          <w:szCs w:val="24"/>
        </w:rPr>
      </w:pPr>
      <w:r w:rsidRPr="00D04D6B">
        <w:rPr>
          <w:rFonts w:ascii="Times New Roman" w:hAnsi="Times New Roman" w:cs="Times New Roman"/>
          <w:sz w:val="24"/>
          <w:szCs w:val="24"/>
        </w:rPr>
        <w:t xml:space="preserve">Officials recommend </w:t>
      </w:r>
      <w:r w:rsidRPr="008D31DB">
        <w:rPr>
          <w:rFonts w:ascii="Times New Roman" w:hAnsi="Times New Roman" w:cs="Times New Roman"/>
          <w:sz w:val="24"/>
          <w:szCs w:val="24"/>
        </w:rPr>
        <w:t xml:space="preserve">option </w:t>
      </w:r>
      <w:r>
        <w:rPr>
          <w:rFonts w:ascii="Times New Roman" w:hAnsi="Times New Roman" w:cs="Times New Roman"/>
          <w:sz w:val="24"/>
          <w:szCs w:val="24"/>
        </w:rPr>
        <w:t>2</w:t>
      </w:r>
      <w:r w:rsidRPr="008D31DB">
        <w:rPr>
          <w:rFonts w:ascii="Times New Roman" w:hAnsi="Times New Roman" w:cs="Times New Roman"/>
          <w:sz w:val="24"/>
          <w:szCs w:val="24"/>
        </w:rPr>
        <w:t xml:space="preserve"> </w:t>
      </w:r>
      <w:r>
        <w:rPr>
          <w:rFonts w:ascii="Times New Roman" w:hAnsi="Times New Roman" w:cs="Times New Roman"/>
          <w:sz w:val="24"/>
          <w:szCs w:val="24"/>
        </w:rPr>
        <w:t>is</w:t>
      </w:r>
      <w:r w:rsidRPr="00D04D6B">
        <w:rPr>
          <w:rFonts w:ascii="Times New Roman" w:hAnsi="Times New Roman" w:cs="Times New Roman"/>
          <w:sz w:val="24"/>
          <w:szCs w:val="24"/>
        </w:rPr>
        <w:t xml:space="preserve"> adopted for premises. </w:t>
      </w:r>
      <w:r>
        <w:rPr>
          <w:rFonts w:ascii="Times New Roman" w:hAnsi="Times New Roman" w:cs="Times New Roman"/>
          <w:sz w:val="24"/>
          <w:szCs w:val="24"/>
        </w:rPr>
        <w:t>While</w:t>
      </w:r>
      <w:r w:rsidRPr="00D04D6B">
        <w:rPr>
          <w:rFonts w:ascii="Times New Roman" w:hAnsi="Times New Roman" w:cs="Times New Roman"/>
          <w:sz w:val="24"/>
          <w:szCs w:val="24"/>
        </w:rPr>
        <w:t xml:space="preserve"> the method should produce a fairly accurate measure for most taxpayers, </w:t>
      </w:r>
      <w:r>
        <w:rPr>
          <w:rFonts w:ascii="Times New Roman" w:hAnsi="Times New Roman" w:cs="Times New Roman"/>
          <w:sz w:val="24"/>
          <w:szCs w:val="24"/>
        </w:rPr>
        <w:t>some taxpayers will be entitled to smaller deductions under the method than their actual costs</w:t>
      </w:r>
      <w:r w:rsidRPr="00D04D6B">
        <w:rPr>
          <w:rFonts w:ascii="Times New Roman" w:hAnsi="Times New Roman" w:cs="Times New Roman"/>
          <w:sz w:val="24"/>
          <w:szCs w:val="24"/>
        </w:rPr>
        <w:t>.</w:t>
      </w:r>
      <w:r>
        <w:rPr>
          <w:rFonts w:ascii="Times New Roman" w:hAnsi="Times New Roman" w:cs="Times New Roman"/>
          <w:sz w:val="24"/>
          <w:szCs w:val="24"/>
        </w:rPr>
        <w:t xml:space="preserve">  Such taxpayers may consequently regard a compulsory</w:t>
      </w:r>
      <w:r w:rsidRPr="00D04D6B">
        <w:rPr>
          <w:rFonts w:ascii="Times New Roman" w:hAnsi="Times New Roman" w:cs="Times New Roman"/>
          <w:sz w:val="24"/>
          <w:szCs w:val="24"/>
        </w:rPr>
        <w:t xml:space="preserve"> measure as a cap on their deductions rather than a simplification</w:t>
      </w:r>
      <w:r>
        <w:rPr>
          <w:rFonts w:ascii="Times New Roman" w:hAnsi="Times New Roman" w:cs="Times New Roman"/>
          <w:sz w:val="24"/>
          <w:szCs w:val="24"/>
        </w:rPr>
        <w:t xml:space="preserve">.  Introducing a new option will prompt some taxpayers to undertake both sets of calculations, in order to determine which gives the best result, and thereby undermine the compliance savings.  It is unlikely though </w:t>
      </w:r>
      <w:proofErr w:type="gramStart"/>
      <w:r>
        <w:rPr>
          <w:rFonts w:ascii="Times New Roman" w:hAnsi="Times New Roman" w:cs="Times New Roman"/>
          <w:sz w:val="24"/>
          <w:szCs w:val="24"/>
        </w:rPr>
        <w:t>that taxpayers</w:t>
      </w:r>
      <w:proofErr w:type="gramEnd"/>
      <w:r>
        <w:rPr>
          <w:rFonts w:ascii="Times New Roman" w:hAnsi="Times New Roman" w:cs="Times New Roman"/>
          <w:sz w:val="24"/>
          <w:szCs w:val="24"/>
        </w:rPr>
        <w:t xml:space="preserve"> would do this every year as premises expenses would likely remain fairly stable and so a reassessment of the calculation options would not be necessary.</w:t>
      </w:r>
    </w:p>
    <w:p w:rsidR="00C434B5" w:rsidRPr="005D3931" w:rsidRDefault="00C434B5" w:rsidP="00C434B5">
      <w:pPr>
        <w:spacing w:after="0" w:line="240" w:lineRule="auto"/>
        <w:jc w:val="both"/>
        <w:rPr>
          <w:rFonts w:ascii="Times New Roman" w:hAnsi="Times New Roman" w:cs="Times New Roman"/>
          <w:sz w:val="24"/>
          <w:szCs w:val="24"/>
        </w:rPr>
      </w:pPr>
    </w:p>
    <w:p w:rsidR="00D04D6B" w:rsidRPr="005D3931" w:rsidRDefault="00D04D6B" w:rsidP="00C434B5">
      <w:pPr>
        <w:spacing w:after="0" w:line="240" w:lineRule="auto"/>
        <w:jc w:val="both"/>
        <w:rPr>
          <w:rFonts w:ascii="Times New Roman" w:hAnsi="Times New Roman" w:cs="Times New Roman"/>
          <w:sz w:val="24"/>
          <w:szCs w:val="24"/>
        </w:rPr>
      </w:pPr>
    </w:p>
    <w:p w:rsidR="000446F0" w:rsidRPr="00E8196C" w:rsidRDefault="00D675C9" w:rsidP="00E8196C">
      <w:pPr>
        <w:spacing w:after="0" w:line="240" w:lineRule="auto"/>
        <w:ind w:firstLine="720"/>
        <w:jc w:val="both"/>
        <w:rPr>
          <w:rFonts w:ascii="Times New Roman" w:hAnsi="Times New Roman" w:cs="Times New Roman"/>
          <w:b/>
          <w:i/>
          <w:sz w:val="24"/>
          <w:szCs w:val="24"/>
        </w:rPr>
      </w:pPr>
      <w:r w:rsidRPr="00E8196C">
        <w:rPr>
          <w:rFonts w:ascii="Times New Roman" w:hAnsi="Times New Roman" w:cs="Times New Roman"/>
          <w:b/>
          <w:i/>
          <w:sz w:val="24"/>
          <w:szCs w:val="24"/>
        </w:rPr>
        <w:t>I</w:t>
      </w:r>
      <w:r w:rsidR="000446F0" w:rsidRPr="00E8196C">
        <w:rPr>
          <w:rFonts w:ascii="Times New Roman" w:hAnsi="Times New Roman" w:cs="Times New Roman"/>
          <w:b/>
          <w:i/>
          <w:sz w:val="24"/>
          <w:szCs w:val="24"/>
        </w:rPr>
        <w:t>ncrease threshold for taxpayer</w:t>
      </w:r>
      <w:r w:rsidR="009E0294">
        <w:rPr>
          <w:rFonts w:ascii="Times New Roman" w:hAnsi="Times New Roman" w:cs="Times New Roman"/>
          <w:b/>
          <w:i/>
          <w:sz w:val="24"/>
          <w:szCs w:val="24"/>
        </w:rPr>
        <w:t>’</w:t>
      </w:r>
      <w:r w:rsidR="000446F0" w:rsidRPr="00E8196C">
        <w:rPr>
          <w:rFonts w:ascii="Times New Roman" w:hAnsi="Times New Roman" w:cs="Times New Roman"/>
          <w:b/>
          <w:i/>
          <w:sz w:val="24"/>
          <w:szCs w:val="24"/>
        </w:rPr>
        <w:t>s self-corrections of minor errors</w:t>
      </w:r>
    </w:p>
    <w:p w:rsidR="0043243C" w:rsidRDefault="0043243C" w:rsidP="0043243C">
      <w:pPr>
        <w:pStyle w:val="ListParagraph"/>
        <w:spacing w:after="0" w:line="240" w:lineRule="auto"/>
        <w:ind w:left="0"/>
        <w:jc w:val="both"/>
        <w:rPr>
          <w:rFonts w:ascii="Times New Roman" w:hAnsi="Times New Roman" w:cs="Times New Roman"/>
          <w:sz w:val="24"/>
          <w:szCs w:val="24"/>
        </w:rPr>
      </w:pPr>
    </w:p>
    <w:p w:rsidR="000446F0" w:rsidRDefault="000446F0" w:rsidP="000446F0">
      <w:pPr>
        <w:pStyle w:val="ListParagraph"/>
        <w:numPr>
          <w:ilvl w:val="0"/>
          <w:numId w:val="11"/>
        </w:numPr>
        <w:spacing w:after="0" w:line="240" w:lineRule="auto"/>
        <w:ind w:left="0" w:firstLine="0"/>
        <w:jc w:val="both"/>
        <w:rPr>
          <w:rFonts w:ascii="Times New Roman" w:hAnsi="Times New Roman" w:cs="Times New Roman"/>
          <w:sz w:val="24"/>
          <w:szCs w:val="24"/>
        </w:rPr>
      </w:pPr>
      <w:r w:rsidRPr="00D04D6B">
        <w:rPr>
          <w:rFonts w:ascii="Times New Roman" w:hAnsi="Times New Roman" w:cs="Times New Roman"/>
          <w:sz w:val="24"/>
          <w:szCs w:val="24"/>
        </w:rPr>
        <w:t>Currently if a taxpayer makes a minor error in their tax return with a tax effect of less than $500, they can self-correct the error in their next tax return</w:t>
      </w:r>
      <w:r w:rsidR="006E78D2">
        <w:rPr>
          <w:rFonts w:ascii="Times New Roman" w:hAnsi="Times New Roman" w:cs="Times New Roman"/>
          <w:sz w:val="24"/>
          <w:szCs w:val="24"/>
        </w:rPr>
        <w:t>.</w:t>
      </w:r>
      <w:r w:rsidRPr="005D3931">
        <w:rPr>
          <w:rStyle w:val="FootnoteReference"/>
          <w:rFonts w:ascii="Times New Roman" w:hAnsi="Times New Roman" w:cs="Times New Roman"/>
          <w:sz w:val="24"/>
          <w:szCs w:val="24"/>
        </w:rPr>
        <w:footnoteReference w:id="2"/>
      </w:r>
      <w:r w:rsidRPr="00D04D6B">
        <w:rPr>
          <w:rFonts w:ascii="Times New Roman" w:hAnsi="Times New Roman" w:cs="Times New Roman"/>
          <w:sz w:val="24"/>
          <w:szCs w:val="24"/>
        </w:rPr>
        <w:t xml:space="preserve"> However if the error results in more than a $500 tax difference, then the taxpayer must request the Commissioner to correct the error. This imposes compliance costs on the taxpayer in having to apply to the Commissioner for a small adjustment. It also imposes administration costs on Inland Revenue in having to manage these low value items. These costs are high compared with the amount of tax at stake.</w:t>
      </w:r>
    </w:p>
    <w:p w:rsidR="009E0294" w:rsidRPr="009E0294" w:rsidRDefault="009E0294" w:rsidP="009E0294">
      <w:pPr>
        <w:spacing w:after="0" w:line="240" w:lineRule="auto"/>
        <w:jc w:val="both"/>
        <w:rPr>
          <w:rFonts w:ascii="Times New Roman" w:hAnsi="Times New Roman" w:cs="Times New Roman"/>
          <w:sz w:val="24"/>
          <w:szCs w:val="24"/>
        </w:rPr>
      </w:pPr>
    </w:p>
    <w:p w:rsidR="009E0294" w:rsidRPr="009E0294" w:rsidRDefault="009E0294" w:rsidP="009E0294">
      <w:pPr>
        <w:spacing w:after="0" w:line="240" w:lineRule="auto"/>
        <w:jc w:val="both"/>
        <w:rPr>
          <w:rFonts w:ascii="Times New Roman" w:hAnsi="Times New Roman" w:cs="Times New Roman"/>
          <w:b/>
          <w:i/>
          <w:sz w:val="24"/>
          <w:szCs w:val="24"/>
        </w:rPr>
      </w:pPr>
      <w:r w:rsidRPr="009E0294">
        <w:rPr>
          <w:rFonts w:ascii="Times New Roman" w:hAnsi="Times New Roman" w:cs="Times New Roman"/>
          <w:b/>
          <w:i/>
          <w:sz w:val="24"/>
          <w:szCs w:val="24"/>
        </w:rPr>
        <w:t>Options and analysis</w:t>
      </w:r>
    </w:p>
    <w:p w:rsidR="004808A1" w:rsidRPr="004808A1" w:rsidRDefault="004808A1" w:rsidP="004808A1">
      <w:pPr>
        <w:spacing w:after="0" w:line="240" w:lineRule="auto"/>
        <w:jc w:val="both"/>
        <w:rPr>
          <w:rFonts w:ascii="Times New Roman" w:hAnsi="Times New Roman" w:cs="Times New Roman"/>
          <w:sz w:val="24"/>
          <w:szCs w:val="24"/>
        </w:rPr>
      </w:pPr>
    </w:p>
    <w:p w:rsidR="004808A1" w:rsidRPr="004808A1" w:rsidRDefault="00C4105A" w:rsidP="004808A1">
      <w:pPr>
        <w:pStyle w:val="ListParagraph"/>
        <w:numPr>
          <w:ilvl w:val="0"/>
          <w:numId w:val="11"/>
        </w:numPr>
        <w:spacing w:after="0" w:line="240" w:lineRule="auto"/>
        <w:ind w:left="0" w:firstLine="0"/>
        <w:jc w:val="both"/>
        <w:rPr>
          <w:rFonts w:ascii="Times New Roman" w:hAnsi="Times New Roman" w:cs="Times New Roman"/>
          <w:sz w:val="24"/>
          <w:szCs w:val="24"/>
        </w:rPr>
      </w:pPr>
      <w:r w:rsidRPr="004808A1">
        <w:rPr>
          <w:rFonts w:ascii="Times New Roman" w:hAnsi="Times New Roman" w:cs="Times New Roman"/>
          <w:sz w:val="24"/>
          <w:szCs w:val="24"/>
        </w:rPr>
        <w:t>Officials have considered a number of options to address these concerns, which are summarised below and outlined in more detail in appendix</w:t>
      </w:r>
      <w:r>
        <w:rPr>
          <w:rFonts w:ascii="Times New Roman" w:hAnsi="Times New Roman" w:cs="Times New Roman"/>
          <w:sz w:val="24"/>
          <w:szCs w:val="24"/>
        </w:rPr>
        <w:t xml:space="preserve"> </w:t>
      </w:r>
      <w:r w:rsidR="00043703">
        <w:rPr>
          <w:rFonts w:ascii="Times New Roman" w:hAnsi="Times New Roman" w:cs="Times New Roman"/>
          <w:sz w:val="24"/>
          <w:szCs w:val="24"/>
        </w:rPr>
        <w:t>E-3</w:t>
      </w:r>
      <w:r w:rsidR="004808A1" w:rsidRPr="004808A1">
        <w:rPr>
          <w:rFonts w:ascii="Times New Roman" w:hAnsi="Times New Roman" w:cs="Times New Roman"/>
          <w:sz w:val="24"/>
          <w:szCs w:val="24"/>
        </w:rPr>
        <w:t>.</w:t>
      </w:r>
    </w:p>
    <w:p w:rsidR="000446F0" w:rsidRPr="005D3931" w:rsidRDefault="000446F0" w:rsidP="00C434B5">
      <w:pPr>
        <w:spacing w:after="0" w:line="240" w:lineRule="auto"/>
        <w:jc w:val="both"/>
        <w:rPr>
          <w:rFonts w:ascii="Times New Roman" w:hAnsi="Times New Roman" w:cs="Times New Roman"/>
          <w:sz w:val="24"/>
          <w:szCs w:val="24"/>
        </w:rPr>
      </w:pPr>
    </w:p>
    <w:tbl>
      <w:tblPr>
        <w:tblStyle w:val="TableGrid"/>
        <w:tblW w:w="9072" w:type="dxa"/>
        <w:tblInd w:w="108" w:type="dxa"/>
        <w:tblLook w:val="04A0" w:firstRow="1" w:lastRow="0" w:firstColumn="1" w:lastColumn="0" w:noHBand="0" w:noVBand="1"/>
      </w:tblPr>
      <w:tblGrid>
        <w:gridCol w:w="3828"/>
        <w:gridCol w:w="5244"/>
      </w:tblGrid>
      <w:tr w:rsidR="000446F0" w:rsidRPr="005D3931" w:rsidTr="00F03DCE">
        <w:tc>
          <w:tcPr>
            <w:tcW w:w="3828" w:type="dxa"/>
          </w:tcPr>
          <w:p w:rsidR="000446F0" w:rsidRPr="005D3931" w:rsidRDefault="000446F0" w:rsidP="00F03DCE">
            <w:pPr>
              <w:jc w:val="both"/>
              <w:rPr>
                <w:rFonts w:ascii="Times New Roman" w:hAnsi="Times New Roman" w:cs="Times New Roman"/>
                <w:b/>
                <w:sz w:val="24"/>
                <w:szCs w:val="24"/>
              </w:rPr>
            </w:pPr>
            <w:r w:rsidRPr="005D3931">
              <w:rPr>
                <w:rFonts w:ascii="Times New Roman" w:hAnsi="Times New Roman" w:cs="Times New Roman"/>
                <w:b/>
                <w:sz w:val="24"/>
                <w:szCs w:val="24"/>
              </w:rPr>
              <w:t>Options</w:t>
            </w:r>
          </w:p>
        </w:tc>
        <w:tc>
          <w:tcPr>
            <w:tcW w:w="5244" w:type="dxa"/>
          </w:tcPr>
          <w:p w:rsidR="000446F0" w:rsidRPr="005D3931" w:rsidRDefault="000446F0" w:rsidP="00F03DCE">
            <w:pPr>
              <w:jc w:val="both"/>
              <w:rPr>
                <w:rFonts w:ascii="Times New Roman" w:hAnsi="Times New Roman" w:cs="Times New Roman"/>
                <w:b/>
                <w:sz w:val="24"/>
                <w:szCs w:val="24"/>
              </w:rPr>
            </w:pPr>
            <w:r w:rsidRPr="005D3931">
              <w:rPr>
                <w:rFonts w:ascii="Times New Roman" w:hAnsi="Times New Roman" w:cs="Times New Roman"/>
                <w:b/>
                <w:sz w:val="24"/>
                <w:szCs w:val="24"/>
              </w:rPr>
              <w:t>Analysis against the objectives</w:t>
            </w:r>
          </w:p>
        </w:tc>
      </w:tr>
      <w:tr w:rsidR="000576B9" w:rsidRPr="005D3931" w:rsidTr="000576B9">
        <w:tc>
          <w:tcPr>
            <w:tcW w:w="3828" w:type="dxa"/>
          </w:tcPr>
          <w:p w:rsidR="000576B9" w:rsidRPr="005D3931" w:rsidRDefault="00175D94" w:rsidP="00C54805">
            <w:pPr>
              <w:jc w:val="both"/>
              <w:rPr>
                <w:rFonts w:ascii="Times New Roman" w:hAnsi="Times New Roman" w:cs="Times New Roman"/>
                <w:sz w:val="24"/>
                <w:szCs w:val="24"/>
              </w:rPr>
            </w:pPr>
            <w:r w:rsidRPr="005D3931">
              <w:rPr>
                <w:rFonts w:ascii="Times New Roman" w:hAnsi="Times New Roman" w:cs="Times New Roman"/>
                <w:sz w:val="24"/>
                <w:szCs w:val="24"/>
              </w:rPr>
              <w:t xml:space="preserve">1. </w:t>
            </w:r>
            <w:r w:rsidR="00C54805">
              <w:rPr>
                <w:rFonts w:ascii="Times New Roman" w:hAnsi="Times New Roman" w:cs="Times New Roman"/>
                <w:sz w:val="24"/>
                <w:szCs w:val="24"/>
              </w:rPr>
              <w:t>Retain the s</w:t>
            </w:r>
            <w:r w:rsidRPr="005D3931">
              <w:rPr>
                <w:rFonts w:ascii="Times New Roman" w:hAnsi="Times New Roman" w:cs="Times New Roman"/>
                <w:sz w:val="24"/>
                <w:szCs w:val="24"/>
              </w:rPr>
              <w:t>tatus quo</w:t>
            </w:r>
          </w:p>
        </w:tc>
        <w:tc>
          <w:tcPr>
            <w:tcW w:w="5244" w:type="dxa"/>
          </w:tcPr>
          <w:p w:rsidR="000576B9" w:rsidRPr="005D3931" w:rsidRDefault="000576B9" w:rsidP="00915120">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0576B9" w:rsidRPr="005D3931" w:rsidRDefault="000576B9" w:rsidP="00915120">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0576B9" w:rsidRPr="005D3931" w:rsidRDefault="00183E15" w:rsidP="00915120">
            <w:pPr>
              <w:jc w:val="both"/>
              <w:rPr>
                <w:rFonts w:ascii="Times New Roman" w:hAnsi="Times New Roman" w:cs="Times New Roman"/>
                <w:sz w:val="24"/>
                <w:szCs w:val="24"/>
              </w:rPr>
            </w:pPr>
            <w:r>
              <w:rPr>
                <w:rFonts w:ascii="Times New Roman" w:hAnsi="Times New Roman" w:cs="Times New Roman"/>
                <w:i/>
                <w:sz w:val="24"/>
                <w:szCs w:val="24"/>
              </w:rPr>
              <w:t>S</w:t>
            </w:r>
            <w:r w:rsidR="000576B9" w:rsidRPr="005D3931">
              <w:rPr>
                <w:rFonts w:ascii="Times New Roman" w:hAnsi="Times New Roman" w:cs="Times New Roman"/>
                <w:i/>
                <w:sz w:val="24"/>
                <w:szCs w:val="24"/>
              </w:rPr>
              <w:t>ustainability</w:t>
            </w:r>
            <w:r w:rsidR="000576B9"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0576B9" w:rsidRPr="005D3931" w:rsidRDefault="000576B9" w:rsidP="00915120">
            <w:pPr>
              <w:jc w:val="both"/>
              <w:rPr>
                <w:rFonts w:ascii="Times New Roman" w:hAnsi="Times New Roman" w:cs="Times New Roman"/>
                <w:sz w:val="24"/>
                <w:szCs w:val="24"/>
              </w:rPr>
            </w:pPr>
            <w:r w:rsidRPr="00B67DE0">
              <w:rPr>
                <w:rFonts w:ascii="Times New Roman" w:hAnsi="Times New Roman" w:cs="Times New Roman"/>
                <w:i/>
                <w:sz w:val="24"/>
                <w:szCs w:val="24"/>
              </w:rPr>
              <w:t>Revenue</w:t>
            </w:r>
            <w:r w:rsidRPr="00B67DE0">
              <w:rPr>
                <w:rFonts w:ascii="Times New Roman" w:hAnsi="Times New Roman" w:cs="Times New Roman"/>
                <w:sz w:val="24"/>
                <w:szCs w:val="24"/>
              </w:rPr>
              <w:t>:</w:t>
            </w:r>
            <w:r w:rsidR="00B67DE0" w:rsidRPr="00B67DE0">
              <w:rPr>
                <w:rFonts w:ascii="Times New Roman" w:hAnsi="Times New Roman" w:cs="Times New Roman"/>
                <w:sz w:val="24"/>
                <w:szCs w:val="24"/>
              </w:rPr>
              <w:t xml:space="preserve"> no impact</w:t>
            </w:r>
          </w:p>
        </w:tc>
      </w:tr>
      <w:tr w:rsidR="00175D94" w:rsidRPr="005D3931" w:rsidTr="000576B9">
        <w:tc>
          <w:tcPr>
            <w:tcW w:w="3828" w:type="dxa"/>
          </w:tcPr>
          <w:p w:rsidR="00175D94" w:rsidRPr="005D3931" w:rsidRDefault="000446F0" w:rsidP="00E214BE">
            <w:pPr>
              <w:jc w:val="both"/>
              <w:rPr>
                <w:rFonts w:ascii="Times New Roman" w:hAnsi="Times New Roman" w:cs="Times New Roman"/>
                <w:sz w:val="24"/>
                <w:szCs w:val="24"/>
              </w:rPr>
            </w:pPr>
            <w:r w:rsidRPr="005D3931">
              <w:rPr>
                <w:rFonts w:ascii="Times New Roman" w:hAnsi="Times New Roman" w:cs="Times New Roman"/>
                <w:sz w:val="24"/>
                <w:szCs w:val="24"/>
              </w:rPr>
              <w:t>2.</w:t>
            </w:r>
            <w:r w:rsidR="00E214BE">
              <w:rPr>
                <w:rFonts w:ascii="Times New Roman" w:hAnsi="Times New Roman" w:cs="Times New Roman"/>
                <w:sz w:val="24"/>
                <w:szCs w:val="24"/>
              </w:rPr>
              <w:t xml:space="preserve"> </w:t>
            </w:r>
            <w:r w:rsidRPr="005D3931">
              <w:rPr>
                <w:rFonts w:ascii="Times New Roman" w:hAnsi="Times New Roman" w:cs="Times New Roman"/>
                <w:sz w:val="24"/>
                <w:szCs w:val="24"/>
              </w:rPr>
              <w:t>I</w:t>
            </w:r>
            <w:r w:rsidR="00175D94" w:rsidRPr="005D3931">
              <w:rPr>
                <w:rFonts w:ascii="Times New Roman" w:hAnsi="Times New Roman" w:cs="Times New Roman"/>
                <w:sz w:val="24"/>
                <w:szCs w:val="24"/>
              </w:rPr>
              <w:t>ncrease self-adjustment threshold to $1,000</w:t>
            </w:r>
          </w:p>
        </w:tc>
        <w:tc>
          <w:tcPr>
            <w:tcW w:w="5244" w:type="dxa"/>
          </w:tcPr>
          <w:p w:rsidR="00175D94" w:rsidRPr="005D3931" w:rsidRDefault="00175D94" w:rsidP="00175D94">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175D94" w:rsidRPr="005D3931" w:rsidRDefault="00175D94" w:rsidP="00175D94">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175D94" w:rsidRPr="005D3931" w:rsidRDefault="00183E15" w:rsidP="00175D94">
            <w:pPr>
              <w:jc w:val="both"/>
              <w:rPr>
                <w:rFonts w:ascii="Times New Roman" w:hAnsi="Times New Roman" w:cs="Times New Roman"/>
                <w:sz w:val="24"/>
                <w:szCs w:val="24"/>
              </w:rPr>
            </w:pPr>
            <w:r>
              <w:rPr>
                <w:rFonts w:ascii="Times New Roman" w:hAnsi="Times New Roman" w:cs="Times New Roman"/>
                <w:i/>
                <w:sz w:val="24"/>
                <w:szCs w:val="24"/>
              </w:rPr>
              <w:t>S</w:t>
            </w:r>
            <w:r w:rsidR="00175D94" w:rsidRPr="005D3931">
              <w:rPr>
                <w:rFonts w:ascii="Times New Roman" w:hAnsi="Times New Roman" w:cs="Times New Roman"/>
                <w:i/>
                <w:sz w:val="24"/>
                <w:szCs w:val="24"/>
              </w:rPr>
              <w:t>ustainability</w:t>
            </w:r>
            <w:r w:rsidR="00175D94"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175D94" w:rsidRPr="005D3931" w:rsidRDefault="00B67DE0" w:rsidP="00175D94">
            <w:pPr>
              <w:jc w:val="both"/>
              <w:rPr>
                <w:rFonts w:ascii="Times New Roman" w:hAnsi="Times New Roman" w:cs="Times New Roman"/>
                <w:i/>
                <w:sz w:val="24"/>
                <w:szCs w:val="24"/>
              </w:rPr>
            </w:pPr>
            <w:r w:rsidRPr="00B67DE0">
              <w:rPr>
                <w:rFonts w:ascii="Times New Roman" w:hAnsi="Times New Roman" w:cs="Times New Roman"/>
                <w:i/>
                <w:sz w:val="24"/>
                <w:szCs w:val="24"/>
              </w:rPr>
              <w:t>Revenue</w:t>
            </w:r>
            <w:r w:rsidRPr="00B67DE0">
              <w:rPr>
                <w:rFonts w:ascii="Times New Roman" w:hAnsi="Times New Roman" w:cs="Times New Roman"/>
                <w:sz w:val="24"/>
                <w:szCs w:val="24"/>
              </w:rPr>
              <w:t>: no impact</w:t>
            </w:r>
          </w:p>
        </w:tc>
      </w:tr>
      <w:tr w:rsidR="00175D94" w:rsidRPr="005D3931" w:rsidTr="000576B9">
        <w:tc>
          <w:tcPr>
            <w:tcW w:w="3828" w:type="dxa"/>
          </w:tcPr>
          <w:p w:rsidR="00175D94" w:rsidRPr="005D3931" w:rsidRDefault="000446F0" w:rsidP="00E214BE">
            <w:pPr>
              <w:jc w:val="both"/>
              <w:rPr>
                <w:rFonts w:ascii="Times New Roman" w:hAnsi="Times New Roman" w:cs="Times New Roman"/>
                <w:sz w:val="24"/>
                <w:szCs w:val="24"/>
              </w:rPr>
            </w:pPr>
            <w:r w:rsidRPr="005D3931">
              <w:rPr>
                <w:rFonts w:ascii="Times New Roman" w:hAnsi="Times New Roman" w:cs="Times New Roman"/>
                <w:sz w:val="24"/>
                <w:szCs w:val="24"/>
              </w:rPr>
              <w:t>3.</w:t>
            </w:r>
            <w:r w:rsidR="00E214BE">
              <w:rPr>
                <w:rFonts w:ascii="Times New Roman" w:hAnsi="Times New Roman" w:cs="Times New Roman"/>
                <w:sz w:val="24"/>
                <w:szCs w:val="24"/>
              </w:rPr>
              <w:t xml:space="preserve"> </w:t>
            </w:r>
            <w:r w:rsidRPr="005D3931">
              <w:rPr>
                <w:rFonts w:ascii="Times New Roman" w:hAnsi="Times New Roman" w:cs="Times New Roman"/>
                <w:sz w:val="24"/>
                <w:szCs w:val="24"/>
              </w:rPr>
              <w:t>Increase self-adjustment threshold to $2,000</w:t>
            </w:r>
          </w:p>
        </w:tc>
        <w:tc>
          <w:tcPr>
            <w:tcW w:w="5244" w:type="dxa"/>
          </w:tcPr>
          <w:p w:rsidR="00175D94" w:rsidRPr="005D3931" w:rsidRDefault="00175D94" w:rsidP="00175D94">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175D94" w:rsidRPr="005D3931" w:rsidRDefault="00175D94" w:rsidP="00175D94">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175D94" w:rsidRPr="005D3931" w:rsidRDefault="00183E15" w:rsidP="00175D94">
            <w:pPr>
              <w:jc w:val="both"/>
              <w:rPr>
                <w:rFonts w:ascii="Times New Roman" w:hAnsi="Times New Roman" w:cs="Times New Roman"/>
                <w:sz w:val="24"/>
                <w:szCs w:val="24"/>
              </w:rPr>
            </w:pPr>
            <w:r>
              <w:rPr>
                <w:rFonts w:ascii="Times New Roman" w:hAnsi="Times New Roman" w:cs="Times New Roman"/>
                <w:i/>
                <w:sz w:val="24"/>
                <w:szCs w:val="24"/>
              </w:rPr>
              <w:t>S</w:t>
            </w:r>
            <w:r w:rsidR="00175D94" w:rsidRPr="005D3931">
              <w:rPr>
                <w:rFonts w:ascii="Times New Roman" w:hAnsi="Times New Roman" w:cs="Times New Roman"/>
                <w:i/>
                <w:sz w:val="24"/>
                <w:szCs w:val="24"/>
              </w:rPr>
              <w:t>ustainability</w:t>
            </w:r>
            <w:r w:rsidR="00175D94"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4E5176">
              <w:rPr>
                <w:rFonts w:ascii="Wingdings 2" w:hAnsi="Wingdings 2" w:cs="Times New Roman"/>
                <w:sz w:val="24"/>
                <w:szCs w:val="24"/>
              </w:rPr>
              <w:t></w:t>
            </w:r>
          </w:p>
          <w:p w:rsidR="00175D94" w:rsidRPr="005D3931" w:rsidRDefault="00175D94" w:rsidP="00175D94">
            <w:pPr>
              <w:jc w:val="both"/>
              <w:rPr>
                <w:rFonts w:ascii="Times New Roman" w:hAnsi="Times New Roman" w:cs="Times New Roman"/>
                <w:i/>
                <w:sz w:val="24"/>
                <w:szCs w:val="24"/>
              </w:rPr>
            </w:pPr>
            <w:r w:rsidRPr="00B67DE0">
              <w:rPr>
                <w:rFonts w:ascii="Times New Roman" w:hAnsi="Times New Roman" w:cs="Times New Roman"/>
                <w:i/>
                <w:sz w:val="24"/>
                <w:szCs w:val="24"/>
              </w:rPr>
              <w:t>Revenue</w:t>
            </w:r>
            <w:r w:rsidRPr="00B67DE0">
              <w:rPr>
                <w:rFonts w:ascii="Times New Roman" w:hAnsi="Times New Roman" w:cs="Times New Roman"/>
                <w:sz w:val="24"/>
                <w:szCs w:val="24"/>
              </w:rPr>
              <w:t>:</w:t>
            </w:r>
            <w:r w:rsidR="00B67DE0">
              <w:rPr>
                <w:rFonts w:ascii="Times New Roman" w:hAnsi="Times New Roman" w:cs="Times New Roman"/>
                <w:sz w:val="24"/>
                <w:szCs w:val="24"/>
              </w:rPr>
              <w:t xml:space="preserve"> no impact</w:t>
            </w:r>
          </w:p>
        </w:tc>
      </w:tr>
      <w:tr w:rsidR="00175D94" w:rsidRPr="005D3931" w:rsidTr="000576B9">
        <w:tc>
          <w:tcPr>
            <w:tcW w:w="3828" w:type="dxa"/>
          </w:tcPr>
          <w:p w:rsidR="00175D94" w:rsidRPr="005D3931" w:rsidRDefault="000446F0" w:rsidP="00AB3392">
            <w:pPr>
              <w:jc w:val="both"/>
              <w:rPr>
                <w:rFonts w:ascii="Times New Roman" w:hAnsi="Times New Roman" w:cs="Times New Roman"/>
                <w:sz w:val="24"/>
                <w:szCs w:val="24"/>
              </w:rPr>
            </w:pPr>
            <w:r w:rsidRPr="005D3931">
              <w:rPr>
                <w:rFonts w:ascii="Times New Roman" w:hAnsi="Times New Roman" w:cs="Times New Roman"/>
                <w:sz w:val="24"/>
                <w:szCs w:val="24"/>
              </w:rPr>
              <w:t>4.</w:t>
            </w:r>
            <w:r w:rsidR="00AB3392">
              <w:rPr>
                <w:rFonts w:ascii="Times New Roman" w:hAnsi="Times New Roman" w:cs="Times New Roman"/>
                <w:sz w:val="24"/>
                <w:szCs w:val="24"/>
              </w:rPr>
              <w:t xml:space="preserve"> </w:t>
            </w:r>
            <w:r w:rsidRPr="005D3931">
              <w:rPr>
                <w:rFonts w:ascii="Times New Roman" w:hAnsi="Times New Roman" w:cs="Times New Roman"/>
                <w:sz w:val="24"/>
                <w:szCs w:val="24"/>
              </w:rPr>
              <w:t>Revenue percentage threshold</w:t>
            </w:r>
          </w:p>
        </w:tc>
        <w:tc>
          <w:tcPr>
            <w:tcW w:w="5244" w:type="dxa"/>
          </w:tcPr>
          <w:p w:rsidR="00175D94" w:rsidRPr="005D3931" w:rsidRDefault="00175D94" w:rsidP="00175D94">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175D94" w:rsidRPr="005D3931" w:rsidRDefault="00175D94" w:rsidP="00175D94">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175D94" w:rsidRPr="005D3931" w:rsidRDefault="00183E15" w:rsidP="00175D94">
            <w:pPr>
              <w:jc w:val="both"/>
              <w:rPr>
                <w:rFonts w:ascii="Times New Roman" w:hAnsi="Times New Roman" w:cs="Times New Roman"/>
                <w:sz w:val="24"/>
                <w:szCs w:val="24"/>
              </w:rPr>
            </w:pPr>
            <w:r>
              <w:rPr>
                <w:rFonts w:ascii="Times New Roman" w:hAnsi="Times New Roman" w:cs="Times New Roman"/>
                <w:i/>
                <w:sz w:val="24"/>
                <w:szCs w:val="24"/>
              </w:rPr>
              <w:t>S</w:t>
            </w:r>
            <w:r w:rsidR="00175D94" w:rsidRPr="005D3931">
              <w:rPr>
                <w:rFonts w:ascii="Times New Roman" w:hAnsi="Times New Roman" w:cs="Times New Roman"/>
                <w:i/>
                <w:sz w:val="24"/>
                <w:szCs w:val="24"/>
              </w:rPr>
              <w:t>ustainability</w:t>
            </w:r>
            <w:r w:rsidR="00175D94"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175D94" w:rsidRPr="005D3931" w:rsidRDefault="00175D94" w:rsidP="004E5176">
            <w:pPr>
              <w:jc w:val="both"/>
              <w:rPr>
                <w:rFonts w:ascii="Times New Roman" w:hAnsi="Times New Roman" w:cs="Times New Roman"/>
                <w:i/>
                <w:sz w:val="24"/>
                <w:szCs w:val="24"/>
              </w:rPr>
            </w:pPr>
            <w:r w:rsidRPr="00B67DE0">
              <w:rPr>
                <w:rFonts w:ascii="Times New Roman" w:hAnsi="Times New Roman" w:cs="Times New Roman"/>
                <w:i/>
                <w:sz w:val="24"/>
                <w:szCs w:val="24"/>
              </w:rPr>
              <w:t>Revenue</w:t>
            </w:r>
            <w:r w:rsidRPr="00B67DE0">
              <w:rPr>
                <w:rFonts w:ascii="Times New Roman" w:hAnsi="Times New Roman" w:cs="Times New Roman"/>
                <w:sz w:val="24"/>
                <w:szCs w:val="24"/>
              </w:rPr>
              <w:t>:</w:t>
            </w:r>
            <w:r w:rsidR="00B67DE0">
              <w:rPr>
                <w:rFonts w:ascii="Times New Roman" w:hAnsi="Times New Roman" w:cs="Times New Roman"/>
                <w:sz w:val="24"/>
                <w:szCs w:val="24"/>
              </w:rPr>
              <w:t xml:space="preserve"> </w:t>
            </w:r>
            <w:r w:rsidR="004E5176">
              <w:rPr>
                <w:rFonts w:ascii="Times New Roman" w:hAnsi="Times New Roman" w:cs="Times New Roman"/>
                <w:sz w:val="24"/>
                <w:szCs w:val="24"/>
              </w:rPr>
              <w:t>negative as open to abuse</w:t>
            </w:r>
          </w:p>
        </w:tc>
      </w:tr>
    </w:tbl>
    <w:p w:rsidR="000446F0" w:rsidRPr="005D3931" w:rsidRDefault="000446F0" w:rsidP="000446F0">
      <w:pPr>
        <w:spacing w:after="0" w:line="240" w:lineRule="auto"/>
        <w:jc w:val="both"/>
        <w:rPr>
          <w:rFonts w:ascii="Times New Roman" w:hAnsi="Times New Roman" w:cs="Times New Roman"/>
          <w:sz w:val="24"/>
          <w:szCs w:val="24"/>
        </w:rPr>
      </w:pPr>
    </w:p>
    <w:p w:rsidR="000446F0" w:rsidRPr="00061BE6" w:rsidRDefault="000446F0" w:rsidP="000446F0">
      <w:pPr>
        <w:spacing w:after="0" w:line="240" w:lineRule="auto"/>
        <w:jc w:val="both"/>
        <w:rPr>
          <w:rFonts w:ascii="Times New Roman" w:hAnsi="Times New Roman" w:cs="Times New Roman"/>
          <w:b/>
          <w:i/>
          <w:sz w:val="24"/>
          <w:szCs w:val="24"/>
        </w:rPr>
      </w:pPr>
      <w:r w:rsidRPr="00061BE6">
        <w:rPr>
          <w:rFonts w:ascii="Times New Roman" w:hAnsi="Times New Roman" w:cs="Times New Roman"/>
          <w:b/>
          <w:i/>
          <w:sz w:val="24"/>
          <w:szCs w:val="24"/>
        </w:rPr>
        <w:t>Recommendation</w:t>
      </w:r>
    </w:p>
    <w:p w:rsidR="0043243C" w:rsidRDefault="0043243C" w:rsidP="0043243C">
      <w:pPr>
        <w:pStyle w:val="ListParagraph"/>
        <w:spacing w:after="0" w:line="240" w:lineRule="auto"/>
        <w:ind w:left="0"/>
        <w:jc w:val="both"/>
        <w:rPr>
          <w:rFonts w:ascii="Times New Roman" w:hAnsi="Times New Roman" w:cs="Times New Roman"/>
          <w:sz w:val="24"/>
          <w:szCs w:val="24"/>
        </w:rPr>
      </w:pPr>
    </w:p>
    <w:p w:rsidR="000446F0" w:rsidRDefault="000446F0" w:rsidP="000446F0">
      <w:pPr>
        <w:pStyle w:val="ListParagraph"/>
        <w:numPr>
          <w:ilvl w:val="0"/>
          <w:numId w:val="11"/>
        </w:numPr>
        <w:spacing w:after="0" w:line="240" w:lineRule="auto"/>
        <w:ind w:left="0" w:firstLine="0"/>
        <w:jc w:val="both"/>
        <w:rPr>
          <w:rFonts w:ascii="Times New Roman" w:hAnsi="Times New Roman" w:cs="Times New Roman"/>
          <w:sz w:val="24"/>
          <w:szCs w:val="24"/>
        </w:rPr>
      </w:pPr>
      <w:r w:rsidRPr="0043243C">
        <w:rPr>
          <w:rFonts w:ascii="Times New Roman" w:hAnsi="Times New Roman" w:cs="Times New Roman"/>
          <w:sz w:val="24"/>
          <w:szCs w:val="24"/>
        </w:rPr>
        <w:t xml:space="preserve">Officials recommend </w:t>
      </w:r>
      <w:r w:rsidR="00C8249F">
        <w:rPr>
          <w:rFonts w:ascii="Times New Roman" w:hAnsi="Times New Roman" w:cs="Times New Roman"/>
          <w:sz w:val="24"/>
          <w:szCs w:val="24"/>
        </w:rPr>
        <w:t>o</w:t>
      </w:r>
      <w:r w:rsidRPr="0043243C">
        <w:rPr>
          <w:rFonts w:ascii="Times New Roman" w:hAnsi="Times New Roman" w:cs="Times New Roman"/>
          <w:sz w:val="24"/>
          <w:szCs w:val="24"/>
        </w:rPr>
        <w:t xml:space="preserve">ption 2, as it </w:t>
      </w:r>
      <w:r w:rsidR="00DC53C9">
        <w:rPr>
          <w:rFonts w:ascii="Times New Roman" w:hAnsi="Times New Roman" w:cs="Times New Roman"/>
          <w:sz w:val="24"/>
          <w:szCs w:val="24"/>
        </w:rPr>
        <w:t>provides</w:t>
      </w:r>
      <w:r w:rsidR="00DC53C9" w:rsidRPr="0043243C">
        <w:rPr>
          <w:rFonts w:ascii="Times New Roman" w:hAnsi="Times New Roman" w:cs="Times New Roman"/>
          <w:sz w:val="24"/>
          <w:szCs w:val="24"/>
        </w:rPr>
        <w:t xml:space="preserve"> </w:t>
      </w:r>
      <w:r w:rsidRPr="0043243C">
        <w:rPr>
          <w:rFonts w:ascii="Times New Roman" w:hAnsi="Times New Roman" w:cs="Times New Roman"/>
          <w:sz w:val="24"/>
          <w:szCs w:val="24"/>
        </w:rPr>
        <w:t>the best balance between meeting the objectives</w:t>
      </w:r>
      <w:r w:rsidR="00DC53C9">
        <w:rPr>
          <w:rFonts w:ascii="Times New Roman" w:hAnsi="Times New Roman" w:cs="Times New Roman"/>
          <w:sz w:val="24"/>
          <w:szCs w:val="24"/>
        </w:rPr>
        <w:t xml:space="preserve"> of</w:t>
      </w:r>
      <w:r w:rsidRPr="0043243C">
        <w:rPr>
          <w:rFonts w:ascii="Times New Roman" w:hAnsi="Times New Roman" w:cs="Times New Roman"/>
          <w:sz w:val="24"/>
          <w:szCs w:val="24"/>
        </w:rPr>
        <w:t xml:space="preserve"> fairness and equity, efficiency of compliance and administration</w:t>
      </w:r>
      <w:r w:rsidR="00DC53C9">
        <w:rPr>
          <w:rFonts w:ascii="Times New Roman" w:hAnsi="Times New Roman" w:cs="Times New Roman"/>
          <w:sz w:val="24"/>
          <w:szCs w:val="24"/>
        </w:rPr>
        <w:t>,</w:t>
      </w:r>
      <w:r w:rsidRPr="0043243C">
        <w:rPr>
          <w:rFonts w:ascii="Times New Roman" w:hAnsi="Times New Roman" w:cs="Times New Roman"/>
          <w:sz w:val="24"/>
          <w:szCs w:val="24"/>
        </w:rPr>
        <w:t xml:space="preserve"> and sustainability of the tax system.</w:t>
      </w:r>
    </w:p>
    <w:p w:rsidR="00061BE6" w:rsidRDefault="00061BE6" w:rsidP="000446F0">
      <w:pPr>
        <w:spacing w:after="0" w:line="240" w:lineRule="auto"/>
        <w:jc w:val="both"/>
        <w:rPr>
          <w:rFonts w:ascii="Times New Roman" w:hAnsi="Times New Roman" w:cs="Times New Roman"/>
          <w:sz w:val="24"/>
          <w:szCs w:val="24"/>
        </w:rPr>
      </w:pPr>
    </w:p>
    <w:p w:rsidR="00D04D6B" w:rsidRPr="005D3931" w:rsidRDefault="00D04D6B" w:rsidP="000446F0">
      <w:pPr>
        <w:spacing w:after="0" w:line="240" w:lineRule="auto"/>
        <w:jc w:val="both"/>
        <w:rPr>
          <w:rFonts w:ascii="Times New Roman" w:hAnsi="Times New Roman" w:cs="Times New Roman"/>
          <w:sz w:val="24"/>
          <w:szCs w:val="24"/>
        </w:rPr>
      </w:pPr>
    </w:p>
    <w:p w:rsidR="0043243C" w:rsidRPr="00B67DE0" w:rsidRDefault="00F03DCE" w:rsidP="009E0294">
      <w:pPr>
        <w:spacing w:after="0" w:line="240" w:lineRule="auto"/>
        <w:ind w:left="709" w:firstLine="11"/>
        <w:jc w:val="both"/>
        <w:rPr>
          <w:rFonts w:ascii="Times New Roman" w:hAnsi="Times New Roman" w:cs="Times New Roman"/>
          <w:b/>
          <w:i/>
          <w:sz w:val="24"/>
          <w:szCs w:val="24"/>
        </w:rPr>
      </w:pPr>
      <w:r w:rsidRPr="00E8196C">
        <w:rPr>
          <w:rFonts w:ascii="Times New Roman" w:hAnsi="Times New Roman" w:cs="Times New Roman"/>
          <w:b/>
          <w:i/>
          <w:sz w:val="24"/>
          <w:szCs w:val="24"/>
        </w:rPr>
        <w:t xml:space="preserve">Remove requirement to renew </w:t>
      </w:r>
      <w:r w:rsidR="00AB3392">
        <w:rPr>
          <w:rFonts w:ascii="Times New Roman" w:hAnsi="Times New Roman" w:cs="Times New Roman"/>
          <w:b/>
          <w:i/>
          <w:sz w:val="24"/>
          <w:szCs w:val="24"/>
        </w:rPr>
        <w:t xml:space="preserve">a resident withholding tax </w:t>
      </w:r>
      <w:r w:rsidRPr="00E8196C">
        <w:rPr>
          <w:rFonts w:ascii="Times New Roman" w:hAnsi="Times New Roman" w:cs="Times New Roman"/>
          <w:b/>
          <w:i/>
          <w:sz w:val="24"/>
          <w:szCs w:val="24"/>
        </w:rPr>
        <w:t>exemption certificate annually</w:t>
      </w:r>
    </w:p>
    <w:p w:rsidR="00E47001" w:rsidRDefault="00E47001" w:rsidP="00E47001">
      <w:pPr>
        <w:pStyle w:val="ListParagraph"/>
        <w:spacing w:after="0" w:line="240" w:lineRule="auto"/>
        <w:ind w:left="0"/>
        <w:jc w:val="both"/>
        <w:rPr>
          <w:rFonts w:ascii="Times New Roman" w:hAnsi="Times New Roman" w:cs="Times New Roman"/>
          <w:sz w:val="24"/>
          <w:szCs w:val="24"/>
        </w:rPr>
      </w:pPr>
    </w:p>
    <w:p w:rsidR="00C54805" w:rsidRPr="00E47001" w:rsidRDefault="00C54805" w:rsidP="00E47001">
      <w:pPr>
        <w:pStyle w:val="ListParagraph"/>
        <w:numPr>
          <w:ilvl w:val="0"/>
          <w:numId w:val="11"/>
        </w:numPr>
        <w:spacing w:after="0" w:line="240" w:lineRule="auto"/>
        <w:ind w:left="0" w:firstLine="0"/>
        <w:jc w:val="both"/>
        <w:rPr>
          <w:rFonts w:ascii="Times New Roman" w:hAnsi="Times New Roman" w:cs="Times New Roman"/>
          <w:sz w:val="24"/>
          <w:szCs w:val="24"/>
        </w:rPr>
      </w:pPr>
      <w:r w:rsidRPr="00E47001">
        <w:rPr>
          <w:rFonts w:ascii="Times New Roman" w:hAnsi="Times New Roman" w:cs="Times New Roman"/>
          <w:sz w:val="24"/>
          <w:szCs w:val="24"/>
        </w:rPr>
        <w:t xml:space="preserve">Currently some taxpayers who hold a certificate of exemption from </w:t>
      </w:r>
      <w:r w:rsidR="00DC53C9">
        <w:rPr>
          <w:rFonts w:ascii="Times New Roman" w:hAnsi="Times New Roman" w:cs="Times New Roman"/>
          <w:sz w:val="24"/>
          <w:szCs w:val="24"/>
        </w:rPr>
        <w:t>resident withholding tax (</w:t>
      </w:r>
      <w:proofErr w:type="spellStart"/>
      <w:r w:rsidRPr="00E47001">
        <w:rPr>
          <w:rFonts w:ascii="Times New Roman" w:hAnsi="Times New Roman" w:cs="Times New Roman"/>
          <w:sz w:val="24"/>
          <w:szCs w:val="24"/>
        </w:rPr>
        <w:t>RWT</w:t>
      </w:r>
      <w:proofErr w:type="spellEnd"/>
      <w:r w:rsidR="00DC53C9">
        <w:rPr>
          <w:rFonts w:ascii="Times New Roman" w:hAnsi="Times New Roman" w:cs="Times New Roman"/>
          <w:sz w:val="24"/>
          <w:szCs w:val="24"/>
        </w:rPr>
        <w:t>)</w:t>
      </w:r>
      <w:r w:rsidRPr="00E47001">
        <w:rPr>
          <w:rFonts w:ascii="Times New Roman" w:hAnsi="Times New Roman" w:cs="Times New Roman"/>
          <w:sz w:val="24"/>
          <w:szCs w:val="24"/>
        </w:rPr>
        <w:t xml:space="preserve"> must renew the certificate annually. This creates relatively large compliance costs where certificates are renewed for relatively little value. It also creates an administrative burden for Inland Revenue, as all the annual exemption certificates must be renewed at the same time each year.</w:t>
      </w:r>
    </w:p>
    <w:p w:rsidR="00C54805" w:rsidRDefault="00C54805" w:rsidP="00C54805">
      <w:pPr>
        <w:pStyle w:val="ListParagraph"/>
        <w:spacing w:after="0" w:line="240" w:lineRule="auto"/>
        <w:ind w:left="0"/>
        <w:jc w:val="both"/>
        <w:rPr>
          <w:rFonts w:ascii="Times New Roman" w:hAnsi="Times New Roman" w:cs="Times New Roman"/>
          <w:sz w:val="24"/>
          <w:szCs w:val="24"/>
        </w:rPr>
      </w:pPr>
    </w:p>
    <w:p w:rsidR="00C54805" w:rsidRPr="00C54805" w:rsidRDefault="00C54805" w:rsidP="00C54805">
      <w:pPr>
        <w:spacing w:after="0" w:line="240" w:lineRule="auto"/>
        <w:jc w:val="both"/>
        <w:rPr>
          <w:rFonts w:ascii="Times New Roman" w:hAnsi="Times New Roman" w:cs="Times New Roman"/>
          <w:b/>
          <w:i/>
          <w:sz w:val="24"/>
          <w:szCs w:val="24"/>
        </w:rPr>
      </w:pPr>
      <w:r w:rsidRPr="00C54805">
        <w:rPr>
          <w:rFonts w:ascii="Times New Roman" w:hAnsi="Times New Roman" w:cs="Times New Roman"/>
          <w:b/>
          <w:i/>
          <w:sz w:val="24"/>
          <w:szCs w:val="24"/>
        </w:rPr>
        <w:t>Options and analysis</w:t>
      </w:r>
    </w:p>
    <w:p w:rsidR="00C54805" w:rsidRDefault="00C54805" w:rsidP="00C54805">
      <w:pPr>
        <w:pStyle w:val="ListParagraph"/>
        <w:spacing w:after="0" w:line="240" w:lineRule="auto"/>
        <w:ind w:left="0"/>
        <w:jc w:val="both"/>
        <w:rPr>
          <w:rFonts w:ascii="Times New Roman" w:hAnsi="Times New Roman" w:cs="Times New Roman"/>
          <w:sz w:val="24"/>
          <w:szCs w:val="24"/>
        </w:rPr>
      </w:pPr>
    </w:p>
    <w:p w:rsidR="004808A1" w:rsidRPr="004808A1" w:rsidRDefault="00C4105A" w:rsidP="004808A1">
      <w:pPr>
        <w:pStyle w:val="ListParagraph"/>
        <w:numPr>
          <w:ilvl w:val="0"/>
          <w:numId w:val="11"/>
        </w:numPr>
        <w:spacing w:after="0" w:line="240" w:lineRule="auto"/>
        <w:ind w:left="0" w:firstLine="0"/>
        <w:jc w:val="both"/>
        <w:rPr>
          <w:rFonts w:ascii="Times New Roman" w:hAnsi="Times New Roman" w:cs="Times New Roman"/>
          <w:sz w:val="24"/>
          <w:szCs w:val="24"/>
        </w:rPr>
      </w:pPr>
      <w:r w:rsidRPr="004808A1">
        <w:rPr>
          <w:rFonts w:ascii="Times New Roman" w:hAnsi="Times New Roman" w:cs="Times New Roman"/>
          <w:sz w:val="24"/>
          <w:szCs w:val="24"/>
        </w:rPr>
        <w:t>Officials have considered a number of options to address these concerns, which are summarised below and outlined in more detail in appendix</w:t>
      </w:r>
      <w:r>
        <w:rPr>
          <w:rFonts w:ascii="Times New Roman" w:hAnsi="Times New Roman" w:cs="Times New Roman"/>
          <w:sz w:val="24"/>
          <w:szCs w:val="24"/>
        </w:rPr>
        <w:t xml:space="preserve"> </w:t>
      </w:r>
      <w:r w:rsidR="00043703">
        <w:rPr>
          <w:rFonts w:ascii="Times New Roman" w:hAnsi="Times New Roman" w:cs="Times New Roman"/>
          <w:sz w:val="24"/>
          <w:szCs w:val="24"/>
        </w:rPr>
        <w:t>E-4</w:t>
      </w:r>
      <w:r w:rsidR="00B67DE0">
        <w:rPr>
          <w:rFonts w:ascii="Times New Roman" w:hAnsi="Times New Roman" w:cs="Times New Roman"/>
          <w:sz w:val="24"/>
          <w:szCs w:val="24"/>
        </w:rPr>
        <w:t>.</w:t>
      </w:r>
    </w:p>
    <w:p w:rsidR="004808A1" w:rsidRPr="005D3931" w:rsidRDefault="004808A1" w:rsidP="000446F0">
      <w:pPr>
        <w:spacing w:after="0" w:line="240" w:lineRule="auto"/>
        <w:jc w:val="both"/>
        <w:rPr>
          <w:rFonts w:ascii="Times New Roman" w:hAnsi="Times New Roman" w:cs="Times New Roman"/>
          <w:sz w:val="24"/>
          <w:szCs w:val="24"/>
        </w:rPr>
      </w:pPr>
    </w:p>
    <w:tbl>
      <w:tblPr>
        <w:tblStyle w:val="TableGrid"/>
        <w:tblW w:w="9072" w:type="dxa"/>
        <w:tblInd w:w="108" w:type="dxa"/>
        <w:tblLook w:val="04A0" w:firstRow="1" w:lastRow="0" w:firstColumn="1" w:lastColumn="0" w:noHBand="0" w:noVBand="1"/>
      </w:tblPr>
      <w:tblGrid>
        <w:gridCol w:w="3828"/>
        <w:gridCol w:w="5244"/>
      </w:tblGrid>
      <w:tr w:rsidR="00F03DCE" w:rsidRPr="005D3931" w:rsidTr="000576B9">
        <w:tc>
          <w:tcPr>
            <w:tcW w:w="3828" w:type="dxa"/>
          </w:tcPr>
          <w:p w:rsidR="00F03DCE" w:rsidRPr="005D3931" w:rsidRDefault="00F03DCE" w:rsidP="00F03DCE">
            <w:pPr>
              <w:jc w:val="both"/>
              <w:rPr>
                <w:rFonts w:ascii="Times New Roman" w:hAnsi="Times New Roman" w:cs="Times New Roman"/>
                <w:b/>
                <w:sz w:val="24"/>
                <w:szCs w:val="24"/>
              </w:rPr>
            </w:pPr>
            <w:r w:rsidRPr="005D3931">
              <w:rPr>
                <w:rFonts w:ascii="Times New Roman" w:hAnsi="Times New Roman" w:cs="Times New Roman"/>
                <w:b/>
                <w:sz w:val="24"/>
                <w:szCs w:val="24"/>
              </w:rPr>
              <w:t>Options</w:t>
            </w:r>
          </w:p>
        </w:tc>
        <w:tc>
          <w:tcPr>
            <w:tcW w:w="5244" w:type="dxa"/>
          </w:tcPr>
          <w:p w:rsidR="00F03DCE" w:rsidRPr="005D3931" w:rsidRDefault="00F03DCE" w:rsidP="00F03DCE">
            <w:pPr>
              <w:jc w:val="both"/>
              <w:rPr>
                <w:rFonts w:ascii="Times New Roman" w:hAnsi="Times New Roman" w:cs="Times New Roman"/>
                <w:b/>
                <w:sz w:val="24"/>
                <w:szCs w:val="24"/>
              </w:rPr>
            </w:pPr>
            <w:r w:rsidRPr="005D3931">
              <w:rPr>
                <w:rFonts w:ascii="Times New Roman" w:hAnsi="Times New Roman" w:cs="Times New Roman"/>
                <w:b/>
                <w:sz w:val="24"/>
                <w:szCs w:val="24"/>
              </w:rPr>
              <w:t>Analysis against the objectives</w:t>
            </w:r>
          </w:p>
        </w:tc>
      </w:tr>
      <w:tr w:rsidR="00F03DCE" w:rsidRPr="005D3931" w:rsidTr="000576B9">
        <w:tc>
          <w:tcPr>
            <w:tcW w:w="3828" w:type="dxa"/>
          </w:tcPr>
          <w:p w:rsidR="00F03DCE" w:rsidRPr="005D3931" w:rsidRDefault="00F03DCE" w:rsidP="00B67DE0">
            <w:pPr>
              <w:jc w:val="both"/>
              <w:rPr>
                <w:rFonts w:ascii="Times New Roman" w:hAnsi="Times New Roman" w:cs="Times New Roman"/>
                <w:sz w:val="24"/>
                <w:szCs w:val="24"/>
              </w:rPr>
            </w:pPr>
            <w:r w:rsidRPr="005D3931">
              <w:rPr>
                <w:rFonts w:ascii="Times New Roman" w:hAnsi="Times New Roman" w:cs="Times New Roman"/>
                <w:sz w:val="24"/>
                <w:szCs w:val="24"/>
              </w:rPr>
              <w:t xml:space="preserve">1. </w:t>
            </w:r>
            <w:r w:rsidR="00B67DE0">
              <w:rPr>
                <w:rFonts w:ascii="Times New Roman" w:hAnsi="Times New Roman" w:cs="Times New Roman"/>
                <w:sz w:val="24"/>
                <w:szCs w:val="24"/>
              </w:rPr>
              <w:t>Retain the s</w:t>
            </w:r>
            <w:r w:rsidRPr="005D3931">
              <w:rPr>
                <w:rFonts w:ascii="Times New Roman" w:hAnsi="Times New Roman" w:cs="Times New Roman"/>
                <w:sz w:val="24"/>
                <w:szCs w:val="24"/>
              </w:rPr>
              <w:t>tatus quo</w:t>
            </w:r>
          </w:p>
        </w:tc>
        <w:tc>
          <w:tcPr>
            <w:tcW w:w="5244" w:type="dxa"/>
          </w:tcPr>
          <w:p w:rsidR="00F03DCE" w:rsidRPr="005D3931" w:rsidRDefault="00F03DCE" w:rsidP="00915120">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F03DCE" w:rsidRPr="005D3931" w:rsidRDefault="00F03DCE" w:rsidP="00915120">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F03DCE" w:rsidRPr="005D3931" w:rsidRDefault="00183E15" w:rsidP="00915120">
            <w:pPr>
              <w:jc w:val="both"/>
              <w:rPr>
                <w:rFonts w:ascii="Times New Roman" w:hAnsi="Times New Roman" w:cs="Times New Roman"/>
                <w:sz w:val="24"/>
                <w:szCs w:val="24"/>
              </w:rPr>
            </w:pPr>
            <w:r>
              <w:rPr>
                <w:rFonts w:ascii="Times New Roman" w:hAnsi="Times New Roman" w:cs="Times New Roman"/>
                <w:i/>
                <w:sz w:val="24"/>
                <w:szCs w:val="24"/>
              </w:rPr>
              <w:t>S</w:t>
            </w:r>
            <w:r w:rsidR="00F03DCE" w:rsidRPr="005D3931">
              <w:rPr>
                <w:rFonts w:ascii="Times New Roman" w:hAnsi="Times New Roman" w:cs="Times New Roman"/>
                <w:i/>
                <w:sz w:val="24"/>
                <w:szCs w:val="24"/>
              </w:rPr>
              <w:t>ustainability</w:t>
            </w:r>
            <w:r w:rsidR="00F03DCE"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F03DCE" w:rsidRPr="005D3931" w:rsidRDefault="00F03DCE" w:rsidP="00915120">
            <w:pPr>
              <w:jc w:val="both"/>
              <w:rPr>
                <w:rFonts w:ascii="Times New Roman" w:hAnsi="Times New Roman" w:cs="Times New Roman"/>
                <w:sz w:val="24"/>
                <w:szCs w:val="24"/>
              </w:rPr>
            </w:pPr>
            <w:r w:rsidRPr="00B67DE0">
              <w:rPr>
                <w:rFonts w:ascii="Times New Roman" w:hAnsi="Times New Roman" w:cs="Times New Roman"/>
                <w:i/>
                <w:sz w:val="24"/>
                <w:szCs w:val="24"/>
              </w:rPr>
              <w:t>Revenue</w:t>
            </w:r>
            <w:r w:rsidRPr="00B67DE0">
              <w:rPr>
                <w:rFonts w:ascii="Times New Roman" w:hAnsi="Times New Roman" w:cs="Times New Roman"/>
                <w:sz w:val="24"/>
                <w:szCs w:val="24"/>
              </w:rPr>
              <w:t>:</w:t>
            </w:r>
            <w:r w:rsidR="00B67DE0">
              <w:rPr>
                <w:rFonts w:ascii="Times New Roman" w:hAnsi="Times New Roman" w:cs="Times New Roman"/>
                <w:sz w:val="24"/>
                <w:szCs w:val="24"/>
              </w:rPr>
              <w:t xml:space="preserve"> no impact</w:t>
            </w:r>
          </w:p>
        </w:tc>
      </w:tr>
      <w:tr w:rsidR="00F03DCE" w:rsidRPr="005D3931" w:rsidTr="000576B9">
        <w:tc>
          <w:tcPr>
            <w:tcW w:w="3828" w:type="dxa"/>
          </w:tcPr>
          <w:p w:rsidR="00F03DCE" w:rsidRPr="005D3931" w:rsidRDefault="00F03DCE" w:rsidP="00B67DE0">
            <w:pPr>
              <w:jc w:val="both"/>
              <w:rPr>
                <w:rFonts w:ascii="Times New Roman" w:hAnsi="Times New Roman" w:cs="Times New Roman"/>
                <w:sz w:val="24"/>
                <w:szCs w:val="24"/>
              </w:rPr>
            </w:pPr>
            <w:r w:rsidRPr="005D3931">
              <w:rPr>
                <w:rFonts w:ascii="Times New Roman" w:hAnsi="Times New Roman" w:cs="Times New Roman"/>
                <w:sz w:val="24"/>
                <w:szCs w:val="24"/>
              </w:rPr>
              <w:t xml:space="preserve">2. </w:t>
            </w:r>
            <w:r w:rsidR="00B67DE0">
              <w:rPr>
                <w:rFonts w:ascii="Times New Roman" w:hAnsi="Times New Roman" w:cs="Times New Roman"/>
                <w:sz w:val="24"/>
                <w:szCs w:val="24"/>
              </w:rPr>
              <w:t>I</w:t>
            </w:r>
            <w:r w:rsidRPr="005D3931">
              <w:rPr>
                <w:rFonts w:ascii="Times New Roman" w:hAnsi="Times New Roman" w:cs="Times New Roman"/>
                <w:sz w:val="24"/>
                <w:szCs w:val="24"/>
              </w:rPr>
              <w:t xml:space="preserve">ssue </w:t>
            </w:r>
            <w:r w:rsidR="00AB3392">
              <w:rPr>
                <w:rFonts w:ascii="Times New Roman" w:hAnsi="Times New Roman" w:cs="Times New Roman"/>
                <w:sz w:val="24"/>
                <w:szCs w:val="24"/>
              </w:rPr>
              <w:t xml:space="preserve">certificate </w:t>
            </w:r>
            <w:r w:rsidRPr="005D3931">
              <w:rPr>
                <w:rFonts w:ascii="Times New Roman" w:hAnsi="Times New Roman" w:cs="Times New Roman"/>
                <w:sz w:val="24"/>
                <w:szCs w:val="24"/>
              </w:rPr>
              <w:t xml:space="preserve">for </w:t>
            </w:r>
            <w:r w:rsidR="00AB3392">
              <w:rPr>
                <w:rFonts w:ascii="Times New Roman" w:hAnsi="Times New Roman" w:cs="Times New Roman"/>
                <w:sz w:val="24"/>
                <w:szCs w:val="24"/>
              </w:rPr>
              <w:t xml:space="preserve">an </w:t>
            </w:r>
            <w:r w:rsidRPr="005D3931">
              <w:rPr>
                <w:rFonts w:ascii="Times New Roman" w:hAnsi="Times New Roman" w:cs="Times New Roman"/>
                <w:sz w:val="24"/>
                <w:szCs w:val="24"/>
              </w:rPr>
              <w:t>unlimited period</w:t>
            </w:r>
          </w:p>
        </w:tc>
        <w:tc>
          <w:tcPr>
            <w:tcW w:w="5244" w:type="dxa"/>
          </w:tcPr>
          <w:p w:rsidR="00F03DCE" w:rsidRPr="005D3931" w:rsidRDefault="00F03DCE" w:rsidP="00F03DCE">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E907AB">
              <w:rPr>
                <w:rFonts w:ascii="Wingdings 2" w:hAnsi="Wingdings 2" w:cs="Times New Roman"/>
                <w:sz w:val="24"/>
                <w:szCs w:val="24"/>
              </w:rPr>
              <w:t></w:t>
            </w:r>
            <w:r w:rsidR="00E907AB">
              <w:rPr>
                <w:rFonts w:ascii="Wingdings 2" w:hAnsi="Wingdings 2" w:cs="Times New Roman"/>
                <w:sz w:val="24"/>
                <w:szCs w:val="24"/>
              </w:rPr>
              <w:t></w:t>
            </w:r>
          </w:p>
          <w:p w:rsidR="00F03DCE" w:rsidRPr="005D3931" w:rsidRDefault="00F03DCE" w:rsidP="00F03DCE">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F03DCE" w:rsidRPr="005D3931" w:rsidRDefault="00183E15" w:rsidP="00F03DCE">
            <w:pPr>
              <w:jc w:val="both"/>
              <w:rPr>
                <w:rFonts w:ascii="Times New Roman" w:hAnsi="Times New Roman" w:cs="Times New Roman"/>
                <w:sz w:val="24"/>
                <w:szCs w:val="24"/>
              </w:rPr>
            </w:pPr>
            <w:r>
              <w:rPr>
                <w:rFonts w:ascii="Times New Roman" w:hAnsi="Times New Roman" w:cs="Times New Roman"/>
                <w:i/>
                <w:sz w:val="24"/>
                <w:szCs w:val="24"/>
              </w:rPr>
              <w:t>S</w:t>
            </w:r>
            <w:r w:rsidR="00F03DCE" w:rsidRPr="005D3931">
              <w:rPr>
                <w:rFonts w:ascii="Times New Roman" w:hAnsi="Times New Roman" w:cs="Times New Roman"/>
                <w:i/>
                <w:sz w:val="24"/>
                <w:szCs w:val="24"/>
              </w:rPr>
              <w:t>ustainability</w:t>
            </w:r>
            <w:r w:rsidR="00F03DCE"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F03DCE" w:rsidRPr="005D3931" w:rsidRDefault="00F03DCE" w:rsidP="00F03DCE">
            <w:pPr>
              <w:jc w:val="both"/>
              <w:rPr>
                <w:rFonts w:ascii="Times New Roman" w:hAnsi="Times New Roman" w:cs="Times New Roman"/>
                <w:i/>
                <w:sz w:val="24"/>
                <w:szCs w:val="24"/>
              </w:rPr>
            </w:pPr>
            <w:r w:rsidRPr="00B67DE0">
              <w:rPr>
                <w:rFonts w:ascii="Times New Roman" w:hAnsi="Times New Roman" w:cs="Times New Roman"/>
                <w:i/>
                <w:sz w:val="24"/>
                <w:szCs w:val="24"/>
              </w:rPr>
              <w:t>Revenue</w:t>
            </w:r>
            <w:r w:rsidRPr="00B67DE0">
              <w:rPr>
                <w:rFonts w:ascii="Times New Roman" w:hAnsi="Times New Roman" w:cs="Times New Roman"/>
                <w:sz w:val="24"/>
                <w:szCs w:val="24"/>
              </w:rPr>
              <w:t>:</w:t>
            </w:r>
            <w:r w:rsidR="00E214BE">
              <w:rPr>
                <w:rFonts w:ascii="Times New Roman" w:hAnsi="Times New Roman" w:cs="Times New Roman"/>
                <w:sz w:val="24"/>
                <w:szCs w:val="24"/>
              </w:rPr>
              <w:t xml:space="preserve"> no impact</w:t>
            </w:r>
          </w:p>
        </w:tc>
      </w:tr>
      <w:tr w:rsidR="00F03DCE" w:rsidRPr="005D3931" w:rsidTr="000576B9">
        <w:tc>
          <w:tcPr>
            <w:tcW w:w="3828" w:type="dxa"/>
          </w:tcPr>
          <w:p w:rsidR="00F03DCE" w:rsidRPr="005D3931" w:rsidRDefault="00E214BE" w:rsidP="00915120">
            <w:pPr>
              <w:jc w:val="both"/>
              <w:rPr>
                <w:rFonts w:ascii="Times New Roman" w:hAnsi="Times New Roman" w:cs="Times New Roman"/>
                <w:sz w:val="24"/>
                <w:szCs w:val="24"/>
              </w:rPr>
            </w:pPr>
            <w:r>
              <w:rPr>
                <w:rFonts w:ascii="Times New Roman" w:hAnsi="Times New Roman" w:cs="Times New Roman"/>
                <w:sz w:val="24"/>
                <w:szCs w:val="24"/>
              </w:rPr>
              <w:t xml:space="preserve">3. </w:t>
            </w:r>
            <w:r w:rsidR="00AB3392">
              <w:rPr>
                <w:rFonts w:ascii="Times New Roman" w:hAnsi="Times New Roman" w:cs="Times New Roman"/>
                <w:sz w:val="24"/>
                <w:szCs w:val="24"/>
              </w:rPr>
              <w:t>Issue certificate for period greater than a year</w:t>
            </w:r>
          </w:p>
        </w:tc>
        <w:tc>
          <w:tcPr>
            <w:tcW w:w="5244" w:type="dxa"/>
          </w:tcPr>
          <w:p w:rsidR="00B67DE0" w:rsidRPr="005D3931" w:rsidRDefault="00B67DE0" w:rsidP="00B67DE0">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B67DE0" w:rsidRPr="005D3931" w:rsidRDefault="00B67DE0" w:rsidP="00B67DE0">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E907AB">
              <w:rPr>
                <w:rFonts w:ascii="Wingdings 2" w:hAnsi="Wingdings 2" w:cs="Times New Roman"/>
                <w:sz w:val="24"/>
                <w:szCs w:val="24"/>
              </w:rPr>
              <w:t></w:t>
            </w:r>
            <w:r w:rsidR="00E907AB">
              <w:rPr>
                <w:rFonts w:ascii="Wingdings 2" w:hAnsi="Wingdings 2" w:cs="Times New Roman"/>
                <w:sz w:val="24"/>
                <w:szCs w:val="24"/>
              </w:rPr>
              <w:t></w:t>
            </w:r>
          </w:p>
          <w:p w:rsidR="00B67DE0" w:rsidRPr="005D3931" w:rsidRDefault="00183E15" w:rsidP="00B67DE0">
            <w:pPr>
              <w:jc w:val="both"/>
              <w:rPr>
                <w:rFonts w:ascii="Times New Roman" w:hAnsi="Times New Roman" w:cs="Times New Roman"/>
                <w:sz w:val="24"/>
                <w:szCs w:val="24"/>
              </w:rPr>
            </w:pPr>
            <w:r>
              <w:rPr>
                <w:rFonts w:ascii="Times New Roman" w:hAnsi="Times New Roman" w:cs="Times New Roman"/>
                <w:i/>
                <w:sz w:val="24"/>
                <w:szCs w:val="24"/>
              </w:rPr>
              <w:t>S</w:t>
            </w:r>
            <w:r w:rsidR="00B67DE0" w:rsidRPr="005D3931">
              <w:rPr>
                <w:rFonts w:ascii="Times New Roman" w:hAnsi="Times New Roman" w:cs="Times New Roman"/>
                <w:i/>
                <w:sz w:val="24"/>
                <w:szCs w:val="24"/>
              </w:rPr>
              <w:t>ustainability</w:t>
            </w:r>
            <w:r w:rsidR="00B67DE0"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F03DCE" w:rsidRPr="005D3931" w:rsidRDefault="00B67DE0" w:rsidP="00B67DE0">
            <w:pPr>
              <w:jc w:val="both"/>
              <w:rPr>
                <w:rFonts w:ascii="Times New Roman" w:hAnsi="Times New Roman" w:cs="Times New Roman"/>
                <w:i/>
                <w:sz w:val="24"/>
                <w:szCs w:val="24"/>
              </w:rPr>
            </w:pPr>
            <w:r w:rsidRPr="00B67DE0">
              <w:rPr>
                <w:rFonts w:ascii="Times New Roman" w:hAnsi="Times New Roman" w:cs="Times New Roman"/>
                <w:i/>
                <w:sz w:val="24"/>
                <w:szCs w:val="24"/>
              </w:rPr>
              <w:t>Revenue</w:t>
            </w:r>
            <w:r w:rsidRPr="00B67DE0">
              <w:rPr>
                <w:rFonts w:ascii="Times New Roman" w:hAnsi="Times New Roman" w:cs="Times New Roman"/>
                <w:sz w:val="24"/>
                <w:szCs w:val="24"/>
              </w:rPr>
              <w:t>:</w:t>
            </w:r>
            <w:r w:rsidR="00AB3392">
              <w:rPr>
                <w:rFonts w:ascii="Times New Roman" w:hAnsi="Times New Roman" w:cs="Times New Roman"/>
                <w:sz w:val="24"/>
                <w:szCs w:val="24"/>
              </w:rPr>
              <w:t xml:space="preserve"> no impact</w:t>
            </w:r>
          </w:p>
        </w:tc>
      </w:tr>
    </w:tbl>
    <w:p w:rsidR="00F03DCE" w:rsidRPr="005D3931" w:rsidRDefault="00F03DCE" w:rsidP="00F03DCE">
      <w:pPr>
        <w:spacing w:after="0" w:line="240" w:lineRule="auto"/>
        <w:jc w:val="both"/>
        <w:rPr>
          <w:rFonts w:ascii="Times New Roman" w:hAnsi="Times New Roman" w:cs="Times New Roman"/>
          <w:sz w:val="24"/>
          <w:szCs w:val="24"/>
        </w:rPr>
      </w:pPr>
    </w:p>
    <w:p w:rsidR="00F03DCE" w:rsidRPr="00061BE6" w:rsidRDefault="00F03DCE" w:rsidP="00F03DCE">
      <w:pPr>
        <w:spacing w:after="0" w:line="240" w:lineRule="auto"/>
        <w:jc w:val="both"/>
        <w:rPr>
          <w:rFonts w:ascii="Times New Roman" w:hAnsi="Times New Roman" w:cs="Times New Roman"/>
          <w:b/>
          <w:i/>
          <w:sz w:val="24"/>
          <w:szCs w:val="24"/>
        </w:rPr>
      </w:pPr>
      <w:r w:rsidRPr="00061BE6">
        <w:rPr>
          <w:rFonts w:ascii="Times New Roman" w:hAnsi="Times New Roman" w:cs="Times New Roman"/>
          <w:b/>
          <w:i/>
          <w:sz w:val="24"/>
          <w:szCs w:val="24"/>
        </w:rPr>
        <w:t>Recommendation</w:t>
      </w:r>
    </w:p>
    <w:p w:rsidR="0043243C" w:rsidRDefault="0043243C" w:rsidP="0043243C">
      <w:pPr>
        <w:pStyle w:val="ListParagraph"/>
        <w:spacing w:after="0" w:line="240" w:lineRule="auto"/>
        <w:ind w:left="0"/>
        <w:jc w:val="both"/>
        <w:rPr>
          <w:rFonts w:ascii="Times New Roman" w:hAnsi="Times New Roman" w:cs="Times New Roman"/>
          <w:sz w:val="24"/>
          <w:szCs w:val="24"/>
        </w:rPr>
      </w:pPr>
    </w:p>
    <w:p w:rsidR="0043243C" w:rsidRPr="005D3931" w:rsidRDefault="00AB3392" w:rsidP="0043243C">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Officials recommend </w:t>
      </w:r>
      <w:r w:rsidR="00D63FB0">
        <w:rPr>
          <w:rFonts w:ascii="Times New Roman" w:hAnsi="Times New Roman" w:cs="Times New Roman"/>
          <w:sz w:val="24"/>
          <w:szCs w:val="24"/>
        </w:rPr>
        <w:t xml:space="preserve">option 2 </w:t>
      </w:r>
      <w:r>
        <w:rPr>
          <w:rFonts w:ascii="Times New Roman" w:hAnsi="Times New Roman" w:cs="Times New Roman"/>
          <w:sz w:val="24"/>
          <w:szCs w:val="24"/>
        </w:rPr>
        <w:t>as this meets the objectives of reducing compliance and administration costs</w:t>
      </w:r>
      <w:r w:rsidR="00AB657A">
        <w:rPr>
          <w:rFonts w:ascii="Times New Roman" w:hAnsi="Times New Roman" w:cs="Times New Roman"/>
          <w:sz w:val="24"/>
          <w:szCs w:val="24"/>
        </w:rPr>
        <w:t xml:space="preserve"> with no impact on fairness or sustainability of the tax system.</w:t>
      </w:r>
    </w:p>
    <w:p w:rsidR="00402669" w:rsidRPr="005D3931" w:rsidRDefault="00402669" w:rsidP="00F03DCE">
      <w:pPr>
        <w:spacing w:after="0" w:line="240" w:lineRule="auto"/>
        <w:jc w:val="both"/>
        <w:rPr>
          <w:rFonts w:ascii="Times New Roman" w:hAnsi="Times New Roman" w:cs="Times New Roman"/>
          <w:sz w:val="24"/>
          <w:szCs w:val="24"/>
        </w:rPr>
      </w:pPr>
    </w:p>
    <w:p w:rsidR="00F03DCE" w:rsidRPr="00E8196C" w:rsidRDefault="00D675C9" w:rsidP="00E8196C">
      <w:pPr>
        <w:spacing w:after="0" w:line="240" w:lineRule="auto"/>
        <w:ind w:left="709" w:firstLine="11"/>
        <w:jc w:val="both"/>
        <w:rPr>
          <w:rFonts w:ascii="Times New Roman" w:hAnsi="Times New Roman" w:cs="Times New Roman"/>
          <w:b/>
          <w:i/>
          <w:sz w:val="24"/>
          <w:szCs w:val="24"/>
        </w:rPr>
      </w:pPr>
      <w:r w:rsidRPr="00E8196C">
        <w:rPr>
          <w:rFonts w:ascii="Times New Roman" w:hAnsi="Times New Roman" w:cs="Times New Roman"/>
          <w:b/>
          <w:i/>
          <w:sz w:val="24"/>
          <w:szCs w:val="24"/>
        </w:rPr>
        <w:t>I</w:t>
      </w:r>
      <w:r w:rsidR="00F03DCE" w:rsidRPr="00E8196C">
        <w:rPr>
          <w:rFonts w:ascii="Times New Roman" w:hAnsi="Times New Roman" w:cs="Times New Roman"/>
          <w:b/>
          <w:i/>
          <w:sz w:val="24"/>
          <w:szCs w:val="24"/>
        </w:rPr>
        <w:t xml:space="preserve">ncrease the threshold for annual </w:t>
      </w:r>
      <w:proofErr w:type="spellStart"/>
      <w:r w:rsidR="00F03DCE" w:rsidRPr="00E8196C">
        <w:rPr>
          <w:rFonts w:ascii="Times New Roman" w:hAnsi="Times New Roman" w:cs="Times New Roman"/>
          <w:b/>
          <w:i/>
          <w:sz w:val="24"/>
          <w:szCs w:val="24"/>
        </w:rPr>
        <w:t>FBT</w:t>
      </w:r>
      <w:proofErr w:type="spellEnd"/>
      <w:r w:rsidR="00F03DCE" w:rsidRPr="00E8196C">
        <w:rPr>
          <w:rFonts w:ascii="Times New Roman" w:hAnsi="Times New Roman" w:cs="Times New Roman"/>
          <w:b/>
          <w:i/>
          <w:sz w:val="24"/>
          <w:szCs w:val="24"/>
        </w:rPr>
        <w:t xml:space="preserve"> returns from $500,000 to $1</w:t>
      </w:r>
      <w:r w:rsidR="00AF4FE3">
        <w:rPr>
          <w:rFonts w:ascii="Times New Roman" w:hAnsi="Times New Roman" w:cs="Times New Roman"/>
          <w:b/>
          <w:i/>
          <w:sz w:val="24"/>
          <w:szCs w:val="24"/>
        </w:rPr>
        <w:t xml:space="preserve"> </w:t>
      </w:r>
      <w:r w:rsidR="00F03DCE" w:rsidRPr="00E8196C">
        <w:rPr>
          <w:rFonts w:ascii="Times New Roman" w:hAnsi="Times New Roman" w:cs="Times New Roman"/>
          <w:b/>
          <w:i/>
          <w:sz w:val="24"/>
          <w:szCs w:val="24"/>
        </w:rPr>
        <w:t>m</w:t>
      </w:r>
      <w:r w:rsidR="00AF4FE3">
        <w:rPr>
          <w:rFonts w:ascii="Times New Roman" w:hAnsi="Times New Roman" w:cs="Times New Roman"/>
          <w:b/>
          <w:i/>
          <w:sz w:val="24"/>
          <w:szCs w:val="24"/>
        </w:rPr>
        <w:t>illion</w:t>
      </w:r>
      <w:r w:rsidR="00F03DCE" w:rsidRPr="00E8196C">
        <w:rPr>
          <w:rFonts w:ascii="Times New Roman" w:hAnsi="Times New Roman" w:cs="Times New Roman"/>
          <w:b/>
          <w:i/>
          <w:sz w:val="24"/>
          <w:szCs w:val="24"/>
        </w:rPr>
        <w:t xml:space="preserve"> of PAYE/</w:t>
      </w:r>
      <w:proofErr w:type="spellStart"/>
      <w:r w:rsidR="00F03DCE" w:rsidRPr="00E8196C">
        <w:rPr>
          <w:rFonts w:ascii="Times New Roman" w:hAnsi="Times New Roman" w:cs="Times New Roman"/>
          <w:b/>
          <w:i/>
          <w:sz w:val="24"/>
          <w:szCs w:val="24"/>
        </w:rPr>
        <w:t>ESCT</w:t>
      </w:r>
      <w:proofErr w:type="spellEnd"/>
    </w:p>
    <w:p w:rsidR="00D675C9" w:rsidRPr="005D3931" w:rsidRDefault="00D675C9" w:rsidP="00F03DCE">
      <w:pPr>
        <w:spacing w:after="0" w:line="240" w:lineRule="auto"/>
        <w:jc w:val="both"/>
        <w:rPr>
          <w:rFonts w:ascii="Times New Roman" w:hAnsi="Times New Roman" w:cs="Times New Roman"/>
          <w:sz w:val="24"/>
          <w:szCs w:val="24"/>
        </w:rPr>
      </w:pPr>
    </w:p>
    <w:p w:rsidR="00D63FB0" w:rsidRDefault="00B02CDF" w:rsidP="003F2666">
      <w:pPr>
        <w:pStyle w:val="ListParagraph"/>
        <w:spacing w:after="0" w:line="240" w:lineRule="auto"/>
        <w:ind w:left="0"/>
        <w:jc w:val="both"/>
        <w:rPr>
          <w:rFonts w:ascii="Times New Roman" w:hAnsi="Times New Roman" w:cs="Times New Roman"/>
          <w:b/>
          <w:i/>
          <w:sz w:val="24"/>
          <w:szCs w:val="24"/>
        </w:rPr>
      </w:pPr>
      <w:r w:rsidRPr="00043703">
        <w:rPr>
          <w:rFonts w:ascii="Times New Roman" w:hAnsi="Times New Roman" w:cs="Times New Roman"/>
          <w:sz w:val="24"/>
          <w:szCs w:val="24"/>
        </w:rPr>
        <w:t xml:space="preserve">Most businesses are required to calculate and return </w:t>
      </w:r>
      <w:proofErr w:type="spellStart"/>
      <w:r w:rsidRPr="00043703">
        <w:rPr>
          <w:rFonts w:ascii="Times New Roman" w:hAnsi="Times New Roman" w:cs="Times New Roman"/>
          <w:sz w:val="24"/>
          <w:szCs w:val="24"/>
        </w:rPr>
        <w:t>FBT</w:t>
      </w:r>
      <w:proofErr w:type="spellEnd"/>
      <w:r w:rsidRPr="00043703">
        <w:rPr>
          <w:rFonts w:ascii="Times New Roman" w:hAnsi="Times New Roman" w:cs="Times New Roman"/>
          <w:sz w:val="24"/>
          <w:szCs w:val="24"/>
        </w:rPr>
        <w:t xml:space="preserve"> on a quarterly basis. However businesses that have combined </w:t>
      </w:r>
      <w:r w:rsidR="00DC53C9" w:rsidRPr="00043703">
        <w:rPr>
          <w:rFonts w:ascii="Times New Roman" w:hAnsi="Times New Roman" w:cs="Times New Roman"/>
          <w:sz w:val="24"/>
          <w:szCs w:val="24"/>
        </w:rPr>
        <w:t>pay as you earn (</w:t>
      </w:r>
      <w:r w:rsidRPr="00043703">
        <w:rPr>
          <w:rFonts w:ascii="Times New Roman" w:hAnsi="Times New Roman" w:cs="Times New Roman"/>
          <w:sz w:val="24"/>
          <w:szCs w:val="24"/>
        </w:rPr>
        <w:t>PAYE</w:t>
      </w:r>
      <w:r w:rsidR="00DC53C9" w:rsidRPr="00043703">
        <w:rPr>
          <w:rFonts w:ascii="Times New Roman" w:hAnsi="Times New Roman" w:cs="Times New Roman"/>
          <w:sz w:val="24"/>
          <w:szCs w:val="24"/>
        </w:rPr>
        <w:t>)</w:t>
      </w:r>
      <w:r w:rsidRPr="00043703">
        <w:rPr>
          <w:rFonts w:ascii="Times New Roman" w:hAnsi="Times New Roman" w:cs="Times New Roman"/>
          <w:sz w:val="24"/>
          <w:szCs w:val="24"/>
        </w:rPr>
        <w:t xml:space="preserve"> and </w:t>
      </w:r>
      <w:r w:rsidR="00DC53C9" w:rsidRPr="00043703">
        <w:rPr>
          <w:rFonts w:ascii="Times New Roman" w:hAnsi="Times New Roman" w:cs="Times New Roman"/>
          <w:sz w:val="24"/>
          <w:szCs w:val="24"/>
        </w:rPr>
        <w:t>employer superannuation contribution tax (</w:t>
      </w:r>
      <w:proofErr w:type="spellStart"/>
      <w:r w:rsidRPr="00043703">
        <w:rPr>
          <w:rFonts w:ascii="Times New Roman" w:hAnsi="Times New Roman" w:cs="Times New Roman"/>
          <w:sz w:val="24"/>
          <w:szCs w:val="24"/>
        </w:rPr>
        <w:t>ESCT</w:t>
      </w:r>
      <w:proofErr w:type="spellEnd"/>
      <w:r w:rsidR="00DC53C9" w:rsidRPr="00043703">
        <w:rPr>
          <w:rFonts w:ascii="Times New Roman" w:hAnsi="Times New Roman" w:cs="Times New Roman"/>
          <w:sz w:val="24"/>
          <w:szCs w:val="24"/>
        </w:rPr>
        <w:t>)</w:t>
      </w:r>
      <w:r w:rsidRPr="00043703">
        <w:rPr>
          <w:rFonts w:ascii="Times New Roman" w:hAnsi="Times New Roman" w:cs="Times New Roman"/>
          <w:sz w:val="24"/>
          <w:szCs w:val="24"/>
        </w:rPr>
        <w:t xml:space="preserve"> obligations of no more than $500,000 per year are currently allowed to calculate an</w:t>
      </w:r>
      <w:r w:rsidR="000E4599" w:rsidRPr="00043703">
        <w:rPr>
          <w:rFonts w:ascii="Times New Roman" w:hAnsi="Times New Roman" w:cs="Times New Roman"/>
          <w:sz w:val="24"/>
          <w:szCs w:val="24"/>
        </w:rPr>
        <w:t xml:space="preserve">d return </w:t>
      </w:r>
      <w:proofErr w:type="spellStart"/>
      <w:r w:rsidR="000E4599" w:rsidRPr="00043703">
        <w:rPr>
          <w:rFonts w:ascii="Times New Roman" w:hAnsi="Times New Roman" w:cs="Times New Roman"/>
          <w:sz w:val="24"/>
          <w:szCs w:val="24"/>
        </w:rPr>
        <w:t>FBT</w:t>
      </w:r>
      <w:proofErr w:type="spellEnd"/>
      <w:r w:rsidR="000E4599" w:rsidRPr="00043703">
        <w:rPr>
          <w:rFonts w:ascii="Times New Roman" w:hAnsi="Times New Roman" w:cs="Times New Roman"/>
          <w:sz w:val="24"/>
          <w:szCs w:val="24"/>
        </w:rPr>
        <w:t xml:space="preserve"> on an annual basis</w:t>
      </w:r>
      <w:r w:rsidRPr="00043703">
        <w:rPr>
          <w:rFonts w:ascii="Times New Roman" w:hAnsi="Times New Roman" w:cs="Times New Roman"/>
          <w:sz w:val="24"/>
          <w:szCs w:val="24"/>
        </w:rPr>
        <w:t xml:space="preserve">. As a smaller business becomes larger and employs more staff, it may exceed the $500,000 threshold. Consequently the business will be required to calculate and pay </w:t>
      </w:r>
      <w:proofErr w:type="spellStart"/>
      <w:r w:rsidRPr="00043703">
        <w:rPr>
          <w:rFonts w:ascii="Times New Roman" w:hAnsi="Times New Roman" w:cs="Times New Roman"/>
          <w:sz w:val="24"/>
          <w:szCs w:val="24"/>
        </w:rPr>
        <w:t>FBT</w:t>
      </w:r>
      <w:proofErr w:type="spellEnd"/>
      <w:r w:rsidRPr="00043703">
        <w:rPr>
          <w:rFonts w:ascii="Times New Roman" w:hAnsi="Times New Roman" w:cs="Times New Roman"/>
          <w:sz w:val="24"/>
          <w:szCs w:val="24"/>
        </w:rPr>
        <w:t xml:space="preserve"> on a quarterly basis. This can impose compliance costs which are still significant </w:t>
      </w:r>
      <w:r w:rsidR="004E5176">
        <w:rPr>
          <w:rFonts w:ascii="Times New Roman" w:hAnsi="Times New Roman" w:cs="Times New Roman"/>
          <w:sz w:val="24"/>
          <w:szCs w:val="24"/>
        </w:rPr>
        <w:t>relative to</w:t>
      </w:r>
      <w:r w:rsidRPr="00043703">
        <w:rPr>
          <w:rFonts w:ascii="Times New Roman" w:hAnsi="Times New Roman" w:cs="Times New Roman"/>
          <w:sz w:val="24"/>
          <w:szCs w:val="24"/>
        </w:rPr>
        <w:t xml:space="preserve"> the size of the business.</w:t>
      </w:r>
    </w:p>
    <w:p w:rsidR="00043703" w:rsidRDefault="00043703" w:rsidP="003F2666">
      <w:pPr>
        <w:pStyle w:val="ListParagraph"/>
        <w:spacing w:after="0" w:line="240" w:lineRule="auto"/>
        <w:ind w:left="0"/>
        <w:jc w:val="both"/>
        <w:rPr>
          <w:rFonts w:ascii="Times New Roman" w:hAnsi="Times New Roman" w:cs="Times New Roman"/>
          <w:b/>
          <w:i/>
          <w:sz w:val="24"/>
          <w:szCs w:val="24"/>
        </w:rPr>
      </w:pPr>
    </w:p>
    <w:p w:rsidR="004808A1" w:rsidRPr="003F2666" w:rsidRDefault="003F2666" w:rsidP="003F2666">
      <w:pPr>
        <w:pStyle w:val="ListParagraph"/>
        <w:spacing w:after="0" w:line="240" w:lineRule="auto"/>
        <w:ind w:left="0"/>
        <w:jc w:val="both"/>
        <w:rPr>
          <w:rFonts w:ascii="Times New Roman" w:hAnsi="Times New Roman" w:cs="Times New Roman"/>
          <w:b/>
          <w:i/>
          <w:sz w:val="24"/>
          <w:szCs w:val="24"/>
        </w:rPr>
      </w:pPr>
      <w:r w:rsidRPr="003F2666">
        <w:rPr>
          <w:rFonts w:ascii="Times New Roman" w:hAnsi="Times New Roman" w:cs="Times New Roman"/>
          <w:b/>
          <w:i/>
          <w:sz w:val="24"/>
          <w:szCs w:val="24"/>
        </w:rPr>
        <w:t>Options and analysis</w:t>
      </w:r>
    </w:p>
    <w:p w:rsidR="003F2666" w:rsidRPr="003F2666" w:rsidRDefault="003F2666" w:rsidP="003F2666">
      <w:pPr>
        <w:pStyle w:val="ListParagraph"/>
        <w:spacing w:after="0" w:line="240" w:lineRule="auto"/>
        <w:ind w:left="0"/>
        <w:jc w:val="both"/>
        <w:rPr>
          <w:rFonts w:ascii="Times New Roman" w:hAnsi="Times New Roman" w:cs="Times New Roman"/>
          <w:sz w:val="24"/>
          <w:szCs w:val="24"/>
        </w:rPr>
      </w:pPr>
    </w:p>
    <w:p w:rsidR="004808A1" w:rsidRPr="004808A1" w:rsidRDefault="00C4105A" w:rsidP="004808A1">
      <w:pPr>
        <w:pStyle w:val="ListParagraph"/>
        <w:numPr>
          <w:ilvl w:val="0"/>
          <w:numId w:val="11"/>
        </w:numPr>
        <w:spacing w:after="0" w:line="240" w:lineRule="auto"/>
        <w:ind w:left="0" w:firstLine="0"/>
        <w:jc w:val="both"/>
        <w:rPr>
          <w:rFonts w:ascii="Times New Roman" w:hAnsi="Times New Roman" w:cs="Times New Roman"/>
          <w:sz w:val="24"/>
          <w:szCs w:val="24"/>
        </w:rPr>
      </w:pPr>
      <w:r w:rsidRPr="004808A1">
        <w:rPr>
          <w:rFonts w:ascii="Times New Roman" w:hAnsi="Times New Roman" w:cs="Times New Roman"/>
          <w:sz w:val="24"/>
          <w:szCs w:val="24"/>
        </w:rPr>
        <w:t>Officials have considered a number of options to address these concerns, which are summarised below and outlined in more detail in appendix</w:t>
      </w:r>
      <w:r>
        <w:rPr>
          <w:rFonts w:ascii="Times New Roman" w:hAnsi="Times New Roman" w:cs="Times New Roman"/>
          <w:sz w:val="24"/>
          <w:szCs w:val="24"/>
        </w:rPr>
        <w:t xml:space="preserve"> </w:t>
      </w:r>
      <w:r w:rsidR="00043703">
        <w:rPr>
          <w:rFonts w:ascii="Times New Roman" w:hAnsi="Times New Roman" w:cs="Times New Roman"/>
          <w:sz w:val="24"/>
          <w:szCs w:val="24"/>
        </w:rPr>
        <w:t>E-5</w:t>
      </w:r>
      <w:r w:rsidR="004808A1" w:rsidRPr="004808A1">
        <w:rPr>
          <w:rFonts w:ascii="Times New Roman" w:hAnsi="Times New Roman" w:cs="Times New Roman"/>
          <w:sz w:val="24"/>
          <w:szCs w:val="24"/>
        </w:rPr>
        <w:t>.</w:t>
      </w:r>
    </w:p>
    <w:p w:rsidR="004808A1" w:rsidRPr="005D3931" w:rsidRDefault="004808A1" w:rsidP="00F03DCE">
      <w:pPr>
        <w:spacing w:after="0" w:line="240" w:lineRule="auto"/>
        <w:jc w:val="both"/>
        <w:rPr>
          <w:rFonts w:ascii="Times New Roman" w:hAnsi="Times New Roman" w:cs="Times New Roman"/>
          <w:sz w:val="24"/>
          <w:szCs w:val="24"/>
        </w:rPr>
      </w:pPr>
    </w:p>
    <w:tbl>
      <w:tblPr>
        <w:tblStyle w:val="TableGrid"/>
        <w:tblW w:w="9072" w:type="dxa"/>
        <w:tblInd w:w="108" w:type="dxa"/>
        <w:tblLook w:val="04A0" w:firstRow="1" w:lastRow="0" w:firstColumn="1" w:lastColumn="0" w:noHBand="0" w:noVBand="1"/>
      </w:tblPr>
      <w:tblGrid>
        <w:gridCol w:w="3828"/>
        <w:gridCol w:w="5244"/>
      </w:tblGrid>
      <w:tr w:rsidR="00D675C9" w:rsidRPr="005D3931" w:rsidTr="00AB040D">
        <w:tc>
          <w:tcPr>
            <w:tcW w:w="3828" w:type="dxa"/>
          </w:tcPr>
          <w:p w:rsidR="00D675C9" w:rsidRPr="005D3931" w:rsidRDefault="00D675C9" w:rsidP="00D675C9">
            <w:pPr>
              <w:jc w:val="both"/>
              <w:rPr>
                <w:rFonts w:ascii="Times New Roman" w:hAnsi="Times New Roman" w:cs="Times New Roman"/>
                <w:b/>
                <w:sz w:val="24"/>
                <w:szCs w:val="24"/>
              </w:rPr>
            </w:pPr>
            <w:r w:rsidRPr="005D3931">
              <w:rPr>
                <w:rFonts w:ascii="Times New Roman" w:hAnsi="Times New Roman" w:cs="Times New Roman"/>
                <w:b/>
                <w:sz w:val="24"/>
                <w:szCs w:val="24"/>
              </w:rPr>
              <w:t>Options</w:t>
            </w:r>
          </w:p>
        </w:tc>
        <w:tc>
          <w:tcPr>
            <w:tcW w:w="5244" w:type="dxa"/>
          </w:tcPr>
          <w:p w:rsidR="00D675C9" w:rsidRPr="005D3931" w:rsidRDefault="00D675C9" w:rsidP="00D675C9">
            <w:pPr>
              <w:jc w:val="both"/>
              <w:rPr>
                <w:rFonts w:ascii="Times New Roman" w:hAnsi="Times New Roman" w:cs="Times New Roman"/>
                <w:b/>
                <w:sz w:val="24"/>
                <w:szCs w:val="24"/>
              </w:rPr>
            </w:pPr>
            <w:r w:rsidRPr="005D3931">
              <w:rPr>
                <w:rFonts w:ascii="Times New Roman" w:hAnsi="Times New Roman" w:cs="Times New Roman"/>
                <w:b/>
                <w:sz w:val="24"/>
                <w:szCs w:val="24"/>
              </w:rPr>
              <w:t>Analysis against the objectives</w:t>
            </w:r>
          </w:p>
        </w:tc>
      </w:tr>
      <w:tr w:rsidR="00F03DCE" w:rsidRPr="005D3931" w:rsidTr="00AB040D">
        <w:tc>
          <w:tcPr>
            <w:tcW w:w="3828" w:type="dxa"/>
          </w:tcPr>
          <w:p w:rsidR="00F03DCE" w:rsidRPr="005D3931" w:rsidRDefault="00F03DCE" w:rsidP="00C54805">
            <w:pPr>
              <w:jc w:val="both"/>
              <w:rPr>
                <w:rFonts w:ascii="Times New Roman" w:hAnsi="Times New Roman" w:cs="Times New Roman"/>
                <w:sz w:val="24"/>
                <w:szCs w:val="24"/>
              </w:rPr>
            </w:pPr>
            <w:r w:rsidRPr="005D3931">
              <w:rPr>
                <w:rFonts w:ascii="Times New Roman" w:hAnsi="Times New Roman" w:cs="Times New Roman"/>
                <w:sz w:val="24"/>
                <w:szCs w:val="24"/>
              </w:rPr>
              <w:t xml:space="preserve">1. </w:t>
            </w:r>
            <w:r w:rsidR="00C54805">
              <w:rPr>
                <w:rFonts w:ascii="Times New Roman" w:hAnsi="Times New Roman" w:cs="Times New Roman"/>
                <w:sz w:val="24"/>
                <w:szCs w:val="24"/>
              </w:rPr>
              <w:t>Retain the s</w:t>
            </w:r>
            <w:r w:rsidRPr="005D3931">
              <w:rPr>
                <w:rFonts w:ascii="Times New Roman" w:hAnsi="Times New Roman" w:cs="Times New Roman"/>
                <w:sz w:val="24"/>
                <w:szCs w:val="24"/>
              </w:rPr>
              <w:t>tatus quo</w:t>
            </w:r>
          </w:p>
        </w:tc>
        <w:tc>
          <w:tcPr>
            <w:tcW w:w="5244" w:type="dxa"/>
          </w:tcPr>
          <w:p w:rsidR="00F03DCE" w:rsidRPr="005D3931" w:rsidRDefault="00F03DCE" w:rsidP="00915120">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F03DCE" w:rsidRPr="005D3931" w:rsidRDefault="00F03DCE" w:rsidP="00915120">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F03DCE" w:rsidRPr="005D3931" w:rsidRDefault="00183E15" w:rsidP="00915120">
            <w:pPr>
              <w:jc w:val="both"/>
              <w:rPr>
                <w:rFonts w:ascii="Times New Roman" w:hAnsi="Times New Roman" w:cs="Times New Roman"/>
                <w:sz w:val="24"/>
                <w:szCs w:val="24"/>
              </w:rPr>
            </w:pPr>
            <w:r>
              <w:rPr>
                <w:rFonts w:ascii="Times New Roman" w:hAnsi="Times New Roman" w:cs="Times New Roman"/>
                <w:i/>
                <w:sz w:val="24"/>
                <w:szCs w:val="24"/>
              </w:rPr>
              <w:t>S</w:t>
            </w:r>
            <w:r w:rsidR="00F03DCE" w:rsidRPr="005D3931">
              <w:rPr>
                <w:rFonts w:ascii="Times New Roman" w:hAnsi="Times New Roman" w:cs="Times New Roman"/>
                <w:i/>
                <w:sz w:val="24"/>
                <w:szCs w:val="24"/>
              </w:rPr>
              <w:t>ustainability</w:t>
            </w:r>
            <w:r w:rsidR="00F03DCE"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F03DCE" w:rsidRPr="005D3931" w:rsidRDefault="00F03DCE" w:rsidP="00F10A4C">
            <w:pPr>
              <w:jc w:val="both"/>
              <w:rPr>
                <w:rFonts w:ascii="Times New Roman" w:hAnsi="Times New Roman" w:cs="Times New Roman"/>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sidR="00B02CDF" w:rsidRPr="005D3931">
              <w:rPr>
                <w:rFonts w:ascii="Times New Roman" w:hAnsi="Times New Roman" w:cs="Times New Roman"/>
                <w:sz w:val="24"/>
                <w:szCs w:val="24"/>
              </w:rPr>
              <w:t xml:space="preserve"> </w:t>
            </w:r>
            <w:r w:rsidR="00F10A4C" w:rsidRPr="005D3931">
              <w:rPr>
                <w:rFonts w:ascii="Times New Roman" w:hAnsi="Times New Roman" w:cs="Times New Roman"/>
                <w:sz w:val="24"/>
                <w:szCs w:val="24"/>
              </w:rPr>
              <w:t>n</w:t>
            </w:r>
            <w:r w:rsidR="00B02CDF" w:rsidRPr="005D3931">
              <w:rPr>
                <w:rFonts w:ascii="Times New Roman" w:hAnsi="Times New Roman" w:cs="Times New Roman"/>
                <w:sz w:val="24"/>
                <w:szCs w:val="24"/>
              </w:rPr>
              <w:t>o impact</w:t>
            </w:r>
          </w:p>
        </w:tc>
      </w:tr>
      <w:tr w:rsidR="00F03DCE" w:rsidRPr="005D3931" w:rsidTr="00AB040D">
        <w:tc>
          <w:tcPr>
            <w:tcW w:w="3828" w:type="dxa"/>
          </w:tcPr>
          <w:p w:rsidR="00F03DCE" w:rsidRPr="005D3931" w:rsidRDefault="00B02CDF" w:rsidP="00915120">
            <w:pPr>
              <w:jc w:val="both"/>
              <w:rPr>
                <w:rFonts w:ascii="Times New Roman" w:hAnsi="Times New Roman" w:cs="Times New Roman"/>
                <w:sz w:val="24"/>
                <w:szCs w:val="24"/>
              </w:rPr>
            </w:pPr>
            <w:r w:rsidRPr="005D3931">
              <w:rPr>
                <w:rFonts w:ascii="Times New Roman" w:hAnsi="Times New Roman" w:cs="Times New Roman"/>
                <w:sz w:val="24"/>
                <w:szCs w:val="24"/>
              </w:rPr>
              <w:t>2. Increase threshold to $1 million</w:t>
            </w:r>
          </w:p>
        </w:tc>
        <w:tc>
          <w:tcPr>
            <w:tcW w:w="5244" w:type="dxa"/>
          </w:tcPr>
          <w:p w:rsidR="00B02CDF" w:rsidRPr="005D3931" w:rsidRDefault="00B02CDF" w:rsidP="00B02CDF">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B02CDF" w:rsidRPr="005D3931" w:rsidRDefault="00B02CDF" w:rsidP="00B02CDF">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B02CDF" w:rsidRPr="005D3931" w:rsidRDefault="00183E15" w:rsidP="00B02CDF">
            <w:pPr>
              <w:jc w:val="both"/>
              <w:rPr>
                <w:rFonts w:ascii="Times New Roman" w:hAnsi="Times New Roman" w:cs="Times New Roman"/>
                <w:sz w:val="24"/>
                <w:szCs w:val="24"/>
              </w:rPr>
            </w:pPr>
            <w:r>
              <w:rPr>
                <w:rFonts w:ascii="Times New Roman" w:hAnsi="Times New Roman" w:cs="Times New Roman"/>
                <w:i/>
                <w:sz w:val="24"/>
                <w:szCs w:val="24"/>
              </w:rPr>
              <w:t>S</w:t>
            </w:r>
            <w:r w:rsidR="00B02CDF" w:rsidRPr="005D3931">
              <w:rPr>
                <w:rFonts w:ascii="Times New Roman" w:hAnsi="Times New Roman" w:cs="Times New Roman"/>
                <w:i/>
                <w:sz w:val="24"/>
                <w:szCs w:val="24"/>
              </w:rPr>
              <w:t>ustainability</w:t>
            </w:r>
            <w:r w:rsidR="00B02CDF"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F03DCE" w:rsidRPr="005D3931" w:rsidRDefault="00B02CDF" w:rsidP="007A1ED1">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sidR="00F10A4C" w:rsidRPr="005D3931">
              <w:rPr>
                <w:rFonts w:ascii="Times New Roman" w:hAnsi="Times New Roman" w:cs="Times New Roman"/>
                <w:sz w:val="24"/>
                <w:szCs w:val="24"/>
              </w:rPr>
              <w:t xml:space="preserve"> small fiscal cost</w:t>
            </w:r>
            <w:r w:rsidR="00BD4295">
              <w:rPr>
                <w:rFonts w:ascii="Times New Roman" w:hAnsi="Times New Roman" w:cs="Times New Roman"/>
                <w:sz w:val="24"/>
                <w:szCs w:val="24"/>
              </w:rPr>
              <w:t xml:space="preserve"> </w:t>
            </w:r>
            <w:r w:rsidR="007A1ED1">
              <w:rPr>
                <w:rFonts w:ascii="Times New Roman" w:hAnsi="Times New Roman" w:cs="Times New Roman"/>
                <w:sz w:val="24"/>
                <w:szCs w:val="24"/>
              </w:rPr>
              <w:t>of approximately $0.5 million over four years</w:t>
            </w:r>
          </w:p>
        </w:tc>
      </w:tr>
      <w:tr w:rsidR="000255A2" w:rsidRPr="005D3931" w:rsidTr="00AB040D">
        <w:tc>
          <w:tcPr>
            <w:tcW w:w="3828" w:type="dxa"/>
          </w:tcPr>
          <w:p w:rsidR="000255A2" w:rsidRPr="005D3931" w:rsidRDefault="000255A2" w:rsidP="000255A2">
            <w:pPr>
              <w:jc w:val="both"/>
              <w:rPr>
                <w:rFonts w:ascii="Times New Roman" w:hAnsi="Times New Roman" w:cs="Times New Roman"/>
                <w:sz w:val="24"/>
                <w:szCs w:val="24"/>
              </w:rPr>
            </w:pPr>
            <w:r>
              <w:rPr>
                <w:rFonts w:ascii="Times New Roman" w:hAnsi="Times New Roman" w:cs="Times New Roman"/>
                <w:sz w:val="24"/>
                <w:szCs w:val="24"/>
              </w:rPr>
              <w:t>3. Increase threshold to $2 million</w:t>
            </w:r>
          </w:p>
        </w:tc>
        <w:tc>
          <w:tcPr>
            <w:tcW w:w="5244" w:type="dxa"/>
          </w:tcPr>
          <w:p w:rsidR="000255A2" w:rsidRPr="005D3931" w:rsidRDefault="000255A2" w:rsidP="000255A2">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0255A2" w:rsidRPr="005D3931" w:rsidRDefault="000255A2" w:rsidP="000255A2">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0255A2" w:rsidRPr="005D3931" w:rsidRDefault="00183E15" w:rsidP="000255A2">
            <w:pPr>
              <w:jc w:val="both"/>
              <w:rPr>
                <w:rFonts w:ascii="Times New Roman" w:hAnsi="Times New Roman" w:cs="Times New Roman"/>
                <w:sz w:val="24"/>
                <w:szCs w:val="24"/>
              </w:rPr>
            </w:pPr>
            <w:r>
              <w:rPr>
                <w:rFonts w:ascii="Times New Roman" w:hAnsi="Times New Roman" w:cs="Times New Roman"/>
                <w:i/>
                <w:sz w:val="24"/>
                <w:szCs w:val="24"/>
              </w:rPr>
              <w:t>S</w:t>
            </w:r>
            <w:r w:rsidR="000255A2" w:rsidRPr="005D3931">
              <w:rPr>
                <w:rFonts w:ascii="Times New Roman" w:hAnsi="Times New Roman" w:cs="Times New Roman"/>
                <w:i/>
                <w:sz w:val="24"/>
                <w:szCs w:val="24"/>
              </w:rPr>
              <w:t>ustainability</w:t>
            </w:r>
            <w:r w:rsidR="000255A2" w:rsidRPr="005D3931">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0255A2" w:rsidRPr="005D3931" w:rsidRDefault="000255A2" w:rsidP="007A1ED1">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Pr="00BD4295">
              <w:rPr>
                <w:rFonts w:ascii="Times New Roman" w:hAnsi="Times New Roman" w:cs="Times New Roman"/>
                <w:sz w:val="24"/>
                <w:szCs w:val="24"/>
              </w:rPr>
              <w:t xml:space="preserve">: </w:t>
            </w:r>
            <w:r w:rsidR="00E907AB" w:rsidRPr="00334B6B">
              <w:rPr>
                <w:rFonts w:ascii="Times New Roman" w:hAnsi="Times New Roman" w:cs="Times New Roman"/>
                <w:sz w:val="24"/>
                <w:szCs w:val="24"/>
              </w:rPr>
              <w:t xml:space="preserve">more significant fiscal cost </w:t>
            </w:r>
            <w:r w:rsidR="007A1ED1">
              <w:rPr>
                <w:rFonts w:ascii="Times New Roman" w:hAnsi="Times New Roman" w:cs="Times New Roman"/>
                <w:sz w:val="24"/>
                <w:szCs w:val="24"/>
              </w:rPr>
              <w:t>than option 2</w:t>
            </w:r>
          </w:p>
        </w:tc>
      </w:tr>
    </w:tbl>
    <w:p w:rsidR="00AB040D" w:rsidRPr="000E4599" w:rsidRDefault="00AB040D" w:rsidP="00AB040D">
      <w:pPr>
        <w:spacing w:after="0" w:line="240" w:lineRule="auto"/>
        <w:jc w:val="both"/>
        <w:rPr>
          <w:rFonts w:ascii="Times New Roman" w:hAnsi="Times New Roman" w:cs="Times New Roman"/>
          <w:sz w:val="24"/>
          <w:szCs w:val="24"/>
        </w:rPr>
      </w:pPr>
    </w:p>
    <w:p w:rsidR="00AB040D" w:rsidRPr="000E4599" w:rsidRDefault="00AB040D" w:rsidP="00AB040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w:t>
      </w:r>
      <w:r w:rsidRPr="000E4599">
        <w:rPr>
          <w:rFonts w:ascii="Times New Roman" w:hAnsi="Times New Roman" w:cs="Times New Roman"/>
          <w:b/>
          <w:i/>
          <w:sz w:val="24"/>
          <w:szCs w:val="24"/>
        </w:rPr>
        <w:t>ecommendations</w:t>
      </w:r>
    </w:p>
    <w:p w:rsidR="00AB040D" w:rsidRPr="000E4599" w:rsidRDefault="00AB040D" w:rsidP="00AB040D">
      <w:pPr>
        <w:spacing w:after="0" w:line="240" w:lineRule="auto"/>
        <w:jc w:val="both"/>
        <w:rPr>
          <w:rFonts w:ascii="Times New Roman" w:hAnsi="Times New Roman" w:cs="Times New Roman"/>
          <w:sz w:val="24"/>
          <w:szCs w:val="24"/>
        </w:rPr>
      </w:pPr>
    </w:p>
    <w:p w:rsidR="00AB040D" w:rsidRDefault="00AB040D" w:rsidP="008D31DB">
      <w:pPr>
        <w:numPr>
          <w:ilvl w:val="0"/>
          <w:numId w:val="11"/>
        </w:numPr>
        <w:spacing w:after="0" w:line="240" w:lineRule="auto"/>
        <w:ind w:left="0" w:firstLine="0"/>
        <w:contextualSpacing/>
        <w:jc w:val="both"/>
        <w:rPr>
          <w:rFonts w:ascii="Times New Roman" w:hAnsi="Times New Roman" w:cs="Times New Roman"/>
          <w:sz w:val="24"/>
          <w:szCs w:val="24"/>
        </w:rPr>
      </w:pPr>
      <w:r w:rsidRPr="000E4599">
        <w:rPr>
          <w:rFonts w:ascii="Times New Roman" w:hAnsi="Times New Roman" w:cs="Times New Roman"/>
          <w:sz w:val="24"/>
          <w:szCs w:val="24"/>
        </w:rPr>
        <w:t>Officials recommend option 2, as it meets the objective without a significant fiscal cost.</w:t>
      </w:r>
      <w:r>
        <w:rPr>
          <w:rFonts w:ascii="Times New Roman" w:hAnsi="Times New Roman" w:cs="Times New Roman"/>
          <w:sz w:val="24"/>
          <w:szCs w:val="24"/>
        </w:rPr>
        <w:t xml:space="preserve">  Officials do not recommend option 3, as officials consider a business with </w:t>
      </w:r>
      <w:r w:rsidRPr="000E4599">
        <w:rPr>
          <w:rFonts w:ascii="Times New Roman" w:hAnsi="Times New Roman" w:cs="Times New Roman"/>
          <w:sz w:val="24"/>
          <w:szCs w:val="24"/>
        </w:rPr>
        <w:t>comb</w:t>
      </w:r>
      <w:r>
        <w:rPr>
          <w:rFonts w:ascii="Times New Roman" w:hAnsi="Times New Roman" w:cs="Times New Roman"/>
          <w:sz w:val="24"/>
          <w:szCs w:val="24"/>
        </w:rPr>
        <w:t xml:space="preserve">ined PAYE and </w:t>
      </w:r>
      <w:proofErr w:type="spellStart"/>
      <w:r>
        <w:rPr>
          <w:rFonts w:ascii="Times New Roman" w:hAnsi="Times New Roman" w:cs="Times New Roman"/>
          <w:sz w:val="24"/>
          <w:szCs w:val="24"/>
        </w:rPr>
        <w:t>ESCT</w:t>
      </w:r>
      <w:proofErr w:type="spellEnd"/>
      <w:r>
        <w:rPr>
          <w:rFonts w:ascii="Times New Roman" w:hAnsi="Times New Roman" w:cs="Times New Roman"/>
          <w:sz w:val="24"/>
          <w:szCs w:val="24"/>
        </w:rPr>
        <w:t xml:space="preserve"> obligations of over $1</w:t>
      </w:r>
      <w:r w:rsidR="00AF4FE3">
        <w:rPr>
          <w:rFonts w:ascii="Times New Roman" w:hAnsi="Times New Roman" w:cs="Times New Roman"/>
          <w:sz w:val="24"/>
          <w:szCs w:val="24"/>
        </w:rPr>
        <w:t xml:space="preserve"> </w:t>
      </w:r>
      <w:r>
        <w:rPr>
          <w:rFonts w:ascii="Times New Roman" w:hAnsi="Times New Roman" w:cs="Times New Roman"/>
          <w:sz w:val="24"/>
          <w:szCs w:val="24"/>
        </w:rPr>
        <w:t>m</w:t>
      </w:r>
      <w:r w:rsidR="00AF4FE3">
        <w:rPr>
          <w:rFonts w:ascii="Times New Roman" w:hAnsi="Times New Roman" w:cs="Times New Roman"/>
          <w:sz w:val="24"/>
          <w:szCs w:val="24"/>
        </w:rPr>
        <w:t>illion</w:t>
      </w:r>
      <w:r>
        <w:rPr>
          <w:rFonts w:ascii="Times New Roman" w:hAnsi="Times New Roman" w:cs="Times New Roman"/>
          <w:sz w:val="24"/>
          <w:szCs w:val="24"/>
        </w:rPr>
        <w:t xml:space="preserve"> is sufficiently large to be subject to the standard quarterly filing requirement.</w:t>
      </w:r>
    </w:p>
    <w:p w:rsidR="00D04D6B" w:rsidRPr="007E2B66" w:rsidRDefault="00D04D6B" w:rsidP="007E2B66">
      <w:pPr>
        <w:spacing w:after="0" w:line="240" w:lineRule="auto"/>
        <w:jc w:val="both"/>
        <w:rPr>
          <w:rFonts w:ascii="Times New Roman" w:hAnsi="Times New Roman" w:cs="Times New Roman"/>
          <w:sz w:val="24"/>
          <w:szCs w:val="24"/>
        </w:rPr>
      </w:pPr>
    </w:p>
    <w:p w:rsidR="00B02CDF" w:rsidRPr="00E8196C" w:rsidRDefault="00B02CDF" w:rsidP="00E8196C">
      <w:pPr>
        <w:spacing w:after="0" w:line="240" w:lineRule="auto"/>
        <w:ind w:firstLine="720"/>
        <w:jc w:val="both"/>
        <w:rPr>
          <w:rFonts w:ascii="Times New Roman" w:hAnsi="Times New Roman" w:cs="Times New Roman"/>
          <w:b/>
          <w:i/>
          <w:sz w:val="24"/>
          <w:szCs w:val="24"/>
        </w:rPr>
      </w:pPr>
      <w:r w:rsidRPr="00E8196C">
        <w:rPr>
          <w:rFonts w:ascii="Times New Roman" w:hAnsi="Times New Roman" w:cs="Times New Roman"/>
          <w:b/>
          <w:i/>
          <w:sz w:val="24"/>
          <w:szCs w:val="24"/>
        </w:rPr>
        <w:t>Modify the 63 day rule on employee remuneration</w:t>
      </w:r>
    </w:p>
    <w:p w:rsidR="00617DFB" w:rsidRPr="00617DFB" w:rsidRDefault="00617DFB" w:rsidP="00617DFB">
      <w:pPr>
        <w:spacing w:after="0" w:line="240" w:lineRule="auto"/>
        <w:jc w:val="both"/>
        <w:rPr>
          <w:rFonts w:ascii="Times New Roman" w:hAnsi="Times New Roman" w:cs="Times New Roman"/>
          <w:sz w:val="24"/>
          <w:szCs w:val="24"/>
          <w:u w:val="single"/>
        </w:rPr>
      </w:pPr>
    </w:p>
    <w:p w:rsidR="00617DFB" w:rsidRPr="00617DFB" w:rsidRDefault="00617DFB" w:rsidP="00617DFB">
      <w:pPr>
        <w:numPr>
          <w:ilvl w:val="0"/>
          <w:numId w:val="11"/>
        </w:numPr>
        <w:spacing w:after="0" w:line="240" w:lineRule="auto"/>
        <w:ind w:left="0" w:firstLine="0"/>
        <w:contextualSpacing/>
        <w:jc w:val="both"/>
        <w:rPr>
          <w:rFonts w:ascii="Times New Roman" w:hAnsi="Times New Roman" w:cs="Times New Roman"/>
          <w:sz w:val="24"/>
          <w:szCs w:val="24"/>
        </w:rPr>
      </w:pPr>
      <w:r w:rsidRPr="00617DFB">
        <w:rPr>
          <w:rFonts w:ascii="Times New Roman" w:hAnsi="Times New Roman" w:cs="Times New Roman"/>
          <w:sz w:val="24"/>
          <w:szCs w:val="24"/>
        </w:rPr>
        <w:t xml:space="preserve">There is a special deduction and timing rule for the deferred payment of employee remuneration. Currently, in order to comply with this deferred payment rule, taxpayers need to work out what employee remuneration has been paid during the 63 day period that relates to the previous income year. This creates an additional compliance burden for taxpayers because they need to track payments accrued at year end and paid within 63 days of the end of the income year.  </w:t>
      </w:r>
    </w:p>
    <w:p w:rsidR="00617DFB" w:rsidRPr="00617DFB" w:rsidRDefault="00617DFB" w:rsidP="00617DFB">
      <w:pPr>
        <w:spacing w:after="0" w:line="240" w:lineRule="auto"/>
        <w:contextualSpacing/>
        <w:jc w:val="both"/>
        <w:rPr>
          <w:rFonts w:ascii="Times New Roman" w:hAnsi="Times New Roman" w:cs="Times New Roman"/>
          <w:sz w:val="24"/>
          <w:szCs w:val="24"/>
        </w:rPr>
      </w:pPr>
    </w:p>
    <w:p w:rsidR="00617DFB" w:rsidRPr="00617DFB" w:rsidRDefault="00617DFB" w:rsidP="00617DFB">
      <w:pPr>
        <w:spacing w:after="0" w:line="240" w:lineRule="auto"/>
        <w:jc w:val="both"/>
        <w:rPr>
          <w:rFonts w:ascii="Times New Roman" w:hAnsi="Times New Roman" w:cs="Times New Roman"/>
          <w:b/>
          <w:i/>
          <w:sz w:val="24"/>
          <w:szCs w:val="24"/>
        </w:rPr>
      </w:pPr>
      <w:r w:rsidRPr="00617DFB">
        <w:rPr>
          <w:rFonts w:ascii="Times New Roman" w:hAnsi="Times New Roman" w:cs="Times New Roman"/>
          <w:b/>
          <w:i/>
          <w:sz w:val="24"/>
          <w:szCs w:val="24"/>
        </w:rPr>
        <w:t>Options and analysis</w:t>
      </w:r>
    </w:p>
    <w:p w:rsidR="00617DFB" w:rsidRPr="00617DFB" w:rsidRDefault="00617DFB" w:rsidP="00617DFB">
      <w:pPr>
        <w:spacing w:after="0" w:line="240" w:lineRule="auto"/>
        <w:contextualSpacing/>
        <w:jc w:val="both"/>
        <w:rPr>
          <w:rFonts w:ascii="Times New Roman" w:hAnsi="Times New Roman" w:cs="Times New Roman"/>
          <w:sz w:val="24"/>
          <w:szCs w:val="24"/>
        </w:rPr>
      </w:pPr>
    </w:p>
    <w:p w:rsidR="00043703" w:rsidRPr="004808A1" w:rsidRDefault="00C4105A" w:rsidP="00043703">
      <w:pPr>
        <w:pStyle w:val="ListParagraph"/>
        <w:numPr>
          <w:ilvl w:val="0"/>
          <w:numId w:val="11"/>
        </w:numPr>
        <w:spacing w:after="0" w:line="240" w:lineRule="auto"/>
        <w:ind w:left="0" w:firstLine="0"/>
        <w:jc w:val="both"/>
        <w:rPr>
          <w:rFonts w:ascii="Times New Roman" w:hAnsi="Times New Roman" w:cs="Times New Roman"/>
          <w:sz w:val="24"/>
          <w:szCs w:val="24"/>
        </w:rPr>
      </w:pPr>
      <w:r w:rsidRPr="004808A1">
        <w:rPr>
          <w:rFonts w:ascii="Times New Roman" w:hAnsi="Times New Roman" w:cs="Times New Roman"/>
          <w:sz w:val="24"/>
          <w:szCs w:val="24"/>
        </w:rPr>
        <w:t>Officials have considered a number of options to address these concerns, which are summarised below and outlined in more detail in appendix</w:t>
      </w:r>
      <w:r>
        <w:rPr>
          <w:rFonts w:ascii="Times New Roman" w:hAnsi="Times New Roman" w:cs="Times New Roman"/>
          <w:sz w:val="24"/>
          <w:szCs w:val="24"/>
        </w:rPr>
        <w:t xml:space="preserve"> </w:t>
      </w:r>
      <w:r w:rsidR="00043703">
        <w:rPr>
          <w:rFonts w:ascii="Times New Roman" w:hAnsi="Times New Roman" w:cs="Times New Roman"/>
          <w:sz w:val="24"/>
          <w:szCs w:val="24"/>
        </w:rPr>
        <w:t>E-6</w:t>
      </w:r>
      <w:r w:rsidR="00043703" w:rsidRPr="004808A1">
        <w:rPr>
          <w:rFonts w:ascii="Times New Roman" w:hAnsi="Times New Roman" w:cs="Times New Roman"/>
          <w:sz w:val="24"/>
          <w:szCs w:val="24"/>
        </w:rPr>
        <w:t>.</w:t>
      </w:r>
    </w:p>
    <w:p w:rsidR="00617DFB" w:rsidRPr="00617DFB" w:rsidRDefault="00617DFB" w:rsidP="00617DFB">
      <w:pPr>
        <w:spacing w:after="0" w:line="240" w:lineRule="auto"/>
        <w:contextualSpacing/>
        <w:jc w:val="both"/>
        <w:rPr>
          <w:rFonts w:ascii="Times New Roman" w:hAnsi="Times New Roman" w:cs="Times New Roman"/>
          <w:sz w:val="24"/>
          <w:szCs w:val="24"/>
        </w:rPr>
      </w:pPr>
    </w:p>
    <w:tbl>
      <w:tblPr>
        <w:tblStyle w:val="TableGrid"/>
        <w:tblW w:w="9072" w:type="dxa"/>
        <w:tblInd w:w="108" w:type="dxa"/>
        <w:tblLook w:val="04A0" w:firstRow="1" w:lastRow="0" w:firstColumn="1" w:lastColumn="0" w:noHBand="0" w:noVBand="1"/>
      </w:tblPr>
      <w:tblGrid>
        <w:gridCol w:w="3828"/>
        <w:gridCol w:w="5244"/>
      </w:tblGrid>
      <w:tr w:rsidR="00C8249F" w:rsidRPr="005D3931" w:rsidTr="00C8249F">
        <w:trPr>
          <w:trHeight w:val="340"/>
        </w:trPr>
        <w:tc>
          <w:tcPr>
            <w:tcW w:w="3828" w:type="dxa"/>
          </w:tcPr>
          <w:p w:rsidR="00C8249F" w:rsidRPr="005D3931" w:rsidRDefault="00C8249F" w:rsidP="00C8249F">
            <w:pPr>
              <w:jc w:val="both"/>
              <w:rPr>
                <w:rFonts w:ascii="Times New Roman" w:hAnsi="Times New Roman" w:cs="Times New Roman"/>
                <w:b/>
                <w:sz w:val="24"/>
                <w:szCs w:val="24"/>
              </w:rPr>
            </w:pPr>
            <w:r w:rsidRPr="005D3931">
              <w:rPr>
                <w:rFonts w:ascii="Times New Roman" w:hAnsi="Times New Roman" w:cs="Times New Roman"/>
                <w:b/>
                <w:sz w:val="24"/>
                <w:szCs w:val="24"/>
              </w:rPr>
              <w:t>Option</w:t>
            </w:r>
          </w:p>
        </w:tc>
        <w:tc>
          <w:tcPr>
            <w:tcW w:w="5244" w:type="dxa"/>
          </w:tcPr>
          <w:p w:rsidR="00C8249F" w:rsidRPr="005D3931" w:rsidRDefault="00C8249F" w:rsidP="00C8249F">
            <w:pPr>
              <w:jc w:val="both"/>
              <w:rPr>
                <w:rFonts w:ascii="Times New Roman" w:hAnsi="Times New Roman" w:cs="Times New Roman"/>
                <w:b/>
                <w:sz w:val="24"/>
                <w:szCs w:val="24"/>
              </w:rPr>
            </w:pPr>
            <w:r w:rsidRPr="005D3931">
              <w:rPr>
                <w:rFonts w:ascii="Times New Roman" w:hAnsi="Times New Roman" w:cs="Times New Roman"/>
                <w:b/>
                <w:sz w:val="24"/>
                <w:szCs w:val="24"/>
              </w:rPr>
              <w:t>Analysis against the objectives</w:t>
            </w:r>
          </w:p>
        </w:tc>
      </w:tr>
    </w:tbl>
    <w:tbl>
      <w:tblPr>
        <w:tblStyle w:val="TableGrid3"/>
        <w:tblW w:w="9072" w:type="dxa"/>
        <w:tblInd w:w="108" w:type="dxa"/>
        <w:tblLook w:val="04A0" w:firstRow="1" w:lastRow="0" w:firstColumn="1" w:lastColumn="0" w:noHBand="0" w:noVBand="1"/>
      </w:tblPr>
      <w:tblGrid>
        <w:gridCol w:w="3828"/>
        <w:gridCol w:w="5244"/>
      </w:tblGrid>
      <w:tr w:rsidR="00617DFB" w:rsidRPr="00617DFB" w:rsidTr="000302D3">
        <w:tc>
          <w:tcPr>
            <w:tcW w:w="3828" w:type="dxa"/>
          </w:tcPr>
          <w:p w:rsidR="00617DFB" w:rsidRPr="00420D8B" w:rsidRDefault="00617DFB" w:rsidP="00617DFB">
            <w:pPr>
              <w:jc w:val="both"/>
              <w:rPr>
                <w:rFonts w:ascii="Times New Roman" w:hAnsi="Times New Roman" w:cs="Times New Roman"/>
                <w:sz w:val="24"/>
                <w:szCs w:val="24"/>
              </w:rPr>
            </w:pPr>
            <w:r w:rsidRPr="00420D8B">
              <w:rPr>
                <w:rFonts w:ascii="Times New Roman" w:hAnsi="Times New Roman" w:cs="Times New Roman"/>
                <w:sz w:val="24"/>
                <w:szCs w:val="24"/>
              </w:rPr>
              <w:t>1. Retain the status quo</w:t>
            </w:r>
          </w:p>
        </w:tc>
        <w:tc>
          <w:tcPr>
            <w:tcW w:w="5244" w:type="dxa"/>
          </w:tcPr>
          <w:p w:rsidR="00617DFB" w:rsidRPr="00617DFB" w:rsidRDefault="00617DFB" w:rsidP="00617DFB">
            <w:pPr>
              <w:jc w:val="both"/>
              <w:rPr>
                <w:rFonts w:ascii="Times New Roman" w:hAnsi="Times New Roman" w:cs="Times New Roman"/>
                <w:sz w:val="24"/>
                <w:szCs w:val="24"/>
              </w:rPr>
            </w:pPr>
            <w:r w:rsidRPr="00617DFB">
              <w:rPr>
                <w:rFonts w:ascii="Times New Roman" w:hAnsi="Times New Roman" w:cs="Times New Roman"/>
                <w:i/>
                <w:sz w:val="24"/>
                <w:szCs w:val="24"/>
              </w:rPr>
              <w:t>Fairness and equity</w:t>
            </w:r>
            <w:r w:rsidRPr="00617DFB">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617DFB" w:rsidRPr="00617DFB" w:rsidRDefault="00617DFB" w:rsidP="00617DFB">
            <w:pPr>
              <w:jc w:val="both"/>
              <w:rPr>
                <w:rFonts w:ascii="Times New Roman" w:hAnsi="Times New Roman" w:cs="Times New Roman"/>
                <w:sz w:val="24"/>
                <w:szCs w:val="24"/>
              </w:rPr>
            </w:pPr>
            <w:r w:rsidRPr="00617DFB">
              <w:rPr>
                <w:rFonts w:ascii="Times New Roman" w:hAnsi="Times New Roman" w:cs="Times New Roman"/>
                <w:i/>
                <w:sz w:val="24"/>
                <w:szCs w:val="24"/>
              </w:rPr>
              <w:t>Compliance and administration</w:t>
            </w:r>
            <w:r w:rsidRPr="00617DFB">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617DFB" w:rsidRPr="00617DFB" w:rsidRDefault="00183E15" w:rsidP="00617DFB">
            <w:pPr>
              <w:jc w:val="both"/>
              <w:rPr>
                <w:rFonts w:ascii="Times New Roman" w:hAnsi="Times New Roman" w:cs="Times New Roman"/>
                <w:sz w:val="24"/>
                <w:szCs w:val="24"/>
              </w:rPr>
            </w:pPr>
            <w:r>
              <w:rPr>
                <w:rFonts w:ascii="Times New Roman" w:hAnsi="Times New Roman" w:cs="Times New Roman"/>
                <w:i/>
                <w:sz w:val="24"/>
                <w:szCs w:val="24"/>
              </w:rPr>
              <w:t>S</w:t>
            </w:r>
            <w:r w:rsidR="00617DFB" w:rsidRPr="00617DFB">
              <w:rPr>
                <w:rFonts w:ascii="Times New Roman" w:hAnsi="Times New Roman" w:cs="Times New Roman"/>
                <w:i/>
                <w:sz w:val="24"/>
                <w:szCs w:val="24"/>
              </w:rPr>
              <w:t>ustainability</w:t>
            </w:r>
            <w:r w:rsidR="00617DFB" w:rsidRPr="00617DFB">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617DFB" w:rsidRPr="00617DFB" w:rsidRDefault="00617DFB" w:rsidP="00617DFB">
            <w:pPr>
              <w:jc w:val="both"/>
              <w:rPr>
                <w:rFonts w:ascii="Times New Roman" w:hAnsi="Times New Roman" w:cs="Times New Roman"/>
                <w:i/>
                <w:sz w:val="24"/>
                <w:szCs w:val="24"/>
              </w:rPr>
            </w:pPr>
            <w:r w:rsidRPr="00617DFB">
              <w:rPr>
                <w:rFonts w:ascii="Times New Roman" w:hAnsi="Times New Roman" w:cs="Times New Roman"/>
                <w:i/>
                <w:sz w:val="24"/>
                <w:szCs w:val="24"/>
              </w:rPr>
              <w:t>Revenue</w:t>
            </w:r>
            <w:r w:rsidRPr="00617DFB">
              <w:rPr>
                <w:rFonts w:ascii="Times New Roman" w:hAnsi="Times New Roman" w:cs="Times New Roman"/>
                <w:sz w:val="24"/>
                <w:szCs w:val="24"/>
              </w:rPr>
              <w:t>: no impact</w:t>
            </w:r>
          </w:p>
        </w:tc>
      </w:tr>
      <w:tr w:rsidR="00617DFB" w:rsidRPr="00617DFB" w:rsidTr="000302D3">
        <w:tc>
          <w:tcPr>
            <w:tcW w:w="3828" w:type="dxa"/>
          </w:tcPr>
          <w:p w:rsidR="00617DFB" w:rsidRPr="00420D8B" w:rsidRDefault="00617DFB" w:rsidP="00617DFB">
            <w:pPr>
              <w:jc w:val="both"/>
              <w:rPr>
                <w:rFonts w:ascii="Times New Roman" w:hAnsi="Times New Roman" w:cs="Times New Roman"/>
                <w:sz w:val="24"/>
                <w:szCs w:val="24"/>
              </w:rPr>
            </w:pPr>
            <w:r w:rsidRPr="00420D8B">
              <w:rPr>
                <w:rFonts w:ascii="Times New Roman" w:hAnsi="Times New Roman" w:cs="Times New Roman"/>
                <w:sz w:val="24"/>
                <w:szCs w:val="24"/>
              </w:rPr>
              <w:t xml:space="preserve">2. </w:t>
            </w:r>
            <w:r w:rsidR="008F6668" w:rsidRPr="00842528">
              <w:rPr>
                <w:rFonts w:ascii="Times New Roman" w:hAnsi="Times New Roman" w:cs="Times New Roman"/>
                <w:sz w:val="24"/>
                <w:szCs w:val="24"/>
              </w:rPr>
              <w:t>Optional 63 day rule</w:t>
            </w:r>
          </w:p>
        </w:tc>
        <w:tc>
          <w:tcPr>
            <w:tcW w:w="5244" w:type="dxa"/>
          </w:tcPr>
          <w:p w:rsidR="00617DFB" w:rsidRPr="00617DFB" w:rsidRDefault="00617DFB" w:rsidP="00617DFB">
            <w:pPr>
              <w:jc w:val="both"/>
              <w:rPr>
                <w:rFonts w:ascii="Times New Roman" w:hAnsi="Times New Roman" w:cs="Times New Roman"/>
                <w:sz w:val="24"/>
                <w:szCs w:val="24"/>
              </w:rPr>
            </w:pPr>
            <w:r w:rsidRPr="00617DFB">
              <w:rPr>
                <w:rFonts w:ascii="Times New Roman" w:hAnsi="Times New Roman" w:cs="Times New Roman"/>
                <w:i/>
                <w:sz w:val="24"/>
                <w:szCs w:val="24"/>
              </w:rPr>
              <w:t>Fairness and equity</w:t>
            </w:r>
            <w:r w:rsidRPr="00617DFB">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617DFB" w:rsidRPr="00617DFB" w:rsidRDefault="00617DFB" w:rsidP="00617DFB">
            <w:pPr>
              <w:jc w:val="both"/>
              <w:rPr>
                <w:rFonts w:ascii="Times New Roman" w:hAnsi="Times New Roman" w:cs="Times New Roman"/>
                <w:sz w:val="24"/>
                <w:szCs w:val="24"/>
              </w:rPr>
            </w:pPr>
            <w:r w:rsidRPr="00617DFB">
              <w:rPr>
                <w:rFonts w:ascii="Times New Roman" w:hAnsi="Times New Roman" w:cs="Times New Roman"/>
                <w:i/>
                <w:sz w:val="24"/>
                <w:szCs w:val="24"/>
              </w:rPr>
              <w:t>Compliance and administration</w:t>
            </w:r>
            <w:r w:rsidRPr="00617DFB">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617DFB" w:rsidRPr="00617DFB" w:rsidRDefault="00183E15" w:rsidP="00617DFB">
            <w:pPr>
              <w:jc w:val="both"/>
              <w:rPr>
                <w:rFonts w:ascii="Times New Roman" w:hAnsi="Times New Roman" w:cs="Times New Roman"/>
                <w:sz w:val="24"/>
                <w:szCs w:val="24"/>
              </w:rPr>
            </w:pPr>
            <w:r>
              <w:rPr>
                <w:rFonts w:ascii="Times New Roman" w:hAnsi="Times New Roman" w:cs="Times New Roman"/>
                <w:i/>
                <w:sz w:val="24"/>
                <w:szCs w:val="24"/>
              </w:rPr>
              <w:t>S</w:t>
            </w:r>
            <w:r w:rsidR="00617DFB" w:rsidRPr="00617DFB">
              <w:rPr>
                <w:rFonts w:ascii="Times New Roman" w:hAnsi="Times New Roman" w:cs="Times New Roman"/>
                <w:i/>
                <w:sz w:val="24"/>
                <w:szCs w:val="24"/>
              </w:rPr>
              <w:t>ustainability</w:t>
            </w:r>
            <w:r w:rsidR="00617DFB" w:rsidRPr="00617DFB">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617DFB" w:rsidRPr="00617DFB" w:rsidRDefault="00617DFB" w:rsidP="007A1ED1">
            <w:pPr>
              <w:jc w:val="both"/>
              <w:rPr>
                <w:rFonts w:ascii="Times New Roman" w:hAnsi="Times New Roman" w:cs="Times New Roman"/>
                <w:i/>
                <w:sz w:val="24"/>
                <w:szCs w:val="24"/>
              </w:rPr>
            </w:pPr>
            <w:r w:rsidRPr="00617DFB">
              <w:rPr>
                <w:rFonts w:ascii="Times New Roman" w:hAnsi="Times New Roman" w:cs="Times New Roman"/>
                <w:i/>
                <w:sz w:val="24"/>
                <w:szCs w:val="24"/>
              </w:rPr>
              <w:t>Revenue</w:t>
            </w:r>
            <w:r w:rsidRPr="00617DFB">
              <w:rPr>
                <w:rFonts w:ascii="Times New Roman" w:hAnsi="Times New Roman" w:cs="Times New Roman"/>
                <w:sz w:val="24"/>
                <w:szCs w:val="24"/>
              </w:rPr>
              <w:t xml:space="preserve">: </w:t>
            </w:r>
            <w:r w:rsidR="007A1ED1">
              <w:rPr>
                <w:rFonts w:ascii="Times New Roman" w:hAnsi="Times New Roman" w:cs="Times New Roman"/>
                <w:sz w:val="24"/>
                <w:szCs w:val="24"/>
              </w:rPr>
              <w:t>small upfront gain</w:t>
            </w:r>
          </w:p>
        </w:tc>
      </w:tr>
      <w:tr w:rsidR="00617DFB" w:rsidRPr="00617DFB" w:rsidTr="000302D3">
        <w:tc>
          <w:tcPr>
            <w:tcW w:w="3828" w:type="dxa"/>
          </w:tcPr>
          <w:p w:rsidR="00617DFB" w:rsidRPr="00420D8B" w:rsidRDefault="00617DFB" w:rsidP="00617DFB">
            <w:pPr>
              <w:jc w:val="both"/>
              <w:rPr>
                <w:rFonts w:ascii="Times New Roman" w:hAnsi="Times New Roman" w:cs="Times New Roman"/>
                <w:sz w:val="24"/>
                <w:szCs w:val="24"/>
              </w:rPr>
            </w:pPr>
            <w:r w:rsidRPr="00420D8B">
              <w:rPr>
                <w:rFonts w:ascii="Times New Roman" w:hAnsi="Times New Roman" w:cs="Times New Roman"/>
                <w:sz w:val="24"/>
                <w:szCs w:val="24"/>
              </w:rPr>
              <w:t xml:space="preserve">3. </w:t>
            </w:r>
            <w:r w:rsidR="008F6668" w:rsidRPr="00842528">
              <w:rPr>
                <w:rFonts w:ascii="Times New Roman" w:hAnsi="Times New Roman" w:cs="Times New Roman"/>
                <w:sz w:val="24"/>
                <w:szCs w:val="24"/>
              </w:rPr>
              <w:t>Optional 63 day rule for different classes of employee remuneration</w:t>
            </w:r>
          </w:p>
        </w:tc>
        <w:tc>
          <w:tcPr>
            <w:tcW w:w="5244" w:type="dxa"/>
          </w:tcPr>
          <w:p w:rsidR="00617DFB" w:rsidRPr="00617DFB" w:rsidRDefault="00617DFB" w:rsidP="00617DFB">
            <w:pPr>
              <w:jc w:val="both"/>
              <w:rPr>
                <w:rFonts w:ascii="Times New Roman" w:hAnsi="Times New Roman" w:cs="Times New Roman"/>
                <w:sz w:val="24"/>
                <w:szCs w:val="24"/>
              </w:rPr>
            </w:pPr>
            <w:r w:rsidRPr="00617DFB">
              <w:rPr>
                <w:rFonts w:ascii="Times New Roman" w:hAnsi="Times New Roman" w:cs="Times New Roman"/>
                <w:i/>
                <w:sz w:val="24"/>
                <w:szCs w:val="24"/>
              </w:rPr>
              <w:t>Fairness and equity</w:t>
            </w:r>
            <w:r w:rsidRPr="00617DFB">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617DFB" w:rsidRPr="00617DFB" w:rsidRDefault="00617DFB" w:rsidP="00617DFB">
            <w:pPr>
              <w:jc w:val="both"/>
              <w:rPr>
                <w:rFonts w:ascii="Times New Roman" w:hAnsi="Times New Roman" w:cs="Times New Roman"/>
                <w:sz w:val="24"/>
                <w:szCs w:val="24"/>
              </w:rPr>
            </w:pPr>
            <w:r w:rsidRPr="00617DFB">
              <w:rPr>
                <w:rFonts w:ascii="Times New Roman" w:hAnsi="Times New Roman" w:cs="Times New Roman"/>
                <w:i/>
                <w:sz w:val="24"/>
                <w:szCs w:val="24"/>
              </w:rPr>
              <w:t>Compliance and administration</w:t>
            </w:r>
            <w:r w:rsidRPr="00617DFB">
              <w:rPr>
                <w:rFonts w:ascii="Times New Roman" w:hAnsi="Times New Roman" w:cs="Times New Roman"/>
                <w:sz w:val="24"/>
                <w:szCs w:val="24"/>
              </w:rPr>
              <w:t xml:space="preserve">: </w:t>
            </w:r>
            <w:r w:rsidR="00B20F8B">
              <w:rPr>
                <w:rFonts w:ascii="Wingdings 2" w:hAnsi="Wingdings 2" w:cs="Times New Roman"/>
                <w:sz w:val="24"/>
                <w:szCs w:val="24"/>
              </w:rPr>
              <w:t></w:t>
            </w:r>
            <w:r w:rsidR="008C25E5">
              <w:rPr>
                <w:rFonts w:ascii="Wingdings 2" w:hAnsi="Wingdings 2" w:cs="Times New Roman"/>
                <w:sz w:val="24"/>
                <w:szCs w:val="24"/>
              </w:rPr>
              <w:t></w:t>
            </w:r>
          </w:p>
          <w:p w:rsidR="00617DFB" w:rsidRPr="00617DFB" w:rsidRDefault="00183E15" w:rsidP="00617DFB">
            <w:pPr>
              <w:jc w:val="both"/>
              <w:rPr>
                <w:rFonts w:ascii="Times New Roman" w:hAnsi="Times New Roman" w:cs="Times New Roman"/>
                <w:sz w:val="24"/>
                <w:szCs w:val="24"/>
              </w:rPr>
            </w:pPr>
            <w:r>
              <w:rPr>
                <w:rFonts w:ascii="Times New Roman" w:hAnsi="Times New Roman" w:cs="Times New Roman"/>
                <w:i/>
                <w:sz w:val="24"/>
                <w:szCs w:val="24"/>
              </w:rPr>
              <w:t>S</w:t>
            </w:r>
            <w:r w:rsidR="00617DFB" w:rsidRPr="00617DFB">
              <w:rPr>
                <w:rFonts w:ascii="Times New Roman" w:hAnsi="Times New Roman" w:cs="Times New Roman"/>
                <w:i/>
                <w:sz w:val="24"/>
                <w:szCs w:val="24"/>
              </w:rPr>
              <w:t>ustainability</w:t>
            </w:r>
            <w:r w:rsidR="00617DFB" w:rsidRPr="00617DFB">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617DFB" w:rsidRPr="00617DFB" w:rsidRDefault="00617DFB" w:rsidP="007A1ED1">
            <w:pPr>
              <w:jc w:val="both"/>
              <w:rPr>
                <w:rFonts w:ascii="Times New Roman" w:hAnsi="Times New Roman" w:cs="Times New Roman"/>
                <w:i/>
                <w:sz w:val="24"/>
                <w:szCs w:val="24"/>
              </w:rPr>
            </w:pPr>
            <w:r w:rsidRPr="00617DFB">
              <w:rPr>
                <w:rFonts w:ascii="Times New Roman" w:hAnsi="Times New Roman" w:cs="Times New Roman"/>
                <w:i/>
                <w:sz w:val="24"/>
                <w:szCs w:val="24"/>
              </w:rPr>
              <w:t>Revenue</w:t>
            </w:r>
            <w:r w:rsidRPr="00617DFB">
              <w:rPr>
                <w:rFonts w:ascii="Times New Roman" w:hAnsi="Times New Roman" w:cs="Times New Roman"/>
                <w:sz w:val="24"/>
                <w:szCs w:val="24"/>
              </w:rPr>
              <w:t xml:space="preserve">: </w:t>
            </w:r>
            <w:r w:rsidR="007A1ED1">
              <w:rPr>
                <w:rFonts w:ascii="Times New Roman" w:hAnsi="Times New Roman" w:cs="Times New Roman"/>
                <w:sz w:val="24"/>
                <w:szCs w:val="24"/>
              </w:rPr>
              <w:t>small upfront gain</w:t>
            </w:r>
          </w:p>
        </w:tc>
      </w:tr>
    </w:tbl>
    <w:p w:rsidR="00617DFB" w:rsidRPr="00617DFB" w:rsidRDefault="00617DFB" w:rsidP="00617DFB">
      <w:pPr>
        <w:spacing w:after="0" w:line="240" w:lineRule="auto"/>
        <w:contextualSpacing/>
        <w:jc w:val="both"/>
        <w:rPr>
          <w:rFonts w:ascii="Times New Roman" w:hAnsi="Times New Roman" w:cs="Times New Roman"/>
          <w:sz w:val="24"/>
          <w:szCs w:val="24"/>
        </w:rPr>
      </w:pPr>
    </w:p>
    <w:p w:rsidR="00617DFB" w:rsidRPr="00617DFB" w:rsidRDefault="00D56B23" w:rsidP="00617DF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w:t>
      </w:r>
      <w:r w:rsidR="00617DFB" w:rsidRPr="00617DFB">
        <w:rPr>
          <w:rFonts w:ascii="Times New Roman" w:hAnsi="Times New Roman" w:cs="Times New Roman"/>
          <w:b/>
          <w:i/>
          <w:sz w:val="24"/>
          <w:szCs w:val="24"/>
        </w:rPr>
        <w:t>ecommendations</w:t>
      </w:r>
    </w:p>
    <w:p w:rsidR="00617DFB" w:rsidRPr="00617DFB" w:rsidRDefault="00617DFB" w:rsidP="00617DFB">
      <w:pPr>
        <w:spacing w:after="0" w:line="240" w:lineRule="auto"/>
        <w:jc w:val="both"/>
        <w:rPr>
          <w:rFonts w:ascii="Times New Roman" w:hAnsi="Times New Roman" w:cs="Times New Roman"/>
          <w:sz w:val="24"/>
          <w:szCs w:val="24"/>
        </w:rPr>
      </w:pPr>
    </w:p>
    <w:p w:rsidR="00617DFB" w:rsidRPr="00617DFB" w:rsidRDefault="00617DFB" w:rsidP="00617DFB">
      <w:pPr>
        <w:numPr>
          <w:ilvl w:val="0"/>
          <w:numId w:val="11"/>
        </w:numPr>
        <w:spacing w:after="0" w:line="240" w:lineRule="auto"/>
        <w:ind w:left="0" w:firstLine="0"/>
        <w:contextualSpacing/>
        <w:jc w:val="both"/>
        <w:rPr>
          <w:rFonts w:ascii="Times New Roman" w:hAnsi="Times New Roman" w:cs="Times New Roman"/>
          <w:sz w:val="24"/>
          <w:szCs w:val="24"/>
        </w:rPr>
      </w:pPr>
      <w:r w:rsidRPr="00617DFB">
        <w:rPr>
          <w:rFonts w:ascii="Times New Roman" w:hAnsi="Times New Roman" w:cs="Times New Roman"/>
          <w:sz w:val="24"/>
          <w:szCs w:val="24"/>
        </w:rPr>
        <w:t>Officials recommend adopting option 2</w:t>
      </w:r>
      <w:r w:rsidR="00DC53C9">
        <w:rPr>
          <w:rFonts w:ascii="Times New Roman" w:hAnsi="Times New Roman" w:cs="Times New Roman"/>
          <w:sz w:val="24"/>
          <w:szCs w:val="24"/>
        </w:rPr>
        <w:t xml:space="preserve"> as it </w:t>
      </w:r>
      <w:r w:rsidRPr="00617DFB">
        <w:rPr>
          <w:rFonts w:ascii="Times New Roman" w:hAnsi="Times New Roman" w:cs="Times New Roman"/>
          <w:sz w:val="24"/>
          <w:szCs w:val="24"/>
        </w:rPr>
        <w:t>will provid</w:t>
      </w:r>
      <w:r w:rsidR="00DC53C9">
        <w:rPr>
          <w:rFonts w:ascii="Times New Roman" w:hAnsi="Times New Roman" w:cs="Times New Roman"/>
          <w:sz w:val="24"/>
          <w:szCs w:val="24"/>
        </w:rPr>
        <w:t>e</w:t>
      </w:r>
      <w:r w:rsidRPr="00617DFB">
        <w:rPr>
          <w:rFonts w:ascii="Times New Roman" w:hAnsi="Times New Roman" w:cs="Times New Roman"/>
          <w:sz w:val="24"/>
          <w:szCs w:val="24"/>
        </w:rPr>
        <w:t xml:space="preserve"> compliance savings </w:t>
      </w:r>
      <w:r w:rsidR="00DC53C9">
        <w:rPr>
          <w:rFonts w:ascii="Times New Roman" w:hAnsi="Times New Roman" w:cs="Times New Roman"/>
          <w:sz w:val="24"/>
          <w:szCs w:val="24"/>
        </w:rPr>
        <w:t>and</w:t>
      </w:r>
      <w:r w:rsidRPr="00617DFB">
        <w:rPr>
          <w:rFonts w:ascii="Times New Roman" w:hAnsi="Times New Roman" w:cs="Times New Roman"/>
          <w:sz w:val="24"/>
          <w:szCs w:val="24"/>
        </w:rPr>
        <w:t xml:space="preserve"> improv</w:t>
      </w:r>
      <w:r w:rsidR="00DC53C9">
        <w:rPr>
          <w:rFonts w:ascii="Times New Roman" w:hAnsi="Times New Roman" w:cs="Times New Roman"/>
          <w:sz w:val="24"/>
          <w:szCs w:val="24"/>
        </w:rPr>
        <w:t>e</w:t>
      </w:r>
      <w:r w:rsidRPr="00617DFB">
        <w:rPr>
          <w:rFonts w:ascii="Times New Roman" w:hAnsi="Times New Roman" w:cs="Times New Roman"/>
          <w:sz w:val="24"/>
          <w:szCs w:val="24"/>
        </w:rPr>
        <w:t xml:space="preserve"> efficiency by providing taxpayers </w:t>
      </w:r>
      <w:r w:rsidRPr="008C25E5">
        <w:rPr>
          <w:rFonts w:ascii="Times New Roman" w:hAnsi="Times New Roman" w:cs="Times New Roman"/>
          <w:sz w:val="24"/>
          <w:szCs w:val="24"/>
        </w:rPr>
        <w:t xml:space="preserve">with a choice. </w:t>
      </w:r>
      <w:r w:rsidR="00360B0C" w:rsidRPr="00D42C53">
        <w:rPr>
          <w:rFonts w:ascii="Times New Roman" w:hAnsi="Times New Roman" w:cs="Times New Roman"/>
          <w:sz w:val="24"/>
          <w:szCs w:val="24"/>
        </w:rPr>
        <w:t>This option also has no disadvantage in terms of fairness, equity and sustainability of the tax system</w:t>
      </w:r>
      <w:r w:rsidR="008C25E5" w:rsidRPr="00D42C53">
        <w:rPr>
          <w:rFonts w:ascii="Times New Roman" w:hAnsi="Times New Roman" w:cs="Times New Roman"/>
          <w:sz w:val="24"/>
          <w:szCs w:val="24"/>
        </w:rPr>
        <w:t xml:space="preserve"> because the same deductibility and timing rule will apply to all employee remuneration rather than different rules for different types of employee remuneration</w:t>
      </w:r>
      <w:r w:rsidR="00360B0C" w:rsidRPr="00D42C53">
        <w:rPr>
          <w:rFonts w:ascii="Times New Roman" w:hAnsi="Times New Roman" w:cs="Times New Roman"/>
          <w:sz w:val="24"/>
          <w:szCs w:val="24"/>
        </w:rPr>
        <w:t>.</w:t>
      </w:r>
    </w:p>
    <w:p w:rsidR="00617DFB" w:rsidRDefault="00617DFB" w:rsidP="007E2B66">
      <w:pPr>
        <w:spacing w:after="0" w:line="240" w:lineRule="auto"/>
        <w:jc w:val="both"/>
        <w:rPr>
          <w:rFonts w:ascii="Times New Roman" w:hAnsi="Times New Roman" w:cs="Times New Roman"/>
          <w:sz w:val="24"/>
          <w:szCs w:val="24"/>
        </w:rPr>
      </w:pPr>
    </w:p>
    <w:p w:rsidR="00C8249F" w:rsidRPr="007E2B66" w:rsidRDefault="00C8249F" w:rsidP="007E2B66">
      <w:pPr>
        <w:spacing w:after="0" w:line="240" w:lineRule="auto"/>
        <w:jc w:val="both"/>
        <w:rPr>
          <w:rFonts w:ascii="Times New Roman" w:hAnsi="Times New Roman" w:cs="Times New Roman"/>
          <w:sz w:val="24"/>
          <w:szCs w:val="24"/>
        </w:rPr>
      </w:pPr>
    </w:p>
    <w:p w:rsidR="00B02CDF" w:rsidRPr="0062384F" w:rsidRDefault="007E2B66" w:rsidP="0062384F">
      <w:pPr>
        <w:spacing w:after="0" w:line="240" w:lineRule="auto"/>
        <w:ind w:firstLine="720"/>
        <w:jc w:val="both"/>
        <w:rPr>
          <w:rFonts w:ascii="Times New Roman" w:hAnsi="Times New Roman" w:cs="Times New Roman"/>
          <w:b/>
          <w:i/>
          <w:sz w:val="24"/>
          <w:szCs w:val="24"/>
        </w:rPr>
      </w:pPr>
      <w:r w:rsidRPr="0062384F">
        <w:rPr>
          <w:rFonts w:ascii="Times New Roman" w:hAnsi="Times New Roman" w:cs="Times New Roman"/>
          <w:b/>
          <w:i/>
          <w:sz w:val="24"/>
          <w:szCs w:val="24"/>
        </w:rPr>
        <w:t>S</w:t>
      </w:r>
      <w:r w:rsidR="00B02CDF" w:rsidRPr="0062384F">
        <w:rPr>
          <w:rFonts w:ascii="Times New Roman" w:hAnsi="Times New Roman" w:cs="Times New Roman"/>
          <w:b/>
          <w:i/>
          <w:sz w:val="24"/>
          <w:szCs w:val="24"/>
        </w:rPr>
        <w:t xml:space="preserve">implification </w:t>
      </w:r>
      <w:r w:rsidRPr="0062384F">
        <w:rPr>
          <w:rFonts w:ascii="Times New Roman" w:hAnsi="Times New Roman" w:cs="Times New Roman"/>
          <w:b/>
          <w:i/>
          <w:sz w:val="24"/>
          <w:szCs w:val="24"/>
        </w:rPr>
        <w:t xml:space="preserve">of fringe benefit calculation </w:t>
      </w:r>
      <w:r w:rsidR="00B02CDF" w:rsidRPr="0062384F">
        <w:rPr>
          <w:rFonts w:ascii="Times New Roman" w:hAnsi="Times New Roman" w:cs="Times New Roman"/>
          <w:b/>
          <w:i/>
          <w:sz w:val="24"/>
          <w:szCs w:val="24"/>
        </w:rPr>
        <w:t>for close companies</w:t>
      </w:r>
    </w:p>
    <w:p w:rsidR="007E2B66" w:rsidRPr="007E2B66" w:rsidRDefault="007E2B66" w:rsidP="007E2B66">
      <w:pPr>
        <w:pStyle w:val="ListParagraph"/>
        <w:ind w:left="0"/>
        <w:jc w:val="both"/>
        <w:rPr>
          <w:rFonts w:ascii="Times New Roman" w:hAnsi="Times New Roman" w:cs="Times New Roman"/>
          <w:sz w:val="24"/>
          <w:szCs w:val="24"/>
          <w:u w:val="single"/>
        </w:rPr>
      </w:pPr>
    </w:p>
    <w:p w:rsidR="007E2B66" w:rsidRPr="007F7B62" w:rsidRDefault="007E2B66" w:rsidP="007E2B66">
      <w:pPr>
        <w:pStyle w:val="ListParagraph"/>
        <w:numPr>
          <w:ilvl w:val="0"/>
          <w:numId w:val="11"/>
        </w:numPr>
        <w:spacing w:after="0" w:line="240" w:lineRule="auto"/>
        <w:ind w:left="0" w:firstLine="0"/>
        <w:jc w:val="both"/>
        <w:rPr>
          <w:rFonts w:ascii="Times New Roman" w:hAnsi="Times New Roman" w:cs="Times New Roman"/>
          <w:sz w:val="24"/>
          <w:szCs w:val="24"/>
        </w:rPr>
      </w:pPr>
      <w:r w:rsidRPr="007F7B62">
        <w:rPr>
          <w:rFonts w:ascii="Times New Roman" w:hAnsi="Times New Roman" w:cs="Times New Roman"/>
          <w:sz w:val="24"/>
          <w:szCs w:val="24"/>
        </w:rPr>
        <w:t xml:space="preserve">Close companies that provide their shareholder-employees with a motor vehicle for private use are required to register and pay </w:t>
      </w:r>
      <w:proofErr w:type="spellStart"/>
      <w:r w:rsidR="00A36FCB">
        <w:rPr>
          <w:rFonts w:ascii="Times New Roman" w:hAnsi="Times New Roman" w:cs="Times New Roman"/>
          <w:sz w:val="24"/>
          <w:szCs w:val="24"/>
        </w:rPr>
        <w:t>FBT</w:t>
      </w:r>
      <w:proofErr w:type="spellEnd"/>
      <w:r w:rsidRPr="007F7B62">
        <w:rPr>
          <w:rFonts w:ascii="Times New Roman" w:hAnsi="Times New Roman" w:cs="Times New Roman"/>
          <w:sz w:val="24"/>
          <w:szCs w:val="24"/>
        </w:rPr>
        <w:t xml:space="preserve"> for that benefit, subject to certain exemptions. Sole traders and partners in a partnership who use a motor vehicle in a similar way are not required to register and pay </w:t>
      </w:r>
      <w:proofErr w:type="spellStart"/>
      <w:r w:rsidRPr="007F7B62">
        <w:rPr>
          <w:rFonts w:ascii="Times New Roman" w:hAnsi="Times New Roman" w:cs="Times New Roman"/>
          <w:sz w:val="24"/>
          <w:szCs w:val="24"/>
        </w:rPr>
        <w:t>FBT</w:t>
      </w:r>
      <w:proofErr w:type="spellEnd"/>
      <w:r w:rsidRPr="007F7B62">
        <w:rPr>
          <w:rFonts w:ascii="Times New Roman" w:hAnsi="Times New Roman" w:cs="Times New Roman"/>
          <w:sz w:val="24"/>
          <w:szCs w:val="24"/>
        </w:rPr>
        <w:t>. Instead these taxpayers apportion their motor vehicle expenditure between the business and private use using special motor vehicle expenditure rules. These differences in treatment for what is essentially the same benefit (i</w:t>
      </w:r>
      <w:r w:rsidR="00052A61">
        <w:rPr>
          <w:rFonts w:ascii="Times New Roman" w:hAnsi="Times New Roman" w:cs="Times New Roman"/>
          <w:sz w:val="24"/>
          <w:szCs w:val="24"/>
        </w:rPr>
        <w:t>.</w:t>
      </w:r>
      <w:r w:rsidRPr="007F7B62">
        <w:rPr>
          <w:rFonts w:ascii="Times New Roman" w:hAnsi="Times New Roman" w:cs="Times New Roman"/>
          <w:sz w:val="24"/>
          <w:szCs w:val="24"/>
        </w:rPr>
        <w:t>e</w:t>
      </w:r>
      <w:r w:rsidR="00052A61">
        <w:rPr>
          <w:rFonts w:ascii="Times New Roman" w:hAnsi="Times New Roman" w:cs="Times New Roman"/>
          <w:sz w:val="24"/>
          <w:szCs w:val="24"/>
        </w:rPr>
        <w:t>.</w:t>
      </w:r>
      <w:r w:rsidRPr="007F7B62">
        <w:rPr>
          <w:rFonts w:ascii="Times New Roman" w:hAnsi="Times New Roman" w:cs="Times New Roman"/>
          <w:sz w:val="24"/>
          <w:szCs w:val="24"/>
        </w:rPr>
        <w:t xml:space="preserve"> the private use of a motor vehicle) arise because of the different entities involved. </w:t>
      </w:r>
    </w:p>
    <w:p w:rsidR="007F7B62" w:rsidRDefault="007F7B62" w:rsidP="007F7B62">
      <w:pPr>
        <w:pStyle w:val="ListParagraph"/>
        <w:spacing w:after="0" w:line="240" w:lineRule="auto"/>
        <w:ind w:left="0"/>
        <w:jc w:val="both"/>
        <w:rPr>
          <w:rFonts w:ascii="Times New Roman" w:hAnsi="Times New Roman" w:cs="Times New Roman"/>
          <w:sz w:val="24"/>
          <w:szCs w:val="24"/>
        </w:rPr>
      </w:pPr>
    </w:p>
    <w:p w:rsidR="00C54805" w:rsidRPr="009E0294" w:rsidRDefault="00C54805" w:rsidP="00C54805">
      <w:pPr>
        <w:spacing w:after="0" w:line="240" w:lineRule="auto"/>
        <w:jc w:val="both"/>
        <w:rPr>
          <w:rFonts w:ascii="Times New Roman" w:hAnsi="Times New Roman" w:cs="Times New Roman"/>
          <w:b/>
          <w:i/>
          <w:sz w:val="24"/>
          <w:szCs w:val="24"/>
        </w:rPr>
      </w:pPr>
      <w:r w:rsidRPr="009E0294">
        <w:rPr>
          <w:rFonts w:ascii="Times New Roman" w:hAnsi="Times New Roman" w:cs="Times New Roman"/>
          <w:b/>
          <w:i/>
          <w:sz w:val="24"/>
          <w:szCs w:val="24"/>
        </w:rPr>
        <w:t>Options and analysis</w:t>
      </w:r>
    </w:p>
    <w:p w:rsidR="00C54805" w:rsidRDefault="00C54805" w:rsidP="007F7B62">
      <w:pPr>
        <w:pStyle w:val="ListParagraph"/>
        <w:spacing w:after="0" w:line="240" w:lineRule="auto"/>
        <w:ind w:left="0"/>
        <w:jc w:val="both"/>
        <w:rPr>
          <w:rFonts w:ascii="Times New Roman" w:hAnsi="Times New Roman" w:cs="Times New Roman"/>
          <w:sz w:val="24"/>
          <w:szCs w:val="24"/>
        </w:rPr>
      </w:pPr>
    </w:p>
    <w:p w:rsidR="00043703" w:rsidRPr="004808A1" w:rsidRDefault="00C4105A" w:rsidP="00043703">
      <w:pPr>
        <w:pStyle w:val="ListParagraph"/>
        <w:numPr>
          <w:ilvl w:val="0"/>
          <w:numId w:val="11"/>
        </w:numPr>
        <w:spacing w:after="0" w:line="240" w:lineRule="auto"/>
        <w:ind w:left="0" w:firstLine="0"/>
        <w:jc w:val="both"/>
        <w:rPr>
          <w:rFonts w:ascii="Times New Roman" w:hAnsi="Times New Roman" w:cs="Times New Roman"/>
          <w:sz w:val="24"/>
          <w:szCs w:val="24"/>
        </w:rPr>
      </w:pPr>
      <w:r w:rsidRPr="004808A1">
        <w:rPr>
          <w:rFonts w:ascii="Times New Roman" w:hAnsi="Times New Roman" w:cs="Times New Roman"/>
          <w:sz w:val="24"/>
          <w:szCs w:val="24"/>
        </w:rPr>
        <w:t>Officials have considered a number of options to address these concerns, which are summarised below and outlined in more detail in appendix</w:t>
      </w:r>
      <w:r>
        <w:rPr>
          <w:rFonts w:ascii="Times New Roman" w:hAnsi="Times New Roman" w:cs="Times New Roman"/>
          <w:sz w:val="24"/>
          <w:szCs w:val="24"/>
        </w:rPr>
        <w:t xml:space="preserve"> </w:t>
      </w:r>
      <w:r w:rsidR="00043703">
        <w:rPr>
          <w:rFonts w:ascii="Times New Roman" w:hAnsi="Times New Roman" w:cs="Times New Roman"/>
          <w:sz w:val="24"/>
          <w:szCs w:val="24"/>
        </w:rPr>
        <w:t>E-7</w:t>
      </w:r>
      <w:r w:rsidR="00043703" w:rsidRPr="004808A1">
        <w:rPr>
          <w:rFonts w:ascii="Times New Roman" w:hAnsi="Times New Roman" w:cs="Times New Roman"/>
          <w:sz w:val="24"/>
          <w:szCs w:val="24"/>
        </w:rPr>
        <w:t>.</w:t>
      </w:r>
    </w:p>
    <w:p w:rsidR="0062384F" w:rsidRPr="0062384F" w:rsidRDefault="0062384F" w:rsidP="0062384F">
      <w:pPr>
        <w:pStyle w:val="ListParagraph"/>
        <w:spacing w:after="0" w:line="240" w:lineRule="auto"/>
        <w:ind w:left="0"/>
        <w:jc w:val="both"/>
        <w:rPr>
          <w:rFonts w:ascii="Times New Roman" w:hAnsi="Times New Roman" w:cs="Times New Roman"/>
          <w:sz w:val="24"/>
          <w:szCs w:val="24"/>
        </w:rPr>
      </w:pPr>
    </w:p>
    <w:tbl>
      <w:tblPr>
        <w:tblStyle w:val="TableGrid"/>
        <w:tblW w:w="9072" w:type="dxa"/>
        <w:tblInd w:w="108" w:type="dxa"/>
        <w:tblLook w:val="04A0" w:firstRow="1" w:lastRow="0" w:firstColumn="1" w:lastColumn="0" w:noHBand="0" w:noVBand="1"/>
      </w:tblPr>
      <w:tblGrid>
        <w:gridCol w:w="3828"/>
        <w:gridCol w:w="5244"/>
      </w:tblGrid>
      <w:tr w:rsidR="00C8249F" w:rsidRPr="005D3931" w:rsidTr="00C8249F">
        <w:trPr>
          <w:trHeight w:val="340"/>
        </w:trPr>
        <w:tc>
          <w:tcPr>
            <w:tcW w:w="3828" w:type="dxa"/>
          </w:tcPr>
          <w:p w:rsidR="00C8249F" w:rsidRPr="005D3931" w:rsidRDefault="00C8249F" w:rsidP="00C8249F">
            <w:pPr>
              <w:jc w:val="both"/>
              <w:rPr>
                <w:rFonts w:ascii="Times New Roman" w:hAnsi="Times New Roman" w:cs="Times New Roman"/>
                <w:b/>
                <w:sz w:val="24"/>
                <w:szCs w:val="24"/>
              </w:rPr>
            </w:pPr>
            <w:r w:rsidRPr="005D3931">
              <w:rPr>
                <w:rFonts w:ascii="Times New Roman" w:hAnsi="Times New Roman" w:cs="Times New Roman"/>
                <w:b/>
                <w:sz w:val="24"/>
                <w:szCs w:val="24"/>
              </w:rPr>
              <w:t>Option</w:t>
            </w:r>
          </w:p>
        </w:tc>
        <w:tc>
          <w:tcPr>
            <w:tcW w:w="5244" w:type="dxa"/>
          </w:tcPr>
          <w:p w:rsidR="00C8249F" w:rsidRPr="005D3931" w:rsidRDefault="00C8249F" w:rsidP="00C8249F">
            <w:pPr>
              <w:jc w:val="both"/>
              <w:rPr>
                <w:rFonts w:ascii="Times New Roman" w:hAnsi="Times New Roman" w:cs="Times New Roman"/>
                <w:b/>
                <w:sz w:val="24"/>
                <w:szCs w:val="24"/>
              </w:rPr>
            </w:pPr>
            <w:r w:rsidRPr="005D3931">
              <w:rPr>
                <w:rFonts w:ascii="Times New Roman" w:hAnsi="Times New Roman" w:cs="Times New Roman"/>
                <w:b/>
                <w:sz w:val="24"/>
                <w:szCs w:val="24"/>
              </w:rPr>
              <w:t>Analysis against the objectives</w:t>
            </w:r>
          </w:p>
        </w:tc>
      </w:tr>
      <w:tr w:rsidR="0062384F" w:rsidRPr="005D3931" w:rsidTr="0062384F">
        <w:tc>
          <w:tcPr>
            <w:tcW w:w="3828" w:type="dxa"/>
          </w:tcPr>
          <w:p w:rsidR="0062384F" w:rsidRPr="00C8249F" w:rsidRDefault="0075633B" w:rsidP="0062384F">
            <w:pPr>
              <w:jc w:val="both"/>
              <w:rPr>
                <w:rFonts w:ascii="Times New Roman" w:hAnsi="Times New Roman" w:cs="Times New Roman"/>
                <w:sz w:val="24"/>
                <w:szCs w:val="24"/>
              </w:rPr>
            </w:pPr>
            <w:r w:rsidRPr="00C8249F">
              <w:rPr>
                <w:rFonts w:ascii="Times New Roman" w:hAnsi="Times New Roman" w:cs="Times New Roman"/>
                <w:sz w:val="24"/>
                <w:szCs w:val="24"/>
              </w:rPr>
              <w:t>1. Retain the status quo</w:t>
            </w:r>
          </w:p>
        </w:tc>
        <w:tc>
          <w:tcPr>
            <w:tcW w:w="5244" w:type="dxa"/>
          </w:tcPr>
          <w:p w:rsidR="0062384F" w:rsidRDefault="0062384F" w:rsidP="0062384F">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62384F" w:rsidRPr="005D3931" w:rsidRDefault="0062384F" w:rsidP="0062384F">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Pr>
                <w:rFonts w:ascii="Times New Roman" w:hAnsi="Times New Roman" w:cs="Times New Roman"/>
                <w:sz w:val="24"/>
                <w:szCs w:val="24"/>
              </w:rPr>
              <w:t xml:space="preserve">: </w:t>
            </w:r>
            <w:r w:rsidR="009500FD">
              <w:rPr>
                <w:rFonts w:ascii="Wingdings 2" w:hAnsi="Wingdings 2" w:cs="Times New Roman"/>
                <w:sz w:val="24"/>
                <w:szCs w:val="24"/>
              </w:rPr>
              <w:t></w:t>
            </w:r>
            <w:r w:rsidR="009500FD">
              <w:rPr>
                <w:rFonts w:ascii="Wingdings 2" w:hAnsi="Wingdings 2" w:cs="Times New Roman"/>
                <w:sz w:val="24"/>
                <w:szCs w:val="24"/>
              </w:rPr>
              <w:t></w:t>
            </w:r>
          </w:p>
          <w:p w:rsidR="0062384F" w:rsidRPr="005D3931" w:rsidRDefault="00183E15" w:rsidP="0062384F">
            <w:pPr>
              <w:jc w:val="both"/>
              <w:rPr>
                <w:rFonts w:ascii="Times New Roman" w:hAnsi="Times New Roman" w:cs="Times New Roman"/>
                <w:sz w:val="24"/>
                <w:szCs w:val="24"/>
              </w:rPr>
            </w:pPr>
            <w:r>
              <w:rPr>
                <w:rFonts w:ascii="Times New Roman" w:hAnsi="Times New Roman" w:cs="Times New Roman"/>
                <w:i/>
                <w:sz w:val="24"/>
                <w:szCs w:val="24"/>
              </w:rPr>
              <w:t>S</w:t>
            </w:r>
            <w:r w:rsidR="0062384F" w:rsidRPr="005D3931">
              <w:rPr>
                <w:rFonts w:ascii="Times New Roman" w:hAnsi="Times New Roman" w:cs="Times New Roman"/>
                <w:i/>
                <w:sz w:val="24"/>
                <w:szCs w:val="24"/>
              </w:rPr>
              <w:t>ustainability</w:t>
            </w:r>
            <w:r w:rsidR="0062384F">
              <w:rPr>
                <w:rFonts w:ascii="Times New Roman" w:hAnsi="Times New Roman" w:cs="Times New Roman"/>
                <w:sz w:val="24"/>
                <w:szCs w:val="24"/>
              </w:rPr>
              <w:t xml:space="preserve">: </w:t>
            </w:r>
            <w:r w:rsidR="008B779E">
              <w:rPr>
                <w:rFonts w:ascii="Wingdings 2" w:hAnsi="Wingdings 2" w:cs="Times New Roman"/>
                <w:sz w:val="24"/>
                <w:szCs w:val="24"/>
              </w:rPr>
              <w:t></w:t>
            </w:r>
            <w:r w:rsidR="008B779E">
              <w:rPr>
                <w:rFonts w:ascii="Wingdings 2" w:hAnsi="Wingdings 2" w:cs="Times New Roman"/>
                <w:sz w:val="24"/>
                <w:szCs w:val="24"/>
              </w:rPr>
              <w:t></w:t>
            </w:r>
          </w:p>
          <w:p w:rsidR="0062384F" w:rsidRPr="005D3931" w:rsidRDefault="0062384F" w:rsidP="0062384F">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Pr>
                <w:rFonts w:ascii="Times New Roman" w:hAnsi="Times New Roman" w:cs="Times New Roman"/>
                <w:sz w:val="24"/>
                <w:szCs w:val="24"/>
              </w:rPr>
              <w:t xml:space="preserve"> </w:t>
            </w:r>
            <w:r w:rsidR="0075633B">
              <w:rPr>
                <w:rFonts w:ascii="Times New Roman" w:hAnsi="Times New Roman" w:cs="Times New Roman"/>
                <w:sz w:val="24"/>
                <w:szCs w:val="24"/>
              </w:rPr>
              <w:t>no impact</w:t>
            </w:r>
          </w:p>
        </w:tc>
      </w:tr>
      <w:tr w:rsidR="0062384F" w:rsidRPr="005D3931" w:rsidTr="0062384F">
        <w:tc>
          <w:tcPr>
            <w:tcW w:w="3828" w:type="dxa"/>
          </w:tcPr>
          <w:p w:rsidR="0062384F" w:rsidRPr="00C8249F" w:rsidRDefault="0075633B" w:rsidP="00A36FCB">
            <w:pPr>
              <w:jc w:val="both"/>
              <w:rPr>
                <w:rFonts w:ascii="Times New Roman" w:hAnsi="Times New Roman" w:cs="Times New Roman"/>
                <w:sz w:val="24"/>
                <w:szCs w:val="24"/>
              </w:rPr>
            </w:pPr>
            <w:r w:rsidRPr="00C8249F">
              <w:rPr>
                <w:rFonts w:ascii="Times New Roman" w:hAnsi="Times New Roman" w:cs="Times New Roman"/>
                <w:sz w:val="24"/>
                <w:szCs w:val="24"/>
              </w:rPr>
              <w:t xml:space="preserve">2. </w:t>
            </w:r>
            <w:r w:rsidR="00A36FCB">
              <w:rPr>
                <w:rFonts w:ascii="Times New Roman" w:hAnsi="Times New Roman" w:cs="Times New Roman"/>
                <w:sz w:val="24"/>
                <w:szCs w:val="24"/>
              </w:rPr>
              <w:t>A</w:t>
            </w:r>
            <w:r w:rsidRPr="00C8249F">
              <w:rPr>
                <w:rFonts w:ascii="Times New Roman" w:hAnsi="Times New Roman" w:cs="Times New Roman"/>
                <w:sz w:val="24"/>
                <w:szCs w:val="24"/>
              </w:rPr>
              <w:t xml:space="preserve">llow close companies to use the motor vehicle expenditure rules instead of paying </w:t>
            </w:r>
            <w:proofErr w:type="spellStart"/>
            <w:r w:rsidRPr="00C8249F">
              <w:rPr>
                <w:rFonts w:ascii="Times New Roman" w:hAnsi="Times New Roman" w:cs="Times New Roman"/>
                <w:sz w:val="24"/>
                <w:szCs w:val="24"/>
              </w:rPr>
              <w:t>FBT</w:t>
            </w:r>
            <w:proofErr w:type="spellEnd"/>
          </w:p>
        </w:tc>
        <w:tc>
          <w:tcPr>
            <w:tcW w:w="5244" w:type="dxa"/>
          </w:tcPr>
          <w:p w:rsidR="0062384F" w:rsidRDefault="0062384F" w:rsidP="0062384F">
            <w:pPr>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62384F" w:rsidRPr="005D3931" w:rsidRDefault="0062384F" w:rsidP="0062384F">
            <w:pPr>
              <w:jc w:val="both"/>
              <w:rPr>
                <w:rFonts w:ascii="Times New Roman" w:hAnsi="Times New Roman" w:cs="Times New Roman"/>
                <w:sz w:val="24"/>
                <w:szCs w:val="24"/>
              </w:rPr>
            </w:pPr>
            <w:r w:rsidRPr="005D3931">
              <w:rPr>
                <w:rFonts w:ascii="Times New Roman" w:hAnsi="Times New Roman" w:cs="Times New Roman"/>
                <w:i/>
                <w:sz w:val="24"/>
                <w:szCs w:val="24"/>
              </w:rPr>
              <w:t>Compliance and administration</w:t>
            </w:r>
            <w:r>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r w:rsidR="00B20F8B">
              <w:rPr>
                <w:rStyle w:val="CommentReference"/>
              </w:rPr>
              <w:t xml:space="preserve"> </w:t>
            </w:r>
          </w:p>
          <w:p w:rsidR="0062384F" w:rsidRPr="005D3931" w:rsidRDefault="00183E15" w:rsidP="0062384F">
            <w:pPr>
              <w:jc w:val="both"/>
              <w:rPr>
                <w:rFonts w:ascii="Times New Roman" w:hAnsi="Times New Roman" w:cs="Times New Roman"/>
                <w:sz w:val="24"/>
                <w:szCs w:val="24"/>
              </w:rPr>
            </w:pPr>
            <w:r>
              <w:rPr>
                <w:rFonts w:ascii="Times New Roman" w:hAnsi="Times New Roman" w:cs="Times New Roman"/>
                <w:i/>
                <w:sz w:val="24"/>
                <w:szCs w:val="24"/>
              </w:rPr>
              <w:t>S</w:t>
            </w:r>
            <w:r w:rsidR="0062384F" w:rsidRPr="005D3931">
              <w:rPr>
                <w:rFonts w:ascii="Times New Roman" w:hAnsi="Times New Roman" w:cs="Times New Roman"/>
                <w:i/>
                <w:sz w:val="24"/>
                <w:szCs w:val="24"/>
              </w:rPr>
              <w:t>ustainability</w:t>
            </w:r>
            <w:r w:rsidR="0062384F">
              <w:rPr>
                <w:rFonts w:ascii="Times New Roman" w:hAnsi="Times New Roman" w:cs="Times New Roman"/>
                <w:sz w:val="24"/>
                <w:szCs w:val="24"/>
              </w:rPr>
              <w:t xml:space="preserve">: </w:t>
            </w:r>
            <w:r w:rsidR="00B20F8B">
              <w:rPr>
                <w:rFonts w:ascii="Wingdings 2" w:hAnsi="Wingdings 2" w:cs="Times New Roman"/>
                <w:sz w:val="24"/>
                <w:szCs w:val="24"/>
              </w:rPr>
              <w:t></w:t>
            </w:r>
            <w:r w:rsidR="00B20F8B">
              <w:rPr>
                <w:rFonts w:ascii="Wingdings 2" w:hAnsi="Wingdings 2" w:cs="Times New Roman"/>
                <w:sz w:val="24"/>
                <w:szCs w:val="24"/>
              </w:rPr>
              <w:t></w:t>
            </w:r>
          </w:p>
          <w:p w:rsidR="0062384F" w:rsidRPr="005D3931" w:rsidRDefault="0062384F" w:rsidP="0062384F">
            <w:pPr>
              <w:jc w:val="both"/>
              <w:rPr>
                <w:rFonts w:ascii="Times New Roman" w:hAnsi="Times New Roman" w:cs="Times New Roman"/>
                <w:i/>
                <w:sz w:val="24"/>
                <w:szCs w:val="24"/>
              </w:rPr>
            </w:pPr>
            <w:r w:rsidRPr="005D3931">
              <w:rPr>
                <w:rFonts w:ascii="Times New Roman" w:hAnsi="Times New Roman" w:cs="Times New Roman"/>
                <w:i/>
                <w:sz w:val="24"/>
                <w:szCs w:val="24"/>
              </w:rPr>
              <w:t>Revenue</w:t>
            </w:r>
            <w:r w:rsidRPr="005D3931">
              <w:rPr>
                <w:rFonts w:ascii="Times New Roman" w:hAnsi="Times New Roman" w:cs="Times New Roman"/>
                <w:sz w:val="24"/>
                <w:szCs w:val="24"/>
              </w:rPr>
              <w:t>:</w:t>
            </w:r>
            <w:r w:rsidR="0075633B">
              <w:rPr>
                <w:rFonts w:ascii="Times New Roman" w:hAnsi="Times New Roman" w:cs="Times New Roman"/>
                <w:sz w:val="24"/>
                <w:szCs w:val="24"/>
              </w:rPr>
              <w:t xml:space="preserve"> small fiscal cost</w:t>
            </w:r>
          </w:p>
        </w:tc>
      </w:tr>
    </w:tbl>
    <w:p w:rsidR="007F7B62" w:rsidRDefault="007F7B62" w:rsidP="007F7B62">
      <w:pPr>
        <w:pStyle w:val="ListParagraph"/>
        <w:spacing w:after="0" w:line="240" w:lineRule="auto"/>
        <w:ind w:left="0"/>
        <w:jc w:val="both"/>
        <w:rPr>
          <w:rFonts w:ascii="Times New Roman" w:hAnsi="Times New Roman" w:cs="Times New Roman"/>
          <w:sz w:val="24"/>
          <w:szCs w:val="24"/>
        </w:rPr>
      </w:pPr>
    </w:p>
    <w:p w:rsidR="007E2B66" w:rsidRPr="007F7B62" w:rsidRDefault="00052A61" w:rsidP="007E2B66">
      <w:pPr>
        <w:pStyle w:val="ListParagraph"/>
        <w:ind w:left="0"/>
        <w:jc w:val="both"/>
        <w:rPr>
          <w:rFonts w:ascii="Times New Roman" w:hAnsi="Times New Roman" w:cs="Times New Roman"/>
          <w:b/>
          <w:i/>
          <w:sz w:val="24"/>
          <w:szCs w:val="24"/>
        </w:rPr>
      </w:pPr>
      <w:r>
        <w:rPr>
          <w:rFonts w:ascii="Times New Roman" w:hAnsi="Times New Roman" w:cs="Times New Roman"/>
          <w:b/>
          <w:i/>
          <w:sz w:val="24"/>
          <w:szCs w:val="24"/>
        </w:rPr>
        <w:t>R</w:t>
      </w:r>
      <w:r w:rsidR="007E2B66" w:rsidRPr="007F7B62">
        <w:rPr>
          <w:rFonts w:ascii="Times New Roman" w:hAnsi="Times New Roman" w:cs="Times New Roman"/>
          <w:b/>
          <w:i/>
          <w:sz w:val="24"/>
          <w:szCs w:val="24"/>
        </w:rPr>
        <w:t>ecommendations</w:t>
      </w:r>
    </w:p>
    <w:p w:rsidR="007F7B62" w:rsidRDefault="007F7B62" w:rsidP="007F7B62">
      <w:pPr>
        <w:pStyle w:val="ListParagraph"/>
        <w:spacing w:after="0" w:line="240" w:lineRule="auto"/>
        <w:ind w:left="0"/>
        <w:jc w:val="both"/>
        <w:rPr>
          <w:rFonts w:ascii="Times New Roman" w:hAnsi="Times New Roman" w:cs="Times New Roman"/>
          <w:sz w:val="24"/>
          <w:szCs w:val="24"/>
        </w:rPr>
      </w:pPr>
    </w:p>
    <w:p w:rsidR="007E2B66" w:rsidRPr="007F7B62" w:rsidRDefault="007E2B66" w:rsidP="007E2B66">
      <w:pPr>
        <w:pStyle w:val="ListParagraph"/>
        <w:numPr>
          <w:ilvl w:val="0"/>
          <w:numId w:val="11"/>
        </w:numPr>
        <w:spacing w:after="0" w:line="240" w:lineRule="auto"/>
        <w:ind w:left="0" w:firstLine="0"/>
        <w:jc w:val="both"/>
        <w:rPr>
          <w:rFonts w:ascii="Times New Roman" w:hAnsi="Times New Roman" w:cs="Times New Roman"/>
          <w:sz w:val="24"/>
          <w:szCs w:val="24"/>
        </w:rPr>
      </w:pPr>
      <w:r w:rsidRPr="007F7B62">
        <w:rPr>
          <w:rFonts w:ascii="Times New Roman" w:hAnsi="Times New Roman" w:cs="Times New Roman"/>
          <w:sz w:val="24"/>
          <w:szCs w:val="24"/>
        </w:rPr>
        <w:t xml:space="preserve">Officials recommend adopting option 2 </w:t>
      </w:r>
      <w:r w:rsidR="00052A61">
        <w:rPr>
          <w:rFonts w:ascii="Times New Roman" w:hAnsi="Times New Roman" w:cs="Times New Roman"/>
          <w:sz w:val="24"/>
          <w:szCs w:val="24"/>
        </w:rPr>
        <w:t>as t</w:t>
      </w:r>
      <w:r w:rsidR="00C8249F">
        <w:rPr>
          <w:rFonts w:ascii="Times New Roman" w:hAnsi="Times New Roman" w:cs="Times New Roman"/>
          <w:sz w:val="24"/>
          <w:szCs w:val="24"/>
        </w:rPr>
        <w:t>his</w:t>
      </w:r>
      <w:r w:rsidR="00C8249F" w:rsidRPr="00146EAF">
        <w:rPr>
          <w:rFonts w:ascii="Times New Roman" w:hAnsi="Times New Roman" w:cs="Times New Roman"/>
          <w:sz w:val="24"/>
          <w:szCs w:val="24"/>
        </w:rPr>
        <w:t xml:space="preserve"> provides consistency </w:t>
      </w:r>
      <w:r w:rsidR="00146EAF" w:rsidRPr="00146EAF">
        <w:rPr>
          <w:rFonts w:ascii="Times New Roman" w:hAnsi="Times New Roman" w:cs="Times New Roman"/>
          <w:sz w:val="24"/>
          <w:szCs w:val="24"/>
        </w:rPr>
        <w:t>o</w:t>
      </w:r>
      <w:r w:rsidR="00C8249F" w:rsidRPr="00146EAF">
        <w:rPr>
          <w:rFonts w:ascii="Times New Roman" w:hAnsi="Times New Roman" w:cs="Times New Roman"/>
          <w:sz w:val="24"/>
          <w:szCs w:val="24"/>
        </w:rPr>
        <w:t xml:space="preserve">f treatment and </w:t>
      </w:r>
      <w:r w:rsidRPr="007F7B62">
        <w:rPr>
          <w:rFonts w:ascii="Times New Roman" w:hAnsi="Times New Roman" w:cs="Times New Roman"/>
          <w:sz w:val="24"/>
          <w:szCs w:val="24"/>
        </w:rPr>
        <w:t xml:space="preserve">will achieve the objective of providing compliance savings while also improving compliance overall. </w:t>
      </w:r>
      <w:r w:rsidR="00360B0C">
        <w:rPr>
          <w:rFonts w:ascii="Times New Roman" w:hAnsi="Times New Roman" w:cs="Times New Roman"/>
          <w:sz w:val="24"/>
          <w:szCs w:val="24"/>
        </w:rPr>
        <w:t xml:space="preserve">Introducing a new option will prompt some taxpayers to undertake both sets of calculations, in order to determine which gives the best result, and thereby undermine the compliance savings.  It is unlikely that taxpayers would do this every year as vehicle expenses would likely remain fairly stable and so a reassessment of the calculation options would not be necessary. </w:t>
      </w:r>
      <w:r w:rsidRPr="007F7B62">
        <w:rPr>
          <w:rFonts w:ascii="Times New Roman" w:hAnsi="Times New Roman" w:cs="Times New Roman"/>
          <w:sz w:val="24"/>
          <w:szCs w:val="24"/>
        </w:rPr>
        <w:t>This option also has no major disadvantage</w:t>
      </w:r>
      <w:r w:rsidR="00052A61">
        <w:rPr>
          <w:rFonts w:ascii="Times New Roman" w:hAnsi="Times New Roman" w:cs="Times New Roman"/>
          <w:sz w:val="24"/>
          <w:szCs w:val="24"/>
        </w:rPr>
        <w:t>s</w:t>
      </w:r>
      <w:r w:rsidRPr="007F7B62">
        <w:rPr>
          <w:rFonts w:ascii="Times New Roman" w:hAnsi="Times New Roman" w:cs="Times New Roman"/>
          <w:sz w:val="24"/>
          <w:szCs w:val="24"/>
        </w:rPr>
        <w:t xml:space="preserve"> in terms of fairness, equity and sustainability of the tax system</w:t>
      </w:r>
      <w:r w:rsidR="00A36FCB">
        <w:rPr>
          <w:rFonts w:ascii="Times New Roman" w:hAnsi="Times New Roman" w:cs="Times New Roman"/>
          <w:sz w:val="24"/>
          <w:szCs w:val="24"/>
        </w:rPr>
        <w:t>.</w:t>
      </w:r>
    </w:p>
    <w:p w:rsidR="00B02CDF" w:rsidRDefault="00B02CDF" w:rsidP="00D314CD">
      <w:pPr>
        <w:spacing w:after="0" w:line="240" w:lineRule="auto"/>
        <w:jc w:val="both"/>
        <w:rPr>
          <w:rFonts w:ascii="Times New Roman" w:hAnsi="Times New Roman" w:cs="Times New Roman"/>
          <w:sz w:val="24"/>
          <w:szCs w:val="24"/>
        </w:rPr>
      </w:pPr>
    </w:p>
    <w:p w:rsidR="00B02CDF" w:rsidRPr="005D3931" w:rsidRDefault="00B02CDF" w:rsidP="00D314CD">
      <w:pPr>
        <w:spacing w:after="0" w:line="240" w:lineRule="auto"/>
        <w:jc w:val="both"/>
        <w:rPr>
          <w:rFonts w:ascii="Times New Roman" w:hAnsi="Times New Roman" w:cs="Times New Roman"/>
          <w:sz w:val="24"/>
          <w:szCs w:val="24"/>
        </w:rPr>
      </w:pPr>
    </w:p>
    <w:p w:rsidR="00011DEA" w:rsidRPr="005D3931" w:rsidRDefault="00F10A4C" w:rsidP="002D0AC2">
      <w:pPr>
        <w:pStyle w:val="Heading1"/>
      </w:pPr>
      <w:bookmarkStart w:id="10" w:name="_Toc444145597"/>
      <w:r w:rsidRPr="005D3931">
        <w:t>CONCLUSION</w:t>
      </w:r>
      <w:bookmarkEnd w:id="10"/>
    </w:p>
    <w:p w:rsidR="008D4D61" w:rsidRPr="005D3931" w:rsidRDefault="008D4D61" w:rsidP="008D4D61">
      <w:pPr>
        <w:pStyle w:val="ListParagraph"/>
        <w:spacing w:after="0" w:line="240" w:lineRule="auto"/>
        <w:ind w:left="0"/>
        <w:jc w:val="both"/>
        <w:rPr>
          <w:rFonts w:ascii="Times New Roman" w:hAnsi="Times New Roman" w:cs="Times New Roman"/>
          <w:sz w:val="24"/>
          <w:szCs w:val="24"/>
        </w:rPr>
      </w:pPr>
    </w:p>
    <w:p w:rsidR="00011DEA" w:rsidRPr="00C8249F" w:rsidRDefault="00011DEA" w:rsidP="00011DEA">
      <w:pPr>
        <w:pStyle w:val="ListParagraph"/>
        <w:numPr>
          <w:ilvl w:val="0"/>
          <w:numId w:val="11"/>
        </w:numPr>
        <w:spacing w:after="0" w:line="240" w:lineRule="auto"/>
        <w:ind w:left="0" w:firstLine="0"/>
        <w:jc w:val="both"/>
        <w:rPr>
          <w:rFonts w:ascii="Times New Roman" w:hAnsi="Times New Roman" w:cs="Times New Roman"/>
          <w:sz w:val="24"/>
          <w:szCs w:val="24"/>
        </w:rPr>
      </w:pPr>
      <w:r w:rsidRPr="00C8249F">
        <w:rPr>
          <w:rFonts w:ascii="Times New Roman" w:hAnsi="Times New Roman" w:cs="Times New Roman"/>
          <w:sz w:val="24"/>
          <w:szCs w:val="24"/>
        </w:rPr>
        <w:t>The recommended options under these themes collectively form a sensible tax package that would provide significant compliance cost reductions, while maintainin</w:t>
      </w:r>
      <w:r w:rsidR="00C8249F">
        <w:rPr>
          <w:rFonts w:ascii="Times New Roman" w:hAnsi="Times New Roman" w:cs="Times New Roman"/>
          <w:sz w:val="24"/>
          <w:szCs w:val="24"/>
        </w:rPr>
        <w:t xml:space="preserve">g New Zealand’s </w:t>
      </w:r>
      <w:r w:rsidR="00DC53C9">
        <w:rPr>
          <w:rFonts w:ascii="Times New Roman" w:hAnsi="Times New Roman" w:cs="Times New Roman"/>
          <w:sz w:val="24"/>
          <w:szCs w:val="24"/>
        </w:rPr>
        <w:t xml:space="preserve">broad base, low rate </w:t>
      </w:r>
      <w:r w:rsidR="00C8249F">
        <w:rPr>
          <w:rFonts w:ascii="Times New Roman" w:hAnsi="Times New Roman" w:cs="Times New Roman"/>
          <w:sz w:val="24"/>
          <w:szCs w:val="24"/>
        </w:rPr>
        <w:t>framework.</w:t>
      </w:r>
    </w:p>
    <w:p w:rsidR="00011DEA" w:rsidRPr="005D3931" w:rsidRDefault="00011DEA" w:rsidP="00011DEA">
      <w:pPr>
        <w:spacing w:after="0" w:line="240" w:lineRule="auto"/>
        <w:jc w:val="both"/>
        <w:rPr>
          <w:rFonts w:ascii="Times New Roman" w:hAnsi="Times New Roman" w:cs="Times New Roman"/>
          <w:sz w:val="24"/>
          <w:szCs w:val="24"/>
        </w:rPr>
      </w:pPr>
    </w:p>
    <w:p w:rsidR="00011DEA" w:rsidRPr="005D3931" w:rsidRDefault="00F10A4C" w:rsidP="002D0AC2">
      <w:pPr>
        <w:pStyle w:val="Heading1"/>
      </w:pPr>
      <w:bookmarkStart w:id="11" w:name="_Toc444145598"/>
      <w:r w:rsidRPr="005D3931">
        <w:t>CONSULTATION</w:t>
      </w:r>
      <w:bookmarkEnd w:id="11"/>
    </w:p>
    <w:p w:rsidR="00011DEA" w:rsidRPr="005D3931" w:rsidRDefault="00011DEA" w:rsidP="00011DEA">
      <w:pPr>
        <w:spacing w:after="0" w:line="240" w:lineRule="auto"/>
        <w:jc w:val="both"/>
        <w:rPr>
          <w:rFonts w:ascii="Times New Roman" w:hAnsi="Times New Roman" w:cs="Times New Roman"/>
          <w:sz w:val="24"/>
          <w:szCs w:val="24"/>
        </w:rPr>
      </w:pPr>
    </w:p>
    <w:p w:rsidR="00AF505D" w:rsidRPr="005D3931" w:rsidRDefault="00AF505D" w:rsidP="008D4D61">
      <w:pPr>
        <w:pStyle w:val="ListParagraph"/>
        <w:numPr>
          <w:ilvl w:val="0"/>
          <w:numId w:val="11"/>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rPr>
        <w:t>Several forms of consultation have been undertaken in developing the options outlined in this statement.</w:t>
      </w:r>
    </w:p>
    <w:p w:rsidR="008D4D61" w:rsidRPr="005D3931" w:rsidRDefault="008D4D61" w:rsidP="008D4D61">
      <w:pPr>
        <w:pStyle w:val="ListParagraph"/>
        <w:spacing w:after="0" w:line="240" w:lineRule="auto"/>
        <w:ind w:left="0"/>
        <w:jc w:val="both"/>
        <w:rPr>
          <w:rFonts w:ascii="Times New Roman" w:hAnsi="Times New Roman" w:cs="Times New Roman"/>
          <w:sz w:val="24"/>
          <w:szCs w:val="24"/>
        </w:rPr>
      </w:pPr>
    </w:p>
    <w:p w:rsidR="00AF505D" w:rsidRPr="005D3931" w:rsidRDefault="00AF505D" w:rsidP="008D4D61">
      <w:pPr>
        <w:pStyle w:val="ListParagraph"/>
        <w:numPr>
          <w:ilvl w:val="0"/>
          <w:numId w:val="11"/>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rPr>
        <w:t xml:space="preserve">In June 2014, Inland Revenue, the Treasury and Victoria University hosted a conference entitled </w:t>
      </w:r>
      <w:r w:rsidRPr="005D3931">
        <w:rPr>
          <w:rFonts w:ascii="Times New Roman" w:hAnsi="Times New Roman" w:cs="Times New Roman"/>
          <w:i/>
          <w:sz w:val="24"/>
          <w:szCs w:val="24"/>
        </w:rPr>
        <w:t>Tax administration for the 21</w:t>
      </w:r>
      <w:r w:rsidRPr="005D3931">
        <w:rPr>
          <w:rFonts w:ascii="Times New Roman" w:hAnsi="Times New Roman" w:cs="Times New Roman"/>
          <w:i/>
          <w:sz w:val="24"/>
          <w:szCs w:val="24"/>
          <w:vertAlign w:val="superscript"/>
        </w:rPr>
        <w:t>st</w:t>
      </w:r>
      <w:r w:rsidRPr="005D3931">
        <w:rPr>
          <w:rFonts w:ascii="Times New Roman" w:hAnsi="Times New Roman" w:cs="Times New Roman"/>
          <w:i/>
          <w:sz w:val="24"/>
          <w:szCs w:val="24"/>
        </w:rPr>
        <w:t xml:space="preserve"> Century</w:t>
      </w:r>
      <w:r w:rsidRPr="005D3931">
        <w:rPr>
          <w:rFonts w:ascii="Times New Roman" w:hAnsi="Times New Roman" w:cs="Times New Roman"/>
          <w:sz w:val="24"/>
          <w:szCs w:val="24"/>
        </w:rPr>
        <w:t>. The conference explored options for making tax easier through reducing both compliance and administration costs</w:t>
      </w:r>
      <w:r w:rsidR="00DC53C9">
        <w:rPr>
          <w:rFonts w:ascii="Times New Roman" w:hAnsi="Times New Roman" w:cs="Times New Roman"/>
          <w:sz w:val="24"/>
          <w:szCs w:val="24"/>
        </w:rPr>
        <w:t>,</w:t>
      </w:r>
      <w:r w:rsidRPr="005D3931">
        <w:rPr>
          <w:rFonts w:ascii="Times New Roman" w:hAnsi="Times New Roman" w:cs="Times New Roman"/>
          <w:sz w:val="24"/>
          <w:szCs w:val="24"/>
        </w:rPr>
        <w:t xml:space="preserve"> </w:t>
      </w:r>
      <w:r w:rsidR="00DC53C9">
        <w:rPr>
          <w:rFonts w:ascii="Times New Roman" w:hAnsi="Times New Roman" w:cs="Times New Roman"/>
          <w:sz w:val="24"/>
          <w:szCs w:val="24"/>
        </w:rPr>
        <w:t>while</w:t>
      </w:r>
      <w:r w:rsidR="00DC53C9" w:rsidRPr="005D3931">
        <w:rPr>
          <w:rFonts w:ascii="Times New Roman" w:hAnsi="Times New Roman" w:cs="Times New Roman"/>
          <w:sz w:val="24"/>
          <w:szCs w:val="24"/>
        </w:rPr>
        <w:t xml:space="preserve"> balanc</w:t>
      </w:r>
      <w:r w:rsidR="00DC53C9">
        <w:rPr>
          <w:rFonts w:ascii="Times New Roman" w:hAnsi="Times New Roman" w:cs="Times New Roman"/>
          <w:sz w:val="24"/>
          <w:szCs w:val="24"/>
        </w:rPr>
        <w:t>ing</w:t>
      </w:r>
      <w:r w:rsidR="00DC53C9" w:rsidRPr="005D3931">
        <w:rPr>
          <w:rFonts w:ascii="Times New Roman" w:hAnsi="Times New Roman" w:cs="Times New Roman"/>
          <w:sz w:val="24"/>
          <w:szCs w:val="24"/>
        </w:rPr>
        <w:t xml:space="preserve"> </w:t>
      </w:r>
      <w:r w:rsidRPr="005D3931">
        <w:rPr>
          <w:rFonts w:ascii="Times New Roman" w:hAnsi="Times New Roman" w:cs="Times New Roman"/>
          <w:sz w:val="24"/>
          <w:szCs w:val="24"/>
        </w:rPr>
        <w:t>increase</w:t>
      </w:r>
      <w:r w:rsidR="00DC53C9">
        <w:rPr>
          <w:rFonts w:ascii="Times New Roman" w:hAnsi="Times New Roman" w:cs="Times New Roman"/>
          <w:sz w:val="24"/>
          <w:szCs w:val="24"/>
        </w:rPr>
        <w:t>d</w:t>
      </w:r>
      <w:r w:rsidRPr="005D3931">
        <w:rPr>
          <w:rFonts w:ascii="Times New Roman" w:hAnsi="Times New Roman" w:cs="Times New Roman"/>
          <w:sz w:val="24"/>
          <w:szCs w:val="24"/>
        </w:rPr>
        <w:t xml:space="preserve"> voluntary compliance against the core tax policy objectives of raising sufficient revenue and ensuring fairness and efficiency.</w:t>
      </w:r>
      <w:r w:rsidR="00082A0C" w:rsidRPr="005D3931">
        <w:rPr>
          <w:rFonts w:ascii="Times New Roman" w:hAnsi="Times New Roman" w:cs="Times New Roman"/>
          <w:sz w:val="24"/>
          <w:szCs w:val="24"/>
        </w:rPr>
        <w:t xml:space="preserve"> The main points made by attendees were to give people the ability to self-manage their tax affairs</w:t>
      </w:r>
      <w:r w:rsidR="00360B0C">
        <w:rPr>
          <w:rFonts w:ascii="Times New Roman" w:hAnsi="Times New Roman" w:cs="Times New Roman"/>
          <w:sz w:val="24"/>
          <w:szCs w:val="24"/>
        </w:rPr>
        <w:t xml:space="preserve"> through improved services and more flexible legislative frameworks</w:t>
      </w:r>
      <w:r w:rsidR="00082A0C" w:rsidRPr="005D3931">
        <w:rPr>
          <w:rFonts w:ascii="Times New Roman" w:hAnsi="Times New Roman" w:cs="Times New Roman"/>
          <w:sz w:val="24"/>
          <w:szCs w:val="24"/>
        </w:rPr>
        <w:t>, the importance of involving businesses and others in the design of the rules and processes</w:t>
      </w:r>
      <w:r w:rsidR="004808A1">
        <w:rPr>
          <w:rFonts w:ascii="Times New Roman" w:hAnsi="Times New Roman" w:cs="Times New Roman"/>
          <w:sz w:val="24"/>
          <w:szCs w:val="24"/>
        </w:rPr>
        <w:t>,</w:t>
      </w:r>
      <w:r w:rsidR="00082A0C" w:rsidRPr="005D3931">
        <w:rPr>
          <w:rFonts w:ascii="Times New Roman" w:hAnsi="Times New Roman" w:cs="Times New Roman"/>
          <w:sz w:val="24"/>
          <w:szCs w:val="24"/>
        </w:rPr>
        <w:t xml:space="preserve"> the need to ensure that there is an overall net benefit to society of the changes not just a cost shift from Inland Revenue to businesses, and to ensure the continued maintenance of the current tax system whilst the reforms occur.</w:t>
      </w:r>
    </w:p>
    <w:p w:rsidR="00082A0C" w:rsidRPr="005D3931" w:rsidRDefault="00082A0C" w:rsidP="008D4D61">
      <w:pPr>
        <w:spacing w:after="0" w:line="240" w:lineRule="auto"/>
        <w:jc w:val="both"/>
        <w:rPr>
          <w:rFonts w:ascii="Times New Roman" w:hAnsi="Times New Roman" w:cs="Times New Roman"/>
          <w:sz w:val="24"/>
          <w:szCs w:val="24"/>
        </w:rPr>
      </w:pPr>
    </w:p>
    <w:p w:rsidR="00082A0C" w:rsidRPr="005D3931" w:rsidRDefault="00082A0C" w:rsidP="008D4D61">
      <w:pPr>
        <w:pStyle w:val="ListParagraph"/>
        <w:numPr>
          <w:ilvl w:val="0"/>
          <w:numId w:val="11"/>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rPr>
        <w:t xml:space="preserve">Following this conference the Government issued </w:t>
      </w:r>
      <w:r w:rsidR="00A14062">
        <w:rPr>
          <w:rFonts w:ascii="Times New Roman" w:hAnsi="Times New Roman" w:cs="Times New Roman"/>
          <w:i/>
          <w:sz w:val="24"/>
          <w:szCs w:val="24"/>
        </w:rPr>
        <w:t>M</w:t>
      </w:r>
      <w:r w:rsidR="00C8249F">
        <w:rPr>
          <w:rFonts w:ascii="Times New Roman" w:hAnsi="Times New Roman" w:cs="Times New Roman"/>
          <w:i/>
          <w:sz w:val="24"/>
          <w:szCs w:val="24"/>
        </w:rPr>
        <w:t xml:space="preserve">aking tax simpler – a Government </w:t>
      </w:r>
      <w:r w:rsidRPr="005D3931">
        <w:rPr>
          <w:rFonts w:ascii="Times New Roman" w:hAnsi="Times New Roman" w:cs="Times New Roman"/>
          <w:i/>
          <w:sz w:val="24"/>
          <w:szCs w:val="24"/>
        </w:rPr>
        <w:t>green paper on tax administration</w:t>
      </w:r>
      <w:r w:rsidR="00C80A49" w:rsidRPr="005D3931">
        <w:rPr>
          <w:rFonts w:ascii="Times New Roman" w:hAnsi="Times New Roman" w:cs="Times New Roman"/>
          <w:sz w:val="24"/>
          <w:szCs w:val="24"/>
        </w:rPr>
        <w:t xml:space="preserve"> which outlined the scope </w:t>
      </w:r>
      <w:r w:rsidR="00A14062">
        <w:rPr>
          <w:rFonts w:ascii="Times New Roman" w:hAnsi="Times New Roman" w:cs="Times New Roman"/>
          <w:sz w:val="24"/>
          <w:szCs w:val="24"/>
        </w:rPr>
        <w:t xml:space="preserve">and direction </w:t>
      </w:r>
      <w:r w:rsidR="00C80A49" w:rsidRPr="005D3931">
        <w:rPr>
          <w:rFonts w:ascii="Times New Roman" w:hAnsi="Times New Roman" w:cs="Times New Roman"/>
          <w:sz w:val="24"/>
          <w:szCs w:val="24"/>
        </w:rPr>
        <w:t>of the review of the tax administration</w:t>
      </w:r>
      <w:r w:rsidR="00A453BE">
        <w:rPr>
          <w:rFonts w:ascii="Times New Roman" w:hAnsi="Times New Roman" w:cs="Times New Roman"/>
          <w:sz w:val="24"/>
          <w:szCs w:val="24"/>
        </w:rPr>
        <w:t>,</w:t>
      </w:r>
      <w:r w:rsidR="007871F0" w:rsidRPr="005D3931">
        <w:rPr>
          <w:rFonts w:ascii="Times New Roman" w:hAnsi="Times New Roman" w:cs="Times New Roman"/>
          <w:sz w:val="24"/>
          <w:szCs w:val="24"/>
        </w:rPr>
        <w:t xml:space="preserve"> and sought feedback on the future for business tax</w:t>
      </w:r>
      <w:r w:rsidR="00B02CDF" w:rsidRPr="005D3931">
        <w:rPr>
          <w:rFonts w:ascii="Times New Roman" w:hAnsi="Times New Roman" w:cs="Times New Roman"/>
          <w:sz w:val="24"/>
          <w:szCs w:val="24"/>
        </w:rPr>
        <w:t xml:space="preserve"> and the problems taxpayers face with the current system</w:t>
      </w:r>
      <w:r w:rsidR="007871F0" w:rsidRPr="005D3931">
        <w:rPr>
          <w:rFonts w:ascii="Times New Roman" w:hAnsi="Times New Roman" w:cs="Times New Roman"/>
          <w:sz w:val="24"/>
          <w:szCs w:val="24"/>
        </w:rPr>
        <w:t xml:space="preserve">. The options proposed in this </w:t>
      </w:r>
      <w:r w:rsidR="00B02CDF" w:rsidRPr="005D3931">
        <w:rPr>
          <w:rFonts w:ascii="Times New Roman" w:hAnsi="Times New Roman" w:cs="Times New Roman"/>
          <w:sz w:val="24"/>
          <w:szCs w:val="24"/>
        </w:rPr>
        <w:t>regulatory impact statement</w:t>
      </w:r>
      <w:r w:rsidR="007871F0" w:rsidRPr="005D3931">
        <w:rPr>
          <w:rFonts w:ascii="Times New Roman" w:hAnsi="Times New Roman" w:cs="Times New Roman"/>
          <w:sz w:val="24"/>
          <w:szCs w:val="24"/>
        </w:rPr>
        <w:t xml:space="preserve"> address </w:t>
      </w:r>
      <w:r w:rsidR="00A65B46" w:rsidRPr="005D3931">
        <w:rPr>
          <w:rFonts w:ascii="Times New Roman" w:hAnsi="Times New Roman" w:cs="Times New Roman"/>
          <w:sz w:val="24"/>
          <w:szCs w:val="24"/>
        </w:rPr>
        <w:t>the five main</w:t>
      </w:r>
      <w:r w:rsidR="007871F0" w:rsidRPr="005D3931">
        <w:rPr>
          <w:rFonts w:ascii="Times New Roman" w:hAnsi="Times New Roman" w:cs="Times New Roman"/>
          <w:sz w:val="24"/>
          <w:szCs w:val="24"/>
        </w:rPr>
        <w:t xml:space="preserve"> </w:t>
      </w:r>
      <w:r w:rsidR="00C164C7">
        <w:rPr>
          <w:rFonts w:ascii="Times New Roman" w:hAnsi="Times New Roman" w:cs="Times New Roman"/>
          <w:sz w:val="24"/>
          <w:szCs w:val="24"/>
        </w:rPr>
        <w:t>issues</w:t>
      </w:r>
      <w:r w:rsidR="00C164C7" w:rsidRPr="005D3931">
        <w:rPr>
          <w:rFonts w:ascii="Times New Roman" w:hAnsi="Times New Roman" w:cs="Times New Roman"/>
          <w:sz w:val="24"/>
          <w:szCs w:val="24"/>
        </w:rPr>
        <w:t xml:space="preserve"> </w:t>
      </w:r>
      <w:r w:rsidR="007871F0" w:rsidRPr="005D3931">
        <w:rPr>
          <w:rFonts w:ascii="Times New Roman" w:hAnsi="Times New Roman" w:cs="Times New Roman"/>
          <w:sz w:val="24"/>
          <w:szCs w:val="24"/>
        </w:rPr>
        <w:t>identified as p</w:t>
      </w:r>
      <w:r w:rsidR="00A65B46" w:rsidRPr="005D3931">
        <w:rPr>
          <w:rFonts w:ascii="Times New Roman" w:hAnsi="Times New Roman" w:cs="Times New Roman"/>
          <w:sz w:val="24"/>
          <w:szCs w:val="24"/>
        </w:rPr>
        <w:t xml:space="preserve">art of the consultation </w:t>
      </w:r>
      <w:r w:rsidR="00A453BE">
        <w:rPr>
          <w:rFonts w:ascii="Times New Roman" w:hAnsi="Times New Roman" w:cs="Times New Roman"/>
          <w:sz w:val="24"/>
          <w:szCs w:val="24"/>
        </w:rPr>
        <w:t xml:space="preserve">with taxpayers and feedback </w:t>
      </w:r>
      <w:r w:rsidR="000E4599">
        <w:rPr>
          <w:rFonts w:ascii="Times New Roman" w:hAnsi="Times New Roman" w:cs="Times New Roman"/>
          <w:sz w:val="24"/>
          <w:szCs w:val="24"/>
        </w:rPr>
        <w:t xml:space="preserve">on the </w:t>
      </w:r>
      <w:r w:rsidR="00A453BE">
        <w:rPr>
          <w:rFonts w:ascii="Times New Roman" w:hAnsi="Times New Roman" w:cs="Times New Roman"/>
          <w:sz w:val="24"/>
          <w:szCs w:val="24"/>
        </w:rPr>
        <w:t>green paper</w:t>
      </w:r>
      <w:r w:rsidR="000E4599">
        <w:rPr>
          <w:rFonts w:ascii="Times New Roman" w:hAnsi="Times New Roman" w:cs="Times New Roman"/>
          <w:sz w:val="24"/>
          <w:szCs w:val="24"/>
        </w:rPr>
        <w:t xml:space="preserve">. </w:t>
      </w:r>
      <w:r w:rsidR="00B02CDF" w:rsidRPr="005D3931">
        <w:rPr>
          <w:rFonts w:ascii="Times New Roman" w:hAnsi="Times New Roman" w:cs="Times New Roman"/>
          <w:sz w:val="24"/>
          <w:szCs w:val="24"/>
        </w:rPr>
        <w:t xml:space="preserve">These </w:t>
      </w:r>
      <w:r w:rsidR="00C164C7">
        <w:rPr>
          <w:rFonts w:ascii="Times New Roman" w:hAnsi="Times New Roman" w:cs="Times New Roman"/>
          <w:sz w:val="24"/>
          <w:szCs w:val="24"/>
        </w:rPr>
        <w:t>issues</w:t>
      </w:r>
      <w:r w:rsidR="00C164C7" w:rsidRPr="005D3931">
        <w:rPr>
          <w:rFonts w:ascii="Times New Roman" w:hAnsi="Times New Roman" w:cs="Times New Roman"/>
          <w:sz w:val="24"/>
          <w:szCs w:val="24"/>
        </w:rPr>
        <w:t xml:space="preserve"> </w:t>
      </w:r>
      <w:r w:rsidR="00B02CDF" w:rsidRPr="005D3931">
        <w:rPr>
          <w:rFonts w:ascii="Times New Roman" w:hAnsi="Times New Roman" w:cs="Times New Roman"/>
          <w:sz w:val="24"/>
          <w:szCs w:val="24"/>
        </w:rPr>
        <w:t xml:space="preserve">are </w:t>
      </w:r>
      <w:r w:rsidR="00A65B46" w:rsidRPr="005D3931">
        <w:rPr>
          <w:rFonts w:ascii="Times New Roman" w:hAnsi="Times New Roman" w:cs="Times New Roman"/>
          <w:sz w:val="24"/>
          <w:szCs w:val="24"/>
        </w:rPr>
        <w:t xml:space="preserve">outlined under the </w:t>
      </w:r>
      <w:r w:rsidR="004808A1">
        <w:rPr>
          <w:rFonts w:ascii="Times New Roman" w:hAnsi="Times New Roman" w:cs="Times New Roman"/>
          <w:sz w:val="24"/>
          <w:szCs w:val="24"/>
        </w:rPr>
        <w:t xml:space="preserve">status quo and </w:t>
      </w:r>
      <w:r w:rsidR="00A65B46" w:rsidRPr="005D3931">
        <w:rPr>
          <w:rFonts w:ascii="Times New Roman" w:hAnsi="Times New Roman" w:cs="Times New Roman"/>
          <w:sz w:val="24"/>
          <w:szCs w:val="24"/>
        </w:rPr>
        <w:t>problem definition section above.</w:t>
      </w:r>
    </w:p>
    <w:p w:rsidR="007871F0" w:rsidRPr="005D3931" w:rsidRDefault="007871F0" w:rsidP="008D4D61">
      <w:pPr>
        <w:spacing w:after="0" w:line="240" w:lineRule="auto"/>
        <w:jc w:val="both"/>
        <w:rPr>
          <w:rFonts w:ascii="Times New Roman" w:hAnsi="Times New Roman" w:cs="Times New Roman"/>
          <w:sz w:val="24"/>
          <w:szCs w:val="24"/>
        </w:rPr>
      </w:pPr>
    </w:p>
    <w:p w:rsidR="00AF505D" w:rsidRDefault="00350B5C" w:rsidP="008D4D61">
      <w:pPr>
        <w:pStyle w:val="ListParagraph"/>
        <w:numPr>
          <w:ilvl w:val="0"/>
          <w:numId w:val="11"/>
        </w:numPr>
        <w:spacing w:after="0" w:line="240" w:lineRule="auto"/>
        <w:ind w:left="0" w:firstLine="0"/>
        <w:jc w:val="both"/>
        <w:rPr>
          <w:rFonts w:ascii="Times New Roman" w:hAnsi="Times New Roman" w:cs="Times New Roman"/>
          <w:sz w:val="24"/>
          <w:szCs w:val="24"/>
        </w:rPr>
      </w:pPr>
      <w:r w:rsidRPr="00350B5C">
        <w:rPr>
          <w:rFonts w:ascii="Times New Roman" w:hAnsi="Times New Roman" w:cs="Times New Roman"/>
          <w:sz w:val="24"/>
          <w:szCs w:val="24"/>
        </w:rPr>
        <w:t xml:space="preserve">The Government has decided not to issue a discussion document on the options in this regulatory impact statement, which would normally occur as part of the policy development process. However, in developing these options, Ministers have asked officials to undertake selected consultation with key players, including the Chartered Accountants of Australia and New Zealand, Corporate Taxpayer Group, Business New Zealand, </w:t>
      </w:r>
      <w:r w:rsidR="00E03224">
        <w:rPr>
          <w:rFonts w:ascii="Times New Roman" w:hAnsi="Times New Roman" w:cs="Times New Roman"/>
          <w:sz w:val="24"/>
          <w:szCs w:val="24"/>
        </w:rPr>
        <w:t>selected</w:t>
      </w:r>
      <w:r w:rsidRPr="00350B5C">
        <w:rPr>
          <w:rFonts w:ascii="Times New Roman" w:hAnsi="Times New Roman" w:cs="Times New Roman"/>
          <w:sz w:val="24"/>
          <w:szCs w:val="24"/>
        </w:rPr>
        <w:t xml:space="preserve"> labour hire firms, selected credit reporting agencies, and a small group of accountants. Feedback from these consultations has informed the development of the options.</w:t>
      </w:r>
    </w:p>
    <w:p w:rsidR="00350B5C" w:rsidRPr="00350B5C" w:rsidRDefault="00350B5C" w:rsidP="00350B5C">
      <w:pPr>
        <w:pStyle w:val="ListParagraph"/>
        <w:spacing w:after="0" w:line="240" w:lineRule="auto"/>
        <w:ind w:left="0"/>
        <w:jc w:val="both"/>
        <w:rPr>
          <w:rFonts w:ascii="Times New Roman" w:hAnsi="Times New Roman" w:cs="Times New Roman"/>
          <w:sz w:val="24"/>
          <w:szCs w:val="24"/>
        </w:rPr>
      </w:pPr>
    </w:p>
    <w:p w:rsidR="007871F0" w:rsidRPr="008D31DB" w:rsidRDefault="0061206C" w:rsidP="008D4D61">
      <w:pPr>
        <w:pStyle w:val="ListParagraph"/>
        <w:numPr>
          <w:ilvl w:val="0"/>
          <w:numId w:val="11"/>
        </w:numPr>
        <w:spacing w:after="0" w:line="240" w:lineRule="auto"/>
        <w:ind w:left="0" w:firstLine="0"/>
        <w:jc w:val="both"/>
        <w:rPr>
          <w:rFonts w:ascii="Times New Roman" w:hAnsi="Times New Roman" w:cs="Times New Roman"/>
          <w:sz w:val="24"/>
          <w:szCs w:val="24"/>
        </w:rPr>
      </w:pPr>
      <w:r w:rsidRPr="008D31DB">
        <w:rPr>
          <w:rFonts w:ascii="Times New Roman" w:hAnsi="Times New Roman" w:cs="Times New Roman"/>
          <w:sz w:val="24"/>
          <w:szCs w:val="24"/>
        </w:rPr>
        <w:t>Also, o</w:t>
      </w:r>
      <w:r w:rsidR="007871F0" w:rsidRPr="008D31DB">
        <w:rPr>
          <w:rFonts w:ascii="Times New Roman" w:hAnsi="Times New Roman" w:cs="Times New Roman"/>
          <w:sz w:val="24"/>
          <w:szCs w:val="24"/>
        </w:rPr>
        <w:t xml:space="preserve">nce the </w:t>
      </w:r>
      <w:r w:rsidR="00A14062" w:rsidRPr="008D31DB">
        <w:rPr>
          <w:rFonts w:ascii="Times New Roman" w:hAnsi="Times New Roman" w:cs="Times New Roman"/>
          <w:sz w:val="24"/>
          <w:szCs w:val="24"/>
        </w:rPr>
        <w:t>G</w:t>
      </w:r>
      <w:r w:rsidR="007871F0" w:rsidRPr="008D31DB">
        <w:rPr>
          <w:rFonts w:ascii="Times New Roman" w:hAnsi="Times New Roman" w:cs="Times New Roman"/>
          <w:sz w:val="24"/>
          <w:szCs w:val="24"/>
        </w:rPr>
        <w:t xml:space="preserve">overnment announces the changes it is expected that an issues paper will be released seeking </w:t>
      </w:r>
      <w:r w:rsidR="00B83DA3" w:rsidRPr="008D31DB">
        <w:rPr>
          <w:rFonts w:ascii="Times New Roman" w:hAnsi="Times New Roman" w:cs="Times New Roman"/>
          <w:sz w:val="24"/>
          <w:szCs w:val="24"/>
        </w:rPr>
        <w:t xml:space="preserve">public </w:t>
      </w:r>
      <w:r w:rsidR="007871F0" w:rsidRPr="008D31DB">
        <w:rPr>
          <w:rFonts w:ascii="Times New Roman" w:hAnsi="Times New Roman" w:cs="Times New Roman"/>
          <w:sz w:val="24"/>
          <w:szCs w:val="24"/>
        </w:rPr>
        <w:t>feedback on the detail</w:t>
      </w:r>
      <w:r w:rsidR="00B83DA3" w:rsidRPr="008D31DB">
        <w:rPr>
          <w:rFonts w:ascii="Times New Roman" w:hAnsi="Times New Roman" w:cs="Times New Roman"/>
          <w:sz w:val="24"/>
          <w:szCs w:val="24"/>
        </w:rPr>
        <w:t xml:space="preserve">ed design </w:t>
      </w:r>
      <w:r w:rsidR="007871F0" w:rsidRPr="008D31DB">
        <w:rPr>
          <w:rFonts w:ascii="Times New Roman" w:hAnsi="Times New Roman" w:cs="Times New Roman"/>
          <w:sz w:val="24"/>
          <w:szCs w:val="24"/>
        </w:rPr>
        <w:t>of each of the proposals.</w:t>
      </w:r>
    </w:p>
    <w:p w:rsidR="00A97AC7" w:rsidRDefault="00A97AC7" w:rsidP="008D4D61">
      <w:pPr>
        <w:spacing w:after="0" w:line="240" w:lineRule="auto"/>
        <w:jc w:val="both"/>
        <w:rPr>
          <w:rFonts w:ascii="Times New Roman" w:hAnsi="Times New Roman" w:cs="Times New Roman"/>
          <w:sz w:val="24"/>
          <w:szCs w:val="24"/>
        </w:rPr>
      </w:pPr>
    </w:p>
    <w:p w:rsidR="00420D8B" w:rsidRPr="005D3931" w:rsidRDefault="00420D8B" w:rsidP="008D4D61">
      <w:pPr>
        <w:spacing w:after="0" w:line="240" w:lineRule="auto"/>
        <w:jc w:val="both"/>
        <w:rPr>
          <w:rFonts w:ascii="Times New Roman" w:hAnsi="Times New Roman" w:cs="Times New Roman"/>
          <w:sz w:val="24"/>
          <w:szCs w:val="24"/>
        </w:rPr>
      </w:pPr>
    </w:p>
    <w:p w:rsidR="00043BF2" w:rsidRPr="005D3931" w:rsidRDefault="00F10A4C" w:rsidP="002D0AC2">
      <w:pPr>
        <w:pStyle w:val="Heading1"/>
      </w:pPr>
      <w:bookmarkStart w:id="12" w:name="_Toc444145599"/>
      <w:r w:rsidRPr="005D3931">
        <w:t>IMPLEMENTATION</w:t>
      </w:r>
      <w:bookmarkEnd w:id="12"/>
    </w:p>
    <w:p w:rsidR="008D4D61" w:rsidRPr="005D3931" w:rsidRDefault="008D4D61" w:rsidP="008D4D61">
      <w:pPr>
        <w:pStyle w:val="ListParagraph"/>
        <w:spacing w:after="0" w:line="240" w:lineRule="auto"/>
        <w:ind w:left="0"/>
        <w:jc w:val="both"/>
        <w:rPr>
          <w:rFonts w:ascii="Times New Roman" w:hAnsi="Times New Roman" w:cs="Times New Roman"/>
          <w:sz w:val="24"/>
          <w:szCs w:val="24"/>
        </w:rPr>
      </w:pPr>
    </w:p>
    <w:p w:rsidR="00881624" w:rsidRPr="005D3931" w:rsidRDefault="00A453BE" w:rsidP="008D4D61">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It</w:t>
      </w:r>
      <w:r w:rsidR="00881624" w:rsidRPr="005D3931">
        <w:rPr>
          <w:rFonts w:ascii="Times New Roman" w:hAnsi="Times New Roman" w:cs="Times New Roman"/>
          <w:sz w:val="24"/>
          <w:szCs w:val="24"/>
        </w:rPr>
        <w:t xml:space="preserve"> is </w:t>
      </w:r>
      <w:r>
        <w:rPr>
          <w:rFonts w:ascii="Times New Roman" w:hAnsi="Times New Roman" w:cs="Times New Roman"/>
          <w:sz w:val="24"/>
          <w:szCs w:val="24"/>
        </w:rPr>
        <w:t xml:space="preserve">proposed </w:t>
      </w:r>
      <w:r w:rsidR="00881624" w:rsidRPr="005D3931">
        <w:rPr>
          <w:rFonts w:ascii="Times New Roman" w:hAnsi="Times New Roman" w:cs="Times New Roman"/>
          <w:sz w:val="24"/>
          <w:szCs w:val="24"/>
        </w:rPr>
        <w:t>to include the recommended options in a bill to be introduced in July 2016 and enacted by the end of the year.</w:t>
      </w:r>
    </w:p>
    <w:p w:rsidR="008D4D61" w:rsidRPr="005D3931" w:rsidRDefault="008D4D61" w:rsidP="008D4D61">
      <w:pPr>
        <w:pStyle w:val="ListParagraph"/>
        <w:spacing w:after="0" w:line="240" w:lineRule="auto"/>
        <w:ind w:left="0"/>
        <w:jc w:val="both"/>
        <w:rPr>
          <w:rFonts w:ascii="Times New Roman" w:hAnsi="Times New Roman" w:cs="Times New Roman"/>
          <w:sz w:val="24"/>
          <w:szCs w:val="24"/>
        </w:rPr>
      </w:pPr>
    </w:p>
    <w:p w:rsidR="00597570" w:rsidRPr="00597570" w:rsidRDefault="00597570" w:rsidP="00597570">
      <w:pPr>
        <w:numPr>
          <w:ilvl w:val="0"/>
          <w:numId w:val="11"/>
        </w:numPr>
        <w:spacing w:after="0" w:line="240" w:lineRule="auto"/>
        <w:ind w:left="0" w:firstLine="0"/>
        <w:contextualSpacing/>
        <w:jc w:val="both"/>
        <w:rPr>
          <w:rFonts w:ascii="Times New Roman" w:hAnsi="Times New Roman" w:cs="Times New Roman"/>
          <w:sz w:val="24"/>
          <w:szCs w:val="24"/>
        </w:rPr>
      </w:pPr>
      <w:r w:rsidRPr="00597570">
        <w:rPr>
          <w:rFonts w:ascii="Times New Roman" w:hAnsi="Times New Roman" w:cs="Times New Roman"/>
          <w:sz w:val="24"/>
          <w:szCs w:val="24"/>
        </w:rPr>
        <w:t xml:space="preserve">All the recommended options (apart from the accounting income method and </w:t>
      </w:r>
      <w:r w:rsidR="004C78E5">
        <w:rPr>
          <w:rFonts w:ascii="Times New Roman" w:hAnsi="Times New Roman" w:cs="Times New Roman"/>
          <w:sz w:val="24"/>
          <w:szCs w:val="24"/>
        </w:rPr>
        <w:t>paying tax as agent for shareholder-employees</w:t>
      </w:r>
      <w:r w:rsidRPr="00597570">
        <w:rPr>
          <w:rFonts w:ascii="Times New Roman" w:hAnsi="Times New Roman" w:cs="Times New Roman"/>
          <w:sz w:val="24"/>
          <w:szCs w:val="24"/>
        </w:rPr>
        <w:t>) will apply from 1 April 2017. The accounting income method and paying provisional tax on behalf of related individuals’ options will apply from 1 April 2018.</w:t>
      </w:r>
    </w:p>
    <w:p w:rsidR="00597570" w:rsidRPr="00597570" w:rsidRDefault="00597570" w:rsidP="00350B5C">
      <w:pPr>
        <w:contextualSpacing/>
        <w:rPr>
          <w:rFonts w:ascii="Times New Roman" w:hAnsi="Times New Roman" w:cs="Times New Roman"/>
          <w:sz w:val="24"/>
          <w:szCs w:val="24"/>
        </w:rPr>
      </w:pPr>
    </w:p>
    <w:p w:rsidR="00597570" w:rsidRPr="00597570" w:rsidRDefault="00597570" w:rsidP="00597570">
      <w:pPr>
        <w:numPr>
          <w:ilvl w:val="0"/>
          <w:numId w:val="11"/>
        </w:numPr>
        <w:spacing w:after="0" w:line="240" w:lineRule="auto"/>
        <w:ind w:left="0" w:firstLine="0"/>
        <w:contextualSpacing/>
        <w:jc w:val="both"/>
        <w:rPr>
          <w:rFonts w:ascii="Times New Roman" w:hAnsi="Times New Roman" w:cs="Times New Roman"/>
          <w:sz w:val="24"/>
          <w:szCs w:val="24"/>
        </w:rPr>
      </w:pPr>
      <w:r w:rsidRPr="00597570">
        <w:rPr>
          <w:rFonts w:ascii="Times New Roman" w:hAnsi="Times New Roman" w:cs="Times New Roman"/>
          <w:sz w:val="24"/>
          <w:szCs w:val="24"/>
        </w:rPr>
        <w:t xml:space="preserve">The new provisional tax option using an accounting income method has an implementation date of 1 April 2018 </w:t>
      </w:r>
      <w:r w:rsidR="00A14062">
        <w:rPr>
          <w:rFonts w:ascii="Times New Roman" w:hAnsi="Times New Roman" w:cs="Times New Roman"/>
          <w:sz w:val="24"/>
          <w:szCs w:val="24"/>
        </w:rPr>
        <w:t>as</w:t>
      </w:r>
      <w:r w:rsidRPr="00597570">
        <w:rPr>
          <w:rFonts w:ascii="Times New Roman" w:hAnsi="Times New Roman" w:cs="Times New Roman"/>
          <w:sz w:val="24"/>
          <w:szCs w:val="24"/>
        </w:rPr>
        <w:t xml:space="preserve"> </w:t>
      </w:r>
      <w:r w:rsidR="00A14062">
        <w:rPr>
          <w:rFonts w:ascii="Times New Roman" w:hAnsi="Times New Roman" w:cs="Times New Roman"/>
          <w:sz w:val="24"/>
          <w:szCs w:val="24"/>
        </w:rPr>
        <w:t>b</w:t>
      </w:r>
      <w:r w:rsidRPr="00597570">
        <w:rPr>
          <w:rFonts w:ascii="Times New Roman" w:hAnsi="Times New Roman" w:cs="Times New Roman"/>
          <w:sz w:val="24"/>
          <w:szCs w:val="24"/>
        </w:rPr>
        <w:t>oth Inland Revenue and external suppliers will have changes to make to systems and products that will require a lead in time of between 12 to 18 months.</w:t>
      </w:r>
    </w:p>
    <w:p w:rsidR="00597570" w:rsidRPr="00597570" w:rsidRDefault="00597570" w:rsidP="00350B5C">
      <w:pPr>
        <w:contextualSpacing/>
        <w:rPr>
          <w:rFonts w:ascii="Times New Roman" w:hAnsi="Times New Roman" w:cs="Times New Roman"/>
          <w:sz w:val="24"/>
          <w:szCs w:val="24"/>
        </w:rPr>
      </w:pPr>
    </w:p>
    <w:p w:rsidR="00597570" w:rsidRPr="00597570" w:rsidRDefault="00597570" w:rsidP="00597570">
      <w:pPr>
        <w:numPr>
          <w:ilvl w:val="0"/>
          <w:numId w:val="11"/>
        </w:numPr>
        <w:spacing w:before="240" w:after="0" w:line="240" w:lineRule="auto"/>
        <w:ind w:left="0" w:firstLine="0"/>
        <w:contextualSpacing/>
        <w:jc w:val="both"/>
        <w:rPr>
          <w:rFonts w:ascii="Times New Roman" w:hAnsi="Times New Roman" w:cs="Times New Roman"/>
          <w:sz w:val="24"/>
          <w:szCs w:val="24"/>
        </w:rPr>
      </w:pPr>
      <w:r w:rsidRPr="00597570">
        <w:rPr>
          <w:rFonts w:ascii="Times New Roman" w:hAnsi="Times New Roman" w:cs="Times New Roman"/>
          <w:sz w:val="24"/>
          <w:szCs w:val="24"/>
        </w:rPr>
        <w:t xml:space="preserve">The migration of income tax processing from Inland Revenue’s heritage system to the new </w:t>
      </w:r>
      <w:r w:rsidR="00A14062">
        <w:rPr>
          <w:rFonts w:ascii="Times New Roman" w:hAnsi="Times New Roman" w:cs="Times New Roman"/>
          <w:sz w:val="24"/>
          <w:szCs w:val="24"/>
        </w:rPr>
        <w:t>technology platform</w:t>
      </w:r>
      <w:r w:rsidRPr="00597570">
        <w:rPr>
          <w:rFonts w:ascii="Times New Roman" w:hAnsi="Times New Roman" w:cs="Times New Roman"/>
          <w:sz w:val="24"/>
          <w:szCs w:val="24"/>
        </w:rPr>
        <w:t xml:space="preserve"> is a good transition point for the introduction of a new provisional tax </w:t>
      </w:r>
      <w:r w:rsidR="00A453BE">
        <w:rPr>
          <w:rFonts w:ascii="Times New Roman" w:hAnsi="Times New Roman" w:cs="Times New Roman"/>
          <w:sz w:val="24"/>
          <w:szCs w:val="24"/>
        </w:rPr>
        <w:t xml:space="preserve">calculation </w:t>
      </w:r>
      <w:r w:rsidRPr="00597570">
        <w:rPr>
          <w:rFonts w:ascii="Times New Roman" w:hAnsi="Times New Roman" w:cs="Times New Roman"/>
          <w:sz w:val="24"/>
          <w:szCs w:val="24"/>
        </w:rPr>
        <w:t>method. This period will also allow external suppliers to develop and modify products to use the new method.</w:t>
      </w:r>
    </w:p>
    <w:p w:rsidR="00597570" w:rsidRPr="00597570" w:rsidRDefault="00597570" w:rsidP="00597570">
      <w:pPr>
        <w:spacing w:after="0" w:line="240" w:lineRule="auto"/>
        <w:contextualSpacing/>
        <w:jc w:val="both"/>
        <w:rPr>
          <w:rFonts w:ascii="Times New Roman" w:hAnsi="Times New Roman" w:cs="Times New Roman"/>
          <w:sz w:val="24"/>
          <w:szCs w:val="24"/>
        </w:rPr>
      </w:pPr>
    </w:p>
    <w:p w:rsidR="004C78E5" w:rsidRDefault="004C78E5" w:rsidP="004C78E5">
      <w:pPr>
        <w:numPr>
          <w:ilvl w:val="0"/>
          <w:numId w:val="11"/>
        </w:numPr>
        <w:spacing w:after="0" w:line="240" w:lineRule="auto"/>
        <w:ind w:left="0" w:firstLine="0"/>
        <w:contextualSpacing/>
        <w:jc w:val="both"/>
        <w:rPr>
          <w:rFonts w:ascii="Times New Roman" w:hAnsi="Times New Roman" w:cs="Times New Roman"/>
          <w:sz w:val="24"/>
          <w:szCs w:val="24"/>
        </w:rPr>
      </w:pPr>
      <w:r w:rsidRPr="00597570">
        <w:rPr>
          <w:rFonts w:ascii="Times New Roman" w:hAnsi="Times New Roman" w:cs="Times New Roman"/>
          <w:sz w:val="24"/>
          <w:szCs w:val="24"/>
        </w:rPr>
        <w:t xml:space="preserve">The option of paying tax on behalf of </w:t>
      </w:r>
      <w:r>
        <w:rPr>
          <w:rFonts w:ascii="Times New Roman" w:hAnsi="Times New Roman" w:cs="Times New Roman"/>
          <w:sz w:val="24"/>
          <w:szCs w:val="24"/>
        </w:rPr>
        <w:t>shareholder-employees</w:t>
      </w:r>
      <w:r w:rsidRPr="00597570">
        <w:rPr>
          <w:rFonts w:ascii="Times New Roman" w:hAnsi="Times New Roman" w:cs="Times New Roman"/>
          <w:sz w:val="24"/>
          <w:szCs w:val="24"/>
        </w:rPr>
        <w:t xml:space="preserve"> is required to be implemented in Inland Revenue’s new </w:t>
      </w:r>
      <w:r>
        <w:rPr>
          <w:rFonts w:ascii="Times New Roman" w:hAnsi="Times New Roman" w:cs="Times New Roman"/>
          <w:sz w:val="24"/>
          <w:szCs w:val="24"/>
        </w:rPr>
        <w:t>platform</w:t>
      </w:r>
      <w:r w:rsidRPr="00597570">
        <w:rPr>
          <w:rFonts w:ascii="Times New Roman" w:hAnsi="Times New Roman" w:cs="Times New Roman"/>
          <w:sz w:val="24"/>
          <w:szCs w:val="24"/>
        </w:rPr>
        <w:t xml:space="preserve"> in order to reduce the implementation costs. The new </w:t>
      </w:r>
      <w:r>
        <w:rPr>
          <w:rFonts w:ascii="Times New Roman" w:hAnsi="Times New Roman" w:cs="Times New Roman"/>
          <w:sz w:val="24"/>
          <w:szCs w:val="24"/>
        </w:rPr>
        <w:t>platform</w:t>
      </w:r>
      <w:r w:rsidRPr="00597570">
        <w:rPr>
          <w:rFonts w:ascii="Times New Roman" w:hAnsi="Times New Roman" w:cs="Times New Roman"/>
          <w:sz w:val="24"/>
          <w:szCs w:val="24"/>
        </w:rPr>
        <w:t xml:space="preserve"> is expected to be deployed for income tax on 1 April 2018 and this option will apply from then.</w:t>
      </w:r>
      <w:r>
        <w:rPr>
          <w:rFonts w:ascii="Times New Roman" w:hAnsi="Times New Roman" w:cs="Times New Roman"/>
          <w:sz w:val="24"/>
          <w:szCs w:val="24"/>
        </w:rPr>
        <w:t xml:space="preserve"> The compliance cost saving this option offers may also be useful for other types of income paid out by companies to related parties, and as an alternative to Resident Withholding Tax. Depending on the uptake of this option, officials may recommend its extension to other income types in the future. It may also be useful to extend it to partnerships in the future, based on a similar assessment. This wider use of the paying tax as agent proposal is not addressed in this </w:t>
      </w:r>
      <w:proofErr w:type="spellStart"/>
      <w:r>
        <w:rPr>
          <w:rFonts w:ascii="Times New Roman" w:hAnsi="Times New Roman" w:cs="Times New Roman"/>
          <w:sz w:val="24"/>
          <w:szCs w:val="24"/>
        </w:rPr>
        <w:t>RIS</w:t>
      </w:r>
      <w:proofErr w:type="spellEnd"/>
      <w:r>
        <w:rPr>
          <w:rFonts w:ascii="Times New Roman" w:hAnsi="Times New Roman" w:cs="Times New Roman"/>
          <w:sz w:val="24"/>
          <w:szCs w:val="24"/>
        </w:rPr>
        <w:t>.</w:t>
      </w:r>
    </w:p>
    <w:p w:rsidR="00350B5C" w:rsidRPr="00922871" w:rsidRDefault="00350B5C" w:rsidP="00334B6B">
      <w:pPr>
        <w:spacing w:after="0" w:line="240" w:lineRule="auto"/>
        <w:contextualSpacing/>
        <w:jc w:val="both"/>
        <w:rPr>
          <w:rFonts w:ascii="Times New Roman" w:hAnsi="Times New Roman" w:cs="Times New Roman"/>
          <w:sz w:val="24"/>
          <w:szCs w:val="24"/>
        </w:rPr>
      </w:pPr>
    </w:p>
    <w:p w:rsidR="00597570" w:rsidRDefault="00350B5C" w:rsidP="00336FA4">
      <w:pPr>
        <w:numPr>
          <w:ilvl w:val="0"/>
          <w:numId w:val="11"/>
        </w:numPr>
        <w:spacing w:after="0" w:line="240" w:lineRule="auto"/>
        <w:ind w:left="0" w:firstLine="0"/>
        <w:contextualSpacing/>
        <w:jc w:val="both"/>
        <w:rPr>
          <w:rFonts w:ascii="Times New Roman" w:hAnsi="Times New Roman" w:cs="Times New Roman"/>
          <w:sz w:val="24"/>
          <w:szCs w:val="24"/>
        </w:rPr>
      </w:pPr>
      <w:r w:rsidRPr="00922871">
        <w:rPr>
          <w:rFonts w:ascii="Times New Roman" w:hAnsi="Times New Roman" w:cs="Times New Roman"/>
          <w:sz w:val="24"/>
          <w:szCs w:val="24"/>
        </w:rPr>
        <w:t xml:space="preserve">The removal of the incremental late payment penalty </w:t>
      </w:r>
      <w:r w:rsidR="00922871" w:rsidRPr="00922871">
        <w:rPr>
          <w:rFonts w:ascii="Times New Roman" w:hAnsi="Times New Roman" w:cs="Times New Roman"/>
          <w:sz w:val="24"/>
          <w:szCs w:val="24"/>
        </w:rPr>
        <w:t xml:space="preserve">for GST </w:t>
      </w:r>
      <w:r w:rsidRPr="00922871">
        <w:rPr>
          <w:rFonts w:ascii="Times New Roman" w:hAnsi="Times New Roman" w:cs="Times New Roman"/>
          <w:sz w:val="24"/>
          <w:szCs w:val="24"/>
        </w:rPr>
        <w:t xml:space="preserve">will apply from when the new </w:t>
      </w:r>
      <w:r w:rsidR="00A14062">
        <w:rPr>
          <w:rFonts w:ascii="Times New Roman" w:hAnsi="Times New Roman" w:cs="Times New Roman"/>
          <w:sz w:val="24"/>
          <w:szCs w:val="24"/>
        </w:rPr>
        <w:t>platform</w:t>
      </w:r>
      <w:r w:rsidRPr="00922871">
        <w:rPr>
          <w:rFonts w:ascii="Times New Roman" w:hAnsi="Times New Roman" w:cs="Times New Roman"/>
          <w:sz w:val="24"/>
          <w:szCs w:val="24"/>
        </w:rPr>
        <w:t xml:space="preserve"> begins to administer </w:t>
      </w:r>
      <w:r w:rsidR="00922871" w:rsidRPr="00922871">
        <w:rPr>
          <w:rFonts w:ascii="Times New Roman" w:hAnsi="Times New Roman" w:cs="Times New Roman"/>
          <w:sz w:val="24"/>
          <w:szCs w:val="24"/>
        </w:rPr>
        <w:t>GST</w:t>
      </w:r>
      <w:r w:rsidR="00A14062">
        <w:rPr>
          <w:rFonts w:ascii="Times New Roman" w:hAnsi="Times New Roman" w:cs="Times New Roman"/>
          <w:sz w:val="24"/>
          <w:szCs w:val="24"/>
        </w:rPr>
        <w:t>,</w:t>
      </w:r>
      <w:r w:rsidR="00922871" w:rsidRPr="00922871">
        <w:rPr>
          <w:rFonts w:ascii="Times New Roman" w:hAnsi="Times New Roman" w:cs="Times New Roman"/>
          <w:sz w:val="24"/>
          <w:szCs w:val="24"/>
        </w:rPr>
        <w:t xml:space="preserve"> which is </w:t>
      </w:r>
      <w:r w:rsidRPr="00922871">
        <w:rPr>
          <w:rFonts w:ascii="Times New Roman" w:hAnsi="Times New Roman" w:cs="Times New Roman"/>
          <w:sz w:val="24"/>
          <w:szCs w:val="24"/>
        </w:rPr>
        <w:t xml:space="preserve">scheduled to be </w:t>
      </w:r>
      <w:r w:rsidR="00EB49EF" w:rsidRPr="00922871">
        <w:rPr>
          <w:rFonts w:ascii="Times New Roman" w:hAnsi="Times New Roman" w:cs="Times New Roman"/>
          <w:sz w:val="24"/>
          <w:szCs w:val="24"/>
        </w:rPr>
        <w:t xml:space="preserve">taxable periods beginning </w:t>
      </w:r>
      <w:r w:rsidRPr="00922871">
        <w:rPr>
          <w:rFonts w:ascii="Times New Roman" w:hAnsi="Times New Roman" w:cs="Times New Roman"/>
          <w:sz w:val="24"/>
          <w:szCs w:val="24"/>
        </w:rPr>
        <w:t>Feb</w:t>
      </w:r>
      <w:r w:rsidR="00EB49EF" w:rsidRPr="00922871">
        <w:rPr>
          <w:rFonts w:ascii="Times New Roman" w:hAnsi="Times New Roman" w:cs="Times New Roman"/>
          <w:sz w:val="24"/>
          <w:szCs w:val="24"/>
        </w:rPr>
        <w:t xml:space="preserve">ruary </w:t>
      </w:r>
      <w:r w:rsidRPr="00922871">
        <w:rPr>
          <w:rFonts w:ascii="Times New Roman" w:hAnsi="Times New Roman" w:cs="Times New Roman"/>
          <w:sz w:val="24"/>
          <w:szCs w:val="24"/>
        </w:rPr>
        <w:t>2017</w:t>
      </w:r>
      <w:r w:rsidR="00922871" w:rsidRPr="00922871">
        <w:rPr>
          <w:rFonts w:ascii="Times New Roman" w:hAnsi="Times New Roman" w:cs="Times New Roman"/>
          <w:sz w:val="24"/>
          <w:szCs w:val="24"/>
        </w:rPr>
        <w:t>.</w:t>
      </w:r>
      <w:r w:rsidR="00E03224">
        <w:rPr>
          <w:rFonts w:ascii="Times New Roman" w:hAnsi="Times New Roman" w:cs="Times New Roman"/>
          <w:sz w:val="24"/>
          <w:szCs w:val="24"/>
        </w:rPr>
        <w:t xml:space="preserve">  The first GST returns filed will be due after the 1 April 2017 application date of the new penalty rules.</w:t>
      </w:r>
      <w:r w:rsidR="00922871" w:rsidRPr="00922871">
        <w:rPr>
          <w:rFonts w:ascii="Times New Roman" w:hAnsi="Times New Roman" w:cs="Times New Roman"/>
          <w:sz w:val="24"/>
          <w:szCs w:val="24"/>
        </w:rPr>
        <w:t xml:space="preserve"> For income tax and Working for Families </w:t>
      </w:r>
      <w:r w:rsidR="00A14062">
        <w:rPr>
          <w:rFonts w:ascii="Times New Roman" w:hAnsi="Times New Roman" w:cs="Times New Roman"/>
          <w:sz w:val="24"/>
          <w:szCs w:val="24"/>
        </w:rPr>
        <w:t>T</w:t>
      </w:r>
      <w:r w:rsidR="00922871" w:rsidRPr="00922871">
        <w:rPr>
          <w:rFonts w:ascii="Times New Roman" w:hAnsi="Times New Roman" w:cs="Times New Roman"/>
          <w:sz w:val="24"/>
          <w:szCs w:val="24"/>
        </w:rPr>
        <w:t xml:space="preserve">ax </w:t>
      </w:r>
      <w:r w:rsidR="00A14062">
        <w:rPr>
          <w:rFonts w:ascii="Times New Roman" w:hAnsi="Times New Roman" w:cs="Times New Roman"/>
          <w:sz w:val="24"/>
          <w:szCs w:val="24"/>
        </w:rPr>
        <w:t>C</w:t>
      </w:r>
      <w:r w:rsidR="00922871" w:rsidRPr="00922871">
        <w:rPr>
          <w:rFonts w:ascii="Times New Roman" w:hAnsi="Times New Roman" w:cs="Times New Roman"/>
          <w:sz w:val="24"/>
          <w:szCs w:val="24"/>
        </w:rPr>
        <w:t xml:space="preserve">redits the removal of the incremental late payment penalty will apply </w:t>
      </w:r>
      <w:r w:rsidR="00EB49EF" w:rsidRPr="00922871">
        <w:rPr>
          <w:rFonts w:ascii="Times New Roman" w:hAnsi="Times New Roman" w:cs="Times New Roman"/>
          <w:sz w:val="24"/>
          <w:szCs w:val="24"/>
        </w:rPr>
        <w:t xml:space="preserve">from the income year </w:t>
      </w:r>
      <w:r w:rsidR="00336FA4">
        <w:rPr>
          <w:rFonts w:ascii="Times New Roman" w:hAnsi="Times New Roman" w:cs="Times New Roman"/>
          <w:sz w:val="24"/>
          <w:szCs w:val="24"/>
        </w:rPr>
        <w:t xml:space="preserve">beginning 1 </w:t>
      </w:r>
      <w:r w:rsidRPr="00922871">
        <w:rPr>
          <w:rFonts w:ascii="Times New Roman" w:hAnsi="Times New Roman" w:cs="Times New Roman"/>
          <w:sz w:val="24"/>
          <w:szCs w:val="24"/>
        </w:rPr>
        <w:t>April 2017</w:t>
      </w:r>
      <w:r w:rsidR="00EB49EF" w:rsidRPr="00922871">
        <w:rPr>
          <w:rFonts w:ascii="Times New Roman" w:hAnsi="Times New Roman" w:cs="Times New Roman"/>
          <w:sz w:val="24"/>
          <w:szCs w:val="24"/>
        </w:rPr>
        <w:t>.</w:t>
      </w:r>
    </w:p>
    <w:p w:rsidR="00336FA4" w:rsidRDefault="00336FA4" w:rsidP="00336FA4">
      <w:pPr>
        <w:contextualSpacing/>
        <w:rPr>
          <w:rFonts w:ascii="Times New Roman" w:hAnsi="Times New Roman" w:cs="Times New Roman"/>
          <w:sz w:val="24"/>
          <w:szCs w:val="24"/>
        </w:rPr>
      </w:pPr>
    </w:p>
    <w:p w:rsidR="00420D8B" w:rsidRPr="005D3931" w:rsidRDefault="00420D8B" w:rsidP="008D4D61">
      <w:pPr>
        <w:spacing w:after="0" w:line="240" w:lineRule="auto"/>
        <w:jc w:val="both"/>
        <w:rPr>
          <w:rFonts w:ascii="Times New Roman" w:hAnsi="Times New Roman" w:cs="Times New Roman"/>
          <w:sz w:val="24"/>
          <w:szCs w:val="24"/>
        </w:rPr>
      </w:pPr>
    </w:p>
    <w:p w:rsidR="00043BF2" w:rsidRPr="005D3931" w:rsidRDefault="00A74A32" w:rsidP="002D0AC2">
      <w:pPr>
        <w:pStyle w:val="Heading1"/>
      </w:pPr>
      <w:bookmarkStart w:id="13" w:name="_Toc444145600"/>
      <w:r w:rsidRPr="005D3931">
        <w:t>M</w:t>
      </w:r>
      <w:r w:rsidR="00F10A4C" w:rsidRPr="005D3931">
        <w:t>ONITORING, EVALUATION AND REVIEW</w:t>
      </w:r>
      <w:bookmarkEnd w:id="13"/>
      <w:r w:rsidR="00C13F6D" w:rsidRPr="005D3931">
        <w:t xml:space="preserve"> </w:t>
      </w:r>
    </w:p>
    <w:p w:rsidR="008D4D61" w:rsidRPr="005D3931" w:rsidRDefault="008D4D61" w:rsidP="008D4D61">
      <w:pPr>
        <w:pStyle w:val="ListParagraph"/>
        <w:spacing w:after="0" w:line="240" w:lineRule="auto"/>
        <w:ind w:left="0"/>
        <w:jc w:val="both"/>
        <w:rPr>
          <w:rFonts w:ascii="Times New Roman" w:hAnsi="Times New Roman" w:cs="Times New Roman"/>
          <w:sz w:val="24"/>
          <w:szCs w:val="24"/>
        </w:rPr>
      </w:pPr>
    </w:p>
    <w:p w:rsidR="00A74A32" w:rsidRPr="005D3931" w:rsidRDefault="00A74A32" w:rsidP="008D4D61">
      <w:pPr>
        <w:pStyle w:val="ListParagraph"/>
        <w:numPr>
          <w:ilvl w:val="0"/>
          <w:numId w:val="11"/>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lang w:val="en-AU"/>
        </w:rPr>
        <w:t>Inland Revenue will monitor the outcomes pursuant to the Generic Tax Policy Process ("</w:t>
      </w:r>
      <w:proofErr w:type="spellStart"/>
      <w:r w:rsidRPr="005D3931">
        <w:rPr>
          <w:rFonts w:ascii="Times New Roman" w:hAnsi="Times New Roman" w:cs="Times New Roman"/>
          <w:sz w:val="24"/>
          <w:szCs w:val="24"/>
          <w:lang w:val="en-AU"/>
        </w:rPr>
        <w:t>GTTP</w:t>
      </w:r>
      <w:proofErr w:type="spellEnd"/>
      <w:r w:rsidRPr="005D3931">
        <w:rPr>
          <w:rFonts w:ascii="Times New Roman" w:hAnsi="Times New Roman" w:cs="Times New Roman"/>
          <w:sz w:val="24"/>
          <w:szCs w:val="24"/>
          <w:lang w:val="en-AU"/>
        </w:rPr>
        <w:t xml:space="preserve">") to confirm that they match the policy objectives. The </w:t>
      </w:r>
      <w:proofErr w:type="spellStart"/>
      <w:r w:rsidRPr="005D3931">
        <w:rPr>
          <w:rFonts w:ascii="Times New Roman" w:hAnsi="Times New Roman" w:cs="Times New Roman"/>
          <w:sz w:val="24"/>
          <w:szCs w:val="24"/>
          <w:lang w:val="en-AU"/>
        </w:rPr>
        <w:t>GTPP</w:t>
      </w:r>
      <w:proofErr w:type="spellEnd"/>
      <w:r w:rsidRPr="005D3931">
        <w:rPr>
          <w:rFonts w:ascii="Times New Roman" w:hAnsi="Times New Roman" w:cs="Times New Roman"/>
          <w:sz w:val="24"/>
          <w:szCs w:val="24"/>
          <w:lang w:val="en-AU"/>
        </w:rPr>
        <w:t xml:space="preserve"> is a multi-stage policy process that has been used to design tax policy in New Zealand since 1995.</w:t>
      </w:r>
    </w:p>
    <w:p w:rsidR="008D4D61" w:rsidRPr="005D3931" w:rsidRDefault="008D4D61" w:rsidP="008D4D61">
      <w:pPr>
        <w:pStyle w:val="ListParagraph"/>
        <w:spacing w:after="0" w:line="240" w:lineRule="auto"/>
        <w:ind w:left="0"/>
        <w:jc w:val="both"/>
        <w:rPr>
          <w:rFonts w:ascii="Times New Roman" w:hAnsi="Times New Roman" w:cs="Times New Roman"/>
          <w:sz w:val="24"/>
          <w:szCs w:val="24"/>
        </w:rPr>
      </w:pPr>
    </w:p>
    <w:p w:rsidR="00A74A32" w:rsidRPr="005D3931" w:rsidRDefault="00A74A32" w:rsidP="008D4D61">
      <w:pPr>
        <w:pStyle w:val="ListParagraph"/>
        <w:numPr>
          <w:ilvl w:val="0"/>
          <w:numId w:val="11"/>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lang w:val="en-AU"/>
        </w:rPr>
        <w:t>The final step in the process is the implementation and review stage, which involves post-implementation review of legislation, and the identification of remedial issues. Post-implementation review is expected to occur around 12 months after implementation. Opportunities for external consultation are built into this stage. Any necessary changes identified as a result of the review would be recommended for addition to the Government's tax policy work programme.</w:t>
      </w:r>
    </w:p>
    <w:p w:rsidR="00011DEA" w:rsidRPr="005D3931" w:rsidRDefault="00011DEA" w:rsidP="00011DEA">
      <w:pPr>
        <w:pStyle w:val="ListParagraph"/>
        <w:spacing w:after="0" w:line="240" w:lineRule="auto"/>
        <w:ind w:left="0"/>
        <w:jc w:val="both"/>
        <w:rPr>
          <w:rFonts w:ascii="Times New Roman" w:hAnsi="Times New Roman" w:cs="Times New Roman"/>
          <w:sz w:val="24"/>
          <w:szCs w:val="24"/>
        </w:rPr>
      </w:pPr>
    </w:p>
    <w:p w:rsidR="001D2A4E" w:rsidRPr="0043243C" w:rsidRDefault="003B29B9" w:rsidP="001D2A4E">
      <w:pPr>
        <w:pStyle w:val="ListParagraph"/>
        <w:numPr>
          <w:ilvl w:val="0"/>
          <w:numId w:val="11"/>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rPr>
        <w:t xml:space="preserve">Also, </w:t>
      </w:r>
      <w:r w:rsidR="001D2A4E" w:rsidRPr="005D3931">
        <w:rPr>
          <w:rFonts w:ascii="Times New Roman" w:hAnsi="Times New Roman" w:cs="Times New Roman"/>
          <w:sz w:val="24"/>
          <w:szCs w:val="24"/>
        </w:rPr>
        <w:t xml:space="preserve">as part of </w:t>
      </w:r>
      <w:r w:rsidR="00A453BE">
        <w:rPr>
          <w:rFonts w:ascii="Times New Roman" w:hAnsi="Times New Roman" w:cs="Times New Roman"/>
          <w:sz w:val="24"/>
          <w:szCs w:val="24"/>
        </w:rPr>
        <w:t>Inland Revenue’s b</w:t>
      </w:r>
      <w:r w:rsidR="001D2A4E" w:rsidRPr="005D3931">
        <w:rPr>
          <w:rFonts w:ascii="Times New Roman" w:hAnsi="Times New Roman" w:cs="Times New Roman"/>
          <w:sz w:val="24"/>
          <w:szCs w:val="24"/>
        </w:rPr>
        <w:t xml:space="preserve">usiness transformation </w:t>
      </w:r>
      <w:r w:rsidR="00A453BE">
        <w:rPr>
          <w:rFonts w:ascii="Times New Roman" w:hAnsi="Times New Roman" w:cs="Times New Roman"/>
          <w:sz w:val="24"/>
          <w:szCs w:val="24"/>
        </w:rPr>
        <w:t xml:space="preserve">programme </w:t>
      </w:r>
      <w:r w:rsidR="001D2A4E" w:rsidRPr="005D3931">
        <w:rPr>
          <w:rFonts w:ascii="Times New Roman" w:hAnsi="Times New Roman" w:cs="Times New Roman"/>
          <w:sz w:val="24"/>
          <w:szCs w:val="24"/>
        </w:rPr>
        <w:t xml:space="preserve">a </w:t>
      </w:r>
      <w:r w:rsidR="001D2A4E" w:rsidRPr="005D3931">
        <w:rPr>
          <w:rFonts w:ascii="Times New Roman" w:hAnsi="Times New Roman" w:cs="Times New Roman"/>
          <w:sz w:val="24"/>
          <w:szCs w:val="24"/>
          <w:lang w:val="en-AU"/>
        </w:rPr>
        <w:t>benefit management strategy has been developed and endorsed. The strategy provides the framework for managing bene</w:t>
      </w:r>
      <w:r w:rsidR="000E4599">
        <w:rPr>
          <w:rFonts w:ascii="Times New Roman" w:hAnsi="Times New Roman" w:cs="Times New Roman"/>
          <w:sz w:val="24"/>
          <w:szCs w:val="24"/>
          <w:lang w:val="en-AU"/>
        </w:rPr>
        <w:t>fits within the programme, and:</w:t>
      </w:r>
    </w:p>
    <w:p w:rsidR="0043243C" w:rsidRPr="005D3931" w:rsidRDefault="0043243C" w:rsidP="0043243C">
      <w:pPr>
        <w:pStyle w:val="ListParagraph"/>
        <w:spacing w:after="0" w:line="240" w:lineRule="auto"/>
        <w:ind w:left="0"/>
        <w:jc w:val="both"/>
        <w:rPr>
          <w:rFonts w:ascii="Times New Roman" w:hAnsi="Times New Roman" w:cs="Times New Roman"/>
          <w:sz w:val="24"/>
          <w:szCs w:val="24"/>
        </w:rPr>
      </w:pPr>
    </w:p>
    <w:p w:rsidR="001D2A4E" w:rsidRDefault="001D2A4E" w:rsidP="00D04D6B">
      <w:pPr>
        <w:pStyle w:val="Default"/>
        <w:ind w:left="709" w:hanging="283"/>
        <w:rPr>
          <w:rFonts w:ascii="Times New Roman" w:hAnsi="Times New Roman" w:cs="Times New Roman"/>
          <w:color w:val="auto"/>
          <w:lang w:val="en-AU"/>
        </w:rPr>
      </w:pPr>
      <w:r w:rsidRPr="005D3931">
        <w:rPr>
          <w:rFonts w:ascii="Times New Roman" w:hAnsi="Times New Roman" w:cs="Times New Roman"/>
          <w:color w:val="auto"/>
          <w:lang w:val="en-AU"/>
        </w:rPr>
        <w:t xml:space="preserve">• defines benefit components; </w:t>
      </w:r>
    </w:p>
    <w:p w:rsidR="00D04D6B" w:rsidRPr="005D3931" w:rsidRDefault="00D04D6B" w:rsidP="00D04D6B">
      <w:pPr>
        <w:pStyle w:val="Default"/>
        <w:rPr>
          <w:rFonts w:ascii="Times New Roman" w:hAnsi="Times New Roman" w:cs="Times New Roman"/>
          <w:color w:val="auto"/>
          <w:lang w:val="en-AU"/>
        </w:rPr>
      </w:pPr>
    </w:p>
    <w:p w:rsidR="001D2A4E" w:rsidRDefault="001D2A4E" w:rsidP="00D04D6B">
      <w:pPr>
        <w:pStyle w:val="Default"/>
        <w:ind w:left="709" w:hanging="283"/>
        <w:rPr>
          <w:rFonts w:ascii="Times New Roman" w:hAnsi="Times New Roman" w:cs="Times New Roman"/>
          <w:color w:val="auto"/>
          <w:lang w:val="en-AU"/>
        </w:rPr>
      </w:pPr>
      <w:r w:rsidRPr="005D3931">
        <w:rPr>
          <w:rFonts w:ascii="Times New Roman" w:hAnsi="Times New Roman" w:cs="Times New Roman"/>
          <w:color w:val="auto"/>
          <w:lang w:val="en-AU"/>
        </w:rPr>
        <w:t xml:space="preserve">• details how programme benefits will be quantified and measured; </w:t>
      </w:r>
    </w:p>
    <w:p w:rsidR="00D04D6B" w:rsidRPr="005D3931" w:rsidRDefault="00D04D6B" w:rsidP="00D04D6B">
      <w:pPr>
        <w:pStyle w:val="Default"/>
        <w:rPr>
          <w:rFonts w:ascii="Times New Roman" w:hAnsi="Times New Roman" w:cs="Times New Roman"/>
          <w:color w:val="auto"/>
          <w:lang w:val="en-AU"/>
        </w:rPr>
      </w:pPr>
    </w:p>
    <w:p w:rsidR="001D2A4E" w:rsidRDefault="001D2A4E" w:rsidP="00D04D6B">
      <w:pPr>
        <w:pStyle w:val="Default"/>
        <w:ind w:left="709" w:hanging="283"/>
        <w:rPr>
          <w:rFonts w:ascii="Times New Roman" w:hAnsi="Times New Roman" w:cs="Times New Roman"/>
          <w:color w:val="auto"/>
          <w:lang w:val="en-AU"/>
        </w:rPr>
      </w:pPr>
      <w:r w:rsidRPr="005D3931">
        <w:rPr>
          <w:rFonts w:ascii="Times New Roman" w:hAnsi="Times New Roman" w:cs="Times New Roman"/>
          <w:color w:val="auto"/>
          <w:lang w:val="en-AU"/>
        </w:rPr>
        <w:t xml:space="preserve">• documents how progress will be tracked; and </w:t>
      </w:r>
    </w:p>
    <w:p w:rsidR="00D04D6B" w:rsidRPr="005D3931" w:rsidRDefault="00D04D6B" w:rsidP="00D04D6B">
      <w:pPr>
        <w:pStyle w:val="Default"/>
        <w:rPr>
          <w:rFonts w:ascii="Times New Roman" w:hAnsi="Times New Roman" w:cs="Times New Roman"/>
          <w:color w:val="auto"/>
          <w:lang w:val="en-AU"/>
        </w:rPr>
      </w:pPr>
    </w:p>
    <w:p w:rsidR="00011DEA" w:rsidRPr="005D3931" w:rsidRDefault="001D2A4E" w:rsidP="00D04D6B">
      <w:pPr>
        <w:pStyle w:val="Default"/>
        <w:ind w:left="709" w:hanging="283"/>
        <w:rPr>
          <w:rFonts w:ascii="Times New Roman" w:hAnsi="Times New Roman" w:cs="Times New Roman"/>
          <w:color w:val="auto"/>
          <w:lang w:val="en-AU"/>
        </w:rPr>
      </w:pPr>
      <w:r w:rsidRPr="005D3931">
        <w:rPr>
          <w:rFonts w:ascii="Times New Roman" w:hAnsi="Times New Roman" w:cs="Times New Roman"/>
          <w:color w:val="auto"/>
          <w:lang w:val="en-AU"/>
        </w:rPr>
        <w:t xml:space="preserve">• describes what governance arrangements will be in place. </w:t>
      </w:r>
    </w:p>
    <w:p w:rsidR="00011DEA" w:rsidRPr="005D3931" w:rsidRDefault="00011DEA" w:rsidP="00D04D6B">
      <w:pPr>
        <w:pStyle w:val="Default"/>
        <w:rPr>
          <w:rFonts w:ascii="Times New Roman" w:hAnsi="Times New Roman" w:cs="Times New Roman"/>
          <w:color w:val="auto"/>
          <w:lang w:val="en-AU"/>
        </w:rPr>
      </w:pPr>
    </w:p>
    <w:p w:rsidR="001D2A4E" w:rsidRPr="00420D8B" w:rsidRDefault="001D2A4E" w:rsidP="001D2A4E">
      <w:pPr>
        <w:pStyle w:val="ListParagraph"/>
        <w:numPr>
          <w:ilvl w:val="0"/>
          <w:numId w:val="11"/>
        </w:numPr>
        <w:spacing w:after="0" w:line="240" w:lineRule="auto"/>
        <w:ind w:left="0" w:firstLine="0"/>
        <w:jc w:val="both"/>
        <w:rPr>
          <w:rFonts w:ascii="Times New Roman" w:hAnsi="Times New Roman" w:cs="Times New Roman"/>
          <w:sz w:val="24"/>
          <w:szCs w:val="24"/>
          <w:lang w:val="en-AU"/>
        </w:rPr>
      </w:pPr>
      <w:r w:rsidRPr="00420D8B">
        <w:rPr>
          <w:rFonts w:ascii="Times New Roman" w:hAnsi="Times New Roman" w:cs="Times New Roman"/>
          <w:sz w:val="24"/>
          <w:szCs w:val="24"/>
          <w:lang w:val="en-AU"/>
        </w:rPr>
        <w:t>Both internal and external stakeholders will be actively involved in the on-going assessment of timeframes, benefits identification and benefits realisation for each stage of the transformation programme.</w:t>
      </w:r>
    </w:p>
    <w:p w:rsidR="00BF4A25" w:rsidRPr="005D3931" w:rsidRDefault="00BF4A25">
      <w:pPr>
        <w:rPr>
          <w:rFonts w:ascii="Times New Roman" w:hAnsi="Times New Roman" w:cs="Times New Roman"/>
          <w:sz w:val="24"/>
          <w:szCs w:val="24"/>
          <w:lang w:val="en-AU"/>
        </w:rPr>
      </w:pPr>
      <w:r w:rsidRPr="005D3931">
        <w:rPr>
          <w:rFonts w:ascii="Times New Roman" w:hAnsi="Times New Roman" w:cs="Times New Roman"/>
          <w:sz w:val="24"/>
          <w:szCs w:val="24"/>
          <w:lang w:val="en-AU"/>
        </w:rPr>
        <w:br w:type="page"/>
      </w:r>
    </w:p>
    <w:p w:rsidR="00BF4A25" w:rsidRPr="004B7C5D" w:rsidRDefault="00061BE6" w:rsidP="004B7C5D">
      <w:pPr>
        <w:pStyle w:val="Heading1"/>
      </w:pPr>
      <w:bookmarkStart w:id="14" w:name="_Toc444145601"/>
      <w:r w:rsidRPr="004B7C5D">
        <w:t>APPENDIX</w:t>
      </w:r>
      <w:r w:rsidR="004B7C5D" w:rsidRPr="004B7C5D">
        <w:t xml:space="preserve"> </w:t>
      </w:r>
      <w:proofErr w:type="gramStart"/>
      <w:r w:rsidR="008B1513">
        <w:t>A</w:t>
      </w:r>
      <w:proofErr w:type="gramEnd"/>
      <w:r w:rsidR="004B7C5D" w:rsidRPr="004B7C5D">
        <w:t xml:space="preserve"> </w:t>
      </w:r>
      <w:r w:rsidR="00165D24">
        <w:t>–</w:t>
      </w:r>
      <w:r w:rsidR="004B7C5D" w:rsidRPr="004B7C5D">
        <w:t xml:space="preserve"> </w:t>
      </w:r>
      <w:r w:rsidRPr="004B7C5D">
        <w:t>CHANGES TO PROVISIONAL TAX TO INCREASE CERTAINTY AND REDUCE COSTS</w:t>
      </w:r>
      <w:bookmarkEnd w:id="14"/>
    </w:p>
    <w:p w:rsidR="00311B0C" w:rsidRPr="00311B0C" w:rsidRDefault="00311B0C" w:rsidP="0061206C">
      <w:pPr>
        <w:spacing w:after="0" w:line="240" w:lineRule="auto"/>
        <w:jc w:val="both"/>
        <w:rPr>
          <w:rFonts w:ascii="Times New Roman" w:hAnsi="Times New Roman" w:cs="Times New Roman"/>
          <w:sz w:val="24"/>
          <w:szCs w:val="24"/>
        </w:rPr>
      </w:pPr>
    </w:p>
    <w:p w:rsidR="00311B0C" w:rsidRPr="0075633B" w:rsidRDefault="00311B0C" w:rsidP="00311B0C">
      <w:pPr>
        <w:spacing w:after="0" w:line="240" w:lineRule="auto"/>
        <w:jc w:val="both"/>
        <w:rPr>
          <w:rFonts w:ascii="Times New Roman" w:hAnsi="Times New Roman" w:cs="Times New Roman"/>
          <w:b/>
          <w:i/>
          <w:sz w:val="24"/>
          <w:szCs w:val="24"/>
        </w:rPr>
      </w:pPr>
      <w:r w:rsidRPr="0075633B">
        <w:rPr>
          <w:rFonts w:ascii="Times New Roman" w:hAnsi="Times New Roman" w:cs="Times New Roman"/>
          <w:b/>
          <w:i/>
          <w:sz w:val="24"/>
          <w:szCs w:val="24"/>
        </w:rPr>
        <w:t>Status Quo and problem definition</w:t>
      </w:r>
    </w:p>
    <w:p w:rsidR="00311B0C" w:rsidRPr="00311B0C" w:rsidRDefault="00311B0C" w:rsidP="003771CA">
      <w:pPr>
        <w:spacing w:after="0" w:line="240" w:lineRule="auto"/>
        <w:jc w:val="both"/>
        <w:rPr>
          <w:rFonts w:ascii="Times New Roman" w:hAnsi="Times New Roman" w:cs="Times New Roman"/>
          <w:sz w:val="24"/>
          <w:szCs w:val="24"/>
        </w:rPr>
      </w:pPr>
    </w:p>
    <w:p w:rsidR="0061206C" w:rsidRDefault="0061206C" w:rsidP="00D22583">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There are </w:t>
      </w:r>
      <w:r w:rsidR="005F230A">
        <w:rPr>
          <w:rFonts w:ascii="Times New Roman" w:hAnsi="Times New Roman" w:cs="Times New Roman"/>
          <w:sz w:val="24"/>
          <w:szCs w:val="24"/>
        </w:rPr>
        <w:t xml:space="preserve">around </w:t>
      </w:r>
      <w:r w:rsidRPr="00311B0C">
        <w:rPr>
          <w:rFonts w:ascii="Times New Roman" w:hAnsi="Times New Roman" w:cs="Times New Roman"/>
          <w:sz w:val="24"/>
          <w:szCs w:val="24"/>
        </w:rPr>
        <w:t>300,000 provisional taxpayers in New Zealand</w:t>
      </w:r>
      <w:r w:rsidR="00D22583">
        <w:rPr>
          <w:rFonts w:ascii="Times New Roman" w:hAnsi="Times New Roman" w:cs="Times New Roman"/>
          <w:sz w:val="24"/>
          <w:szCs w:val="24"/>
        </w:rPr>
        <w:t>:</w:t>
      </w:r>
    </w:p>
    <w:p w:rsidR="00D22583" w:rsidRPr="00311B0C" w:rsidRDefault="00D22583" w:rsidP="00D22583">
      <w:pPr>
        <w:pStyle w:val="Bullet-list"/>
        <w:spacing w:after="0" w:line="240" w:lineRule="auto"/>
        <w:jc w:val="both"/>
        <w:rPr>
          <w:rFonts w:ascii="Times New Roman" w:hAnsi="Times New Roman"/>
          <w:sz w:val="24"/>
          <w:szCs w:val="24"/>
        </w:rPr>
      </w:pPr>
    </w:p>
    <w:p w:rsidR="003771CA" w:rsidRDefault="0061206C" w:rsidP="00D22583">
      <w:pPr>
        <w:pStyle w:val="Bullet-list"/>
        <w:numPr>
          <w:ilvl w:val="0"/>
          <w:numId w:val="21"/>
        </w:numPr>
        <w:spacing w:after="0" w:line="240" w:lineRule="auto"/>
        <w:jc w:val="both"/>
        <w:rPr>
          <w:rFonts w:ascii="Times New Roman" w:hAnsi="Times New Roman"/>
          <w:sz w:val="24"/>
          <w:szCs w:val="24"/>
        </w:rPr>
      </w:pPr>
      <w:r w:rsidRPr="00311B0C">
        <w:rPr>
          <w:rFonts w:ascii="Times New Roman" w:hAnsi="Times New Roman"/>
          <w:sz w:val="24"/>
          <w:szCs w:val="24"/>
        </w:rPr>
        <w:t>24% of Government revenue comes from provisional tax</w:t>
      </w:r>
    </w:p>
    <w:p w:rsidR="00D22583" w:rsidRPr="00311B0C" w:rsidRDefault="00D22583" w:rsidP="00D22583">
      <w:pPr>
        <w:pStyle w:val="Bullet-list"/>
        <w:spacing w:after="0" w:line="240" w:lineRule="auto"/>
        <w:jc w:val="both"/>
        <w:rPr>
          <w:rFonts w:ascii="Times New Roman" w:hAnsi="Times New Roman"/>
          <w:sz w:val="24"/>
          <w:szCs w:val="24"/>
        </w:rPr>
      </w:pPr>
    </w:p>
    <w:p w:rsidR="0061206C" w:rsidRDefault="0061206C" w:rsidP="00D22583">
      <w:pPr>
        <w:pStyle w:val="Bullet-list"/>
        <w:numPr>
          <w:ilvl w:val="0"/>
          <w:numId w:val="21"/>
        </w:numPr>
        <w:spacing w:after="0" w:line="240" w:lineRule="auto"/>
        <w:jc w:val="both"/>
        <w:rPr>
          <w:rFonts w:ascii="Times New Roman" w:hAnsi="Times New Roman"/>
          <w:sz w:val="24"/>
          <w:szCs w:val="24"/>
        </w:rPr>
      </w:pPr>
      <w:r w:rsidRPr="00311B0C">
        <w:rPr>
          <w:rFonts w:ascii="Times New Roman" w:hAnsi="Times New Roman"/>
          <w:sz w:val="24"/>
          <w:szCs w:val="24"/>
        </w:rPr>
        <w:t>75% of provisional taxpayers are individuals</w:t>
      </w:r>
    </w:p>
    <w:p w:rsidR="00D22583" w:rsidRPr="00311B0C" w:rsidRDefault="00D22583" w:rsidP="00D22583">
      <w:pPr>
        <w:pStyle w:val="Bullet-list"/>
        <w:spacing w:after="0" w:line="240" w:lineRule="auto"/>
        <w:jc w:val="both"/>
        <w:rPr>
          <w:rFonts w:ascii="Times New Roman" w:hAnsi="Times New Roman"/>
          <w:sz w:val="24"/>
          <w:szCs w:val="24"/>
        </w:rPr>
      </w:pPr>
    </w:p>
    <w:p w:rsidR="0061206C" w:rsidRDefault="0061206C" w:rsidP="00D22583">
      <w:pPr>
        <w:pStyle w:val="Bullet-list"/>
        <w:numPr>
          <w:ilvl w:val="0"/>
          <w:numId w:val="21"/>
        </w:numPr>
        <w:spacing w:after="0" w:line="240" w:lineRule="auto"/>
        <w:jc w:val="both"/>
        <w:rPr>
          <w:rFonts w:ascii="Times New Roman" w:hAnsi="Times New Roman"/>
          <w:sz w:val="24"/>
          <w:szCs w:val="24"/>
        </w:rPr>
      </w:pPr>
      <w:r w:rsidRPr="00311B0C">
        <w:rPr>
          <w:rFonts w:ascii="Times New Roman" w:hAnsi="Times New Roman"/>
          <w:sz w:val="24"/>
          <w:szCs w:val="24"/>
        </w:rPr>
        <w:t>75% of provisional tax payments come from companies</w:t>
      </w:r>
    </w:p>
    <w:p w:rsidR="00D22583" w:rsidRPr="00311B0C" w:rsidRDefault="00D22583" w:rsidP="00D22583">
      <w:pPr>
        <w:pStyle w:val="Bullet-list"/>
        <w:tabs>
          <w:tab w:val="left" w:pos="567"/>
        </w:tabs>
        <w:spacing w:after="0" w:line="240" w:lineRule="auto"/>
        <w:jc w:val="both"/>
        <w:rPr>
          <w:rFonts w:ascii="Times New Roman" w:hAnsi="Times New Roman"/>
          <w:sz w:val="24"/>
          <w:szCs w:val="24"/>
        </w:rPr>
      </w:pPr>
    </w:p>
    <w:p w:rsidR="00BF4A25" w:rsidRPr="00311B0C" w:rsidRDefault="0061206C" w:rsidP="00D22583">
      <w:pPr>
        <w:pStyle w:val="Bullet-list"/>
        <w:numPr>
          <w:ilvl w:val="0"/>
          <w:numId w:val="21"/>
        </w:numPr>
        <w:spacing w:after="0" w:line="240" w:lineRule="auto"/>
        <w:jc w:val="both"/>
        <w:rPr>
          <w:rFonts w:ascii="Times New Roman" w:hAnsi="Times New Roman"/>
          <w:sz w:val="24"/>
          <w:szCs w:val="24"/>
        </w:rPr>
      </w:pPr>
      <w:r w:rsidRPr="00311B0C">
        <w:rPr>
          <w:rFonts w:ascii="Times New Roman" w:hAnsi="Times New Roman"/>
          <w:sz w:val="24"/>
          <w:szCs w:val="24"/>
        </w:rPr>
        <w:t>The top 5% of companies represent approximately 43% of the total provisional tax collected.</w:t>
      </w:r>
    </w:p>
    <w:p w:rsidR="006B5E12" w:rsidRPr="00311B0C" w:rsidRDefault="006B5E12" w:rsidP="003771CA">
      <w:pPr>
        <w:spacing w:after="0" w:line="240" w:lineRule="auto"/>
        <w:jc w:val="both"/>
        <w:rPr>
          <w:rFonts w:ascii="Times New Roman" w:hAnsi="Times New Roman" w:cs="Times New Roman"/>
          <w:sz w:val="24"/>
          <w:szCs w:val="24"/>
        </w:rPr>
      </w:pPr>
    </w:p>
    <w:p w:rsidR="0059151D" w:rsidRPr="00311B0C" w:rsidRDefault="0059151D" w:rsidP="003F2666">
      <w:pPr>
        <w:pStyle w:val="Bullet-list"/>
        <w:spacing w:after="0" w:line="240" w:lineRule="auto"/>
        <w:ind w:left="0" w:firstLine="0"/>
        <w:jc w:val="both"/>
        <w:rPr>
          <w:rFonts w:ascii="Times New Roman" w:hAnsi="Times New Roman"/>
          <w:sz w:val="24"/>
          <w:szCs w:val="24"/>
        </w:rPr>
      </w:pPr>
      <w:r w:rsidRPr="00311B0C">
        <w:rPr>
          <w:rFonts w:ascii="Times New Roman" w:hAnsi="Times New Roman"/>
          <w:sz w:val="24"/>
          <w:szCs w:val="24"/>
        </w:rPr>
        <w:t>Currently taxpayers have three options for calculating provisional tax:</w:t>
      </w:r>
    </w:p>
    <w:p w:rsidR="0059151D" w:rsidRPr="00311B0C" w:rsidRDefault="0059151D" w:rsidP="003771CA">
      <w:pPr>
        <w:pStyle w:val="Bullet-list"/>
        <w:spacing w:after="0" w:line="240" w:lineRule="auto"/>
        <w:ind w:left="0" w:firstLine="0"/>
        <w:jc w:val="both"/>
        <w:rPr>
          <w:rFonts w:ascii="Times New Roman" w:hAnsi="Times New Roman"/>
          <w:sz w:val="24"/>
          <w:szCs w:val="24"/>
        </w:rPr>
      </w:pPr>
    </w:p>
    <w:p w:rsidR="0059151D" w:rsidRDefault="0059151D" w:rsidP="003771CA">
      <w:pPr>
        <w:pStyle w:val="Bullet-list"/>
        <w:numPr>
          <w:ilvl w:val="0"/>
          <w:numId w:val="21"/>
        </w:numPr>
        <w:spacing w:after="0" w:line="240" w:lineRule="auto"/>
        <w:jc w:val="both"/>
        <w:rPr>
          <w:rFonts w:ascii="Times New Roman" w:hAnsi="Times New Roman"/>
          <w:sz w:val="24"/>
          <w:szCs w:val="24"/>
        </w:rPr>
      </w:pPr>
      <w:r w:rsidRPr="00311B0C">
        <w:rPr>
          <w:rFonts w:ascii="Times New Roman" w:hAnsi="Times New Roman"/>
          <w:sz w:val="24"/>
          <w:szCs w:val="24"/>
        </w:rPr>
        <w:t>The standard (or uplift) option which is based on the prior year’s residual income tax (</w:t>
      </w:r>
      <w:proofErr w:type="spellStart"/>
      <w:r w:rsidRPr="00311B0C">
        <w:rPr>
          <w:rFonts w:ascii="Times New Roman" w:hAnsi="Times New Roman"/>
          <w:sz w:val="24"/>
          <w:szCs w:val="24"/>
        </w:rPr>
        <w:t>RIT</w:t>
      </w:r>
      <w:proofErr w:type="spellEnd"/>
      <w:r w:rsidRPr="00311B0C">
        <w:rPr>
          <w:rFonts w:ascii="Times New Roman" w:hAnsi="Times New Roman"/>
          <w:sz w:val="24"/>
          <w:szCs w:val="24"/>
        </w:rPr>
        <w:t>) of the taxpayer plus 5%</w:t>
      </w:r>
      <w:r w:rsidR="00DC53C9">
        <w:rPr>
          <w:rFonts w:ascii="Times New Roman" w:hAnsi="Times New Roman"/>
          <w:sz w:val="24"/>
          <w:szCs w:val="24"/>
        </w:rPr>
        <w:t>,</w:t>
      </w:r>
      <w:r w:rsidRPr="00311B0C">
        <w:rPr>
          <w:rFonts w:ascii="Times New Roman" w:hAnsi="Times New Roman"/>
          <w:sz w:val="24"/>
          <w:szCs w:val="24"/>
        </w:rPr>
        <w:t xml:space="preserve"> or the year previous to the prior year </w:t>
      </w:r>
      <w:proofErr w:type="spellStart"/>
      <w:r w:rsidRPr="00311B0C">
        <w:rPr>
          <w:rFonts w:ascii="Times New Roman" w:hAnsi="Times New Roman"/>
          <w:sz w:val="24"/>
          <w:szCs w:val="24"/>
        </w:rPr>
        <w:t>RIT</w:t>
      </w:r>
      <w:proofErr w:type="spellEnd"/>
      <w:r w:rsidRPr="00311B0C">
        <w:rPr>
          <w:rFonts w:ascii="Times New Roman" w:hAnsi="Times New Roman"/>
          <w:sz w:val="24"/>
          <w:szCs w:val="24"/>
        </w:rPr>
        <w:t xml:space="preserve"> plus 10%;</w:t>
      </w:r>
      <w:r w:rsidR="00DC53C9">
        <w:rPr>
          <w:rFonts w:ascii="Times New Roman" w:hAnsi="Times New Roman"/>
          <w:sz w:val="24"/>
          <w:szCs w:val="24"/>
        </w:rPr>
        <w:t xml:space="preserve"> or</w:t>
      </w:r>
    </w:p>
    <w:p w:rsidR="003771CA" w:rsidRPr="00311B0C" w:rsidRDefault="003771CA" w:rsidP="003771CA">
      <w:pPr>
        <w:pStyle w:val="Bullet-list"/>
        <w:spacing w:after="0" w:line="240" w:lineRule="auto"/>
        <w:jc w:val="both"/>
        <w:rPr>
          <w:rFonts w:ascii="Times New Roman" w:hAnsi="Times New Roman"/>
          <w:sz w:val="24"/>
          <w:szCs w:val="24"/>
        </w:rPr>
      </w:pPr>
    </w:p>
    <w:p w:rsidR="0059151D" w:rsidRDefault="0059151D" w:rsidP="003771CA">
      <w:pPr>
        <w:pStyle w:val="Bullet-list"/>
        <w:numPr>
          <w:ilvl w:val="0"/>
          <w:numId w:val="21"/>
        </w:numPr>
        <w:spacing w:after="0" w:line="240" w:lineRule="auto"/>
        <w:jc w:val="both"/>
        <w:rPr>
          <w:rFonts w:ascii="Times New Roman" w:hAnsi="Times New Roman"/>
          <w:sz w:val="24"/>
          <w:szCs w:val="24"/>
        </w:rPr>
      </w:pPr>
      <w:r w:rsidRPr="00311B0C">
        <w:rPr>
          <w:rFonts w:ascii="Times New Roman" w:hAnsi="Times New Roman"/>
          <w:sz w:val="24"/>
          <w:szCs w:val="24"/>
        </w:rPr>
        <w:t>The estimation option where the taxpayer makes an estimate of their current year tax liability and pays provisional tax based on that estimate; or</w:t>
      </w:r>
    </w:p>
    <w:p w:rsidR="003771CA" w:rsidRDefault="003771CA" w:rsidP="003771CA">
      <w:pPr>
        <w:pStyle w:val="Bullet-list"/>
        <w:spacing w:after="0" w:line="240" w:lineRule="auto"/>
        <w:jc w:val="both"/>
        <w:rPr>
          <w:rFonts w:ascii="Times New Roman" w:hAnsi="Times New Roman"/>
          <w:sz w:val="24"/>
          <w:szCs w:val="24"/>
        </w:rPr>
      </w:pPr>
    </w:p>
    <w:p w:rsidR="0059151D" w:rsidRPr="003771CA" w:rsidRDefault="0059151D" w:rsidP="003771CA">
      <w:pPr>
        <w:pStyle w:val="Bullet-list"/>
        <w:numPr>
          <w:ilvl w:val="0"/>
          <w:numId w:val="21"/>
        </w:numPr>
        <w:spacing w:after="0" w:line="240" w:lineRule="auto"/>
        <w:jc w:val="both"/>
        <w:rPr>
          <w:rFonts w:ascii="Times New Roman" w:hAnsi="Times New Roman"/>
          <w:sz w:val="24"/>
          <w:szCs w:val="24"/>
        </w:rPr>
      </w:pPr>
      <w:r w:rsidRPr="003771CA">
        <w:rPr>
          <w:rFonts w:ascii="Times New Roman" w:hAnsi="Times New Roman"/>
          <w:sz w:val="24"/>
          <w:szCs w:val="24"/>
        </w:rPr>
        <w:t xml:space="preserve">The GST ratio option which is available only to a small subset of taxpayers and is based on a ratio of </w:t>
      </w:r>
      <w:proofErr w:type="spellStart"/>
      <w:r w:rsidRPr="003771CA">
        <w:rPr>
          <w:rFonts w:ascii="Times New Roman" w:hAnsi="Times New Roman"/>
          <w:sz w:val="24"/>
          <w:szCs w:val="24"/>
        </w:rPr>
        <w:t>RIT</w:t>
      </w:r>
      <w:proofErr w:type="spellEnd"/>
      <w:r w:rsidRPr="003771CA">
        <w:rPr>
          <w:rFonts w:ascii="Times New Roman" w:hAnsi="Times New Roman"/>
          <w:sz w:val="24"/>
          <w:szCs w:val="24"/>
        </w:rPr>
        <w:t xml:space="preserve"> from the prior year to total GST taxable supplies for that year applied to GST taxable supplies for the current year.</w:t>
      </w:r>
    </w:p>
    <w:p w:rsidR="0059151D" w:rsidRPr="00311B0C" w:rsidRDefault="0059151D" w:rsidP="003771CA">
      <w:pPr>
        <w:pStyle w:val="Bullet-list"/>
        <w:spacing w:after="0" w:line="240" w:lineRule="auto"/>
        <w:ind w:left="0" w:firstLine="0"/>
        <w:jc w:val="both"/>
        <w:rPr>
          <w:rFonts w:ascii="Times New Roman" w:hAnsi="Times New Roman"/>
          <w:sz w:val="24"/>
          <w:szCs w:val="24"/>
        </w:rPr>
      </w:pPr>
    </w:p>
    <w:p w:rsidR="0059151D" w:rsidRPr="00311B0C" w:rsidRDefault="00AC3653" w:rsidP="003F2666">
      <w:pPr>
        <w:pStyle w:val="Bullet-list"/>
        <w:spacing w:after="0" w:line="240" w:lineRule="auto"/>
        <w:ind w:left="0" w:firstLine="0"/>
        <w:jc w:val="both"/>
        <w:rPr>
          <w:rFonts w:ascii="Times New Roman" w:hAnsi="Times New Roman"/>
          <w:sz w:val="24"/>
          <w:szCs w:val="24"/>
        </w:rPr>
      </w:pPr>
      <w:r>
        <w:rPr>
          <w:rFonts w:ascii="Times New Roman" w:hAnsi="Times New Roman"/>
          <w:sz w:val="24"/>
          <w:szCs w:val="24"/>
        </w:rPr>
        <w:t>C</w:t>
      </w:r>
      <w:r w:rsidRPr="00311B0C">
        <w:rPr>
          <w:rFonts w:ascii="Times New Roman" w:hAnsi="Times New Roman"/>
          <w:sz w:val="24"/>
          <w:szCs w:val="24"/>
        </w:rPr>
        <w:t xml:space="preserve">omprehensive </w:t>
      </w:r>
      <w:proofErr w:type="spellStart"/>
      <w:r w:rsidR="0045650F">
        <w:rPr>
          <w:rFonts w:ascii="Times New Roman" w:hAnsi="Times New Roman"/>
          <w:sz w:val="24"/>
          <w:szCs w:val="24"/>
        </w:rPr>
        <w:t>UOMI</w:t>
      </w:r>
      <w:proofErr w:type="spellEnd"/>
      <w:r>
        <w:rPr>
          <w:rFonts w:ascii="Times New Roman" w:hAnsi="Times New Roman"/>
          <w:sz w:val="24"/>
          <w:szCs w:val="24"/>
        </w:rPr>
        <w:t xml:space="preserve"> </w:t>
      </w:r>
      <w:r w:rsidRPr="00311B0C">
        <w:rPr>
          <w:rFonts w:ascii="Times New Roman" w:hAnsi="Times New Roman"/>
          <w:sz w:val="24"/>
          <w:szCs w:val="24"/>
        </w:rPr>
        <w:t xml:space="preserve">applies to instalments </w:t>
      </w:r>
      <w:r>
        <w:rPr>
          <w:rFonts w:ascii="Times New Roman" w:hAnsi="Times New Roman"/>
          <w:sz w:val="24"/>
          <w:szCs w:val="24"/>
        </w:rPr>
        <w:t>u</w:t>
      </w:r>
      <w:r w:rsidRPr="00311B0C">
        <w:rPr>
          <w:rFonts w:ascii="Times New Roman" w:hAnsi="Times New Roman"/>
          <w:sz w:val="24"/>
          <w:szCs w:val="24"/>
        </w:rPr>
        <w:t>nder the standard and estimation methods</w:t>
      </w:r>
      <w:r>
        <w:rPr>
          <w:rFonts w:ascii="Times New Roman" w:hAnsi="Times New Roman"/>
          <w:sz w:val="24"/>
          <w:szCs w:val="24"/>
        </w:rPr>
        <w:t>.</w:t>
      </w:r>
      <w:r w:rsidRPr="00311B0C">
        <w:rPr>
          <w:rFonts w:ascii="Times New Roman" w:hAnsi="Times New Roman"/>
          <w:sz w:val="24"/>
          <w:szCs w:val="24"/>
        </w:rPr>
        <w:t xml:space="preserve"> </w:t>
      </w:r>
      <w:r>
        <w:rPr>
          <w:rFonts w:ascii="Times New Roman" w:hAnsi="Times New Roman"/>
          <w:sz w:val="24"/>
          <w:szCs w:val="24"/>
        </w:rPr>
        <w:t xml:space="preserve">The </w:t>
      </w:r>
      <w:proofErr w:type="spellStart"/>
      <w:r>
        <w:rPr>
          <w:rFonts w:ascii="Times New Roman" w:hAnsi="Times New Roman"/>
          <w:sz w:val="24"/>
          <w:szCs w:val="24"/>
        </w:rPr>
        <w:t>UOMI</w:t>
      </w:r>
      <w:proofErr w:type="spellEnd"/>
      <w:r w:rsidR="0059151D" w:rsidRPr="00311B0C">
        <w:rPr>
          <w:rFonts w:ascii="Times New Roman" w:hAnsi="Times New Roman"/>
          <w:sz w:val="24"/>
          <w:szCs w:val="24"/>
        </w:rPr>
        <w:t xml:space="preserve"> calculation divides the </w:t>
      </w:r>
      <w:proofErr w:type="spellStart"/>
      <w:r w:rsidR="0059151D" w:rsidRPr="00311B0C">
        <w:rPr>
          <w:rFonts w:ascii="Times New Roman" w:hAnsi="Times New Roman"/>
          <w:sz w:val="24"/>
          <w:szCs w:val="24"/>
        </w:rPr>
        <w:t>RIT</w:t>
      </w:r>
      <w:proofErr w:type="spellEnd"/>
      <w:r w:rsidR="0059151D" w:rsidRPr="00311B0C">
        <w:rPr>
          <w:rFonts w:ascii="Times New Roman" w:hAnsi="Times New Roman"/>
          <w:sz w:val="24"/>
          <w:szCs w:val="24"/>
        </w:rPr>
        <w:t xml:space="preserve"> for the taxpayer by the three provisional tax instalments and compares this to the </w:t>
      </w:r>
      <w:r>
        <w:rPr>
          <w:rFonts w:ascii="Times New Roman" w:hAnsi="Times New Roman"/>
          <w:sz w:val="24"/>
          <w:szCs w:val="24"/>
        </w:rPr>
        <w:t>provisional tax payments</w:t>
      </w:r>
      <w:r w:rsidRPr="00311B0C">
        <w:rPr>
          <w:rFonts w:ascii="Times New Roman" w:hAnsi="Times New Roman"/>
          <w:sz w:val="24"/>
          <w:szCs w:val="24"/>
        </w:rPr>
        <w:t xml:space="preserve"> </w:t>
      </w:r>
      <w:r w:rsidR="0059151D" w:rsidRPr="00311B0C">
        <w:rPr>
          <w:rFonts w:ascii="Times New Roman" w:hAnsi="Times New Roman"/>
          <w:sz w:val="24"/>
          <w:szCs w:val="24"/>
        </w:rPr>
        <w:t>made by the taxpayer</w:t>
      </w:r>
      <w:r w:rsidR="006C228C">
        <w:rPr>
          <w:rFonts w:ascii="Times New Roman" w:hAnsi="Times New Roman"/>
          <w:sz w:val="24"/>
          <w:szCs w:val="24"/>
        </w:rPr>
        <w:t>,</w:t>
      </w:r>
      <w:r w:rsidR="0059151D" w:rsidRPr="00311B0C">
        <w:rPr>
          <w:rFonts w:ascii="Times New Roman" w:hAnsi="Times New Roman"/>
          <w:sz w:val="24"/>
          <w:szCs w:val="24"/>
        </w:rPr>
        <w:t xml:space="preserve"> charging or paying </w:t>
      </w:r>
      <w:proofErr w:type="spellStart"/>
      <w:r w:rsidR="0045650F">
        <w:rPr>
          <w:rFonts w:ascii="Times New Roman" w:hAnsi="Times New Roman"/>
          <w:sz w:val="24"/>
          <w:szCs w:val="24"/>
        </w:rPr>
        <w:t>UOMI</w:t>
      </w:r>
      <w:proofErr w:type="spellEnd"/>
      <w:r w:rsidR="0059151D" w:rsidRPr="00311B0C">
        <w:rPr>
          <w:rFonts w:ascii="Times New Roman" w:hAnsi="Times New Roman"/>
          <w:sz w:val="24"/>
          <w:szCs w:val="24"/>
        </w:rPr>
        <w:t xml:space="preserve"> on the resulting </w:t>
      </w:r>
      <w:r w:rsidR="00E21698" w:rsidRPr="00311B0C">
        <w:rPr>
          <w:rFonts w:ascii="Times New Roman" w:hAnsi="Times New Roman"/>
          <w:sz w:val="24"/>
          <w:szCs w:val="24"/>
        </w:rPr>
        <w:t>shortfall</w:t>
      </w:r>
      <w:r w:rsidR="00E21698" w:rsidRPr="00E21698">
        <w:rPr>
          <w:rFonts w:ascii="Times New Roman" w:hAnsi="Times New Roman"/>
          <w:sz w:val="24"/>
          <w:szCs w:val="24"/>
        </w:rPr>
        <w:t xml:space="preserve"> </w:t>
      </w:r>
      <w:r w:rsidR="0059151D" w:rsidRPr="00311B0C">
        <w:rPr>
          <w:rFonts w:ascii="Times New Roman" w:hAnsi="Times New Roman"/>
          <w:sz w:val="24"/>
          <w:szCs w:val="24"/>
        </w:rPr>
        <w:t xml:space="preserve">or </w:t>
      </w:r>
      <w:r w:rsidR="00E21698" w:rsidRPr="00311B0C">
        <w:rPr>
          <w:rFonts w:ascii="Times New Roman" w:hAnsi="Times New Roman"/>
          <w:sz w:val="24"/>
          <w:szCs w:val="24"/>
        </w:rPr>
        <w:t>surplus</w:t>
      </w:r>
      <w:r w:rsidR="0059151D" w:rsidRPr="00311B0C">
        <w:rPr>
          <w:rFonts w:ascii="Times New Roman" w:hAnsi="Times New Roman"/>
          <w:sz w:val="24"/>
          <w:szCs w:val="24"/>
        </w:rPr>
        <w:t xml:space="preserve">. The current rates of </w:t>
      </w:r>
      <w:proofErr w:type="spellStart"/>
      <w:r w:rsidR="0045650F">
        <w:rPr>
          <w:rFonts w:ascii="Times New Roman" w:hAnsi="Times New Roman"/>
          <w:sz w:val="24"/>
          <w:szCs w:val="24"/>
        </w:rPr>
        <w:t>UOMI</w:t>
      </w:r>
      <w:proofErr w:type="spellEnd"/>
      <w:r w:rsidR="0059151D" w:rsidRPr="00311B0C">
        <w:rPr>
          <w:rFonts w:ascii="Times New Roman" w:hAnsi="Times New Roman"/>
          <w:sz w:val="24"/>
          <w:szCs w:val="24"/>
        </w:rPr>
        <w:t xml:space="preserve"> are 9.21% for underpayments and 2.63% for overpayments. This results in taxpayers tending to overpay tax on the first instalment to avoid negative </w:t>
      </w:r>
      <w:proofErr w:type="spellStart"/>
      <w:r w:rsidR="0045650F">
        <w:rPr>
          <w:rFonts w:ascii="Times New Roman" w:hAnsi="Times New Roman"/>
          <w:sz w:val="24"/>
          <w:szCs w:val="24"/>
        </w:rPr>
        <w:t>UOMI</w:t>
      </w:r>
      <w:proofErr w:type="spellEnd"/>
      <w:r w:rsidR="0059151D" w:rsidRPr="00311B0C">
        <w:rPr>
          <w:rFonts w:ascii="Times New Roman" w:hAnsi="Times New Roman"/>
          <w:sz w:val="24"/>
          <w:szCs w:val="24"/>
        </w:rPr>
        <w:t xml:space="preserve"> impacts.</w:t>
      </w:r>
    </w:p>
    <w:p w:rsidR="0059151D" w:rsidRPr="00311B0C" w:rsidRDefault="0059151D" w:rsidP="003771CA">
      <w:pPr>
        <w:pStyle w:val="Bullet-list"/>
        <w:spacing w:after="0" w:line="240" w:lineRule="auto"/>
        <w:ind w:left="0" w:firstLine="0"/>
        <w:jc w:val="both"/>
        <w:rPr>
          <w:rFonts w:ascii="Times New Roman" w:hAnsi="Times New Roman"/>
          <w:sz w:val="24"/>
          <w:szCs w:val="24"/>
        </w:rPr>
      </w:pPr>
    </w:p>
    <w:p w:rsidR="00AC3653" w:rsidRDefault="00AC3653" w:rsidP="003F2666">
      <w:pPr>
        <w:pStyle w:val="Bullet-list"/>
        <w:spacing w:after="0" w:line="240" w:lineRule="auto"/>
        <w:ind w:left="0" w:firstLine="0"/>
        <w:jc w:val="both"/>
        <w:rPr>
          <w:rFonts w:ascii="Times New Roman" w:hAnsi="Times New Roman"/>
          <w:sz w:val="24"/>
          <w:szCs w:val="24"/>
        </w:rPr>
      </w:pPr>
      <w:r w:rsidRPr="00311B0C">
        <w:rPr>
          <w:rFonts w:ascii="Times New Roman" w:hAnsi="Times New Roman"/>
          <w:sz w:val="24"/>
          <w:szCs w:val="24"/>
        </w:rPr>
        <w:t xml:space="preserve">Feedback indicates </w:t>
      </w:r>
      <w:r w:rsidR="00E21698">
        <w:rPr>
          <w:rFonts w:ascii="Times New Roman" w:hAnsi="Times New Roman"/>
          <w:sz w:val="24"/>
          <w:szCs w:val="24"/>
        </w:rPr>
        <w:t>attitudes to provisional tax fall on a spectrum</w:t>
      </w:r>
      <w:r w:rsidR="00E21698" w:rsidRPr="00311B0C">
        <w:rPr>
          <w:rFonts w:ascii="Times New Roman" w:hAnsi="Times New Roman"/>
          <w:sz w:val="24"/>
          <w:szCs w:val="24"/>
        </w:rPr>
        <w:t xml:space="preserve"> from </w:t>
      </w:r>
      <w:r w:rsidR="00E21698">
        <w:rPr>
          <w:rFonts w:ascii="Times New Roman" w:hAnsi="Times New Roman"/>
          <w:sz w:val="24"/>
          <w:szCs w:val="24"/>
        </w:rPr>
        <w:t>taxpayers</w:t>
      </w:r>
      <w:r w:rsidR="00E21698" w:rsidRPr="00311B0C">
        <w:rPr>
          <w:rFonts w:ascii="Times New Roman" w:hAnsi="Times New Roman"/>
          <w:sz w:val="24"/>
          <w:szCs w:val="24"/>
        </w:rPr>
        <w:t xml:space="preserve"> </w:t>
      </w:r>
      <w:r w:rsidRPr="00311B0C">
        <w:rPr>
          <w:rFonts w:ascii="Times New Roman" w:hAnsi="Times New Roman"/>
          <w:sz w:val="24"/>
          <w:szCs w:val="24"/>
        </w:rPr>
        <w:t>who find provisional tax difficult and stressful to those who are happy with the current rules</w:t>
      </w:r>
      <w:r>
        <w:rPr>
          <w:rFonts w:ascii="Times New Roman" w:hAnsi="Times New Roman"/>
          <w:sz w:val="24"/>
          <w:szCs w:val="24"/>
        </w:rPr>
        <w:t>.</w:t>
      </w:r>
      <w:r w:rsidRPr="00311B0C">
        <w:rPr>
          <w:rFonts w:ascii="Times New Roman" w:hAnsi="Times New Roman"/>
          <w:sz w:val="24"/>
          <w:szCs w:val="24"/>
        </w:rPr>
        <w:t xml:space="preserve"> </w:t>
      </w:r>
      <w:r w:rsidR="00AF083F">
        <w:rPr>
          <w:rFonts w:ascii="Times New Roman" w:hAnsi="Times New Roman"/>
          <w:sz w:val="24"/>
          <w:szCs w:val="24"/>
        </w:rPr>
        <w:t>One consistent trend from taxpayers consulted was</w:t>
      </w:r>
      <w:r>
        <w:rPr>
          <w:rFonts w:ascii="Times New Roman" w:hAnsi="Times New Roman"/>
          <w:sz w:val="24"/>
          <w:szCs w:val="24"/>
        </w:rPr>
        <w:t xml:space="preserve"> </w:t>
      </w:r>
      <w:r w:rsidR="00AF083F">
        <w:rPr>
          <w:rFonts w:ascii="Times New Roman" w:hAnsi="Times New Roman"/>
          <w:sz w:val="24"/>
          <w:szCs w:val="24"/>
        </w:rPr>
        <w:t>that</w:t>
      </w:r>
      <w:r w:rsidRPr="00311B0C">
        <w:rPr>
          <w:rFonts w:ascii="Times New Roman" w:hAnsi="Times New Roman"/>
          <w:sz w:val="24"/>
          <w:szCs w:val="24"/>
        </w:rPr>
        <w:t xml:space="preserve"> </w:t>
      </w:r>
      <w:r w:rsidR="00AF083F">
        <w:rPr>
          <w:rFonts w:ascii="Times New Roman" w:hAnsi="Times New Roman"/>
          <w:sz w:val="24"/>
          <w:szCs w:val="24"/>
        </w:rPr>
        <w:t>they had issues</w:t>
      </w:r>
      <w:r w:rsidRPr="00311B0C">
        <w:rPr>
          <w:rFonts w:ascii="Times New Roman" w:hAnsi="Times New Roman"/>
          <w:sz w:val="24"/>
          <w:szCs w:val="24"/>
        </w:rPr>
        <w:t xml:space="preserve"> with the application of </w:t>
      </w:r>
      <w:proofErr w:type="spellStart"/>
      <w:r w:rsidR="00AF083F">
        <w:rPr>
          <w:rFonts w:ascii="Times New Roman" w:hAnsi="Times New Roman"/>
          <w:sz w:val="24"/>
          <w:szCs w:val="24"/>
        </w:rPr>
        <w:t>UOMI</w:t>
      </w:r>
      <w:proofErr w:type="spellEnd"/>
      <w:r w:rsidR="00AF083F">
        <w:rPr>
          <w:rFonts w:ascii="Times New Roman" w:hAnsi="Times New Roman"/>
          <w:sz w:val="24"/>
          <w:szCs w:val="24"/>
        </w:rPr>
        <w:t>, which</w:t>
      </w:r>
      <w:r>
        <w:rPr>
          <w:rFonts w:ascii="Times New Roman" w:hAnsi="Times New Roman"/>
          <w:sz w:val="24"/>
          <w:szCs w:val="24"/>
        </w:rPr>
        <w:t xml:space="preserve"> </w:t>
      </w:r>
      <w:r w:rsidRPr="00311B0C">
        <w:rPr>
          <w:rFonts w:ascii="Times New Roman" w:hAnsi="Times New Roman"/>
          <w:sz w:val="24"/>
          <w:szCs w:val="24"/>
        </w:rPr>
        <w:t>look</w:t>
      </w:r>
      <w:r w:rsidR="00E21698">
        <w:rPr>
          <w:rFonts w:ascii="Times New Roman" w:hAnsi="Times New Roman"/>
          <w:sz w:val="24"/>
          <w:szCs w:val="24"/>
        </w:rPr>
        <w:t>s</w:t>
      </w:r>
      <w:r w:rsidRPr="00311B0C">
        <w:rPr>
          <w:rFonts w:ascii="Times New Roman" w:hAnsi="Times New Roman"/>
          <w:sz w:val="24"/>
          <w:szCs w:val="24"/>
        </w:rPr>
        <w:t xml:space="preserve"> more like a penalty rather than a time value of money charge </w:t>
      </w:r>
      <w:r>
        <w:rPr>
          <w:rFonts w:ascii="Times New Roman" w:hAnsi="Times New Roman"/>
          <w:sz w:val="24"/>
          <w:szCs w:val="24"/>
        </w:rPr>
        <w:t>when</w:t>
      </w:r>
      <w:r w:rsidRPr="00311B0C">
        <w:rPr>
          <w:rFonts w:ascii="Times New Roman" w:hAnsi="Times New Roman"/>
          <w:sz w:val="24"/>
          <w:szCs w:val="24"/>
        </w:rPr>
        <w:t xml:space="preserve"> taxpayers have unexpected </w:t>
      </w:r>
      <w:r>
        <w:rPr>
          <w:rFonts w:ascii="Times New Roman" w:hAnsi="Times New Roman"/>
          <w:sz w:val="24"/>
          <w:szCs w:val="24"/>
        </w:rPr>
        <w:t xml:space="preserve">income </w:t>
      </w:r>
      <w:r w:rsidRPr="00311B0C">
        <w:rPr>
          <w:rFonts w:ascii="Times New Roman" w:hAnsi="Times New Roman"/>
          <w:sz w:val="24"/>
          <w:szCs w:val="24"/>
        </w:rPr>
        <w:t xml:space="preserve">during the year.  This causes taxpayers stress and </w:t>
      </w:r>
      <w:r w:rsidR="00AF083F">
        <w:rPr>
          <w:rFonts w:ascii="Times New Roman" w:hAnsi="Times New Roman"/>
          <w:sz w:val="24"/>
          <w:szCs w:val="24"/>
        </w:rPr>
        <w:t xml:space="preserve">increased </w:t>
      </w:r>
      <w:r w:rsidRPr="00311B0C">
        <w:rPr>
          <w:rFonts w:ascii="Times New Roman" w:hAnsi="Times New Roman"/>
          <w:sz w:val="24"/>
          <w:szCs w:val="24"/>
        </w:rPr>
        <w:t>compliance costs.</w:t>
      </w:r>
    </w:p>
    <w:p w:rsidR="0059151D" w:rsidRPr="00311B0C" w:rsidRDefault="0059151D" w:rsidP="003771CA">
      <w:pPr>
        <w:pStyle w:val="Bullet-list"/>
        <w:spacing w:after="0" w:line="240" w:lineRule="auto"/>
        <w:ind w:left="0" w:firstLine="0"/>
        <w:jc w:val="both"/>
        <w:rPr>
          <w:rFonts w:ascii="Times New Roman" w:hAnsi="Times New Roman"/>
          <w:sz w:val="24"/>
          <w:szCs w:val="24"/>
        </w:rPr>
      </w:pPr>
    </w:p>
    <w:p w:rsidR="0059151D" w:rsidRPr="00311B0C" w:rsidRDefault="0059151D" w:rsidP="003F2666">
      <w:pPr>
        <w:pStyle w:val="Bullet-list"/>
        <w:spacing w:after="0" w:line="240" w:lineRule="auto"/>
        <w:ind w:left="0" w:firstLine="0"/>
        <w:jc w:val="both"/>
        <w:rPr>
          <w:rFonts w:ascii="Times New Roman" w:hAnsi="Times New Roman"/>
          <w:sz w:val="24"/>
          <w:szCs w:val="24"/>
        </w:rPr>
      </w:pPr>
      <w:r w:rsidRPr="00311B0C">
        <w:rPr>
          <w:rFonts w:ascii="Times New Roman" w:hAnsi="Times New Roman"/>
          <w:sz w:val="24"/>
          <w:szCs w:val="24"/>
        </w:rPr>
        <w:t xml:space="preserve">A reduction or elimination of the negative impacts of </w:t>
      </w:r>
      <w:proofErr w:type="spellStart"/>
      <w:r w:rsidR="0045650F">
        <w:rPr>
          <w:rFonts w:ascii="Times New Roman" w:hAnsi="Times New Roman"/>
          <w:sz w:val="24"/>
          <w:szCs w:val="24"/>
        </w:rPr>
        <w:t>UOMI</w:t>
      </w:r>
      <w:proofErr w:type="spellEnd"/>
      <w:r w:rsidRPr="00311B0C">
        <w:rPr>
          <w:rFonts w:ascii="Times New Roman" w:hAnsi="Times New Roman"/>
          <w:sz w:val="24"/>
          <w:szCs w:val="24"/>
        </w:rPr>
        <w:t xml:space="preserve"> to taxpayers would reduce these negative perceptions of provisional tax. This is especially so for those who are committing to a minimum level of tax payments based on the prior year plus an uplift where the application of </w:t>
      </w:r>
      <w:proofErr w:type="spellStart"/>
      <w:r w:rsidR="0045650F">
        <w:rPr>
          <w:rFonts w:ascii="Times New Roman" w:hAnsi="Times New Roman"/>
          <w:sz w:val="24"/>
          <w:szCs w:val="24"/>
        </w:rPr>
        <w:t>UOMI</w:t>
      </w:r>
      <w:proofErr w:type="spellEnd"/>
      <w:r w:rsidRPr="00311B0C">
        <w:rPr>
          <w:rFonts w:ascii="Times New Roman" w:hAnsi="Times New Roman"/>
          <w:sz w:val="24"/>
          <w:szCs w:val="24"/>
        </w:rPr>
        <w:t xml:space="preserve"> can be particularly harsh.   </w:t>
      </w:r>
    </w:p>
    <w:p w:rsidR="0059151D" w:rsidRPr="00311B0C" w:rsidRDefault="0059151D" w:rsidP="003771CA">
      <w:pPr>
        <w:pStyle w:val="Bullet-list"/>
        <w:spacing w:after="0" w:line="240" w:lineRule="auto"/>
        <w:ind w:left="0" w:firstLine="0"/>
        <w:jc w:val="both"/>
        <w:rPr>
          <w:rFonts w:ascii="Times New Roman" w:hAnsi="Times New Roman"/>
          <w:sz w:val="24"/>
          <w:szCs w:val="24"/>
        </w:rPr>
      </w:pPr>
    </w:p>
    <w:p w:rsidR="0059151D" w:rsidRPr="00311B0C" w:rsidRDefault="0059151D" w:rsidP="007153A7">
      <w:pPr>
        <w:pStyle w:val="Bullet-list"/>
        <w:spacing w:after="0" w:line="240" w:lineRule="auto"/>
        <w:ind w:left="0" w:firstLine="0"/>
        <w:jc w:val="both"/>
        <w:rPr>
          <w:rFonts w:ascii="Times New Roman" w:hAnsi="Times New Roman"/>
          <w:sz w:val="24"/>
          <w:szCs w:val="24"/>
        </w:rPr>
      </w:pPr>
      <w:r w:rsidRPr="00311B0C">
        <w:rPr>
          <w:rFonts w:ascii="Times New Roman" w:hAnsi="Times New Roman"/>
          <w:sz w:val="24"/>
          <w:szCs w:val="24"/>
        </w:rPr>
        <w:t xml:space="preserve">Another </w:t>
      </w:r>
      <w:r w:rsidR="00DC53C9">
        <w:rPr>
          <w:rFonts w:ascii="Times New Roman" w:hAnsi="Times New Roman"/>
          <w:sz w:val="24"/>
          <w:szCs w:val="24"/>
        </w:rPr>
        <w:t>issue</w:t>
      </w:r>
      <w:r w:rsidR="00DC53C9" w:rsidRPr="00311B0C">
        <w:rPr>
          <w:rFonts w:ascii="Times New Roman" w:hAnsi="Times New Roman"/>
          <w:sz w:val="24"/>
          <w:szCs w:val="24"/>
        </w:rPr>
        <w:t xml:space="preserve"> </w:t>
      </w:r>
      <w:r w:rsidRPr="00311B0C">
        <w:rPr>
          <w:rFonts w:ascii="Times New Roman" w:hAnsi="Times New Roman"/>
          <w:sz w:val="24"/>
          <w:szCs w:val="24"/>
        </w:rPr>
        <w:t xml:space="preserve">with the current provisional tax regime is that it attempts to approximate a pay as you </w:t>
      </w:r>
      <w:r w:rsidR="00B628AA">
        <w:rPr>
          <w:rFonts w:ascii="Times New Roman" w:hAnsi="Times New Roman"/>
          <w:sz w:val="24"/>
          <w:szCs w:val="24"/>
        </w:rPr>
        <w:t>earn</w:t>
      </w:r>
      <w:r w:rsidR="00B628AA" w:rsidRPr="00311B0C">
        <w:rPr>
          <w:rFonts w:ascii="Times New Roman" w:hAnsi="Times New Roman"/>
          <w:sz w:val="24"/>
          <w:szCs w:val="24"/>
        </w:rPr>
        <w:t xml:space="preserve"> </w:t>
      </w:r>
      <w:r w:rsidRPr="00311B0C">
        <w:rPr>
          <w:rFonts w:ascii="Times New Roman" w:hAnsi="Times New Roman"/>
          <w:sz w:val="24"/>
          <w:szCs w:val="24"/>
        </w:rPr>
        <w:t xml:space="preserve">system by assuming, wrongly in a large number of cases, that income is earned evenly throughout an income year. This means that </w:t>
      </w:r>
      <w:r w:rsidR="00311B0C">
        <w:rPr>
          <w:rFonts w:ascii="Times New Roman" w:hAnsi="Times New Roman"/>
          <w:sz w:val="24"/>
          <w:szCs w:val="24"/>
        </w:rPr>
        <w:t xml:space="preserve">what </w:t>
      </w:r>
      <w:r w:rsidRPr="00311B0C">
        <w:rPr>
          <w:rFonts w:ascii="Times New Roman" w:hAnsi="Times New Roman"/>
          <w:sz w:val="24"/>
          <w:szCs w:val="24"/>
        </w:rPr>
        <w:t>was intended to be a pay as you earn type system can become a pay before you have earned system which can cause cash</w:t>
      </w:r>
      <w:r w:rsidR="006C228C">
        <w:rPr>
          <w:rFonts w:ascii="Times New Roman" w:hAnsi="Times New Roman"/>
          <w:sz w:val="24"/>
          <w:szCs w:val="24"/>
        </w:rPr>
        <w:t>-</w:t>
      </w:r>
      <w:r w:rsidRPr="00311B0C">
        <w:rPr>
          <w:rFonts w:ascii="Times New Roman" w:hAnsi="Times New Roman"/>
          <w:sz w:val="24"/>
          <w:szCs w:val="24"/>
        </w:rPr>
        <w:t>flow issues. This is particularly so for smaller</w:t>
      </w:r>
      <w:r w:rsidR="006C228C">
        <w:rPr>
          <w:rFonts w:ascii="Times New Roman" w:hAnsi="Times New Roman"/>
          <w:sz w:val="24"/>
          <w:szCs w:val="24"/>
        </w:rPr>
        <w:t>,</w:t>
      </w:r>
      <w:r w:rsidRPr="00311B0C">
        <w:rPr>
          <w:rFonts w:ascii="Times New Roman" w:hAnsi="Times New Roman"/>
          <w:sz w:val="24"/>
          <w:szCs w:val="24"/>
        </w:rPr>
        <w:t xml:space="preserve"> unsophisticated businesses.</w:t>
      </w:r>
    </w:p>
    <w:p w:rsidR="0059151D" w:rsidRPr="00311B0C" w:rsidRDefault="0059151D" w:rsidP="003771CA">
      <w:pPr>
        <w:pStyle w:val="Bullet-list"/>
        <w:spacing w:after="0" w:line="240" w:lineRule="auto"/>
        <w:ind w:left="0" w:firstLine="0"/>
        <w:jc w:val="both"/>
        <w:rPr>
          <w:rFonts w:ascii="Times New Roman" w:hAnsi="Times New Roman"/>
          <w:sz w:val="24"/>
          <w:szCs w:val="24"/>
        </w:rPr>
      </w:pPr>
    </w:p>
    <w:p w:rsidR="0059151D" w:rsidRDefault="0059151D" w:rsidP="007153A7">
      <w:pPr>
        <w:pStyle w:val="Bullet-list"/>
        <w:spacing w:after="0" w:line="240" w:lineRule="auto"/>
        <w:ind w:left="0" w:firstLine="0"/>
        <w:jc w:val="both"/>
        <w:rPr>
          <w:rFonts w:ascii="Times New Roman" w:hAnsi="Times New Roman"/>
          <w:sz w:val="24"/>
          <w:szCs w:val="24"/>
        </w:rPr>
      </w:pPr>
      <w:r w:rsidRPr="00311B0C">
        <w:rPr>
          <w:rFonts w:ascii="Times New Roman" w:hAnsi="Times New Roman"/>
          <w:sz w:val="24"/>
          <w:szCs w:val="24"/>
        </w:rPr>
        <w:t xml:space="preserve">A final issue with provisional tax </w:t>
      </w:r>
      <w:r w:rsidR="00B628AA">
        <w:rPr>
          <w:rFonts w:ascii="Times New Roman" w:hAnsi="Times New Roman"/>
          <w:sz w:val="24"/>
          <w:szCs w:val="24"/>
        </w:rPr>
        <w:t>relates to</w:t>
      </w:r>
      <w:r w:rsidRPr="00311B0C">
        <w:rPr>
          <w:rFonts w:ascii="Times New Roman" w:hAnsi="Times New Roman"/>
          <w:sz w:val="24"/>
          <w:szCs w:val="24"/>
        </w:rPr>
        <w:t xml:space="preserve"> </w:t>
      </w:r>
      <w:r w:rsidR="008C25E5">
        <w:rPr>
          <w:rFonts w:ascii="Times New Roman" w:hAnsi="Times New Roman"/>
          <w:sz w:val="24"/>
          <w:szCs w:val="24"/>
        </w:rPr>
        <w:t>close</w:t>
      </w:r>
      <w:r w:rsidRPr="00311B0C">
        <w:rPr>
          <w:rFonts w:ascii="Times New Roman" w:hAnsi="Times New Roman"/>
          <w:sz w:val="24"/>
          <w:szCs w:val="24"/>
        </w:rPr>
        <w:t xml:space="preserve"> companies </w:t>
      </w:r>
      <w:r w:rsidR="00AF083F">
        <w:rPr>
          <w:rFonts w:ascii="Times New Roman" w:hAnsi="Times New Roman"/>
          <w:sz w:val="24"/>
          <w:szCs w:val="24"/>
        </w:rPr>
        <w:t>and partnerships</w:t>
      </w:r>
      <w:r w:rsidRPr="00311B0C">
        <w:rPr>
          <w:rFonts w:ascii="Times New Roman" w:hAnsi="Times New Roman"/>
          <w:sz w:val="24"/>
          <w:szCs w:val="24"/>
        </w:rPr>
        <w:t xml:space="preserve">. In this situation there can be multiple taxpayers who are subject to provisional tax </w:t>
      </w:r>
      <w:r w:rsidR="00AF083F">
        <w:rPr>
          <w:rFonts w:ascii="Times New Roman" w:hAnsi="Times New Roman"/>
          <w:sz w:val="24"/>
          <w:szCs w:val="24"/>
        </w:rPr>
        <w:t>where in</w:t>
      </w:r>
      <w:r w:rsidRPr="00311B0C">
        <w:rPr>
          <w:rFonts w:ascii="Times New Roman" w:hAnsi="Times New Roman"/>
          <w:sz w:val="24"/>
          <w:szCs w:val="24"/>
        </w:rPr>
        <w:t xml:space="preserve"> essence</w:t>
      </w:r>
      <w:r w:rsidR="006C228C">
        <w:rPr>
          <w:rFonts w:ascii="Times New Roman" w:hAnsi="Times New Roman"/>
          <w:sz w:val="24"/>
          <w:szCs w:val="24"/>
        </w:rPr>
        <w:t>,</w:t>
      </w:r>
      <w:r w:rsidRPr="00311B0C">
        <w:rPr>
          <w:rFonts w:ascii="Times New Roman" w:hAnsi="Times New Roman"/>
          <w:sz w:val="24"/>
          <w:szCs w:val="24"/>
        </w:rPr>
        <w:t xml:space="preserve"> there is one taxpaying group which should be subject to one rule to ease compliance and reduce the number of people subject to provisional tax.</w:t>
      </w:r>
    </w:p>
    <w:p w:rsidR="007153A7" w:rsidRDefault="007153A7" w:rsidP="007153A7">
      <w:pPr>
        <w:pStyle w:val="Bullet-list"/>
        <w:spacing w:after="0" w:line="240" w:lineRule="auto"/>
        <w:ind w:left="0" w:firstLine="0"/>
        <w:jc w:val="both"/>
        <w:rPr>
          <w:rFonts w:ascii="Times New Roman" w:hAnsi="Times New Roman"/>
          <w:sz w:val="24"/>
          <w:szCs w:val="24"/>
        </w:rPr>
      </w:pPr>
    </w:p>
    <w:p w:rsidR="00D56B23" w:rsidRPr="00D56B23" w:rsidRDefault="00D56B23" w:rsidP="007153A7">
      <w:pPr>
        <w:pStyle w:val="Bullet-list"/>
        <w:spacing w:after="0" w:line="240" w:lineRule="auto"/>
        <w:ind w:left="0" w:firstLine="0"/>
        <w:jc w:val="both"/>
        <w:rPr>
          <w:rFonts w:ascii="Times New Roman" w:hAnsi="Times New Roman"/>
          <w:b/>
          <w:i/>
          <w:sz w:val="24"/>
          <w:szCs w:val="24"/>
        </w:rPr>
      </w:pPr>
      <w:r w:rsidRPr="00D56B23">
        <w:rPr>
          <w:rFonts w:ascii="Times New Roman" w:hAnsi="Times New Roman"/>
          <w:b/>
          <w:i/>
          <w:sz w:val="24"/>
          <w:szCs w:val="24"/>
        </w:rPr>
        <w:t>Constraints</w:t>
      </w:r>
    </w:p>
    <w:p w:rsidR="00065922" w:rsidRDefault="00065922" w:rsidP="008B1609">
      <w:pPr>
        <w:pStyle w:val="ListParagraph"/>
        <w:spacing w:after="0" w:line="240" w:lineRule="auto"/>
        <w:ind w:left="0"/>
        <w:jc w:val="both"/>
        <w:rPr>
          <w:rFonts w:ascii="Times New Roman" w:hAnsi="Times New Roman" w:cs="Times New Roman"/>
          <w:sz w:val="24"/>
          <w:szCs w:val="24"/>
        </w:rPr>
      </w:pPr>
    </w:p>
    <w:p w:rsidR="00D56B23" w:rsidRPr="005D3931" w:rsidRDefault="00D56B23" w:rsidP="008B1609">
      <w:pPr>
        <w:pStyle w:val="ListParagraph"/>
        <w:spacing w:after="0" w:line="240" w:lineRule="auto"/>
        <w:ind w:left="0"/>
        <w:jc w:val="both"/>
        <w:rPr>
          <w:rFonts w:ascii="Times New Roman" w:hAnsi="Times New Roman" w:cs="Times New Roman"/>
          <w:sz w:val="24"/>
          <w:szCs w:val="24"/>
        </w:rPr>
      </w:pPr>
      <w:r w:rsidRPr="005D3931">
        <w:rPr>
          <w:rFonts w:ascii="Times New Roman" w:hAnsi="Times New Roman" w:cs="Times New Roman"/>
          <w:sz w:val="24"/>
          <w:szCs w:val="24"/>
        </w:rPr>
        <w:t>Ministers have asked officials for options that could be included in a business tax package to apply from 1 April 2017. This has limited the feasible options that officials could consider to those that can be implemented within the timeframe.</w:t>
      </w:r>
    </w:p>
    <w:p w:rsidR="0059151D" w:rsidRDefault="0059151D" w:rsidP="003771CA">
      <w:pPr>
        <w:spacing w:after="0" w:line="240" w:lineRule="auto"/>
        <w:jc w:val="both"/>
        <w:rPr>
          <w:rFonts w:ascii="Times New Roman" w:hAnsi="Times New Roman" w:cs="Times New Roman"/>
          <w:sz w:val="24"/>
          <w:szCs w:val="24"/>
        </w:rPr>
      </w:pPr>
    </w:p>
    <w:p w:rsidR="008B1609" w:rsidRPr="008B1609" w:rsidRDefault="008B1609" w:rsidP="003771CA">
      <w:pPr>
        <w:spacing w:after="0" w:line="240" w:lineRule="auto"/>
        <w:jc w:val="both"/>
        <w:rPr>
          <w:rFonts w:ascii="Times New Roman" w:hAnsi="Times New Roman" w:cs="Times New Roman"/>
          <w:b/>
          <w:i/>
          <w:sz w:val="24"/>
          <w:szCs w:val="24"/>
        </w:rPr>
      </w:pPr>
      <w:r w:rsidRPr="008B1609">
        <w:rPr>
          <w:rFonts w:ascii="Times New Roman" w:hAnsi="Times New Roman" w:cs="Times New Roman"/>
          <w:b/>
          <w:i/>
          <w:sz w:val="24"/>
          <w:szCs w:val="24"/>
        </w:rPr>
        <w:t>Options</w:t>
      </w:r>
    </w:p>
    <w:p w:rsidR="00065922" w:rsidRDefault="00065922" w:rsidP="0059151D">
      <w:pPr>
        <w:spacing w:after="0" w:line="240" w:lineRule="auto"/>
        <w:jc w:val="both"/>
        <w:rPr>
          <w:rFonts w:ascii="Times New Roman" w:hAnsi="Times New Roman" w:cs="Times New Roman"/>
          <w:sz w:val="24"/>
          <w:szCs w:val="24"/>
        </w:rPr>
      </w:pPr>
    </w:p>
    <w:p w:rsidR="0059151D" w:rsidRPr="00311B0C" w:rsidRDefault="0059151D" w:rsidP="0059151D">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The </w:t>
      </w:r>
      <w:r w:rsidR="00D94BDF">
        <w:rPr>
          <w:rFonts w:ascii="Times New Roman" w:hAnsi="Times New Roman" w:cs="Times New Roman"/>
          <w:sz w:val="24"/>
          <w:szCs w:val="24"/>
        </w:rPr>
        <w:t xml:space="preserve">proposals </w:t>
      </w:r>
      <w:r w:rsidRPr="00311B0C">
        <w:rPr>
          <w:rFonts w:ascii="Times New Roman" w:hAnsi="Times New Roman" w:cs="Times New Roman"/>
          <w:sz w:val="24"/>
          <w:szCs w:val="24"/>
        </w:rPr>
        <w:t xml:space="preserve">to address the </w:t>
      </w:r>
      <w:r w:rsidR="00C164C7">
        <w:rPr>
          <w:rFonts w:ascii="Times New Roman" w:hAnsi="Times New Roman" w:cs="Times New Roman"/>
          <w:sz w:val="24"/>
          <w:szCs w:val="24"/>
        </w:rPr>
        <w:t>issue</w:t>
      </w:r>
      <w:r w:rsidR="00C164C7" w:rsidRPr="00311B0C">
        <w:rPr>
          <w:rFonts w:ascii="Times New Roman" w:hAnsi="Times New Roman" w:cs="Times New Roman"/>
          <w:sz w:val="24"/>
          <w:szCs w:val="24"/>
        </w:rPr>
        <w:t xml:space="preserve"> </w:t>
      </w:r>
      <w:r w:rsidRPr="00311B0C">
        <w:rPr>
          <w:rFonts w:ascii="Times New Roman" w:hAnsi="Times New Roman" w:cs="Times New Roman"/>
          <w:sz w:val="24"/>
          <w:szCs w:val="24"/>
        </w:rPr>
        <w:t>are:</w:t>
      </w:r>
    </w:p>
    <w:p w:rsidR="00C91BBD" w:rsidRPr="00C91BBD" w:rsidRDefault="00C91BBD" w:rsidP="00C91BBD">
      <w:pPr>
        <w:spacing w:after="0" w:line="240" w:lineRule="auto"/>
        <w:jc w:val="both"/>
        <w:rPr>
          <w:rFonts w:ascii="Times New Roman" w:hAnsi="Times New Roman" w:cs="Times New Roman"/>
          <w:sz w:val="24"/>
          <w:szCs w:val="24"/>
        </w:rPr>
      </w:pPr>
    </w:p>
    <w:p w:rsidR="00C91BBD" w:rsidRPr="00C91BBD" w:rsidRDefault="00311B0C" w:rsidP="008D31DB">
      <w:pPr>
        <w:pStyle w:val="ListParagraph"/>
        <w:numPr>
          <w:ilvl w:val="0"/>
          <w:numId w:val="48"/>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Extend </w:t>
      </w:r>
      <w:r w:rsidR="0059151D" w:rsidRPr="00311B0C">
        <w:rPr>
          <w:rFonts w:ascii="Times New Roman" w:hAnsi="Times New Roman" w:cs="Times New Roman"/>
          <w:sz w:val="24"/>
          <w:szCs w:val="24"/>
        </w:rPr>
        <w:t xml:space="preserve">the safe harbour from </w:t>
      </w:r>
      <w:proofErr w:type="spellStart"/>
      <w:r w:rsidR="0045650F">
        <w:rPr>
          <w:rFonts w:ascii="Times New Roman" w:hAnsi="Times New Roman" w:cs="Times New Roman"/>
          <w:sz w:val="24"/>
          <w:szCs w:val="24"/>
        </w:rPr>
        <w:t>UOMI</w:t>
      </w:r>
      <w:proofErr w:type="spellEnd"/>
      <w:r w:rsidR="0059151D" w:rsidRPr="00311B0C">
        <w:rPr>
          <w:rFonts w:ascii="Times New Roman" w:hAnsi="Times New Roman" w:cs="Times New Roman"/>
          <w:sz w:val="24"/>
          <w:szCs w:val="24"/>
        </w:rPr>
        <w:t>;</w:t>
      </w:r>
    </w:p>
    <w:p w:rsidR="00C91BBD" w:rsidRPr="00C91BBD" w:rsidRDefault="00C91BBD">
      <w:pPr>
        <w:spacing w:after="0" w:line="240" w:lineRule="auto"/>
        <w:jc w:val="both"/>
        <w:rPr>
          <w:rFonts w:ascii="Times New Roman" w:hAnsi="Times New Roman" w:cs="Times New Roman"/>
          <w:sz w:val="24"/>
          <w:szCs w:val="24"/>
        </w:rPr>
      </w:pPr>
    </w:p>
    <w:p w:rsidR="0059151D" w:rsidRDefault="0059151D" w:rsidP="008D31DB">
      <w:pPr>
        <w:pStyle w:val="ListParagraph"/>
        <w:numPr>
          <w:ilvl w:val="0"/>
          <w:numId w:val="48"/>
        </w:numPr>
        <w:spacing w:after="0" w:line="240" w:lineRule="auto"/>
        <w:ind w:left="1080"/>
        <w:jc w:val="both"/>
        <w:rPr>
          <w:rFonts w:ascii="Times New Roman" w:hAnsi="Times New Roman" w:cs="Times New Roman"/>
          <w:sz w:val="24"/>
          <w:szCs w:val="24"/>
        </w:rPr>
      </w:pPr>
      <w:r w:rsidRPr="00311B0C">
        <w:rPr>
          <w:rFonts w:ascii="Times New Roman" w:hAnsi="Times New Roman" w:cs="Times New Roman"/>
          <w:sz w:val="24"/>
          <w:szCs w:val="24"/>
        </w:rPr>
        <w:t xml:space="preserve">Remove the application of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w:t>
      </w:r>
    </w:p>
    <w:p w:rsidR="00C91BBD" w:rsidRPr="00C91BBD" w:rsidRDefault="00C91BBD">
      <w:pPr>
        <w:spacing w:after="0" w:line="240" w:lineRule="auto"/>
        <w:jc w:val="both"/>
        <w:rPr>
          <w:rFonts w:ascii="Times New Roman" w:hAnsi="Times New Roman" w:cs="Times New Roman"/>
          <w:sz w:val="24"/>
          <w:szCs w:val="24"/>
        </w:rPr>
      </w:pPr>
    </w:p>
    <w:p w:rsidR="0059151D" w:rsidRDefault="0059151D" w:rsidP="008D31DB">
      <w:pPr>
        <w:pStyle w:val="ListParagraph"/>
        <w:numPr>
          <w:ilvl w:val="0"/>
          <w:numId w:val="48"/>
        </w:numPr>
        <w:spacing w:after="0" w:line="240" w:lineRule="auto"/>
        <w:ind w:left="1080"/>
        <w:jc w:val="both"/>
        <w:rPr>
          <w:rFonts w:ascii="Times New Roman" w:hAnsi="Times New Roman" w:cs="Times New Roman"/>
          <w:sz w:val="24"/>
          <w:szCs w:val="24"/>
        </w:rPr>
      </w:pPr>
      <w:r w:rsidRPr="00311B0C">
        <w:rPr>
          <w:rFonts w:ascii="Times New Roman" w:hAnsi="Times New Roman" w:cs="Times New Roman"/>
          <w:sz w:val="24"/>
          <w:szCs w:val="24"/>
        </w:rPr>
        <w:t xml:space="preserve">Introduce </w:t>
      </w:r>
      <w:r w:rsidR="00997F41">
        <w:rPr>
          <w:rFonts w:ascii="Times New Roman" w:hAnsi="Times New Roman" w:cs="Times New Roman"/>
          <w:sz w:val="24"/>
          <w:szCs w:val="24"/>
        </w:rPr>
        <w:t xml:space="preserve">a </w:t>
      </w:r>
      <w:r w:rsidRPr="00311B0C">
        <w:rPr>
          <w:rFonts w:ascii="Times New Roman" w:hAnsi="Times New Roman" w:cs="Times New Roman"/>
          <w:sz w:val="24"/>
          <w:szCs w:val="24"/>
        </w:rPr>
        <w:t>new method of calculating provisional tax; and</w:t>
      </w:r>
    </w:p>
    <w:p w:rsidR="00C91BBD" w:rsidRPr="00C91BBD" w:rsidRDefault="00C91BBD">
      <w:pPr>
        <w:spacing w:after="0" w:line="240" w:lineRule="auto"/>
        <w:jc w:val="both"/>
        <w:rPr>
          <w:rFonts w:ascii="Times New Roman" w:hAnsi="Times New Roman" w:cs="Times New Roman"/>
          <w:sz w:val="24"/>
          <w:szCs w:val="24"/>
        </w:rPr>
      </w:pPr>
    </w:p>
    <w:p w:rsidR="0059151D" w:rsidRPr="00311B0C" w:rsidRDefault="00C91BBD" w:rsidP="008D31DB">
      <w:pPr>
        <w:pStyle w:val="ListParagraph"/>
        <w:numPr>
          <w:ilvl w:val="0"/>
          <w:numId w:val="48"/>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Enable </w:t>
      </w:r>
      <w:r w:rsidR="0059151D" w:rsidRPr="00311B0C">
        <w:rPr>
          <w:rFonts w:ascii="Times New Roman" w:hAnsi="Times New Roman" w:cs="Times New Roman"/>
          <w:sz w:val="24"/>
          <w:szCs w:val="24"/>
        </w:rPr>
        <w:t>tax to be paid by close companies and partnerships</w:t>
      </w:r>
      <w:r w:rsidR="00997F41">
        <w:rPr>
          <w:rFonts w:ascii="Times New Roman" w:hAnsi="Times New Roman" w:cs="Times New Roman"/>
          <w:sz w:val="24"/>
          <w:szCs w:val="24"/>
        </w:rPr>
        <w:t xml:space="preserve"> as agent for shareholders and partners</w:t>
      </w:r>
      <w:r w:rsidR="0059151D" w:rsidRPr="00311B0C">
        <w:rPr>
          <w:rFonts w:ascii="Times New Roman" w:hAnsi="Times New Roman" w:cs="Times New Roman"/>
          <w:sz w:val="24"/>
          <w:szCs w:val="24"/>
        </w:rPr>
        <w:t>.</w:t>
      </w:r>
    </w:p>
    <w:p w:rsidR="0059151D" w:rsidRDefault="0059151D" w:rsidP="0059151D">
      <w:pPr>
        <w:spacing w:after="0" w:line="240" w:lineRule="auto"/>
        <w:jc w:val="both"/>
        <w:rPr>
          <w:rFonts w:ascii="Times New Roman" w:hAnsi="Times New Roman" w:cs="Times New Roman"/>
          <w:sz w:val="24"/>
          <w:szCs w:val="24"/>
        </w:rPr>
      </w:pPr>
    </w:p>
    <w:p w:rsidR="00CB6764" w:rsidRDefault="00CB6764" w:rsidP="0059151D">
      <w:pPr>
        <w:spacing w:after="0" w:line="240" w:lineRule="auto"/>
        <w:jc w:val="both"/>
        <w:rPr>
          <w:rFonts w:ascii="Times New Roman" w:hAnsi="Times New Roman" w:cs="Times New Roman"/>
          <w:sz w:val="24"/>
          <w:szCs w:val="24"/>
        </w:rPr>
      </w:pPr>
    </w:p>
    <w:p w:rsidR="0059151D" w:rsidRPr="00311B0C" w:rsidRDefault="008B1513" w:rsidP="004B7C5D">
      <w:pPr>
        <w:spacing w:after="0" w:line="240" w:lineRule="auto"/>
        <w:jc w:val="both"/>
        <w:rPr>
          <w:rFonts w:ascii="Times New Roman" w:hAnsi="Times New Roman" w:cs="Times New Roman"/>
          <w:b/>
          <w:sz w:val="24"/>
          <w:szCs w:val="24"/>
        </w:rPr>
      </w:pPr>
      <w:bookmarkStart w:id="15" w:name="_Toc444145602"/>
      <w:r>
        <w:rPr>
          <w:rStyle w:val="Heading2Char"/>
        </w:rPr>
        <w:t xml:space="preserve">1 – </w:t>
      </w:r>
      <w:r w:rsidR="00D94BDF" w:rsidRPr="004B7C5D">
        <w:rPr>
          <w:rStyle w:val="Heading2Char"/>
        </w:rPr>
        <w:t>E</w:t>
      </w:r>
      <w:r w:rsidR="00997F41" w:rsidRPr="004B7C5D">
        <w:rPr>
          <w:rStyle w:val="Heading2Char"/>
        </w:rPr>
        <w:t xml:space="preserve">xtend </w:t>
      </w:r>
      <w:r w:rsidR="0059151D" w:rsidRPr="004B7C5D">
        <w:rPr>
          <w:rStyle w:val="Heading2Char"/>
        </w:rPr>
        <w:t xml:space="preserve">the current safe harbour from </w:t>
      </w:r>
      <w:proofErr w:type="spellStart"/>
      <w:r w:rsidR="0045650F" w:rsidRPr="004B7C5D">
        <w:rPr>
          <w:rStyle w:val="Heading2Char"/>
        </w:rPr>
        <w:t>UOMI</w:t>
      </w:r>
      <w:bookmarkEnd w:id="15"/>
      <w:proofErr w:type="spellEnd"/>
    </w:p>
    <w:p w:rsidR="0059151D" w:rsidRPr="00311B0C" w:rsidRDefault="0059151D" w:rsidP="0059151D">
      <w:pPr>
        <w:spacing w:after="0" w:line="240" w:lineRule="auto"/>
        <w:jc w:val="both"/>
        <w:rPr>
          <w:rFonts w:ascii="Times New Roman" w:hAnsi="Times New Roman" w:cs="Times New Roman"/>
          <w:sz w:val="24"/>
          <w:szCs w:val="24"/>
        </w:rPr>
      </w:pPr>
    </w:p>
    <w:p w:rsidR="0059151D" w:rsidRPr="00311B0C" w:rsidRDefault="00AF083F" w:rsidP="005915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UOMI</w:t>
      </w:r>
      <w:proofErr w:type="spellEnd"/>
      <w:r w:rsidR="0059151D" w:rsidRPr="00311B0C">
        <w:rPr>
          <w:rFonts w:ascii="Times New Roman" w:hAnsi="Times New Roman" w:cs="Times New Roman"/>
          <w:sz w:val="24"/>
          <w:szCs w:val="24"/>
        </w:rPr>
        <w:t xml:space="preserve"> applies from the first provisional tax date unless </w:t>
      </w:r>
      <w:r>
        <w:rPr>
          <w:rFonts w:ascii="Times New Roman" w:hAnsi="Times New Roman" w:cs="Times New Roman"/>
          <w:sz w:val="24"/>
          <w:szCs w:val="24"/>
        </w:rPr>
        <w:t xml:space="preserve">the taxpayer is an individual (i.e. a natural person) and their </w:t>
      </w:r>
      <w:proofErr w:type="spellStart"/>
      <w:r>
        <w:rPr>
          <w:rFonts w:ascii="Times New Roman" w:hAnsi="Times New Roman" w:cs="Times New Roman"/>
          <w:sz w:val="24"/>
          <w:szCs w:val="24"/>
        </w:rPr>
        <w:t>RIT</w:t>
      </w:r>
      <w:proofErr w:type="spellEnd"/>
      <w:r>
        <w:rPr>
          <w:rFonts w:ascii="Times New Roman" w:hAnsi="Times New Roman" w:cs="Times New Roman"/>
          <w:sz w:val="24"/>
          <w:szCs w:val="24"/>
        </w:rPr>
        <w:t xml:space="preserve"> is</w:t>
      </w:r>
      <w:r w:rsidR="0059151D" w:rsidRPr="00311B0C">
        <w:rPr>
          <w:rFonts w:ascii="Times New Roman" w:hAnsi="Times New Roman" w:cs="Times New Roman"/>
          <w:sz w:val="24"/>
          <w:szCs w:val="24"/>
        </w:rPr>
        <w:t xml:space="preserve"> less than $50,000</w:t>
      </w:r>
      <w:r w:rsidR="00BC4098">
        <w:rPr>
          <w:rFonts w:ascii="Times New Roman" w:hAnsi="Times New Roman" w:cs="Times New Roman"/>
          <w:sz w:val="24"/>
          <w:szCs w:val="24"/>
        </w:rPr>
        <w:t>,</w:t>
      </w:r>
      <w:r w:rsidR="0059151D" w:rsidRPr="00311B0C">
        <w:rPr>
          <w:rFonts w:ascii="Times New Roman" w:hAnsi="Times New Roman" w:cs="Times New Roman"/>
          <w:sz w:val="24"/>
          <w:szCs w:val="24"/>
        </w:rPr>
        <w:t xml:space="preserve"> in which case </w:t>
      </w:r>
      <w:proofErr w:type="spellStart"/>
      <w:r>
        <w:rPr>
          <w:rFonts w:ascii="Times New Roman" w:hAnsi="Times New Roman" w:cs="Times New Roman"/>
          <w:sz w:val="24"/>
          <w:szCs w:val="24"/>
        </w:rPr>
        <w:t>UOMI</w:t>
      </w:r>
      <w:proofErr w:type="spellEnd"/>
      <w:r w:rsidR="0059151D" w:rsidRPr="00311B0C">
        <w:rPr>
          <w:rFonts w:ascii="Times New Roman" w:hAnsi="Times New Roman" w:cs="Times New Roman"/>
          <w:sz w:val="24"/>
          <w:szCs w:val="24"/>
        </w:rPr>
        <w:t xml:space="preserve"> will apply only from the terminal tax date.</w:t>
      </w:r>
    </w:p>
    <w:p w:rsidR="0059151D" w:rsidRPr="00311B0C" w:rsidRDefault="0059151D" w:rsidP="0059151D">
      <w:pPr>
        <w:spacing w:after="0" w:line="240" w:lineRule="auto"/>
        <w:jc w:val="both"/>
        <w:rPr>
          <w:rFonts w:ascii="Times New Roman" w:hAnsi="Times New Roman" w:cs="Times New Roman"/>
          <w:sz w:val="24"/>
          <w:szCs w:val="24"/>
        </w:rPr>
      </w:pPr>
    </w:p>
    <w:p w:rsidR="0059151D" w:rsidRPr="00311B0C" w:rsidRDefault="0059151D" w:rsidP="0059151D">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One way of alleviating the concern expressed by some taxpayers around the application of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would be to </w:t>
      </w:r>
      <w:r w:rsidR="00997F41">
        <w:rPr>
          <w:rFonts w:ascii="Times New Roman" w:hAnsi="Times New Roman" w:cs="Times New Roman"/>
          <w:sz w:val="24"/>
          <w:szCs w:val="24"/>
        </w:rPr>
        <w:t xml:space="preserve">either </w:t>
      </w:r>
      <w:r w:rsidRPr="00311B0C">
        <w:rPr>
          <w:rFonts w:ascii="Times New Roman" w:hAnsi="Times New Roman" w:cs="Times New Roman"/>
          <w:sz w:val="24"/>
          <w:szCs w:val="24"/>
        </w:rPr>
        <w:t xml:space="preserve">increase the </w:t>
      </w:r>
      <w:proofErr w:type="spellStart"/>
      <w:r w:rsidRPr="00311B0C">
        <w:rPr>
          <w:rFonts w:ascii="Times New Roman" w:hAnsi="Times New Roman" w:cs="Times New Roman"/>
          <w:sz w:val="24"/>
          <w:szCs w:val="24"/>
        </w:rPr>
        <w:t>RIT</w:t>
      </w:r>
      <w:proofErr w:type="spellEnd"/>
      <w:r w:rsidRPr="00311B0C">
        <w:rPr>
          <w:rFonts w:ascii="Times New Roman" w:hAnsi="Times New Roman" w:cs="Times New Roman"/>
          <w:sz w:val="24"/>
          <w:szCs w:val="24"/>
        </w:rPr>
        <w:t xml:space="preserve"> threshold at which </w:t>
      </w:r>
      <w:proofErr w:type="spellStart"/>
      <w:r w:rsidR="00E21698">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is imposed</w:t>
      </w:r>
      <w:r w:rsidR="00997F41">
        <w:rPr>
          <w:rFonts w:ascii="Times New Roman" w:hAnsi="Times New Roman" w:cs="Times New Roman"/>
          <w:sz w:val="24"/>
          <w:szCs w:val="24"/>
        </w:rPr>
        <w:t xml:space="preserve"> and/or extend the threshold to include other groups of taxpayers</w:t>
      </w:r>
      <w:r w:rsidRPr="00311B0C">
        <w:rPr>
          <w:rFonts w:ascii="Times New Roman" w:hAnsi="Times New Roman" w:cs="Times New Roman"/>
          <w:sz w:val="24"/>
          <w:szCs w:val="24"/>
        </w:rPr>
        <w:t xml:space="preserve">. </w:t>
      </w:r>
      <w:r w:rsidR="00BC4098">
        <w:rPr>
          <w:rFonts w:ascii="Times New Roman" w:hAnsi="Times New Roman" w:cs="Times New Roman"/>
          <w:sz w:val="24"/>
          <w:szCs w:val="24"/>
        </w:rPr>
        <w:t>T</w:t>
      </w:r>
      <w:r w:rsidRPr="00311B0C">
        <w:rPr>
          <w:rFonts w:ascii="Times New Roman" w:hAnsi="Times New Roman" w:cs="Times New Roman"/>
          <w:sz w:val="24"/>
          <w:szCs w:val="24"/>
        </w:rPr>
        <w:t xml:space="preserve">axpayers </w:t>
      </w:r>
      <w:r w:rsidR="00AF083F">
        <w:rPr>
          <w:rFonts w:ascii="Times New Roman" w:hAnsi="Times New Roman" w:cs="Times New Roman"/>
          <w:sz w:val="24"/>
          <w:szCs w:val="24"/>
        </w:rPr>
        <w:t>with</w:t>
      </w:r>
      <w:r w:rsidRPr="00311B0C">
        <w:rPr>
          <w:rFonts w:ascii="Times New Roman" w:hAnsi="Times New Roman" w:cs="Times New Roman"/>
          <w:sz w:val="24"/>
          <w:szCs w:val="24"/>
        </w:rPr>
        <w:t xml:space="preserve"> smaller amounts of tax to pay are relatively unsophisticated and are committing to pay a minimum amount of tax </w:t>
      </w:r>
      <w:r w:rsidR="00AF083F">
        <w:rPr>
          <w:rFonts w:ascii="Times New Roman" w:hAnsi="Times New Roman" w:cs="Times New Roman"/>
          <w:sz w:val="24"/>
          <w:szCs w:val="24"/>
        </w:rPr>
        <w:t>using</w:t>
      </w:r>
      <w:r w:rsidRPr="00311B0C">
        <w:rPr>
          <w:rFonts w:ascii="Times New Roman" w:hAnsi="Times New Roman" w:cs="Times New Roman"/>
          <w:sz w:val="24"/>
          <w:szCs w:val="24"/>
        </w:rPr>
        <w:t xml:space="preserve"> previous years</w:t>
      </w:r>
      <w:r w:rsidR="00B628AA">
        <w:rPr>
          <w:rFonts w:ascii="Times New Roman" w:hAnsi="Times New Roman" w:cs="Times New Roman"/>
          <w:sz w:val="24"/>
          <w:szCs w:val="24"/>
        </w:rPr>
        <w:t>’ assessments</w:t>
      </w:r>
      <w:r w:rsidRPr="00311B0C">
        <w:rPr>
          <w:rFonts w:ascii="Times New Roman" w:hAnsi="Times New Roman" w:cs="Times New Roman"/>
          <w:sz w:val="24"/>
          <w:szCs w:val="24"/>
        </w:rPr>
        <w:t xml:space="preserve"> as a proxy for their current year tax liability.</w:t>
      </w:r>
    </w:p>
    <w:p w:rsidR="0059151D" w:rsidRPr="00311B0C" w:rsidRDefault="0059151D" w:rsidP="0059151D">
      <w:pPr>
        <w:spacing w:after="0" w:line="240" w:lineRule="auto"/>
        <w:jc w:val="both"/>
        <w:rPr>
          <w:rFonts w:ascii="Times New Roman" w:hAnsi="Times New Roman" w:cs="Times New Roman"/>
          <w:sz w:val="24"/>
          <w:szCs w:val="24"/>
        </w:rPr>
      </w:pPr>
    </w:p>
    <w:p w:rsidR="0059151D" w:rsidRPr="00311B0C" w:rsidRDefault="0059151D" w:rsidP="0059151D">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Increasing the threshold will take more taxpayers out of the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regime which should reduce stress and increase certainty around their tax payments. In addition, the application of the safe harbour could be extended to non-individuals who </w:t>
      </w:r>
      <w:r w:rsidR="00AF083F">
        <w:rPr>
          <w:rFonts w:ascii="Times New Roman" w:hAnsi="Times New Roman" w:cs="Times New Roman"/>
          <w:sz w:val="24"/>
          <w:szCs w:val="24"/>
        </w:rPr>
        <w:t>have</w:t>
      </w:r>
      <w:r w:rsidRPr="00311B0C">
        <w:rPr>
          <w:rFonts w:ascii="Times New Roman" w:hAnsi="Times New Roman" w:cs="Times New Roman"/>
          <w:sz w:val="24"/>
          <w:szCs w:val="24"/>
        </w:rPr>
        <w:t xml:space="preserve"> low levels of income</w:t>
      </w:r>
      <w:r w:rsidR="00AF083F">
        <w:rPr>
          <w:rFonts w:ascii="Times New Roman" w:hAnsi="Times New Roman" w:cs="Times New Roman"/>
          <w:sz w:val="24"/>
          <w:szCs w:val="24"/>
        </w:rPr>
        <w:t xml:space="preserve"> and are likely to be unsophisticated taxpayers</w:t>
      </w:r>
      <w:r w:rsidRPr="00311B0C">
        <w:rPr>
          <w:rFonts w:ascii="Times New Roman" w:hAnsi="Times New Roman" w:cs="Times New Roman"/>
          <w:sz w:val="24"/>
          <w:szCs w:val="24"/>
        </w:rPr>
        <w:t>.</w:t>
      </w:r>
    </w:p>
    <w:p w:rsidR="0059151D" w:rsidRPr="00311B0C" w:rsidRDefault="0059151D" w:rsidP="0059151D">
      <w:pPr>
        <w:spacing w:after="0" w:line="240" w:lineRule="auto"/>
        <w:jc w:val="both"/>
        <w:rPr>
          <w:rFonts w:ascii="Times New Roman" w:hAnsi="Times New Roman" w:cs="Times New Roman"/>
          <w:sz w:val="24"/>
          <w:szCs w:val="24"/>
        </w:rPr>
      </w:pPr>
    </w:p>
    <w:p w:rsidR="00AF083F" w:rsidRPr="00311B0C" w:rsidRDefault="00AF083F" w:rsidP="00AF083F">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There are a number of levels that the </w:t>
      </w:r>
      <w:proofErr w:type="spellStart"/>
      <w:r w:rsidRPr="00311B0C">
        <w:rPr>
          <w:rFonts w:ascii="Times New Roman" w:hAnsi="Times New Roman" w:cs="Times New Roman"/>
          <w:sz w:val="24"/>
          <w:szCs w:val="24"/>
        </w:rPr>
        <w:t>RIT</w:t>
      </w:r>
      <w:proofErr w:type="spellEnd"/>
      <w:r w:rsidRPr="00311B0C">
        <w:rPr>
          <w:rFonts w:ascii="Times New Roman" w:hAnsi="Times New Roman" w:cs="Times New Roman"/>
          <w:sz w:val="24"/>
          <w:szCs w:val="24"/>
        </w:rPr>
        <w:t xml:space="preserve"> th</w:t>
      </w:r>
      <w:r>
        <w:rPr>
          <w:rFonts w:ascii="Times New Roman" w:hAnsi="Times New Roman" w:cs="Times New Roman"/>
          <w:sz w:val="24"/>
          <w:szCs w:val="24"/>
        </w:rPr>
        <w:t xml:space="preserve">reshold could be increased to. </w:t>
      </w:r>
      <w:r w:rsidRPr="00311B0C">
        <w:rPr>
          <w:rFonts w:ascii="Times New Roman" w:hAnsi="Times New Roman" w:cs="Times New Roman"/>
          <w:sz w:val="24"/>
          <w:szCs w:val="24"/>
        </w:rPr>
        <w:t xml:space="preserve">At the time the threshold </w:t>
      </w:r>
      <w:r>
        <w:rPr>
          <w:rFonts w:ascii="Times New Roman" w:hAnsi="Times New Roman" w:cs="Times New Roman"/>
          <w:sz w:val="24"/>
          <w:szCs w:val="24"/>
        </w:rPr>
        <w:t xml:space="preserve">was increased </w:t>
      </w:r>
      <w:r w:rsidRPr="00311B0C">
        <w:rPr>
          <w:rFonts w:ascii="Times New Roman" w:hAnsi="Times New Roman" w:cs="Times New Roman"/>
          <w:sz w:val="24"/>
          <w:szCs w:val="24"/>
        </w:rPr>
        <w:t>to $50,000</w:t>
      </w:r>
      <w:r>
        <w:rPr>
          <w:rFonts w:ascii="Times New Roman" w:hAnsi="Times New Roman" w:cs="Times New Roman"/>
          <w:sz w:val="24"/>
          <w:szCs w:val="24"/>
        </w:rPr>
        <w:t>,</w:t>
      </w:r>
      <w:r w:rsidRPr="00311B0C">
        <w:rPr>
          <w:rFonts w:ascii="Times New Roman" w:hAnsi="Times New Roman" w:cs="Times New Roman"/>
          <w:sz w:val="24"/>
          <w:szCs w:val="24"/>
        </w:rPr>
        <w:t xml:space="preserve"> it was forecast that 97% of individual taxpayers would fall within the new safe harbour. This means even a small movement in the threshold could remove almost all individuals from the application of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w:t>
      </w:r>
    </w:p>
    <w:p w:rsidR="0059151D" w:rsidRPr="00311B0C" w:rsidRDefault="0059151D" w:rsidP="0059151D">
      <w:pPr>
        <w:spacing w:after="0" w:line="240" w:lineRule="auto"/>
        <w:jc w:val="both"/>
        <w:rPr>
          <w:rFonts w:ascii="Times New Roman" w:hAnsi="Times New Roman" w:cs="Times New Roman"/>
          <w:sz w:val="24"/>
          <w:szCs w:val="24"/>
        </w:rPr>
      </w:pPr>
    </w:p>
    <w:p w:rsidR="00281981" w:rsidRPr="00311B0C" w:rsidRDefault="00281981" w:rsidP="00281981">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This also suggests any </w:t>
      </w:r>
      <w:r>
        <w:rPr>
          <w:rFonts w:ascii="Times New Roman" w:hAnsi="Times New Roman" w:cs="Times New Roman"/>
          <w:sz w:val="24"/>
          <w:szCs w:val="24"/>
        </w:rPr>
        <w:t xml:space="preserve">further </w:t>
      </w:r>
      <w:r w:rsidRPr="00311B0C">
        <w:rPr>
          <w:rFonts w:ascii="Times New Roman" w:hAnsi="Times New Roman" w:cs="Times New Roman"/>
          <w:sz w:val="24"/>
          <w:szCs w:val="24"/>
        </w:rPr>
        <w:t xml:space="preserve">increase in the safe harbour </w:t>
      </w:r>
      <w:proofErr w:type="spellStart"/>
      <w:r w:rsidRPr="00311B0C">
        <w:rPr>
          <w:rFonts w:ascii="Times New Roman" w:hAnsi="Times New Roman" w:cs="Times New Roman"/>
          <w:sz w:val="24"/>
          <w:szCs w:val="24"/>
        </w:rPr>
        <w:t>RIT</w:t>
      </w:r>
      <w:proofErr w:type="spellEnd"/>
      <w:r w:rsidRPr="00311B0C">
        <w:rPr>
          <w:rFonts w:ascii="Times New Roman" w:hAnsi="Times New Roman" w:cs="Times New Roman"/>
          <w:sz w:val="24"/>
          <w:szCs w:val="24"/>
        </w:rPr>
        <w:t xml:space="preserve"> threshold would have limited appeal unless it was extended to </w:t>
      </w:r>
      <w:r>
        <w:rPr>
          <w:rFonts w:ascii="Times New Roman" w:hAnsi="Times New Roman" w:cs="Times New Roman"/>
          <w:sz w:val="24"/>
          <w:szCs w:val="24"/>
        </w:rPr>
        <w:t>other types of</w:t>
      </w:r>
      <w:r w:rsidRPr="00311B0C">
        <w:rPr>
          <w:rFonts w:ascii="Times New Roman" w:hAnsi="Times New Roman" w:cs="Times New Roman"/>
          <w:sz w:val="24"/>
          <w:szCs w:val="24"/>
        </w:rPr>
        <w:t xml:space="preserve"> taxpayers, specifically, non-individual taxpayers.</w:t>
      </w:r>
    </w:p>
    <w:p w:rsidR="0059151D" w:rsidRPr="00311B0C" w:rsidRDefault="0059151D" w:rsidP="0059151D">
      <w:pPr>
        <w:spacing w:after="0" w:line="240" w:lineRule="auto"/>
        <w:jc w:val="both"/>
        <w:rPr>
          <w:rFonts w:ascii="Times New Roman" w:hAnsi="Times New Roman" w:cs="Times New Roman"/>
          <w:sz w:val="24"/>
          <w:szCs w:val="24"/>
        </w:rPr>
      </w:pPr>
    </w:p>
    <w:p w:rsidR="008F1D87" w:rsidRPr="00311B0C" w:rsidRDefault="008F1D87" w:rsidP="008F1D87">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Non-individuals were previously excluded from the safe harbour regime because of concerns around income shifting between individuals and related entities to ensure that no </w:t>
      </w:r>
      <w:proofErr w:type="spellStart"/>
      <w:r>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was payable</w:t>
      </w:r>
      <w:r>
        <w:rPr>
          <w:rFonts w:ascii="Times New Roman" w:hAnsi="Times New Roman" w:cs="Times New Roman"/>
          <w:sz w:val="24"/>
          <w:szCs w:val="24"/>
        </w:rPr>
        <w:t>.</w:t>
      </w:r>
      <w:r w:rsidRPr="00311B0C">
        <w:rPr>
          <w:rFonts w:ascii="Times New Roman" w:hAnsi="Times New Roman" w:cs="Times New Roman"/>
          <w:sz w:val="24"/>
          <w:szCs w:val="24"/>
        </w:rPr>
        <w:t xml:space="preserve"> </w:t>
      </w:r>
      <w:r>
        <w:rPr>
          <w:rFonts w:ascii="Times New Roman" w:hAnsi="Times New Roman" w:cs="Times New Roman"/>
          <w:sz w:val="24"/>
          <w:szCs w:val="24"/>
        </w:rPr>
        <w:t xml:space="preserve">It was also possible for related parties to switch income from one party to another to ensure that </w:t>
      </w:r>
      <w:r w:rsidRPr="00311B0C">
        <w:rPr>
          <w:rFonts w:ascii="Times New Roman" w:hAnsi="Times New Roman" w:cs="Times New Roman"/>
          <w:sz w:val="24"/>
          <w:szCs w:val="24"/>
        </w:rPr>
        <w:t>provisional tax was also not payable due to the application of the provisional tax threshold</w:t>
      </w:r>
      <w:r>
        <w:rPr>
          <w:rFonts w:ascii="Times New Roman" w:hAnsi="Times New Roman" w:cs="Times New Roman"/>
          <w:sz w:val="24"/>
          <w:szCs w:val="24"/>
        </w:rPr>
        <w:t xml:space="preserve"> (i.e., those with residual income tax of less than $2,500 are not subject to provisional tax)</w:t>
      </w:r>
      <w:r w:rsidRPr="00311B0C">
        <w:rPr>
          <w:rFonts w:ascii="Times New Roman" w:hAnsi="Times New Roman" w:cs="Times New Roman"/>
          <w:sz w:val="24"/>
          <w:szCs w:val="24"/>
        </w:rPr>
        <w:t>.</w:t>
      </w:r>
    </w:p>
    <w:p w:rsidR="0059151D" w:rsidRPr="00311B0C" w:rsidRDefault="0059151D" w:rsidP="0059151D">
      <w:pPr>
        <w:spacing w:after="0" w:line="240" w:lineRule="auto"/>
        <w:jc w:val="both"/>
        <w:rPr>
          <w:rFonts w:ascii="Times New Roman" w:hAnsi="Times New Roman" w:cs="Times New Roman"/>
          <w:sz w:val="24"/>
          <w:szCs w:val="24"/>
        </w:rPr>
      </w:pPr>
    </w:p>
    <w:p w:rsidR="0059151D" w:rsidRPr="00311B0C" w:rsidRDefault="0059151D" w:rsidP="0059151D">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Whilst the rules will require some protection mechanisms to restrict taxpayers</w:t>
      </w:r>
      <w:r w:rsidR="00BC4098">
        <w:rPr>
          <w:rFonts w:ascii="Times New Roman" w:hAnsi="Times New Roman" w:cs="Times New Roman"/>
          <w:sz w:val="24"/>
          <w:szCs w:val="24"/>
        </w:rPr>
        <w:t>’</w:t>
      </w:r>
      <w:r w:rsidRPr="00311B0C">
        <w:rPr>
          <w:rFonts w:ascii="Times New Roman" w:hAnsi="Times New Roman" w:cs="Times New Roman"/>
          <w:sz w:val="24"/>
          <w:szCs w:val="24"/>
        </w:rPr>
        <w:t xml:space="preserve"> ability to undertake this switching</w:t>
      </w:r>
      <w:r w:rsidR="0083184B">
        <w:rPr>
          <w:rFonts w:ascii="Times New Roman" w:hAnsi="Times New Roman" w:cs="Times New Roman"/>
          <w:sz w:val="24"/>
          <w:szCs w:val="24"/>
        </w:rPr>
        <w:t>,</w:t>
      </w:r>
      <w:r w:rsidRPr="00311B0C">
        <w:rPr>
          <w:rFonts w:ascii="Times New Roman" w:hAnsi="Times New Roman" w:cs="Times New Roman"/>
          <w:sz w:val="24"/>
          <w:szCs w:val="24"/>
        </w:rPr>
        <w:t xml:space="preserve"> the benefits to most taxpayers will outweigh these restrictions. In addition, since these rules were reviewed the prospect of increased visibility through more comprehensive systems should enable any potential gaming to be identified.</w:t>
      </w:r>
    </w:p>
    <w:p w:rsidR="0059151D" w:rsidRPr="00311B0C" w:rsidRDefault="0059151D" w:rsidP="0059151D">
      <w:pPr>
        <w:spacing w:after="0" w:line="240" w:lineRule="auto"/>
        <w:jc w:val="both"/>
        <w:rPr>
          <w:rFonts w:ascii="Times New Roman" w:hAnsi="Times New Roman" w:cs="Times New Roman"/>
          <w:sz w:val="24"/>
          <w:szCs w:val="24"/>
        </w:rPr>
      </w:pPr>
    </w:p>
    <w:p w:rsidR="0059151D" w:rsidRPr="00311B0C" w:rsidRDefault="0059151D" w:rsidP="0059151D">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This proposal increases the threshold before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will apply from $50,000 to $60,000 and expand</w:t>
      </w:r>
      <w:r w:rsidR="00DC53C9">
        <w:rPr>
          <w:rFonts w:ascii="Times New Roman" w:hAnsi="Times New Roman" w:cs="Times New Roman"/>
          <w:sz w:val="24"/>
          <w:szCs w:val="24"/>
        </w:rPr>
        <w:t>s</w:t>
      </w:r>
      <w:r w:rsidRPr="00311B0C">
        <w:rPr>
          <w:rFonts w:ascii="Times New Roman" w:hAnsi="Times New Roman" w:cs="Times New Roman"/>
          <w:sz w:val="24"/>
          <w:szCs w:val="24"/>
        </w:rPr>
        <w:t xml:space="preserve"> the scope of this rule to non-individuals as well as individuals.</w:t>
      </w:r>
    </w:p>
    <w:p w:rsidR="0059151D" w:rsidRPr="00311B0C" w:rsidRDefault="0059151D" w:rsidP="0059151D">
      <w:pPr>
        <w:spacing w:after="0" w:line="240" w:lineRule="auto"/>
        <w:jc w:val="both"/>
        <w:rPr>
          <w:rFonts w:ascii="Times New Roman" w:hAnsi="Times New Roman" w:cs="Times New Roman"/>
          <w:sz w:val="24"/>
          <w:szCs w:val="24"/>
        </w:rPr>
      </w:pPr>
    </w:p>
    <w:p w:rsidR="0059151D" w:rsidRPr="00311B0C" w:rsidRDefault="0059151D" w:rsidP="0059151D">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This will reduce the number of taxpayers subject to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by an additional 67,000 taxpayers</w:t>
      </w:r>
      <w:r w:rsidR="0083184B">
        <w:rPr>
          <w:rFonts w:ascii="Times New Roman" w:hAnsi="Times New Roman" w:cs="Times New Roman"/>
          <w:sz w:val="24"/>
          <w:szCs w:val="24"/>
        </w:rPr>
        <w:t>,</w:t>
      </w:r>
      <w:r w:rsidRPr="00311B0C">
        <w:rPr>
          <w:rFonts w:ascii="Times New Roman" w:hAnsi="Times New Roman" w:cs="Times New Roman"/>
          <w:sz w:val="24"/>
          <w:szCs w:val="24"/>
        </w:rPr>
        <w:t xml:space="preserve"> the majority be</w:t>
      </w:r>
      <w:r w:rsidR="00BC4098">
        <w:rPr>
          <w:rFonts w:ascii="Times New Roman" w:hAnsi="Times New Roman" w:cs="Times New Roman"/>
          <w:sz w:val="24"/>
          <w:szCs w:val="24"/>
        </w:rPr>
        <w:t>ing</w:t>
      </w:r>
      <w:r w:rsidRPr="00311B0C">
        <w:rPr>
          <w:rFonts w:ascii="Times New Roman" w:hAnsi="Times New Roman" w:cs="Times New Roman"/>
          <w:sz w:val="24"/>
          <w:szCs w:val="24"/>
        </w:rPr>
        <w:t xml:space="preserve"> non-individuals. The object of the change is to remove smaller taxpayer</w:t>
      </w:r>
      <w:r w:rsidR="00B628AA">
        <w:rPr>
          <w:rFonts w:ascii="Times New Roman" w:hAnsi="Times New Roman" w:cs="Times New Roman"/>
          <w:sz w:val="24"/>
          <w:szCs w:val="24"/>
        </w:rPr>
        <w:t>s</w:t>
      </w:r>
      <w:r w:rsidRPr="00311B0C">
        <w:rPr>
          <w:rFonts w:ascii="Times New Roman" w:hAnsi="Times New Roman" w:cs="Times New Roman"/>
          <w:sz w:val="24"/>
          <w:szCs w:val="24"/>
        </w:rPr>
        <w:t xml:space="preserve"> from the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rules</w:t>
      </w:r>
      <w:r w:rsidR="00BC4098">
        <w:rPr>
          <w:rFonts w:ascii="Times New Roman" w:hAnsi="Times New Roman" w:cs="Times New Roman"/>
          <w:sz w:val="24"/>
          <w:szCs w:val="24"/>
        </w:rPr>
        <w:t>,</w:t>
      </w:r>
      <w:r w:rsidRPr="00311B0C">
        <w:rPr>
          <w:rFonts w:ascii="Times New Roman" w:hAnsi="Times New Roman" w:cs="Times New Roman"/>
          <w:sz w:val="24"/>
          <w:szCs w:val="24"/>
        </w:rPr>
        <w:t xml:space="preserve"> reducing their stress and increasing certainty around their tax liabilities.</w:t>
      </w:r>
    </w:p>
    <w:p w:rsidR="0059151D" w:rsidRPr="00311B0C" w:rsidRDefault="0059151D" w:rsidP="0059151D">
      <w:pPr>
        <w:spacing w:after="0" w:line="240" w:lineRule="auto"/>
        <w:jc w:val="both"/>
        <w:rPr>
          <w:rFonts w:ascii="Times New Roman" w:hAnsi="Times New Roman" w:cs="Times New Roman"/>
          <w:sz w:val="24"/>
          <w:szCs w:val="24"/>
        </w:rPr>
      </w:pPr>
    </w:p>
    <w:p w:rsidR="00281981" w:rsidRPr="00311B0C" w:rsidRDefault="00281981" w:rsidP="002819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311B0C">
        <w:rPr>
          <w:rFonts w:ascii="Times New Roman" w:hAnsi="Times New Roman" w:cs="Times New Roman"/>
          <w:sz w:val="24"/>
          <w:szCs w:val="24"/>
        </w:rPr>
        <w:t>everal thresholds were considered</w:t>
      </w:r>
      <w:r>
        <w:rPr>
          <w:rFonts w:ascii="Times New Roman" w:hAnsi="Times New Roman" w:cs="Times New Roman"/>
          <w:sz w:val="24"/>
          <w:szCs w:val="24"/>
        </w:rPr>
        <w:t>. The option of increasing the threshold</w:t>
      </w:r>
      <w:r w:rsidRPr="00311B0C">
        <w:rPr>
          <w:rFonts w:ascii="Times New Roman" w:hAnsi="Times New Roman" w:cs="Times New Roman"/>
          <w:sz w:val="24"/>
          <w:szCs w:val="24"/>
        </w:rPr>
        <w:t xml:space="preserve"> to $60,000 of </w:t>
      </w:r>
      <w:proofErr w:type="spellStart"/>
      <w:r w:rsidRPr="00311B0C">
        <w:rPr>
          <w:rFonts w:ascii="Times New Roman" w:hAnsi="Times New Roman" w:cs="Times New Roman"/>
          <w:sz w:val="24"/>
          <w:szCs w:val="24"/>
        </w:rPr>
        <w:t>RIT</w:t>
      </w:r>
      <w:proofErr w:type="spellEnd"/>
      <w:r w:rsidRPr="00311B0C">
        <w:rPr>
          <w:rFonts w:ascii="Times New Roman" w:hAnsi="Times New Roman" w:cs="Times New Roman"/>
          <w:sz w:val="24"/>
          <w:szCs w:val="24"/>
        </w:rPr>
        <w:t xml:space="preserve"> and the extension of the rule to non-individuals fitted within the fiscal parameters. </w:t>
      </w:r>
      <w:r>
        <w:rPr>
          <w:rFonts w:ascii="Times New Roman" w:hAnsi="Times New Roman" w:cs="Times New Roman"/>
          <w:sz w:val="24"/>
          <w:szCs w:val="24"/>
        </w:rPr>
        <w:t>A</w:t>
      </w:r>
      <w:r w:rsidRPr="00311B0C">
        <w:rPr>
          <w:rFonts w:ascii="Times New Roman" w:hAnsi="Times New Roman" w:cs="Times New Roman"/>
          <w:sz w:val="24"/>
          <w:szCs w:val="24"/>
        </w:rPr>
        <w:t xml:space="preserve"> $60,000 level reduces the application of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to individuals to very small numbers</w:t>
      </w:r>
      <w:r>
        <w:rPr>
          <w:rFonts w:ascii="Times New Roman" w:hAnsi="Times New Roman" w:cs="Times New Roman"/>
          <w:sz w:val="24"/>
          <w:szCs w:val="24"/>
        </w:rPr>
        <w:t>,</w:t>
      </w:r>
      <w:r w:rsidRPr="00311B0C">
        <w:rPr>
          <w:rFonts w:ascii="Times New Roman" w:hAnsi="Times New Roman" w:cs="Times New Roman"/>
          <w:sz w:val="24"/>
          <w:szCs w:val="24"/>
        </w:rPr>
        <w:t xml:space="preserve"> while the extension removes a significant number of non-individuals from the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rules.</w:t>
      </w:r>
    </w:p>
    <w:p w:rsidR="0059151D" w:rsidRPr="00311B0C" w:rsidRDefault="0059151D" w:rsidP="0059151D">
      <w:pPr>
        <w:spacing w:after="0" w:line="240" w:lineRule="auto"/>
        <w:jc w:val="both"/>
        <w:rPr>
          <w:rFonts w:ascii="Times New Roman" w:hAnsi="Times New Roman" w:cs="Times New Roman"/>
          <w:sz w:val="24"/>
          <w:szCs w:val="24"/>
        </w:rPr>
      </w:pPr>
    </w:p>
    <w:p w:rsidR="0059151D" w:rsidRPr="00311B0C" w:rsidRDefault="0059151D" w:rsidP="0059151D">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A </w:t>
      </w:r>
      <w:r w:rsidR="00281981">
        <w:rPr>
          <w:rFonts w:ascii="Times New Roman" w:hAnsi="Times New Roman" w:cs="Times New Roman"/>
          <w:sz w:val="24"/>
          <w:szCs w:val="24"/>
        </w:rPr>
        <w:t>higher</w:t>
      </w:r>
      <w:r w:rsidRPr="00311B0C">
        <w:rPr>
          <w:rFonts w:ascii="Times New Roman" w:hAnsi="Times New Roman" w:cs="Times New Roman"/>
          <w:sz w:val="24"/>
          <w:szCs w:val="24"/>
        </w:rPr>
        <w:t xml:space="preserve"> </w:t>
      </w:r>
      <w:proofErr w:type="spellStart"/>
      <w:r w:rsidRPr="00311B0C">
        <w:rPr>
          <w:rFonts w:ascii="Times New Roman" w:hAnsi="Times New Roman" w:cs="Times New Roman"/>
          <w:sz w:val="24"/>
          <w:szCs w:val="24"/>
        </w:rPr>
        <w:t>RIT</w:t>
      </w:r>
      <w:proofErr w:type="spellEnd"/>
      <w:r w:rsidRPr="00311B0C">
        <w:rPr>
          <w:rFonts w:ascii="Times New Roman" w:hAnsi="Times New Roman" w:cs="Times New Roman"/>
          <w:sz w:val="24"/>
          <w:szCs w:val="24"/>
        </w:rPr>
        <w:t xml:space="preserve"> level such as $70</w:t>
      </w:r>
      <w:r w:rsidR="00BC4098">
        <w:rPr>
          <w:rFonts w:ascii="Times New Roman" w:hAnsi="Times New Roman" w:cs="Times New Roman"/>
          <w:sz w:val="24"/>
          <w:szCs w:val="24"/>
        </w:rPr>
        <w:t>,000</w:t>
      </w:r>
      <w:r w:rsidRPr="00311B0C">
        <w:rPr>
          <w:rFonts w:ascii="Times New Roman" w:hAnsi="Times New Roman" w:cs="Times New Roman"/>
          <w:sz w:val="24"/>
          <w:szCs w:val="24"/>
        </w:rPr>
        <w:t xml:space="preserve"> or $80,000 </w:t>
      </w:r>
      <w:r w:rsidR="00BC4098">
        <w:rPr>
          <w:rFonts w:ascii="Times New Roman" w:hAnsi="Times New Roman" w:cs="Times New Roman"/>
          <w:sz w:val="24"/>
          <w:szCs w:val="24"/>
        </w:rPr>
        <w:t>would</w:t>
      </w:r>
      <w:r w:rsidR="00BC4098" w:rsidRPr="00311B0C">
        <w:rPr>
          <w:rFonts w:ascii="Times New Roman" w:hAnsi="Times New Roman" w:cs="Times New Roman"/>
          <w:sz w:val="24"/>
          <w:szCs w:val="24"/>
        </w:rPr>
        <w:t xml:space="preserve"> </w:t>
      </w:r>
      <w:r w:rsidRPr="00311B0C">
        <w:rPr>
          <w:rFonts w:ascii="Times New Roman" w:hAnsi="Times New Roman" w:cs="Times New Roman"/>
          <w:sz w:val="24"/>
          <w:szCs w:val="24"/>
        </w:rPr>
        <w:t>remov</w:t>
      </w:r>
      <w:r w:rsidR="00BC4098">
        <w:rPr>
          <w:rFonts w:ascii="Times New Roman" w:hAnsi="Times New Roman" w:cs="Times New Roman"/>
          <w:sz w:val="24"/>
          <w:szCs w:val="24"/>
        </w:rPr>
        <w:t>e</w:t>
      </w:r>
      <w:r w:rsidRPr="00311B0C">
        <w:rPr>
          <w:rFonts w:ascii="Times New Roman" w:hAnsi="Times New Roman" w:cs="Times New Roman"/>
          <w:sz w:val="24"/>
          <w:szCs w:val="24"/>
        </w:rPr>
        <w:t xml:space="preserve"> more taxpayers from the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rules</w:t>
      </w:r>
      <w:r w:rsidR="00BC4098">
        <w:rPr>
          <w:rFonts w:ascii="Times New Roman" w:hAnsi="Times New Roman" w:cs="Times New Roman"/>
          <w:sz w:val="24"/>
          <w:szCs w:val="24"/>
        </w:rPr>
        <w:t>, but</w:t>
      </w:r>
      <w:r w:rsidRPr="00311B0C">
        <w:rPr>
          <w:rFonts w:ascii="Times New Roman" w:hAnsi="Times New Roman" w:cs="Times New Roman"/>
          <w:sz w:val="24"/>
          <w:szCs w:val="24"/>
        </w:rPr>
        <w:t xml:space="preserve"> would have additional cost </w:t>
      </w:r>
      <w:r w:rsidR="00BC4098">
        <w:rPr>
          <w:rFonts w:ascii="Times New Roman" w:hAnsi="Times New Roman" w:cs="Times New Roman"/>
          <w:sz w:val="24"/>
          <w:szCs w:val="24"/>
        </w:rPr>
        <w:t>and</w:t>
      </w:r>
      <w:r w:rsidRPr="00311B0C">
        <w:rPr>
          <w:rFonts w:ascii="Times New Roman" w:hAnsi="Times New Roman" w:cs="Times New Roman"/>
          <w:sz w:val="24"/>
          <w:szCs w:val="24"/>
        </w:rPr>
        <w:t xml:space="preserve"> would result in some reasonably sophisticated taxpayers being included within the </w:t>
      </w:r>
      <w:r w:rsidR="00BC4098">
        <w:rPr>
          <w:rFonts w:ascii="Times New Roman" w:hAnsi="Times New Roman" w:cs="Times New Roman"/>
          <w:sz w:val="24"/>
          <w:szCs w:val="24"/>
        </w:rPr>
        <w:t>rules. This would</w:t>
      </w:r>
      <w:r w:rsidRPr="00311B0C">
        <w:rPr>
          <w:rFonts w:ascii="Times New Roman" w:hAnsi="Times New Roman" w:cs="Times New Roman"/>
          <w:sz w:val="24"/>
          <w:szCs w:val="24"/>
        </w:rPr>
        <w:t xml:space="preserve"> defeat the intention of removing those taxpayers who can struggle with predicting their income.</w:t>
      </w:r>
    </w:p>
    <w:p w:rsidR="0059151D" w:rsidRPr="00311B0C" w:rsidRDefault="0059151D" w:rsidP="0059151D">
      <w:pPr>
        <w:spacing w:after="0" w:line="240" w:lineRule="auto"/>
        <w:jc w:val="both"/>
        <w:rPr>
          <w:rFonts w:ascii="Times New Roman" w:hAnsi="Times New Roman" w:cs="Times New Roman"/>
          <w:sz w:val="24"/>
          <w:szCs w:val="24"/>
        </w:rPr>
      </w:pPr>
    </w:p>
    <w:p w:rsidR="004B7C5D" w:rsidRDefault="00281981" w:rsidP="0059151D">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Another option would have been to retain the $50,000 threshold but extend the rules to non-individuals. The number of taxpayers that are within </w:t>
      </w:r>
      <w:r>
        <w:rPr>
          <w:rFonts w:ascii="Times New Roman" w:hAnsi="Times New Roman" w:cs="Times New Roman"/>
          <w:sz w:val="24"/>
          <w:szCs w:val="24"/>
        </w:rPr>
        <w:t>the</w:t>
      </w:r>
      <w:r w:rsidRPr="00311B0C">
        <w:rPr>
          <w:rFonts w:ascii="Times New Roman" w:hAnsi="Times New Roman" w:cs="Times New Roman"/>
          <w:sz w:val="24"/>
          <w:szCs w:val="24"/>
        </w:rPr>
        <w:t xml:space="preserve"> $50-60,000 band of </w:t>
      </w:r>
      <w:proofErr w:type="spellStart"/>
      <w:r w:rsidRPr="00311B0C">
        <w:rPr>
          <w:rFonts w:ascii="Times New Roman" w:hAnsi="Times New Roman" w:cs="Times New Roman"/>
          <w:sz w:val="24"/>
          <w:szCs w:val="24"/>
        </w:rPr>
        <w:t>RIT</w:t>
      </w:r>
      <w:proofErr w:type="spellEnd"/>
      <w:r w:rsidRPr="00311B0C">
        <w:rPr>
          <w:rFonts w:ascii="Times New Roman" w:hAnsi="Times New Roman" w:cs="Times New Roman"/>
          <w:sz w:val="24"/>
          <w:szCs w:val="24"/>
        </w:rPr>
        <w:t xml:space="preserve"> is approximately 4,000</w:t>
      </w:r>
      <w:r>
        <w:rPr>
          <w:rFonts w:ascii="Times New Roman" w:hAnsi="Times New Roman" w:cs="Times New Roman"/>
          <w:sz w:val="24"/>
          <w:szCs w:val="24"/>
        </w:rPr>
        <w:t>.</w:t>
      </w:r>
      <w:r w:rsidRPr="00311B0C" w:rsidDel="00C30A92">
        <w:rPr>
          <w:rFonts w:ascii="Times New Roman" w:hAnsi="Times New Roman" w:cs="Times New Roman"/>
          <w:sz w:val="24"/>
          <w:szCs w:val="24"/>
        </w:rPr>
        <w:t xml:space="preserve"> </w:t>
      </w:r>
    </w:p>
    <w:p w:rsidR="0059151D" w:rsidRPr="00311B0C" w:rsidRDefault="0059151D" w:rsidP="0059151D">
      <w:pPr>
        <w:spacing w:after="0" w:line="240" w:lineRule="auto"/>
        <w:jc w:val="both"/>
        <w:rPr>
          <w:rFonts w:ascii="Times New Roman" w:hAnsi="Times New Roman" w:cs="Times New Roman"/>
          <w:sz w:val="24"/>
          <w:szCs w:val="24"/>
        </w:rPr>
      </w:pPr>
    </w:p>
    <w:p w:rsidR="0059151D" w:rsidRDefault="0059151D" w:rsidP="0059151D">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Consequently the proposal is to increase the safe harbour threshold from $50,000 to $60,000 and make this available to non-individuals as well as individuals. This proposal deals with the </w:t>
      </w:r>
      <w:r w:rsidR="00C164C7">
        <w:rPr>
          <w:rFonts w:ascii="Times New Roman" w:hAnsi="Times New Roman" w:cs="Times New Roman"/>
          <w:sz w:val="24"/>
          <w:szCs w:val="24"/>
        </w:rPr>
        <w:t>issues</w:t>
      </w:r>
      <w:r w:rsidR="00C164C7" w:rsidRPr="00311B0C">
        <w:rPr>
          <w:rFonts w:ascii="Times New Roman" w:hAnsi="Times New Roman" w:cs="Times New Roman"/>
          <w:sz w:val="24"/>
          <w:szCs w:val="24"/>
        </w:rPr>
        <w:t xml:space="preserve"> </w:t>
      </w:r>
      <w:r w:rsidRPr="00311B0C">
        <w:rPr>
          <w:rFonts w:ascii="Times New Roman" w:hAnsi="Times New Roman" w:cs="Times New Roman"/>
          <w:sz w:val="24"/>
          <w:szCs w:val="24"/>
        </w:rPr>
        <w:t xml:space="preserve">around certainty of tax payments and the stress some taxpayers feel over provisional tax and the application of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w:t>
      </w:r>
    </w:p>
    <w:p w:rsidR="0052125B" w:rsidRDefault="0052125B" w:rsidP="0059151D">
      <w:pPr>
        <w:spacing w:after="0" w:line="240" w:lineRule="auto"/>
        <w:jc w:val="both"/>
        <w:rPr>
          <w:rFonts w:ascii="Times New Roman" w:hAnsi="Times New Roman" w:cs="Times New Roman"/>
          <w:sz w:val="24"/>
          <w:szCs w:val="24"/>
        </w:rPr>
      </w:pPr>
    </w:p>
    <w:p w:rsidR="0052125B" w:rsidRPr="00311B0C" w:rsidRDefault="0052125B" w:rsidP="0059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options are analysed against the objectives in the table on the next page.</w:t>
      </w:r>
    </w:p>
    <w:p w:rsidR="0052125B" w:rsidRDefault="0052125B" w:rsidP="0059151D">
      <w:pPr>
        <w:spacing w:after="0" w:line="240" w:lineRule="auto"/>
        <w:jc w:val="both"/>
        <w:rPr>
          <w:rFonts w:ascii="Times New Roman" w:hAnsi="Times New Roman" w:cs="Times New Roman"/>
          <w:sz w:val="24"/>
          <w:szCs w:val="24"/>
        </w:rPr>
        <w:sectPr w:rsidR="0052125B">
          <w:footerReference w:type="default" r:id="rId10"/>
          <w:pgSz w:w="11906" w:h="16838"/>
          <w:pgMar w:top="1440" w:right="1440" w:bottom="1440" w:left="1440" w:header="708" w:footer="708" w:gutter="0"/>
          <w:cols w:space="708"/>
          <w:docGrid w:linePitch="360"/>
        </w:sectPr>
      </w:pPr>
    </w:p>
    <w:tbl>
      <w:tblPr>
        <w:tblStyle w:val="TableGrid"/>
        <w:tblW w:w="14512" w:type="dxa"/>
        <w:tblLook w:val="04A0" w:firstRow="1" w:lastRow="0" w:firstColumn="1" w:lastColumn="0" w:noHBand="0" w:noVBand="1"/>
      </w:tblPr>
      <w:tblGrid>
        <w:gridCol w:w="1635"/>
        <w:gridCol w:w="2934"/>
        <w:gridCol w:w="4360"/>
        <w:gridCol w:w="2441"/>
        <w:gridCol w:w="3142"/>
      </w:tblGrid>
      <w:tr w:rsidR="0052125B" w:rsidRPr="00311B0C" w:rsidTr="0052125B">
        <w:trPr>
          <w:trHeight w:val="562"/>
          <w:tblHeader/>
        </w:trPr>
        <w:tc>
          <w:tcPr>
            <w:tcW w:w="1635" w:type="dxa"/>
          </w:tcPr>
          <w:p w:rsidR="0052125B" w:rsidRPr="003771CA" w:rsidRDefault="0052125B" w:rsidP="0052125B">
            <w:pPr>
              <w:rPr>
                <w:rFonts w:ascii="Times New Roman" w:hAnsi="Times New Roman" w:cs="Times New Roman"/>
                <w:b/>
                <w:sz w:val="24"/>
                <w:szCs w:val="24"/>
              </w:rPr>
            </w:pPr>
            <w:r w:rsidRPr="003771CA">
              <w:rPr>
                <w:rFonts w:ascii="Times New Roman" w:hAnsi="Times New Roman" w:cs="Times New Roman"/>
                <w:b/>
                <w:sz w:val="24"/>
                <w:szCs w:val="24"/>
              </w:rPr>
              <w:t>Options</w:t>
            </w:r>
          </w:p>
        </w:tc>
        <w:tc>
          <w:tcPr>
            <w:tcW w:w="2934" w:type="dxa"/>
          </w:tcPr>
          <w:p w:rsidR="0052125B" w:rsidRPr="00CB6764" w:rsidRDefault="0052125B" w:rsidP="0052125B">
            <w:pPr>
              <w:rPr>
                <w:rFonts w:ascii="Times New Roman" w:hAnsi="Times New Roman" w:cs="Times New Roman"/>
                <w:b/>
                <w:sz w:val="24"/>
                <w:szCs w:val="24"/>
              </w:rPr>
            </w:pPr>
            <w:r w:rsidRPr="00CB6764">
              <w:rPr>
                <w:rFonts w:ascii="Times New Roman" w:hAnsi="Times New Roman" w:cs="Times New Roman"/>
                <w:b/>
                <w:sz w:val="24"/>
                <w:szCs w:val="24"/>
              </w:rPr>
              <w:t>Fairness and equity</w:t>
            </w:r>
          </w:p>
        </w:tc>
        <w:tc>
          <w:tcPr>
            <w:tcW w:w="4360" w:type="dxa"/>
          </w:tcPr>
          <w:p w:rsidR="0052125B" w:rsidRPr="00CB6764" w:rsidRDefault="0052125B" w:rsidP="0052125B">
            <w:pPr>
              <w:rPr>
                <w:rFonts w:ascii="Times New Roman" w:hAnsi="Times New Roman" w:cs="Times New Roman"/>
                <w:b/>
                <w:sz w:val="24"/>
                <w:szCs w:val="24"/>
              </w:rPr>
            </w:pPr>
            <w:r w:rsidRPr="00CB6764">
              <w:rPr>
                <w:rFonts w:ascii="Times New Roman" w:hAnsi="Times New Roman" w:cs="Times New Roman"/>
                <w:b/>
                <w:sz w:val="24"/>
                <w:szCs w:val="24"/>
              </w:rPr>
              <w:t>Efficiency of compliance and administration</w:t>
            </w:r>
          </w:p>
        </w:tc>
        <w:tc>
          <w:tcPr>
            <w:tcW w:w="2441" w:type="dxa"/>
          </w:tcPr>
          <w:p w:rsidR="0052125B" w:rsidRPr="00CB6764" w:rsidRDefault="0052125B" w:rsidP="0052125B">
            <w:pPr>
              <w:rPr>
                <w:rFonts w:ascii="Times New Roman" w:hAnsi="Times New Roman" w:cs="Times New Roman"/>
                <w:b/>
                <w:sz w:val="24"/>
                <w:szCs w:val="24"/>
              </w:rPr>
            </w:pPr>
            <w:r w:rsidRPr="00CB6764">
              <w:rPr>
                <w:rFonts w:ascii="Times New Roman" w:hAnsi="Times New Roman" w:cs="Times New Roman"/>
                <w:b/>
                <w:sz w:val="24"/>
                <w:szCs w:val="24"/>
              </w:rPr>
              <w:t>Sustainability of tax system</w:t>
            </w:r>
          </w:p>
        </w:tc>
        <w:tc>
          <w:tcPr>
            <w:tcW w:w="3142" w:type="dxa"/>
          </w:tcPr>
          <w:p w:rsidR="0052125B" w:rsidRPr="003771CA" w:rsidRDefault="0052125B" w:rsidP="0052125B">
            <w:pPr>
              <w:rPr>
                <w:rFonts w:ascii="Times New Roman" w:hAnsi="Times New Roman" w:cs="Times New Roman"/>
                <w:b/>
                <w:sz w:val="24"/>
                <w:szCs w:val="24"/>
              </w:rPr>
            </w:pPr>
            <w:r w:rsidRPr="003771CA">
              <w:rPr>
                <w:rFonts w:ascii="Times New Roman" w:hAnsi="Times New Roman" w:cs="Times New Roman"/>
                <w:b/>
                <w:sz w:val="24"/>
                <w:szCs w:val="24"/>
              </w:rPr>
              <w:t>Revenue</w:t>
            </w:r>
          </w:p>
        </w:tc>
      </w:tr>
      <w:tr w:rsidR="0052125B" w:rsidRPr="00311B0C" w:rsidTr="0052125B">
        <w:trPr>
          <w:trHeight w:val="2568"/>
        </w:trPr>
        <w:tc>
          <w:tcPr>
            <w:tcW w:w="1635" w:type="dxa"/>
          </w:tcPr>
          <w:p w:rsidR="0052125B" w:rsidRPr="00420D8B" w:rsidRDefault="0052125B" w:rsidP="0052125B">
            <w:pPr>
              <w:pStyle w:val="ListParagraph"/>
              <w:ind w:left="0"/>
              <w:rPr>
                <w:rFonts w:ascii="Times New Roman" w:hAnsi="Times New Roman" w:cs="Times New Roman"/>
                <w:sz w:val="24"/>
                <w:szCs w:val="24"/>
              </w:rPr>
            </w:pPr>
            <w:r w:rsidRPr="00420D8B">
              <w:rPr>
                <w:rFonts w:ascii="Times New Roman" w:hAnsi="Times New Roman" w:cs="Times New Roman"/>
                <w:sz w:val="24"/>
                <w:szCs w:val="24"/>
              </w:rPr>
              <w:t>1. Retain the status quo</w:t>
            </w:r>
          </w:p>
        </w:tc>
        <w:tc>
          <w:tcPr>
            <w:tcW w:w="2934" w:type="dxa"/>
          </w:tcPr>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Not met</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The application of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will continue to have a penal effect rather than a use of funds effect.</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The application of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to taxpayers who use the standard method will continue to have</w:t>
            </w:r>
            <w:r>
              <w:rPr>
                <w:rFonts w:ascii="Times New Roman" w:hAnsi="Times New Roman" w:cs="Times New Roman"/>
                <w:sz w:val="24"/>
                <w:szCs w:val="24"/>
              </w:rPr>
              <w:t xml:space="preserve"> an impact</w:t>
            </w:r>
            <w:r w:rsidRPr="00311B0C">
              <w:rPr>
                <w:rFonts w:ascii="Times New Roman" w:hAnsi="Times New Roman" w:cs="Times New Roman"/>
                <w:sz w:val="24"/>
                <w:szCs w:val="24"/>
              </w:rPr>
              <w:t xml:space="preserve"> on fairness aspects.</w:t>
            </w:r>
          </w:p>
          <w:p w:rsidR="0052125B" w:rsidRPr="00311B0C" w:rsidRDefault="0052125B" w:rsidP="0052125B">
            <w:pPr>
              <w:jc w:val="both"/>
              <w:rPr>
                <w:rFonts w:ascii="Times New Roman" w:hAnsi="Times New Roman" w:cs="Times New Roman"/>
                <w:sz w:val="24"/>
                <w:szCs w:val="24"/>
              </w:rPr>
            </w:pPr>
          </w:p>
        </w:tc>
        <w:tc>
          <w:tcPr>
            <w:tcW w:w="4360" w:type="dxa"/>
          </w:tcPr>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Not met</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r>
              <w:rPr>
                <w:rFonts w:ascii="Times New Roman" w:hAnsi="Times New Roman" w:cs="Times New Roman"/>
                <w:sz w:val="24"/>
                <w:szCs w:val="24"/>
              </w:rPr>
              <w:t>T</w:t>
            </w:r>
            <w:r w:rsidRPr="00311B0C">
              <w:rPr>
                <w:rFonts w:ascii="Times New Roman" w:hAnsi="Times New Roman" w:cs="Times New Roman"/>
                <w:sz w:val="24"/>
                <w:szCs w:val="24"/>
              </w:rPr>
              <w:t xml:space="preserve">axpayers </w:t>
            </w:r>
            <w:r>
              <w:rPr>
                <w:rFonts w:ascii="Times New Roman" w:hAnsi="Times New Roman" w:cs="Times New Roman"/>
                <w:sz w:val="24"/>
                <w:szCs w:val="24"/>
              </w:rPr>
              <w:t>will continue to experience</w:t>
            </w:r>
            <w:r w:rsidRPr="00311B0C">
              <w:rPr>
                <w:rFonts w:ascii="Times New Roman" w:hAnsi="Times New Roman" w:cs="Times New Roman"/>
                <w:sz w:val="24"/>
                <w:szCs w:val="24"/>
              </w:rPr>
              <w:t xml:space="preserve"> uncertainty </w:t>
            </w:r>
            <w:r>
              <w:rPr>
                <w:rFonts w:ascii="Times New Roman" w:hAnsi="Times New Roman" w:cs="Times New Roman"/>
                <w:sz w:val="24"/>
                <w:szCs w:val="24"/>
              </w:rPr>
              <w:t>in</w:t>
            </w:r>
            <w:r w:rsidRPr="00311B0C">
              <w:rPr>
                <w:rFonts w:ascii="Times New Roman" w:hAnsi="Times New Roman" w:cs="Times New Roman"/>
                <w:sz w:val="24"/>
                <w:szCs w:val="24"/>
              </w:rPr>
              <w:t xml:space="preserve"> the application of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to them</w:t>
            </w:r>
            <w:r>
              <w:rPr>
                <w:rFonts w:ascii="Times New Roman" w:hAnsi="Times New Roman" w:cs="Times New Roman"/>
                <w:sz w:val="24"/>
                <w:szCs w:val="24"/>
              </w:rPr>
              <w:t>, creating compliance costs</w:t>
            </w:r>
            <w:r w:rsidRPr="00311B0C">
              <w:rPr>
                <w:rFonts w:ascii="Times New Roman" w:hAnsi="Times New Roman" w:cs="Times New Roman"/>
                <w:sz w:val="24"/>
                <w:szCs w:val="24"/>
              </w:rPr>
              <w:t>.</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p>
        </w:tc>
        <w:tc>
          <w:tcPr>
            <w:tcW w:w="2441" w:type="dxa"/>
          </w:tcPr>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Not met</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Some taxpayers will continue to </w:t>
            </w:r>
            <w:r>
              <w:rPr>
                <w:rFonts w:ascii="Times New Roman" w:hAnsi="Times New Roman" w:cs="Times New Roman"/>
                <w:sz w:val="24"/>
                <w:szCs w:val="24"/>
              </w:rPr>
              <w:t>view</w:t>
            </w:r>
            <w:r w:rsidRPr="00311B0C">
              <w:rPr>
                <w:rFonts w:ascii="Times New Roman" w:hAnsi="Times New Roman" w:cs="Times New Roman"/>
                <w:sz w:val="24"/>
                <w:szCs w:val="24"/>
              </w:rPr>
              <w:t xml:space="preserve"> provisional tax in a negative light with the current rules providing uncertainty as to the total tax liability including interest.</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p>
        </w:tc>
        <w:tc>
          <w:tcPr>
            <w:tcW w:w="3142" w:type="dxa"/>
          </w:tcPr>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No impact</w:t>
            </w:r>
          </w:p>
        </w:tc>
      </w:tr>
      <w:tr w:rsidR="0052125B" w:rsidRPr="00311B0C" w:rsidTr="0052125B">
        <w:trPr>
          <w:trHeight w:val="283"/>
        </w:trPr>
        <w:tc>
          <w:tcPr>
            <w:tcW w:w="1635" w:type="dxa"/>
          </w:tcPr>
          <w:p w:rsidR="0052125B" w:rsidRPr="00420D8B" w:rsidRDefault="0052125B" w:rsidP="0052125B">
            <w:pPr>
              <w:rPr>
                <w:rFonts w:ascii="Times New Roman" w:hAnsi="Times New Roman" w:cs="Times New Roman"/>
                <w:sz w:val="24"/>
                <w:szCs w:val="24"/>
              </w:rPr>
            </w:pPr>
            <w:r w:rsidRPr="00420D8B">
              <w:rPr>
                <w:rFonts w:ascii="Times New Roman" w:hAnsi="Times New Roman" w:cs="Times New Roman"/>
                <w:sz w:val="24"/>
                <w:szCs w:val="24"/>
              </w:rPr>
              <w:t>2. Increase the safe harbour threshold to $60</w:t>
            </w:r>
            <w:r>
              <w:rPr>
                <w:rFonts w:ascii="Times New Roman" w:hAnsi="Times New Roman" w:cs="Times New Roman"/>
                <w:sz w:val="24"/>
                <w:szCs w:val="24"/>
              </w:rPr>
              <w:t>,000</w:t>
            </w:r>
            <w:r w:rsidRPr="00420D8B">
              <w:rPr>
                <w:rFonts w:ascii="Times New Roman" w:hAnsi="Times New Roman" w:cs="Times New Roman"/>
                <w:sz w:val="24"/>
                <w:szCs w:val="24"/>
              </w:rPr>
              <w:t xml:space="preserve"> and expansion of safe harbour from </w:t>
            </w:r>
            <w:proofErr w:type="spellStart"/>
            <w:r w:rsidR="0045650F">
              <w:rPr>
                <w:rFonts w:ascii="Times New Roman" w:hAnsi="Times New Roman" w:cs="Times New Roman"/>
                <w:sz w:val="24"/>
                <w:szCs w:val="24"/>
              </w:rPr>
              <w:t>UOMI</w:t>
            </w:r>
            <w:proofErr w:type="spellEnd"/>
            <w:r w:rsidRPr="00420D8B">
              <w:rPr>
                <w:rFonts w:ascii="Times New Roman" w:hAnsi="Times New Roman" w:cs="Times New Roman"/>
                <w:sz w:val="24"/>
                <w:szCs w:val="24"/>
              </w:rPr>
              <w:t xml:space="preserve"> to non-individuals</w:t>
            </w:r>
          </w:p>
          <w:p w:rsidR="0052125B" w:rsidRPr="00420D8B" w:rsidRDefault="0052125B" w:rsidP="0052125B">
            <w:pPr>
              <w:rPr>
                <w:rFonts w:ascii="Times New Roman" w:hAnsi="Times New Roman" w:cs="Times New Roman"/>
                <w:sz w:val="24"/>
                <w:szCs w:val="24"/>
              </w:rPr>
            </w:pPr>
          </w:p>
        </w:tc>
        <w:tc>
          <w:tcPr>
            <w:tcW w:w="2934" w:type="dxa"/>
          </w:tcPr>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Met</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Provides more fairness to those taxpayers who have limited tax knowledge by removing uncertainty as to the application of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for relatively small amounts of tax.</w:t>
            </w:r>
          </w:p>
        </w:tc>
        <w:tc>
          <w:tcPr>
            <w:tcW w:w="4360" w:type="dxa"/>
          </w:tcPr>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Met</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For smaller taxpayers</w:t>
            </w:r>
            <w:r>
              <w:rPr>
                <w:rFonts w:ascii="Times New Roman" w:hAnsi="Times New Roman" w:cs="Times New Roman"/>
                <w:sz w:val="24"/>
                <w:szCs w:val="24"/>
              </w:rPr>
              <w:t>,</w:t>
            </w:r>
            <w:r w:rsidRPr="00311B0C">
              <w:rPr>
                <w:rFonts w:ascii="Times New Roman" w:hAnsi="Times New Roman" w:cs="Times New Roman"/>
                <w:sz w:val="24"/>
                <w:szCs w:val="24"/>
              </w:rPr>
              <w:t xml:space="preserve"> reduces compliance costs of having to deal with provisional tax and unexpected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costs.</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Inland Revenue will have less administration costs from taxpayer contact around provisional tax as this proposal will reduce the number of taxpayers subject to interest.</w:t>
            </w:r>
          </w:p>
        </w:tc>
        <w:tc>
          <w:tcPr>
            <w:tcW w:w="2441" w:type="dxa"/>
          </w:tcPr>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Met </w:t>
            </w:r>
          </w:p>
          <w:p w:rsidR="0052125B" w:rsidRPr="00311B0C" w:rsidRDefault="0052125B" w:rsidP="0052125B">
            <w:pPr>
              <w:jc w:val="both"/>
              <w:rPr>
                <w:rFonts w:ascii="Times New Roman" w:hAnsi="Times New Roman" w:cs="Times New Roman"/>
                <w:sz w:val="24"/>
                <w:szCs w:val="24"/>
              </w:rPr>
            </w:pPr>
          </w:p>
          <w:p w:rsidR="0052125B" w:rsidRPr="00311B0C" w:rsidRDefault="0052125B" w:rsidP="00F610F4">
            <w:pPr>
              <w:jc w:val="both"/>
              <w:rPr>
                <w:rFonts w:ascii="Times New Roman" w:hAnsi="Times New Roman" w:cs="Times New Roman"/>
                <w:sz w:val="24"/>
                <w:szCs w:val="24"/>
              </w:rPr>
            </w:pPr>
            <w:r w:rsidRPr="00311B0C">
              <w:rPr>
                <w:rFonts w:ascii="Times New Roman" w:hAnsi="Times New Roman" w:cs="Times New Roman"/>
                <w:sz w:val="24"/>
                <w:szCs w:val="24"/>
              </w:rPr>
              <w:t xml:space="preserve">Provides more certainty for taxpayers on the application of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w:t>
            </w:r>
          </w:p>
        </w:tc>
        <w:tc>
          <w:tcPr>
            <w:tcW w:w="3142" w:type="dxa"/>
          </w:tcPr>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This measure will cost $47</w:t>
            </w:r>
            <w:r>
              <w:rPr>
                <w:rFonts w:ascii="Times New Roman" w:hAnsi="Times New Roman" w:cs="Times New Roman"/>
                <w:sz w:val="24"/>
                <w:szCs w:val="24"/>
              </w:rPr>
              <w:t xml:space="preserve"> </w:t>
            </w:r>
            <w:r w:rsidRPr="00311B0C">
              <w:rPr>
                <w:rFonts w:ascii="Times New Roman" w:hAnsi="Times New Roman" w:cs="Times New Roman"/>
                <w:sz w:val="24"/>
                <w:szCs w:val="24"/>
              </w:rPr>
              <w:t>m</w:t>
            </w:r>
            <w:r>
              <w:rPr>
                <w:rFonts w:ascii="Times New Roman" w:hAnsi="Times New Roman" w:cs="Times New Roman"/>
                <w:sz w:val="24"/>
                <w:szCs w:val="24"/>
              </w:rPr>
              <w:t>illion</w:t>
            </w:r>
            <w:r w:rsidRPr="00311B0C">
              <w:rPr>
                <w:rFonts w:ascii="Times New Roman" w:hAnsi="Times New Roman" w:cs="Times New Roman"/>
                <w:sz w:val="24"/>
                <w:szCs w:val="24"/>
              </w:rPr>
              <w:t xml:space="preserve"> over four years.</w:t>
            </w:r>
          </w:p>
        </w:tc>
      </w:tr>
      <w:tr w:rsidR="0052125B" w:rsidRPr="00311B0C" w:rsidTr="0052125B">
        <w:trPr>
          <w:cantSplit/>
          <w:trHeight w:val="283"/>
        </w:trPr>
        <w:tc>
          <w:tcPr>
            <w:tcW w:w="1635" w:type="dxa"/>
          </w:tcPr>
          <w:p w:rsidR="0052125B" w:rsidRPr="00420D8B" w:rsidRDefault="0052125B" w:rsidP="0052125B">
            <w:pPr>
              <w:rPr>
                <w:rFonts w:ascii="Times New Roman" w:hAnsi="Times New Roman" w:cs="Times New Roman"/>
                <w:sz w:val="24"/>
                <w:szCs w:val="24"/>
              </w:rPr>
            </w:pPr>
            <w:r w:rsidRPr="00420D8B">
              <w:rPr>
                <w:rFonts w:ascii="Times New Roman" w:hAnsi="Times New Roman" w:cs="Times New Roman"/>
                <w:sz w:val="24"/>
                <w:szCs w:val="24"/>
              </w:rPr>
              <w:t>3. Increase the safe harbour threshold to $70</w:t>
            </w:r>
            <w:r>
              <w:rPr>
                <w:rFonts w:ascii="Times New Roman" w:hAnsi="Times New Roman" w:cs="Times New Roman"/>
                <w:sz w:val="24"/>
                <w:szCs w:val="24"/>
              </w:rPr>
              <w:t>,000</w:t>
            </w:r>
            <w:r w:rsidRPr="00420D8B">
              <w:rPr>
                <w:rFonts w:ascii="Times New Roman" w:hAnsi="Times New Roman" w:cs="Times New Roman"/>
                <w:sz w:val="24"/>
                <w:szCs w:val="24"/>
              </w:rPr>
              <w:t xml:space="preserve"> and expansion of safe harbour from </w:t>
            </w:r>
            <w:proofErr w:type="spellStart"/>
            <w:r w:rsidR="0045650F">
              <w:rPr>
                <w:rFonts w:ascii="Times New Roman" w:hAnsi="Times New Roman" w:cs="Times New Roman"/>
                <w:sz w:val="24"/>
                <w:szCs w:val="24"/>
              </w:rPr>
              <w:t>UOMI</w:t>
            </w:r>
            <w:proofErr w:type="spellEnd"/>
            <w:r w:rsidRPr="00420D8B">
              <w:rPr>
                <w:rFonts w:ascii="Times New Roman" w:hAnsi="Times New Roman" w:cs="Times New Roman"/>
                <w:sz w:val="24"/>
                <w:szCs w:val="24"/>
              </w:rPr>
              <w:t xml:space="preserve"> to non-individuals</w:t>
            </w:r>
          </w:p>
          <w:p w:rsidR="0052125B" w:rsidRPr="00420D8B" w:rsidRDefault="0052125B" w:rsidP="0052125B">
            <w:pPr>
              <w:rPr>
                <w:rFonts w:ascii="Times New Roman" w:hAnsi="Times New Roman" w:cs="Times New Roman"/>
                <w:sz w:val="24"/>
                <w:szCs w:val="24"/>
              </w:rPr>
            </w:pPr>
          </w:p>
        </w:tc>
        <w:tc>
          <w:tcPr>
            <w:tcW w:w="2934" w:type="dxa"/>
          </w:tcPr>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Not </w:t>
            </w:r>
            <w:r>
              <w:rPr>
                <w:rFonts w:ascii="Times New Roman" w:hAnsi="Times New Roman" w:cs="Times New Roman"/>
                <w:sz w:val="24"/>
                <w:szCs w:val="24"/>
              </w:rPr>
              <w:t>m</w:t>
            </w:r>
            <w:r w:rsidRPr="00311B0C">
              <w:rPr>
                <w:rFonts w:ascii="Times New Roman" w:hAnsi="Times New Roman" w:cs="Times New Roman"/>
                <w:sz w:val="24"/>
                <w:szCs w:val="24"/>
              </w:rPr>
              <w:t>et</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Higher threshold brings more sophisticated taxpayer</w:t>
            </w:r>
            <w:r>
              <w:rPr>
                <w:rFonts w:ascii="Times New Roman" w:hAnsi="Times New Roman" w:cs="Times New Roman"/>
                <w:sz w:val="24"/>
                <w:szCs w:val="24"/>
              </w:rPr>
              <w:t>s</w:t>
            </w:r>
            <w:r w:rsidRPr="00311B0C">
              <w:rPr>
                <w:rFonts w:ascii="Times New Roman" w:hAnsi="Times New Roman" w:cs="Times New Roman"/>
                <w:sz w:val="24"/>
                <w:szCs w:val="24"/>
              </w:rPr>
              <w:t xml:space="preserve"> into the safe harbour.</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These taxpayer</w:t>
            </w:r>
            <w:r>
              <w:rPr>
                <w:rFonts w:ascii="Times New Roman" w:hAnsi="Times New Roman" w:cs="Times New Roman"/>
                <w:sz w:val="24"/>
                <w:szCs w:val="24"/>
              </w:rPr>
              <w:t>s</w:t>
            </w:r>
            <w:r w:rsidRPr="00311B0C">
              <w:rPr>
                <w:rFonts w:ascii="Times New Roman" w:hAnsi="Times New Roman" w:cs="Times New Roman"/>
                <w:sz w:val="24"/>
                <w:szCs w:val="24"/>
              </w:rPr>
              <w:t xml:space="preserve"> should have sufficient ability to determine their tax position without safe harbour which creates unfairness to those who cannot.</w:t>
            </w:r>
          </w:p>
        </w:tc>
        <w:tc>
          <w:tcPr>
            <w:tcW w:w="4360" w:type="dxa"/>
          </w:tcPr>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Partially </w:t>
            </w:r>
            <w:r>
              <w:rPr>
                <w:rFonts w:ascii="Times New Roman" w:hAnsi="Times New Roman" w:cs="Times New Roman"/>
                <w:sz w:val="24"/>
                <w:szCs w:val="24"/>
              </w:rPr>
              <w:t>m</w:t>
            </w:r>
            <w:r w:rsidRPr="00311B0C">
              <w:rPr>
                <w:rFonts w:ascii="Times New Roman" w:hAnsi="Times New Roman" w:cs="Times New Roman"/>
                <w:sz w:val="24"/>
                <w:szCs w:val="24"/>
              </w:rPr>
              <w:t>et</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Reduces compliance costs for some taxpayers</w:t>
            </w:r>
            <w:r>
              <w:rPr>
                <w:rFonts w:ascii="Times New Roman" w:hAnsi="Times New Roman" w:cs="Times New Roman"/>
                <w:sz w:val="24"/>
                <w:szCs w:val="24"/>
              </w:rPr>
              <w:t>, and</w:t>
            </w:r>
            <w:r w:rsidRPr="00311B0C">
              <w:rPr>
                <w:rFonts w:ascii="Times New Roman" w:hAnsi="Times New Roman" w:cs="Times New Roman"/>
                <w:sz w:val="24"/>
                <w:szCs w:val="24"/>
              </w:rPr>
              <w:t xml:space="preserve"> for taxpayers who have no real issues with provisional tax </w:t>
            </w:r>
            <w:r>
              <w:rPr>
                <w:rFonts w:ascii="Times New Roman" w:hAnsi="Times New Roman" w:cs="Times New Roman"/>
                <w:sz w:val="24"/>
                <w:szCs w:val="24"/>
              </w:rPr>
              <w:t xml:space="preserve">as their </w:t>
            </w:r>
            <w:r w:rsidRPr="00311B0C">
              <w:rPr>
                <w:rFonts w:ascii="Times New Roman" w:hAnsi="Times New Roman" w:cs="Times New Roman"/>
                <w:sz w:val="24"/>
                <w:szCs w:val="24"/>
              </w:rPr>
              <w:t>business processes include forecasting and budgeting.</w:t>
            </w:r>
          </w:p>
        </w:tc>
        <w:tc>
          <w:tcPr>
            <w:tcW w:w="2441" w:type="dxa"/>
          </w:tcPr>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Partially </w:t>
            </w:r>
            <w:r>
              <w:rPr>
                <w:rFonts w:ascii="Times New Roman" w:hAnsi="Times New Roman" w:cs="Times New Roman"/>
                <w:sz w:val="24"/>
                <w:szCs w:val="24"/>
              </w:rPr>
              <w:t>m</w:t>
            </w:r>
            <w:r w:rsidRPr="00311B0C">
              <w:rPr>
                <w:rFonts w:ascii="Times New Roman" w:hAnsi="Times New Roman" w:cs="Times New Roman"/>
                <w:sz w:val="24"/>
                <w:szCs w:val="24"/>
              </w:rPr>
              <w:t>et</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Provides more certainty on the application of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for some</w:t>
            </w:r>
            <w:r>
              <w:rPr>
                <w:rFonts w:ascii="Times New Roman" w:hAnsi="Times New Roman" w:cs="Times New Roman"/>
                <w:sz w:val="24"/>
                <w:szCs w:val="24"/>
              </w:rPr>
              <w:t>,</w:t>
            </w:r>
            <w:r w:rsidRPr="00311B0C">
              <w:rPr>
                <w:rFonts w:ascii="Times New Roman" w:hAnsi="Times New Roman" w:cs="Times New Roman"/>
                <w:sz w:val="24"/>
                <w:szCs w:val="24"/>
              </w:rPr>
              <w:t xml:space="preserve"> but makes little difference to those at the top end of the scale.</w:t>
            </w:r>
          </w:p>
        </w:tc>
        <w:tc>
          <w:tcPr>
            <w:tcW w:w="3142" w:type="dxa"/>
          </w:tcPr>
          <w:p w:rsidR="0052125B" w:rsidRPr="00311B0C" w:rsidRDefault="0052125B" w:rsidP="00F610F4">
            <w:pPr>
              <w:jc w:val="both"/>
              <w:rPr>
                <w:rFonts w:ascii="Times New Roman" w:hAnsi="Times New Roman" w:cs="Times New Roman"/>
                <w:sz w:val="24"/>
                <w:szCs w:val="24"/>
              </w:rPr>
            </w:pPr>
            <w:r w:rsidRPr="00311B0C">
              <w:rPr>
                <w:rFonts w:ascii="Times New Roman" w:hAnsi="Times New Roman" w:cs="Times New Roman"/>
                <w:sz w:val="24"/>
                <w:szCs w:val="24"/>
              </w:rPr>
              <w:t xml:space="preserve">This option would have a </w:t>
            </w:r>
            <w:r w:rsidR="009258BA">
              <w:rPr>
                <w:rFonts w:ascii="Times New Roman" w:hAnsi="Times New Roman" w:cs="Times New Roman"/>
                <w:sz w:val="24"/>
                <w:szCs w:val="24"/>
              </w:rPr>
              <w:t xml:space="preserve">greater </w:t>
            </w:r>
            <w:r w:rsidRPr="00311B0C">
              <w:rPr>
                <w:rFonts w:ascii="Times New Roman" w:hAnsi="Times New Roman" w:cs="Times New Roman"/>
                <w:sz w:val="24"/>
                <w:szCs w:val="24"/>
              </w:rPr>
              <w:t xml:space="preserve">fiscal cost than option </w:t>
            </w:r>
            <w:r>
              <w:rPr>
                <w:rFonts w:ascii="Times New Roman" w:hAnsi="Times New Roman" w:cs="Times New Roman"/>
                <w:sz w:val="24"/>
                <w:szCs w:val="24"/>
              </w:rPr>
              <w:t xml:space="preserve">2 </w:t>
            </w:r>
            <w:r w:rsidRPr="00311B0C">
              <w:rPr>
                <w:rFonts w:ascii="Times New Roman" w:hAnsi="Times New Roman" w:cs="Times New Roman"/>
                <w:sz w:val="24"/>
                <w:szCs w:val="24"/>
              </w:rPr>
              <w:t>which makes this less viable for government.</w:t>
            </w:r>
          </w:p>
        </w:tc>
      </w:tr>
      <w:tr w:rsidR="0052125B" w:rsidRPr="00311B0C" w:rsidTr="0052125B">
        <w:trPr>
          <w:trHeight w:val="283"/>
        </w:trPr>
        <w:tc>
          <w:tcPr>
            <w:tcW w:w="1635" w:type="dxa"/>
          </w:tcPr>
          <w:p w:rsidR="0052125B" w:rsidRPr="00420D8B" w:rsidRDefault="0052125B" w:rsidP="0052125B">
            <w:pPr>
              <w:rPr>
                <w:rFonts w:ascii="Times New Roman" w:hAnsi="Times New Roman" w:cs="Times New Roman"/>
                <w:sz w:val="24"/>
                <w:szCs w:val="24"/>
              </w:rPr>
            </w:pPr>
            <w:r w:rsidRPr="00420D8B">
              <w:rPr>
                <w:rFonts w:ascii="Times New Roman" w:hAnsi="Times New Roman" w:cs="Times New Roman"/>
                <w:sz w:val="24"/>
                <w:szCs w:val="24"/>
              </w:rPr>
              <w:t xml:space="preserve">4. Increase to the safe harbour from </w:t>
            </w:r>
            <w:proofErr w:type="spellStart"/>
            <w:r w:rsidR="0045650F">
              <w:rPr>
                <w:rFonts w:ascii="Times New Roman" w:hAnsi="Times New Roman" w:cs="Times New Roman"/>
                <w:sz w:val="24"/>
                <w:szCs w:val="24"/>
              </w:rPr>
              <w:t>UOMI</w:t>
            </w:r>
            <w:proofErr w:type="spellEnd"/>
            <w:r w:rsidRPr="00420D8B">
              <w:rPr>
                <w:rFonts w:ascii="Times New Roman" w:hAnsi="Times New Roman" w:cs="Times New Roman"/>
                <w:sz w:val="24"/>
                <w:szCs w:val="24"/>
              </w:rPr>
              <w:t xml:space="preserve"> to $60</w:t>
            </w:r>
            <w:r>
              <w:rPr>
                <w:rFonts w:ascii="Times New Roman" w:hAnsi="Times New Roman" w:cs="Times New Roman"/>
                <w:sz w:val="24"/>
                <w:szCs w:val="24"/>
              </w:rPr>
              <w:t>,000</w:t>
            </w:r>
            <w:r w:rsidRPr="00420D8B">
              <w:rPr>
                <w:rFonts w:ascii="Times New Roman" w:hAnsi="Times New Roman" w:cs="Times New Roman"/>
                <w:sz w:val="24"/>
                <w:szCs w:val="24"/>
              </w:rPr>
              <w:t xml:space="preserve"> with no extension to non-individuals</w:t>
            </w:r>
          </w:p>
          <w:p w:rsidR="0052125B" w:rsidRPr="00420D8B" w:rsidRDefault="0052125B" w:rsidP="0052125B">
            <w:pPr>
              <w:rPr>
                <w:rFonts w:ascii="Times New Roman" w:hAnsi="Times New Roman" w:cs="Times New Roman"/>
                <w:i/>
                <w:sz w:val="24"/>
                <w:szCs w:val="24"/>
              </w:rPr>
            </w:pPr>
          </w:p>
        </w:tc>
        <w:tc>
          <w:tcPr>
            <w:tcW w:w="2934" w:type="dxa"/>
          </w:tcPr>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Not </w:t>
            </w:r>
            <w:r>
              <w:rPr>
                <w:rFonts w:ascii="Times New Roman" w:hAnsi="Times New Roman" w:cs="Times New Roman"/>
                <w:sz w:val="24"/>
                <w:szCs w:val="24"/>
              </w:rPr>
              <w:t>m</w:t>
            </w:r>
            <w:r w:rsidRPr="00311B0C">
              <w:rPr>
                <w:rFonts w:ascii="Times New Roman" w:hAnsi="Times New Roman" w:cs="Times New Roman"/>
                <w:sz w:val="24"/>
                <w:szCs w:val="24"/>
              </w:rPr>
              <w:t>et</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Changes to the safe harbour to increase it to $60</w:t>
            </w:r>
            <w:r>
              <w:rPr>
                <w:rFonts w:ascii="Times New Roman" w:hAnsi="Times New Roman" w:cs="Times New Roman"/>
                <w:sz w:val="24"/>
                <w:szCs w:val="24"/>
              </w:rPr>
              <w:t>,000</w:t>
            </w:r>
            <w:r w:rsidRPr="00311B0C">
              <w:rPr>
                <w:rFonts w:ascii="Times New Roman" w:hAnsi="Times New Roman" w:cs="Times New Roman"/>
                <w:sz w:val="24"/>
                <w:szCs w:val="24"/>
              </w:rPr>
              <w:t xml:space="preserve"> without extending it to non-individuals would </w:t>
            </w:r>
            <w:r>
              <w:rPr>
                <w:rFonts w:ascii="Times New Roman" w:hAnsi="Times New Roman" w:cs="Times New Roman"/>
                <w:sz w:val="24"/>
                <w:szCs w:val="24"/>
              </w:rPr>
              <w:t xml:space="preserve">not </w:t>
            </w:r>
            <w:r w:rsidRPr="00311B0C">
              <w:rPr>
                <w:rFonts w:ascii="Times New Roman" w:hAnsi="Times New Roman" w:cs="Times New Roman"/>
                <w:sz w:val="24"/>
                <w:szCs w:val="24"/>
              </w:rPr>
              <w:t xml:space="preserve">have a large effect on taxpayers because of the narrow group of taxpayers that would benefit.  </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This provides an inequity to taxpayers because of the vehicle of choice they have made for predominately non-tax reasons (e.g. limited liability)</w:t>
            </w:r>
            <w:r>
              <w:rPr>
                <w:rFonts w:ascii="Times New Roman" w:hAnsi="Times New Roman" w:cs="Times New Roman"/>
                <w:sz w:val="24"/>
                <w:szCs w:val="24"/>
              </w:rPr>
              <w:t>.</w:t>
            </w:r>
          </w:p>
        </w:tc>
        <w:tc>
          <w:tcPr>
            <w:tcW w:w="4360" w:type="dxa"/>
          </w:tcPr>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Not </w:t>
            </w:r>
            <w:r>
              <w:rPr>
                <w:rFonts w:ascii="Times New Roman" w:hAnsi="Times New Roman" w:cs="Times New Roman"/>
                <w:sz w:val="24"/>
                <w:szCs w:val="24"/>
              </w:rPr>
              <w:t>m</w:t>
            </w:r>
            <w:r w:rsidRPr="00311B0C">
              <w:rPr>
                <w:rFonts w:ascii="Times New Roman" w:hAnsi="Times New Roman" w:cs="Times New Roman"/>
                <w:sz w:val="24"/>
                <w:szCs w:val="24"/>
              </w:rPr>
              <w:t>et</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Increases administration costs for I</w:t>
            </w:r>
            <w:r>
              <w:rPr>
                <w:rFonts w:ascii="Times New Roman" w:hAnsi="Times New Roman" w:cs="Times New Roman"/>
                <w:sz w:val="24"/>
                <w:szCs w:val="24"/>
              </w:rPr>
              <w:t xml:space="preserve">nland </w:t>
            </w:r>
            <w:r w:rsidRPr="00311B0C">
              <w:rPr>
                <w:rFonts w:ascii="Times New Roman" w:hAnsi="Times New Roman" w:cs="Times New Roman"/>
                <w:sz w:val="24"/>
                <w:szCs w:val="24"/>
              </w:rPr>
              <w:t>R</w:t>
            </w:r>
            <w:r>
              <w:rPr>
                <w:rFonts w:ascii="Times New Roman" w:hAnsi="Times New Roman" w:cs="Times New Roman"/>
                <w:sz w:val="24"/>
                <w:szCs w:val="24"/>
              </w:rPr>
              <w:t>evenue</w:t>
            </w:r>
            <w:r w:rsidRPr="00311B0C">
              <w:rPr>
                <w:rFonts w:ascii="Times New Roman" w:hAnsi="Times New Roman" w:cs="Times New Roman"/>
                <w:sz w:val="24"/>
                <w:szCs w:val="24"/>
              </w:rPr>
              <w:t xml:space="preserve"> in having to change systems for a very small group of taxpayers.</w:t>
            </w:r>
          </w:p>
          <w:p w:rsidR="0052125B" w:rsidRPr="00311B0C" w:rsidRDefault="0052125B" w:rsidP="0052125B">
            <w:pPr>
              <w:jc w:val="both"/>
              <w:rPr>
                <w:rFonts w:ascii="Times New Roman" w:hAnsi="Times New Roman" w:cs="Times New Roman"/>
                <w:sz w:val="24"/>
                <w:szCs w:val="24"/>
              </w:rPr>
            </w:pPr>
          </w:p>
          <w:p w:rsidR="0052125B" w:rsidRPr="00311B0C" w:rsidRDefault="009258BA" w:rsidP="0052125B">
            <w:pPr>
              <w:jc w:val="both"/>
              <w:rPr>
                <w:rFonts w:ascii="Times New Roman" w:hAnsi="Times New Roman" w:cs="Times New Roman"/>
                <w:sz w:val="24"/>
                <w:szCs w:val="24"/>
              </w:rPr>
            </w:pPr>
            <w:r>
              <w:rPr>
                <w:rFonts w:ascii="Times New Roman" w:hAnsi="Times New Roman" w:cs="Times New Roman"/>
                <w:sz w:val="24"/>
                <w:szCs w:val="24"/>
              </w:rPr>
              <w:t>Reduced c</w:t>
            </w:r>
            <w:r w:rsidRPr="00311B0C">
              <w:rPr>
                <w:rFonts w:ascii="Times New Roman" w:hAnsi="Times New Roman" w:cs="Times New Roman"/>
                <w:sz w:val="24"/>
                <w:szCs w:val="24"/>
              </w:rPr>
              <w:t xml:space="preserve">ompliance costs for the limited number of taxpayers who </w:t>
            </w:r>
            <w:r>
              <w:rPr>
                <w:rFonts w:ascii="Times New Roman" w:hAnsi="Times New Roman" w:cs="Times New Roman"/>
                <w:sz w:val="24"/>
                <w:szCs w:val="24"/>
              </w:rPr>
              <w:t>are</w:t>
            </w:r>
            <w:r w:rsidRPr="00311B0C">
              <w:rPr>
                <w:rFonts w:ascii="Times New Roman" w:hAnsi="Times New Roman" w:cs="Times New Roman"/>
                <w:sz w:val="24"/>
                <w:szCs w:val="24"/>
              </w:rPr>
              <w:t xml:space="preserve"> affect</w:t>
            </w:r>
            <w:r>
              <w:rPr>
                <w:rFonts w:ascii="Times New Roman" w:hAnsi="Times New Roman" w:cs="Times New Roman"/>
                <w:sz w:val="24"/>
                <w:szCs w:val="24"/>
              </w:rPr>
              <w:t>ed,</w:t>
            </w:r>
            <w:r w:rsidRPr="00311B0C">
              <w:rPr>
                <w:rFonts w:ascii="Times New Roman" w:hAnsi="Times New Roman" w:cs="Times New Roman"/>
                <w:sz w:val="24"/>
                <w:szCs w:val="24"/>
              </w:rPr>
              <w:t xml:space="preserve"> </w:t>
            </w:r>
            <w:r>
              <w:rPr>
                <w:rFonts w:ascii="Times New Roman" w:hAnsi="Times New Roman" w:cs="Times New Roman"/>
                <w:sz w:val="24"/>
                <w:szCs w:val="24"/>
              </w:rPr>
              <w:t>but</w:t>
            </w:r>
            <w:r w:rsidRPr="00311B0C">
              <w:rPr>
                <w:rFonts w:ascii="Times New Roman" w:hAnsi="Times New Roman" w:cs="Times New Roman"/>
                <w:sz w:val="24"/>
                <w:szCs w:val="24"/>
              </w:rPr>
              <w:t xml:space="preserve"> may not outweigh the </w:t>
            </w:r>
            <w:r>
              <w:rPr>
                <w:rFonts w:ascii="Times New Roman" w:hAnsi="Times New Roman" w:cs="Times New Roman"/>
                <w:sz w:val="24"/>
                <w:szCs w:val="24"/>
              </w:rPr>
              <w:t>costs</w:t>
            </w:r>
            <w:r w:rsidRPr="00311B0C">
              <w:rPr>
                <w:rFonts w:ascii="Times New Roman" w:hAnsi="Times New Roman" w:cs="Times New Roman"/>
                <w:sz w:val="24"/>
                <w:szCs w:val="24"/>
              </w:rPr>
              <w:t>.</w:t>
            </w:r>
          </w:p>
        </w:tc>
        <w:tc>
          <w:tcPr>
            <w:tcW w:w="2441" w:type="dxa"/>
          </w:tcPr>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Met</w:t>
            </w:r>
          </w:p>
          <w:p w:rsidR="0052125B" w:rsidRPr="00311B0C" w:rsidRDefault="0052125B" w:rsidP="0052125B">
            <w:pPr>
              <w:jc w:val="both"/>
              <w:rPr>
                <w:rFonts w:ascii="Times New Roman" w:hAnsi="Times New Roman" w:cs="Times New Roman"/>
                <w:sz w:val="24"/>
                <w:szCs w:val="24"/>
              </w:rPr>
            </w:pPr>
          </w:p>
          <w:p w:rsidR="0052125B" w:rsidRPr="00311B0C" w:rsidRDefault="0052125B" w:rsidP="0052125B">
            <w:pPr>
              <w:jc w:val="both"/>
              <w:rPr>
                <w:rFonts w:ascii="Times New Roman" w:hAnsi="Times New Roman" w:cs="Times New Roman"/>
                <w:sz w:val="24"/>
                <w:szCs w:val="24"/>
              </w:rPr>
            </w:pPr>
          </w:p>
        </w:tc>
        <w:tc>
          <w:tcPr>
            <w:tcW w:w="3142" w:type="dxa"/>
          </w:tcPr>
          <w:p w:rsidR="0052125B" w:rsidRPr="00311B0C" w:rsidRDefault="0052125B" w:rsidP="0052125B">
            <w:pPr>
              <w:jc w:val="both"/>
              <w:rPr>
                <w:rFonts w:ascii="Times New Roman" w:hAnsi="Times New Roman" w:cs="Times New Roman"/>
                <w:sz w:val="24"/>
                <w:szCs w:val="24"/>
              </w:rPr>
            </w:pPr>
            <w:r w:rsidRPr="00311B0C">
              <w:rPr>
                <w:rFonts w:ascii="Times New Roman" w:hAnsi="Times New Roman" w:cs="Times New Roman"/>
                <w:sz w:val="24"/>
                <w:szCs w:val="24"/>
              </w:rPr>
              <w:t>Marginal revenue impact</w:t>
            </w:r>
          </w:p>
        </w:tc>
      </w:tr>
    </w:tbl>
    <w:p w:rsidR="0052125B" w:rsidRDefault="0052125B" w:rsidP="0059151D">
      <w:pPr>
        <w:spacing w:after="0" w:line="240" w:lineRule="auto"/>
        <w:jc w:val="both"/>
        <w:rPr>
          <w:rFonts w:ascii="Times New Roman" w:hAnsi="Times New Roman" w:cs="Times New Roman"/>
          <w:sz w:val="24"/>
          <w:szCs w:val="24"/>
        </w:rPr>
        <w:sectPr w:rsidR="0052125B" w:rsidSect="0052125B">
          <w:pgSz w:w="16838" w:h="11906" w:orient="landscape"/>
          <w:pgMar w:top="720" w:right="720" w:bottom="720" w:left="720" w:header="708" w:footer="708" w:gutter="0"/>
          <w:cols w:space="708"/>
          <w:docGrid w:linePitch="360"/>
        </w:sectPr>
      </w:pPr>
    </w:p>
    <w:p w:rsidR="00432264" w:rsidRPr="000E4599" w:rsidRDefault="00432264" w:rsidP="00432264">
      <w:pPr>
        <w:pStyle w:val="Heading3"/>
      </w:pPr>
      <w:bookmarkStart w:id="16" w:name="_Toc444145603"/>
      <w:r>
        <w:t>R</w:t>
      </w:r>
      <w:r w:rsidRPr="000E4599">
        <w:t>ecommendations</w:t>
      </w:r>
      <w:bookmarkEnd w:id="16"/>
    </w:p>
    <w:p w:rsidR="00432264" w:rsidRDefault="00432264" w:rsidP="00432264">
      <w:pPr>
        <w:spacing w:after="0" w:line="240" w:lineRule="auto"/>
        <w:contextualSpacing/>
        <w:jc w:val="both"/>
        <w:rPr>
          <w:rFonts w:ascii="Times New Roman" w:hAnsi="Times New Roman" w:cs="Times New Roman"/>
          <w:i/>
          <w:sz w:val="24"/>
          <w:szCs w:val="24"/>
        </w:rPr>
      </w:pPr>
    </w:p>
    <w:p w:rsidR="00432264" w:rsidRPr="00AD4A67" w:rsidRDefault="00432264" w:rsidP="008D31D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Officials recommend o</w:t>
      </w:r>
      <w:r w:rsidRPr="00597570">
        <w:rPr>
          <w:rFonts w:ascii="Times New Roman" w:hAnsi="Times New Roman" w:cs="Times New Roman"/>
          <w:sz w:val="24"/>
          <w:szCs w:val="24"/>
        </w:rPr>
        <w:t xml:space="preserve">ption 2 – increase the current safe harbour from </w:t>
      </w:r>
      <w:proofErr w:type="spellStart"/>
      <w:r>
        <w:rPr>
          <w:rFonts w:ascii="Times New Roman" w:hAnsi="Times New Roman" w:cs="Times New Roman"/>
          <w:sz w:val="24"/>
          <w:szCs w:val="24"/>
        </w:rPr>
        <w:t>UOMI</w:t>
      </w:r>
      <w:proofErr w:type="spellEnd"/>
      <w:r w:rsidRPr="00597570">
        <w:rPr>
          <w:rFonts w:ascii="Times New Roman" w:hAnsi="Times New Roman" w:cs="Times New Roman"/>
          <w:sz w:val="24"/>
          <w:szCs w:val="24"/>
        </w:rPr>
        <w:t xml:space="preserve"> to $60,000 and extend the application of the safe harbour to non-individuals. Both these measures will reduce stress and compliance costs for taxpayers who have tax liabilities at relatively low levels</w:t>
      </w:r>
      <w:r w:rsidRPr="00AD4A67">
        <w:rPr>
          <w:rFonts w:ascii="Times New Roman" w:hAnsi="Times New Roman" w:cs="Times New Roman"/>
          <w:sz w:val="24"/>
          <w:szCs w:val="24"/>
        </w:rPr>
        <w:t>. As a result</w:t>
      </w:r>
      <w:r>
        <w:rPr>
          <w:rFonts w:ascii="Times New Roman" w:hAnsi="Times New Roman" w:cs="Times New Roman"/>
          <w:sz w:val="24"/>
          <w:szCs w:val="24"/>
        </w:rPr>
        <w:t>,</w:t>
      </w:r>
      <w:r w:rsidRPr="00AD4A67">
        <w:rPr>
          <w:rFonts w:ascii="Times New Roman" w:hAnsi="Times New Roman" w:cs="Times New Roman"/>
          <w:sz w:val="24"/>
          <w:szCs w:val="24"/>
        </w:rPr>
        <w:t xml:space="preserve"> 67,000 taxpayers will no longer be subject to </w:t>
      </w:r>
      <w:proofErr w:type="spellStart"/>
      <w:r>
        <w:rPr>
          <w:rFonts w:ascii="Times New Roman" w:hAnsi="Times New Roman" w:cs="Times New Roman"/>
          <w:sz w:val="24"/>
          <w:szCs w:val="24"/>
        </w:rPr>
        <w:t>UOMI</w:t>
      </w:r>
      <w:proofErr w:type="spellEnd"/>
      <w:r w:rsidRPr="00AD4A67">
        <w:rPr>
          <w:rFonts w:ascii="Times New Roman" w:hAnsi="Times New Roman" w:cs="Times New Roman"/>
          <w:sz w:val="24"/>
          <w:szCs w:val="24"/>
        </w:rPr>
        <w:t>.</w:t>
      </w:r>
    </w:p>
    <w:p w:rsidR="00432264" w:rsidRPr="00AD4A67" w:rsidRDefault="00432264" w:rsidP="00432264">
      <w:pPr>
        <w:spacing w:after="0" w:line="240" w:lineRule="auto"/>
        <w:jc w:val="both"/>
        <w:rPr>
          <w:rFonts w:ascii="Times New Roman" w:hAnsi="Times New Roman" w:cs="Times New Roman"/>
          <w:sz w:val="24"/>
          <w:szCs w:val="24"/>
        </w:rPr>
      </w:pPr>
    </w:p>
    <w:p w:rsidR="007B580C" w:rsidRPr="00311B0C" w:rsidRDefault="007B580C" w:rsidP="0059151D">
      <w:pPr>
        <w:spacing w:after="0" w:line="240" w:lineRule="auto"/>
        <w:jc w:val="both"/>
        <w:rPr>
          <w:rFonts w:ascii="Times New Roman" w:hAnsi="Times New Roman" w:cs="Times New Roman"/>
          <w:sz w:val="24"/>
          <w:szCs w:val="24"/>
        </w:rPr>
      </w:pPr>
    </w:p>
    <w:p w:rsidR="0059151D" w:rsidRPr="00311B0C" w:rsidRDefault="008B1513" w:rsidP="004B7C5D">
      <w:pPr>
        <w:pStyle w:val="Heading2"/>
      </w:pPr>
      <w:bookmarkStart w:id="17" w:name="_Toc444145604"/>
      <w:r>
        <w:t xml:space="preserve">2 – </w:t>
      </w:r>
      <w:r w:rsidR="00D94BDF">
        <w:t>A</w:t>
      </w:r>
      <w:r w:rsidR="0059151D" w:rsidRPr="00311B0C">
        <w:t xml:space="preserve">pplication of </w:t>
      </w:r>
      <w:proofErr w:type="spellStart"/>
      <w:r w:rsidR="0045650F">
        <w:t>UOMI</w:t>
      </w:r>
      <w:bookmarkEnd w:id="17"/>
      <w:proofErr w:type="spellEnd"/>
    </w:p>
    <w:p w:rsidR="0059151D" w:rsidRPr="00311B0C" w:rsidRDefault="0059151D" w:rsidP="0059151D">
      <w:pPr>
        <w:spacing w:after="0" w:line="240" w:lineRule="auto"/>
        <w:jc w:val="both"/>
        <w:rPr>
          <w:rFonts w:ascii="Times New Roman" w:hAnsi="Times New Roman" w:cs="Times New Roman"/>
          <w:b/>
          <w:sz w:val="24"/>
          <w:szCs w:val="24"/>
        </w:rPr>
      </w:pPr>
    </w:p>
    <w:p w:rsidR="0059151D" w:rsidRPr="00311B0C" w:rsidRDefault="0059151D" w:rsidP="0059151D">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At present, for those taxpayers who use the standard method of calculating, provisional tax instalments are based on 105% of the prior year or 110% of the year </w:t>
      </w:r>
      <w:proofErr w:type="gramStart"/>
      <w:r w:rsidRPr="00311B0C">
        <w:rPr>
          <w:rFonts w:ascii="Times New Roman" w:hAnsi="Times New Roman" w:cs="Times New Roman"/>
          <w:sz w:val="24"/>
          <w:szCs w:val="24"/>
        </w:rPr>
        <w:t>pr</w:t>
      </w:r>
      <w:r w:rsidR="00DC53C9">
        <w:rPr>
          <w:rFonts w:ascii="Times New Roman" w:hAnsi="Times New Roman" w:cs="Times New Roman"/>
          <w:sz w:val="24"/>
          <w:szCs w:val="24"/>
        </w:rPr>
        <w:t>e</w:t>
      </w:r>
      <w:r w:rsidRPr="00311B0C">
        <w:rPr>
          <w:rFonts w:ascii="Times New Roman" w:hAnsi="Times New Roman" w:cs="Times New Roman"/>
          <w:sz w:val="24"/>
          <w:szCs w:val="24"/>
        </w:rPr>
        <w:t>ceding</w:t>
      </w:r>
      <w:proofErr w:type="gramEnd"/>
      <w:r w:rsidRPr="00311B0C">
        <w:rPr>
          <w:rFonts w:ascii="Times New Roman" w:hAnsi="Times New Roman" w:cs="Times New Roman"/>
          <w:sz w:val="24"/>
          <w:szCs w:val="24"/>
        </w:rPr>
        <w:t xml:space="preserve"> the prior year. Notwithstanding this uplift method</w:t>
      </w:r>
      <w:r w:rsidR="0083184B">
        <w:rPr>
          <w:rFonts w:ascii="Times New Roman" w:hAnsi="Times New Roman" w:cs="Times New Roman"/>
          <w:sz w:val="24"/>
          <w:szCs w:val="24"/>
        </w:rPr>
        <w:t>,</w:t>
      </w:r>
      <w:r w:rsidRPr="00311B0C">
        <w:rPr>
          <w:rFonts w:ascii="Times New Roman" w:hAnsi="Times New Roman" w:cs="Times New Roman"/>
          <w:sz w:val="24"/>
          <w:szCs w:val="24"/>
        </w:rPr>
        <w:t xml:space="preserve"> if </w:t>
      </w:r>
      <w:r w:rsidR="00DC53C9">
        <w:rPr>
          <w:rFonts w:ascii="Times New Roman" w:hAnsi="Times New Roman" w:cs="Times New Roman"/>
          <w:sz w:val="24"/>
          <w:szCs w:val="24"/>
        </w:rPr>
        <w:t>a</w:t>
      </w:r>
      <w:r w:rsidRPr="00311B0C">
        <w:rPr>
          <w:rFonts w:ascii="Times New Roman" w:hAnsi="Times New Roman" w:cs="Times New Roman"/>
          <w:sz w:val="24"/>
          <w:szCs w:val="24"/>
        </w:rPr>
        <w:t xml:space="preserve"> taxpayer</w:t>
      </w:r>
      <w:r w:rsidR="00DC53C9">
        <w:rPr>
          <w:rFonts w:ascii="Times New Roman" w:hAnsi="Times New Roman" w:cs="Times New Roman"/>
          <w:sz w:val="24"/>
          <w:szCs w:val="24"/>
        </w:rPr>
        <w:t>’</w:t>
      </w:r>
      <w:r w:rsidRPr="00311B0C">
        <w:rPr>
          <w:rFonts w:ascii="Times New Roman" w:hAnsi="Times New Roman" w:cs="Times New Roman"/>
          <w:sz w:val="24"/>
          <w:szCs w:val="24"/>
        </w:rPr>
        <w:t xml:space="preserve">s </w:t>
      </w:r>
      <w:proofErr w:type="spellStart"/>
      <w:r w:rsidRPr="00311B0C">
        <w:rPr>
          <w:rFonts w:ascii="Times New Roman" w:hAnsi="Times New Roman" w:cs="Times New Roman"/>
          <w:sz w:val="24"/>
          <w:szCs w:val="24"/>
        </w:rPr>
        <w:t>RIT</w:t>
      </w:r>
      <w:proofErr w:type="spellEnd"/>
      <w:r w:rsidRPr="00311B0C">
        <w:rPr>
          <w:rFonts w:ascii="Times New Roman" w:hAnsi="Times New Roman" w:cs="Times New Roman"/>
          <w:sz w:val="24"/>
          <w:szCs w:val="24"/>
        </w:rPr>
        <w:t xml:space="preserve"> </w:t>
      </w:r>
      <w:r w:rsidR="0083184B">
        <w:rPr>
          <w:rFonts w:ascii="Times New Roman" w:hAnsi="Times New Roman" w:cs="Times New Roman"/>
          <w:sz w:val="24"/>
          <w:szCs w:val="24"/>
        </w:rPr>
        <w:t xml:space="preserve">exceeds the safe harbour threshold and </w:t>
      </w:r>
      <w:r w:rsidRPr="00311B0C">
        <w:rPr>
          <w:rFonts w:ascii="Times New Roman" w:hAnsi="Times New Roman" w:cs="Times New Roman"/>
          <w:sz w:val="24"/>
          <w:szCs w:val="24"/>
        </w:rPr>
        <w:t xml:space="preserve">is different from the instalments </w:t>
      </w:r>
      <w:proofErr w:type="gramStart"/>
      <w:r w:rsidRPr="00311B0C">
        <w:rPr>
          <w:rFonts w:ascii="Times New Roman" w:hAnsi="Times New Roman" w:cs="Times New Roman"/>
          <w:sz w:val="24"/>
          <w:szCs w:val="24"/>
        </w:rPr>
        <w:t>paid</w:t>
      </w:r>
      <w:r w:rsidR="00BC4098">
        <w:rPr>
          <w:rFonts w:ascii="Times New Roman" w:hAnsi="Times New Roman" w:cs="Times New Roman"/>
          <w:sz w:val="24"/>
          <w:szCs w:val="24"/>
        </w:rPr>
        <w:t>,</w:t>
      </w:r>
      <w:proofErr w:type="gramEnd"/>
      <w:r w:rsidRPr="00311B0C">
        <w:rPr>
          <w:rFonts w:ascii="Times New Roman" w:hAnsi="Times New Roman" w:cs="Times New Roman"/>
          <w:sz w:val="24"/>
          <w:szCs w:val="24"/>
        </w:rPr>
        <w:t xml:space="preserve"> comprehensive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will apply from the first instalment date.</w:t>
      </w:r>
    </w:p>
    <w:p w:rsidR="0059151D" w:rsidRPr="00311B0C" w:rsidRDefault="0059151D" w:rsidP="0059151D">
      <w:pPr>
        <w:spacing w:after="0" w:line="240" w:lineRule="auto"/>
        <w:jc w:val="both"/>
        <w:rPr>
          <w:rFonts w:ascii="Times New Roman" w:hAnsi="Times New Roman" w:cs="Times New Roman"/>
          <w:sz w:val="24"/>
          <w:szCs w:val="24"/>
        </w:rPr>
      </w:pPr>
    </w:p>
    <w:p w:rsidR="0059151D" w:rsidRPr="00311B0C" w:rsidRDefault="0059151D" w:rsidP="0059151D">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Where taxpayers have used the standard or uplift method of calculating provisional tax they have committed to a minimum amount of tax payments no matter </w:t>
      </w:r>
      <w:r w:rsidR="00DC53C9">
        <w:rPr>
          <w:rFonts w:ascii="Times New Roman" w:hAnsi="Times New Roman" w:cs="Times New Roman"/>
          <w:sz w:val="24"/>
          <w:szCs w:val="24"/>
        </w:rPr>
        <w:t>what</w:t>
      </w:r>
      <w:r w:rsidR="00DC53C9" w:rsidRPr="00311B0C">
        <w:rPr>
          <w:rFonts w:ascii="Times New Roman" w:hAnsi="Times New Roman" w:cs="Times New Roman"/>
          <w:sz w:val="24"/>
          <w:szCs w:val="24"/>
        </w:rPr>
        <w:t xml:space="preserve"> </w:t>
      </w:r>
      <w:r w:rsidRPr="00311B0C">
        <w:rPr>
          <w:rFonts w:ascii="Times New Roman" w:hAnsi="Times New Roman" w:cs="Times New Roman"/>
          <w:sz w:val="24"/>
          <w:szCs w:val="24"/>
        </w:rPr>
        <w:t xml:space="preserve">their actual income </w:t>
      </w:r>
      <w:r w:rsidR="00DC53C9">
        <w:rPr>
          <w:rFonts w:ascii="Times New Roman" w:hAnsi="Times New Roman" w:cs="Times New Roman"/>
          <w:sz w:val="24"/>
          <w:szCs w:val="24"/>
        </w:rPr>
        <w:t>is</w:t>
      </w:r>
      <w:r w:rsidRPr="00311B0C">
        <w:rPr>
          <w:rFonts w:ascii="Times New Roman" w:hAnsi="Times New Roman" w:cs="Times New Roman"/>
          <w:sz w:val="24"/>
          <w:szCs w:val="24"/>
        </w:rPr>
        <w:t xml:space="preserve">. This could be more or less than the tax payments required on their current year income. Currently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seeks to compensate the party who ends up funding this difference (i.e., the taxpayer or the government).</w:t>
      </w:r>
    </w:p>
    <w:p w:rsidR="0059151D" w:rsidRPr="00311B0C" w:rsidRDefault="0059151D" w:rsidP="0059151D">
      <w:pPr>
        <w:spacing w:after="0" w:line="240" w:lineRule="auto"/>
        <w:jc w:val="both"/>
        <w:rPr>
          <w:rFonts w:ascii="Times New Roman" w:hAnsi="Times New Roman" w:cs="Times New Roman"/>
          <w:sz w:val="24"/>
          <w:szCs w:val="24"/>
        </w:rPr>
      </w:pPr>
    </w:p>
    <w:p w:rsidR="0059151D" w:rsidRPr="00311B0C" w:rsidRDefault="0059151D" w:rsidP="0059151D">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The issue here is that the funding party may not be apparent until the end of the income year. This can result in taxpayers overpaying their tax to ensure they end up being the funding party and not incurring large amounts of interest</w:t>
      </w:r>
      <w:r w:rsidR="00075BC3">
        <w:rPr>
          <w:rFonts w:ascii="Times New Roman" w:hAnsi="Times New Roman" w:cs="Times New Roman"/>
          <w:sz w:val="24"/>
          <w:szCs w:val="24"/>
        </w:rPr>
        <w:t>. Alternatively,</w:t>
      </w:r>
      <w:r w:rsidRPr="00311B0C">
        <w:rPr>
          <w:rFonts w:ascii="Times New Roman" w:hAnsi="Times New Roman" w:cs="Times New Roman"/>
          <w:sz w:val="24"/>
          <w:szCs w:val="24"/>
        </w:rPr>
        <w:t xml:space="preserve"> if the taxpayer doesn’t overpay early instalments they are effectively penalised from using the best information available to most taxpayers, being the prior year results plus a growth factor, </w:t>
      </w:r>
      <w:r w:rsidR="00075BC3">
        <w:rPr>
          <w:rFonts w:ascii="Times New Roman" w:hAnsi="Times New Roman" w:cs="Times New Roman"/>
          <w:sz w:val="24"/>
          <w:szCs w:val="24"/>
        </w:rPr>
        <w:t xml:space="preserve">on which </w:t>
      </w:r>
      <w:r w:rsidRPr="00311B0C">
        <w:rPr>
          <w:rFonts w:ascii="Times New Roman" w:hAnsi="Times New Roman" w:cs="Times New Roman"/>
          <w:sz w:val="24"/>
          <w:szCs w:val="24"/>
        </w:rPr>
        <w:t xml:space="preserve">to base their current year payments. This is one instance where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can be a penalty rather than a use of funds charge.</w:t>
      </w:r>
    </w:p>
    <w:p w:rsidR="0059151D" w:rsidRPr="00311B0C" w:rsidRDefault="0059151D" w:rsidP="0059151D">
      <w:pPr>
        <w:spacing w:after="0" w:line="240" w:lineRule="auto"/>
        <w:jc w:val="both"/>
        <w:rPr>
          <w:rFonts w:ascii="Times New Roman" w:hAnsi="Times New Roman" w:cs="Times New Roman"/>
          <w:sz w:val="24"/>
          <w:szCs w:val="24"/>
        </w:rPr>
      </w:pPr>
    </w:p>
    <w:p w:rsidR="0059151D" w:rsidRPr="00311B0C" w:rsidRDefault="0059151D" w:rsidP="0059151D">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Th</w:t>
      </w:r>
      <w:r w:rsidR="0075633B">
        <w:rPr>
          <w:rFonts w:ascii="Times New Roman" w:hAnsi="Times New Roman" w:cs="Times New Roman"/>
          <w:sz w:val="24"/>
          <w:szCs w:val="24"/>
        </w:rPr>
        <w:t>e</w:t>
      </w:r>
      <w:r w:rsidRPr="00311B0C">
        <w:rPr>
          <w:rFonts w:ascii="Times New Roman" w:hAnsi="Times New Roman" w:cs="Times New Roman"/>
          <w:sz w:val="24"/>
          <w:szCs w:val="24"/>
        </w:rPr>
        <w:t xml:space="preserve"> </w:t>
      </w:r>
      <w:r w:rsidR="0075633B">
        <w:rPr>
          <w:rFonts w:ascii="Times New Roman" w:hAnsi="Times New Roman" w:cs="Times New Roman"/>
          <w:sz w:val="24"/>
          <w:szCs w:val="24"/>
        </w:rPr>
        <w:t xml:space="preserve">first </w:t>
      </w:r>
      <w:r w:rsidR="0083184B">
        <w:rPr>
          <w:rFonts w:ascii="Times New Roman" w:hAnsi="Times New Roman" w:cs="Times New Roman"/>
          <w:sz w:val="24"/>
          <w:szCs w:val="24"/>
        </w:rPr>
        <w:t>option</w:t>
      </w:r>
      <w:r w:rsidRPr="00311B0C">
        <w:rPr>
          <w:rFonts w:ascii="Times New Roman" w:hAnsi="Times New Roman" w:cs="Times New Roman"/>
          <w:sz w:val="24"/>
          <w:szCs w:val="24"/>
        </w:rPr>
        <w:t xml:space="preserve"> </w:t>
      </w:r>
      <w:r w:rsidR="0075633B">
        <w:rPr>
          <w:rFonts w:ascii="Times New Roman" w:hAnsi="Times New Roman" w:cs="Times New Roman"/>
          <w:sz w:val="24"/>
          <w:szCs w:val="24"/>
        </w:rPr>
        <w:t xml:space="preserve">is to </w:t>
      </w:r>
      <w:r w:rsidRPr="00311B0C">
        <w:rPr>
          <w:rFonts w:ascii="Times New Roman" w:hAnsi="Times New Roman" w:cs="Times New Roman"/>
          <w:sz w:val="24"/>
          <w:szCs w:val="24"/>
        </w:rPr>
        <w:t xml:space="preserve">remove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from taxpayers who pay based on the standard method for the first two instalments giving taxpayers the ability to pay the correct amount of tax and reduce or eliminate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This </w:t>
      </w:r>
      <w:r w:rsidR="0083184B">
        <w:rPr>
          <w:rFonts w:ascii="Times New Roman" w:hAnsi="Times New Roman" w:cs="Times New Roman"/>
          <w:sz w:val="24"/>
          <w:szCs w:val="24"/>
        </w:rPr>
        <w:t>option</w:t>
      </w:r>
      <w:r w:rsidRPr="00311B0C">
        <w:rPr>
          <w:rFonts w:ascii="Times New Roman" w:hAnsi="Times New Roman" w:cs="Times New Roman"/>
          <w:sz w:val="24"/>
          <w:szCs w:val="24"/>
        </w:rPr>
        <w:t xml:space="preserve"> will apply to large and small taxpayers but will be of main benefit to those larger taxpayers who fall outside the $60,000 </w:t>
      </w:r>
      <w:proofErr w:type="spellStart"/>
      <w:r w:rsidRPr="00311B0C">
        <w:rPr>
          <w:rFonts w:ascii="Times New Roman" w:hAnsi="Times New Roman" w:cs="Times New Roman"/>
          <w:sz w:val="24"/>
          <w:szCs w:val="24"/>
        </w:rPr>
        <w:t>RIT</w:t>
      </w:r>
      <w:proofErr w:type="spellEnd"/>
      <w:r w:rsidRPr="00311B0C">
        <w:rPr>
          <w:rFonts w:ascii="Times New Roman" w:hAnsi="Times New Roman" w:cs="Times New Roman"/>
          <w:sz w:val="24"/>
          <w:szCs w:val="24"/>
        </w:rPr>
        <w:t xml:space="preserve"> safe harbour. These taxpayers will tend to be more sophisticated and should be able to pay their total tax liability by the last instalment date and have no exposure to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as long as they have committed to and paid a certain level of tax during the income year.</w:t>
      </w:r>
    </w:p>
    <w:p w:rsidR="0059151D" w:rsidRPr="00311B0C" w:rsidRDefault="0059151D" w:rsidP="0059151D">
      <w:pPr>
        <w:spacing w:after="0" w:line="240" w:lineRule="auto"/>
        <w:jc w:val="both"/>
        <w:rPr>
          <w:rFonts w:ascii="Times New Roman" w:hAnsi="Times New Roman" w:cs="Times New Roman"/>
          <w:sz w:val="24"/>
          <w:szCs w:val="24"/>
        </w:rPr>
      </w:pPr>
    </w:p>
    <w:p w:rsidR="0059151D" w:rsidRPr="00311B0C" w:rsidRDefault="0059151D" w:rsidP="0059151D">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Again this </w:t>
      </w:r>
      <w:r w:rsidR="0075633B">
        <w:rPr>
          <w:rFonts w:ascii="Times New Roman" w:hAnsi="Times New Roman" w:cs="Times New Roman"/>
          <w:sz w:val="24"/>
          <w:szCs w:val="24"/>
        </w:rPr>
        <w:t xml:space="preserve">option </w:t>
      </w:r>
      <w:r w:rsidRPr="00311B0C">
        <w:rPr>
          <w:rFonts w:ascii="Times New Roman" w:hAnsi="Times New Roman" w:cs="Times New Roman"/>
          <w:sz w:val="24"/>
          <w:szCs w:val="24"/>
        </w:rPr>
        <w:t xml:space="preserve">deals with the </w:t>
      </w:r>
      <w:r w:rsidR="00C164C7">
        <w:rPr>
          <w:rFonts w:ascii="Times New Roman" w:hAnsi="Times New Roman" w:cs="Times New Roman"/>
          <w:sz w:val="24"/>
          <w:szCs w:val="24"/>
        </w:rPr>
        <w:t>issues</w:t>
      </w:r>
      <w:r w:rsidR="00C164C7" w:rsidRPr="00311B0C">
        <w:rPr>
          <w:rFonts w:ascii="Times New Roman" w:hAnsi="Times New Roman" w:cs="Times New Roman"/>
          <w:sz w:val="24"/>
          <w:szCs w:val="24"/>
        </w:rPr>
        <w:t xml:space="preserve"> </w:t>
      </w:r>
      <w:r w:rsidRPr="00311B0C">
        <w:rPr>
          <w:rFonts w:ascii="Times New Roman" w:hAnsi="Times New Roman" w:cs="Times New Roman"/>
          <w:sz w:val="24"/>
          <w:szCs w:val="24"/>
        </w:rPr>
        <w:t xml:space="preserve">around certainty of tax payments </w:t>
      </w:r>
      <w:r w:rsidR="0083184B">
        <w:rPr>
          <w:rFonts w:ascii="Times New Roman" w:hAnsi="Times New Roman" w:cs="Times New Roman"/>
          <w:sz w:val="24"/>
          <w:szCs w:val="24"/>
        </w:rPr>
        <w:t xml:space="preserve">and exposure to </w:t>
      </w:r>
      <w:proofErr w:type="spellStart"/>
      <w:r w:rsidR="0045650F">
        <w:rPr>
          <w:rFonts w:ascii="Times New Roman" w:hAnsi="Times New Roman" w:cs="Times New Roman"/>
          <w:sz w:val="24"/>
          <w:szCs w:val="24"/>
        </w:rPr>
        <w:t>UOMI</w:t>
      </w:r>
      <w:proofErr w:type="spellEnd"/>
      <w:r w:rsidR="0083184B">
        <w:rPr>
          <w:rFonts w:ascii="Times New Roman" w:hAnsi="Times New Roman" w:cs="Times New Roman"/>
          <w:sz w:val="24"/>
          <w:szCs w:val="24"/>
        </w:rPr>
        <w:t xml:space="preserve"> </w:t>
      </w:r>
      <w:r w:rsidRPr="00311B0C">
        <w:rPr>
          <w:rFonts w:ascii="Times New Roman" w:hAnsi="Times New Roman" w:cs="Times New Roman"/>
          <w:sz w:val="24"/>
          <w:szCs w:val="24"/>
        </w:rPr>
        <w:t xml:space="preserve">for taxpayers who struggle to estimate their income. This </w:t>
      </w:r>
      <w:r w:rsidR="0075633B">
        <w:rPr>
          <w:rFonts w:ascii="Times New Roman" w:hAnsi="Times New Roman" w:cs="Times New Roman"/>
          <w:sz w:val="24"/>
          <w:szCs w:val="24"/>
        </w:rPr>
        <w:t>option</w:t>
      </w:r>
      <w:r w:rsidRPr="00311B0C">
        <w:rPr>
          <w:rFonts w:ascii="Times New Roman" w:hAnsi="Times New Roman" w:cs="Times New Roman"/>
          <w:sz w:val="24"/>
          <w:szCs w:val="24"/>
        </w:rPr>
        <w:t xml:space="preserve"> provides them with certainty around tax payments and overall liability in respect of those payments.</w:t>
      </w:r>
    </w:p>
    <w:p w:rsidR="0059151D" w:rsidRPr="00311B0C" w:rsidRDefault="0059151D" w:rsidP="0059151D">
      <w:pPr>
        <w:spacing w:after="0" w:line="240" w:lineRule="auto"/>
        <w:jc w:val="both"/>
        <w:rPr>
          <w:rFonts w:ascii="Times New Roman" w:hAnsi="Times New Roman" w:cs="Times New Roman"/>
          <w:sz w:val="24"/>
          <w:szCs w:val="24"/>
        </w:rPr>
      </w:pPr>
    </w:p>
    <w:p w:rsidR="0059151D" w:rsidRPr="00311B0C" w:rsidRDefault="0059151D" w:rsidP="0059151D">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Another option considered was to only impose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from </w:t>
      </w:r>
      <w:r w:rsidR="00075BC3">
        <w:rPr>
          <w:rFonts w:ascii="Times New Roman" w:hAnsi="Times New Roman" w:cs="Times New Roman"/>
          <w:sz w:val="24"/>
          <w:szCs w:val="24"/>
        </w:rPr>
        <w:t xml:space="preserve">the </w:t>
      </w:r>
      <w:r w:rsidRPr="00311B0C">
        <w:rPr>
          <w:rFonts w:ascii="Times New Roman" w:hAnsi="Times New Roman" w:cs="Times New Roman"/>
          <w:sz w:val="24"/>
          <w:szCs w:val="24"/>
        </w:rPr>
        <w:t>terminal tax date</w:t>
      </w:r>
      <w:r w:rsidR="00075BC3">
        <w:rPr>
          <w:rFonts w:ascii="Times New Roman" w:hAnsi="Times New Roman" w:cs="Times New Roman"/>
          <w:sz w:val="24"/>
          <w:szCs w:val="24"/>
        </w:rPr>
        <w:t>,</w:t>
      </w:r>
      <w:r w:rsidRPr="00311B0C">
        <w:rPr>
          <w:rFonts w:ascii="Times New Roman" w:hAnsi="Times New Roman" w:cs="Times New Roman"/>
          <w:sz w:val="24"/>
          <w:szCs w:val="24"/>
        </w:rPr>
        <w:t xml:space="preserve"> extending the safe harbour rules to all taxpayers using the standard uplift method. This </w:t>
      </w:r>
      <w:r w:rsidR="0083184B">
        <w:rPr>
          <w:rFonts w:ascii="Times New Roman" w:hAnsi="Times New Roman" w:cs="Times New Roman"/>
          <w:sz w:val="24"/>
          <w:szCs w:val="24"/>
        </w:rPr>
        <w:t xml:space="preserve">option is not recommended </w:t>
      </w:r>
      <w:r w:rsidRPr="00311B0C">
        <w:rPr>
          <w:rFonts w:ascii="Times New Roman" w:hAnsi="Times New Roman" w:cs="Times New Roman"/>
          <w:sz w:val="24"/>
          <w:szCs w:val="24"/>
        </w:rPr>
        <w:t xml:space="preserve">due to fiscal concerns and the fact that this group of taxpayers is reasonably sophisticated and should be able to calculate a reasonable tax liability to ensure that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is eliminated or reduced from the last instalment date. This would also increase the fiscal costs of the solution which would have made the proposal uneconomic.</w:t>
      </w:r>
    </w:p>
    <w:p w:rsidR="0059151D" w:rsidRPr="00311B0C" w:rsidRDefault="0059151D" w:rsidP="0059151D">
      <w:pPr>
        <w:spacing w:after="0" w:line="240" w:lineRule="auto"/>
        <w:jc w:val="both"/>
        <w:rPr>
          <w:rFonts w:ascii="Times New Roman" w:hAnsi="Times New Roman" w:cs="Times New Roman"/>
          <w:sz w:val="24"/>
          <w:szCs w:val="24"/>
        </w:rPr>
      </w:pPr>
    </w:p>
    <w:p w:rsidR="0059151D" w:rsidRPr="00311B0C" w:rsidRDefault="0059151D" w:rsidP="0059151D">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Consideration was also given to imposing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from the second instalment date as this should be sufficient time for a business to understand how their income was tracking for the income year. However, this would effectively require everyone to estimate their income from the second instalment date. This would defeat the intent to make things more certain for taxpayers who cannot reasonably estimate their income for the year and </w:t>
      </w:r>
      <w:r w:rsidR="0083184B">
        <w:rPr>
          <w:rFonts w:ascii="Times New Roman" w:hAnsi="Times New Roman" w:cs="Times New Roman"/>
          <w:sz w:val="24"/>
          <w:szCs w:val="24"/>
        </w:rPr>
        <w:t>is not recommended</w:t>
      </w:r>
      <w:r w:rsidRPr="00311B0C">
        <w:rPr>
          <w:rFonts w:ascii="Times New Roman" w:hAnsi="Times New Roman" w:cs="Times New Roman"/>
          <w:sz w:val="24"/>
          <w:szCs w:val="24"/>
        </w:rPr>
        <w:t>.</w:t>
      </w:r>
    </w:p>
    <w:p w:rsidR="0052125B" w:rsidRPr="00311B0C" w:rsidRDefault="0052125B" w:rsidP="005212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options are analysed against the objectives in the table on the next page.</w:t>
      </w:r>
    </w:p>
    <w:p w:rsidR="0052125B" w:rsidRDefault="0052125B" w:rsidP="0059151D">
      <w:pPr>
        <w:spacing w:after="0" w:line="240" w:lineRule="auto"/>
        <w:jc w:val="both"/>
        <w:rPr>
          <w:rFonts w:ascii="Times New Roman" w:hAnsi="Times New Roman" w:cs="Times New Roman"/>
          <w:sz w:val="24"/>
          <w:szCs w:val="24"/>
        </w:rPr>
      </w:pPr>
    </w:p>
    <w:p w:rsidR="000D155B" w:rsidRDefault="000D155B" w:rsidP="000D155B">
      <w:pPr>
        <w:pStyle w:val="ListParagraph"/>
        <w:spacing w:after="0" w:line="240" w:lineRule="auto"/>
        <w:ind w:left="0"/>
        <w:rPr>
          <w:rFonts w:ascii="Times New Roman" w:hAnsi="Times New Roman" w:cs="Times New Roman"/>
          <w:sz w:val="24"/>
          <w:szCs w:val="24"/>
        </w:rPr>
      </w:pPr>
      <w:r w:rsidRPr="007F245B">
        <w:rPr>
          <w:rFonts w:ascii="Times New Roman" w:hAnsi="Times New Roman" w:cs="Times New Roman"/>
          <w:sz w:val="24"/>
          <w:szCs w:val="24"/>
        </w:rPr>
        <w:t>Officials’ analysis of the options is set out in the table on the next page</w:t>
      </w:r>
      <w:r>
        <w:rPr>
          <w:rFonts w:ascii="Times New Roman" w:hAnsi="Times New Roman" w:cs="Times New Roman"/>
          <w:sz w:val="24"/>
          <w:szCs w:val="24"/>
        </w:rPr>
        <w:t>.</w:t>
      </w:r>
    </w:p>
    <w:p w:rsidR="000D155B" w:rsidRDefault="000D155B" w:rsidP="0059151D">
      <w:pPr>
        <w:spacing w:after="0" w:line="240" w:lineRule="auto"/>
        <w:jc w:val="both"/>
        <w:rPr>
          <w:rFonts w:ascii="Times New Roman" w:hAnsi="Times New Roman" w:cs="Times New Roman"/>
          <w:sz w:val="24"/>
          <w:szCs w:val="24"/>
        </w:rPr>
      </w:pPr>
    </w:p>
    <w:p w:rsidR="000D155B" w:rsidRDefault="000D155B" w:rsidP="0059151D">
      <w:pPr>
        <w:spacing w:after="0" w:line="240" w:lineRule="auto"/>
        <w:jc w:val="both"/>
        <w:rPr>
          <w:rFonts w:ascii="Times New Roman" w:hAnsi="Times New Roman" w:cs="Times New Roman"/>
          <w:sz w:val="24"/>
          <w:szCs w:val="24"/>
        </w:rPr>
        <w:sectPr w:rsidR="000D155B">
          <w:pgSz w:w="11906" w:h="16838"/>
          <w:pgMar w:top="1440" w:right="1440" w:bottom="1440" w:left="1440" w:header="708" w:footer="708" w:gutter="0"/>
          <w:cols w:space="708"/>
          <w:docGrid w:linePitch="360"/>
        </w:sectPr>
      </w:pPr>
    </w:p>
    <w:tbl>
      <w:tblPr>
        <w:tblStyle w:val="TableGrid"/>
        <w:tblW w:w="14512" w:type="dxa"/>
        <w:tblLook w:val="04A0" w:firstRow="1" w:lastRow="0" w:firstColumn="1" w:lastColumn="0" w:noHBand="0" w:noVBand="1"/>
      </w:tblPr>
      <w:tblGrid>
        <w:gridCol w:w="1635"/>
        <w:gridCol w:w="2934"/>
        <w:gridCol w:w="4360"/>
        <w:gridCol w:w="2441"/>
        <w:gridCol w:w="3142"/>
      </w:tblGrid>
      <w:tr w:rsidR="0052125B" w:rsidRPr="00311B0C" w:rsidTr="0052125B">
        <w:trPr>
          <w:trHeight w:val="283"/>
          <w:tblHeader/>
        </w:trPr>
        <w:tc>
          <w:tcPr>
            <w:tcW w:w="1635" w:type="dxa"/>
          </w:tcPr>
          <w:p w:rsidR="0052125B" w:rsidRDefault="0052125B" w:rsidP="00062EA1">
            <w:pPr>
              <w:pStyle w:val="ListParagraph"/>
              <w:ind w:left="0"/>
              <w:rPr>
                <w:rFonts w:ascii="Times New Roman" w:hAnsi="Times New Roman" w:cs="Times New Roman"/>
                <w:sz w:val="24"/>
                <w:szCs w:val="24"/>
              </w:rPr>
            </w:pPr>
            <w:r w:rsidRPr="003771CA">
              <w:rPr>
                <w:rFonts w:ascii="Times New Roman" w:hAnsi="Times New Roman" w:cs="Times New Roman"/>
                <w:b/>
                <w:sz w:val="24"/>
                <w:szCs w:val="24"/>
              </w:rPr>
              <w:t>Options</w:t>
            </w:r>
          </w:p>
        </w:tc>
        <w:tc>
          <w:tcPr>
            <w:tcW w:w="2934" w:type="dxa"/>
          </w:tcPr>
          <w:p w:rsidR="0052125B" w:rsidRPr="00311B0C" w:rsidRDefault="0052125B" w:rsidP="008D31DB">
            <w:pPr>
              <w:rPr>
                <w:rFonts w:ascii="Times New Roman" w:hAnsi="Times New Roman" w:cs="Times New Roman"/>
                <w:sz w:val="24"/>
                <w:szCs w:val="24"/>
              </w:rPr>
            </w:pPr>
            <w:r w:rsidRPr="00CB6764">
              <w:rPr>
                <w:rFonts w:ascii="Times New Roman" w:hAnsi="Times New Roman" w:cs="Times New Roman"/>
                <w:b/>
                <w:sz w:val="24"/>
                <w:szCs w:val="24"/>
              </w:rPr>
              <w:t>Fairness and equity</w:t>
            </w:r>
          </w:p>
        </w:tc>
        <w:tc>
          <w:tcPr>
            <w:tcW w:w="4360" w:type="dxa"/>
          </w:tcPr>
          <w:p w:rsidR="0052125B" w:rsidRPr="00311B0C" w:rsidRDefault="0052125B" w:rsidP="008D31DB">
            <w:pPr>
              <w:rPr>
                <w:rFonts w:ascii="Times New Roman" w:hAnsi="Times New Roman" w:cs="Times New Roman"/>
                <w:sz w:val="24"/>
                <w:szCs w:val="24"/>
              </w:rPr>
            </w:pPr>
            <w:r w:rsidRPr="00CB6764">
              <w:rPr>
                <w:rFonts w:ascii="Times New Roman" w:hAnsi="Times New Roman" w:cs="Times New Roman"/>
                <w:b/>
                <w:sz w:val="24"/>
                <w:szCs w:val="24"/>
              </w:rPr>
              <w:t>Efficiency of compliance and administration</w:t>
            </w:r>
          </w:p>
        </w:tc>
        <w:tc>
          <w:tcPr>
            <w:tcW w:w="2441" w:type="dxa"/>
          </w:tcPr>
          <w:p w:rsidR="0052125B" w:rsidRPr="00311B0C" w:rsidRDefault="0052125B" w:rsidP="008D31DB">
            <w:pPr>
              <w:rPr>
                <w:rFonts w:ascii="Times New Roman" w:hAnsi="Times New Roman" w:cs="Times New Roman"/>
                <w:sz w:val="24"/>
                <w:szCs w:val="24"/>
              </w:rPr>
            </w:pPr>
            <w:r w:rsidRPr="00CB6764">
              <w:rPr>
                <w:rFonts w:ascii="Times New Roman" w:hAnsi="Times New Roman" w:cs="Times New Roman"/>
                <w:b/>
                <w:sz w:val="24"/>
                <w:szCs w:val="24"/>
              </w:rPr>
              <w:t>Sustainability of tax system</w:t>
            </w:r>
          </w:p>
        </w:tc>
        <w:tc>
          <w:tcPr>
            <w:tcW w:w="3142" w:type="dxa"/>
          </w:tcPr>
          <w:p w:rsidR="0052125B" w:rsidRPr="00311B0C" w:rsidRDefault="0052125B" w:rsidP="008D31DB">
            <w:pPr>
              <w:rPr>
                <w:rFonts w:ascii="Times New Roman" w:hAnsi="Times New Roman" w:cs="Times New Roman"/>
                <w:sz w:val="24"/>
                <w:szCs w:val="24"/>
              </w:rPr>
            </w:pPr>
            <w:r w:rsidRPr="003771CA">
              <w:rPr>
                <w:rFonts w:ascii="Times New Roman" w:hAnsi="Times New Roman" w:cs="Times New Roman"/>
                <w:b/>
                <w:sz w:val="24"/>
                <w:szCs w:val="24"/>
              </w:rPr>
              <w:t>Revenue</w:t>
            </w:r>
          </w:p>
        </w:tc>
      </w:tr>
      <w:tr w:rsidR="001C0CDE" w:rsidRPr="00311B0C" w:rsidTr="0052125B">
        <w:trPr>
          <w:trHeight w:val="283"/>
        </w:trPr>
        <w:tc>
          <w:tcPr>
            <w:tcW w:w="1635" w:type="dxa"/>
          </w:tcPr>
          <w:p w:rsidR="001C0CDE" w:rsidRDefault="001C0CDE" w:rsidP="0052125B">
            <w:pPr>
              <w:pStyle w:val="ListParagraph"/>
              <w:ind w:left="0"/>
              <w:rPr>
                <w:rFonts w:ascii="Times New Roman" w:hAnsi="Times New Roman" w:cs="Times New Roman"/>
                <w:sz w:val="24"/>
                <w:szCs w:val="24"/>
              </w:rPr>
            </w:pPr>
            <w:r>
              <w:rPr>
                <w:rFonts w:ascii="Times New Roman" w:hAnsi="Times New Roman" w:cs="Times New Roman"/>
                <w:sz w:val="24"/>
                <w:szCs w:val="24"/>
              </w:rPr>
              <w:t>1. Status quo</w:t>
            </w:r>
          </w:p>
        </w:tc>
        <w:tc>
          <w:tcPr>
            <w:tcW w:w="2934" w:type="dxa"/>
          </w:tcPr>
          <w:p w:rsidR="001C0CDE" w:rsidRPr="00311B0C" w:rsidRDefault="001C0CDE" w:rsidP="00E907AB">
            <w:pPr>
              <w:jc w:val="both"/>
              <w:rPr>
                <w:rFonts w:ascii="Times New Roman" w:hAnsi="Times New Roman" w:cs="Times New Roman"/>
                <w:sz w:val="24"/>
                <w:szCs w:val="24"/>
              </w:rPr>
            </w:pPr>
            <w:r w:rsidRPr="00311B0C">
              <w:rPr>
                <w:rFonts w:ascii="Times New Roman" w:hAnsi="Times New Roman" w:cs="Times New Roman"/>
                <w:sz w:val="24"/>
                <w:szCs w:val="24"/>
              </w:rPr>
              <w:t>Not met</w:t>
            </w:r>
          </w:p>
          <w:p w:rsidR="001C0CDE" w:rsidRPr="00311B0C" w:rsidRDefault="001C0CDE" w:rsidP="00E907AB">
            <w:pPr>
              <w:jc w:val="both"/>
              <w:rPr>
                <w:rFonts w:ascii="Times New Roman" w:hAnsi="Times New Roman" w:cs="Times New Roman"/>
                <w:sz w:val="24"/>
                <w:szCs w:val="24"/>
              </w:rPr>
            </w:pPr>
          </w:p>
          <w:p w:rsidR="001C0CDE" w:rsidRPr="00311B0C" w:rsidRDefault="001C0CDE" w:rsidP="00E907AB">
            <w:pPr>
              <w:jc w:val="both"/>
              <w:rPr>
                <w:rFonts w:ascii="Times New Roman" w:hAnsi="Times New Roman" w:cs="Times New Roman"/>
                <w:sz w:val="24"/>
                <w:szCs w:val="24"/>
              </w:rPr>
            </w:pPr>
            <w:r w:rsidRPr="00311B0C">
              <w:rPr>
                <w:rFonts w:ascii="Times New Roman" w:hAnsi="Times New Roman" w:cs="Times New Roman"/>
                <w:sz w:val="24"/>
                <w:szCs w:val="24"/>
              </w:rPr>
              <w:t xml:space="preserve">The application of </w:t>
            </w:r>
            <w:proofErr w:type="spellStart"/>
            <w:r>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will continue to have a penal effect rather than a use of funds effect</w:t>
            </w:r>
            <w:r>
              <w:rPr>
                <w:rFonts w:ascii="Times New Roman" w:hAnsi="Times New Roman" w:cs="Times New Roman"/>
                <w:sz w:val="24"/>
                <w:szCs w:val="24"/>
              </w:rPr>
              <w:t xml:space="preserve"> for those taxpayers who have unexpected income.</w:t>
            </w:r>
          </w:p>
          <w:p w:rsidR="001C0CDE" w:rsidRPr="00311B0C" w:rsidRDefault="001C0CDE" w:rsidP="00E907AB">
            <w:pPr>
              <w:jc w:val="both"/>
              <w:rPr>
                <w:rFonts w:ascii="Times New Roman" w:hAnsi="Times New Roman" w:cs="Times New Roman"/>
                <w:sz w:val="24"/>
                <w:szCs w:val="24"/>
              </w:rPr>
            </w:pPr>
          </w:p>
          <w:p w:rsidR="001C0CDE" w:rsidRPr="00311B0C" w:rsidRDefault="001C0CDE" w:rsidP="00E907AB">
            <w:pPr>
              <w:jc w:val="both"/>
              <w:rPr>
                <w:rFonts w:ascii="Times New Roman" w:hAnsi="Times New Roman" w:cs="Times New Roman"/>
                <w:sz w:val="24"/>
                <w:szCs w:val="24"/>
              </w:rPr>
            </w:pPr>
            <w:r w:rsidRPr="00311B0C">
              <w:rPr>
                <w:rFonts w:ascii="Times New Roman" w:hAnsi="Times New Roman" w:cs="Times New Roman"/>
                <w:sz w:val="24"/>
                <w:szCs w:val="24"/>
              </w:rPr>
              <w:t xml:space="preserve">The application of </w:t>
            </w:r>
            <w:proofErr w:type="spellStart"/>
            <w:r>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to taxpayers who use the standard method will continue to have</w:t>
            </w:r>
            <w:r>
              <w:rPr>
                <w:rFonts w:ascii="Times New Roman" w:hAnsi="Times New Roman" w:cs="Times New Roman"/>
                <w:sz w:val="24"/>
                <w:szCs w:val="24"/>
              </w:rPr>
              <w:t xml:space="preserve"> an impact</w:t>
            </w:r>
            <w:r w:rsidRPr="00311B0C">
              <w:rPr>
                <w:rFonts w:ascii="Times New Roman" w:hAnsi="Times New Roman" w:cs="Times New Roman"/>
                <w:sz w:val="24"/>
                <w:szCs w:val="24"/>
              </w:rPr>
              <w:t xml:space="preserve"> on fairness aspects.</w:t>
            </w:r>
          </w:p>
          <w:p w:rsidR="001C0CDE" w:rsidRPr="00311B0C" w:rsidRDefault="001C0CDE" w:rsidP="0052125B">
            <w:pPr>
              <w:jc w:val="both"/>
              <w:rPr>
                <w:rFonts w:ascii="Times New Roman" w:hAnsi="Times New Roman" w:cs="Times New Roman"/>
                <w:sz w:val="24"/>
                <w:szCs w:val="24"/>
              </w:rPr>
            </w:pPr>
          </w:p>
        </w:tc>
        <w:tc>
          <w:tcPr>
            <w:tcW w:w="4360" w:type="dxa"/>
          </w:tcPr>
          <w:p w:rsidR="001C0CDE" w:rsidRPr="00311B0C" w:rsidRDefault="001C0CDE" w:rsidP="00E907AB">
            <w:pPr>
              <w:jc w:val="both"/>
              <w:rPr>
                <w:rFonts w:ascii="Times New Roman" w:hAnsi="Times New Roman" w:cs="Times New Roman"/>
                <w:sz w:val="24"/>
                <w:szCs w:val="24"/>
              </w:rPr>
            </w:pPr>
            <w:r w:rsidRPr="00311B0C">
              <w:rPr>
                <w:rFonts w:ascii="Times New Roman" w:hAnsi="Times New Roman" w:cs="Times New Roman"/>
                <w:sz w:val="24"/>
                <w:szCs w:val="24"/>
              </w:rPr>
              <w:t>Not met</w:t>
            </w:r>
          </w:p>
          <w:p w:rsidR="001C0CDE" w:rsidRPr="00311B0C" w:rsidRDefault="001C0CDE" w:rsidP="00E907AB">
            <w:pPr>
              <w:jc w:val="both"/>
              <w:rPr>
                <w:rFonts w:ascii="Times New Roman" w:hAnsi="Times New Roman" w:cs="Times New Roman"/>
                <w:sz w:val="24"/>
                <w:szCs w:val="24"/>
              </w:rPr>
            </w:pPr>
          </w:p>
          <w:p w:rsidR="001C0CDE" w:rsidRDefault="001C0CDE" w:rsidP="00E907AB">
            <w:pPr>
              <w:jc w:val="both"/>
              <w:rPr>
                <w:rFonts w:ascii="Times New Roman" w:hAnsi="Times New Roman" w:cs="Times New Roman"/>
                <w:sz w:val="24"/>
                <w:szCs w:val="24"/>
              </w:rPr>
            </w:pPr>
            <w:r>
              <w:rPr>
                <w:rFonts w:ascii="Times New Roman" w:hAnsi="Times New Roman" w:cs="Times New Roman"/>
                <w:sz w:val="24"/>
                <w:szCs w:val="24"/>
              </w:rPr>
              <w:t>T</w:t>
            </w:r>
            <w:r w:rsidRPr="00311B0C">
              <w:rPr>
                <w:rFonts w:ascii="Times New Roman" w:hAnsi="Times New Roman" w:cs="Times New Roman"/>
                <w:sz w:val="24"/>
                <w:szCs w:val="24"/>
              </w:rPr>
              <w:t xml:space="preserve">axpayers </w:t>
            </w:r>
            <w:r>
              <w:rPr>
                <w:rFonts w:ascii="Times New Roman" w:hAnsi="Times New Roman" w:cs="Times New Roman"/>
                <w:sz w:val="24"/>
                <w:szCs w:val="24"/>
              </w:rPr>
              <w:t>will continue to experience</w:t>
            </w:r>
            <w:r w:rsidRPr="00311B0C">
              <w:rPr>
                <w:rFonts w:ascii="Times New Roman" w:hAnsi="Times New Roman" w:cs="Times New Roman"/>
                <w:sz w:val="24"/>
                <w:szCs w:val="24"/>
              </w:rPr>
              <w:t xml:space="preserve"> uncertainty </w:t>
            </w:r>
            <w:r>
              <w:rPr>
                <w:rFonts w:ascii="Times New Roman" w:hAnsi="Times New Roman" w:cs="Times New Roman"/>
                <w:sz w:val="24"/>
                <w:szCs w:val="24"/>
              </w:rPr>
              <w:t>in</w:t>
            </w:r>
            <w:r w:rsidRPr="00311B0C">
              <w:rPr>
                <w:rFonts w:ascii="Times New Roman" w:hAnsi="Times New Roman" w:cs="Times New Roman"/>
                <w:sz w:val="24"/>
                <w:szCs w:val="24"/>
              </w:rPr>
              <w:t xml:space="preserve"> the application of </w:t>
            </w:r>
            <w:proofErr w:type="spellStart"/>
            <w:r>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to them</w:t>
            </w:r>
            <w:r>
              <w:rPr>
                <w:rFonts w:ascii="Times New Roman" w:hAnsi="Times New Roman" w:cs="Times New Roman"/>
                <w:sz w:val="24"/>
                <w:szCs w:val="24"/>
              </w:rPr>
              <w:t>, creating compliance costs</w:t>
            </w:r>
            <w:r w:rsidRPr="00311B0C">
              <w:rPr>
                <w:rFonts w:ascii="Times New Roman" w:hAnsi="Times New Roman" w:cs="Times New Roman"/>
                <w:sz w:val="24"/>
                <w:szCs w:val="24"/>
              </w:rPr>
              <w:t>.</w:t>
            </w:r>
          </w:p>
          <w:p w:rsidR="001C0CDE" w:rsidRDefault="001C0CDE" w:rsidP="00E907AB">
            <w:pPr>
              <w:jc w:val="both"/>
              <w:rPr>
                <w:rFonts w:ascii="Times New Roman" w:hAnsi="Times New Roman" w:cs="Times New Roman"/>
                <w:sz w:val="24"/>
                <w:szCs w:val="24"/>
              </w:rPr>
            </w:pPr>
          </w:p>
          <w:p w:rsidR="001C0CDE" w:rsidRPr="00311B0C" w:rsidRDefault="001C0CDE" w:rsidP="00E907AB">
            <w:pPr>
              <w:jc w:val="both"/>
              <w:rPr>
                <w:rFonts w:ascii="Times New Roman" w:hAnsi="Times New Roman" w:cs="Times New Roman"/>
                <w:sz w:val="24"/>
                <w:szCs w:val="24"/>
              </w:rPr>
            </w:pPr>
            <w:r>
              <w:rPr>
                <w:rFonts w:ascii="Times New Roman" w:hAnsi="Times New Roman" w:cs="Times New Roman"/>
                <w:sz w:val="24"/>
                <w:szCs w:val="24"/>
              </w:rPr>
              <w:t xml:space="preserve">Taxpayers who commit to paying a minimum amount of tax through the standard method will continue to view </w:t>
            </w:r>
            <w:proofErr w:type="spellStart"/>
            <w:r>
              <w:rPr>
                <w:rFonts w:ascii="Times New Roman" w:hAnsi="Times New Roman" w:cs="Times New Roman"/>
                <w:sz w:val="24"/>
                <w:szCs w:val="24"/>
              </w:rPr>
              <w:t>UOMI</w:t>
            </w:r>
            <w:proofErr w:type="spellEnd"/>
            <w:r>
              <w:rPr>
                <w:rFonts w:ascii="Times New Roman" w:hAnsi="Times New Roman" w:cs="Times New Roman"/>
                <w:sz w:val="24"/>
                <w:szCs w:val="24"/>
              </w:rPr>
              <w:t xml:space="preserve"> as a penalty.</w:t>
            </w:r>
          </w:p>
          <w:p w:rsidR="001C0CDE" w:rsidRPr="00311B0C" w:rsidRDefault="001C0CDE" w:rsidP="00E907AB">
            <w:pPr>
              <w:jc w:val="both"/>
              <w:rPr>
                <w:rFonts w:ascii="Times New Roman" w:hAnsi="Times New Roman" w:cs="Times New Roman"/>
                <w:sz w:val="24"/>
                <w:szCs w:val="24"/>
              </w:rPr>
            </w:pPr>
          </w:p>
          <w:p w:rsidR="001C0CDE" w:rsidRPr="00311B0C" w:rsidRDefault="001C0CDE" w:rsidP="00E907AB">
            <w:pPr>
              <w:jc w:val="both"/>
              <w:rPr>
                <w:rFonts w:ascii="Times New Roman" w:hAnsi="Times New Roman" w:cs="Times New Roman"/>
                <w:sz w:val="24"/>
                <w:szCs w:val="24"/>
              </w:rPr>
            </w:pPr>
          </w:p>
          <w:p w:rsidR="001C0CDE" w:rsidRPr="00311B0C" w:rsidRDefault="001C0CDE" w:rsidP="0052125B">
            <w:pPr>
              <w:jc w:val="both"/>
              <w:rPr>
                <w:rFonts w:ascii="Times New Roman" w:hAnsi="Times New Roman" w:cs="Times New Roman"/>
                <w:sz w:val="24"/>
                <w:szCs w:val="24"/>
              </w:rPr>
            </w:pPr>
          </w:p>
        </w:tc>
        <w:tc>
          <w:tcPr>
            <w:tcW w:w="2441" w:type="dxa"/>
          </w:tcPr>
          <w:p w:rsidR="001C0CDE" w:rsidRPr="00311B0C" w:rsidRDefault="001C0CDE" w:rsidP="00E907AB">
            <w:pPr>
              <w:jc w:val="both"/>
              <w:rPr>
                <w:rFonts w:ascii="Times New Roman" w:hAnsi="Times New Roman" w:cs="Times New Roman"/>
                <w:sz w:val="24"/>
                <w:szCs w:val="24"/>
              </w:rPr>
            </w:pPr>
            <w:r w:rsidRPr="00311B0C">
              <w:rPr>
                <w:rFonts w:ascii="Times New Roman" w:hAnsi="Times New Roman" w:cs="Times New Roman"/>
                <w:sz w:val="24"/>
                <w:szCs w:val="24"/>
              </w:rPr>
              <w:t>Not met</w:t>
            </w:r>
          </w:p>
          <w:p w:rsidR="001C0CDE" w:rsidRPr="00311B0C" w:rsidRDefault="001C0CDE" w:rsidP="00E907AB">
            <w:pPr>
              <w:jc w:val="both"/>
              <w:rPr>
                <w:rFonts w:ascii="Times New Roman" w:hAnsi="Times New Roman" w:cs="Times New Roman"/>
                <w:sz w:val="24"/>
                <w:szCs w:val="24"/>
              </w:rPr>
            </w:pPr>
          </w:p>
          <w:p w:rsidR="001C0CDE" w:rsidRPr="00311B0C" w:rsidRDefault="001C0CDE" w:rsidP="00E907AB">
            <w:pPr>
              <w:jc w:val="both"/>
              <w:rPr>
                <w:rFonts w:ascii="Times New Roman" w:hAnsi="Times New Roman" w:cs="Times New Roman"/>
                <w:sz w:val="24"/>
                <w:szCs w:val="24"/>
              </w:rPr>
            </w:pPr>
            <w:r w:rsidRPr="00311B0C">
              <w:rPr>
                <w:rFonts w:ascii="Times New Roman" w:hAnsi="Times New Roman" w:cs="Times New Roman"/>
                <w:sz w:val="24"/>
                <w:szCs w:val="24"/>
              </w:rPr>
              <w:t xml:space="preserve">Some taxpayers will continue to </w:t>
            </w:r>
            <w:r>
              <w:rPr>
                <w:rFonts w:ascii="Times New Roman" w:hAnsi="Times New Roman" w:cs="Times New Roman"/>
                <w:sz w:val="24"/>
                <w:szCs w:val="24"/>
              </w:rPr>
              <w:t>view</w:t>
            </w:r>
            <w:r w:rsidRPr="00311B0C">
              <w:rPr>
                <w:rFonts w:ascii="Times New Roman" w:hAnsi="Times New Roman" w:cs="Times New Roman"/>
                <w:sz w:val="24"/>
                <w:szCs w:val="24"/>
              </w:rPr>
              <w:t xml:space="preserve"> provisional tax in a negative light with the current rules providing uncertainty as to the total tax liability including interest.</w:t>
            </w:r>
          </w:p>
          <w:p w:rsidR="001C0CDE" w:rsidRPr="00311B0C" w:rsidRDefault="001C0CDE" w:rsidP="00E907AB">
            <w:pPr>
              <w:jc w:val="both"/>
              <w:rPr>
                <w:rFonts w:ascii="Times New Roman" w:hAnsi="Times New Roman" w:cs="Times New Roman"/>
                <w:sz w:val="24"/>
                <w:szCs w:val="24"/>
              </w:rPr>
            </w:pPr>
          </w:p>
          <w:p w:rsidR="001C0CDE" w:rsidRPr="00311B0C" w:rsidRDefault="001C0CDE" w:rsidP="0052125B">
            <w:pPr>
              <w:jc w:val="both"/>
              <w:rPr>
                <w:rFonts w:ascii="Times New Roman" w:hAnsi="Times New Roman" w:cs="Times New Roman"/>
                <w:sz w:val="24"/>
                <w:szCs w:val="24"/>
              </w:rPr>
            </w:pPr>
          </w:p>
        </w:tc>
        <w:tc>
          <w:tcPr>
            <w:tcW w:w="3142" w:type="dxa"/>
          </w:tcPr>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No impact</w:t>
            </w:r>
          </w:p>
        </w:tc>
      </w:tr>
      <w:tr w:rsidR="001C0CDE" w:rsidRPr="00311B0C" w:rsidTr="0052125B">
        <w:trPr>
          <w:trHeight w:val="283"/>
        </w:trPr>
        <w:tc>
          <w:tcPr>
            <w:tcW w:w="1635" w:type="dxa"/>
          </w:tcPr>
          <w:p w:rsidR="001C0CDE" w:rsidRPr="00420D8B" w:rsidRDefault="001C0CDE" w:rsidP="0052125B">
            <w:pPr>
              <w:pStyle w:val="ListParagraph"/>
              <w:ind w:left="0"/>
              <w:rPr>
                <w:rFonts w:ascii="Times New Roman" w:hAnsi="Times New Roman" w:cs="Times New Roman"/>
                <w:i/>
                <w:sz w:val="24"/>
                <w:szCs w:val="24"/>
              </w:rPr>
            </w:pPr>
            <w:r>
              <w:rPr>
                <w:rFonts w:ascii="Times New Roman" w:hAnsi="Times New Roman" w:cs="Times New Roman"/>
                <w:sz w:val="24"/>
                <w:szCs w:val="24"/>
              </w:rPr>
              <w:t>2</w:t>
            </w:r>
            <w:r w:rsidRPr="00420D8B">
              <w:rPr>
                <w:rFonts w:ascii="Times New Roman" w:hAnsi="Times New Roman" w:cs="Times New Roman"/>
                <w:sz w:val="24"/>
                <w:szCs w:val="24"/>
              </w:rPr>
              <w:t xml:space="preserve">. Remove the application of </w:t>
            </w:r>
            <w:proofErr w:type="spellStart"/>
            <w:r>
              <w:rPr>
                <w:rFonts w:ascii="Times New Roman" w:hAnsi="Times New Roman" w:cs="Times New Roman"/>
                <w:sz w:val="24"/>
                <w:szCs w:val="24"/>
              </w:rPr>
              <w:t>UOMI</w:t>
            </w:r>
            <w:proofErr w:type="spellEnd"/>
            <w:r w:rsidRPr="00420D8B">
              <w:rPr>
                <w:rFonts w:ascii="Times New Roman" w:hAnsi="Times New Roman" w:cs="Times New Roman"/>
                <w:sz w:val="24"/>
                <w:szCs w:val="24"/>
              </w:rPr>
              <w:t xml:space="preserve"> for the first two </w:t>
            </w:r>
            <w:r>
              <w:rPr>
                <w:rFonts w:ascii="Times New Roman" w:hAnsi="Times New Roman" w:cs="Times New Roman"/>
                <w:sz w:val="24"/>
                <w:szCs w:val="24"/>
              </w:rPr>
              <w:t xml:space="preserve">provisional tax </w:t>
            </w:r>
            <w:r w:rsidRPr="00420D8B">
              <w:rPr>
                <w:rFonts w:ascii="Times New Roman" w:hAnsi="Times New Roman" w:cs="Times New Roman"/>
                <w:sz w:val="24"/>
                <w:szCs w:val="24"/>
              </w:rPr>
              <w:t>instalments for taxpayers who use the standard method</w:t>
            </w:r>
          </w:p>
        </w:tc>
        <w:tc>
          <w:tcPr>
            <w:tcW w:w="2934" w:type="dxa"/>
          </w:tcPr>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Met</w:t>
            </w:r>
          </w:p>
          <w:p w:rsidR="001C0CDE" w:rsidRPr="00311B0C" w:rsidRDefault="001C0CDE" w:rsidP="0052125B">
            <w:pPr>
              <w:jc w:val="both"/>
              <w:rPr>
                <w:rFonts w:ascii="Times New Roman" w:hAnsi="Times New Roman" w:cs="Times New Roman"/>
                <w:sz w:val="24"/>
                <w:szCs w:val="24"/>
              </w:rPr>
            </w:pPr>
          </w:p>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Taxpayers who commit to making a minimum level of tax payments during a year based on the best information available on their performance should not be penalised by the application of </w:t>
            </w:r>
            <w:proofErr w:type="spellStart"/>
            <w:r>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where the actual liability is different.</w:t>
            </w:r>
          </w:p>
          <w:p w:rsidR="001C0CDE" w:rsidRPr="00311B0C" w:rsidRDefault="001C0CDE" w:rsidP="0052125B">
            <w:pPr>
              <w:jc w:val="both"/>
              <w:rPr>
                <w:rFonts w:ascii="Times New Roman" w:hAnsi="Times New Roman" w:cs="Times New Roman"/>
                <w:sz w:val="24"/>
                <w:szCs w:val="24"/>
              </w:rPr>
            </w:pPr>
          </w:p>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Increases the fairness to taxpayers of unexpected changes in income</w:t>
            </w:r>
            <w:r>
              <w:rPr>
                <w:rFonts w:ascii="Times New Roman" w:hAnsi="Times New Roman" w:cs="Times New Roman"/>
                <w:sz w:val="24"/>
                <w:szCs w:val="24"/>
              </w:rPr>
              <w:t>.</w:t>
            </w:r>
          </w:p>
        </w:tc>
        <w:tc>
          <w:tcPr>
            <w:tcW w:w="4360" w:type="dxa"/>
          </w:tcPr>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Met</w:t>
            </w:r>
          </w:p>
          <w:p w:rsidR="001C0CDE" w:rsidRPr="00311B0C" w:rsidRDefault="001C0CDE" w:rsidP="0052125B">
            <w:pPr>
              <w:jc w:val="both"/>
              <w:rPr>
                <w:rFonts w:ascii="Times New Roman" w:hAnsi="Times New Roman" w:cs="Times New Roman"/>
                <w:sz w:val="24"/>
                <w:szCs w:val="24"/>
              </w:rPr>
            </w:pPr>
          </w:p>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Makes provisional tax simpler for the majority of provisional taxpayers who currently use the standard method to calculate their provisional tax. </w:t>
            </w:r>
          </w:p>
          <w:p w:rsidR="001C0CDE" w:rsidRPr="00311B0C" w:rsidRDefault="001C0CDE" w:rsidP="0052125B">
            <w:pPr>
              <w:jc w:val="both"/>
              <w:rPr>
                <w:rFonts w:ascii="Times New Roman" w:hAnsi="Times New Roman" w:cs="Times New Roman"/>
                <w:sz w:val="24"/>
                <w:szCs w:val="24"/>
              </w:rPr>
            </w:pPr>
          </w:p>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Reduces administration costs as I</w:t>
            </w:r>
            <w:r>
              <w:rPr>
                <w:rFonts w:ascii="Times New Roman" w:hAnsi="Times New Roman" w:cs="Times New Roman"/>
                <w:sz w:val="24"/>
                <w:szCs w:val="24"/>
              </w:rPr>
              <w:t xml:space="preserve">nland </w:t>
            </w:r>
            <w:r w:rsidRPr="00311B0C">
              <w:rPr>
                <w:rFonts w:ascii="Times New Roman" w:hAnsi="Times New Roman" w:cs="Times New Roman"/>
                <w:sz w:val="24"/>
                <w:szCs w:val="24"/>
              </w:rPr>
              <w:t>R</w:t>
            </w:r>
            <w:r>
              <w:rPr>
                <w:rFonts w:ascii="Times New Roman" w:hAnsi="Times New Roman" w:cs="Times New Roman"/>
                <w:sz w:val="24"/>
                <w:szCs w:val="24"/>
              </w:rPr>
              <w:t>evenue</w:t>
            </w:r>
            <w:r w:rsidRPr="00311B0C">
              <w:rPr>
                <w:rFonts w:ascii="Times New Roman" w:hAnsi="Times New Roman" w:cs="Times New Roman"/>
                <w:sz w:val="24"/>
                <w:szCs w:val="24"/>
              </w:rPr>
              <w:t xml:space="preserve"> will have a better picture of provisional tax payments that will be payable for a year.</w:t>
            </w:r>
          </w:p>
        </w:tc>
        <w:tc>
          <w:tcPr>
            <w:tcW w:w="2441" w:type="dxa"/>
          </w:tcPr>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Met</w:t>
            </w:r>
          </w:p>
          <w:p w:rsidR="001C0CDE" w:rsidRPr="00311B0C" w:rsidRDefault="001C0CDE" w:rsidP="0052125B">
            <w:pPr>
              <w:jc w:val="both"/>
              <w:rPr>
                <w:rFonts w:ascii="Times New Roman" w:hAnsi="Times New Roman" w:cs="Times New Roman"/>
                <w:sz w:val="24"/>
                <w:szCs w:val="24"/>
              </w:rPr>
            </w:pPr>
          </w:p>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Increases certainty for taxpayers in terms of their total liability to tax and </w:t>
            </w:r>
            <w:proofErr w:type="spellStart"/>
            <w:r>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for a year.</w:t>
            </w:r>
          </w:p>
        </w:tc>
        <w:tc>
          <w:tcPr>
            <w:tcW w:w="3142" w:type="dxa"/>
          </w:tcPr>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This measure has a revenue cost of $7.5</w:t>
            </w:r>
            <w:r>
              <w:rPr>
                <w:rFonts w:ascii="Times New Roman" w:hAnsi="Times New Roman" w:cs="Times New Roman"/>
                <w:sz w:val="24"/>
                <w:szCs w:val="24"/>
              </w:rPr>
              <w:t xml:space="preserve"> </w:t>
            </w:r>
            <w:r w:rsidRPr="00311B0C">
              <w:rPr>
                <w:rFonts w:ascii="Times New Roman" w:hAnsi="Times New Roman" w:cs="Times New Roman"/>
                <w:sz w:val="24"/>
                <w:szCs w:val="24"/>
              </w:rPr>
              <w:t>m</w:t>
            </w:r>
            <w:r>
              <w:rPr>
                <w:rFonts w:ascii="Times New Roman" w:hAnsi="Times New Roman" w:cs="Times New Roman"/>
                <w:sz w:val="24"/>
                <w:szCs w:val="24"/>
              </w:rPr>
              <w:t>illion</w:t>
            </w:r>
            <w:r w:rsidRPr="00311B0C">
              <w:rPr>
                <w:rFonts w:ascii="Times New Roman" w:hAnsi="Times New Roman" w:cs="Times New Roman"/>
                <w:sz w:val="24"/>
                <w:szCs w:val="24"/>
              </w:rPr>
              <w:t xml:space="preserve"> and a cash</w:t>
            </w:r>
            <w:r>
              <w:rPr>
                <w:rFonts w:ascii="Times New Roman" w:hAnsi="Times New Roman" w:cs="Times New Roman"/>
                <w:sz w:val="24"/>
                <w:szCs w:val="24"/>
              </w:rPr>
              <w:t>-</w:t>
            </w:r>
            <w:r w:rsidRPr="00311B0C">
              <w:rPr>
                <w:rFonts w:ascii="Times New Roman" w:hAnsi="Times New Roman" w:cs="Times New Roman"/>
                <w:sz w:val="24"/>
                <w:szCs w:val="24"/>
              </w:rPr>
              <w:t>flow cost of $334</w:t>
            </w:r>
            <w:r>
              <w:rPr>
                <w:rFonts w:ascii="Times New Roman" w:hAnsi="Times New Roman" w:cs="Times New Roman"/>
                <w:sz w:val="24"/>
                <w:szCs w:val="24"/>
              </w:rPr>
              <w:t xml:space="preserve"> </w:t>
            </w:r>
            <w:r w:rsidRPr="00311B0C">
              <w:rPr>
                <w:rFonts w:ascii="Times New Roman" w:hAnsi="Times New Roman" w:cs="Times New Roman"/>
                <w:sz w:val="24"/>
                <w:szCs w:val="24"/>
              </w:rPr>
              <w:t>m</w:t>
            </w:r>
            <w:r>
              <w:rPr>
                <w:rFonts w:ascii="Times New Roman" w:hAnsi="Times New Roman" w:cs="Times New Roman"/>
                <w:sz w:val="24"/>
                <w:szCs w:val="24"/>
              </w:rPr>
              <w:t>illion over four years</w:t>
            </w:r>
            <w:r w:rsidRPr="00311B0C">
              <w:rPr>
                <w:rFonts w:ascii="Times New Roman" w:hAnsi="Times New Roman" w:cs="Times New Roman"/>
                <w:sz w:val="24"/>
                <w:szCs w:val="24"/>
              </w:rPr>
              <w:t>.</w:t>
            </w:r>
          </w:p>
        </w:tc>
      </w:tr>
      <w:tr w:rsidR="001C0CDE" w:rsidRPr="00311B0C" w:rsidTr="0052125B">
        <w:trPr>
          <w:trHeight w:val="301"/>
        </w:trPr>
        <w:tc>
          <w:tcPr>
            <w:tcW w:w="1635" w:type="dxa"/>
          </w:tcPr>
          <w:p w:rsidR="001C0CDE" w:rsidRPr="00420D8B" w:rsidRDefault="001C0CDE" w:rsidP="0052125B">
            <w:pPr>
              <w:rPr>
                <w:rFonts w:ascii="Times New Roman" w:hAnsi="Times New Roman" w:cs="Times New Roman"/>
                <w:i/>
                <w:sz w:val="24"/>
                <w:szCs w:val="24"/>
              </w:rPr>
            </w:pPr>
            <w:r>
              <w:rPr>
                <w:rFonts w:ascii="Times New Roman" w:hAnsi="Times New Roman" w:cs="Times New Roman"/>
                <w:sz w:val="24"/>
                <w:szCs w:val="24"/>
              </w:rPr>
              <w:t>3</w:t>
            </w:r>
            <w:r w:rsidRPr="00D94BDF">
              <w:rPr>
                <w:rFonts w:ascii="Times New Roman" w:hAnsi="Times New Roman" w:cs="Times New Roman"/>
                <w:sz w:val="24"/>
                <w:szCs w:val="24"/>
              </w:rPr>
              <w:t xml:space="preserve">. </w:t>
            </w:r>
            <w:r>
              <w:rPr>
                <w:rFonts w:ascii="Times New Roman" w:hAnsi="Times New Roman" w:cs="Times New Roman"/>
                <w:sz w:val="24"/>
                <w:szCs w:val="24"/>
              </w:rPr>
              <w:t>Rem</w:t>
            </w:r>
            <w:r w:rsidRPr="00D94BDF">
              <w:rPr>
                <w:rFonts w:ascii="Times New Roman" w:hAnsi="Times New Roman" w:cs="Times New Roman"/>
                <w:sz w:val="24"/>
                <w:szCs w:val="24"/>
              </w:rPr>
              <w:t>ove the application</w:t>
            </w:r>
            <w:r w:rsidRPr="00420D8B">
              <w:rPr>
                <w:rFonts w:ascii="Times New Roman" w:hAnsi="Times New Roman" w:cs="Times New Roman"/>
                <w:sz w:val="24"/>
                <w:szCs w:val="24"/>
              </w:rPr>
              <w:t xml:space="preserve"> of </w:t>
            </w:r>
            <w:proofErr w:type="spellStart"/>
            <w:r>
              <w:rPr>
                <w:rFonts w:ascii="Times New Roman" w:hAnsi="Times New Roman" w:cs="Times New Roman"/>
                <w:sz w:val="24"/>
                <w:szCs w:val="24"/>
              </w:rPr>
              <w:t>UOMI</w:t>
            </w:r>
            <w:proofErr w:type="spellEnd"/>
            <w:r w:rsidRPr="00420D8B">
              <w:rPr>
                <w:rFonts w:ascii="Times New Roman" w:hAnsi="Times New Roman" w:cs="Times New Roman"/>
                <w:sz w:val="24"/>
                <w:szCs w:val="24"/>
              </w:rPr>
              <w:t xml:space="preserve"> to terminal tax for taxpayers who use the standard method</w:t>
            </w:r>
          </w:p>
        </w:tc>
        <w:tc>
          <w:tcPr>
            <w:tcW w:w="2934" w:type="dxa"/>
          </w:tcPr>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Not </w:t>
            </w:r>
            <w:r>
              <w:rPr>
                <w:rFonts w:ascii="Times New Roman" w:hAnsi="Times New Roman" w:cs="Times New Roman"/>
                <w:sz w:val="24"/>
                <w:szCs w:val="24"/>
              </w:rPr>
              <w:t>m</w:t>
            </w:r>
            <w:r w:rsidRPr="00311B0C">
              <w:rPr>
                <w:rFonts w:ascii="Times New Roman" w:hAnsi="Times New Roman" w:cs="Times New Roman"/>
                <w:sz w:val="24"/>
                <w:szCs w:val="24"/>
              </w:rPr>
              <w:t>et</w:t>
            </w:r>
          </w:p>
          <w:p w:rsidR="001C0CDE" w:rsidRPr="00311B0C" w:rsidRDefault="001C0CDE" w:rsidP="0052125B">
            <w:pPr>
              <w:jc w:val="both"/>
              <w:rPr>
                <w:rFonts w:ascii="Times New Roman" w:hAnsi="Times New Roman" w:cs="Times New Roman"/>
                <w:sz w:val="24"/>
                <w:szCs w:val="24"/>
              </w:rPr>
            </w:pPr>
          </w:p>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The current safe harbour removes those who have lower levels of </w:t>
            </w:r>
            <w:proofErr w:type="spellStart"/>
            <w:r w:rsidRPr="00311B0C">
              <w:rPr>
                <w:rFonts w:ascii="Times New Roman" w:hAnsi="Times New Roman" w:cs="Times New Roman"/>
                <w:sz w:val="24"/>
                <w:szCs w:val="24"/>
              </w:rPr>
              <w:t>RIT</w:t>
            </w:r>
            <w:proofErr w:type="spellEnd"/>
            <w:r w:rsidRPr="00311B0C">
              <w:rPr>
                <w:rFonts w:ascii="Times New Roman" w:hAnsi="Times New Roman" w:cs="Times New Roman"/>
                <w:sz w:val="24"/>
                <w:szCs w:val="24"/>
              </w:rPr>
              <w:t xml:space="preserve"> from the application of </w:t>
            </w:r>
            <w:proofErr w:type="spellStart"/>
            <w:r>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This is to ensure that those on those lower levels have certainty around </w:t>
            </w:r>
            <w:proofErr w:type="spellStart"/>
            <w:r>
              <w:rPr>
                <w:rFonts w:ascii="Times New Roman" w:hAnsi="Times New Roman" w:cs="Times New Roman"/>
                <w:sz w:val="24"/>
                <w:szCs w:val="24"/>
              </w:rPr>
              <w:t>UOMI</w:t>
            </w:r>
            <w:proofErr w:type="spellEnd"/>
            <w:r w:rsidRPr="00311B0C">
              <w:rPr>
                <w:rFonts w:ascii="Times New Roman" w:hAnsi="Times New Roman" w:cs="Times New Roman"/>
                <w:sz w:val="24"/>
                <w:szCs w:val="24"/>
              </w:rPr>
              <w:t>.</w:t>
            </w:r>
          </w:p>
          <w:p w:rsidR="001C0CDE" w:rsidRPr="00311B0C" w:rsidRDefault="001C0CDE" w:rsidP="0052125B">
            <w:pPr>
              <w:jc w:val="both"/>
              <w:rPr>
                <w:rFonts w:ascii="Times New Roman" w:hAnsi="Times New Roman" w:cs="Times New Roman"/>
                <w:sz w:val="24"/>
                <w:szCs w:val="24"/>
              </w:rPr>
            </w:pPr>
          </w:p>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To allow all taxpayers to have this concessionary treatment is not appropriate as some taxpayers are sophisticated and should be able to manage their tax payments accordingly</w:t>
            </w:r>
            <w:r>
              <w:rPr>
                <w:rFonts w:ascii="Times New Roman" w:hAnsi="Times New Roman" w:cs="Times New Roman"/>
                <w:sz w:val="24"/>
                <w:szCs w:val="24"/>
              </w:rPr>
              <w:t>.</w:t>
            </w:r>
          </w:p>
        </w:tc>
        <w:tc>
          <w:tcPr>
            <w:tcW w:w="4360" w:type="dxa"/>
          </w:tcPr>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Not </w:t>
            </w:r>
            <w:r>
              <w:rPr>
                <w:rFonts w:ascii="Times New Roman" w:hAnsi="Times New Roman" w:cs="Times New Roman"/>
                <w:sz w:val="24"/>
                <w:szCs w:val="24"/>
              </w:rPr>
              <w:t>m</w:t>
            </w:r>
            <w:r w:rsidRPr="00311B0C">
              <w:rPr>
                <w:rFonts w:ascii="Times New Roman" w:hAnsi="Times New Roman" w:cs="Times New Roman"/>
                <w:sz w:val="24"/>
                <w:szCs w:val="24"/>
              </w:rPr>
              <w:t>et</w:t>
            </w:r>
          </w:p>
          <w:p w:rsidR="001C0CDE" w:rsidRPr="00311B0C" w:rsidRDefault="001C0CDE" w:rsidP="0052125B">
            <w:pPr>
              <w:jc w:val="both"/>
              <w:rPr>
                <w:rFonts w:ascii="Times New Roman" w:hAnsi="Times New Roman" w:cs="Times New Roman"/>
                <w:sz w:val="24"/>
                <w:szCs w:val="24"/>
              </w:rPr>
            </w:pPr>
          </w:p>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Reduces the compliance costs for those taxpayers using the safe harbour method</w:t>
            </w:r>
            <w:r>
              <w:rPr>
                <w:rFonts w:ascii="Times New Roman" w:hAnsi="Times New Roman" w:cs="Times New Roman"/>
                <w:sz w:val="24"/>
                <w:szCs w:val="24"/>
              </w:rPr>
              <w:t>.</w:t>
            </w:r>
            <w:r w:rsidRPr="00311B0C">
              <w:rPr>
                <w:rFonts w:ascii="Times New Roman" w:hAnsi="Times New Roman" w:cs="Times New Roman"/>
                <w:sz w:val="24"/>
                <w:szCs w:val="24"/>
              </w:rPr>
              <w:t xml:space="preserve"> </w:t>
            </w:r>
            <w:r>
              <w:rPr>
                <w:rFonts w:ascii="Times New Roman" w:hAnsi="Times New Roman" w:cs="Times New Roman"/>
                <w:sz w:val="24"/>
                <w:szCs w:val="24"/>
              </w:rPr>
              <w:t>I</w:t>
            </w:r>
            <w:r w:rsidRPr="00311B0C">
              <w:rPr>
                <w:rFonts w:ascii="Times New Roman" w:hAnsi="Times New Roman" w:cs="Times New Roman"/>
                <w:sz w:val="24"/>
                <w:szCs w:val="24"/>
              </w:rPr>
              <w:t>ncreases the incentive to change between the standard and estimation method</w:t>
            </w:r>
            <w:r>
              <w:rPr>
                <w:rFonts w:ascii="Times New Roman" w:hAnsi="Times New Roman" w:cs="Times New Roman"/>
                <w:sz w:val="24"/>
                <w:szCs w:val="24"/>
              </w:rPr>
              <w:t>s</w:t>
            </w:r>
            <w:r w:rsidRPr="00311B0C">
              <w:rPr>
                <w:rFonts w:ascii="Times New Roman" w:hAnsi="Times New Roman" w:cs="Times New Roman"/>
                <w:sz w:val="24"/>
                <w:szCs w:val="24"/>
              </w:rPr>
              <w:t xml:space="preserve"> for more sophisticated taxpayers</w:t>
            </w:r>
            <w:r>
              <w:rPr>
                <w:rFonts w:ascii="Times New Roman" w:hAnsi="Times New Roman" w:cs="Times New Roman"/>
                <w:sz w:val="24"/>
                <w:szCs w:val="24"/>
              </w:rPr>
              <w:t>,</w:t>
            </w:r>
            <w:r w:rsidRPr="00311B0C">
              <w:rPr>
                <w:rFonts w:ascii="Times New Roman" w:hAnsi="Times New Roman" w:cs="Times New Roman"/>
                <w:sz w:val="24"/>
                <w:szCs w:val="24"/>
              </w:rPr>
              <w:t xml:space="preserve"> as they will determine </w:t>
            </w:r>
            <w:r>
              <w:rPr>
                <w:rFonts w:ascii="Times New Roman" w:hAnsi="Times New Roman" w:cs="Times New Roman"/>
                <w:sz w:val="24"/>
                <w:szCs w:val="24"/>
              </w:rPr>
              <w:t>on which basis</w:t>
            </w:r>
            <w:r w:rsidRPr="00311B0C">
              <w:rPr>
                <w:rFonts w:ascii="Times New Roman" w:hAnsi="Times New Roman" w:cs="Times New Roman"/>
                <w:sz w:val="24"/>
                <w:szCs w:val="24"/>
              </w:rPr>
              <w:t xml:space="preserve"> to pay provisional tax based on the standard method or estimate.</w:t>
            </w:r>
          </w:p>
        </w:tc>
        <w:tc>
          <w:tcPr>
            <w:tcW w:w="2441" w:type="dxa"/>
          </w:tcPr>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Met</w:t>
            </w:r>
          </w:p>
          <w:p w:rsidR="001C0CDE" w:rsidRPr="00311B0C" w:rsidRDefault="001C0CDE" w:rsidP="0052125B">
            <w:pPr>
              <w:jc w:val="both"/>
              <w:rPr>
                <w:rFonts w:ascii="Times New Roman" w:hAnsi="Times New Roman" w:cs="Times New Roman"/>
                <w:sz w:val="24"/>
                <w:szCs w:val="24"/>
              </w:rPr>
            </w:pPr>
          </w:p>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Increases certainty for taxpayers in terms of their total liability </w:t>
            </w:r>
            <w:r>
              <w:rPr>
                <w:rFonts w:ascii="Times New Roman" w:hAnsi="Times New Roman" w:cs="Times New Roman"/>
                <w:sz w:val="24"/>
                <w:szCs w:val="24"/>
              </w:rPr>
              <w:t>for</w:t>
            </w:r>
            <w:r w:rsidRPr="00311B0C">
              <w:rPr>
                <w:rFonts w:ascii="Times New Roman" w:hAnsi="Times New Roman" w:cs="Times New Roman"/>
                <w:sz w:val="24"/>
                <w:szCs w:val="24"/>
              </w:rPr>
              <w:t xml:space="preserve"> tax and </w:t>
            </w:r>
            <w:proofErr w:type="spellStart"/>
            <w:r>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for a year.</w:t>
            </w:r>
          </w:p>
        </w:tc>
        <w:tc>
          <w:tcPr>
            <w:tcW w:w="3142" w:type="dxa"/>
          </w:tcPr>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This measure has a prohibitive cash</w:t>
            </w:r>
            <w:r>
              <w:rPr>
                <w:rFonts w:ascii="Times New Roman" w:hAnsi="Times New Roman" w:cs="Times New Roman"/>
                <w:sz w:val="24"/>
                <w:szCs w:val="24"/>
              </w:rPr>
              <w:t>-</w:t>
            </w:r>
            <w:r w:rsidRPr="00311B0C">
              <w:rPr>
                <w:rFonts w:ascii="Times New Roman" w:hAnsi="Times New Roman" w:cs="Times New Roman"/>
                <w:sz w:val="24"/>
                <w:szCs w:val="24"/>
              </w:rPr>
              <w:t>flow and revenue cost.</w:t>
            </w:r>
          </w:p>
        </w:tc>
      </w:tr>
      <w:tr w:rsidR="001C0CDE" w:rsidRPr="00311B0C" w:rsidTr="0052125B">
        <w:trPr>
          <w:trHeight w:val="301"/>
        </w:trPr>
        <w:tc>
          <w:tcPr>
            <w:tcW w:w="1635" w:type="dxa"/>
          </w:tcPr>
          <w:p w:rsidR="001C0CDE" w:rsidRPr="00420D8B" w:rsidRDefault="001C0CDE" w:rsidP="0052125B">
            <w:pPr>
              <w:rPr>
                <w:rFonts w:ascii="Times New Roman" w:hAnsi="Times New Roman" w:cs="Times New Roman"/>
                <w:sz w:val="24"/>
                <w:szCs w:val="24"/>
              </w:rPr>
            </w:pPr>
            <w:r>
              <w:rPr>
                <w:rFonts w:ascii="Times New Roman" w:hAnsi="Times New Roman" w:cs="Times New Roman"/>
                <w:sz w:val="24"/>
                <w:szCs w:val="24"/>
              </w:rPr>
              <w:t>4</w:t>
            </w:r>
            <w:r w:rsidRPr="00420D8B">
              <w:rPr>
                <w:rFonts w:ascii="Times New Roman" w:hAnsi="Times New Roman" w:cs="Times New Roman"/>
                <w:sz w:val="24"/>
                <w:szCs w:val="24"/>
              </w:rPr>
              <w:t xml:space="preserve">. Remove the application of </w:t>
            </w:r>
            <w:proofErr w:type="spellStart"/>
            <w:r>
              <w:rPr>
                <w:rFonts w:ascii="Times New Roman" w:hAnsi="Times New Roman" w:cs="Times New Roman"/>
                <w:sz w:val="24"/>
                <w:szCs w:val="24"/>
              </w:rPr>
              <w:t>UOMI</w:t>
            </w:r>
            <w:proofErr w:type="spellEnd"/>
            <w:r w:rsidRPr="00420D8B">
              <w:rPr>
                <w:rFonts w:ascii="Times New Roman" w:hAnsi="Times New Roman" w:cs="Times New Roman"/>
                <w:sz w:val="24"/>
                <w:szCs w:val="24"/>
              </w:rPr>
              <w:t xml:space="preserve"> for the first instalment for taxpayers who use the standard method to calculate provisional tax </w:t>
            </w:r>
          </w:p>
        </w:tc>
        <w:tc>
          <w:tcPr>
            <w:tcW w:w="2934" w:type="dxa"/>
          </w:tcPr>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Not </w:t>
            </w:r>
            <w:r>
              <w:rPr>
                <w:rFonts w:ascii="Times New Roman" w:hAnsi="Times New Roman" w:cs="Times New Roman"/>
                <w:sz w:val="24"/>
                <w:szCs w:val="24"/>
              </w:rPr>
              <w:t>m</w:t>
            </w:r>
            <w:r w:rsidRPr="00311B0C">
              <w:rPr>
                <w:rFonts w:ascii="Times New Roman" w:hAnsi="Times New Roman" w:cs="Times New Roman"/>
                <w:sz w:val="24"/>
                <w:szCs w:val="24"/>
              </w:rPr>
              <w:t>et</w:t>
            </w:r>
          </w:p>
          <w:p w:rsidR="001C0CDE" w:rsidRPr="00311B0C" w:rsidRDefault="001C0CDE" w:rsidP="0052125B">
            <w:pPr>
              <w:jc w:val="both"/>
              <w:rPr>
                <w:rFonts w:ascii="Times New Roman" w:hAnsi="Times New Roman" w:cs="Times New Roman"/>
                <w:sz w:val="24"/>
                <w:szCs w:val="24"/>
              </w:rPr>
            </w:pPr>
          </w:p>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Removing the application of </w:t>
            </w:r>
            <w:proofErr w:type="spellStart"/>
            <w:r>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from the first instalment provides no real relief </w:t>
            </w:r>
            <w:r>
              <w:rPr>
                <w:rFonts w:ascii="Times New Roman" w:hAnsi="Times New Roman" w:cs="Times New Roman"/>
                <w:sz w:val="24"/>
                <w:szCs w:val="24"/>
              </w:rPr>
              <w:t xml:space="preserve">for taxpayers </w:t>
            </w:r>
            <w:r w:rsidRPr="00311B0C">
              <w:rPr>
                <w:rFonts w:ascii="Times New Roman" w:hAnsi="Times New Roman" w:cs="Times New Roman"/>
                <w:sz w:val="24"/>
                <w:szCs w:val="24"/>
              </w:rPr>
              <w:t xml:space="preserve">from the </w:t>
            </w:r>
            <w:r>
              <w:rPr>
                <w:rFonts w:ascii="Times New Roman" w:hAnsi="Times New Roman" w:cs="Times New Roman"/>
                <w:sz w:val="24"/>
                <w:szCs w:val="24"/>
              </w:rPr>
              <w:t>current</w:t>
            </w:r>
            <w:r w:rsidRPr="00311B0C">
              <w:rPr>
                <w:rFonts w:ascii="Times New Roman" w:hAnsi="Times New Roman" w:cs="Times New Roman"/>
                <w:sz w:val="24"/>
                <w:szCs w:val="24"/>
              </w:rPr>
              <w:t xml:space="preserve"> provisional tax</w:t>
            </w:r>
            <w:r>
              <w:rPr>
                <w:rFonts w:ascii="Times New Roman" w:hAnsi="Times New Roman" w:cs="Times New Roman"/>
                <w:sz w:val="24"/>
                <w:szCs w:val="24"/>
              </w:rPr>
              <w:t xml:space="preserve"> problems</w:t>
            </w:r>
            <w:r w:rsidRPr="00311B0C">
              <w:rPr>
                <w:rFonts w:ascii="Times New Roman" w:hAnsi="Times New Roman" w:cs="Times New Roman"/>
                <w:sz w:val="24"/>
                <w:szCs w:val="24"/>
              </w:rPr>
              <w:t xml:space="preserve">. </w:t>
            </w:r>
          </w:p>
          <w:p w:rsidR="001C0CDE" w:rsidRPr="00311B0C" w:rsidRDefault="001C0CDE" w:rsidP="0052125B">
            <w:pPr>
              <w:jc w:val="both"/>
              <w:rPr>
                <w:rFonts w:ascii="Times New Roman" w:hAnsi="Times New Roman" w:cs="Times New Roman"/>
                <w:sz w:val="24"/>
                <w:szCs w:val="24"/>
              </w:rPr>
            </w:pPr>
          </w:p>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This would continue to have issues around fairness of the application of </w:t>
            </w:r>
            <w:proofErr w:type="spellStart"/>
            <w:r>
              <w:rPr>
                <w:rFonts w:ascii="Times New Roman" w:hAnsi="Times New Roman" w:cs="Times New Roman"/>
                <w:sz w:val="24"/>
                <w:szCs w:val="24"/>
              </w:rPr>
              <w:t>UOMI</w:t>
            </w:r>
            <w:proofErr w:type="spellEnd"/>
            <w:r>
              <w:rPr>
                <w:rFonts w:ascii="Times New Roman" w:hAnsi="Times New Roman" w:cs="Times New Roman"/>
                <w:sz w:val="24"/>
                <w:szCs w:val="24"/>
              </w:rPr>
              <w:t>,</w:t>
            </w:r>
            <w:r w:rsidRPr="00311B0C">
              <w:rPr>
                <w:rFonts w:ascii="Times New Roman" w:hAnsi="Times New Roman" w:cs="Times New Roman"/>
                <w:sz w:val="24"/>
                <w:szCs w:val="24"/>
              </w:rPr>
              <w:t xml:space="preserve"> albeit </w:t>
            </w:r>
            <w:r>
              <w:rPr>
                <w:rFonts w:ascii="Times New Roman" w:hAnsi="Times New Roman" w:cs="Times New Roman"/>
                <w:sz w:val="24"/>
                <w:szCs w:val="24"/>
              </w:rPr>
              <w:t xml:space="preserve">they would be </w:t>
            </w:r>
            <w:r w:rsidRPr="00311B0C">
              <w:rPr>
                <w:rFonts w:ascii="Times New Roman" w:hAnsi="Times New Roman" w:cs="Times New Roman"/>
                <w:sz w:val="24"/>
                <w:szCs w:val="24"/>
              </w:rPr>
              <w:t>reduced slightly.</w:t>
            </w:r>
          </w:p>
        </w:tc>
        <w:tc>
          <w:tcPr>
            <w:tcW w:w="4360" w:type="dxa"/>
          </w:tcPr>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Not </w:t>
            </w:r>
            <w:r>
              <w:rPr>
                <w:rFonts w:ascii="Times New Roman" w:hAnsi="Times New Roman" w:cs="Times New Roman"/>
                <w:sz w:val="24"/>
                <w:szCs w:val="24"/>
              </w:rPr>
              <w:t>m</w:t>
            </w:r>
            <w:r w:rsidRPr="00311B0C">
              <w:rPr>
                <w:rFonts w:ascii="Times New Roman" w:hAnsi="Times New Roman" w:cs="Times New Roman"/>
                <w:sz w:val="24"/>
                <w:szCs w:val="24"/>
              </w:rPr>
              <w:t>et</w:t>
            </w:r>
          </w:p>
          <w:p w:rsidR="001C0CDE" w:rsidRPr="00311B0C" w:rsidRDefault="001C0CDE" w:rsidP="0052125B">
            <w:pPr>
              <w:jc w:val="both"/>
              <w:rPr>
                <w:rFonts w:ascii="Times New Roman" w:hAnsi="Times New Roman" w:cs="Times New Roman"/>
                <w:sz w:val="24"/>
                <w:szCs w:val="24"/>
              </w:rPr>
            </w:pPr>
          </w:p>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Doesn’t reduce compliance costs of taxpayers overly as </w:t>
            </w:r>
            <w:r>
              <w:rPr>
                <w:rFonts w:ascii="Times New Roman" w:hAnsi="Times New Roman" w:cs="Times New Roman"/>
                <w:sz w:val="24"/>
                <w:szCs w:val="24"/>
              </w:rPr>
              <w:t xml:space="preserve">it </w:t>
            </w:r>
            <w:r w:rsidRPr="00311B0C">
              <w:rPr>
                <w:rFonts w:ascii="Times New Roman" w:hAnsi="Times New Roman" w:cs="Times New Roman"/>
                <w:sz w:val="24"/>
                <w:szCs w:val="24"/>
              </w:rPr>
              <w:t>only relieves interest from one payment</w:t>
            </w:r>
            <w:r>
              <w:rPr>
                <w:rFonts w:ascii="Times New Roman" w:hAnsi="Times New Roman" w:cs="Times New Roman"/>
                <w:sz w:val="24"/>
                <w:szCs w:val="24"/>
              </w:rPr>
              <w:t>. W</w:t>
            </w:r>
            <w:r w:rsidRPr="00311B0C">
              <w:rPr>
                <w:rFonts w:ascii="Times New Roman" w:hAnsi="Times New Roman" w:cs="Times New Roman"/>
                <w:sz w:val="24"/>
                <w:szCs w:val="24"/>
              </w:rPr>
              <w:t xml:space="preserve">ill still require taxpayers to either overpay from the second instalment or risk the application of </w:t>
            </w:r>
            <w:proofErr w:type="spellStart"/>
            <w:r>
              <w:rPr>
                <w:rFonts w:ascii="Times New Roman" w:hAnsi="Times New Roman" w:cs="Times New Roman"/>
                <w:sz w:val="24"/>
                <w:szCs w:val="24"/>
              </w:rPr>
              <w:t>UOMI</w:t>
            </w:r>
            <w:proofErr w:type="spellEnd"/>
            <w:r>
              <w:rPr>
                <w:rFonts w:ascii="Times New Roman" w:hAnsi="Times New Roman" w:cs="Times New Roman"/>
                <w:sz w:val="24"/>
                <w:szCs w:val="24"/>
              </w:rPr>
              <w:t>,</w:t>
            </w:r>
            <w:r w:rsidRPr="00311B0C">
              <w:rPr>
                <w:rFonts w:ascii="Times New Roman" w:hAnsi="Times New Roman" w:cs="Times New Roman"/>
                <w:sz w:val="24"/>
                <w:szCs w:val="24"/>
              </w:rPr>
              <w:t xml:space="preserve"> or </w:t>
            </w:r>
            <w:r>
              <w:rPr>
                <w:rFonts w:ascii="Times New Roman" w:hAnsi="Times New Roman" w:cs="Times New Roman"/>
                <w:sz w:val="24"/>
                <w:szCs w:val="24"/>
              </w:rPr>
              <w:t xml:space="preserve">to </w:t>
            </w:r>
            <w:r w:rsidRPr="00311B0C">
              <w:rPr>
                <w:rFonts w:ascii="Times New Roman" w:hAnsi="Times New Roman" w:cs="Times New Roman"/>
                <w:sz w:val="24"/>
                <w:szCs w:val="24"/>
              </w:rPr>
              <w:t>estimate their liability.</w:t>
            </w:r>
          </w:p>
        </w:tc>
        <w:tc>
          <w:tcPr>
            <w:tcW w:w="2441" w:type="dxa"/>
          </w:tcPr>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Not </w:t>
            </w:r>
            <w:r>
              <w:rPr>
                <w:rFonts w:ascii="Times New Roman" w:hAnsi="Times New Roman" w:cs="Times New Roman"/>
                <w:sz w:val="24"/>
                <w:szCs w:val="24"/>
              </w:rPr>
              <w:t>m</w:t>
            </w:r>
            <w:r w:rsidRPr="00311B0C">
              <w:rPr>
                <w:rFonts w:ascii="Times New Roman" w:hAnsi="Times New Roman" w:cs="Times New Roman"/>
                <w:sz w:val="24"/>
                <w:szCs w:val="24"/>
              </w:rPr>
              <w:t>et</w:t>
            </w:r>
          </w:p>
          <w:p w:rsidR="001C0CDE" w:rsidRPr="00311B0C" w:rsidRDefault="001C0CDE" w:rsidP="0052125B">
            <w:pPr>
              <w:jc w:val="both"/>
              <w:rPr>
                <w:rFonts w:ascii="Times New Roman" w:hAnsi="Times New Roman" w:cs="Times New Roman"/>
                <w:sz w:val="24"/>
                <w:szCs w:val="24"/>
              </w:rPr>
            </w:pPr>
          </w:p>
          <w:p w:rsidR="001C0CDE" w:rsidRPr="00311B0C" w:rsidRDefault="001C0CDE" w:rsidP="0052125B">
            <w:pPr>
              <w:jc w:val="both"/>
              <w:rPr>
                <w:rFonts w:ascii="Times New Roman" w:hAnsi="Times New Roman" w:cs="Times New Roman"/>
                <w:sz w:val="24"/>
                <w:szCs w:val="24"/>
              </w:rPr>
            </w:pPr>
            <w:r w:rsidRPr="00311B0C">
              <w:rPr>
                <w:rFonts w:ascii="Times New Roman" w:hAnsi="Times New Roman" w:cs="Times New Roman"/>
                <w:sz w:val="24"/>
                <w:szCs w:val="24"/>
              </w:rPr>
              <w:t xml:space="preserve">Still results in uncertainty for taxpayers </w:t>
            </w:r>
            <w:r>
              <w:rPr>
                <w:rFonts w:ascii="Times New Roman" w:hAnsi="Times New Roman" w:cs="Times New Roman"/>
                <w:sz w:val="24"/>
                <w:szCs w:val="24"/>
              </w:rPr>
              <w:t>regarding their</w:t>
            </w:r>
            <w:r w:rsidRPr="00311B0C">
              <w:rPr>
                <w:rFonts w:ascii="Times New Roman" w:hAnsi="Times New Roman" w:cs="Times New Roman"/>
                <w:sz w:val="24"/>
                <w:szCs w:val="24"/>
              </w:rPr>
              <w:t xml:space="preserve"> total liability </w:t>
            </w:r>
            <w:r>
              <w:rPr>
                <w:rFonts w:ascii="Times New Roman" w:hAnsi="Times New Roman" w:cs="Times New Roman"/>
                <w:sz w:val="24"/>
                <w:szCs w:val="24"/>
              </w:rPr>
              <w:t xml:space="preserve">for </w:t>
            </w:r>
            <w:r w:rsidRPr="00311B0C">
              <w:rPr>
                <w:rFonts w:ascii="Times New Roman" w:hAnsi="Times New Roman" w:cs="Times New Roman"/>
                <w:sz w:val="24"/>
                <w:szCs w:val="24"/>
              </w:rPr>
              <w:t xml:space="preserve">provisional tax payments and </w:t>
            </w:r>
            <w:proofErr w:type="spellStart"/>
            <w:r>
              <w:rPr>
                <w:rFonts w:ascii="Times New Roman" w:hAnsi="Times New Roman" w:cs="Times New Roman"/>
                <w:sz w:val="24"/>
                <w:szCs w:val="24"/>
              </w:rPr>
              <w:t>UOMI</w:t>
            </w:r>
            <w:proofErr w:type="spellEnd"/>
            <w:r>
              <w:rPr>
                <w:rFonts w:ascii="Times New Roman" w:hAnsi="Times New Roman" w:cs="Times New Roman"/>
                <w:sz w:val="24"/>
                <w:szCs w:val="24"/>
              </w:rPr>
              <w:t>,</w:t>
            </w:r>
            <w:r w:rsidRPr="00311B0C">
              <w:rPr>
                <w:rFonts w:ascii="Times New Roman" w:hAnsi="Times New Roman" w:cs="Times New Roman"/>
                <w:sz w:val="24"/>
                <w:szCs w:val="24"/>
              </w:rPr>
              <w:t xml:space="preserve"> which does not change perceptions of provisional tax.</w:t>
            </w:r>
          </w:p>
        </w:tc>
        <w:tc>
          <w:tcPr>
            <w:tcW w:w="3142" w:type="dxa"/>
          </w:tcPr>
          <w:p w:rsidR="001C0CDE" w:rsidRPr="00311B0C" w:rsidRDefault="001C0CDE" w:rsidP="007219DD">
            <w:pPr>
              <w:jc w:val="both"/>
              <w:rPr>
                <w:rFonts w:ascii="Times New Roman" w:hAnsi="Times New Roman" w:cs="Times New Roman"/>
                <w:sz w:val="24"/>
                <w:szCs w:val="24"/>
              </w:rPr>
            </w:pPr>
            <w:r w:rsidRPr="00311B0C">
              <w:rPr>
                <w:rFonts w:ascii="Times New Roman" w:hAnsi="Times New Roman" w:cs="Times New Roman"/>
                <w:sz w:val="24"/>
                <w:szCs w:val="24"/>
              </w:rPr>
              <w:t xml:space="preserve">This measure would have a </w:t>
            </w:r>
            <w:r>
              <w:rPr>
                <w:rFonts w:ascii="Times New Roman" w:hAnsi="Times New Roman" w:cs="Times New Roman"/>
                <w:sz w:val="24"/>
                <w:szCs w:val="24"/>
              </w:rPr>
              <w:t>lower</w:t>
            </w:r>
            <w:r w:rsidRPr="00311B0C">
              <w:rPr>
                <w:rFonts w:ascii="Times New Roman" w:hAnsi="Times New Roman" w:cs="Times New Roman"/>
                <w:sz w:val="24"/>
                <w:szCs w:val="24"/>
              </w:rPr>
              <w:t xml:space="preserve"> cost both in terms of revenue and cash</w:t>
            </w:r>
            <w:r>
              <w:rPr>
                <w:rFonts w:ascii="Times New Roman" w:hAnsi="Times New Roman" w:cs="Times New Roman"/>
                <w:sz w:val="24"/>
                <w:szCs w:val="24"/>
              </w:rPr>
              <w:t>-</w:t>
            </w:r>
            <w:r w:rsidRPr="00311B0C">
              <w:rPr>
                <w:rFonts w:ascii="Times New Roman" w:hAnsi="Times New Roman" w:cs="Times New Roman"/>
                <w:sz w:val="24"/>
                <w:szCs w:val="24"/>
              </w:rPr>
              <w:t>flow than the recommended option.</w:t>
            </w:r>
          </w:p>
        </w:tc>
      </w:tr>
    </w:tbl>
    <w:p w:rsidR="0052125B" w:rsidRDefault="0052125B" w:rsidP="0059151D">
      <w:pPr>
        <w:spacing w:after="0" w:line="240" w:lineRule="auto"/>
        <w:jc w:val="both"/>
        <w:rPr>
          <w:rFonts w:ascii="Times New Roman" w:hAnsi="Times New Roman" w:cs="Times New Roman"/>
          <w:sz w:val="24"/>
          <w:szCs w:val="24"/>
        </w:rPr>
      </w:pPr>
    </w:p>
    <w:p w:rsidR="0052125B" w:rsidRDefault="0052125B" w:rsidP="0059151D">
      <w:pPr>
        <w:spacing w:after="0" w:line="240" w:lineRule="auto"/>
        <w:jc w:val="both"/>
        <w:rPr>
          <w:rFonts w:ascii="Times New Roman" w:hAnsi="Times New Roman" w:cs="Times New Roman"/>
          <w:sz w:val="24"/>
          <w:szCs w:val="24"/>
        </w:rPr>
        <w:sectPr w:rsidR="0052125B" w:rsidSect="008D31DB">
          <w:pgSz w:w="16838" w:h="11906" w:orient="landscape"/>
          <w:pgMar w:top="720" w:right="720" w:bottom="720" w:left="720" w:header="708" w:footer="708" w:gutter="0"/>
          <w:cols w:space="708"/>
          <w:docGrid w:linePitch="360"/>
        </w:sectPr>
      </w:pPr>
    </w:p>
    <w:p w:rsidR="00432264" w:rsidRPr="000E4599" w:rsidRDefault="00432264" w:rsidP="00432264">
      <w:pPr>
        <w:pStyle w:val="Heading3"/>
      </w:pPr>
      <w:bookmarkStart w:id="18" w:name="_Toc444145605"/>
      <w:r>
        <w:t>R</w:t>
      </w:r>
      <w:r w:rsidRPr="000E4599">
        <w:t>ecommendations</w:t>
      </w:r>
      <w:bookmarkEnd w:id="18"/>
    </w:p>
    <w:p w:rsidR="00432264" w:rsidRDefault="00432264" w:rsidP="00432264">
      <w:pPr>
        <w:spacing w:after="0" w:line="240" w:lineRule="auto"/>
        <w:jc w:val="both"/>
        <w:rPr>
          <w:rFonts w:ascii="Times New Roman" w:hAnsi="Times New Roman" w:cs="Times New Roman"/>
          <w:i/>
          <w:sz w:val="24"/>
          <w:szCs w:val="24"/>
        </w:rPr>
      </w:pPr>
    </w:p>
    <w:p w:rsidR="00432264" w:rsidRPr="00AD4A67" w:rsidRDefault="00432264" w:rsidP="008D31DB">
      <w:pPr>
        <w:pStyle w:val="ListParagraph"/>
        <w:spacing w:after="0" w:line="240" w:lineRule="auto"/>
        <w:ind w:left="0"/>
        <w:jc w:val="both"/>
        <w:rPr>
          <w:rFonts w:ascii="Times New Roman" w:hAnsi="Times New Roman" w:cs="Times New Roman"/>
          <w:sz w:val="24"/>
          <w:szCs w:val="24"/>
        </w:rPr>
      </w:pPr>
      <w:r w:rsidRPr="00597570">
        <w:rPr>
          <w:rFonts w:ascii="Times New Roman" w:hAnsi="Times New Roman" w:cs="Times New Roman"/>
          <w:sz w:val="24"/>
          <w:szCs w:val="24"/>
        </w:rPr>
        <w:t>O</w:t>
      </w:r>
      <w:r>
        <w:rPr>
          <w:rFonts w:ascii="Times New Roman" w:hAnsi="Times New Roman" w:cs="Times New Roman"/>
          <w:sz w:val="24"/>
          <w:szCs w:val="24"/>
        </w:rPr>
        <w:t>fficials recommend o</w:t>
      </w:r>
      <w:r w:rsidRPr="00597570">
        <w:rPr>
          <w:rFonts w:ascii="Times New Roman" w:hAnsi="Times New Roman" w:cs="Times New Roman"/>
          <w:sz w:val="24"/>
          <w:szCs w:val="24"/>
        </w:rPr>
        <w:t xml:space="preserve">ption </w:t>
      </w:r>
      <w:r>
        <w:rPr>
          <w:rFonts w:ascii="Times New Roman" w:hAnsi="Times New Roman" w:cs="Times New Roman"/>
          <w:sz w:val="24"/>
          <w:szCs w:val="24"/>
        </w:rPr>
        <w:t>2</w:t>
      </w:r>
      <w:r w:rsidRPr="00597570">
        <w:rPr>
          <w:rFonts w:ascii="Times New Roman" w:hAnsi="Times New Roman" w:cs="Times New Roman"/>
          <w:sz w:val="24"/>
          <w:szCs w:val="24"/>
        </w:rPr>
        <w:t xml:space="preserve"> – remove </w:t>
      </w:r>
      <w:proofErr w:type="spellStart"/>
      <w:r>
        <w:rPr>
          <w:rFonts w:ascii="Times New Roman" w:hAnsi="Times New Roman" w:cs="Times New Roman"/>
          <w:sz w:val="24"/>
          <w:szCs w:val="24"/>
        </w:rPr>
        <w:t>UOMI</w:t>
      </w:r>
      <w:proofErr w:type="spellEnd"/>
      <w:r w:rsidRPr="00597570">
        <w:rPr>
          <w:rFonts w:ascii="Times New Roman" w:hAnsi="Times New Roman" w:cs="Times New Roman"/>
          <w:sz w:val="24"/>
          <w:szCs w:val="24"/>
        </w:rPr>
        <w:t xml:space="preserve"> from the first two instalments of provisional tax where taxpayers use the standard uplift method. This will provide certainty to all taxpayers who use the standard uplift method</w:t>
      </w:r>
      <w:r w:rsidRPr="00AD4A67">
        <w:rPr>
          <w:rFonts w:ascii="Times New Roman" w:hAnsi="Times New Roman" w:cs="Times New Roman"/>
          <w:sz w:val="24"/>
          <w:szCs w:val="24"/>
        </w:rPr>
        <w:t xml:space="preserve">. This option is expected to remove 19,000 taxpayers from the requirement to pay </w:t>
      </w:r>
      <w:proofErr w:type="spellStart"/>
      <w:r>
        <w:rPr>
          <w:rFonts w:ascii="Times New Roman" w:hAnsi="Times New Roman" w:cs="Times New Roman"/>
          <w:sz w:val="24"/>
          <w:szCs w:val="24"/>
        </w:rPr>
        <w:t>UOMI</w:t>
      </w:r>
      <w:proofErr w:type="spellEnd"/>
      <w:r w:rsidRPr="00AD4A67">
        <w:rPr>
          <w:rFonts w:ascii="Times New Roman" w:hAnsi="Times New Roman" w:cs="Times New Roman"/>
          <w:sz w:val="24"/>
          <w:szCs w:val="24"/>
        </w:rPr>
        <w:t xml:space="preserve"> on their first two instalments of provisional tax.</w:t>
      </w:r>
    </w:p>
    <w:p w:rsidR="00432264" w:rsidRDefault="00432264" w:rsidP="00432264">
      <w:pPr>
        <w:spacing w:after="0" w:line="240" w:lineRule="auto"/>
        <w:jc w:val="both"/>
        <w:rPr>
          <w:rFonts w:ascii="Times New Roman" w:hAnsi="Times New Roman" w:cs="Times New Roman"/>
          <w:i/>
          <w:sz w:val="24"/>
          <w:szCs w:val="24"/>
        </w:rPr>
      </w:pPr>
    </w:p>
    <w:p w:rsidR="00432264" w:rsidRDefault="00432264" w:rsidP="00432264">
      <w:pPr>
        <w:spacing w:after="0" w:line="240" w:lineRule="auto"/>
        <w:jc w:val="both"/>
        <w:rPr>
          <w:rFonts w:ascii="Times New Roman" w:hAnsi="Times New Roman" w:cs="Times New Roman"/>
          <w:i/>
          <w:sz w:val="24"/>
          <w:szCs w:val="24"/>
        </w:rPr>
      </w:pPr>
    </w:p>
    <w:p w:rsidR="0059151D" w:rsidRPr="00311B0C" w:rsidRDefault="008B1513" w:rsidP="004B7C5D">
      <w:pPr>
        <w:pStyle w:val="Heading2"/>
      </w:pPr>
      <w:bookmarkStart w:id="19" w:name="_Toc444145606"/>
      <w:r>
        <w:t xml:space="preserve">3 – </w:t>
      </w:r>
      <w:r w:rsidR="00D94BDF">
        <w:t xml:space="preserve">Calculation </w:t>
      </w:r>
      <w:r w:rsidR="0059151D" w:rsidRPr="00311B0C">
        <w:t xml:space="preserve">method </w:t>
      </w:r>
      <w:r w:rsidR="00D94BDF">
        <w:t xml:space="preserve">for </w:t>
      </w:r>
      <w:r w:rsidR="0059151D" w:rsidRPr="00311B0C">
        <w:t>provisional tax</w:t>
      </w:r>
      <w:bookmarkEnd w:id="19"/>
    </w:p>
    <w:p w:rsidR="00A907C9" w:rsidRDefault="00A907C9" w:rsidP="00A907C9">
      <w:pPr>
        <w:spacing w:after="0" w:line="240" w:lineRule="auto"/>
        <w:jc w:val="both"/>
        <w:rPr>
          <w:rFonts w:ascii="Times New Roman" w:hAnsi="Times New Roman" w:cs="Times New Roman"/>
          <w:sz w:val="24"/>
          <w:szCs w:val="24"/>
        </w:rPr>
      </w:pPr>
    </w:p>
    <w:p w:rsidR="00281981" w:rsidRDefault="00281981" w:rsidP="002819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three methods for the calculation of provisional tax. The standard method based on an uplift of the prior year’s </w:t>
      </w:r>
      <w:proofErr w:type="spellStart"/>
      <w:r>
        <w:rPr>
          <w:rFonts w:ascii="Times New Roman" w:hAnsi="Times New Roman" w:cs="Times New Roman"/>
          <w:sz w:val="24"/>
          <w:szCs w:val="24"/>
        </w:rPr>
        <w:t>RIT</w:t>
      </w:r>
      <w:proofErr w:type="spellEnd"/>
      <w:r>
        <w:rPr>
          <w:rFonts w:ascii="Times New Roman" w:hAnsi="Times New Roman" w:cs="Times New Roman"/>
          <w:sz w:val="24"/>
          <w:szCs w:val="24"/>
        </w:rPr>
        <w:t>, an estimate made by the taxpayer and the GST ratio method which is only available to a small subset of taxpayers.</w:t>
      </w:r>
    </w:p>
    <w:p w:rsidR="00A907C9" w:rsidRDefault="00A907C9" w:rsidP="00A907C9">
      <w:pPr>
        <w:spacing w:after="0" w:line="240" w:lineRule="auto"/>
        <w:jc w:val="both"/>
        <w:rPr>
          <w:rFonts w:ascii="Times New Roman" w:hAnsi="Times New Roman" w:cs="Times New Roman"/>
          <w:sz w:val="24"/>
          <w:szCs w:val="24"/>
        </w:rPr>
      </w:pPr>
    </w:p>
    <w:p w:rsidR="00A907C9" w:rsidRDefault="00281981" w:rsidP="00A907C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UOMI</w:t>
      </w:r>
      <w:proofErr w:type="spellEnd"/>
      <w:r>
        <w:rPr>
          <w:rFonts w:ascii="Times New Roman" w:hAnsi="Times New Roman" w:cs="Times New Roman"/>
          <w:sz w:val="24"/>
          <w:szCs w:val="24"/>
        </w:rPr>
        <w:t xml:space="preserve"> is charged </w:t>
      </w:r>
      <w:r w:rsidR="00CB20C3">
        <w:rPr>
          <w:rFonts w:ascii="Times New Roman" w:hAnsi="Times New Roman" w:cs="Times New Roman"/>
          <w:sz w:val="24"/>
          <w:szCs w:val="24"/>
        </w:rPr>
        <w:t>a</w:t>
      </w:r>
      <w:r>
        <w:rPr>
          <w:rFonts w:ascii="Times New Roman" w:hAnsi="Times New Roman" w:cs="Times New Roman"/>
          <w:sz w:val="24"/>
          <w:szCs w:val="24"/>
        </w:rPr>
        <w:t>s if income is earned evenly</w:t>
      </w:r>
      <w:r w:rsidR="00A907C9">
        <w:rPr>
          <w:rFonts w:ascii="Times New Roman" w:hAnsi="Times New Roman" w:cs="Times New Roman"/>
          <w:sz w:val="24"/>
          <w:szCs w:val="24"/>
        </w:rPr>
        <w:t xml:space="preserve"> over an income year</w:t>
      </w:r>
      <w:r w:rsidR="00075BC3">
        <w:rPr>
          <w:rFonts w:ascii="Times New Roman" w:hAnsi="Times New Roman" w:cs="Times New Roman"/>
          <w:sz w:val="24"/>
          <w:szCs w:val="24"/>
        </w:rPr>
        <w:t>,</w:t>
      </w:r>
      <w:r w:rsidR="00A907C9">
        <w:rPr>
          <w:rFonts w:ascii="Times New Roman" w:hAnsi="Times New Roman" w:cs="Times New Roman"/>
          <w:sz w:val="24"/>
          <w:szCs w:val="24"/>
        </w:rPr>
        <w:t xml:space="preserve"> which is not a realistic proposition for many taxpayers. Whilst there are a number of options to bring tax payments more in line with the earning of income, there are difficulties and restrictions on doing this.</w:t>
      </w:r>
    </w:p>
    <w:p w:rsidR="00A907C9" w:rsidRDefault="00A907C9" w:rsidP="00A907C9">
      <w:pPr>
        <w:spacing w:after="0" w:line="240" w:lineRule="auto"/>
        <w:jc w:val="both"/>
        <w:rPr>
          <w:rFonts w:ascii="Times New Roman" w:hAnsi="Times New Roman" w:cs="Times New Roman"/>
          <w:sz w:val="24"/>
          <w:szCs w:val="24"/>
        </w:rPr>
      </w:pPr>
    </w:p>
    <w:p w:rsidR="00A907C9" w:rsidRDefault="00A907C9" w:rsidP="00A907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difficult</w:t>
      </w:r>
      <w:r w:rsidR="005F230A">
        <w:rPr>
          <w:rFonts w:ascii="Times New Roman" w:hAnsi="Times New Roman" w:cs="Times New Roman"/>
          <w:sz w:val="24"/>
          <w:szCs w:val="24"/>
        </w:rPr>
        <w:t>y</w:t>
      </w:r>
      <w:r>
        <w:rPr>
          <w:rFonts w:ascii="Times New Roman" w:hAnsi="Times New Roman" w:cs="Times New Roman"/>
          <w:sz w:val="24"/>
          <w:szCs w:val="24"/>
        </w:rPr>
        <w:t xml:space="preserve"> is the assumption that income is either cumulative or static. Businesses can have fluctuations in income from profit to loss between months</w:t>
      </w:r>
      <w:r w:rsidR="00075BC3">
        <w:rPr>
          <w:rFonts w:ascii="Times New Roman" w:hAnsi="Times New Roman" w:cs="Times New Roman"/>
          <w:sz w:val="24"/>
          <w:szCs w:val="24"/>
        </w:rPr>
        <w:t>,</w:t>
      </w:r>
      <w:r>
        <w:rPr>
          <w:rFonts w:ascii="Times New Roman" w:hAnsi="Times New Roman" w:cs="Times New Roman"/>
          <w:sz w:val="24"/>
          <w:szCs w:val="24"/>
        </w:rPr>
        <w:t xml:space="preserve"> unlike salary and wage earners who have accumulating income throughout the year. Methods that work well for accumulating income aren’t effective where </w:t>
      </w:r>
      <w:r w:rsidR="005F230A">
        <w:rPr>
          <w:rFonts w:ascii="Times New Roman" w:hAnsi="Times New Roman" w:cs="Times New Roman"/>
          <w:sz w:val="24"/>
          <w:szCs w:val="24"/>
        </w:rPr>
        <w:t xml:space="preserve">a </w:t>
      </w:r>
      <w:r>
        <w:rPr>
          <w:rFonts w:ascii="Times New Roman" w:hAnsi="Times New Roman" w:cs="Times New Roman"/>
          <w:sz w:val="24"/>
          <w:szCs w:val="24"/>
        </w:rPr>
        <w:t>business alternate</w:t>
      </w:r>
      <w:r w:rsidR="005F230A">
        <w:rPr>
          <w:rFonts w:ascii="Times New Roman" w:hAnsi="Times New Roman" w:cs="Times New Roman"/>
          <w:sz w:val="24"/>
          <w:szCs w:val="24"/>
        </w:rPr>
        <w:t>s</w:t>
      </w:r>
      <w:r>
        <w:rPr>
          <w:rFonts w:ascii="Times New Roman" w:hAnsi="Times New Roman" w:cs="Times New Roman"/>
          <w:sz w:val="24"/>
          <w:szCs w:val="24"/>
        </w:rPr>
        <w:t xml:space="preserve"> between profit and loss from month to month. </w:t>
      </w:r>
    </w:p>
    <w:p w:rsidR="00A907C9" w:rsidRDefault="00A907C9" w:rsidP="00A907C9">
      <w:pPr>
        <w:spacing w:after="0" w:line="240" w:lineRule="auto"/>
        <w:jc w:val="both"/>
        <w:rPr>
          <w:rFonts w:ascii="Times New Roman" w:hAnsi="Times New Roman" w:cs="Times New Roman"/>
          <w:sz w:val="24"/>
          <w:szCs w:val="24"/>
        </w:rPr>
      </w:pPr>
    </w:p>
    <w:p w:rsidR="00A907C9" w:rsidRDefault="00281981" w:rsidP="00A907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Officials considered three </w:t>
      </w:r>
      <w:r w:rsidR="00326CDC">
        <w:rPr>
          <w:rFonts w:ascii="Times New Roman" w:hAnsi="Times New Roman" w:cs="Times New Roman"/>
          <w:sz w:val="24"/>
          <w:szCs w:val="24"/>
        </w:rPr>
        <w:t>options</w:t>
      </w:r>
      <w:r w:rsidR="00A907C9">
        <w:rPr>
          <w:rFonts w:ascii="Times New Roman" w:hAnsi="Times New Roman" w:cs="Times New Roman"/>
          <w:sz w:val="24"/>
          <w:szCs w:val="24"/>
        </w:rPr>
        <w:t xml:space="preserve"> to </w:t>
      </w:r>
      <w:r w:rsidR="00075BC3">
        <w:rPr>
          <w:rFonts w:ascii="Times New Roman" w:hAnsi="Times New Roman" w:cs="Times New Roman"/>
          <w:sz w:val="24"/>
          <w:szCs w:val="24"/>
        </w:rPr>
        <w:t xml:space="preserve">more closely align </w:t>
      </w:r>
      <w:r w:rsidR="00A907C9">
        <w:rPr>
          <w:rFonts w:ascii="Times New Roman" w:hAnsi="Times New Roman" w:cs="Times New Roman"/>
          <w:sz w:val="24"/>
          <w:szCs w:val="24"/>
        </w:rPr>
        <w:t>the calculation of provisional tax with the income earning process.</w:t>
      </w:r>
    </w:p>
    <w:p w:rsidR="00A907C9" w:rsidRDefault="00A907C9" w:rsidP="00A907C9">
      <w:pPr>
        <w:spacing w:after="0" w:line="240" w:lineRule="auto"/>
        <w:jc w:val="both"/>
        <w:rPr>
          <w:rFonts w:ascii="Times New Roman" w:hAnsi="Times New Roman" w:cs="Times New Roman"/>
          <w:sz w:val="24"/>
          <w:szCs w:val="24"/>
        </w:rPr>
      </w:pPr>
    </w:p>
    <w:p w:rsidR="00326CDC" w:rsidRDefault="00326CDC" w:rsidP="00326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first option is basing provisional tax instalments on a taxpayer’s accounting results for a period. This method uses actual calculations from actual results and has been titled the “accounting income method”.</w:t>
      </w:r>
    </w:p>
    <w:p w:rsidR="00326CDC" w:rsidRDefault="00326CDC" w:rsidP="00326CDC">
      <w:pPr>
        <w:spacing w:after="0" w:line="240" w:lineRule="auto"/>
        <w:jc w:val="both"/>
        <w:rPr>
          <w:rFonts w:ascii="Times New Roman" w:hAnsi="Times New Roman" w:cs="Times New Roman"/>
          <w:sz w:val="24"/>
          <w:szCs w:val="24"/>
        </w:rPr>
      </w:pPr>
    </w:p>
    <w:p w:rsidR="00CB20C3" w:rsidRDefault="00CB20C3" w:rsidP="00CB2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proposal introduces a new method of calculating provisional tax instalments for smaller taxpayers. It allows them to base provisional tax instalments on their accounting results for a two month period. Essentially this provides for a pay as you go type of payment which bases payments on actual results rather than forecast income, excluding shareholder salaries.</w:t>
      </w:r>
    </w:p>
    <w:p w:rsidR="00CB20C3" w:rsidRDefault="00CB20C3" w:rsidP="00CB20C3">
      <w:pPr>
        <w:spacing w:after="0" w:line="240" w:lineRule="auto"/>
        <w:jc w:val="both"/>
        <w:rPr>
          <w:rFonts w:ascii="Times New Roman" w:hAnsi="Times New Roman" w:cs="Times New Roman"/>
          <w:sz w:val="24"/>
          <w:szCs w:val="24"/>
        </w:rPr>
      </w:pPr>
    </w:p>
    <w:p w:rsidR="00326CDC" w:rsidRDefault="00326CDC" w:rsidP="00326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businesses with accumulating income throughout an income year, this method should provide the correct amount of tax payments for a year. For those with fluctuating profits and losses, an overpayment issue may still arise. However, as this is one of a choice of methods, another method may be more appropriate </w:t>
      </w:r>
      <w:r w:rsidR="00DC20F8">
        <w:rPr>
          <w:rFonts w:ascii="Times New Roman" w:hAnsi="Times New Roman" w:cs="Times New Roman"/>
          <w:sz w:val="24"/>
          <w:szCs w:val="24"/>
        </w:rPr>
        <w:t xml:space="preserve">for </w:t>
      </w:r>
      <w:r>
        <w:rPr>
          <w:rFonts w:ascii="Times New Roman" w:hAnsi="Times New Roman" w:cs="Times New Roman"/>
          <w:sz w:val="24"/>
          <w:szCs w:val="24"/>
        </w:rPr>
        <w:t>taxpayers with that profile.</w:t>
      </w:r>
    </w:p>
    <w:p w:rsidR="00326CDC" w:rsidRDefault="00326CDC" w:rsidP="00326CDC">
      <w:pPr>
        <w:spacing w:after="0" w:line="240" w:lineRule="auto"/>
        <w:jc w:val="both"/>
        <w:rPr>
          <w:rFonts w:ascii="Times New Roman" w:hAnsi="Times New Roman" w:cs="Times New Roman"/>
          <w:sz w:val="24"/>
          <w:szCs w:val="24"/>
        </w:rPr>
      </w:pPr>
    </w:p>
    <w:p w:rsidR="00326CDC" w:rsidRDefault="00326CDC" w:rsidP="00326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this option the number of provisional tax payments is increased from three to six to more closely align payments with the income earning of a taxpayer.</w:t>
      </w:r>
    </w:p>
    <w:p w:rsidR="00326CDC" w:rsidRDefault="00326CDC" w:rsidP="00326CDC">
      <w:pPr>
        <w:spacing w:after="0" w:line="240" w:lineRule="auto"/>
        <w:jc w:val="both"/>
        <w:rPr>
          <w:rFonts w:ascii="Times New Roman" w:hAnsi="Times New Roman" w:cs="Times New Roman"/>
          <w:sz w:val="24"/>
          <w:szCs w:val="24"/>
        </w:rPr>
      </w:pPr>
    </w:p>
    <w:p w:rsidR="00326CDC" w:rsidRDefault="00326CDC" w:rsidP="00326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option will not be permitted for larger taxpayers at this point in time as there are concerns about the accuracy of the option for those with large tax adjustments around year end. Work will continue on this option to assess its suitability for use with larger taxpayers.</w:t>
      </w:r>
    </w:p>
    <w:p w:rsidR="00326CDC" w:rsidRDefault="00326CDC" w:rsidP="00A907C9">
      <w:pPr>
        <w:spacing w:after="0" w:line="240" w:lineRule="auto"/>
        <w:jc w:val="both"/>
        <w:rPr>
          <w:rFonts w:ascii="Times New Roman" w:hAnsi="Times New Roman" w:cs="Times New Roman"/>
          <w:sz w:val="24"/>
          <w:szCs w:val="24"/>
        </w:rPr>
      </w:pPr>
    </w:p>
    <w:p w:rsidR="00A907C9" w:rsidRDefault="00A907C9" w:rsidP="00A907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26CDC">
        <w:rPr>
          <w:rFonts w:ascii="Times New Roman" w:hAnsi="Times New Roman" w:cs="Times New Roman"/>
          <w:sz w:val="24"/>
          <w:szCs w:val="24"/>
        </w:rPr>
        <w:t xml:space="preserve">second </w:t>
      </w:r>
      <w:r>
        <w:rPr>
          <w:rFonts w:ascii="Times New Roman" w:hAnsi="Times New Roman" w:cs="Times New Roman"/>
          <w:sz w:val="24"/>
          <w:szCs w:val="24"/>
        </w:rPr>
        <w:t xml:space="preserve">option </w:t>
      </w:r>
      <w:r w:rsidR="00CB20C3">
        <w:rPr>
          <w:rFonts w:ascii="Times New Roman" w:hAnsi="Times New Roman" w:cs="Times New Roman"/>
          <w:sz w:val="24"/>
          <w:szCs w:val="24"/>
        </w:rPr>
        <w:t>is an</w:t>
      </w:r>
      <w:r w:rsidR="00326CDC">
        <w:rPr>
          <w:rFonts w:ascii="Times New Roman" w:hAnsi="Times New Roman" w:cs="Times New Roman"/>
          <w:sz w:val="24"/>
          <w:szCs w:val="24"/>
        </w:rPr>
        <w:t xml:space="preserve"> </w:t>
      </w:r>
      <w:r w:rsidR="00BC4745">
        <w:rPr>
          <w:rFonts w:ascii="Times New Roman" w:hAnsi="Times New Roman" w:cs="Times New Roman"/>
          <w:sz w:val="24"/>
          <w:szCs w:val="24"/>
        </w:rPr>
        <w:t>extension</w:t>
      </w:r>
      <w:r w:rsidR="00326CDC">
        <w:rPr>
          <w:rFonts w:ascii="Times New Roman" w:hAnsi="Times New Roman" w:cs="Times New Roman"/>
          <w:sz w:val="24"/>
          <w:szCs w:val="24"/>
        </w:rPr>
        <w:t xml:space="preserve"> of </w:t>
      </w:r>
      <w:r w:rsidR="00281981">
        <w:rPr>
          <w:rFonts w:ascii="Times New Roman" w:hAnsi="Times New Roman" w:cs="Times New Roman"/>
          <w:sz w:val="24"/>
          <w:szCs w:val="24"/>
        </w:rPr>
        <w:t xml:space="preserve">the </w:t>
      </w:r>
      <w:r>
        <w:rPr>
          <w:rFonts w:ascii="Times New Roman" w:hAnsi="Times New Roman" w:cs="Times New Roman"/>
          <w:sz w:val="24"/>
          <w:szCs w:val="24"/>
        </w:rPr>
        <w:t xml:space="preserve">GST ratio </w:t>
      </w:r>
      <w:r w:rsidR="00B73D53">
        <w:rPr>
          <w:rFonts w:ascii="Times New Roman" w:hAnsi="Times New Roman" w:cs="Times New Roman"/>
          <w:sz w:val="24"/>
          <w:szCs w:val="24"/>
        </w:rPr>
        <w:t>method</w:t>
      </w:r>
      <w:r w:rsidR="00075BC3">
        <w:rPr>
          <w:rFonts w:ascii="Times New Roman" w:hAnsi="Times New Roman" w:cs="Times New Roman"/>
          <w:sz w:val="24"/>
          <w:szCs w:val="24"/>
        </w:rPr>
        <w:t>.</w:t>
      </w:r>
      <w:r>
        <w:rPr>
          <w:rFonts w:ascii="Times New Roman" w:hAnsi="Times New Roman" w:cs="Times New Roman"/>
          <w:sz w:val="24"/>
          <w:szCs w:val="24"/>
        </w:rPr>
        <w:t xml:space="preserve"> </w:t>
      </w:r>
      <w:r w:rsidR="00075BC3">
        <w:rPr>
          <w:rFonts w:ascii="Times New Roman" w:hAnsi="Times New Roman" w:cs="Times New Roman"/>
          <w:sz w:val="24"/>
          <w:szCs w:val="24"/>
        </w:rPr>
        <w:t>This method</w:t>
      </w:r>
      <w:r>
        <w:rPr>
          <w:rFonts w:ascii="Times New Roman" w:hAnsi="Times New Roman" w:cs="Times New Roman"/>
          <w:sz w:val="24"/>
          <w:szCs w:val="24"/>
        </w:rPr>
        <w:t xml:space="preserve"> tak</w:t>
      </w:r>
      <w:r w:rsidR="00075BC3">
        <w:rPr>
          <w:rFonts w:ascii="Times New Roman" w:hAnsi="Times New Roman" w:cs="Times New Roman"/>
          <w:sz w:val="24"/>
          <w:szCs w:val="24"/>
        </w:rPr>
        <w:t>es</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RIT</w:t>
      </w:r>
      <w:proofErr w:type="spellEnd"/>
      <w:r>
        <w:rPr>
          <w:rFonts w:ascii="Times New Roman" w:hAnsi="Times New Roman" w:cs="Times New Roman"/>
          <w:sz w:val="24"/>
          <w:szCs w:val="24"/>
        </w:rPr>
        <w:t xml:space="preserve"> from the prior year and divid</w:t>
      </w:r>
      <w:r w:rsidR="00075BC3">
        <w:rPr>
          <w:rFonts w:ascii="Times New Roman" w:hAnsi="Times New Roman" w:cs="Times New Roman"/>
          <w:sz w:val="24"/>
          <w:szCs w:val="24"/>
        </w:rPr>
        <w:t>es</w:t>
      </w:r>
      <w:r>
        <w:rPr>
          <w:rFonts w:ascii="Times New Roman" w:hAnsi="Times New Roman" w:cs="Times New Roman"/>
          <w:sz w:val="24"/>
          <w:szCs w:val="24"/>
        </w:rPr>
        <w:t xml:space="preserve"> </w:t>
      </w:r>
      <w:r w:rsidR="00075BC3">
        <w:rPr>
          <w:rFonts w:ascii="Times New Roman" w:hAnsi="Times New Roman" w:cs="Times New Roman"/>
          <w:sz w:val="24"/>
          <w:szCs w:val="24"/>
        </w:rPr>
        <w:t>it</w:t>
      </w:r>
      <w:r>
        <w:rPr>
          <w:rFonts w:ascii="Times New Roman" w:hAnsi="Times New Roman" w:cs="Times New Roman"/>
          <w:sz w:val="24"/>
          <w:szCs w:val="24"/>
        </w:rPr>
        <w:t xml:space="preserve"> by the GST taxable supplies for that same year to calculate a ratio that is applied to current year GST taxable supplies to give an approximation of an annual tax liability.</w:t>
      </w:r>
    </w:p>
    <w:p w:rsidR="00A907C9" w:rsidRDefault="00A907C9" w:rsidP="00A907C9">
      <w:pPr>
        <w:spacing w:after="0" w:line="240" w:lineRule="auto"/>
        <w:jc w:val="both"/>
        <w:rPr>
          <w:rFonts w:ascii="Times New Roman" w:hAnsi="Times New Roman" w:cs="Times New Roman"/>
          <w:sz w:val="24"/>
          <w:szCs w:val="24"/>
        </w:rPr>
      </w:pPr>
    </w:p>
    <w:p w:rsidR="00A907C9" w:rsidRDefault="00A907C9" w:rsidP="00A907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method can work well where the taxpayer has static tax adjustments to accounting profits during a year which results in that ratio being reasonably static. It also relies on constant margins. This method works well for taxpayers with lower turnovers</w:t>
      </w:r>
      <w:r w:rsidR="00075BC3">
        <w:rPr>
          <w:rFonts w:ascii="Times New Roman" w:hAnsi="Times New Roman" w:cs="Times New Roman"/>
          <w:sz w:val="24"/>
          <w:szCs w:val="24"/>
        </w:rPr>
        <w:t>,</w:t>
      </w:r>
      <w:r>
        <w:rPr>
          <w:rFonts w:ascii="Times New Roman" w:hAnsi="Times New Roman" w:cs="Times New Roman"/>
          <w:sz w:val="24"/>
          <w:szCs w:val="24"/>
        </w:rPr>
        <w:t xml:space="preserve"> but as turnover grows this ratio can become inaccurate. This is the reason that the GST ratio method is only available to a limited subset of taxpayers and its acceptance by taxpayers is also very low with only 2-3,000 taxpayers currently using this method.</w:t>
      </w:r>
    </w:p>
    <w:p w:rsidR="00A907C9" w:rsidRDefault="00A907C9" w:rsidP="00A907C9">
      <w:pPr>
        <w:spacing w:after="0" w:line="240" w:lineRule="auto"/>
        <w:jc w:val="both"/>
        <w:rPr>
          <w:rFonts w:ascii="Times New Roman" w:hAnsi="Times New Roman" w:cs="Times New Roman"/>
          <w:sz w:val="24"/>
          <w:szCs w:val="24"/>
        </w:rPr>
      </w:pPr>
    </w:p>
    <w:p w:rsidR="00A907C9" w:rsidRDefault="00A907C9" w:rsidP="00A907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26CDC">
        <w:rPr>
          <w:rFonts w:ascii="Times New Roman" w:hAnsi="Times New Roman" w:cs="Times New Roman"/>
          <w:sz w:val="24"/>
          <w:szCs w:val="24"/>
        </w:rPr>
        <w:t xml:space="preserve">third </w:t>
      </w:r>
      <w:r>
        <w:rPr>
          <w:rFonts w:ascii="Times New Roman" w:hAnsi="Times New Roman" w:cs="Times New Roman"/>
          <w:sz w:val="24"/>
          <w:szCs w:val="24"/>
        </w:rPr>
        <w:t>option to more closely link tax payments with the earning of income is a turnover method</w:t>
      </w:r>
      <w:r w:rsidR="00075BC3">
        <w:rPr>
          <w:rFonts w:ascii="Times New Roman" w:hAnsi="Times New Roman" w:cs="Times New Roman"/>
          <w:sz w:val="24"/>
          <w:szCs w:val="24"/>
        </w:rPr>
        <w:t>,</w:t>
      </w:r>
      <w:r>
        <w:rPr>
          <w:rFonts w:ascii="Times New Roman" w:hAnsi="Times New Roman" w:cs="Times New Roman"/>
          <w:sz w:val="24"/>
          <w:szCs w:val="24"/>
        </w:rPr>
        <w:t xml:space="preserve"> which is used in the Australian pay as you go instalment system. In essence this </w:t>
      </w:r>
      <w:r w:rsidR="00075BC3">
        <w:rPr>
          <w:rFonts w:ascii="Times New Roman" w:hAnsi="Times New Roman" w:cs="Times New Roman"/>
          <w:sz w:val="24"/>
          <w:szCs w:val="24"/>
        </w:rPr>
        <w:t xml:space="preserve">is </w:t>
      </w:r>
      <w:r>
        <w:rPr>
          <w:rFonts w:ascii="Times New Roman" w:hAnsi="Times New Roman" w:cs="Times New Roman"/>
          <w:sz w:val="24"/>
          <w:szCs w:val="24"/>
        </w:rPr>
        <w:t xml:space="preserve">very similar to the GST ratio method used in New Zealand. The turnover method again uses a ratio which is the </w:t>
      </w:r>
      <w:proofErr w:type="spellStart"/>
      <w:r>
        <w:rPr>
          <w:rFonts w:ascii="Times New Roman" w:hAnsi="Times New Roman" w:cs="Times New Roman"/>
          <w:sz w:val="24"/>
          <w:szCs w:val="24"/>
        </w:rPr>
        <w:t>RIT</w:t>
      </w:r>
      <w:proofErr w:type="spellEnd"/>
      <w:r>
        <w:rPr>
          <w:rFonts w:ascii="Times New Roman" w:hAnsi="Times New Roman" w:cs="Times New Roman"/>
          <w:sz w:val="24"/>
          <w:szCs w:val="24"/>
        </w:rPr>
        <w:t xml:space="preserve"> for a taxpayer divided by total turnover or revenue in the same year. Instead of using a GST reference point</w:t>
      </w:r>
      <w:r w:rsidR="00075BC3">
        <w:rPr>
          <w:rFonts w:ascii="Times New Roman" w:hAnsi="Times New Roman" w:cs="Times New Roman"/>
          <w:sz w:val="24"/>
          <w:szCs w:val="24"/>
        </w:rPr>
        <w:t>,</w:t>
      </w:r>
      <w:r>
        <w:rPr>
          <w:rFonts w:ascii="Times New Roman" w:hAnsi="Times New Roman" w:cs="Times New Roman"/>
          <w:sz w:val="24"/>
          <w:szCs w:val="24"/>
        </w:rPr>
        <w:t xml:space="preserve"> the turnover method uses the accounting notion of turnover or income to generate a ratio which is then applied to the actual turnover for the current period to determine provisional tax instalments.</w:t>
      </w:r>
    </w:p>
    <w:p w:rsidR="00A907C9" w:rsidRDefault="00A907C9" w:rsidP="00A907C9">
      <w:pPr>
        <w:spacing w:after="0" w:line="240" w:lineRule="auto"/>
        <w:jc w:val="both"/>
        <w:rPr>
          <w:rFonts w:ascii="Times New Roman" w:hAnsi="Times New Roman" w:cs="Times New Roman"/>
          <w:sz w:val="24"/>
          <w:szCs w:val="24"/>
        </w:rPr>
      </w:pPr>
    </w:p>
    <w:p w:rsidR="00A907C9" w:rsidRDefault="00A907C9" w:rsidP="00A907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method has advantages in that it deals with volatility between profits and losses during a year much better than the other options</w:t>
      </w:r>
      <w:r w:rsidR="00075BC3">
        <w:rPr>
          <w:rFonts w:ascii="Times New Roman" w:hAnsi="Times New Roman" w:cs="Times New Roman"/>
          <w:sz w:val="24"/>
          <w:szCs w:val="24"/>
        </w:rPr>
        <w:t>,</w:t>
      </w:r>
      <w:r>
        <w:rPr>
          <w:rFonts w:ascii="Times New Roman" w:hAnsi="Times New Roman" w:cs="Times New Roman"/>
          <w:sz w:val="24"/>
          <w:szCs w:val="24"/>
        </w:rPr>
        <w:t xml:space="preserve"> as it works on an average tax rate throughout the year rather than a result for a particular period.</w:t>
      </w:r>
    </w:p>
    <w:p w:rsidR="00A907C9" w:rsidRDefault="00A907C9" w:rsidP="00A907C9">
      <w:pPr>
        <w:spacing w:after="0" w:line="240" w:lineRule="auto"/>
        <w:jc w:val="both"/>
        <w:rPr>
          <w:rFonts w:ascii="Times New Roman" w:hAnsi="Times New Roman" w:cs="Times New Roman"/>
          <w:sz w:val="24"/>
          <w:szCs w:val="24"/>
        </w:rPr>
      </w:pPr>
    </w:p>
    <w:p w:rsidR="00A907C9" w:rsidRDefault="00A907C9" w:rsidP="00A907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Again, however, it has disadvantages in that, similar to the GST ratio method, it relies on static tax adjustments and margins to be accurate. </w:t>
      </w:r>
      <w:r w:rsidR="004F66A6">
        <w:rPr>
          <w:rFonts w:ascii="Times New Roman" w:hAnsi="Times New Roman" w:cs="Times New Roman"/>
          <w:sz w:val="24"/>
          <w:szCs w:val="24"/>
        </w:rPr>
        <w:t>T</w:t>
      </w:r>
      <w:r>
        <w:rPr>
          <w:rFonts w:ascii="Times New Roman" w:hAnsi="Times New Roman" w:cs="Times New Roman"/>
          <w:sz w:val="24"/>
          <w:szCs w:val="24"/>
        </w:rPr>
        <w:t>here is the potential that the higher the turnover</w:t>
      </w:r>
      <w:r w:rsidR="004F66A6">
        <w:rPr>
          <w:rFonts w:ascii="Times New Roman" w:hAnsi="Times New Roman" w:cs="Times New Roman"/>
          <w:sz w:val="24"/>
          <w:szCs w:val="24"/>
        </w:rPr>
        <w:t>,</w:t>
      </w:r>
      <w:r>
        <w:rPr>
          <w:rFonts w:ascii="Times New Roman" w:hAnsi="Times New Roman" w:cs="Times New Roman"/>
          <w:sz w:val="24"/>
          <w:szCs w:val="24"/>
        </w:rPr>
        <w:t xml:space="preserve"> the more inaccurate this method could become.</w:t>
      </w:r>
    </w:p>
    <w:p w:rsidR="00A907C9" w:rsidRDefault="00A907C9" w:rsidP="000F6698">
      <w:pPr>
        <w:spacing w:after="0" w:line="240" w:lineRule="auto"/>
        <w:jc w:val="both"/>
        <w:rPr>
          <w:rFonts w:ascii="Times New Roman" w:hAnsi="Times New Roman" w:cs="Times New Roman"/>
          <w:sz w:val="24"/>
          <w:szCs w:val="24"/>
        </w:rPr>
      </w:pPr>
    </w:p>
    <w:p w:rsidR="00906C84" w:rsidRPr="00311B0C" w:rsidRDefault="00906C84" w:rsidP="00906C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options are analysed against the objectives in the table on the next page.</w:t>
      </w:r>
    </w:p>
    <w:p w:rsidR="00906C84" w:rsidRDefault="00906C84" w:rsidP="00A907C9">
      <w:pPr>
        <w:spacing w:after="0" w:line="240" w:lineRule="auto"/>
        <w:jc w:val="both"/>
        <w:rPr>
          <w:rFonts w:ascii="Times New Roman" w:hAnsi="Times New Roman" w:cs="Times New Roman"/>
          <w:sz w:val="24"/>
          <w:szCs w:val="24"/>
          <w:u w:val="single"/>
        </w:rPr>
        <w:sectPr w:rsidR="00906C84">
          <w:pgSz w:w="11906" w:h="16838"/>
          <w:pgMar w:top="1440" w:right="1440" w:bottom="1440" w:left="1440" w:header="708" w:footer="708" w:gutter="0"/>
          <w:cols w:space="708"/>
          <w:docGrid w:linePitch="360"/>
        </w:sectPr>
      </w:pPr>
    </w:p>
    <w:tbl>
      <w:tblPr>
        <w:tblStyle w:val="TableGrid"/>
        <w:tblW w:w="14512" w:type="dxa"/>
        <w:tblLook w:val="04A0" w:firstRow="1" w:lastRow="0" w:firstColumn="1" w:lastColumn="0" w:noHBand="0" w:noVBand="1"/>
      </w:tblPr>
      <w:tblGrid>
        <w:gridCol w:w="1635"/>
        <w:gridCol w:w="2934"/>
        <w:gridCol w:w="4360"/>
        <w:gridCol w:w="2441"/>
        <w:gridCol w:w="3142"/>
      </w:tblGrid>
      <w:tr w:rsidR="00906C84" w:rsidRPr="00311B0C" w:rsidTr="004E12CC">
        <w:trPr>
          <w:trHeight w:val="301"/>
          <w:tblHeader/>
        </w:trPr>
        <w:tc>
          <w:tcPr>
            <w:tcW w:w="1635" w:type="dxa"/>
          </w:tcPr>
          <w:p w:rsidR="00906C84" w:rsidRPr="00D94BDF" w:rsidRDefault="00906C84" w:rsidP="00062EA1">
            <w:pPr>
              <w:rPr>
                <w:rFonts w:ascii="Times New Roman" w:hAnsi="Times New Roman" w:cs="Times New Roman"/>
                <w:sz w:val="24"/>
                <w:szCs w:val="24"/>
              </w:rPr>
            </w:pPr>
            <w:r w:rsidRPr="003771CA">
              <w:rPr>
                <w:rFonts w:ascii="Times New Roman" w:hAnsi="Times New Roman" w:cs="Times New Roman"/>
                <w:b/>
                <w:sz w:val="24"/>
                <w:szCs w:val="24"/>
              </w:rPr>
              <w:t>Options</w:t>
            </w:r>
          </w:p>
        </w:tc>
        <w:tc>
          <w:tcPr>
            <w:tcW w:w="2934" w:type="dxa"/>
          </w:tcPr>
          <w:p w:rsidR="00906C84" w:rsidRPr="00311B0C" w:rsidRDefault="00906C84" w:rsidP="008D31DB">
            <w:pPr>
              <w:rPr>
                <w:rFonts w:ascii="Times New Roman" w:hAnsi="Times New Roman" w:cs="Times New Roman"/>
                <w:sz w:val="24"/>
                <w:szCs w:val="24"/>
              </w:rPr>
            </w:pPr>
            <w:r w:rsidRPr="00CB6764">
              <w:rPr>
                <w:rFonts w:ascii="Times New Roman" w:hAnsi="Times New Roman" w:cs="Times New Roman"/>
                <w:b/>
                <w:sz w:val="24"/>
                <w:szCs w:val="24"/>
              </w:rPr>
              <w:t>Fairness and equity</w:t>
            </w:r>
          </w:p>
        </w:tc>
        <w:tc>
          <w:tcPr>
            <w:tcW w:w="4360" w:type="dxa"/>
          </w:tcPr>
          <w:p w:rsidR="00906C84" w:rsidRPr="00311B0C" w:rsidRDefault="00906C84" w:rsidP="008D31DB">
            <w:pPr>
              <w:rPr>
                <w:rFonts w:ascii="Times New Roman" w:hAnsi="Times New Roman" w:cs="Times New Roman"/>
                <w:sz w:val="24"/>
                <w:szCs w:val="24"/>
              </w:rPr>
            </w:pPr>
            <w:r w:rsidRPr="00CB6764">
              <w:rPr>
                <w:rFonts w:ascii="Times New Roman" w:hAnsi="Times New Roman" w:cs="Times New Roman"/>
                <w:b/>
                <w:sz w:val="24"/>
                <w:szCs w:val="24"/>
              </w:rPr>
              <w:t>Efficiency of compliance and administration</w:t>
            </w:r>
          </w:p>
        </w:tc>
        <w:tc>
          <w:tcPr>
            <w:tcW w:w="2441" w:type="dxa"/>
          </w:tcPr>
          <w:p w:rsidR="00906C84" w:rsidRPr="00311B0C" w:rsidRDefault="00906C84" w:rsidP="008D31DB">
            <w:pPr>
              <w:rPr>
                <w:rFonts w:ascii="Times New Roman" w:hAnsi="Times New Roman" w:cs="Times New Roman"/>
                <w:sz w:val="24"/>
                <w:szCs w:val="24"/>
              </w:rPr>
            </w:pPr>
            <w:r w:rsidRPr="00CB6764">
              <w:rPr>
                <w:rFonts w:ascii="Times New Roman" w:hAnsi="Times New Roman" w:cs="Times New Roman"/>
                <w:b/>
                <w:sz w:val="24"/>
                <w:szCs w:val="24"/>
              </w:rPr>
              <w:t>Sustainability of tax system</w:t>
            </w:r>
          </w:p>
        </w:tc>
        <w:tc>
          <w:tcPr>
            <w:tcW w:w="3142" w:type="dxa"/>
          </w:tcPr>
          <w:p w:rsidR="00906C84" w:rsidRPr="00311B0C" w:rsidRDefault="00906C84" w:rsidP="008D31DB">
            <w:pPr>
              <w:rPr>
                <w:rFonts w:ascii="Times New Roman" w:hAnsi="Times New Roman" w:cs="Times New Roman"/>
                <w:sz w:val="24"/>
                <w:szCs w:val="24"/>
              </w:rPr>
            </w:pPr>
            <w:r w:rsidRPr="003771CA">
              <w:rPr>
                <w:rFonts w:ascii="Times New Roman" w:hAnsi="Times New Roman" w:cs="Times New Roman"/>
                <w:b/>
                <w:sz w:val="24"/>
                <w:szCs w:val="24"/>
              </w:rPr>
              <w:t>Revenue</w:t>
            </w:r>
          </w:p>
        </w:tc>
      </w:tr>
      <w:tr w:rsidR="007219DD" w:rsidRPr="00311B0C" w:rsidTr="004E12CC">
        <w:trPr>
          <w:trHeight w:val="301"/>
        </w:trPr>
        <w:tc>
          <w:tcPr>
            <w:tcW w:w="1635" w:type="dxa"/>
          </w:tcPr>
          <w:p w:rsidR="007219DD" w:rsidRPr="00D94BDF" w:rsidRDefault="000546DA" w:rsidP="004E12CC">
            <w:pPr>
              <w:rPr>
                <w:rFonts w:ascii="Times New Roman" w:hAnsi="Times New Roman" w:cs="Times New Roman"/>
                <w:sz w:val="24"/>
                <w:szCs w:val="24"/>
              </w:rPr>
            </w:pPr>
            <w:r>
              <w:rPr>
                <w:rFonts w:ascii="Times New Roman" w:hAnsi="Times New Roman" w:cs="Times New Roman"/>
                <w:sz w:val="24"/>
                <w:szCs w:val="24"/>
              </w:rPr>
              <w:t xml:space="preserve">1. </w:t>
            </w:r>
            <w:r w:rsidR="007219DD">
              <w:rPr>
                <w:rFonts w:ascii="Times New Roman" w:hAnsi="Times New Roman" w:cs="Times New Roman"/>
                <w:sz w:val="24"/>
                <w:szCs w:val="24"/>
              </w:rPr>
              <w:t>Status quo</w:t>
            </w:r>
          </w:p>
        </w:tc>
        <w:tc>
          <w:tcPr>
            <w:tcW w:w="2934" w:type="dxa"/>
          </w:tcPr>
          <w:p w:rsidR="007219DD" w:rsidRPr="00311B0C" w:rsidRDefault="007219DD" w:rsidP="004E12CC">
            <w:pPr>
              <w:jc w:val="both"/>
              <w:rPr>
                <w:rFonts w:ascii="Times New Roman" w:hAnsi="Times New Roman" w:cs="Times New Roman"/>
                <w:sz w:val="24"/>
                <w:szCs w:val="24"/>
              </w:rPr>
            </w:pPr>
          </w:p>
        </w:tc>
        <w:tc>
          <w:tcPr>
            <w:tcW w:w="4360" w:type="dxa"/>
          </w:tcPr>
          <w:p w:rsidR="007219DD" w:rsidRPr="00311B0C" w:rsidRDefault="007219DD" w:rsidP="004E12CC">
            <w:pPr>
              <w:jc w:val="both"/>
              <w:rPr>
                <w:rFonts w:ascii="Times New Roman" w:hAnsi="Times New Roman" w:cs="Times New Roman"/>
                <w:sz w:val="24"/>
                <w:szCs w:val="24"/>
              </w:rPr>
            </w:pPr>
          </w:p>
        </w:tc>
        <w:tc>
          <w:tcPr>
            <w:tcW w:w="2441" w:type="dxa"/>
          </w:tcPr>
          <w:p w:rsidR="007219DD" w:rsidRPr="00311B0C" w:rsidRDefault="007219DD" w:rsidP="004E12CC">
            <w:pPr>
              <w:jc w:val="both"/>
              <w:rPr>
                <w:rFonts w:ascii="Times New Roman" w:hAnsi="Times New Roman" w:cs="Times New Roman"/>
                <w:sz w:val="24"/>
                <w:szCs w:val="24"/>
              </w:rPr>
            </w:pPr>
          </w:p>
        </w:tc>
        <w:tc>
          <w:tcPr>
            <w:tcW w:w="3142" w:type="dxa"/>
          </w:tcPr>
          <w:p w:rsidR="007219DD" w:rsidRPr="00311B0C" w:rsidRDefault="007219DD" w:rsidP="004E12CC">
            <w:pPr>
              <w:jc w:val="both"/>
              <w:rPr>
                <w:rFonts w:ascii="Times New Roman" w:hAnsi="Times New Roman" w:cs="Times New Roman"/>
                <w:sz w:val="24"/>
                <w:szCs w:val="24"/>
              </w:rPr>
            </w:pPr>
          </w:p>
        </w:tc>
      </w:tr>
      <w:tr w:rsidR="00906C84" w:rsidRPr="00311B0C" w:rsidTr="004E12CC">
        <w:trPr>
          <w:trHeight w:val="301"/>
        </w:trPr>
        <w:tc>
          <w:tcPr>
            <w:tcW w:w="1635" w:type="dxa"/>
          </w:tcPr>
          <w:p w:rsidR="00906C84" w:rsidRPr="00420D8B" w:rsidRDefault="000546DA" w:rsidP="004E12CC">
            <w:pPr>
              <w:rPr>
                <w:rFonts w:ascii="Times New Roman" w:hAnsi="Times New Roman" w:cs="Times New Roman"/>
                <w:i/>
                <w:sz w:val="24"/>
                <w:szCs w:val="24"/>
              </w:rPr>
            </w:pPr>
            <w:r>
              <w:rPr>
                <w:rFonts w:ascii="Times New Roman" w:hAnsi="Times New Roman" w:cs="Times New Roman"/>
                <w:sz w:val="24"/>
                <w:szCs w:val="24"/>
              </w:rPr>
              <w:t>2</w:t>
            </w:r>
            <w:r w:rsidR="00906C84" w:rsidRPr="005F61A1">
              <w:rPr>
                <w:rFonts w:ascii="Times New Roman" w:hAnsi="Times New Roman" w:cs="Times New Roman"/>
                <w:sz w:val="24"/>
                <w:szCs w:val="24"/>
              </w:rPr>
              <w:t>. Introduce the accounting income method</w:t>
            </w:r>
          </w:p>
        </w:tc>
        <w:tc>
          <w:tcPr>
            <w:tcW w:w="2934" w:type="dxa"/>
          </w:tcPr>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Met</w:t>
            </w:r>
          </w:p>
          <w:p w:rsidR="00906C84" w:rsidRPr="00311B0C" w:rsidRDefault="00906C84" w:rsidP="004E12CC">
            <w:pPr>
              <w:jc w:val="both"/>
              <w:rPr>
                <w:rFonts w:ascii="Times New Roman" w:hAnsi="Times New Roman" w:cs="Times New Roman"/>
                <w:sz w:val="24"/>
                <w:szCs w:val="24"/>
              </w:rPr>
            </w:pPr>
          </w:p>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Provides a more fair and equitable way for small businesses to calculate provisional tax by moving to a more “pay as you go” type system.</w:t>
            </w:r>
          </w:p>
        </w:tc>
        <w:tc>
          <w:tcPr>
            <w:tcW w:w="4360" w:type="dxa"/>
          </w:tcPr>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Met</w:t>
            </w:r>
          </w:p>
          <w:p w:rsidR="00906C84" w:rsidRPr="00311B0C" w:rsidRDefault="00906C84" w:rsidP="004E12CC">
            <w:pPr>
              <w:jc w:val="both"/>
              <w:rPr>
                <w:rFonts w:ascii="Times New Roman" w:hAnsi="Times New Roman" w:cs="Times New Roman"/>
                <w:sz w:val="24"/>
                <w:szCs w:val="24"/>
              </w:rPr>
            </w:pPr>
          </w:p>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Moves the calculation of provisional tax to a process that is more aligned to normal business processes.</w:t>
            </w:r>
          </w:p>
          <w:p w:rsidR="00906C84" w:rsidRPr="00311B0C" w:rsidRDefault="00906C84" w:rsidP="004E12CC">
            <w:pPr>
              <w:jc w:val="both"/>
              <w:rPr>
                <w:rFonts w:ascii="Times New Roman" w:hAnsi="Times New Roman" w:cs="Times New Roman"/>
                <w:sz w:val="24"/>
                <w:szCs w:val="24"/>
              </w:rPr>
            </w:pPr>
          </w:p>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Should ease compliance for small businesses and also provide I</w:t>
            </w:r>
            <w:r>
              <w:rPr>
                <w:rFonts w:ascii="Times New Roman" w:hAnsi="Times New Roman" w:cs="Times New Roman"/>
                <w:sz w:val="24"/>
                <w:szCs w:val="24"/>
              </w:rPr>
              <w:t xml:space="preserve">nland </w:t>
            </w:r>
            <w:r w:rsidRPr="00311B0C">
              <w:rPr>
                <w:rFonts w:ascii="Times New Roman" w:hAnsi="Times New Roman" w:cs="Times New Roman"/>
                <w:sz w:val="24"/>
                <w:szCs w:val="24"/>
              </w:rPr>
              <w:t>R</w:t>
            </w:r>
            <w:r>
              <w:rPr>
                <w:rFonts w:ascii="Times New Roman" w:hAnsi="Times New Roman" w:cs="Times New Roman"/>
                <w:sz w:val="24"/>
                <w:szCs w:val="24"/>
              </w:rPr>
              <w:t>evenue</w:t>
            </w:r>
            <w:r w:rsidRPr="00311B0C">
              <w:rPr>
                <w:rFonts w:ascii="Times New Roman" w:hAnsi="Times New Roman" w:cs="Times New Roman"/>
                <w:sz w:val="24"/>
                <w:szCs w:val="24"/>
              </w:rPr>
              <w:t xml:space="preserve"> with better information to effectively administer those taxpayers.</w:t>
            </w:r>
          </w:p>
          <w:p w:rsidR="00906C84" w:rsidRPr="00311B0C" w:rsidRDefault="00906C84" w:rsidP="004E12CC">
            <w:pPr>
              <w:jc w:val="both"/>
              <w:rPr>
                <w:rFonts w:ascii="Times New Roman" w:hAnsi="Times New Roman" w:cs="Times New Roman"/>
                <w:sz w:val="24"/>
                <w:szCs w:val="24"/>
              </w:rPr>
            </w:pPr>
          </w:p>
        </w:tc>
        <w:tc>
          <w:tcPr>
            <w:tcW w:w="2441" w:type="dxa"/>
          </w:tcPr>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Met</w:t>
            </w:r>
          </w:p>
          <w:p w:rsidR="00906C84" w:rsidRPr="00311B0C" w:rsidRDefault="00906C84" w:rsidP="004E12CC">
            <w:pPr>
              <w:jc w:val="both"/>
              <w:rPr>
                <w:rFonts w:ascii="Times New Roman" w:hAnsi="Times New Roman" w:cs="Times New Roman"/>
                <w:sz w:val="24"/>
                <w:szCs w:val="24"/>
              </w:rPr>
            </w:pPr>
          </w:p>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Links the payment of tax with ordinary business processes</w:t>
            </w:r>
            <w:r>
              <w:rPr>
                <w:rFonts w:ascii="Times New Roman" w:hAnsi="Times New Roman" w:cs="Times New Roman"/>
                <w:sz w:val="24"/>
                <w:szCs w:val="24"/>
              </w:rPr>
              <w:t>,</w:t>
            </w:r>
            <w:r w:rsidRPr="00311B0C">
              <w:rPr>
                <w:rFonts w:ascii="Times New Roman" w:hAnsi="Times New Roman" w:cs="Times New Roman"/>
                <w:sz w:val="24"/>
                <w:szCs w:val="24"/>
              </w:rPr>
              <w:t xml:space="preserve"> providing greater certainty to taxpayers on the timing of tax payments and the earning of income.</w:t>
            </w:r>
          </w:p>
        </w:tc>
        <w:tc>
          <w:tcPr>
            <w:tcW w:w="3142" w:type="dxa"/>
          </w:tcPr>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No impact</w:t>
            </w:r>
          </w:p>
        </w:tc>
      </w:tr>
      <w:tr w:rsidR="00906C84" w:rsidRPr="00311B0C" w:rsidTr="004E12CC">
        <w:trPr>
          <w:trHeight w:val="301"/>
        </w:trPr>
        <w:tc>
          <w:tcPr>
            <w:tcW w:w="1635" w:type="dxa"/>
          </w:tcPr>
          <w:p w:rsidR="00906C84" w:rsidRPr="00D94BDF" w:rsidRDefault="000546DA" w:rsidP="004E12CC">
            <w:pPr>
              <w:rPr>
                <w:rFonts w:ascii="Times New Roman" w:hAnsi="Times New Roman" w:cs="Times New Roman"/>
                <w:sz w:val="24"/>
                <w:szCs w:val="24"/>
              </w:rPr>
            </w:pPr>
            <w:r>
              <w:rPr>
                <w:rFonts w:ascii="Times New Roman" w:hAnsi="Times New Roman" w:cs="Times New Roman"/>
                <w:sz w:val="24"/>
                <w:szCs w:val="24"/>
              </w:rPr>
              <w:t>3</w:t>
            </w:r>
            <w:r w:rsidR="00906C84" w:rsidRPr="00D94BDF">
              <w:rPr>
                <w:rFonts w:ascii="Times New Roman" w:hAnsi="Times New Roman" w:cs="Times New Roman"/>
                <w:sz w:val="24"/>
                <w:szCs w:val="24"/>
              </w:rPr>
              <w:t>. Extend the GST ratio method</w:t>
            </w:r>
          </w:p>
        </w:tc>
        <w:tc>
          <w:tcPr>
            <w:tcW w:w="2934" w:type="dxa"/>
          </w:tcPr>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 xml:space="preserve">Partially </w:t>
            </w:r>
            <w:r>
              <w:rPr>
                <w:rFonts w:ascii="Times New Roman" w:hAnsi="Times New Roman" w:cs="Times New Roman"/>
                <w:sz w:val="24"/>
                <w:szCs w:val="24"/>
              </w:rPr>
              <w:t>m</w:t>
            </w:r>
            <w:r w:rsidRPr="00311B0C">
              <w:rPr>
                <w:rFonts w:ascii="Times New Roman" w:hAnsi="Times New Roman" w:cs="Times New Roman"/>
                <w:sz w:val="24"/>
                <w:szCs w:val="24"/>
              </w:rPr>
              <w:t>et</w:t>
            </w:r>
          </w:p>
          <w:p w:rsidR="00906C84" w:rsidRPr="00311B0C" w:rsidRDefault="00906C84" w:rsidP="004E12CC">
            <w:pPr>
              <w:jc w:val="both"/>
              <w:rPr>
                <w:rFonts w:ascii="Times New Roman" w:hAnsi="Times New Roman" w:cs="Times New Roman"/>
                <w:sz w:val="24"/>
                <w:szCs w:val="24"/>
              </w:rPr>
            </w:pPr>
          </w:p>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The extension of the GST ratio method to a larger group of taxpayers may assist to provide a closer pay as you go mechanism than the current provisional tax methods</w:t>
            </w:r>
            <w:r>
              <w:rPr>
                <w:rFonts w:ascii="Times New Roman" w:hAnsi="Times New Roman" w:cs="Times New Roman"/>
                <w:sz w:val="24"/>
                <w:szCs w:val="24"/>
              </w:rPr>
              <w:t>. However</w:t>
            </w:r>
            <w:r w:rsidRPr="00311B0C">
              <w:rPr>
                <w:rFonts w:ascii="Times New Roman" w:hAnsi="Times New Roman" w:cs="Times New Roman"/>
                <w:sz w:val="24"/>
                <w:szCs w:val="24"/>
              </w:rPr>
              <w:t xml:space="preserve"> for taxpayers who have non</w:t>
            </w:r>
            <w:r>
              <w:rPr>
                <w:rFonts w:ascii="Times New Roman" w:hAnsi="Times New Roman" w:cs="Times New Roman"/>
                <w:sz w:val="24"/>
                <w:szCs w:val="24"/>
              </w:rPr>
              <w:t>-</w:t>
            </w:r>
            <w:r w:rsidRPr="00311B0C">
              <w:rPr>
                <w:rFonts w:ascii="Times New Roman" w:hAnsi="Times New Roman" w:cs="Times New Roman"/>
                <w:sz w:val="24"/>
                <w:szCs w:val="24"/>
              </w:rPr>
              <w:t>static margins or tax adjustments</w:t>
            </w:r>
            <w:r>
              <w:rPr>
                <w:rFonts w:ascii="Times New Roman" w:hAnsi="Times New Roman" w:cs="Times New Roman"/>
                <w:sz w:val="24"/>
                <w:szCs w:val="24"/>
              </w:rPr>
              <w:t>,</w:t>
            </w:r>
            <w:r w:rsidRPr="00311B0C">
              <w:rPr>
                <w:rFonts w:ascii="Times New Roman" w:hAnsi="Times New Roman" w:cs="Times New Roman"/>
                <w:sz w:val="24"/>
                <w:szCs w:val="24"/>
              </w:rPr>
              <w:t xml:space="preserve"> issues with over or underpayment can still arise.</w:t>
            </w:r>
          </w:p>
          <w:p w:rsidR="00906C84" w:rsidRPr="00311B0C" w:rsidRDefault="00906C84" w:rsidP="004E12CC">
            <w:pPr>
              <w:jc w:val="both"/>
              <w:rPr>
                <w:rFonts w:ascii="Times New Roman" w:hAnsi="Times New Roman" w:cs="Times New Roman"/>
                <w:sz w:val="24"/>
                <w:szCs w:val="24"/>
              </w:rPr>
            </w:pPr>
          </w:p>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In addition</w:t>
            </w:r>
            <w:r>
              <w:rPr>
                <w:rFonts w:ascii="Times New Roman" w:hAnsi="Times New Roman" w:cs="Times New Roman"/>
                <w:sz w:val="24"/>
                <w:szCs w:val="24"/>
              </w:rPr>
              <w:t>,</w:t>
            </w:r>
            <w:r w:rsidRPr="00311B0C">
              <w:rPr>
                <w:rFonts w:ascii="Times New Roman" w:hAnsi="Times New Roman" w:cs="Times New Roman"/>
                <w:sz w:val="24"/>
                <w:szCs w:val="24"/>
              </w:rPr>
              <w:t xml:space="preserve"> the conclusion at the time the GST ratio method was introduce</w:t>
            </w:r>
            <w:r>
              <w:rPr>
                <w:rFonts w:ascii="Times New Roman" w:hAnsi="Times New Roman" w:cs="Times New Roman"/>
                <w:sz w:val="24"/>
                <w:szCs w:val="24"/>
              </w:rPr>
              <w:t>d</w:t>
            </w:r>
            <w:r w:rsidRPr="00311B0C">
              <w:rPr>
                <w:rFonts w:ascii="Times New Roman" w:hAnsi="Times New Roman" w:cs="Times New Roman"/>
                <w:sz w:val="24"/>
                <w:szCs w:val="24"/>
              </w:rPr>
              <w:t xml:space="preserve"> was that the larger the turnover</w:t>
            </w:r>
            <w:r>
              <w:rPr>
                <w:rFonts w:ascii="Times New Roman" w:hAnsi="Times New Roman" w:cs="Times New Roman"/>
                <w:sz w:val="24"/>
                <w:szCs w:val="24"/>
              </w:rPr>
              <w:t>,</w:t>
            </w:r>
            <w:r w:rsidRPr="00311B0C">
              <w:rPr>
                <w:rFonts w:ascii="Times New Roman" w:hAnsi="Times New Roman" w:cs="Times New Roman"/>
                <w:sz w:val="24"/>
                <w:szCs w:val="24"/>
              </w:rPr>
              <w:t xml:space="preserve"> the less accurate the method was</w:t>
            </w:r>
            <w:r>
              <w:rPr>
                <w:rFonts w:ascii="Times New Roman" w:hAnsi="Times New Roman" w:cs="Times New Roman"/>
                <w:sz w:val="24"/>
                <w:szCs w:val="24"/>
              </w:rPr>
              <w:t>. This</w:t>
            </w:r>
            <w:r w:rsidRPr="00311B0C">
              <w:rPr>
                <w:rFonts w:ascii="Times New Roman" w:hAnsi="Times New Roman" w:cs="Times New Roman"/>
                <w:sz w:val="24"/>
                <w:szCs w:val="24"/>
              </w:rPr>
              <w:t xml:space="preserve"> would still leave unfairness within the system.</w:t>
            </w:r>
          </w:p>
        </w:tc>
        <w:tc>
          <w:tcPr>
            <w:tcW w:w="4360" w:type="dxa"/>
          </w:tcPr>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 xml:space="preserve">Not </w:t>
            </w:r>
            <w:r>
              <w:rPr>
                <w:rFonts w:ascii="Times New Roman" w:hAnsi="Times New Roman" w:cs="Times New Roman"/>
                <w:sz w:val="24"/>
                <w:szCs w:val="24"/>
              </w:rPr>
              <w:t>m</w:t>
            </w:r>
            <w:r w:rsidRPr="00311B0C">
              <w:rPr>
                <w:rFonts w:ascii="Times New Roman" w:hAnsi="Times New Roman" w:cs="Times New Roman"/>
                <w:sz w:val="24"/>
                <w:szCs w:val="24"/>
              </w:rPr>
              <w:t>et</w:t>
            </w:r>
          </w:p>
          <w:p w:rsidR="00906C84" w:rsidRPr="00311B0C" w:rsidRDefault="00906C84" w:rsidP="004E12CC">
            <w:pPr>
              <w:jc w:val="both"/>
              <w:rPr>
                <w:rFonts w:ascii="Times New Roman" w:hAnsi="Times New Roman" w:cs="Times New Roman"/>
                <w:sz w:val="24"/>
                <w:szCs w:val="24"/>
              </w:rPr>
            </w:pPr>
          </w:p>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A GST ratio method has some compliance costs associated with it that may result in higher costs than a pure uplift method.</w:t>
            </w:r>
          </w:p>
          <w:p w:rsidR="00906C84" w:rsidRPr="00311B0C" w:rsidRDefault="00906C84" w:rsidP="004E12CC">
            <w:pPr>
              <w:jc w:val="both"/>
              <w:rPr>
                <w:rFonts w:ascii="Times New Roman" w:hAnsi="Times New Roman" w:cs="Times New Roman"/>
                <w:sz w:val="24"/>
                <w:szCs w:val="24"/>
              </w:rPr>
            </w:pPr>
          </w:p>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The possibility of overpayments for larger taxpayers could also create larger compliance costs through the overpayment of tax where margins or tax adjustments are not static.</w:t>
            </w:r>
          </w:p>
          <w:p w:rsidR="00906C84" w:rsidRPr="00311B0C" w:rsidRDefault="00906C84" w:rsidP="004E12CC">
            <w:pPr>
              <w:jc w:val="both"/>
              <w:rPr>
                <w:rFonts w:ascii="Times New Roman" w:hAnsi="Times New Roman" w:cs="Times New Roman"/>
                <w:sz w:val="24"/>
                <w:szCs w:val="24"/>
              </w:rPr>
            </w:pPr>
          </w:p>
        </w:tc>
        <w:tc>
          <w:tcPr>
            <w:tcW w:w="2441" w:type="dxa"/>
          </w:tcPr>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 xml:space="preserve">Not </w:t>
            </w:r>
            <w:r>
              <w:rPr>
                <w:rFonts w:ascii="Times New Roman" w:hAnsi="Times New Roman" w:cs="Times New Roman"/>
                <w:sz w:val="24"/>
                <w:szCs w:val="24"/>
              </w:rPr>
              <w:t>m</w:t>
            </w:r>
            <w:r w:rsidRPr="00311B0C">
              <w:rPr>
                <w:rFonts w:ascii="Times New Roman" w:hAnsi="Times New Roman" w:cs="Times New Roman"/>
                <w:sz w:val="24"/>
                <w:szCs w:val="24"/>
              </w:rPr>
              <w:t>et</w:t>
            </w:r>
          </w:p>
          <w:p w:rsidR="00906C84" w:rsidRPr="00311B0C" w:rsidRDefault="00906C84" w:rsidP="004E12CC">
            <w:pPr>
              <w:jc w:val="both"/>
              <w:rPr>
                <w:rFonts w:ascii="Times New Roman" w:hAnsi="Times New Roman" w:cs="Times New Roman"/>
                <w:sz w:val="24"/>
                <w:szCs w:val="24"/>
              </w:rPr>
            </w:pPr>
          </w:p>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The possibility of taxpayers having overpayments under the GST ratio option could make the system unstable and inherently unfair to taxpayers.</w:t>
            </w:r>
          </w:p>
        </w:tc>
        <w:tc>
          <w:tcPr>
            <w:tcW w:w="3142" w:type="dxa"/>
          </w:tcPr>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No impact</w:t>
            </w:r>
          </w:p>
        </w:tc>
      </w:tr>
      <w:tr w:rsidR="00906C84" w:rsidRPr="00311B0C" w:rsidTr="00906C84">
        <w:trPr>
          <w:cantSplit/>
          <w:trHeight w:val="301"/>
        </w:trPr>
        <w:tc>
          <w:tcPr>
            <w:tcW w:w="1635" w:type="dxa"/>
          </w:tcPr>
          <w:p w:rsidR="00906C84" w:rsidRPr="00D94BDF" w:rsidRDefault="000546DA" w:rsidP="004E12CC">
            <w:pPr>
              <w:rPr>
                <w:rFonts w:ascii="Times New Roman" w:hAnsi="Times New Roman" w:cs="Times New Roman"/>
                <w:sz w:val="24"/>
                <w:szCs w:val="24"/>
              </w:rPr>
            </w:pPr>
            <w:r>
              <w:rPr>
                <w:rFonts w:ascii="Times New Roman" w:hAnsi="Times New Roman" w:cs="Times New Roman"/>
                <w:sz w:val="24"/>
                <w:szCs w:val="24"/>
              </w:rPr>
              <w:t>4</w:t>
            </w:r>
            <w:r w:rsidR="00906C84" w:rsidRPr="00D94BDF">
              <w:rPr>
                <w:rFonts w:ascii="Times New Roman" w:hAnsi="Times New Roman" w:cs="Times New Roman"/>
                <w:sz w:val="24"/>
                <w:szCs w:val="24"/>
              </w:rPr>
              <w:t>.</w:t>
            </w:r>
            <w:r w:rsidR="00906C84">
              <w:rPr>
                <w:rFonts w:ascii="Times New Roman" w:hAnsi="Times New Roman" w:cs="Times New Roman"/>
                <w:sz w:val="24"/>
                <w:szCs w:val="24"/>
              </w:rPr>
              <w:t xml:space="preserve"> </w:t>
            </w:r>
            <w:r w:rsidR="00906C84" w:rsidRPr="00D94BDF">
              <w:rPr>
                <w:rFonts w:ascii="Times New Roman" w:hAnsi="Times New Roman" w:cs="Times New Roman"/>
                <w:sz w:val="24"/>
                <w:szCs w:val="24"/>
              </w:rPr>
              <w:t>Introduc</w:t>
            </w:r>
            <w:r w:rsidR="00906C84">
              <w:rPr>
                <w:rFonts w:ascii="Times New Roman" w:hAnsi="Times New Roman" w:cs="Times New Roman"/>
                <w:sz w:val="24"/>
                <w:szCs w:val="24"/>
              </w:rPr>
              <w:t>e</w:t>
            </w:r>
            <w:r w:rsidR="00906C84" w:rsidRPr="00D94BDF">
              <w:rPr>
                <w:rFonts w:ascii="Times New Roman" w:hAnsi="Times New Roman" w:cs="Times New Roman"/>
                <w:sz w:val="24"/>
                <w:szCs w:val="24"/>
              </w:rPr>
              <w:t xml:space="preserve"> a turnover method</w:t>
            </w:r>
          </w:p>
        </w:tc>
        <w:tc>
          <w:tcPr>
            <w:tcW w:w="2934" w:type="dxa"/>
          </w:tcPr>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Met</w:t>
            </w:r>
          </w:p>
          <w:p w:rsidR="00906C84" w:rsidRPr="00311B0C" w:rsidRDefault="00906C84" w:rsidP="004E12CC">
            <w:pPr>
              <w:jc w:val="both"/>
              <w:rPr>
                <w:rFonts w:ascii="Times New Roman" w:hAnsi="Times New Roman" w:cs="Times New Roman"/>
                <w:sz w:val="24"/>
                <w:szCs w:val="24"/>
              </w:rPr>
            </w:pPr>
          </w:p>
          <w:p w:rsidR="00906C84" w:rsidRPr="00311B0C" w:rsidRDefault="00CB20C3" w:rsidP="004E12CC">
            <w:pPr>
              <w:jc w:val="both"/>
              <w:rPr>
                <w:rFonts w:ascii="Times New Roman" w:hAnsi="Times New Roman" w:cs="Times New Roman"/>
                <w:sz w:val="24"/>
                <w:szCs w:val="24"/>
              </w:rPr>
            </w:pPr>
            <w:r w:rsidRPr="00311B0C">
              <w:rPr>
                <w:rFonts w:ascii="Times New Roman" w:hAnsi="Times New Roman" w:cs="Times New Roman"/>
                <w:sz w:val="24"/>
                <w:szCs w:val="24"/>
              </w:rPr>
              <w:t xml:space="preserve">Provides a method that </w:t>
            </w:r>
            <w:r>
              <w:rPr>
                <w:rFonts w:ascii="Times New Roman" w:hAnsi="Times New Roman" w:cs="Times New Roman"/>
                <w:sz w:val="24"/>
                <w:szCs w:val="24"/>
              </w:rPr>
              <w:t>better</w:t>
            </w:r>
            <w:r w:rsidRPr="00311B0C">
              <w:rPr>
                <w:rFonts w:ascii="Times New Roman" w:hAnsi="Times New Roman" w:cs="Times New Roman"/>
                <w:sz w:val="24"/>
                <w:szCs w:val="24"/>
              </w:rPr>
              <w:t xml:space="preserve"> approximates a pay as you go system.</w:t>
            </w:r>
          </w:p>
        </w:tc>
        <w:tc>
          <w:tcPr>
            <w:tcW w:w="4360" w:type="dxa"/>
          </w:tcPr>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 xml:space="preserve">Not </w:t>
            </w:r>
            <w:r>
              <w:rPr>
                <w:rFonts w:ascii="Times New Roman" w:hAnsi="Times New Roman" w:cs="Times New Roman"/>
                <w:sz w:val="24"/>
                <w:szCs w:val="24"/>
              </w:rPr>
              <w:t>m</w:t>
            </w:r>
            <w:r w:rsidRPr="00311B0C">
              <w:rPr>
                <w:rFonts w:ascii="Times New Roman" w:hAnsi="Times New Roman" w:cs="Times New Roman"/>
                <w:sz w:val="24"/>
                <w:szCs w:val="24"/>
              </w:rPr>
              <w:t>et</w:t>
            </w:r>
          </w:p>
          <w:p w:rsidR="00906C84" w:rsidRPr="00311B0C" w:rsidRDefault="00906C84" w:rsidP="004E12CC">
            <w:pPr>
              <w:jc w:val="both"/>
              <w:rPr>
                <w:rFonts w:ascii="Times New Roman" w:hAnsi="Times New Roman" w:cs="Times New Roman"/>
                <w:sz w:val="24"/>
                <w:szCs w:val="24"/>
              </w:rPr>
            </w:pPr>
          </w:p>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 xml:space="preserve">The method works off a prior year ratio of </w:t>
            </w:r>
            <w:proofErr w:type="spellStart"/>
            <w:r w:rsidRPr="00311B0C">
              <w:rPr>
                <w:rFonts w:ascii="Times New Roman" w:hAnsi="Times New Roman" w:cs="Times New Roman"/>
                <w:sz w:val="24"/>
                <w:szCs w:val="24"/>
              </w:rPr>
              <w:t>RIT</w:t>
            </w:r>
            <w:proofErr w:type="spellEnd"/>
            <w:r w:rsidRPr="00311B0C">
              <w:rPr>
                <w:rFonts w:ascii="Times New Roman" w:hAnsi="Times New Roman" w:cs="Times New Roman"/>
                <w:sz w:val="24"/>
                <w:szCs w:val="24"/>
              </w:rPr>
              <w:t xml:space="preserve"> to total income. It requires taxpayers to apply that ratio to actual turnover in the current year.</w:t>
            </w:r>
          </w:p>
          <w:p w:rsidR="00906C84" w:rsidRPr="00311B0C" w:rsidRDefault="00906C84" w:rsidP="004E12CC">
            <w:pPr>
              <w:jc w:val="both"/>
              <w:rPr>
                <w:rFonts w:ascii="Times New Roman" w:hAnsi="Times New Roman" w:cs="Times New Roman"/>
                <w:sz w:val="24"/>
                <w:szCs w:val="24"/>
              </w:rPr>
            </w:pPr>
          </w:p>
          <w:p w:rsidR="00906C84" w:rsidRPr="00311B0C" w:rsidRDefault="00CB20C3" w:rsidP="004E12CC">
            <w:pPr>
              <w:jc w:val="both"/>
              <w:rPr>
                <w:rFonts w:ascii="Times New Roman" w:hAnsi="Times New Roman" w:cs="Times New Roman"/>
                <w:sz w:val="24"/>
                <w:szCs w:val="24"/>
              </w:rPr>
            </w:pPr>
            <w:r w:rsidRPr="00311B0C">
              <w:rPr>
                <w:rFonts w:ascii="Times New Roman" w:hAnsi="Times New Roman" w:cs="Times New Roman"/>
                <w:sz w:val="24"/>
                <w:szCs w:val="24"/>
              </w:rPr>
              <w:t>This increase</w:t>
            </w:r>
            <w:r>
              <w:rPr>
                <w:rFonts w:ascii="Times New Roman" w:hAnsi="Times New Roman" w:cs="Times New Roman"/>
                <w:sz w:val="24"/>
                <w:szCs w:val="24"/>
              </w:rPr>
              <w:t>s</w:t>
            </w:r>
            <w:r w:rsidRPr="00311B0C">
              <w:rPr>
                <w:rFonts w:ascii="Times New Roman" w:hAnsi="Times New Roman" w:cs="Times New Roman"/>
                <w:sz w:val="24"/>
                <w:szCs w:val="24"/>
              </w:rPr>
              <w:t xml:space="preserve"> compliance costs </w:t>
            </w:r>
            <w:r>
              <w:rPr>
                <w:rFonts w:ascii="Times New Roman" w:hAnsi="Times New Roman" w:cs="Times New Roman"/>
                <w:sz w:val="24"/>
                <w:szCs w:val="24"/>
              </w:rPr>
              <w:t xml:space="preserve">compared to </w:t>
            </w:r>
            <w:r w:rsidRPr="00311B0C">
              <w:rPr>
                <w:rFonts w:ascii="Times New Roman" w:hAnsi="Times New Roman" w:cs="Times New Roman"/>
                <w:sz w:val="24"/>
                <w:szCs w:val="24"/>
              </w:rPr>
              <w:t>current methods</w:t>
            </w:r>
            <w:r>
              <w:rPr>
                <w:rFonts w:ascii="Times New Roman" w:hAnsi="Times New Roman" w:cs="Times New Roman"/>
                <w:sz w:val="24"/>
                <w:szCs w:val="24"/>
              </w:rPr>
              <w:t>.</w:t>
            </w:r>
            <w:r w:rsidRPr="00311B0C">
              <w:rPr>
                <w:rFonts w:ascii="Times New Roman" w:hAnsi="Times New Roman" w:cs="Times New Roman"/>
                <w:sz w:val="24"/>
                <w:szCs w:val="24"/>
              </w:rPr>
              <w:t xml:space="preserve"> </w:t>
            </w:r>
            <w:r>
              <w:rPr>
                <w:rFonts w:ascii="Times New Roman" w:hAnsi="Times New Roman" w:cs="Times New Roman"/>
                <w:sz w:val="24"/>
                <w:szCs w:val="24"/>
              </w:rPr>
              <w:t>I</w:t>
            </w:r>
            <w:r w:rsidRPr="00311B0C">
              <w:rPr>
                <w:rFonts w:ascii="Times New Roman" w:hAnsi="Times New Roman" w:cs="Times New Roman"/>
                <w:sz w:val="24"/>
                <w:szCs w:val="24"/>
              </w:rPr>
              <w:t>ssues</w:t>
            </w:r>
            <w:r>
              <w:rPr>
                <w:rFonts w:ascii="Times New Roman" w:hAnsi="Times New Roman" w:cs="Times New Roman"/>
                <w:sz w:val="24"/>
                <w:szCs w:val="24"/>
              </w:rPr>
              <w:t xml:space="preserve"> will remain</w:t>
            </w:r>
            <w:r w:rsidRPr="00311B0C">
              <w:rPr>
                <w:rFonts w:ascii="Times New Roman" w:hAnsi="Times New Roman" w:cs="Times New Roman"/>
                <w:sz w:val="24"/>
                <w:szCs w:val="24"/>
              </w:rPr>
              <w:t xml:space="preserve"> with overpayments</w:t>
            </w:r>
            <w:r>
              <w:rPr>
                <w:rFonts w:ascii="Times New Roman" w:hAnsi="Times New Roman" w:cs="Times New Roman"/>
                <w:sz w:val="24"/>
                <w:szCs w:val="24"/>
              </w:rPr>
              <w:t>,</w:t>
            </w:r>
            <w:r w:rsidRPr="00311B0C">
              <w:rPr>
                <w:rFonts w:ascii="Times New Roman" w:hAnsi="Times New Roman" w:cs="Times New Roman"/>
                <w:sz w:val="24"/>
                <w:szCs w:val="24"/>
              </w:rPr>
              <w:t xml:space="preserve"> which will increase compliance costs.</w:t>
            </w:r>
          </w:p>
        </w:tc>
        <w:tc>
          <w:tcPr>
            <w:tcW w:w="2441" w:type="dxa"/>
          </w:tcPr>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 xml:space="preserve">Not </w:t>
            </w:r>
            <w:r>
              <w:rPr>
                <w:rFonts w:ascii="Times New Roman" w:hAnsi="Times New Roman" w:cs="Times New Roman"/>
                <w:sz w:val="24"/>
                <w:szCs w:val="24"/>
              </w:rPr>
              <w:t>m</w:t>
            </w:r>
            <w:r w:rsidRPr="00311B0C">
              <w:rPr>
                <w:rFonts w:ascii="Times New Roman" w:hAnsi="Times New Roman" w:cs="Times New Roman"/>
                <w:sz w:val="24"/>
                <w:szCs w:val="24"/>
              </w:rPr>
              <w:t>et</w:t>
            </w:r>
          </w:p>
          <w:p w:rsidR="00906C84" w:rsidRPr="00311B0C" w:rsidRDefault="00906C84" w:rsidP="004E12CC">
            <w:pPr>
              <w:jc w:val="both"/>
              <w:rPr>
                <w:rFonts w:ascii="Times New Roman" w:hAnsi="Times New Roman" w:cs="Times New Roman"/>
                <w:sz w:val="24"/>
                <w:szCs w:val="24"/>
              </w:rPr>
            </w:pPr>
          </w:p>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Similar issues to the GST ratio in respect of overpayments destabilising the overall structure of the system.</w:t>
            </w:r>
          </w:p>
        </w:tc>
        <w:tc>
          <w:tcPr>
            <w:tcW w:w="3142" w:type="dxa"/>
          </w:tcPr>
          <w:p w:rsidR="00906C84" w:rsidRPr="00311B0C" w:rsidRDefault="00906C84" w:rsidP="004E12CC">
            <w:pPr>
              <w:jc w:val="both"/>
              <w:rPr>
                <w:rFonts w:ascii="Times New Roman" w:hAnsi="Times New Roman" w:cs="Times New Roman"/>
                <w:sz w:val="24"/>
                <w:szCs w:val="24"/>
              </w:rPr>
            </w:pPr>
            <w:r w:rsidRPr="00311B0C">
              <w:rPr>
                <w:rFonts w:ascii="Times New Roman" w:hAnsi="Times New Roman" w:cs="Times New Roman"/>
                <w:sz w:val="24"/>
                <w:szCs w:val="24"/>
              </w:rPr>
              <w:t>No impact</w:t>
            </w:r>
          </w:p>
        </w:tc>
      </w:tr>
    </w:tbl>
    <w:p w:rsidR="00906C84" w:rsidRDefault="00906C84" w:rsidP="00A907C9">
      <w:pPr>
        <w:spacing w:after="0" w:line="240" w:lineRule="auto"/>
        <w:jc w:val="both"/>
        <w:rPr>
          <w:rFonts w:ascii="Times New Roman" w:hAnsi="Times New Roman" w:cs="Times New Roman"/>
          <w:sz w:val="24"/>
          <w:szCs w:val="24"/>
          <w:u w:val="single"/>
        </w:rPr>
        <w:sectPr w:rsidR="00906C84" w:rsidSect="008D31DB">
          <w:pgSz w:w="16838" w:h="11906" w:orient="landscape"/>
          <w:pgMar w:top="720" w:right="720" w:bottom="720" w:left="720" w:header="708" w:footer="708" w:gutter="0"/>
          <w:cols w:space="708"/>
          <w:docGrid w:linePitch="360"/>
        </w:sectPr>
      </w:pPr>
    </w:p>
    <w:p w:rsidR="00432264" w:rsidRPr="000E4599" w:rsidRDefault="00432264" w:rsidP="00432264">
      <w:pPr>
        <w:pStyle w:val="Heading3"/>
      </w:pPr>
      <w:bookmarkStart w:id="20" w:name="_Toc444145607"/>
      <w:r>
        <w:t>R</w:t>
      </w:r>
      <w:r w:rsidRPr="000E4599">
        <w:t>ecommendations</w:t>
      </w:r>
      <w:bookmarkEnd w:id="20"/>
    </w:p>
    <w:p w:rsidR="00432264" w:rsidRDefault="00432264" w:rsidP="00432264">
      <w:pPr>
        <w:spacing w:after="0" w:line="240" w:lineRule="auto"/>
        <w:jc w:val="both"/>
        <w:rPr>
          <w:rFonts w:ascii="Times New Roman" w:hAnsi="Times New Roman" w:cs="Times New Roman"/>
          <w:i/>
          <w:sz w:val="24"/>
          <w:szCs w:val="24"/>
        </w:rPr>
      </w:pPr>
    </w:p>
    <w:p w:rsidR="00432264" w:rsidRPr="00597570" w:rsidRDefault="00432264" w:rsidP="00432264">
      <w:pPr>
        <w:spacing w:after="0" w:line="240" w:lineRule="auto"/>
        <w:jc w:val="both"/>
        <w:rPr>
          <w:rFonts w:ascii="Times New Roman" w:hAnsi="Times New Roman" w:cs="Times New Roman"/>
          <w:sz w:val="24"/>
          <w:szCs w:val="24"/>
        </w:rPr>
      </w:pPr>
      <w:r w:rsidRPr="00597570">
        <w:rPr>
          <w:rFonts w:ascii="Times New Roman" w:hAnsi="Times New Roman" w:cs="Times New Roman"/>
          <w:sz w:val="24"/>
          <w:szCs w:val="24"/>
        </w:rPr>
        <w:t>O</w:t>
      </w:r>
      <w:r>
        <w:rPr>
          <w:rFonts w:ascii="Times New Roman" w:hAnsi="Times New Roman" w:cs="Times New Roman"/>
          <w:sz w:val="24"/>
          <w:szCs w:val="24"/>
        </w:rPr>
        <w:t>fficials recommend o</w:t>
      </w:r>
      <w:r w:rsidRPr="00597570">
        <w:rPr>
          <w:rFonts w:ascii="Times New Roman" w:hAnsi="Times New Roman" w:cs="Times New Roman"/>
          <w:sz w:val="24"/>
          <w:szCs w:val="24"/>
        </w:rPr>
        <w:t xml:space="preserve">ption </w:t>
      </w:r>
      <w:r>
        <w:rPr>
          <w:rFonts w:ascii="Times New Roman" w:hAnsi="Times New Roman" w:cs="Times New Roman"/>
          <w:sz w:val="24"/>
          <w:szCs w:val="24"/>
        </w:rPr>
        <w:t>2</w:t>
      </w:r>
      <w:r w:rsidRPr="00597570">
        <w:rPr>
          <w:rFonts w:ascii="Times New Roman" w:hAnsi="Times New Roman" w:cs="Times New Roman"/>
          <w:sz w:val="24"/>
          <w:szCs w:val="24"/>
        </w:rPr>
        <w:t xml:space="preserve"> – Introduction of an accounting income method. The introduction of a new method that more closely aligns to the income earning pattern of the taxpayer will allow for a more pay as you go type system for business taxpayers. This will allow them to more accurately pay tax during the year in a </w:t>
      </w:r>
      <w:r>
        <w:rPr>
          <w:rFonts w:ascii="Times New Roman" w:hAnsi="Times New Roman" w:cs="Times New Roman"/>
          <w:sz w:val="24"/>
          <w:szCs w:val="24"/>
        </w:rPr>
        <w:t>way</w:t>
      </w:r>
      <w:r w:rsidRPr="00597570">
        <w:rPr>
          <w:rFonts w:ascii="Times New Roman" w:hAnsi="Times New Roman" w:cs="Times New Roman"/>
          <w:sz w:val="24"/>
          <w:szCs w:val="24"/>
        </w:rPr>
        <w:t xml:space="preserve"> which matches their income seasonality rather than on a straight line basis. </w:t>
      </w:r>
    </w:p>
    <w:p w:rsidR="00432264" w:rsidRPr="00597570" w:rsidRDefault="00432264" w:rsidP="00432264">
      <w:pPr>
        <w:spacing w:after="0" w:line="240" w:lineRule="auto"/>
        <w:jc w:val="both"/>
        <w:rPr>
          <w:rFonts w:ascii="Times New Roman" w:hAnsi="Times New Roman" w:cs="Times New Roman"/>
          <w:sz w:val="24"/>
          <w:szCs w:val="24"/>
        </w:rPr>
      </w:pPr>
    </w:p>
    <w:p w:rsidR="00432264" w:rsidRPr="00597570" w:rsidRDefault="00432264" w:rsidP="00432264">
      <w:pPr>
        <w:spacing w:after="0" w:line="240" w:lineRule="auto"/>
        <w:jc w:val="both"/>
        <w:rPr>
          <w:rFonts w:ascii="Times New Roman" w:hAnsi="Times New Roman" w:cs="Times New Roman"/>
          <w:sz w:val="24"/>
          <w:szCs w:val="24"/>
        </w:rPr>
      </w:pPr>
      <w:r w:rsidRPr="00597570">
        <w:rPr>
          <w:rFonts w:ascii="Times New Roman" w:hAnsi="Times New Roman" w:cs="Times New Roman"/>
          <w:sz w:val="24"/>
          <w:szCs w:val="24"/>
        </w:rPr>
        <w:t xml:space="preserve">This will have a number of advantages for taxpayers </w:t>
      </w:r>
      <w:r>
        <w:rPr>
          <w:rFonts w:ascii="Times New Roman" w:hAnsi="Times New Roman" w:cs="Times New Roman"/>
          <w:sz w:val="24"/>
          <w:szCs w:val="24"/>
        </w:rPr>
        <w:t>regarding</w:t>
      </w:r>
      <w:r w:rsidRPr="00597570">
        <w:rPr>
          <w:rFonts w:ascii="Times New Roman" w:hAnsi="Times New Roman" w:cs="Times New Roman"/>
          <w:sz w:val="24"/>
          <w:szCs w:val="24"/>
        </w:rPr>
        <w:t xml:space="preserve"> the funding of tax payments and removal of the application of </w:t>
      </w:r>
      <w:proofErr w:type="spellStart"/>
      <w:r>
        <w:rPr>
          <w:rFonts w:ascii="Times New Roman" w:hAnsi="Times New Roman" w:cs="Times New Roman"/>
          <w:sz w:val="24"/>
          <w:szCs w:val="24"/>
        </w:rPr>
        <w:t>UOMI</w:t>
      </w:r>
      <w:proofErr w:type="spellEnd"/>
      <w:r w:rsidRPr="00597570">
        <w:rPr>
          <w:rFonts w:ascii="Times New Roman" w:hAnsi="Times New Roman" w:cs="Times New Roman"/>
          <w:sz w:val="24"/>
          <w:szCs w:val="24"/>
        </w:rPr>
        <w:t>. This will reduce compliance costs and increase certainty for taxpayers.</w:t>
      </w:r>
    </w:p>
    <w:p w:rsidR="00432264" w:rsidRDefault="00432264" w:rsidP="00432264">
      <w:pPr>
        <w:spacing w:after="0" w:line="240" w:lineRule="auto"/>
        <w:jc w:val="both"/>
        <w:rPr>
          <w:rFonts w:ascii="Times New Roman" w:hAnsi="Times New Roman" w:cs="Times New Roman"/>
          <w:i/>
          <w:sz w:val="24"/>
          <w:szCs w:val="24"/>
        </w:rPr>
      </w:pPr>
    </w:p>
    <w:p w:rsidR="00432264" w:rsidRDefault="00432264" w:rsidP="00432264">
      <w:pPr>
        <w:spacing w:after="0" w:line="240" w:lineRule="auto"/>
        <w:jc w:val="both"/>
        <w:rPr>
          <w:rFonts w:ascii="Times New Roman" w:hAnsi="Times New Roman" w:cs="Times New Roman"/>
          <w:i/>
          <w:sz w:val="24"/>
          <w:szCs w:val="24"/>
        </w:rPr>
      </w:pPr>
    </w:p>
    <w:p w:rsidR="00A907C9" w:rsidRPr="00311B0C" w:rsidRDefault="008B1513" w:rsidP="004B7C5D">
      <w:pPr>
        <w:pStyle w:val="Heading2"/>
      </w:pPr>
      <w:bookmarkStart w:id="21" w:name="_Toc444145608"/>
      <w:r>
        <w:t xml:space="preserve">4 – </w:t>
      </w:r>
      <w:r w:rsidR="00A907C9" w:rsidRPr="00311B0C">
        <w:t xml:space="preserve">Paying </w:t>
      </w:r>
      <w:r w:rsidR="004C78E5">
        <w:t>tax as agent for shareholder-employees</w:t>
      </w:r>
      <w:bookmarkEnd w:id="21"/>
    </w:p>
    <w:p w:rsidR="00C91BBD" w:rsidRDefault="00C91BBD" w:rsidP="00A907C9">
      <w:pPr>
        <w:spacing w:after="0" w:line="240" w:lineRule="auto"/>
        <w:jc w:val="both"/>
        <w:rPr>
          <w:rFonts w:ascii="Times New Roman" w:hAnsi="Times New Roman" w:cs="Times New Roman"/>
          <w:sz w:val="24"/>
          <w:szCs w:val="24"/>
        </w:rPr>
      </w:pPr>
    </w:p>
    <w:p w:rsidR="00A907C9" w:rsidRPr="00311B0C" w:rsidRDefault="00A907C9" w:rsidP="00A907C9">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A typical small </w:t>
      </w:r>
      <w:r w:rsidR="004C78E5">
        <w:rPr>
          <w:rFonts w:ascii="Times New Roman" w:hAnsi="Times New Roman" w:cs="Times New Roman"/>
          <w:sz w:val="24"/>
          <w:szCs w:val="24"/>
        </w:rPr>
        <w:t>company</w:t>
      </w:r>
      <w:r w:rsidR="004C78E5" w:rsidRPr="00311B0C">
        <w:rPr>
          <w:rFonts w:ascii="Times New Roman" w:hAnsi="Times New Roman" w:cs="Times New Roman"/>
          <w:sz w:val="24"/>
          <w:szCs w:val="24"/>
        </w:rPr>
        <w:t xml:space="preserve"> </w:t>
      </w:r>
      <w:r w:rsidRPr="00311B0C">
        <w:rPr>
          <w:rFonts w:ascii="Times New Roman" w:hAnsi="Times New Roman" w:cs="Times New Roman"/>
          <w:sz w:val="24"/>
          <w:szCs w:val="24"/>
        </w:rPr>
        <w:t xml:space="preserve">will be owned by one or more related parties – often a husband and wife, or one or more family trusts, or a combination of these. There will typically be a number of transactions between the </w:t>
      </w:r>
      <w:r w:rsidR="004C78E5">
        <w:rPr>
          <w:rFonts w:ascii="Times New Roman" w:hAnsi="Times New Roman" w:cs="Times New Roman"/>
          <w:sz w:val="24"/>
          <w:szCs w:val="24"/>
        </w:rPr>
        <w:t>company</w:t>
      </w:r>
      <w:r w:rsidRPr="00311B0C">
        <w:rPr>
          <w:rFonts w:ascii="Times New Roman" w:hAnsi="Times New Roman" w:cs="Times New Roman"/>
          <w:sz w:val="24"/>
          <w:szCs w:val="24"/>
        </w:rPr>
        <w:t xml:space="preserve"> and its owners (and other related parties); salaries, dividends, interest, and sometimes payment for things like the rent of premises.</w:t>
      </w:r>
      <w:r w:rsidR="004C78E5">
        <w:rPr>
          <w:rFonts w:ascii="Times New Roman" w:hAnsi="Times New Roman" w:cs="Times New Roman"/>
          <w:sz w:val="24"/>
          <w:szCs w:val="24"/>
        </w:rPr>
        <w:t xml:space="preserve"> T</w:t>
      </w:r>
      <w:r w:rsidRPr="00311B0C">
        <w:rPr>
          <w:rFonts w:ascii="Times New Roman" w:hAnsi="Times New Roman" w:cs="Times New Roman"/>
          <w:sz w:val="24"/>
          <w:szCs w:val="24"/>
        </w:rPr>
        <w:t>he company and each of the owners and related parties will have their own liability to account for provisional tax.</w:t>
      </w:r>
    </w:p>
    <w:p w:rsidR="00A907C9" w:rsidRPr="00311B0C" w:rsidRDefault="00A907C9" w:rsidP="00A907C9">
      <w:pPr>
        <w:spacing w:after="0" w:line="240" w:lineRule="auto"/>
        <w:jc w:val="both"/>
        <w:rPr>
          <w:rFonts w:ascii="Times New Roman" w:hAnsi="Times New Roman" w:cs="Times New Roman"/>
          <w:sz w:val="24"/>
          <w:szCs w:val="24"/>
        </w:rPr>
      </w:pPr>
    </w:p>
    <w:p w:rsidR="00A907C9" w:rsidRPr="00311B0C" w:rsidRDefault="00A907C9" w:rsidP="00A907C9">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Both calculating and paying provisional tax creates compliance costs for those who are liable; and as outlined earlier there is significant concern amongst small businesses about those compliance costs. Tax compliance costs incurred by business reduce the ability of those businesses to grow, which has negative impacts on </w:t>
      </w:r>
      <w:r w:rsidR="00DC53C9">
        <w:rPr>
          <w:rFonts w:ascii="Times New Roman" w:hAnsi="Times New Roman" w:cs="Times New Roman"/>
          <w:sz w:val="24"/>
          <w:szCs w:val="24"/>
        </w:rPr>
        <w:t>economic growth</w:t>
      </w:r>
      <w:r w:rsidR="00DC53C9" w:rsidRPr="00311B0C">
        <w:rPr>
          <w:rFonts w:ascii="Times New Roman" w:hAnsi="Times New Roman" w:cs="Times New Roman"/>
          <w:sz w:val="24"/>
          <w:szCs w:val="24"/>
        </w:rPr>
        <w:t xml:space="preserve"> </w:t>
      </w:r>
      <w:r w:rsidRPr="00311B0C">
        <w:rPr>
          <w:rFonts w:ascii="Times New Roman" w:hAnsi="Times New Roman" w:cs="Times New Roman"/>
          <w:sz w:val="24"/>
          <w:szCs w:val="24"/>
        </w:rPr>
        <w:t>and employment.</w:t>
      </w:r>
    </w:p>
    <w:p w:rsidR="00A907C9" w:rsidRPr="00311B0C" w:rsidRDefault="00A907C9" w:rsidP="00A907C9">
      <w:pPr>
        <w:spacing w:after="0" w:line="240" w:lineRule="auto"/>
        <w:jc w:val="both"/>
        <w:rPr>
          <w:rFonts w:ascii="Times New Roman" w:hAnsi="Times New Roman" w:cs="Times New Roman"/>
          <w:sz w:val="24"/>
          <w:szCs w:val="24"/>
        </w:rPr>
      </w:pPr>
    </w:p>
    <w:p w:rsidR="00A907C9" w:rsidRPr="00311B0C" w:rsidRDefault="00A907C9" w:rsidP="00A907C9">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While compliance concerns are the key issues with the status quo, a wider efficiency argument also arises. Some individuals who might like to set up in business on their own could be discouraged from doing so because of the complexity of provisional tax. Inefficiency will always arise where tax influences behaviour.</w:t>
      </w:r>
    </w:p>
    <w:p w:rsidR="00A907C9" w:rsidRPr="00311B0C" w:rsidRDefault="00A907C9" w:rsidP="00A907C9">
      <w:pPr>
        <w:spacing w:after="0" w:line="240" w:lineRule="auto"/>
        <w:jc w:val="both"/>
        <w:rPr>
          <w:rFonts w:ascii="Times New Roman" w:hAnsi="Times New Roman" w:cs="Times New Roman"/>
          <w:sz w:val="24"/>
          <w:szCs w:val="24"/>
        </w:rPr>
      </w:pPr>
    </w:p>
    <w:p w:rsidR="00A907C9" w:rsidRPr="00311B0C" w:rsidRDefault="00A907C9" w:rsidP="00A907C9">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 xml:space="preserve">Some taxpayers consider the application of provisional tax rules to them in their current form to be unfair, because of the work required to calculate and pay, and the risk of exposure to </w:t>
      </w:r>
      <w:proofErr w:type="spellStart"/>
      <w:r w:rsidR="0045650F">
        <w:rPr>
          <w:rFonts w:ascii="Times New Roman" w:hAnsi="Times New Roman" w:cs="Times New Roman"/>
          <w:sz w:val="24"/>
          <w:szCs w:val="24"/>
        </w:rPr>
        <w:t>UOMI</w:t>
      </w:r>
      <w:proofErr w:type="spellEnd"/>
      <w:r w:rsidRPr="00311B0C">
        <w:rPr>
          <w:rFonts w:ascii="Times New Roman" w:hAnsi="Times New Roman" w:cs="Times New Roman"/>
          <w:sz w:val="24"/>
          <w:szCs w:val="24"/>
        </w:rPr>
        <w:t xml:space="preserve">. The degree of public concern expressed about provisional tax means that </w:t>
      </w:r>
      <w:r w:rsidR="004F66A6">
        <w:rPr>
          <w:rFonts w:ascii="Times New Roman" w:hAnsi="Times New Roman" w:cs="Times New Roman"/>
          <w:sz w:val="24"/>
          <w:szCs w:val="24"/>
        </w:rPr>
        <w:t xml:space="preserve">it </w:t>
      </w:r>
      <w:r w:rsidRPr="00311B0C">
        <w:rPr>
          <w:rFonts w:ascii="Times New Roman" w:hAnsi="Times New Roman" w:cs="Times New Roman"/>
          <w:sz w:val="24"/>
          <w:szCs w:val="24"/>
        </w:rPr>
        <w:t>is arguably not sustainable in the long term – hence the focus in this paper on alternatives. This also gives rise to a minor revenue risk – a self-assessment system requires voluntary engagement by taxpayers, and some may disengage if they perceive the rules as unfair or too complex.</w:t>
      </w:r>
    </w:p>
    <w:p w:rsidR="00A907C9" w:rsidRPr="00311B0C" w:rsidRDefault="00A907C9" w:rsidP="00A907C9">
      <w:pPr>
        <w:spacing w:after="0" w:line="240" w:lineRule="auto"/>
        <w:jc w:val="both"/>
        <w:rPr>
          <w:rFonts w:ascii="Times New Roman" w:hAnsi="Times New Roman" w:cs="Times New Roman"/>
          <w:sz w:val="24"/>
          <w:szCs w:val="24"/>
        </w:rPr>
      </w:pPr>
    </w:p>
    <w:p w:rsidR="00A907C9" w:rsidRPr="00311B0C" w:rsidRDefault="00A907C9" w:rsidP="00A907C9">
      <w:pPr>
        <w:spacing w:after="0" w:line="240" w:lineRule="auto"/>
        <w:jc w:val="both"/>
        <w:rPr>
          <w:rFonts w:ascii="Times New Roman" w:hAnsi="Times New Roman" w:cs="Times New Roman"/>
          <w:sz w:val="24"/>
          <w:szCs w:val="24"/>
        </w:rPr>
      </w:pPr>
      <w:r w:rsidRPr="00311B0C">
        <w:rPr>
          <w:rFonts w:ascii="Times New Roman" w:hAnsi="Times New Roman" w:cs="Times New Roman"/>
          <w:sz w:val="24"/>
          <w:szCs w:val="24"/>
        </w:rPr>
        <w:t>Current rules do allow taxpayers to transfer provisional tax to others, but the amount transferred must be excess tax, and the transferee remains a provisional tax payer.</w:t>
      </w:r>
    </w:p>
    <w:p w:rsidR="00A907C9" w:rsidRPr="00311B0C" w:rsidRDefault="00A907C9" w:rsidP="00A907C9">
      <w:pPr>
        <w:spacing w:after="0" w:line="240" w:lineRule="auto"/>
        <w:jc w:val="both"/>
        <w:rPr>
          <w:rFonts w:ascii="Times New Roman" w:hAnsi="Times New Roman" w:cs="Times New Roman"/>
          <w:sz w:val="24"/>
          <w:szCs w:val="24"/>
        </w:rPr>
      </w:pPr>
    </w:p>
    <w:p w:rsidR="00A907C9" w:rsidRPr="00311B0C" w:rsidRDefault="00A907C9" w:rsidP="00A907C9">
      <w:pPr>
        <w:spacing w:after="0" w:line="240" w:lineRule="auto"/>
        <w:jc w:val="both"/>
        <w:rPr>
          <w:rFonts w:ascii="Times New Roman" w:hAnsi="Times New Roman" w:cs="Times New Roman"/>
          <w:b/>
          <w:i/>
          <w:sz w:val="24"/>
          <w:szCs w:val="24"/>
        </w:rPr>
      </w:pPr>
      <w:r w:rsidRPr="00311B0C">
        <w:rPr>
          <w:rFonts w:ascii="Times New Roman" w:hAnsi="Times New Roman" w:cs="Times New Roman"/>
          <w:sz w:val="24"/>
          <w:szCs w:val="24"/>
        </w:rPr>
        <w:t>In 2014 there were approximately 305,000 companies which paid income out to shareholders without deduction of tax at source</w:t>
      </w:r>
      <w:r w:rsidR="004C78E5">
        <w:rPr>
          <w:rFonts w:ascii="Times New Roman" w:hAnsi="Times New Roman" w:cs="Times New Roman"/>
          <w:sz w:val="24"/>
          <w:szCs w:val="24"/>
        </w:rPr>
        <w:t>.</w:t>
      </w:r>
    </w:p>
    <w:p w:rsidR="007153A7" w:rsidRPr="00311B0C" w:rsidRDefault="007153A7" w:rsidP="00A907C9">
      <w:pPr>
        <w:spacing w:after="0" w:line="240" w:lineRule="auto"/>
        <w:jc w:val="both"/>
        <w:rPr>
          <w:rFonts w:ascii="Times New Roman" w:hAnsi="Times New Roman" w:cs="Times New Roman"/>
          <w:sz w:val="24"/>
          <w:szCs w:val="24"/>
        </w:rPr>
      </w:pPr>
    </w:p>
    <w:p w:rsidR="002A5943" w:rsidRPr="00311B0C" w:rsidRDefault="002A5943" w:rsidP="002A59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Four</w:t>
      </w:r>
      <w:r w:rsidRPr="00311B0C">
        <w:rPr>
          <w:rFonts w:ascii="Times New Roman" w:hAnsi="Times New Roman" w:cs="Times New Roman"/>
          <w:sz w:val="24"/>
          <w:szCs w:val="24"/>
        </w:rPr>
        <w:t xml:space="preserve"> options to address the </w:t>
      </w:r>
      <w:r>
        <w:rPr>
          <w:rFonts w:ascii="Times New Roman" w:hAnsi="Times New Roman" w:cs="Times New Roman"/>
          <w:sz w:val="24"/>
          <w:szCs w:val="24"/>
        </w:rPr>
        <w:t>issue</w:t>
      </w:r>
      <w:r w:rsidRPr="00311B0C">
        <w:rPr>
          <w:rFonts w:ascii="Times New Roman" w:hAnsi="Times New Roman" w:cs="Times New Roman"/>
          <w:sz w:val="24"/>
          <w:szCs w:val="24"/>
        </w:rPr>
        <w:t xml:space="preserve"> </w:t>
      </w:r>
      <w:r>
        <w:rPr>
          <w:rFonts w:ascii="Times New Roman" w:hAnsi="Times New Roman" w:cs="Times New Roman"/>
          <w:sz w:val="24"/>
          <w:szCs w:val="24"/>
        </w:rPr>
        <w:t>were looked at.</w:t>
      </w:r>
    </w:p>
    <w:p w:rsidR="002A5943" w:rsidRPr="00311B0C" w:rsidRDefault="002A5943" w:rsidP="002A5943">
      <w:pPr>
        <w:spacing w:after="0" w:line="240" w:lineRule="auto"/>
        <w:jc w:val="both"/>
        <w:rPr>
          <w:rFonts w:ascii="Times New Roman" w:hAnsi="Times New Roman" w:cs="Times New Roman"/>
          <w:sz w:val="24"/>
          <w:szCs w:val="24"/>
        </w:rPr>
      </w:pPr>
    </w:p>
    <w:p w:rsidR="002A5943" w:rsidRPr="00311B0C" w:rsidRDefault="002A5943" w:rsidP="002A594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first option is to retain the s</w:t>
      </w:r>
      <w:r w:rsidRPr="00311B0C">
        <w:rPr>
          <w:rFonts w:ascii="Times New Roman" w:hAnsi="Times New Roman" w:cs="Times New Roman"/>
          <w:sz w:val="24"/>
          <w:szCs w:val="24"/>
        </w:rPr>
        <w:t xml:space="preserve">tatus quo </w:t>
      </w:r>
      <w:r>
        <w:rPr>
          <w:rFonts w:ascii="Times New Roman" w:hAnsi="Times New Roman" w:cs="Times New Roman"/>
          <w:sz w:val="24"/>
          <w:szCs w:val="24"/>
        </w:rPr>
        <w:t>and</w:t>
      </w:r>
      <w:r w:rsidRPr="00311B0C">
        <w:rPr>
          <w:rFonts w:ascii="Times New Roman" w:hAnsi="Times New Roman" w:cs="Times New Roman"/>
          <w:sz w:val="24"/>
          <w:szCs w:val="24"/>
        </w:rPr>
        <w:t xml:space="preserve"> accept that tax operates on the basis of legal form. If individuals want to put their business activities in a separate </w:t>
      </w:r>
      <w:r>
        <w:rPr>
          <w:rFonts w:ascii="Times New Roman" w:hAnsi="Times New Roman" w:cs="Times New Roman"/>
          <w:sz w:val="24"/>
          <w:szCs w:val="24"/>
        </w:rPr>
        <w:t>company</w:t>
      </w:r>
      <w:r w:rsidRPr="00311B0C">
        <w:rPr>
          <w:rFonts w:ascii="Times New Roman" w:hAnsi="Times New Roman" w:cs="Times New Roman"/>
          <w:sz w:val="24"/>
          <w:szCs w:val="24"/>
        </w:rPr>
        <w:t xml:space="preserve">, they inevitably create a requirement for transactions – with tax consequences – between that </w:t>
      </w:r>
      <w:r>
        <w:rPr>
          <w:rFonts w:ascii="Times New Roman" w:hAnsi="Times New Roman" w:cs="Times New Roman"/>
          <w:sz w:val="24"/>
          <w:szCs w:val="24"/>
        </w:rPr>
        <w:t>company</w:t>
      </w:r>
      <w:r w:rsidRPr="00311B0C">
        <w:rPr>
          <w:rFonts w:ascii="Times New Roman" w:hAnsi="Times New Roman" w:cs="Times New Roman"/>
          <w:sz w:val="24"/>
          <w:szCs w:val="24"/>
        </w:rPr>
        <w:t xml:space="preserve"> and themselves.</w:t>
      </w:r>
    </w:p>
    <w:p w:rsidR="002A5943" w:rsidRPr="00311B0C" w:rsidRDefault="002A5943" w:rsidP="002A5943">
      <w:pPr>
        <w:pStyle w:val="ListParagraph"/>
        <w:spacing w:after="0" w:line="240" w:lineRule="auto"/>
        <w:ind w:left="0"/>
        <w:jc w:val="both"/>
        <w:rPr>
          <w:rFonts w:ascii="Times New Roman" w:hAnsi="Times New Roman" w:cs="Times New Roman"/>
          <w:sz w:val="24"/>
          <w:szCs w:val="24"/>
        </w:rPr>
      </w:pPr>
    </w:p>
    <w:p w:rsidR="002A5943" w:rsidRPr="00311B0C" w:rsidRDefault="002A5943" w:rsidP="002A594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second option is to a</w:t>
      </w:r>
      <w:r w:rsidRPr="00311B0C">
        <w:rPr>
          <w:rFonts w:ascii="Times New Roman" w:hAnsi="Times New Roman" w:cs="Times New Roman"/>
          <w:sz w:val="24"/>
          <w:szCs w:val="24"/>
        </w:rPr>
        <w:t xml:space="preserve">llow a model which acknowledges that a single economic entity exists. </w:t>
      </w:r>
      <w:r>
        <w:rPr>
          <w:rFonts w:ascii="Times New Roman" w:hAnsi="Times New Roman" w:cs="Times New Roman"/>
          <w:sz w:val="24"/>
          <w:szCs w:val="24"/>
        </w:rPr>
        <w:t>Where a company and its shareholder-employees</w:t>
      </w:r>
      <w:r w:rsidRPr="00311B0C">
        <w:rPr>
          <w:rFonts w:ascii="Times New Roman" w:hAnsi="Times New Roman" w:cs="Times New Roman"/>
          <w:sz w:val="24"/>
          <w:szCs w:val="24"/>
        </w:rPr>
        <w:t xml:space="preserve"> opt in to this approach </w:t>
      </w:r>
      <w:r>
        <w:rPr>
          <w:rFonts w:ascii="Times New Roman" w:hAnsi="Times New Roman" w:cs="Times New Roman"/>
          <w:sz w:val="24"/>
          <w:szCs w:val="24"/>
        </w:rPr>
        <w:t xml:space="preserve">the company </w:t>
      </w:r>
      <w:r w:rsidRPr="00311B0C">
        <w:rPr>
          <w:rFonts w:ascii="Times New Roman" w:hAnsi="Times New Roman" w:cs="Times New Roman"/>
          <w:sz w:val="24"/>
          <w:szCs w:val="24"/>
        </w:rPr>
        <w:t xml:space="preserve">will be able to make tax payments on behalf of </w:t>
      </w:r>
      <w:r>
        <w:rPr>
          <w:rFonts w:ascii="Times New Roman" w:hAnsi="Times New Roman" w:cs="Times New Roman"/>
          <w:sz w:val="24"/>
          <w:szCs w:val="24"/>
        </w:rPr>
        <w:t>shareholders</w:t>
      </w:r>
      <w:r w:rsidRPr="00311B0C">
        <w:rPr>
          <w:rFonts w:ascii="Times New Roman" w:hAnsi="Times New Roman" w:cs="Times New Roman"/>
          <w:sz w:val="24"/>
          <w:szCs w:val="24"/>
        </w:rPr>
        <w:t>, which may enable them to stay outside provisional tax.</w:t>
      </w:r>
    </w:p>
    <w:p w:rsidR="002A5943" w:rsidRPr="00311B0C" w:rsidRDefault="002A5943" w:rsidP="002A5943">
      <w:pPr>
        <w:pStyle w:val="ListParagraph"/>
        <w:ind w:left="0"/>
        <w:rPr>
          <w:rFonts w:ascii="Times New Roman" w:hAnsi="Times New Roman" w:cs="Times New Roman"/>
          <w:sz w:val="24"/>
          <w:szCs w:val="24"/>
        </w:rPr>
      </w:pPr>
    </w:p>
    <w:p w:rsidR="002A5943" w:rsidRPr="00311B0C" w:rsidRDefault="002A5943" w:rsidP="002A594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third option would r</w:t>
      </w:r>
      <w:r w:rsidRPr="00311B0C">
        <w:rPr>
          <w:rFonts w:ascii="Times New Roman" w:hAnsi="Times New Roman" w:cs="Times New Roman"/>
          <w:sz w:val="24"/>
          <w:szCs w:val="24"/>
        </w:rPr>
        <w:t xml:space="preserve">equire </w:t>
      </w:r>
      <w:r>
        <w:rPr>
          <w:rFonts w:ascii="Times New Roman" w:hAnsi="Times New Roman" w:cs="Times New Roman"/>
          <w:sz w:val="24"/>
          <w:szCs w:val="24"/>
        </w:rPr>
        <w:t>companies with shareholder-employees</w:t>
      </w:r>
      <w:r w:rsidRPr="00311B0C">
        <w:rPr>
          <w:rFonts w:ascii="Times New Roman" w:hAnsi="Times New Roman" w:cs="Times New Roman"/>
          <w:sz w:val="24"/>
          <w:szCs w:val="24"/>
        </w:rPr>
        <w:t xml:space="preserve"> to operate a model which acknowledges that a single economic entity exists. </w:t>
      </w:r>
      <w:r>
        <w:rPr>
          <w:rFonts w:ascii="Times New Roman" w:hAnsi="Times New Roman" w:cs="Times New Roman"/>
          <w:sz w:val="24"/>
          <w:szCs w:val="24"/>
        </w:rPr>
        <w:t>Companies</w:t>
      </w:r>
      <w:r w:rsidRPr="00311B0C">
        <w:rPr>
          <w:rFonts w:ascii="Times New Roman" w:hAnsi="Times New Roman" w:cs="Times New Roman"/>
          <w:sz w:val="24"/>
          <w:szCs w:val="24"/>
        </w:rPr>
        <w:t xml:space="preserve"> will be required to make tax payments on behalf of </w:t>
      </w:r>
      <w:r>
        <w:rPr>
          <w:rFonts w:ascii="Times New Roman" w:hAnsi="Times New Roman" w:cs="Times New Roman"/>
          <w:sz w:val="24"/>
          <w:szCs w:val="24"/>
        </w:rPr>
        <w:t>shareholder-employees</w:t>
      </w:r>
      <w:r w:rsidRPr="00311B0C">
        <w:rPr>
          <w:rFonts w:ascii="Times New Roman" w:hAnsi="Times New Roman" w:cs="Times New Roman"/>
          <w:sz w:val="24"/>
          <w:szCs w:val="24"/>
        </w:rPr>
        <w:t>, to ensure they are no longer subject to provisional tax</w:t>
      </w:r>
      <w:r>
        <w:rPr>
          <w:rFonts w:ascii="Times New Roman" w:hAnsi="Times New Roman" w:cs="Times New Roman"/>
          <w:sz w:val="24"/>
          <w:szCs w:val="24"/>
        </w:rPr>
        <w:t xml:space="preserve"> on their shareholder salaries</w:t>
      </w:r>
      <w:r w:rsidRPr="00311B0C">
        <w:rPr>
          <w:rFonts w:ascii="Times New Roman" w:hAnsi="Times New Roman" w:cs="Times New Roman"/>
          <w:sz w:val="24"/>
          <w:szCs w:val="24"/>
        </w:rPr>
        <w:t>.</w:t>
      </w:r>
    </w:p>
    <w:p w:rsidR="002A5943" w:rsidRPr="00311B0C" w:rsidRDefault="002A5943" w:rsidP="002A5943">
      <w:pPr>
        <w:pStyle w:val="ListParagraph"/>
        <w:ind w:left="0"/>
        <w:rPr>
          <w:rFonts w:ascii="Times New Roman" w:hAnsi="Times New Roman" w:cs="Times New Roman"/>
          <w:sz w:val="24"/>
          <w:szCs w:val="24"/>
        </w:rPr>
      </w:pPr>
    </w:p>
    <w:p w:rsidR="002A5943" w:rsidRPr="000E4599" w:rsidRDefault="002A5943" w:rsidP="002A594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fourth option is to exempt shareholder salaries</w:t>
      </w:r>
      <w:r w:rsidRPr="00311B0C">
        <w:rPr>
          <w:rFonts w:ascii="Times New Roman" w:hAnsi="Times New Roman" w:cs="Times New Roman"/>
          <w:sz w:val="24"/>
          <w:szCs w:val="24"/>
        </w:rPr>
        <w:t xml:space="preserve"> from provisional tax and require tax </w:t>
      </w:r>
      <w:r>
        <w:rPr>
          <w:rFonts w:ascii="Times New Roman" w:hAnsi="Times New Roman" w:cs="Times New Roman"/>
          <w:sz w:val="24"/>
          <w:szCs w:val="24"/>
        </w:rPr>
        <w:t xml:space="preserve">on these payments to be paid </w:t>
      </w:r>
      <w:r w:rsidRPr="00311B0C">
        <w:rPr>
          <w:rFonts w:ascii="Times New Roman" w:hAnsi="Times New Roman" w:cs="Times New Roman"/>
          <w:sz w:val="24"/>
          <w:szCs w:val="24"/>
        </w:rPr>
        <w:t>at terminal tax date.</w:t>
      </w:r>
    </w:p>
    <w:p w:rsidR="002A5943" w:rsidRPr="00311B0C" w:rsidRDefault="002A5943" w:rsidP="002A5943">
      <w:pPr>
        <w:spacing w:after="0" w:line="240" w:lineRule="auto"/>
        <w:jc w:val="both"/>
        <w:rPr>
          <w:rFonts w:ascii="Times New Roman" w:hAnsi="Times New Roman" w:cs="Times New Roman"/>
          <w:sz w:val="24"/>
          <w:szCs w:val="24"/>
        </w:rPr>
      </w:pPr>
    </w:p>
    <w:p w:rsidR="002A5943" w:rsidRDefault="002A5943" w:rsidP="002A5943">
      <w:pPr>
        <w:spacing w:after="0" w:line="240" w:lineRule="auto"/>
        <w:rPr>
          <w:rFonts w:ascii="Times New Roman" w:hAnsi="Times New Roman" w:cs="Times New Roman"/>
          <w:sz w:val="24"/>
          <w:szCs w:val="24"/>
        </w:rPr>
      </w:pPr>
      <w:r>
        <w:rPr>
          <w:rFonts w:ascii="Times New Roman" w:hAnsi="Times New Roman" w:cs="Times New Roman"/>
          <w:sz w:val="24"/>
          <w:szCs w:val="24"/>
        </w:rPr>
        <w:t>These options are analysed against the objectives in the table on the next page.</w:t>
      </w:r>
    </w:p>
    <w:p w:rsidR="002A5943" w:rsidRDefault="002A5943" w:rsidP="002A5943">
      <w:pPr>
        <w:spacing w:after="0" w:line="240" w:lineRule="auto"/>
        <w:rPr>
          <w:rFonts w:ascii="Times New Roman" w:hAnsi="Times New Roman" w:cs="Times New Roman"/>
          <w:sz w:val="24"/>
          <w:szCs w:val="24"/>
        </w:rPr>
      </w:pPr>
    </w:p>
    <w:p w:rsidR="002A5943" w:rsidRPr="000E4599" w:rsidRDefault="002A5943" w:rsidP="002A5943">
      <w:pPr>
        <w:spacing w:after="0" w:line="240" w:lineRule="auto"/>
        <w:jc w:val="both"/>
        <w:rPr>
          <w:rFonts w:ascii="Times New Roman" w:hAnsi="Times New Roman" w:cs="Times New Roman"/>
          <w:b/>
          <w:i/>
          <w:sz w:val="24"/>
          <w:szCs w:val="24"/>
        </w:rPr>
      </w:pPr>
      <w:r w:rsidRPr="000E4599">
        <w:rPr>
          <w:rFonts w:ascii="Times New Roman" w:hAnsi="Times New Roman" w:cs="Times New Roman"/>
          <w:b/>
          <w:i/>
          <w:sz w:val="24"/>
          <w:szCs w:val="24"/>
        </w:rPr>
        <w:t>Consultation</w:t>
      </w:r>
    </w:p>
    <w:p w:rsidR="002A5943" w:rsidRDefault="002A5943" w:rsidP="002A5943">
      <w:pPr>
        <w:spacing w:after="0" w:line="240" w:lineRule="auto"/>
        <w:jc w:val="both"/>
        <w:rPr>
          <w:rFonts w:ascii="Times New Roman" w:hAnsi="Times New Roman" w:cs="Times New Roman"/>
          <w:sz w:val="24"/>
          <w:szCs w:val="24"/>
        </w:rPr>
      </w:pPr>
    </w:p>
    <w:p w:rsidR="002A5943" w:rsidRDefault="002A5943" w:rsidP="002A59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Participants in the pre-announcement consultation saw</w:t>
      </w:r>
      <w:r w:rsidRPr="00601236">
        <w:rPr>
          <w:rFonts w:ascii="Times New Roman" w:hAnsi="Times New Roman" w:cs="Times New Roman"/>
          <w:sz w:val="24"/>
          <w:szCs w:val="24"/>
        </w:rPr>
        <w:t xml:space="preserve"> the proposal to allow a </w:t>
      </w:r>
      <w:r>
        <w:rPr>
          <w:rFonts w:ascii="Times New Roman" w:hAnsi="Times New Roman" w:cs="Times New Roman"/>
          <w:sz w:val="24"/>
          <w:szCs w:val="24"/>
        </w:rPr>
        <w:t>company</w:t>
      </w:r>
      <w:r w:rsidRPr="00601236">
        <w:rPr>
          <w:rFonts w:ascii="Times New Roman" w:hAnsi="Times New Roman" w:cs="Times New Roman"/>
          <w:sz w:val="24"/>
          <w:szCs w:val="24"/>
        </w:rPr>
        <w:t xml:space="preserve"> to pay tax on behalf of its </w:t>
      </w:r>
      <w:r>
        <w:rPr>
          <w:rFonts w:ascii="Times New Roman" w:hAnsi="Times New Roman" w:cs="Times New Roman"/>
          <w:sz w:val="24"/>
          <w:szCs w:val="24"/>
        </w:rPr>
        <w:t>shareholder-employees</w:t>
      </w:r>
      <w:r w:rsidRPr="00601236">
        <w:rPr>
          <w:rFonts w:ascii="Times New Roman" w:hAnsi="Times New Roman" w:cs="Times New Roman"/>
          <w:sz w:val="24"/>
          <w:szCs w:val="24"/>
        </w:rPr>
        <w:t xml:space="preserve"> as an improvement over the status quo. </w:t>
      </w:r>
      <w:r>
        <w:rPr>
          <w:rFonts w:ascii="Times New Roman" w:hAnsi="Times New Roman" w:cs="Times New Roman"/>
          <w:sz w:val="24"/>
          <w:szCs w:val="24"/>
        </w:rPr>
        <w:t>One accountant observed that it provided the opportunity to create a mini-tax pool inside a group of related entities, although another with access to a tax pool thought the approach might not add much to what they could already do.</w:t>
      </w:r>
    </w:p>
    <w:p w:rsidR="002A5943" w:rsidRDefault="002A5943" w:rsidP="002A5943">
      <w:pPr>
        <w:spacing w:after="0" w:line="240" w:lineRule="auto"/>
        <w:jc w:val="both"/>
        <w:rPr>
          <w:rFonts w:ascii="Times New Roman" w:hAnsi="Times New Roman" w:cs="Times New Roman"/>
          <w:sz w:val="24"/>
          <w:szCs w:val="24"/>
        </w:rPr>
      </w:pPr>
    </w:p>
    <w:p w:rsidR="002A5943" w:rsidRPr="00601236" w:rsidRDefault="002A5943" w:rsidP="002A59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Accountants </w:t>
      </w:r>
      <w:r w:rsidRPr="00601236">
        <w:rPr>
          <w:rFonts w:ascii="Times New Roman" w:hAnsi="Times New Roman" w:cs="Times New Roman"/>
          <w:sz w:val="24"/>
          <w:szCs w:val="24"/>
        </w:rPr>
        <w:t xml:space="preserve">noted that some compliance work would remain for </w:t>
      </w:r>
      <w:r>
        <w:rPr>
          <w:rFonts w:ascii="Times New Roman" w:hAnsi="Times New Roman" w:cs="Times New Roman"/>
          <w:sz w:val="24"/>
          <w:szCs w:val="24"/>
        </w:rPr>
        <w:t>them</w:t>
      </w:r>
      <w:r w:rsidRPr="00601236">
        <w:rPr>
          <w:rFonts w:ascii="Times New Roman" w:hAnsi="Times New Roman" w:cs="Times New Roman"/>
          <w:sz w:val="24"/>
          <w:szCs w:val="24"/>
        </w:rPr>
        <w:t>, as they would still need to calculate the tax liability of each entity and individual</w:t>
      </w:r>
      <w:r>
        <w:rPr>
          <w:rFonts w:ascii="Times New Roman" w:hAnsi="Times New Roman" w:cs="Times New Roman"/>
          <w:sz w:val="24"/>
          <w:szCs w:val="24"/>
        </w:rPr>
        <w:t xml:space="preserve"> in the same way as if they had all remained subject to provisional tax</w:t>
      </w:r>
      <w:r w:rsidRPr="00601236">
        <w:rPr>
          <w:rFonts w:ascii="Times New Roman" w:hAnsi="Times New Roman" w:cs="Times New Roman"/>
          <w:sz w:val="24"/>
          <w:szCs w:val="24"/>
        </w:rPr>
        <w:t>, but that the removal of direct provisional tax liabilities and the requirement to engage with Inland Revenue in relation to each taxpayer would deliver some compliance cost savings.</w:t>
      </w:r>
    </w:p>
    <w:p w:rsidR="002A5943" w:rsidRPr="00601236" w:rsidRDefault="002A5943" w:rsidP="002A5943">
      <w:pPr>
        <w:spacing w:after="0" w:line="240" w:lineRule="auto"/>
        <w:jc w:val="both"/>
        <w:rPr>
          <w:rFonts w:ascii="Times New Roman" w:hAnsi="Times New Roman" w:cs="Times New Roman"/>
          <w:sz w:val="24"/>
          <w:szCs w:val="24"/>
        </w:rPr>
      </w:pPr>
    </w:p>
    <w:p w:rsidR="002A5943" w:rsidRDefault="00DC20F8" w:rsidP="002A59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Chartered Accountants Australia and New Zealand (</w:t>
      </w:r>
      <w:proofErr w:type="spellStart"/>
      <w:r w:rsidR="002A5943" w:rsidRPr="000E4599">
        <w:rPr>
          <w:rFonts w:ascii="Times New Roman" w:hAnsi="Times New Roman" w:cs="Times New Roman"/>
          <w:sz w:val="24"/>
          <w:szCs w:val="24"/>
        </w:rPr>
        <w:t>CAANZ</w:t>
      </w:r>
      <w:proofErr w:type="spellEnd"/>
      <w:r>
        <w:rPr>
          <w:rFonts w:ascii="Times New Roman" w:hAnsi="Times New Roman" w:cs="Times New Roman"/>
          <w:sz w:val="24"/>
          <w:szCs w:val="24"/>
        </w:rPr>
        <w:t>)</w:t>
      </w:r>
      <w:r w:rsidR="002A5943" w:rsidRPr="000E4599">
        <w:rPr>
          <w:rFonts w:ascii="Times New Roman" w:hAnsi="Times New Roman" w:cs="Times New Roman"/>
          <w:sz w:val="24"/>
          <w:szCs w:val="24"/>
        </w:rPr>
        <w:t xml:space="preserve"> considered that </w:t>
      </w:r>
      <w:r w:rsidR="004A0517">
        <w:rPr>
          <w:rFonts w:ascii="Times New Roman" w:hAnsi="Times New Roman" w:cs="Times New Roman"/>
          <w:sz w:val="24"/>
          <w:szCs w:val="24"/>
        </w:rPr>
        <w:t>companies</w:t>
      </w:r>
      <w:r w:rsidR="002A5943" w:rsidRPr="000E4599">
        <w:rPr>
          <w:rFonts w:ascii="Times New Roman" w:hAnsi="Times New Roman" w:cs="Times New Roman"/>
          <w:sz w:val="24"/>
          <w:szCs w:val="24"/>
        </w:rPr>
        <w:t xml:space="preserve"> should have the ability to choose to pay </w:t>
      </w:r>
      <w:r w:rsidR="004A0517">
        <w:rPr>
          <w:rFonts w:ascii="Times New Roman" w:hAnsi="Times New Roman" w:cs="Times New Roman"/>
          <w:sz w:val="24"/>
          <w:szCs w:val="24"/>
        </w:rPr>
        <w:t>tax as an agent</w:t>
      </w:r>
      <w:r w:rsidR="002A5943" w:rsidRPr="000E4599">
        <w:rPr>
          <w:rFonts w:ascii="Times New Roman" w:hAnsi="Times New Roman" w:cs="Times New Roman"/>
          <w:sz w:val="24"/>
          <w:szCs w:val="24"/>
        </w:rPr>
        <w:t xml:space="preserve"> of </w:t>
      </w:r>
      <w:r w:rsidR="004A0517">
        <w:rPr>
          <w:rFonts w:ascii="Times New Roman" w:hAnsi="Times New Roman" w:cs="Times New Roman"/>
          <w:sz w:val="24"/>
          <w:szCs w:val="24"/>
        </w:rPr>
        <w:t>shareholder employees</w:t>
      </w:r>
      <w:r w:rsidR="002A5943" w:rsidRPr="000E4599">
        <w:rPr>
          <w:rFonts w:ascii="Times New Roman" w:hAnsi="Times New Roman" w:cs="Times New Roman"/>
          <w:sz w:val="24"/>
          <w:szCs w:val="24"/>
        </w:rPr>
        <w:t xml:space="preserve"> (option 2), rather than being required to (option 3). They saw option 2 as giving businesses the ability to choose this option if it suited them and they felt comfortable using it, but allowing them to remain with the status quo if it did not. They thought that the mechanism could be simple</w:t>
      </w:r>
      <w:r w:rsidR="002A5943">
        <w:rPr>
          <w:rFonts w:ascii="Times New Roman" w:hAnsi="Times New Roman" w:cs="Times New Roman"/>
          <w:sz w:val="24"/>
          <w:szCs w:val="24"/>
        </w:rPr>
        <w:t>r</w:t>
      </w:r>
      <w:r w:rsidR="002A5943" w:rsidRPr="000E4599">
        <w:rPr>
          <w:rFonts w:ascii="Times New Roman" w:hAnsi="Times New Roman" w:cs="Times New Roman"/>
          <w:sz w:val="24"/>
          <w:szCs w:val="24"/>
        </w:rPr>
        <w:t xml:space="preserve"> than if it was compulsory, because it would not need to cover every possible circumstance. </w:t>
      </w:r>
      <w:proofErr w:type="spellStart"/>
      <w:r w:rsidR="002A5943" w:rsidRPr="000E4599">
        <w:rPr>
          <w:rFonts w:ascii="Times New Roman" w:hAnsi="Times New Roman" w:cs="Times New Roman"/>
          <w:sz w:val="24"/>
          <w:szCs w:val="24"/>
        </w:rPr>
        <w:t>CAANZ</w:t>
      </w:r>
      <w:proofErr w:type="spellEnd"/>
      <w:r w:rsidR="002A5943" w:rsidRPr="000E4599">
        <w:rPr>
          <w:rFonts w:ascii="Times New Roman" w:hAnsi="Times New Roman" w:cs="Times New Roman"/>
          <w:sz w:val="24"/>
          <w:szCs w:val="24"/>
        </w:rPr>
        <w:t xml:space="preserve"> expressed enthusiasm about removing provisional tax </w:t>
      </w:r>
      <w:r w:rsidR="002A5943">
        <w:rPr>
          <w:rFonts w:ascii="Times New Roman" w:hAnsi="Times New Roman" w:cs="Times New Roman"/>
          <w:sz w:val="24"/>
          <w:szCs w:val="24"/>
        </w:rPr>
        <w:t xml:space="preserve">from shareholder salaries </w:t>
      </w:r>
      <w:r w:rsidR="002A5943" w:rsidRPr="000E4599">
        <w:rPr>
          <w:rFonts w:ascii="Times New Roman" w:hAnsi="Times New Roman" w:cs="Times New Roman"/>
          <w:sz w:val="24"/>
          <w:szCs w:val="24"/>
        </w:rPr>
        <w:t>entirely (option 4) but acknowledged that it would give rise to fairness and revenue concerns</w:t>
      </w:r>
      <w:r w:rsidR="002A5943">
        <w:rPr>
          <w:rFonts w:ascii="Times New Roman" w:hAnsi="Times New Roman" w:cs="Times New Roman"/>
          <w:sz w:val="24"/>
          <w:szCs w:val="24"/>
        </w:rPr>
        <w:t xml:space="preserve"> and was not a realistic option</w:t>
      </w:r>
      <w:r w:rsidR="002A5943" w:rsidRPr="000E4599">
        <w:rPr>
          <w:rFonts w:ascii="Times New Roman" w:hAnsi="Times New Roman" w:cs="Times New Roman"/>
          <w:sz w:val="24"/>
          <w:szCs w:val="24"/>
        </w:rPr>
        <w:t>.</w:t>
      </w:r>
    </w:p>
    <w:p w:rsidR="002A5943" w:rsidRPr="000E4599" w:rsidRDefault="002A5943" w:rsidP="002A5943">
      <w:pPr>
        <w:spacing w:after="0" w:line="240" w:lineRule="auto"/>
        <w:jc w:val="both"/>
        <w:rPr>
          <w:rFonts w:ascii="Times New Roman" w:hAnsi="Times New Roman" w:cs="Times New Roman"/>
          <w:sz w:val="24"/>
          <w:szCs w:val="24"/>
        </w:rPr>
      </w:pPr>
    </w:p>
    <w:p w:rsidR="000D155B" w:rsidRDefault="000D155B" w:rsidP="000D155B">
      <w:pPr>
        <w:pStyle w:val="ListParagraph"/>
        <w:spacing w:after="0" w:line="240" w:lineRule="auto"/>
        <w:ind w:left="0"/>
        <w:rPr>
          <w:rFonts w:ascii="Times New Roman" w:hAnsi="Times New Roman" w:cs="Times New Roman"/>
          <w:sz w:val="24"/>
          <w:szCs w:val="24"/>
        </w:rPr>
      </w:pPr>
      <w:r w:rsidRPr="007F245B">
        <w:rPr>
          <w:rFonts w:ascii="Times New Roman" w:hAnsi="Times New Roman" w:cs="Times New Roman"/>
          <w:sz w:val="24"/>
          <w:szCs w:val="24"/>
        </w:rPr>
        <w:t>Officials’ analysis of the options is set out in the table on the next page</w:t>
      </w:r>
      <w:r>
        <w:rPr>
          <w:rFonts w:ascii="Times New Roman" w:hAnsi="Times New Roman" w:cs="Times New Roman"/>
          <w:sz w:val="24"/>
          <w:szCs w:val="24"/>
        </w:rPr>
        <w:t>.</w:t>
      </w:r>
    </w:p>
    <w:p w:rsidR="006E0916" w:rsidRDefault="006E0916" w:rsidP="002C30E2">
      <w:pPr>
        <w:spacing w:after="0" w:line="240" w:lineRule="auto"/>
        <w:rPr>
          <w:rFonts w:ascii="Times New Roman" w:hAnsi="Times New Roman" w:cs="Times New Roman"/>
          <w:sz w:val="24"/>
          <w:szCs w:val="24"/>
        </w:rPr>
      </w:pPr>
    </w:p>
    <w:p w:rsidR="006E0916" w:rsidRPr="00311B0C" w:rsidRDefault="006E0916" w:rsidP="002C30E2">
      <w:pPr>
        <w:spacing w:after="0" w:line="240" w:lineRule="auto"/>
        <w:rPr>
          <w:rFonts w:ascii="Times New Roman" w:hAnsi="Times New Roman" w:cs="Times New Roman"/>
          <w:sz w:val="24"/>
          <w:szCs w:val="24"/>
        </w:rPr>
        <w:sectPr w:rsidR="006E0916" w:rsidRPr="00311B0C">
          <w:pgSz w:w="11906" w:h="16838"/>
          <w:pgMar w:top="1440" w:right="1440" w:bottom="1440" w:left="1440" w:header="708" w:footer="708" w:gutter="0"/>
          <w:cols w:space="708"/>
          <w:docGrid w:linePitch="360"/>
        </w:sectPr>
      </w:pPr>
    </w:p>
    <w:tbl>
      <w:tblPr>
        <w:tblStyle w:val="TableGrid"/>
        <w:tblW w:w="14756" w:type="dxa"/>
        <w:tblLook w:val="04A0" w:firstRow="1" w:lastRow="0" w:firstColumn="1" w:lastColumn="0" w:noHBand="0" w:noVBand="1"/>
      </w:tblPr>
      <w:tblGrid>
        <w:gridCol w:w="1786"/>
        <w:gridCol w:w="2858"/>
        <w:gridCol w:w="2977"/>
        <w:gridCol w:w="3686"/>
        <w:gridCol w:w="3449"/>
      </w:tblGrid>
      <w:tr w:rsidR="00AF66BE" w:rsidRPr="000E4599" w:rsidTr="00906C84">
        <w:trPr>
          <w:tblHeader/>
        </w:trPr>
        <w:tc>
          <w:tcPr>
            <w:tcW w:w="1786" w:type="dxa"/>
          </w:tcPr>
          <w:p w:rsidR="00AF66BE" w:rsidRPr="000E4599" w:rsidRDefault="00AF66BE" w:rsidP="00404174">
            <w:pPr>
              <w:jc w:val="both"/>
              <w:rPr>
                <w:rFonts w:ascii="Times New Roman" w:hAnsi="Times New Roman" w:cs="Times New Roman"/>
                <w:b/>
                <w:sz w:val="24"/>
                <w:szCs w:val="24"/>
              </w:rPr>
            </w:pPr>
            <w:r w:rsidRPr="000E4599">
              <w:rPr>
                <w:rFonts w:ascii="Times New Roman" w:hAnsi="Times New Roman" w:cs="Times New Roman"/>
                <w:b/>
                <w:sz w:val="24"/>
                <w:szCs w:val="24"/>
              </w:rPr>
              <w:t>Options</w:t>
            </w:r>
          </w:p>
        </w:tc>
        <w:tc>
          <w:tcPr>
            <w:tcW w:w="2858" w:type="dxa"/>
          </w:tcPr>
          <w:p w:rsidR="00AF66BE" w:rsidRPr="000E4599" w:rsidRDefault="00AF66BE" w:rsidP="00404174">
            <w:pPr>
              <w:jc w:val="both"/>
              <w:rPr>
                <w:rFonts w:ascii="Times New Roman" w:hAnsi="Times New Roman" w:cs="Times New Roman"/>
                <w:b/>
                <w:sz w:val="24"/>
                <w:szCs w:val="24"/>
              </w:rPr>
            </w:pPr>
            <w:r w:rsidRPr="000E4599">
              <w:rPr>
                <w:rFonts w:ascii="Times New Roman" w:hAnsi="Times New Roman" w:cs="Times New Roman"/>
                <w:b/>
                <w:sz w:val="24"/>
                <w:szCs w:val="24"/>
              </w:rPr>
              <w:t>Fairness and equity</w:t>
            </w:r>
          </w:p>
        </w:tc>
        <w:tc>
          <w:tcPr>
            <w:tcW w:w="2977" w:type="dxa"/>
          </w:tcPr>
          <w:p w:rsidR="00AF66BE" w:rsidRPr="000E4599" w:rsidRDefault="00AF66BE" w:rsidP="00062EA1">
            <w:pPr>
              <w:rPr>
                <w:rFonts w:ascii="Times New Roman" w:hAnsi="Times New Roman" w:cs="Times New Roman"/>
                <w:b/>
                <w:sz w:val="24"/>
                <w:szCs w:val="24"/>
              </w:rPr>
            </w:pPr>
            <w:r w:rsidRPr="000E4599">
              <w:rPr>
                <w:rFonts w:ascii="Times New Roman" w:hAnsi="Times New Roman" w:cs="Times New Roman"/>
                <w:b/>
                <w:sz w:val="24"/>
                <w:szCs w:val="24"/>
              </w:rPr>
              <w:t xml:space="preserve">Efficiency of compliance and administration </w:t>
            </w:r>
          </w:p>
        </w:tc>
        <w:tc>
          <w:tcPr>
            <w:tcW w:w="3686" w:type="dxa"/>
          </w:tcPr>
          <w:p w:rsidR="00AF66BE" w:rsidRPr="000E4599" w:rsidRDefault="00601236" w:rsidP="00404174">
            <w:pPr>
              <w:rPr>
                <w:rFonts w:ascii="Times New Roman" w:hAnsi="Times New Roman" w:cs="Times New Roman"/>
                <w:b/>
                <w:sz w:val="24"/>
                <w:szCs w:val="24"/>
              </w:rPr>
            </w:pPr>
            <w:r>
              <w:rPr>
                <w:rFonts w:ascii="Times New Roman" w:hAnsi="Times New Roman" w:cs="Times New Roman"/>
                <w:b/>
                <w:sz w:val="24"/>
                <w:szCs w:val="24"/>
              </w:rPr>
              <w:t>S</w:t>
            </w:r>
            <w:r w:rsidR="00AF66BE" w:rsidRPr="000E4599">
              <w:rPr>
                <w:rFonts w:ascii="Times New Roman" w:hAnsi="Times New Roman" w:cs="Times New Roman"/>
                <w:b/>
                <w:sz w:val="24"/>
                <w:szCs w:val="24"/>
              </w:rPr>
              <w:t>ustainability of tax system</w:t>
            </w:r>
          </w:p>
        </w:tc>
        <w:tc>
          <w:tcPr>
            <w:tcW w:w="3449" w:type="dxa"/>
          </w:tcPr>
          <w:p w:rsidR="00AF66BE" w:rsidRPr="000E4599" w:rsidRDefault="00AF66BE" w:rsidP="00062EA1">
            <w:pPr>
              <w:jc w:val="both"/>
              <w:rPr>
                <w:rFonts w:ascii="Times New Roman" w:hAnsi="Times New Roman" w:cs="Times New Roman"/>
                <w:b/>
                <w:sz w:val="24"/>
                <w:szCs w:val="24"/>
              </w:rPr>
            </w:pPr>
            <w:r w:rsidRPr="000E4599">
              <w:rPr>
                <w:rFonts w:ascii="Times New Roman" w:hAnsi="Times New Roman" w:cs="Times New Roman"/>
                <w:b/>
                <w:sz w:val="24"/>
                <w:szCs w:val="24"/>
              </w:rPr>
              <w:t xml:space="preserve">Revenue </w:t>
            </w:r>
          </w:p>
        </w:tc>
      </w:tr>
      <w:tr w:rsidR="00AF66BE" w:rsidRPr="000E4599" w:rsidTr="00B73D53">
        <w:tc>
          <w:tcPr>
            <w:tcW w:w="1786" w:type="dxa"/>
          </w:tcPr>
          <w:p w:rsidR="00AF66BE" w:rsidRPr="00601236" w:rsidRDefault="00601236" w:rsidP="00D94BDF">
            <w:pPr>
              <w:jc w:val="both"/>
              <w:rPr>
                <w:rFonts w:ascii="Times New Roman" w:hAnsi="Times New Roman" w:cs="Times New Roman"/>
                <w:sz w:val="24"/>
                <w:szCs w:val="24"/>
              </w:rPr>
            </w:pPr>
            <w:r>
              <w:rPr>
                <w:rFonts w:ascii="Times New Roman" w:hAnsi="Times New Roman" w:cs="Times New Roman"/>
                <w:sz w:val="24"/>
                <w:szCs w:val="24"/>
              </w:rPr>
              <w:t xml:space="preserve">1. </w:t>
            </w:r>
            <w:r w:rsidR="00AF66BE" w:rsidRPr="00601236">
              <w:rPr>
                <w:rFonts w:ascii="Times New Roman" w:hAnsi="Times New Roman" w:cs="Times New Roman"/>
                <w:sz w:val="24"/>
                <w:szCs w:val="24"/>
              </w:rPr>
              <w:t>Status quo</w:t>
            </w:r>
          </w:p>
        </w:tc>
        <w:tc>
          <w:tcPr>
            <w:tcW w:w="2858" w:type="dxa"/>
          </w:tcPr>
          <w:p w:rsidR="00874D8C" w:rsidRDefault="00AF66BE" w:rsidP="00874D8C">
            <w:pPr>
              <w:rPr>
                <w:rFonts w:ascii="Times New Roman" w:hAnsi="Times New Roman" w:cs="Times New Roman"/>
                <w:sz w:val="24"/>
                <w:szCs w:val="24"/>
              </w:rPr>
            </w:pPr>
            <w:r w:rsidRPr="000E4599">
              <w:rPr>
                <w:rFonts w:ascii="Times New Roman" w:hAnsi="Times New Roman" w:cs="Times New Roman"/>
                <w:sz w:val="24"/>
                <w:szCs w:val="24"/>
              </w:rPr>
              <w:t>Met</w:t>
            </w:r>
          </w:p>
          <w:p w:rsidR="00874D8C" w:rsidRDefault="00874D8C" w:rsidP="00874D8C">
            <w:pPr>
              <w:rPr>
                <w:rFonts w:ascii="Times New Roman" w:hAnsi="Times New Roman" w:cs="Times New Roman"/>
                <w:sz w:val="24"/>
                <w:szCs w:val="24"/>
              </w:rPr>
            </w:pPr>
          </w:p>
          <w:p w:rsidR="00AF66BE" w:rsidRPr="000E4599" w:rsidRDefault="002A5943" w:rsidP="00874D8C">
            <w:pPr>
              <w:rPr>
                <w:rFonts w:ascii="Times New Roman" w:hAnsi="Times New Roman" w:cs="Times New Roman"/>
                <w:sz w:val="24"/>
                <w:szCs w:val="24"/>
              </w:rPr>
            </w:pPr>
            <w:r>
              <w:rPr>
                <w:rFonts w:ascii="Times New Roman" w:hAnsi="Times New Roman" w:cs="Times New Roman"/>
                <w:sz w:val="24"/>
                <w:szCs w:val="24"/>
              </w:rPr>
              <w:t>Shareholder-employees</w:t>
            </w:r>
            <w:r w:rsidRPr="000E4599">
              <w:rPr>
                <w:rFonts w:ascii="Times New Roman" w:hAnsi="Times New Roman" w:cs="Times New Roman"/>
                <w:sz w:val="24"/>
                <w:szCs w:val="24"/>
              </w:rPr>
              <w:t xml:space="preserve"> who receive </w:t>
            </w:r>
            <w:r>
              <w:rPr>
                <w:rFonts w:ascii="Times New Roman" w:hAnsi="Times New Roman" w:cs="Times New Roman"/>
                <w:sz w:val="24"/>
                <w:szCs w:val="24"/>
              </w:rPr>
              <w:t>salaries</w:t>
            </w:r>
            <w:r w:rsidRPr="000E4599">
              <w:rPr>
                <w:rFonts w:ascii="Times New Roman" w:hAnsi="Times New Roman" w:cs="Times New Roman"/>
                <w:sz w:val="24"/>
                <w:szCs w:val="24"/>
              </w:rPr>
              <w:t xml:space="preserve"> from </w:t>
            </w:r>
            <w:r>
              <w:rPr>
                <w:rFonts w:ascii="Times New Roman" w:hAnsi="Times New Roman" w:cs="Times New Roman"/>
                <w:sz w:val="24"/>
                <w:szCs w:val="24"/>
              </w:rPr>
              <w:t>companies,</w:t>
            </w:r>
            <w:r w:rsidRPr="000E4599">
              <w:rPr>
                <w:rFonts w:ascii="Times New Roman" w:hAnsi="Times New Roman" w:cs="Times New Roman"/>
                <w:sz w:val="24"/>
                <w:szCs w:val="24"/>
              </w:rPr>
              <w:t xml:space="preserve"> and which is not taxed at source</w:t>
            </w:r>
            <w:r>
              <w:rPr>
                <w:rFonts w:ascii="Times New Roman" w:hAnsi="Times New Roman" w:cs="Times New Roman"/>
                <w:sz w:val="24"/>
                <w:szCs w:val="24"/>
              </w:rPr>
              <w:t>,</w:t>
            </w:r>
            <w:r w:rsidRPr="000E4599">
              <w:rPr>
                <w:rFonts w:ascii="Times New Roman" w:hAnsi="Times New Roman" w:cs="Times New Roman"/>
                <w:sz w:val="24"/>
                <w:szCs w:val="24"/>
              </w:rPr>
              <w:t xml:space="preserve"> are liable to pay provisional tax, just as individuals who receive other income not taxed at source are</w:t>
            </w:r>
          </w:p>
        </w:tc>
        <w:tc>
          <w:tcPr>
            <w:tcW w:w="2977" w:type="dxa"/>
          </w:tcPr>
          <w:p w:rsidR="00874D8C" w:rsidRDefault="00AF66BE" w:rsidP="00874D8C">
            <w:pPr>
              <w:rPr>
                <w:rFonts w:ascii="Times New Roman" w:hAnsi="Times New Roman" w:cs="Times New Roman"/>
                <w:sz w:val="24"/>
                <w:szCs w:val="24"/>
              </w:rPr>
            </w:pPr>
            <w:r w:rsidRPr="000E4599">
              <w:rPr>
                <w:rFonts w:ascii="Times New Roman" w:hAnsi="Times New Roman" w:cs="Times New Roman"/>
                <w:sz w:val="24"/>
                <w:szCs w:val="24"/>
              </w:rPr>
              <w:t>Not met</w:t>
            </w:r>
          </w:p>
          <w:p w:rsidR="00874D8C" w:rsidRDefault="00874D8C" w:rsidP="00874D8C">
            <w:pPr>
              <w:rPr>
                <w:rFonts w:ascii="Times New Roman" w:hAnsi="Times New Roman" w:cs="Times New Roman"/>
                <w:sz w:val="24"/>
                <w:szCs w:val="24"/>
              </w:rPr>
            </w:pPr>
          </w:p>
          <w:p w:rsidR="00AF66BE" w:rsidRPr="000E4599" w:rsidRDefault="00AF66BE" w:rsidP="00874D8C">
            <w:pPr>
              <w:rPr>
                <w:rFonts w:ascii="Times New Roman" w:hAnsi="Times New Roman" w:cs="Times New Roman"/>
                <w:sz w:val="24"/>
                <w:szCs w:val="24"/>
              </w:rPr>
            </w:pPr>
            <w:r w:rsidRPr="000E4599">
              <w:rPr>
                <w:rFonts w:ascii="Times New Roman" w:hAnsi="Times New Roman" w:cs="Times New Roman"/>
                <w:sz w:val="24"/>
                <w:szCs w:val="24"/>
              </w:rPr>
              <w:t>The current system has compliance costs which are of significant concern to business and government</w:t>
            </w:r>
            <w:r w:rsidR="00990763">
              <w:rPr>
                <w:rFonts w:ascii="Times New Roman" w:hAnsi="Times New Roman" w:cs="Times New Roman"/>
                <w:sz w:val="24"/>
                <w:szCs w:val="24"/>
              </w:rPr>
              <w:t>.</w:t>
            </w:r>
          </w:p>
        </w:tc>
        <w:tc>
          <w:tcPr>
            <w:tcW w:w="3686" w:type="dxa"/>
          </w:tcPr>
          <w:p w:rsidR="00874D8C" w:rsidRDefault="00AF66BE" w:rsidP="00874D8C">
            <w:pPr>
              <w:rPr>
                <w:rFonts w:ascii="Times New Roman" w:hAnsi="Times New Roman" w:cs="Times New Roman"/>
                <w:sz w:val="24"/>
                <w:szCs w:val="24"/>
              </w:rPr>
            </w:pPr>
            <w:r w:rsidRPr="000E4599">
              <w:rPr>
                <w:rFonts w:ascii="Times New Roman" w:hAnsi="Times New Roman" w:cs="Times New Roman"/>
                <w:sz w:val="24"/>
                <w:szCs w:val="24"/>
              </w:rPr>
              <w:t>Part</w:t>
            </w:r>
            <w:r w:rsidR="00253C81">
              <w:rPr>
                <w:rFonts w:ascii="Times New Roman" w:hAnsi="Times New Roman" w:cs="Times New Roman"/>
                <w:sz w:val="24"/>
                <w:szCs w:val="24"/>
              </w:rPr>
              <w:t>ial</w:t>
            </w:r>
            <w:r w:rsidRPr="000E4599">
              <w:rPr>
                <w:rFonts w:ascii="Times New Roman" w:hAnsi="Times New Roman" w:cs="Times New Roman"/>
                <w:sz w:val="24"/>
                <w:szCs w:val="24"/>
              </w:rPr>
              <w:t>ly met</w:t>
            </w:r>
          </w:p>
          <w:p w:rsidR="00874D8C" w:rsidRDefault="00874D8C" w:rsidP="00874D8C">
            <w:pPr>
              <w:rPr>
                <w:rFonts w:ascii="Times New Roman" w:hAnsi="Times New Roman" w:cs="Times New Roman"/>
                <w:sz w:val="24"/>
                <w:szCs w:val="24"/>
              </w:rPr>
            </w:pPr>
          </w:p>
          <w:p w:rsidR="00AF66BE" w:rsidRPr="000E4599" w:rsidRDefault="00AF66BE" w:rsidP="00874D8C">
            <w:pPr>
              <w:rPr>
                <w:rFonts w:ascii="Times New Roman" w:hAnsi="Times New Roman" w:cs="Times New Roman"/>
                <w:sz w:val="24"/>
                <w:szCs w:val="24"/>
              </w:rPr>
            </w:pPr>
            <w:r w:rsidRPr="000E4599">
              <w:rPr>
                <w:rFonts w:ascii="Times New Roman" w:hAnsi="Times New Roman" w:cs="Times New Roman"/>
                <w:sz w:val="24"/>
                <w:szCs w:val="24"/>
              </w:rPr>
              <w:t>Th</w:t>
            </w:r>
            <w:r w:rsidR="00601236">
              <w:rPr>
                <w:rFonts w:ascii="Times New Roman" w:hAnsi="Times New Roman" w:cs="Times New Roman"/>
                <w:sz w:val="24"/>
                <w:szCs w:val="24"/>
              </w:rPr>
              <w:t>e</w:t>
            </w:r>
            <w:r w:rsidRPr="000E4599">
              <w:rPr>
                <w:rFonts w:ascii="Times New Roman" w:hAnsi="Times New Roman" w:cs="Times New Roman"/>
                <w:sz w:val="24"/>
                <w:szCs w:val="24"/>
              </w:rPr>
              <w:t xml:space="preserve"> fairness of the status quo approach supports sustainability, but the degree of concern around the compliance costs of provisional tax does not support sustainability.</w:t>
            </w:r>
          </w:p>
        </w:tc>
        <w:tc>
          <w:tcPr>
            <w:tcW w:w="3449" w:type="dxa"/>
          </w:tcPr>
          <w:p w:rsidR="00AF66BE" w:rsidRPr="000E4599" w:rsidRDefault="000C74B4" w:rsidP="00874D8C">
            <w:pPr>
              <w:rPr>
                <w:rFonts w:ascii="Times New Roman" w:hAnsi="Times New Roman" w:cs="Times New Roman"/>
                <w:sz w:val="24"/>
                <w:szCs w:val="24"/>
              </w:rPr>
            </w:pPr>
            <w:r>
              <w:rPr>
                <w:rFonts w:ascii="Times New Roman" w:hAnsi="Times New Roman" w:cs="Times New Roman"/>
                <w:sz w:val="24"/>
                <w:szCs w:val="24"/>
              </w:rPr>
              <w:t>No impact</w:t>
            </w:r>
          </w:p>
        </w:tc>
      </w:tr>
      <w:tr w:rsidR="002A5943" w:rsidRPr="000E4599" w:rsidTr="00B73D53">
        <w:tc>
          <w:tcPr>
            <w:tcW w:w="1786" w:type="dxa"/>
          </w:tcPr>
          <w:p w:rsidR="002A5943" w:rsidRPr="00D94BDF" w:rsidRDefault="002A5943" w:rsidP="002A5943">
            <w:pPr>
              <w:rPr>
                <w:rFonts w:ascii="Times New Roman" w:hAnsi="Times New Roman" w:cs="Times New Roman"/>
                <w:sz w:val="24"/>
                <w:szCs w:val="24"/>
              </w:rPr>
            </w:pPr>
            <w:r>
              <w:rPr>
                <w:rFonts w:ascii="Times New Roman" w:hAnsi="Times New Roman" w:cs="Times New Roman"/>
                <w:sz w:val="24"/>
                <w:szCs w:val="24"/>
              </w:rPr>
              <w:t xml:space="preserve">2. </w:t>
            </w:r>
            <w:r w:rsidRPr="00D94BDF">
              <w:rPr>
                <w:rFonts w:ascii="Times New Roman" w:hAnsi="Times New Roman" w:cs="Times New Roman"/>
                <w:sz w:val="24"/>
                <w:szCs w:val="24"/>
              </w:rPr>
              <w:t xml:space="preserve">Allow </w:t>
            </w:r>
            <w:r>
              <w:rPr>
                <w:rFonts w:ascii="Times New Roman" w:hAnsi="Times New Roman" w:cs="Times New Roman"/>
                <w:sz w:val="24"/>
                <w:szCs w:val="24"/>
              </w:rPr>
              <w:t>companies</w:t>
            </w:r>
            <w:r w:rsidRPr="00D94BDF">
              <w:rPr>
                <w:rFonts w:ascii="Times New Roman" w:hAnsi="Times New Roman" w:cs="Times New Roman"/>
                <w:sz w:val="24"/>
                <w:szCs w:val="24"/>
              </w:rPr>
              <w:t xml:space="preserve"> to pay tax as agent for </w:t>
            </w:r>
            <w:r>
              <w:rPr>
                <w:rFonts w:ascii="Times New Roman" w:hAnsi="Times New Roman" w:cs="Times New Roman"/>
                <w:sz w:val="24"/>
                <w:szCs w:val="24"/>
              </w:rPr>
              <w:t>shareholder-employees</w:t>
            </w:r>
            <w:r w:rsidRPr="00D94BDF">
              <w:rPr>
                <w:rFonts w:ascii="Times New Roman" w:hAnsi="Times New Roman" w:cs="Times New Roman"/>
                <w:sz w:val="24"/>
                <w:szCs w:val="24"/>
              </w:rPr>
              <w:t>.</w:t>
            </w:r>
          </w:p>
        </w:tc>
        <w:tc>
          <w:tcPr>
            <w:tcW w:w="2858" w:type="dxa"/>
          </w:tcPr>
          <w:p w:rsidR="002A5943" w:rsidRDefault="002A5943" w:rsidP="002A5943">
            <w:pPr>
              <w:rPr>
                <w:rFonts w:ascii="Times New Roman" w:hAnsi="Times New Roman" w:cs="Times New Roman"/>
                <w:sz w:val="24"/>
                <w:szCs w:val="24"/>
              </w:rPr>
            </w:pPr>
            <w:r w:rsidRPr="000E4599">
              <w:rPr>
                <w:rFonts w:ascii="Times New Roman" w:hAnsi="Times New Roman" w:cs="Times New Roman"/>
                <w:sz w:val="24"/>
                <w:szCs w:val="24"/>
              </w:rPr>
              <w:t>Met</w:t>
            </w:r>
          </w:p>
          <w:p w:rsidR="002A5943" w:rsidRDefault="002A5943" w:rsidP="002A5943">
            <w:pPr>
              <w:rPr>
                <w:rFonts w:ascii="Times New Roman" w:hAnsi="Times New Roman" w:cs="Times New Roman"/>
                <w:sz w:val="24"/>
                <w:szCs w:val="24"/>
              </w:rPr>
            </w:pPr>
          </w:p>
          <w:p w:rsidR="002A5943" w:rsidRPr="000E4599" w:rsidRDefault="002A5943" w:rsidP="002A5943">
            <w:pPr>
              <w:rPr>
                <w:rFonts w:ascii="Times New Roman" w:hAnsi="Times New Roman" w:cs="Times New Roman"/>
                <w:sz w:val="24"/>
                <w:szCs w:val="24"/>
              </w:rPr>
            </w:pPr>
            <w:r>
              <w:rPr>
                <w:rFonts w:ascii="Times New Roman" w:hAnsi="Times New Roman" w:cs="Times New Roman"/>
                <w:sz w:val="24"/>
                <w:szCs w:val="24"/>
              </w:rPr>
              <w:t xml:space="preserve">Fairness will be maintained </w:t>
            </w:r>
            <w:r w:rsidRPr="000E4599">
              <w:rPr>
                <w:rFonts w:ascii="Times New Roman" w:hAnsi="Times New Roman" w:cs="Times New Roman"/>
                <w:sz w:val="24"/>
                <w:szCs w:val="24"/>
              </w:rPr>
              <w:t>provided these rules are implemented in such a way that tax paid on behalf of related parties is paid at the time that those related parties would have paid it themselves if these rules had not applied.</w:t>
            </w:r>
          </w:p>
        </w:tc>
        <w:tc>
          <w:tcPr>
            <w:tcW w:w="2977" w:type="dxa"/>
          </w:tcPr>
          <w:p w:rsidR="002A5943" w:rsidRDefault="002A5943" w:rsidP="002A5943">
            <w:pPr>
              <w:rPr>
                <w:rFonts w:ascii="Times New Roman" w:hAnsi="Times New Roman" w:cs="Times New Roman"/>
                <w:sz w:val="24"/>
                <w:szCs w:val="24"/>
              </w:rPr>
            </w:pPr>
            <w:r w:rsidRPr="000E4599">
              <w:rPr>
                <w:rFonts w:ascii="Times New Roman" w:hAnsi="Times New Roman" w:cs="Times New Roman"/>
                <w:sz w:val="24"/>
                <w:szCs w:val="24"/>
              </w:rPr>
              <w:t>Part</w:t>
            </w:r>
            <w:r>
              <w:rPr>
                <w:rFonts w:ascii="Times New Roman" w:hAnsi="Times New Roman" w:cs="Times New Roman"/>
                <w:sz w:val="24"/>
                <w:szCs w:val="24"/>
              </w:rPr>
              <w:t>ial</w:t>
            </w:r>
            <w:r w:rsidRPr="000E4599">
              <w:rPr>
                <w:rFonts w:ascii="Times New Roman" w:hAnsi="Times New Roman" w:cs="Times New Roman"/>
                <w:sz w:val="24"/>
                <w:szCs w:val="24"/>
              </w:rPr>
              <w:t>ly met</w:t>
            </w:r>
          </w:p>
          <w:p w:rsidR="002A5943" w:rsidRDefault="002A5943" w:rsidP="002A5943">
            <w:pPr>
              <w:rPr>
                <w:rFonts w:ascii="Times New Roman" w:hAnsi="Times New Roman" w:cs="Times New Roman"/>
                <w:sz w:val="24"/>
                <w:szCs w:val="24"/>
              </w:rPr>
            </w:pPr>
          </w:p>
          <w:p w:rsidR="002A5943" w:rsidRPr="000E4599" w:rsidRDefault="002A5943" w:rsidP="002A5943">
            <w:pPr>
              <w:rPr>
                <w:rFonts w:ascii="Times New Roman" w:hAnsi="Times New Roman" w:cs="Times New Roman"/>
                <w:sz w:val="24"/>
                <w:szCs w:val="24"/>
              </w:rPr>
            </w:pPr>
            <w:r>
              <w:rPr>
                <w:rFonts w:ascii="Times New Roman" w:hAnsi="Times New Roman" w:cs="Times New Roman"/>
                <w:sz w:val="24"/>
                <w:szCs w:val="24"/>
              </w:rPr>
              <w:t>This option</w:t>
            </w:r>
            <w:r w:rsidRPr="000E4599">
              <w:rPr>
                <w:rFonts w:ascii="Times New Roman" w:hAnsi="Times New Roman" w:cs="Times New Roman"/>
                <w:sz w:val="24"/>
                <w:szCs w:val="24"/>
              </w:rPr>
              <w:t xml:space="preserve"> allow</w:t>
            </w:r>
            <w:r>
              <w:rPr>
                <w:rFonts w:ascii="Times New Roman" w:hAnsi="Times New Roman" w:cs="Times New Roman"/>
                <w:sz w:val="24"/>
                <w:szCs w:val="24"/>
              </w:rPr>
              <w:t>s</w:t>
            </w:r>
            <w:r w:rsidRPr="000E4599">
              <w:rPr>
                <w:rFonts w:ascii="Times New Roman" w:hAnsi="Times New Roman" w:cs="Times New Roman"/>
                <w:sz w:val="24"/>
                <w:szCs w:val="24"/>
              </w:rPr>
              <w:t xml:space="preserve"> </w:t>
            </w:r>
            <w:r>
              <w:rPr>
                <w:rFonts w:ascii="Times New Roman" w:hAnsi="Times New Roman" w:cs="Times New Roman"/>
                <w:sz w:val="24"/>
                <w:szCs w:val="24"/>
              </w:rPr>
              <w:t>shareholder-employees</w:t>
            </w:r>
            <w:r w:rsidRPr="000E4599">
              <w:rPr>
                <w:rFonts w:ascii="Times New Roman" w:hAnsi="Times New Roman" w:cs="Times New Roman"/>
                <w:sz w:val="24"/>
                <w:szCs w:val="24"/>
              </w:rPr>
              <w:t xml:space="preserve"> to be entirely removed from provisional tax. However, calculations of their underlying tax liability are still required, to enable the correct amount of tax to be paid on their behalf. </w:t>
            </w:r>
          </w:p>
          <w:p w:rsidR="002A5943" w:rsidRPr="000E4599" w:rsidRDefault="002A5943" w:rsidP="002A5943">
            <w:pPr>
              <w:rPr>
                <w:rFonts w:ascii="Times New Roman" w:hAnsi="Times New Roman" w:cs="Times New Roman"/>
                <w:sz w:val="24"/>
                <w:szCs w:val="24"/>
              </w:rPr>
            </w:pPr>
            <w:r w:rsidRPr="000E4599">
              <w:rPr>
                <w:rFonts w:ascii="Times New Roman" w:hAnsi="Times New Roman" w:cs="Times New Roman"/>
                <w:sz w:val="24"/>
                <w:szCs w:val="24"/>
              </w:rPr>
              <w:t xml:space="preserve">Some </w:t>
            </w:r>
            <w:r>
              <w:rPr>
                <w:rFonts w:ascii="Times New Roman" w:hAnsi="Times New Roman" w:cs="Times New Roman"/>
                <w:sz w:val="24"/>
                <w:szCs w:val="24"/>
              </w:rPr>
              <w:t xml:space="preserve">companies </w:t>
            </w:r>
            <w:r w:rsidRPr="000E4599">
              <w:rPr>
                <w:rFonts w:ascii="Times New Roman" w:hAnsi="Times New Roman" w:cs="Times New Roman"/>
                <w:sz w:val="24"/>
                <w:szCs w:val="24"/>
              </w:rPr>
              <w:t>will also incur compliance costs in determining whether to opt into these rules or not.</w:t>
            </w:r>
          </w:p>
        </w:tc>
        <w:tc>
          <w:tcPr>
            <w:tcW w:w="3686" w:type="dxa"/>
          </w:tcPr>
          <w:p w:rsidR="002A5943" w:rsidRDefault="002A5943" w:rsidP="002A5943">
            <w:pPr>
              <w:rPr>
                <w:rFonts w:ascii="Times New Roman" w:hAnsi="Times New Roman" w:cs="Times New Roman"/>
                <w:sz w:val="24"/>
                <w:szCs w:val="24"/>
              </w:rPr>
            </w:pPr>
            <w:r w:rsidRPr="000E4599">
              <w:rPr>
                <w:rFonts w:ascii="Times New Roman" w:hAnsi="Times New Roman" w:cs="Times New Roman"/>
                <w:sz w:val="24"/>
                <w:szCs w:val="24"/>
              </w:rPr>
              <w:t>Met</w:t>
            </w:r>
          </w:p>
          <w:p w:rsidR="002A5943" w:rsidRDefault="002A5943" w:rsidP="002A5943">
            <w:pPr>
              <w:rPr>
                <w:rFonts w:ascii="Times New Roman" w:hAnsi="Times New Roman" w:cs="Times New Roman"/>
                <w:sz w:val="24"/>
                <w:szCs w:val="24"/>
              </w:rPr>
            </w:pPr>
          </w:p>
          <w:p w:rsidR="002A5943" w:rsidRPr="000E4599" w:rsidRDefault="002A5943" w:rsidP="002A5943">
            <w:pPr>
              <w:rPr>
                <w:rFonts w:ascii="Times New Roman" w:hAnsi="Times New Roman" w:cs="Times New Roman"/>
                <w:sz w:val="24"/>
                <w:szCs w:val="24"/>
              </w:rPr>
            </w:pPr>
            <w:r w:rsidRPr="000E4599">
              <w:rPr>
                <w:rFonts w:ascii="Times New Roman" w:hAnsi="Times New Roman" w:cs="Times New Roman"/>
                <w:sz w:val="24"/>
                <w:szCs w:val="24"/>
              </w:rPr>
              <w:t xml:space="preserve">This </w:t>
            </w:r>
            <w:r>
              <w:rPr>
                <w:rFonts w:ascii="Times New Roman" w:hAnsi="Times New Roman" w:cs="Times New Roman"/>
                <w:sz w:val="24"/>
                <w:szCs w:val="24"/>
              </w:rPr>
              <w:t>option</w:t>
            </w:r>
            <w:r w:rsidRPr="000E4599">
              <w:rPr>
                <w:rFonts w:ascii="Times New Roman" w:hAnsi="Times New Roman" w:cs="Times New Roman"/>
                <w:sz w:val="24"/>
                <w:szCs w:val="24"/>
              </w:rPr>
              <w:t xml:space="preserve"> is both fair and reduces the compliance cost impact of provisional tax.</w:t>
            </w:r>
          </w:p>
          <w:p w:rsidR="002A5943" w:rsidRPr="000E4599" w:rsidRDefault="002A5943" w:rsidP="002A5943">
            <w:pPr>
              <w:rPr>
                <w:rFonts w:ascii="Times New Roman" w:hAnsi="Times New Roman" w:cs="Times New Roman"/>
                <w:sz w:val="24"/>
                <w:szCs w:val="24"/>
              </w:rPr>
            </w:pPr>
          </w:p>
          <w:p w:rsidR="002A5943" w:rsidRPr="000E4599" w:rsidRDefault="002A5943" w:rsidP="002A5943">
            <w:pPr>
              <w:rPr>
                <w:rFonts w:ascii="Times New Roman" w:hAnsi="Times New Roman" w:cs="Times New Roman"/>
                <w:sz w:val="24"/>
                <w:szCs w:val="24"/>
              </w:rPr>
            </w:pPr>
            <w:r w:rsidRPr="000E4599">
              <w:rPr>
                <w:rFonts w:ascii="Times New Roman" w:hAnsi="Times New Roman" w:cs="Times New Roman"/>
                <w:sz w:val="24"/>
                <w:szCs w:val="24"/>
              </w:rPr>
              <w:t xml:space="preserve">The </w:t>
            </w:r>
            <w:r>
              <w:rPr>
                <w:rFonts w:ascii="Times New Roman" w:hAnsi="Times New Roman" w:cs="Times New Roman"/>
                <w:sz w:val="24"/>
                <w:szCs w:val="24"/>
              </w:rPr>
              <w:t>non-compulsory</w:t>
            </w:r>
            <w:r w:rsidRPr="000E4599">
              <w:rPr>
                <w:rFonts w:ascii="Times New Roman" w:hAnsi="Times New Roman" w:cs="Times New Roman"/>
                <w:sz w:val="24"/>
                <w:szCs w:val="24"/>
              </w:rPr>
              <w:t xml:space="preserve"> nature means </w:t>
            </w:r>
            <w:r>
              <w:rPr>
                <w:rFonts w:ascii="Times New Roman" w:hAnsi="Times New Roman" w:cs="Times New Roman"/>
                <w:sz w:val="24"/>
                <w:szCs w:val="24"/>
              </w:rPr>
              <w:t>it is</w:t>
            </w:r>
            <w:r w:rsidRPr="000E4599">
              <w:rPr>
                <w:rFonts w:ascii="Times New Roman" w:hAnsi="Times New Roman" w:cs="Times New Roman"/>
                <w:sz w:val="24"/>
                <w:szCs w:val="24"/>
              </w:rPr>
              <w:t xml:space="preserve"> unlikely to be opposed by business.</w:t>
            </w:r>
          </w:p>
        </w:tc>
        <w:tc>
          <w:tcPr>
            <w:tcW w:w="3449" w:type="dxa"/>
          </w:tcPr>
          <w:p w:rsidR="002A5943" w:rsidRDefault="000C74B4" w:rsidP="002A5943">
            <w:pPr>
              <w:rPr>
                <w:rFonts w:ascii="Times New Roman" w:hAnsi="Times New Roman" w:cs="Times New Roman"/>
                <w:sz w:val="24"/>
                <w:szCs w:val="24"/>
              </w:rPr>
            </w:pPr>
            <w:r>
              <w:rPr>
                <w:rFonts w:ascii="Times New Roman" w:hAnsi="Times New Roman" w:cs="Times New Roman"/>
                <w:sz w:val="24"/>
                <w:szCs w:val="24"/>
              </w:rPr>
              <w:t>No impact</w:t>
            </w:r>
          </w:p>
          <w:p w:rsidR="002A5943" w:rsidRDefault="002A5943" w:rsidP="002A5943">
            <w:pPr>
              <w:rPr>
                <w:rFonts w:ascii="Times New Roman" w:hAnsi="Times New Roman" w:cs="Times New Roman"/>
                <w:sz w:val="24"/>
                <w:szCs w:val="24"/>
              </w:rPr>
            </w:pPr>
          </w:p>
          <w:p w:rsidR="002A5943" w:rsidRPr="000E4599" w:rsidRDefault="002A5943" w:rsidP="002A5943">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w:t>
            </w:r>
            <w:r w:rsidRPr="000E4599">
              <w:rPr>
                <w:rFonts w:ascii="Times New Roman" w:hAnsi="Times New Roman" w:cs="Times New Roman"/>
                <w:sz w:val="24"/>
                <w:szCs w:val="24"/>
              </w:rPr>
              <w:t>rovided</w:t>
            </w:r>
            <w:proofErr w:type="gramEnd"/>
            <w:r w:rsidRPr="000E4599">
              <w:rPr>
                <w:rFonts w:ascii="Times New Roman" w:hAnsi="Times New Roman" w:cs="Times New Roman"/>
                <w:sz w:val="24"/>
                <w:szCs w:val="24"/>
              </w:rPr>
              <w:t xml:space="preserve"> </w:t>
            </w:r>
            <w:r>
              <w:rPr>
                <w:rFonts w:ascii="Times New Roman" w:hAnsi="Times New Roman" w:cs="Times New Roman"/>
                <w:sz w:val="24"/>
                <w:szCs w:val="24"/>
              </w:rPr>
              <w:t>this option is</w:t>
            </w:r>
            <w:r w:rsidRPr="000E4599">
              <w:rPr>
                <w:rFonts w:ascii="Times New Roman" w:hAnsi="Times New Roman" w:cs="Times New Roman"/>
                <w:sz w:val="24"/>
                <w:szCs w:val="24"/>
              </w:rPr>
              <w:t xml:space="preserve"> implemented in a way which ensures that no revenue leakage occurs.</w:t>
            </w:r>
            <w:r>
              <w:rPr>
                <w:rFonts w:ascii="Times New Roman" w:hAnsi="Times New Roman" w:cs="Times New Roman"/>
                <w:sz w:val="24"/>
                <w:szCs w:val="24"/>
              </w:rPr>
              <w:t>)</w:t>
            </w:r>
            <w:r w:rsidRPr="000E4599">
              <w:rPr>
                <w:rFonts w:ascii="Times New Roman" w:hAnsi="Times New Roman" w:cs="Times New Roman"/>
                <w:sz w:val="24"/>
                <w:szCs w:val="24"/>
              </w:rPr>
              <w:t xml:space="preserve"> Monitoring is likely to be required in initial years.</w:t>
            </w:r>
          </w:p>
        </w:tc>
      </w:tr>
      <w:tr w:rsidR="00AF66BE" w:rsidRPr="000E4599" w:rsidTr="00906C84">
        <w:trPr>
          <w:cantSplit/>
        </w:trPr>
        <w:tc>
          <w:tcPr>
            <w:tcW w:w="1786" w:type="dxa"/>
          </w:tcPr>
          <w:p w:rsidR="00AF66BE" w:rsidRPr="00D94BDF" w:rsidRDefault="002A5943" w:rsidP="00D94BDF">
            <w:pPr>
              <w:pStyle w:val="ListParagraph"/>
              <w:numPr>
                <w:ilvl w:val="0"/>
                <w:numId w:val="45"/>
              </w:numPr>
              <w:ind w:left="0" w:firstLine="0"/>
              <w:rPr>
                <w:rFonts w:ascii="Times New Roman" w:hAnsi="Times New Roman" w:cs="Times New Roman"/>
                <w:sz w:val="24"/>
                <w:szCs w:val="24"/>
              </w:rPr>
            </w:pPr>
            <w:r w:rsidRPr="00D94BDF">
              <w:rPr>
                <w:rFonts w:ascii="Times New Roman" w:hAnsi="Times New Roman" w:cs="Times New Roman"/>
                <w:sz w:val="24"/>
                <w:szCs w:val="24"/>
              </w:rPr>
              <w:t xml:space="preserve">Require </w:t>
            </w:r>
            <w:r>
              <w:rPr>
                <w:rFonts w:ascii="Times New Roman" w:hAnsi="Times New Roman" w:cs="Times New Roman"/>
                <w:sz w:val="24"/>
                <w:szCs w:val="24"/>
              </w:rPr>
              <w:t>companies</w:t>
            </w:r>
            <w:r w:rsidRPr="00D94BDF">
              <w:rPr>
                <w:rFonts w:ascii="Times New Roman" w:hAnsi="Times New Roman" w:cs="Times New Roman"/>
                <w:sz w:val="24"/>
                <w:szCs w:val="24"/>
              </w:rPr>
              <w:t xml:space="preserve"> to pay tax as agent for </w:t>
            </w:r>
            <w:r>
              <w:rPr>
                <w:rFonts w:ascii="Times New Roman" w:hAnsi="Times New Roman" w:cs="Times New Roman"/>
                <w:sz w:val="24"/>
                <w:szCs w:val="24"/>
              </w:rPr>
              <w:t>shareholder-employees</w:t>
            </w:r>
            <w:r w:rsidRPr="00D94BDF">
              <w:rPr>
                <w:rFonts w:ascii="Times New Roman" w:hAnsi="Times New Roman" w:cs="Times New Roman"/>
                <w:sz w:val="24"/>
                <w:szCs w:val="24"/>
              </w:rPr>
              <w:t>.</w:t>
            </w:r>
          </w:p>
        </w:tc>
        <w:tc>
          <w:tcPr>
            <w:tcW w:w="2858" w:type="dxa"/>
          </w:tcPr>
          <w:p w:rsidR="00874D8C" w:rsidRDefault="00AF66BE" w:rsidP="00404174">
            <w:pPr>
              <w:rPr>
                <w:rFonts w:ascii="Times New Roman" w:hAnsi="Times New Roman" w:cs="Times New Roman"/>
                <w:sz w:val="24"/>
                <w:szCs w:val="24"/>
              </w:rPr>
            </w:pPr>
            <w:r w:rsidRPr="000E4599">
              <w:rPr>
                <w:rFonts w:ascii="Times New Roman" w:hAnsi="Times New Roman" w:cs="Times New Roman"/>
                <w:sz w:val="24"/>
                <w:szCs w:val="24"/>
              </w:rPr>
              <w:t>Part</w:t>
            </w:r>
            <w:r w:rsidR="00253C81">
              <w:rPr>
                <w:rFonts w:ascii="Times New Roman" w:hAnsi="Times New Roman" w:cs="Times New Roman"/>
                <w:sz w:val="24"/>
                <w:szCs w:val="24"/>
              </w:rPr>
              <w:t>ial</w:t>
            </w:r>
            <w:r w:rsidRPr="000E4599">
              <w:rPr>
                <w:rFonts w:ascii="Times New Roman" w:hAnsi="Times New Roman" w:cs="Times New Roman"/>
                <w:sz w:val="24"/>
                <w:szCs w:val="24"/>
              </w:rPr>
              <w:t>ly met</w:t>
            </w:r>
          </w:p>
          <w:p w:rsidR="00874D8C" w:rsidRDefault="00874D8C" w:rsidP="00404174">
            <w:pPr>
              <w:rPr>
                <w:rFonts w:ascii="Times New Roman" w:hAnsi="Times New Roman" w:cs="Times New Roman"/>
                <w:sz w:val="24"/>
                <w:szCs w:val="24"/>
              </w:rPr>
            </w:pPr>
          </w:p>
          <w:p w:rsidR="00AF66BE" w:rsidRPr="000E4599" w:rsidRDefault="00AF66BE" w:rsidP="00404174">
            <w:pPr>
              <w:rPr>
                <w:rFonts w:ascii="Times New Roman" w:hAnsi="Times New Roman" w:cs="Times New Roman"/>
                <w:sz w:val="24"/>
                <w:szCs w:val="24"/>
              </w:rPr>
            </w:pPr>
            <w:r w:rsidRPr="000E4599">
              <w:rPr>
                <w:rFonts w:ascii="Times New Roman" w:hAnsi="Times New Roman" w:cs="Times New Roman"/>
                <w:sz w:val="24"/>
                <w:szCs w:val="24"/>
              </w:rPr>
              <w:t>The reservation immediately above applies.</w:t>
            </w:r>
          </w:p>
          <w:p w:rsidR="00AF66BE" w:rsidRPr="000E4599" w:rsidRDefault="00AF66BE" w:rsidP="00404174">
            <w:pPr>
              <w:rPr>
                <w:rFonts w:ascii="Times New Roman" w:hAnsi="Times New Roman" w:cs="Times New Roman"/>
                <w:sz w:val="24"/>
                <w:szCs w:val="24"/>
              </w:rPr>
            </w:pPr>
            <w:r w:rsidRPr="000E4599">
              <w:rPr>
                <w:rFonts w:ascii="Times New Roman" w:hAnsi="Times New Roman" w:cs="Times New Roman"/>
                <w:sz w:val="24"/>
                <w:szCs w:val="24"/>
              </w:rPr>
              <w:t>Some may also consider it unfair that taxpayers in this situation are required to pay tax through an agency relationship</w:t>
            </w:r>
            <w:r w:rsidR="00990763">
              <w:rPr>
                <w:rFonts w:ascii="Times New Roman" w:hAnsi="Times New Roman" w:cs="Times New Roman"/>
                <w:sz w:val="24"/>
                <w:szCs w:val="24"/>
              </w:rPr>
              <w:t>,</w:t>
            </w:r>
            <w:r w:rsidRPr="000E4599">
              <w:rPr>
                <w:rFonts w:ascii="Times New Roman" w:hAnsi="Times New Roman" w:cs="Times New Roman"/>
                <w:sz w:val="24"/>
                <w:szCs w:val="24"/>
              </w:rPr>
              <w:t xml:space="preserve"> whereas situations where income is received from an unrelated party do not require an agency relationship.</w:t>
            </w:r>
          </w:p>
        </w:tc>
        <w:tc>
          <w:tcPr>
            <w:tcW w:w="2977" w:type="dxa"/>
          </w:tcPr>
          <w:p w:rsidR="00874D8C" w:rsidRDefault="00AF66BE" w:rsidP="00404174">
            <w:pPr>
              <w:rPr>
                <w:rFonts w:ascii="Times New Roman" w:hAnsi="Times New Roman" w:cs="Times New Roman"/>
                <w:sz w:val="24"/>
                <w:szCs w:val="24"/>
              </w:rPr>
            </w:pPr>
            <w:r w:rsidRPr="000E4599">
              <w:rPr>
                <w:rFonts w:ascii="Times New Roman" w:hAnsi="Times New Roman" w:cs="Times New Roman"/>
                <w:sz w:val="24"/>
                <w:szCs w:val="24"/>
              </w:rPr>
              <w:t>Part</w:t>
            </w:r>
            <w:r w:rsidR="00253C81">
              <w:rPr>
                <w:rFonts w:ascii="Times New Roman" w:hAnsi="Times New Roman" w:cs="Times New Roman"/>
                <w:sz w:val="24"/>
                <w:szCs w:val="24"/>
              </w:rPr>
              <w:t>ial</w:t>
            </w:r>
            <w:r w:rsidRPr="000E4599">
              <w:rPr>
                <w:rFonts w:ascii="Times New Roman" w:hAnsi="Times New Roman" w:cs="Times New Roman"/>
                <w:sz w:val="24"/>
                <w:szCs w:val="24"/>
              </w:rPr>
              <w:t>ly met</w:t>
            </w:r>
          </w:p>
          <w:p w:rsidR="00874D8C" w:rsidRDefault="00874D8C" w:rsidP="00404174">
            <w:pPr>
              <w:rPr>
                <w:rFonts w:ascii="Times New Roman" w:hAnsi="Times New Roman" w:cs="Times New Roman"/>
                <w:sz w:val="24"/>
                <w:szCs w:val="24"/>
              </w:rPr>
            </w:pPr>
          </w:p>
          <w:p w:rsidR="00AF66BE" w:rsidRDefault="00AF66BE" w:rsidP="00404174">
            <w:pPr>
              <w:rPr>
                <w:rFonts w:ascii="Times New Roman" w:hAnsi="Times New Roman" w:cs="Times New Roman"/>
                <w:sz w:val="24"/>
                <w:szCs w:val="24"/>
              </w:rPr>
            </w:pPr>
            <w:r w:rsidRPr="000E4599">
              <w:rPr>
                <w:rFonts w:ascii="Times New Roman" w:hAnsi="Times New Roman" w:cs="Times New Roman"/>
                <w:sz w:val="24"/>
                <w:szCs w:val="24"/>
              </w:rPr>
              <w:t>The reservation immediately above applies.</w:t>
            </w:r>
          </w:p>
          <w:p w:rsidR="000A5A5C" w:rsidRPr="000E4599" w:rsidRDefault="000A5A5C" w:rsidP="00404174">
            <w:pPr>
              <w:rPr>
                <w:rFonts w:ascii="Times New Roman" w:hAnsi="Times New Roman" w:cs="Times New Roman"/>
                <w:sz w:val="24"/>
                <w:szCs w:val="24"/>
              </w:rPr>
            </w:pPr>
          </w:p>
          <w:p w:rsidR="00AF66BE" w:rsidRPr="000E4599" w:rsidRDefault="00AF66BE" w:rsidP="00874D8C">
            <w:pPr>
              <w:rPr>
                <w:rFonts w:ascii="Times New Roman" w:hAnsi="Times New Roman" w:cs="Times New Roman"/>
                <w:sz w:val="24"/>
                <w:szCs w:val="24"/>
              </w:rPr>
            </w:pPr>
            <w:r w:rsidRPr="000E4599">
              <w:rPr>
                <w:rFonts w:ascii="Times New Roman" w:hAnsi="Times New Roman" w:cs="Times New Roman"/>
                <w:sz w:val="24"/>
                <w:szCs w:val="24"/>
              </w:rPr>
              <w:t xml:space="preserve">The compulsory nature of this </w:t>
            </w:r>
            <w:r w:rsidR="00874D8C">
              <w:rPr>
                <w:rFonts w:ascii="Times New Roman" w:hAnsi="Times New Roman" w:cs="Times New Roman"/>
                <w:sz w:val="24"/>
                <w:szCs w:val="24"/>
              </w:rPr>
              <w:t>option</w:t>
            </w:r>
            <w:r w:rsidR="00874D8C" w:rsidRPr="000E4599">
              <w:rPr>
                <w:rFonts w:ascii="Times New Roman" w:hAnsi="Times New Roman" w:cs="Times New Roman"/>
                <w:sz w:val="24"/>
                <w:szCs w:val="24"/>
              </w:rPr>
              <w:t xml:space="preserve"> </w:t>
            </w:r>
            <w:r w:rsidRPr="000E4599">
              <w:rPr>
                <w:rFonts w:ascii="Times New Roman" w:hAnsi="Times New Roman" w:cs="Times New Roman"/>
                <w:sz w:val="24"/>
                <w:szCs w:val="24"/>
              </w:rPr>
              <w:t>also means that some taxpayers who may be happy with the status quo will be required to use it</w:t>
            </w:r>
            <w:r w:rsidR="00601236">
              <w:rPr>
                <w:rFonts w:ascii="Times New Roman" w:hAnsi="Times New Roman" w:cs="Times New Roman"/>
                <w:sz w:val="24"/>
                <w:szCs w:val="24"/>
              </w:rPr>
              <w:t xml:space="preserve"> and will identify themselves as incurring additional compliance costs</w:t>
            </w:r>
            <w:r w:rsidR="00601236" w:rsidRPr="000E4599">
              <w:rPr>
                <w:rFonts w:ascii="Times New Roman" w:hAnsi="Times New Roman" w:cs="Times New Roman"/>
                <w:sz w:val="24"/>
                <w:szCs w:val="24"/>
              </w:rPr>
              <w:t>.</w:t>
            </w:r>
            <w:r w:rsidR="00601236">
              <w:rPr>
                <w:rFonts w:ascii="Times New Roman" w:hAnsi="Times New Roman" w:cs="Times New Roman"/>
                <w:sz w:val="24"/>
                <w:szCs w:val="24"/>
              </w:rPr>
              <w:t xml:space="preserve"> </w:t>
            </w:r>
            <w:r w:rsidRPr="000E4599">
              <w:rPr>
                <w:rFonts w:ascii="Times New Roman" w:hAnsi="Times New Roman" w:cs="Times New Roman"/>
                <w:sz w:val="24"/>
                <w:szCs w:val="24"/>
              </w:rPr>
              <w:t xml:space="preserve">However, there will be no compliance costs incurred in choosing whether or not to implement this </w:t>
            </w:r>
            <w:r w:rsidR="00874D8C">
              <w:rPr>
                <w:rFonts w:ascii="Times New Roman" w:hAnsi="Times New Roman" w:cs="Times New Roman"/>
                <w:sz w:val="24"/>
                <w:szCs w:val="24"/>
              </w:rPr>
              <w:t>option</w:t>
            </w:r>
            <w:r w:rsidRPr="000E4599">
              <w:rPr>
                <w:rFonts w:ascii="Times New Roman" w:hAnsi="Times New Roman" w:cs="Times New Roman"/>
                <w:sz w:val="24"/>
                <w:szCs w:val="24"/>
              </w:rPr>
              <w:t>, and administration will be simplified.</w:t>
            </w:r>
          </w:p>
        </w:tc>
        <w:tc>
          <w:tcPr>
            <w:tcW w:w="3686" w:type="dxa"/>
          </w:tcPr>
          <w:p w:rsidR="00874D8C" w:rsidRDefault="00AF66BE" w:rsidP="00404174">
            <w:pPr>
              <w:rPr>
                <w:rFonts w:ascii="Times New Roman" w:hAnsi="Times New Roman" w:cs="Times New Roman"/>
                <w:sz w:val="24"/>
                <w:szCs w:val="24"/>
              </w:rPr>
            </w:pPr>
            <w:r w:rsidRPr="000E4599">
              <w:rPr>
                <w:rFonts w:ascii="Times New Roman" w:hAnsi="Times New Roman" w:cs="Times New Roman"/>
                <w:sz w:val="24"/>
                <w:szCs w:val="24"/>
              </w:rPr>
              <w:t>Part</w:t>
            </w:r>
            <w:r w:rsidR="00253C81">
              <w:rPr>
                <w:rFonts w:ascii="Times New Roman" w:hAnsi="Times New Roman" w:cs="Times New Roman"/>
                <w:sz w:val="24"/>
                <w:szCs w:val="24"/>
              </w:rPr>
              <w:t>ial</w:t>
            </w:r>
            <w:r w:rsidRPr="000E4599">
              <w:rPr>
                <w:rFonts w:ascii="Times New Roman" w:hAnsi="Times New Roman" w:cs="Times New Roman"/>
                <w:sz w:val="24"/>
                <w:szCs w:val="24"/>
              </w:rPr>
              <w:t>ly met</w:t>
            </w:r>
          </w:p>
          <w:p w:rsidR="00874D8C" w:rsidRDefault="00874D8C" w:rsidP="00404174">
            <w:pPr>
              <w:rPr>
                <w:rFonts w:ascii="Times New Roman" w:hAnsi="Times New Roman" w:cs="Times New Roman"/>
                <w:sz w:val="24"/>
                <w:szCs w:val="24"/>
              </w:rPr>
            </w:pPr>
          </w:p>
          <w:p w:rsidR="00AF66BE" w:rsidRPr="000E4599" w:rsidRDefault="00AF66BE" w:rsidP="00404174">
            <w:pPr>
              <w:rPr>
                <w:rFonts w:ascii="Times New Roman" w:hAnsi="Times New Roman" w:cs="Times New Roman"/>
                <w:sz w:val="24"/>
                <w:szCs w:val="24"/>
              </w:rPr>
            </w:pPr>
            <w:r w:rsidRPr="000E4599">
              <w:rPr>
                <w:rFonts w:ascii="Times New Roman" w:hAnsi="Times New Roman" w:cs="Times New Roman"/>
                <w:sz w:val="24"/>
                <w:szCs w:val="24"/>
              </w:rPr>
              <w:t xml:space="preserve">This </w:t>
            </w:r>
            <w:r w:rsidR="002A5943">
              <w:rPr>
                <w:rFonts w:ascii="Times New Roman" w:hAnsi="Times New Roman" w:cs="Times New Roman"/>
                <w:sz w:val="24"/>
                <w:szCs w:val="24"/>
              </w:rPr>
              <w:t>option</w:t>
            </w:r>
            <w:r w:rsidR="002A5943" w:rsidRPr="000E4599">
              <w:rPr>
                <w:rFonts w:ascii="Times New Roman" w:hAnsi="Times New Roman" w:cs="Times New Roman"/>
                <w:sz w:val="24"/>
                <w:szCs w:val="24"/>
              </w:rPr>
              <w:t xml:space="preserve"> </w:t>
            </w:r>
            <w:r w:rsidRPr="000E4599">
              <w:rPr>
                <w:rFonts w:ascii="Times New Roman" w:hAnsi="Times New Roman" w:cs="Times New Roman"/>
                <w:sz w:val="24"/>
                <w:szCs w:val="24"/>
              </w:rPr>
              <w:t xml:space="preserve">is both fair and reduces the compliance cost impact of provisional tax. </w:t>
            </w:r>
          </w:p>
          <w:p w:rsidR="00AF66BE" w:rsidRPr="000E4599" w:rsidRDefault="00AF66BE" w:rsidP="00404174">
            <w:pPr>
              <w:rPr>
                <w:rFonts w:ascii="Times New Roman" w:hAnsi="Times New Roman" w:cs="Times New Roman"/>
                <w:sz w:val="24"/>
                <w:szCs w:val="24"/>
              </w:rPr>
            </w:pPr>
          </w:p>
          <w:p w:rsidR="00AF66BE" w:rsidRPr="000E4599" w:rsidRDefault="00AF66BE" w:rsidP="00404174">
            <w:pPr>
              <w:rPr>
                <w:rFonts w:ascii="Times New Roman" w:hAnsi="Times New Roman" w:cs="Times New Roman"/>
                <w:sz w:val="24"/>
                <w:szCs w:val="24"/>
              </w:rPr>
            </w:pPr>
            <w:r w:rsidRPr="000E4599">
              <w:rPr>
                <w:rFonts w:ascii="Times New Roman" w:hAnsi="Times New Roman" w:cs="Times New Roman"/>
                <w:sz w:val="24"/>
                <w:szCs w:val="24"/>
              </w:rPr>
              <w:t>However, there may be objections to the compulsory nature of this option.</w:t>
            </w:r>
          </w:p>
        </w:tc>
        <w:tc>
          <w:tcPr>
            <w:tcW w:w="3449" w:type="dxa"/>
          </w:tcPr>
          <w:p w:rsidR="00874D8C" w:rsidRDefault="000C74B4" w:rsidP="00874D8C">
            <w:pPr>
              <w:rPr>
                <w:rFonts w:ascii="Times New Roman" w:hAnsi="Times New Roman" w:cs="Times New Roman"/>
                <w:sz w:val="24"/>
                <w:szCs w:val="24"/>
              </w:rPr>
            </w:pPr>
            <w:r>
              <w:rPr>
                <w:rFonts w:ascii="Times New Roman" w:hAnsi="Times New Roman" w:cs="Times New Roman"/>
                <w:sz w:val="24"/>
                <w:szCs w:val="24"/>
              </w:rPr>
              <w:t>No impact</w:t>
            </w:r>
          </w:p>
          <w:p w:rsidR="00874D8C" w:rsidRDefault="00874D8C" w:rsidP="00874D8C">
            <w:pPr>
              <w:rPr>
                <w:rFonts w:ascii="Times New Roman" w:hAnsi="Times New Roman" w:cs="Times New Roman"/>
                <w:sz w:val="24"/>
                <w:szCs w:val="24"/>
              </w:rPr>
            </w:pPr>
          </w:p>
          <w:p w:rsidR="00AF66BE" w:rsidRPr="000E4599" w:rsidRDefault="00874D8C" w:rsidP="00874D8C">
            <w:pPr>
              <w:rPr>
                <w:rFonts w:ascii="Times New Roman" w:hAnsi="Times New Roman" w:cs="Times New Roman"/>
                <w:sz w:val="24"/>
                <w:szCs w:val="24"/>
              </w:rPr>
            </w:pPr>
            <w:r>
              <w:rPr>
                <w:rFonts w:ascii="Times New Roman" w:hAnsi="Times New Roman" w:cs="Times New Roman"/>
                <w:sz w:val="24"/>
                <w:szCs w:val="24"/>
              </w:rPr>
              <w:t>S</w:t>
            </w:r>
            <w:r w:rsidR="00AF66BE" w:rsidRPr="000E4599">
              <w:rPr>
                <w:rFonts w:ascii="Times New Roman" w:hAnsi="Times New Roman" w:cs="Times New Roman"/>
                <w:sz w:val="24"/>
                <w:szCs w:val="24"/>
              </w:rPr>
              <w:t>ubject to</w:t>
            </w:r>
            <w:r w:rsidR="006E0916">
              <w:rPr>
                <w:rFonts w:ascii="Times New Roman" w:hAnsi="Times New Roman" w:cs="Times New Roman"/>
                <w:sz w:val="24"/>
                <w:szCs w:val="24"/>
              </w:rPr>
              <w:t xml:space="preserve"> the</w:t>
            </w:r>
            <w:r w:rsidR="00AF66BE" w:rsidRPr="000E4599">
              <w:rPr>
                <w:rFonts w:ascii="Times New Roman" w:hAnsi="Times New Roman" w:cs="Times New Roman"/>
                <w:sz w:val="24"/>
                <w:szCs w:val="24"/>
              </w:rPr>
              <w:t xml:space="preserve"> condition described above.</w:t>
            </w:r>
          </w:p>
        </w:tc>
      </w:tr>
      <w:tr w:rsidR="00AF66BE" w:rsidRPr="000E4599" w:rsidTr="00B73D53">
        <w:tc>
          <w:tcPr>
            <w:tcW w:w="1786" w:type="dxa"/>
          </w:tcPr>
          <w:p w:rsidR="00AF66BE" w:rsidRPr="00D94BDF" w:rsidRDefault="002A5943" w:rsidP="00697F5E">
            <w:pPr>
              <w:pStyle w:val="ListParagraph"/>
              <w:numPr>
                <w:ilvl w:val="0"/>
                <w:numId w:val="45"/>
              </w:numPr>
              <w:ind w:left="0" w:firstLine="0"/>
              <w:rPr>
                <w:rFonts w:ascii="Times New Roman" w:hAnsi="Times New Roman" w:cs="Times New Roman"/>
                <w:sz w:val="24"/>
                <w:szCs w:val="24"/>
              </w:rPr>
            </w:pPr>
            <w:r w:rsidRPr="00D94BDF">
              <w:rPr>
                <w:rFonts w:ascii="Times New Roman" w:hAnsi="Times New Roman" w:cs="Times New Roman"/>
                <w:sz w:val="24"/>
                <w:szCs w:val="24"/>
              </w:rPr>
              <w:t xml:space="preserve">Exclude </w:t>
            </w:r>
            <w:r>
              <w:rPr>
                <w:rFonts w:ascii="Times New Roman" w:hAnsi="Times New Roman" w:cs="Times New Roman"/>
                <w:sz w:val="24"/>
                <w:szCs w:val="24"/>
              </w:rPr>
              <w:t>shareholder salaries</w:t>
            </w:r>
            <w:r w:rsidRPr="00D94BDF">
              <w:rPr>
                <w:rFonts w:ascii="Times New Roman" w:hAnsi="Times New Roman" w:cs="Times New Roman"/>
                <w:sz w:val="24"/>
                <w:szCs w:val="24"/>
              </w:rPr>
              <w:t xml:space="preserve"> from provisional tax entirely and allow </w:t>
            </w:r>
            <w:r w:rsidR="00697F5E">
              <w:rPr>
                <w:rFonts w:ascii="Times New Roman" w:hAnsi="Times New Roman" w:cs="Times New Roman"/>
                <w:sz w:val="24"/>
                <w:szCs w:val="24"/>
              </w:rPr>
              <w:t xml:space="preserve">tax </w:t>
            </w:r>
            <w:r w:rsidRPr="00D94BDF">
              <w:rPr>
                <w:rFonts w:ascii="Times New Roman" w:hAnsi="Times New Roman" w:cs="Times New Roman"/>
                <w:sz w:val="24"/>
                <w:szCs w:val="24"/>
              </w:rPr>
              <w:t xml:space="preserve">to </w:t>
            </w:r>
            <w:r>
              <w:rPr>
                <w:rFonts w:ascii="Times New Roman" w:hAnsi="Times New Roman" w:cs="Times New Roman"/>
                <w:sz w:val="24"/>
                <w:szCs w:val="24"/>
              </w:rPr>
              <w:t>be paid</w:t>
            </w:r>
            <w:r w:rsidRPr="00D94BDF">
              <w:rPr>
                <w:rFonts w:ascii="Times New Roman" w:hAnsi="Times New Roman" w:cs="Times New Roman"/>
                <w:sz w:val="24"/>
                <w:szCs w:val="24"/>
              </w:rPr>
              <w:t xml:space="preserve"> at terminal tax date.</w:t>
            </w:r>
          </w:p>
        </w:tc>
        <w:tc>
          <w:tcPr>
            <w:tcW w:w="2858" w:type="dxa"/>
          </w:tcPr>
          <w:p w:rsidR="00874D8C" w:rsidRDefault="00AF66BE" w:rsidP="00874D8C">
            <w:pPr>
              <w:rPr>
                <w:rFonts w:ascii="Times New Roman" w:hAnsi="Times New Roman" w:cs="Times New Roman"/>
                <w:sz w:val="24"/>
                <w:szCs w:val="24"/>
              </w:rPr>
            </w:pPr>
            <w:r w:rsidRPr="000E4599">
              <w:rPr>
                <w:rFonts w:ascii="Times New Roman" w:hAnsi="Times New Roman" w:cs="Times New Roman"/>
                <w:sz w:val="24"/>
                <w:szCs w:val="24"/>
              </w:rPr>
              <w:t>Not met</w:t>
            </w:r>
          </w:p>
          <w:p w:rsidR="00874D8C" w:rsidRDefault="00874D8C" w:rsidP="00874D8C">
            <w:pPr>
              <w:rPr>
                <w:rFonts w:ascii="Times New Roman" w:hAnsi="Times New Roman" w:cs="Times New Roman"/>
                <w:sz w:val="24"/>
                <w:szCs w:val="24"/>
              </w:rPr>
            </w:pPr>
          </w:p>
          <w:p w:rsidR="00AF66BE" w:rsidRPr="000E4599" w:rsidRDefault="00AF66BE" w:rsidP="00334B6B">
            <w:pPr>
              <w:rPr>
                <w:rFonts w:ascii="Times New Roman" w:hAnsi="Times New Roman" w:cs="Times New Roman"/>
                <w:sz w:val="24"/>
                <w:szCs w:val="24"/>
              </w:rPr>
            </w:pPr>
            <w:r w:rsidRPr="000E4599">
              <w:rPr>
                <w:rFonts w:ascii="Times New Roman" w:hAnsi="Times New Roman" w:cs="Times New Roman"/>
                <w:sz w:val="24"/>
                <w:szCs w:val="24"/>
              </w:rPr>
              <w:t>Those who fall under this rule would have a timing advantage and removal of interest benefit over those who derive non-source deducted income from non-associated sources, and those who derive income subject to source deduction</w:t>
            </w:r>
            <w:r w:rsidR="000A6DBA">
              <w:rPr>
                <w:rFonts w:ascii="Times New Roman" w:hAnsi="Times New Roman" w:cs="Times New Roman"/>
                <w:sz w:val="24"/>
                <w:szCs w:val="24"/>
              </w:rPr>
              <w:t>,</w:t>
            </w:r>
            <w:r w:rsidRPr="000E4599">
              <w:rPr>
                <w:rFonts w:ascii="Times New Roman" w:hAnsi="Times New Roman" w:cs="Times New Roman"/>
                <w:sz w:val="24"/>
                <w:szCs w:val="24"/>
              </w:rPr>
              <w:t xml:space="preserve"> as both groups pay tax as income is earned.</w:t>
            </w:r>
          </w:p>
        </w:tc>
        <w:tc>
          <w:tcPr>
            <w:tcW w:w="2977" w:type="dxa"/>
          </w:tcPr>
          <w:p w:rsidR="00874D8C" w:rsidRDefault="00AF66BE" w:rsidP="00874D8C">
            <w:pPr>
              <w:rPr>
                <w:rFonts w:ascii="Times New Roman" w:hAnsi="Times New Roman" w:cs="Times New Roman"/>
                <w:sz w:val="24"/>
                <w:szCs w:val="24"/>
              </w:rPr>
            </w:pPr>
            <w:r w:rsidRPr="000E4599">
              <w:rPr>
                <w:rFonts w:ascii="Times New Roman" w:hAnsi="Times New Roman" w:cs="Times New Roman"/>
                <w:sz w:val="24"/>
                <w:szCs w:val="24"/>
              </w:rPr>
              <w:t>Met</w:t>
            </w:r>
          </w:p>
          <w:p w:rsidR="00874D8C" w:rsidRDefault="00874D8C" w:rsidP="00874D8C">
            <w:pPr>
              <w:rPr>
                <w:rFonts w:ascii="Times New Roman" w:hAnsi="Times New Roman" w:cs="Times New Roman"/>
                <w:sz w:val="24"/>
                <w:szCs w:val="24"/>
              </w:rPr>
            </w:pPr>
          </w:p>
          <w:p w:rsidR="00AF66BE" w:rsidRPr="000E4599" w:rsidRDefault="00AF66BE" w:rsidP="00874D8C">
            <w:pPr>
              <w:rPr>
                <w:rFonts w:ascii="Times New Roman" w:hAnsi="Times New Roman" w:cs="Times New Roman"/>
                <w:sz w:val="24"/>
                <w:szCs w:val="24"/>
              </w:rPr>
            </w:pPr>
            <w:r w:rsidRPr="000E4599">
              <w:rPr>
                <w:rFonts w:ascii="Times New Roman" w:hAnsi="Times New Roman" w:cs="Times New Roman"/>
                <w:sz w:val="24"/>
                <w:szCs w:val="24"/>
              </w:rPr>
              <w:t>There would be a significant reduction in compliance cost as a result of removing those associated with small business from provisional tax.</w:t>
            </w:r>
          </w:p>
        </w:tc>
        <w:tc>
          <w:tcPr>
            <w:tcW w:w="3686" w:type="dxa"/>
          </w:tcPr>
          <w:p w:rsidR="00874D8C" w:rsidRDefault="00AF66BE" w:rsidP="00874D8C">
            <w:pPr>
              <w:rPr>
                <w:rFonts w:ascii="Times New Roman" w:hAnsi="Times New Roman" w:cs="Times New Roman"/>
                <w:sz w:val="24"/>
                <w:szCs w:val="24"/>
              </w:rPr>
            </w:pPr>
            <w:r w:rsidRPr="000E4599">
              <w:rPr>
                <w:rFonts w:ascii="Times New Roman" w:hAnsi="Times New Roman" w:cs="Times New Roman"/>
                <w:sz w:val="24"/>
                <w:szCs w:val="24"/>
              </w:rPr>
              <w:t>Not met</w:t>
            </w:r>
          </w:p>
          <w:p w:rsidR="00874D8C" w:rsidRDefault="00874D8C" w:rsidP="00874D8C">
            <w:pPr>
              <w:rPr>
                <w:rFonts w:ascii="Times New Roman" w:hAnsi="Times New Roman" w:cs="Times New Roman"/>
                <w:sz w:val="24"/>
                <w:szCs w:val="24"/>
              </w:rPr>
            </w:pPr>
          </w:p>
          <w:p w:rsidR="00AF66BE" w:rsidRPr="000E4599" w:rsidRDefault="00AF66BE" w:rsidP="00334B6B">
            <w:pPr>
              <w:rPr>
                <w:rFonts w:ascii="Times New Roman" w:hAnsi="Times New Roman" w:cs="Times New Roman"/>
                <w:sz w:val="24"/>
                <w:szCs w:val="24"/>
              </w:rPr>
            </w:pPr>
            <w:r w:rsidRPr="000E4599">
              <w:rPr>
                <w:rFonts w:ascii="Times New Roman" w:hAnsi="Times New Roman" w:cs="Times New Roman"/>
                <w:sz w:val="24"/>
                <w:szCs w:val="24"/>
              </w:rPr>
              <w:t xml:space="preserve">While the timing advantage this option would create would not threaten the </w:t>
            </w:r>
            <w:r w:rsidR="00DC20F8">
              <w:rPr>
                <w:rFonts w:ascii="Times New Roman" w:hAnsi="Times New Roman" w:cs="Times New Roman"/>
                <w:sz w:val="24"/>
                <w:szCs w:val="24"/>
              </w:rPr>
              <w:t>b</w:t>
            </w:r>
            <w:r w:rsidRPr="000E4599">
              <w:rPr>
                <w:rFonts w:ascii="Times New Roman" w:hAnsi="Times New Roman" w:cs="Times New Roman"/>
                <w:sz w:val="24"/>
                <w:szCs w:val="24"/>
              </w:rPr>
              <w:t xml:space="preserve">road </w:t>
            </w:r>
            <w:r w:rsidR="00DC20F8">
              <w:rPr>
                <w:rFonts w:ascii="Times New Roman" w:hAnsi="Times New Roman" w:cs="Times New Roman"/>
                <w:sz w:val="24"/>
                <w:szCs w:val="24"/>
              </w:rPr>
              <w:t>b</w:t>
            </w:r>
            <w:r w:rsidRPr="000E4599">
              <w:rPr>
                <w:rFonts w:ascii="Times New Roman" w:hAnsi="Times New Roman" w:cs="Times New Roman"/>
                <w:sz w:val="24"/>
                <w:szCs w:val="24"/>
              </w:rPr>
              <w:t xml:space="preserve">ase, </w:t>
            </w:r>
            <w:r w:rsidR="00DC20F8">
              <w:rPr>
                <w:rFonts w:ascii="Times New Roman" w:hAnsi="Times New Roman" w:cs="Times New Roman"/>
                <w:sz w:val="24"/>
                <w:szCs w:val="24"/>
              </w:rPr>
              <w:t>l</w:t>
            </w:r>
            <w:r w:rsidRPr="000E4599">
              <w:rPr>
                <w:rFonts w:ascii="Times New Roman" w:hAnsi="Times New Roman" w:cs="Times New Roman"/>
                <w:sz w:val="24"/>
                <w:szCs w:val="24"/>
              </w:rPr>
              <w:t xml:space="preserve">ow </w:t>
            </w:r>
            <w:r w:rsidR="00DC20F8">
              <w:rPr>
                <w:rFonts w:ascii="Times New Roman" w:hAnsi="Times New Roman" w:cs="Times New Roman"/>
                <w:sz w:val="24"/>
                <w:szCs w:val="24"/>
              </w:rPr>
              <w:t>r</w:t>
            </w:r>
            <w:r w:rsidRPr="000E4599">
              <w:rPr>
                <w:rFonts w:ascii="Times New Roman" w:hAnsi="Times New Roman" w:cs="Times New Roman"/>
                <w:sz w:val="24"/>
                <w:szCs w:val="24"/>
              </w:rPr>
              <w:t>ate philosophy which underpins the New Zealand tax system, this kind of difference would still create a risk that other provisional taxpayers would seek similar concessions</w:t>
            </w:r>
            <w:r w:rsidR="002A5943">
              <w:rPr>
                <w:rFonts w:ascii="Times New Roman" w:hAnsi="Times New Roman" w:cs="Times New Roman"/>
                <w:sz w:val="24"/>
                <w:szCs w:val="24"/>
              </w:rPr>
              <w:t xml:space="preserve"> and undermine the key concept of paying tax on income as it is earned</w:t>
            </w:r>
            <w:r w:rsidR="002A5943" w:rsidRPr="000E4599">
              <w:rPr>
                <w:rFonts w:ascii="Times New Roman" w:hAnsi="Times New Roman" w:cs="Times New Roman"/>
                <w:sz w:val="24"/>
                <w:szCs w:val="24"/>
              </w:rPr>
              <w:t>.</w:t>
            </w:r>
            <w:r w:rsidRPr="000E4599">
              <w:rPr>
                <w:rFonts w:ascii="Times New Roman" w:hAnsi="Times New Roman" w:cs="Times New Roman"/>
                <w:sz w:val="24"/>
                <w:szCs w:val="24"/>
              </w:rPr>
              <w:t>.</w:t>
            </w:r>
          </w:p>
        </w:tc>
        <w:tc>
          <w:tcPr>
            <w:tcW w:w="3449" w:type="dxa"/>
          </w:tcPr>
          <w:p w:rsidR="00874D8C" w:rsidRDefault="000C74B4" w:rsidP="00874D8C">
            <w:pPr>
              <w:rPr>
                <w:rFonts w:ascii="Times New Roman" w:hAnsi="Times New Roman" w:cs="Times New Roman"/>
                <w:sz w:val="24"/>
                <w:szCs w:val="24"/>
              </w:rPr>
            </w:pPr>
            <w:r>
              <w:rPr>
                <w:rFonts w:ascii="Times New Roman" w:hAnsi="Times New Roman" w:cs="Times New Roman"/>
                <w:sz w:val="24"/>
                <w:szCs w:val="24"/>
              </w:rPr>
              <w:t>Revenue cost</w:t>
            </w:r>
          </w:p>
          <w:p w:rsidR="00874D8C" w:rsidRDefault="00874D8C" w:rsidP="00874D8C">
            <w:pPr>
              <w:rPr>
                <w:rFonts w:ascii="Times New Roman" w:hAnsi="Times New Roman" w:cs="Times New Roman"/>
                <w:sz w:val="24"/>
                <w:szCs w:val="24"/>
              </w:rPr>
            </w:pPr>
          </w:p>
          <w:p w:rsidR="00AF66BE" w:rsidRPr="000E4599" w:rsidRDefault="00AF66BE" w:rsidP="002A5943">
            <w:pPr>
              <w:rPr>
                <w:rFonts w:ascii="Times New Roman" w:hAnsi="Times New Roman" w:cs="Times New Roman"/>
                <w:sz w:val="24"/>
                <w:szCs w:val="24"/>
              </w:rPr>
            </w:pPr>
            <w:r w:rsidRPr="000E4599">
              <w:rPr>
                <w:rFonts w:ascii="Times New Roman" w:hAnsi="Times New Roman" w:cs="Times New Roman"/>
                <w:sz w:val="24"/>
                <w:szCs w:val="24"/>
              </w:rPr>
              <w:t xml:space="preserve">Introduction of this </w:t>
            </w:r>
            <w:r w:rsidR="002A5943">
              <w:rPr>
                <w:rFonts w:ascii="Times New Roman" w:hAnsi="Times New Roman" w:cs="Times New Roman"/>
                <w:sz w:val="24"/>
                <w:szCs w:val="24"/>
              </w:rPr>
              <w:t>option</w:t>
            </w:r>
            <w:r w:rsidR="002A5943" w:rsidRPr="000E4599">
              <w:rPr>
                <w:rFonts w:ascii="Times New Roman" w:hAnsi="Times New Roman" w:cs="Times New Roman"/>
                <w:sz w:val="24"/>
                <w:szCs w:val="24"/>
              </w:rPr>
              <w:t xml:space="preserve"> </w:t>
            </w:r>
            <w:r w:rsidRPr="000E4599">
              <w:rPr>
                <w:rFonts w:ascii="Times New Roman" w:hAnsi="Times New Roman" w:cs="Times New Roman"/>
                <w:sz w:val="24"/>
                <w:szCs w:val="24"/>
              </w:rPr>
              <w:t>would delay the receipt of revenue compared with the status quo. It could also encourage greater amounts to be paid out to shareholders</w:t>
            </w:r>
            <w:r w:rsidR="002A5943">
              <w:rPr>
                <w:rFonts w:ascii="Times New Roman" w:hAnsi="Times New Roman" w:cs="Times New Roman"/>
                <w:sz w:val="24"/>
                <w:szCs w:val="24"/>
              </w:rPr>
              <w:t xml:space="preserve"> </w:t>
            </w:r>
            <w:r w:rsidRPr="000E4599">
              <w:rPr>
                <w:rFonts w:ascii="Times New Roman" w:hAnsi="Times New Roman" w:cs="Times New Roman"/>
                <w:sz w:val="24"/>
                <w:szCs w:val="24"/>
              </w:rPr>
              <w:t>– and so taxed at lower rates – instead of being retained in the company.</w:t>
            </w:r>
          </w:p>
        </w:tc>
      </w:tr>
    </w:tbl>
    <w:p w:rsidR="00F85E69" w:rsidRPr="000E4599" w:rsidRDefault="00F85E69" w:rsidP="00F85E69">
      <w:pPr>
        <w:spacing w:after="0" w:line="240" w:lineRule="auto"/>
        <w:jc w:val="both"/>
        <w:rPr>
          <w:rFonts w:ascii="Times New Roman" w:hAnsi="Times New Roman" w:cs="Times New Roman"/>
          <w:sz w:val="24"/>
          <w:szCs w:val="24"/>
        </w:rPr>
        <w:sectPr w:rsidR="00F85E69" w:rsidRPr="000E4599" w:rsidSect="00906C84">
          <w:pgSz w:w="16838" w:h="11906" w:orient="landscape"/>
          <w:pgMar w:top="720" w:right="720" w:bottom="720" w:left="720" w:header="708" w:footer="708" w:gutter="0"/>
          <w:cols w:space="708"/>
          <w:docGrid w:linePitch="360"/>
        </w:sectPr>
      </w:pPr>
    </w:p>
    <w:p w:rsidR="00597570" w:rsidRPr="00AD4A67" w:rsidRDefault="00D56B23" w:rsidP="00432264">
      <w:pPr>
        <w:pStyle w:val="Heading3"/>
      </w:pPr>
      <w:bookmarkStart w:id="22" w:name="_Toc444145609"/>
      <w:r>
        <w:t>R</w:t>
      </w:r>
      <w:r w:rsidR="00F85E69" w:rsidRPr="000E4599">
        <w:t>ecommendations</w:t>
      </w:r>
      <w:bookmarkEnd w:id="22"/>
    </w:p>
    <w:p w:rsidR="00420D8B" w:rsidRDefault="00420D8B" w:rsidP="00F85E69">
      <w:pPr>
        <w:spacing w:after="0" w:line="240" w:lineRule="auto"/>
        <w:jc w:val="both"/>
        <w:rPr>
          <w:rFonts w:ascii="Times New Roman" w:hAnsi="Times New Roman" w:cs="Times New Roman"/>
          <w:sz w:val="24"/>
          <w:szCs w:val="24"/>
        </w:rPr>
      </w:pPr>
    </w:p>
    <w:p w:rsidR="00601236" w:rsidRPr="000E4599" w:rsidRDefault="00601236" w:rsidP="00601236">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O</w:t>
      </w:r>
      <w:r w:rsidR="00883761">
        <w:rPr>
          <w:rFonts w:ascii="Times New Roman" w:hAnsi="Times New Roman" w:cs="Times New Roman"/>
          <w:sz w:val="24"/>
          <w:szCs w:val="24"/>
        </w:rPr>
        <w:t>fficials recommend o</w:t>
      </w:r>
      <w:r w:rsidRPr="000E4599">
        <w:rPr>
          <w:rFonts w:ascii="Times New Roman" w:hAnsi="Times New Roman" w:cs="Times New Roman"/>
          <w:sz w:val="24"/>
          <w:szCs w:val="24"/>
        </w:rPr>
        <w:t xml:space="preserve">ption 2 – </w:t>
      </w:r>
      <w:r w:rsidR="004A0517">
        <w:rPr>
          <w:rFonts w:ascii="Times New Roman" w:hAnsi="Times New Roman" w:cs="Times New Roman"/>
          <w:sz w:val="24"/>
          <w:szCs w:val="24"/>
        </w:rPr>
        <w:t>a</w:t>
      </w:r>
      <w:r w:rsidR="004A0517" w:rsidRPr="00D94BDF">
        <w:rPr>
          <w:rFonts w:ascii="Times New Roman" w:hAnsi="Times New Roman" w:cs="Times New Roman"/>
          <w:sz w:val="24"/>
          <w:szCs w:val="24"/>
        </w:rPr>
        <w:t>llow</w:t>
      </w:r>
      <w:r w:rsidR="004A0517">
        <w:rPr>
          <w:rFonts w:ascii="Times New Roman" w:hAnsi="Times New Roman" w:cs="Times New Roman"/>
          <w:sz w:val="24"/>
          <w:szCs w:val="24"/>
        </w:rPr>
        <w:t>ing</w:t>
      </w:r>
      <w:r w:rsidR="004A0517" w:rsidRPr="00D94BDF">
        <w:rPr>
          <w:rFonts w:ascii="Times New Roman" w:hAnsi="Times New Roman" w:cs="Times New Roman"/>
          <w:sz w:val="24"/>
          <w:szCs w:val="24"/>
        </w:rPr>
        <w:t xml:space="preserve"> </w:t>
      </w:r>
      <w:r w:rsidR="004A0517">
        <w:rPr>
          <w:rFonts w:ascii="Times New Roman" w:hAnsi="Times New Roman" w:cs="Times New Roman"/>
          <w:sz w:val="24"/>
          <w:szCs w:val="24"/>
        </w:rPr>
        <w:t>companies</w:t>
      </w:r>
      <w:r w:rsidR="004A0517" w:rsidRPr="00D94BDF">
        <w:rPr>
          <w:rFonts w:ascii="Times New Roman" w:hAnsi="Times New Roman" w:cs="Times New Roman"/>
          <w:sz w:val="24"/>
          <w:szCs w:val="24"/>
        </w:rPr>
        <w:t xml:space="preserve"> to pay tax as agent for </w:t>
      </w:r>
      <w:r w:rsidR="004A0517">
        <w:rPr>
          <w:rFonts w:ascii="Times New Roman" w:hAnsi="Times New Roman" w:cs="Times New Roman"/>
          <w:sz w:val="24"/>
          <w:szCs w:val="24"/>
        </w:rPr>
        <w:t>shareholder-employees</w:t>
      </w:r>
      <w:r w:rsidRPr="000E4599">
        <w:rPr>
          <w:rFonts w:ascii="Times New Roman" w:hAnsi="Times New Roman" w:cs="Times New Roman"/>
          <w:sz w:val="24"/>
          <w:szCs w:val="24"/>
        </w:rPr>
        <w:t xml:space="preserve">. </w:t>
      </w:r>
      <w:r w:rsidR="00874A97">
        <w:rPr>
          <w:rFonts w:ascii="Times New Roman" w:hAnsi="Times New Roman" w:cs="Times New Roman"/>
          <w:sz w:val="24"/>
          <w:szCs w:val="24"/>
        </w:rPr>
        <w:t>As</w:t>
      </w:r>
      <w:r w:rsidRPr="000E4599">
        <w:rPr>
          <w:rFonts w:ascii="Times New Roman" w:hAnsi="Times New Roman" w:cs="Times New Roman"/>
          <w:sz w:val="24"/>
          <w:szCs w:val="24"/>
        </w:rPr>
        <w:t xml:space="preserve"> this mechanism may give rise to additional cost or complexity for some, the most efficient overall outcome will be achieved by allowing each business to evaluate the costs and benefits of using it. This also provides a gradual uptake path for those businesses initially reluctant to use something new, but may become more comfortable once the mechanism has been in place for a period of time and is better-understood.</w:t>
      </w:r>
      <w:r>
        <w:rPr>
          <w:rFonts w:ascii="Times New Roman" w:hAnsi="Times New Roman" w:cs="Times New Roman"/>
          <w:sz w:val="24"/>
          <w:szCs w:val="24"/>
        </w:rPr>
        <w:t xml:space="preserve"> Also, </w:t>
      </w:r>
      <w:r w:rsidRPr="000E4599">
        <w:rPr>
          <w:rFonts w:ascii="Times New Roman" w:hAnsi="Times New Roman" w:cs="Times New Roman"/>
          <w:sz w:val="24"/>
          <w:szCs w:val="24"/>
        </w:rPr>
        <w:t>option 2 is supported by the stakeholders this was discussed with.</w:t>
      </w:r>
    </w:p>
    <w:p w:rsidR="00601236" w:rsidRPr="000E4599" w:rsidRDefault="00601236" w:rsidP="00601236">
      <w:pPr>
        <w:spacing w:after="0" w:line="240" w:lineRule="auto"/>
        <w:jc w:val="both"/>
        <w:rPr>
          <w:rFonts w:ascii="Times New Roman" w:hAnsi="Times New Roman" w:cs="Times New Roman"/>
          <w:sz w:val="24"/>
          <w:szCs w:val="24"/>
        </w:rPr>
      </w:pPr>
    </w:p>
    <w:p w:rsidR="00BB68BD" w:rsidRPr="000E4599" w:rsidRDefault="00601236" w:rsidP="004B7C5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 </w:t>
      </w:r>
      <w:r w:rsidR="00BB68BD" w:rsidRPr="000E4599">
        <w:rPr>
          <w:rFonts w:ascii="Times New Roman" w:hAnsi="Times New Roman" w:cs="Times New Roman"/>
          <w:sz w:val="24"/>
          <w:szCs w:val="24"/>
        </w:rPr>
        <w:br w:type="page"/>
      </w:r>
    </w:p>
    <w:p w:rsidR="00BF4A25" w:rsidRPr="000E4599" w:rsidRDefault="002D0AC2" w:rsidP="004B7C5D">
      <w:pPr>
        <w:pStyle w:val="Heading1"/>
      </w:pPr>
      <w:bookmarkStart w:id="23" w:name="_Toc444145610"/>
      <w:r>
        <w:t xml:space="preserve">APPENDIX </w:t>
      </w:r>
      <w:r w:rsidR="008B1513">
        <w:t>B</w:t>
      </w:r>
      <w:r>
        <w:t xml:space="preserve"> </w:t>
      </w:r>
      <w:r w:rsidR="00165D24">
        <w:t>–</w:t>
      </w:r>
      <w:r>
        <w:t xml:space="preserve"> </w:t>
      </w:r>
      <w:r w:rsidR="0061206C">
        <w:t>SELF-MANAGEMENT AND INTEGRITY</w:t>
      </w:r>
      <w:bookmarkEnd w:id="23"/>
    </w:p>
    <w:p w:rsidR="00677F58" w:rsidRDefault="00677F58" w:rsidP="00BF4A25">
      <w:pPr>
        <w:spacing w:after="0" w:line="240" w:lineRule="auto"/>
        <w:jc w:val="both"/>
        <w:rPr>
          <w:rFonts w:ascii="Times New Roman" w:hAnsi="Times New Roman" w:cs="Times New Roman"/>
          <w:b/>
          <w:sz w:val="24"/>
          <w:szCs w:val="24"/>
        </w:rPr>
      </w:pPr>
    </w:p>
    <w:p w:rsidR="00C91BBD" w:rsidRPr="00C91BBD" w:rsidRDefault="00C91BBD" w:rsidP="00BF4A25">
      <w:pPr>
        <w:spacing w:after="0" w:line="240" w:lineRule="auto"/>
        <w:jc w:val="both"/>
        <w:rPr>
          <w:rFonts w:ascii="Times New Roman" w:hAnsi="Times New Roman" w:cs="Times New Roman"/>
          <w:b/>
          <w:i/>
          <w:sz w:val="24"/>
          <w:szCs w:val="24"/>
        </w:rPr>
      </w:pPr>
      <w:r w:rsidRPr="00C91BBD">
        <w:rPr>
          <w:rFonts w:ascii="Times New Roman" w:hAnsi="Times New Roman" w:cs="Times New Roman"/>
          <w:b/>
          <w:i/>
          <w:sz w:val="24"/>
          <w:szCs w:val="24"/>
        </w:rPr>
        <w:t>Status quo and problem definition</w:t>
      </w:r>
    </w:p>
    <w:p w:rsidR="00C91BBD" w:rsidRPr="000E4599" w:rsidRDefault="00C91BBD" w:rsidP="00BF4A25">
      <w:pPr>
        <w:spacing w:after="0" w:line="240" w:lineRule="auto"/>
        <w:jc w:val="both"/>
        <w:rPr>
          <w:rFonts w:ascii="Times New Roman" w:hAnsi="Times New Roman" w:cs="Times New Roman"/>
          <w:b/>
          <w:sz w:val="24"/>
          <w:szCs w:val="24"/>
        </w:rPr>
      </w:pPr>
    </w:p>
    <w:p w:rsidR="005B7EFD"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Withholding at source systems are widely considered to be the foundation of an effective tax system. Such systems impose an obligation on an independent third party (for example, an employer or financial institution) to withhold an amount of tax from a payment of income. </w:t>
      </w:r>
    </w:p>
    <w:p w:rsidR="005B7EFD" w:rsidRDefault="005B7EF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Withholding at source systems:</w:t>
      </w:r>
    </w:p>
    <w:p w:rsidR="00BB68BD" w:rsidRPr="000E4599" w:rsidRDefault="00BB68BD" w:rsidP="00BB68BD">
      <w:pPr>
        <w:spacing w:after="0" w:line="240" w:lineRule="auto"/>
        <w:jc w:val="both"/>
        <w:rPr>
          <w:rFonts w:ascii="Times New Roman" w:hAnsi="Times New Roman" w:cs="Times New Roman"/>
          <w:sz w:val="24"/>
          <w:szCs w:val="24"/>
        </w:rPr>
      </w:pPr>
    </w:p>
    <w:p w:rsidR="00BB68BD" w:rsidRDefault="00BB68BD" w:rsidP="00BB68BD">
      <w:pPr>
        <w:pStyle w:val="ListParagraph"/>
        <w:numPr>
          <w:ilvl w:val="0"/>
          <w:numId w:val="13"/>
        </w:num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remove taxpayers from the obligations around provisional tax or at least reduce those obligations to a level where safe harbour from </w:t>
      </w:r>
      <w:proofErr w:type="spellStart"/>
      <w:r w:rsidR="0045650F">
        <w:rPr>
          <w:rFonts w:ascii="Times New Roman" w:hAnsi="Times New Roman" w:cs="Times New Roman"/>
          <w:sz w:val="24"/>
          <w:szCs w:val="24"/>
        </w:rPr>
        <w:t>UOMI</w:t>
      </w:r>
      <w:proofErr w:type="spellEnd"/>
      <w:r w:rsidRPr="000E4599">
        <w:rPr>
          <w:rFonts w:ascii="Times New Roman" w:hAnsi="Times New Roman" w:cs="Times New Roman"/>
          <w:sz w:val="24"/>
          <w:szCs w:val="24"/>
        </w:rPr>
        <w:t xml:space="preserve"> may apply;</w:t>
      </w:r>
    </w:p>
    <w:p w:rsidR="005B7EFD" w:rsidRPr="005B7EFD" w:rsidRDefault="005B7EFD" w:rsidP="005B7EFD">
      <w:pPr>
        <w:spacing w:after="0" w:line="240" w:lineRule="auto"/>
        <w:ind w:left="360"/>
        <w:jc w:val="both"/>
        <w:rPr>
          <w:rFonts w:ascii="Times New Roman" w:hAnsi="Times New Roman" w:cs="Times New Roman"/>
          <w:sz w:val="24"/>
          <w:szCs w:val="24"/>
        </w:rPr>
      </w:pPr>
    </w:p>
    <w:p w:rsidR="00BB68BD" w:rsidRDefault="00BB68BD" w:rsidP="00BB68BD">
      <w:pPr>
        <w:pStyle w:val="ListParagraph"/>
        <w:numPr>
          <w:ilvl w:val="0"/>
          <w:numId w:val="13"/>
        </w:num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are a more cost-effective way for both taxpayers and the revenue agency to interact;</w:t>
      </w:r>
    </w:p>
    <w:p w:rsidR="005B7EFD" w:rsidRPr="005B7EFD" w:rsidRDefault="005B7EFD" w:rsidP="005B7EFD">
      <w:pPr>
        <w:spacing w:after="0" w:line="240" w:lineRule="auto"/>
        <w:jc w:val="both"/>
        <w:rPr>
          <w:rFonts w:ascii="Times New Roman" w:hAnsi="Times New Roman" w:cs="Times New Roman"/>
          <w:sz w:val="24"/>
          <w:szCs w:val="24"/>
        </w:rPr>
      </w:pPr>
    </w:p>
    <w:p w:rsidR="00BB68BD" w:rsidRDefault="00BB68BD" w:rsidP="00BB68BD">
      <w:pPr>
        <w:pStyle w:val="ListParagraph"/>
        <w:numPr>
          <w:ilvl w:val="0"/>
          <w:numId w:val="13"/>
        </w:num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provide a timely flow of income to the </w:t>
      </w:r>
      <w:r w:rsidR="006E0916">
        <w:rPr>
          <w:rFonts w:ascii="Times New Roman" w:hAnsi="Times New Roman" w:cs="Times New Roman"/>
          <w:sz w:val="24"/>
          <w:szCs w:val="24"/>
        </w:rPr>
        <w:t>g</w:t>
      </w:r>
      <w:r w:rsidRPr="000E4599">
        <w:rPr>
          <w:rFonts w:ascii="Times New Roman" w:hAnsi="Times New Roman" w:cs="Times New Roman"/>
          <w:sz w:val="24"/>
          <w:szCs w:val="24"/>
        </w:rPr>
        <w:t>overnment;</w:t>
      </w:r>
    </w:p>
    <w:p w:rsidR="005B7EFD" w:rsidRPr="005B7EFD" w:rsidRDefault="005B7EFD" w:rsidP="005B7EFD">
      <w:pPr>
        <w:spacing w:after="0" w:line="240" w:lineRule="auto"/>
        <w:jc w:val="both"/>
        <w:rPr>
          <w:rFonts w:ascii="Times New Roman" w:hAnsi="Times New Roman" w:cs="Times New Roman"/>
          <w:sz w:val="24"/>
          <w:szCs w:val="24"/>
        </w:rPr>
      </w:pPr>
    </w:p>
    <w:p w:rsidR="00BB68BD" w:rsidRDefault="00BB68BD" w:rsidP="00BB68BD">
      <w:pPr>
        <w:pStyle w:val="ListParagraph"/>
        <w:numPr>
          <w:ilvl w:val="0"/>
          <w:numId w:val="13"/>
        </w:num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reduce the likelihood of non-payment that might otherwise arise where the taxpayer reports the income but is unable to pay some or all of the tax assessed; and</w:t>
      </w:r>
    </w:p>
    <w:p w:rsidR="005B7EFD" w:rsidRPr="005B7EFD" w:rsidRDefault="005B7EFD" w:rsidP="005B7EFD">
      <w:pPr>
        <w:spacing w:after="0" w:line="240" w:lineRule="auto"/>
        <w:jc w:val="both"/>
        <w:rPr>
          <w:rFonts w:ascii="Times New Roman" w:hAnsi="Times New Roman" w:cs="Times New Roman"/>
          <w:sz w:val="24"/>
          <w:szCs w:val="24"/>
        </w:rPr>
      </w:pPr>
    </w:p>
    <w:p w:rsidR="00BB68BD" w:rsidRPr="000E4599" w:rsidRDefault="00BB68BD" w:rsidP="00BB68BD">
      <w:pPr>
        <w:pStyle w:val="ListParagraph"/>
        <w:numPr>
          <w:ilvl w:val="0"/>
          <w:numId w:val="13"/>
        </w:numPr>
        <w:spacing w:after="0" w:line="240" w:lineRule="auto"/>
        <w:jc w:val="both"/>
        <w:rPr>
          <w:rFonts w:ascii="Times New Roman" w:hAnsi="Times New Roman" w:cs="Times New Roman"/>
          <w:sz w:val="24"/>
          <w:szCs w:val="24"/>
        </w:rPr>
      </w:pPr>
      <w:proofErr w:type="gramStart"/>
      <w:r w:rsidRPr="000E4599">
        <w:rPr>
          <w:rFonts w:ascii="Times New Roman" w:hAnsi="Times New Roman" w:cs="Times New Roman"/>
          <w:sz w:val="24"/>
          <w:szCs w:val="24"/>
        </w:rPr>
        <w:t>can</w:t>
      </w:r>
      <w:proofErr w:type="gramEnd"/>
      <w:r w:rsidRPr="000E4599">
        <w:rPr>
          <w:rFonts w:ascii="Times New Roman" w:hAnsi="Times New Roman" w:cs="Times New Roman"/>
          <w:sz w:val="24"/>
          <w:szCs w:val="24"/>
        </w:rPr>
        <w:t xml:space="preserve"> significantly reduce the ability for taxpayers to understate their income.</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New Zealand has a number of domestic withholding taxes, most notabl</w:t>
      </w:r>
      <w:r w:rsidR="00B32B89">
        <w:rPr>
          <w:rFonts w:ascii="Times New Roman" w:hAnsi="Times New Roman" w:cs="Times New Roman"/>
          <w:sz w:val="24"/>
          <w:szCs w:val="24"/>
        </w:rPr>
        <w:t>y</w:t>
      </w:r>
      <w:r w:rsidRPr="000E4599">
        <w:rPr>
          <w:rFonts w:ascii="Times New Roman" w:hAnsi="Times New Roman" w:cs="Times New Roman"/>
          <w:sz w:val="24"/>
          <w:szCs w:val="24"/>
        </w:rPr>
        <w:t xml:space="preserve"> PAYE and </w:t>
      </w:r>
      <w:proofErr w:type="spellStart"/>
      <w:r w:rsidRPr="000E4599">
        <w:rPr>
          <w:rFonts w:ascii="Times New Roman" w:hAnsi="Times New Roman" w:cs="Times New Roman"/>
          <w:sz w:val="24"/>
          <w:szCs w:val="24"/>
        </w:rPr>
        <w:t>RWT</w:t>
      </w:r>
      <w:proofErr w:type="spellEnd"/>
      <w:r w:rsidRPr="000E4599">
        <w:rPr>
          <w:rFonts w:ascii="Times New Roman" w:hAnsi="Times New Roman" w:cs="Times New Roman"/>
          <w:sz w:val="24"/>
          <w:szCs w:val="24"/>
        </w:rPr>
        <w:t>. The “</w:t>
      </w:r>
      <w:proofErr w:type="spellStart"/>
      <w:r w:rsidRPr="000E4599">
        <w:rPr>
          <w:rFonts w:ascii="Times New Roman" w:hAnsi="Times New Roman" w:cs="Times New Roman"/>
          <w:sz w:val="24"/>
          <w:szCs w:val="24"/>
        </w:rPr>
        <w:t>schedular</w:t>
      </w:r>
      <w:proofErr w:type="spellEnd"/>
      <w:r w:rsidRPr="000E4599">
        <w:rPr>
          <w:rFonts w:ascii="Times New Roman" w:hAnsi="Times New Roman" w:cs="Times New Roman"/>
          <w:sz w:val="24"/>
          <w:szCs w:val="24"/>
        </w:rPr>
        <w:t xml:space="preserve"> payments” rules are another example of withholding. </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146EAF"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The </w:t>
      </w:r>
      <w:proofErr w:type="spellStart"/>
      <w:r w:rsidRPr="000E4599">
        <w:rPr>
          <w:rFonts w:ascii="Times New Roman" w:hAnsi="Times New Roman" w:cs="Times New Roman"/>
          <w:sz w:val="24"/>
          <w:szCs w:val="24"/>
        </w:rPr>
        <w:t>schedular</w:t>
      </w:r>
      <w:proofErr w:type="spellEnd"/>
      <w:r w:rsidRPr="000E4599">
        <w:rPr>
          <w:rFonts w:ascii="Times New Roman" w:hAnsi="Times New Roman" w:cs="Times New Roman"/>
          <w:sz w:val="24"/>
          <w:szCs w:val="24"/>
        </w:rPr>
        <w:t xml:space="preserve"> payment rules apply a withholding tax for payments made to contractors who are in a set of limited industries (and even for these limited industries, the coverage is patchy). The </w:t>
      </w:r>
      <w:proofErr w:type="spellStart"/>
      <w:r w:rsidRPr="000E4599">
        <w:rPr>
          <w:rFonts w:ascii="Times New Roman" w:hAnsi="Times New Roman" w:cs="Times New Roman"/>
          <w:sz w:val="24"/>
          <w:szCs w:val="24"/>
        </w:rPr>
        <w:t>schedular</w:t>
      </w:r>
      <w:proofErr w:type="spellEnd"/>
      <w:r w:rsidRPr="000E4599">
        <w:rPr>
          <w:rFonts w:ascii="Times New Roman" w:hAnsi="Times New Roman" w:cs="Times New Roman"/>
          <w:sz w:val="24"/>
          <w:szCs w:val="24"/>
        </w:rPr>
        <w:t xml:space="preserve"> payment rules are intended to supplement the standard PAYE rules and provide a more efficient means of collecting tax for contractors</w:t>
      </w:r>
      <w:r w:rsidRPr="00146EAF">
        <w:rPr>
          <w:rFonts w:ascii="Times New Roman" w:hAnsi="Times New Roman" w:cs="Times New Roman"/>
          <w:sz w:val="24"/>
          <w:szCs w:val="24"/>
        </w:rPr>
        <w:t xml:space="preserve">. </w:t>
      </w:r>
      <w:r w:rsidR="004C64C4" w:rsidRPr="00146EAF">
        <w:rPr>
          <w:rFonts w:ascii="Times New Roman" w:hAnsi="Times New Roman" w:cs="Times New Roman"/>
          <w:sz w:val="24"/>
          <w:szCs w:val="24"/>
        </w:rPr>
        <w:t xml:space="preserve">There are currently </w:t>
      </w:r>
      <w:r w:rsidR="00146EAF" w:rsidRPr="00146EAF">
        <w:rPr>
          <w:rFonts w:ascii="Times New Roman" w:hAnsi="Times New Roman" w:cs="Times New Roman"/>
          <w:sz w:val="24"/>
          <w:szCs w:val="24"/>
        </w:rPr>
        <w:t xml:space="preserve">approximately </w:t>
      </w:r>
      <w:r w:rsidR="004C64C4" w:rsidRPr="00146EAF">
        <w:rPr>
          <w:rFonts w:ascii="Times New Roman" w:hAnsi="Times New Roman" w:cs="Times New Roman"/>
          <w:sz w:val="24"/>
          <w:szCs w:val="24"/>
        </w:rPr>
        <w:t>130,000 contractors who are subject to withholding tax.</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The rules require withholding at flat rates. These rates have not been reviewed since 1979 and for the majority of taxpayers, the amount</w:t>
      </w:r>
      <w:r w:rsidR="00EB148A" w:rsidRPr="000E4599">
        <w:rPr>
          <w:rFonts w:ascii="Times New Roman" w:hAnsi="Times New Roman" w:cs="Times New Roman"/>
          <w:sz w:val="24"/>
          <w:szCs w:val="24"/>
        </w:rPr>
        <w:t>s</w:t>
      </w:r>
      <w:r w:rsidRPr="000E4599">
        <w:rPr>
          <w:rFonts w:ascii="Times New Roman" w:hAnsi="Times New Roman" w:cs="Times New Roman"/>
          <w:sz w:val="24"/>
          <w:szCs w:val="24"/>
        </w:rPr>
        <w:t xml:space="preserve"> withheld do not match their final tax liability (the current rates generally over-withhold on contractors).</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The withholding rules do not generally apply to companies. A contractor can also apply to Inland Revenue to obtain a certificate of exemption from withholding.</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There are significant issues with the </w:t>
      </w:r>
      <w:proofErr w:type="spellStart"/>
      <w:r w:rsidRPr="000E4599">
        <w:rPr>
          <w:rFonts w:ascii="Times New Roman" w:hAnsi="Times New Roman" w:cs="Times New Roman"/>
          <w:sz w:val="24"/>
          <w:szCs w:val="24"/>
        </w:rPr>
        <w:t>schedular</w:t>
      </w:r>
      <w:proofErr w:type="spellEnd"/>
      <w:r w:rsidRPr="000E4599">
        <w:rPr>
          <w:rFonts w:ascii="Times New Roman" w:hAnsi="Times New Roman" w:cs="Times New Roman"/>
          <w:sz w:val="24"/>
          <w:szCs w:val="24"/>
        </w:rPr>
        <w:t xml:space="preserve"> payment rules. The rules are neither comprehensive in scope nor simple in application. </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Although the withholding tax rules for </w:t>
      </w:r>
      <w:proofErr w:type="spellStart"/>
      <w:r w:rsidRPr="000E4599">
        <w:rPr>
          <w:rFonts w:ascii="Times New Roman" w:hAnsi="Times New Roman" w:cs="Times New Roman"/>
          <w:sz w:val="24"/>
          <w:szCs w:val="24"/>
        </w:rPr>
        <w:t>schedular</w:t>
      </w:r>
      <w:proofErr w:type="spellEnd"/>
      <w:r w:rsidRPr="000E4599">
        <w:rPr>
          <w:rFonts w:ascii="Times New Roman" w:hAnsi="Times New Roman" w:cs="Times New Roman"/>
          <w:sz w:val="24"/>
          <w:szCs w:val="24"/>
        </w:rPr>
        <w:t xml:space="preserve"> payments have not changed for many years, the labour market has undergone significant shifts. While the proportion of people who are self-employed (with no employees) has not changed much over the last 20 years, the industry make-up of these self-employed persons is changing. There has been a decrease in those working in industries such as agriculture and manufacturing, and an increase in the professional, scientific, and technical services and administrative and support services. </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The current withholding tax rules generally do not apply to these modern</w:t>
      </w:r>
      <w:r w:rsidR="006E0916">
        <w:rPr>
          <w:rFonts w:ascii="Times New Roman" w:hAnsi="Times New Roman" w:cs="Times New Roman"/>
          <w:sz w:val="24"/>
          <w:szCs w:val="24"/>
        </w:rPr>
        <w:t>,</w:t>
      </w:r>
      <w:r w:rsidRPr="000E4599">
        <w:rPr>
          <w:rFonts w:ascii="Times New Roman" w:hAnsi="Times New Roman" w:cs="Times New Roman"/>
          <w:sz w:val="24"/>
          <w:szCs w:val="24"/>
        </w:rPr>
        <w:t xml:space="preserve"> professional industries. This means more self-employed people are working in industries not covered by the withholding tax rules.</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noProof/>
          <w:sz w:val="24"/>
          <w:szCs w:val="24"/>
          <w:lang w:eastAsia="en-NZ"/>
        </w:rPr>
        <w:drawing>
          <wp:inline distT="0" distB="0" distL="0" distR="0" wp14:anchorId="5FB14C38" wp14:editId="2FC5DDB5">
            <wp:extent cx="4524375" cy="3281107"/>
            <wp:effectExtent l="0" t="0" r="0" b="0"/>
            <wp:docPr id="1" name="Picture 1" descr="C:\Users\17baho\AppData\Local\Microsoft\Windows\Temporary Internet Files\Content.Outlook\SVFQQ4EP\bargraph_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7baho\AppData\Local\Microsoft\Windows\Temporary Internet Files\Content.Outlook\SVFQQ4EP\bargraph_p3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528650" cy="3284207"/>
                    </a:xfrm>
                    <a:prstGeom prst="rect">
                      <a:avLst/>
                    </a:prstGeom>
                    <a:noFill/>
                    <a:ln>
                      <a:noFill/>
                    </a:ln>
                    <a:extLst>
                      <a:ext uri="{53640926-AAD7-44D8-BBD7-CCE9431645EC}">
                        <a14:shadowObscured xmlns:a14="http://schemas.microsoft.com/office/drawing/2010/main"/>
                      </a:ext>
                    </a:extLst>
                  </pic:spPr>
                </pic:pic>
              </a:graphicData>
            </a:graphic>
          </wp:inline>
        </w:drawing>
      </w:r>
      <w:r w:rsidRPr="000E4599">
        <w:rPr>
          <w:rStyle w:val="FootnoteReference"/>
          <w:rFonts w:ascii="Times New Roman" w:hAnsi="Times New Roman" w:cs="Times New Roman"/>
          <w:sz w:val="24"/>
          <w:szCs w:val="24"/>
        </w:rPr>
        <w:footnoteReference w:id="3"/>
      </w: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In addition, using a company structure has become increasingly popular with contractors. Payments to companies are generally not subject to withholding tax under the </w:t>
      </w:r>
      <w:proofErr w:type="spellStart"/>
      <w:r w:rsidRPr="000E4599">
        <w:rPr>
          <w:rFonts w:ascii="Times New Roman" w:hAnsi="Times New Roman" w:cs="Times New Roman"/>
          <w:sz w:val="24"/>
          <w:szCs w:val="24"/>
        </w:rPr>
        <w:t>schedular</w:t>
      </w:r>
      <w:proofErr w:type="spellEnd"/>
      <w:r w:rsidRPr="000E4599">
        <w:rPr>
          <w:rFonts w:ascii="Times New Roman" w:hAnsi="Times New Roman" w:cs="Times New Roman"/>
          <w:sz w:val="24"/>
          <w:szCs w:val="24"/>
        </w:rPr>
        <w:t xml:space="preserve"> payment rules</w:t>
      </w:r>
      <w:r w:rsidR="00A124DF">
        <w:rPr>
          <w:rFonts w:ascii="Times New Roman" w:hAnsi="Times New Roman" w:cs="Times New Roman"/>
          <w:sz w:val="24"/>
          <w:szCs w:val="24"/>
        </w:rPr>
        <w:t>.</w:t>
      </w:r>
      <w:r w:rsidRPr="000E4599">
        <w:rPr>
          <w:rStyle w:val="FootnoteReference"/>
          <w:rFonts w:ascii="Times New Roman" w:hAnsi="Times New Roman" w:cs="Times New Roman"/>
          <w:sz w:val="24"/>
          <w:szCs w:val="24"/>
        </w:rPr>
        <w:footnoteReference w:id="4"/>
      </w:r>
      <w:r w:rsidRPr="000E4599">
        <w:rPr>
          <w:rFonts w:ascii="Times New Roman" w:hAnsi="Times New Roman" w:cs="Times New Roman"/>
          <w:sz w:val="24"/>
          <w:szCs w:val="24"/>
        </w:rPr>
        <w:t xml:space="preserve"> The diagram below illustrates the increasing use of companies as a vehicle through which to carry out a business over the period 2000-2014</w:t>
      </w:r>
      <w:r w:rsidR="00A124DF">
        <w:rPr>
          <w:rFonts w:ascii="Times New Roman" w:hAnsi="Times New Roman" w:cs="Times New Roman"/>
          <w:sz w:val="24"/>
          <w:szCs w:val="24"/>
        </w:rPr>
        <w:t>.</w:t>
      </w: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noProof/>
          <w:sz w:val="24"/>
          <w:szCs w:val="24"/>
          <w:lang w:eastAsia="en-NZ"/>
        </w:rPr>
        <w:drawing>
          <wp:inline distT="0" distB="0" distL="0" distR="0" wp14:anchorId="54D728AB" wp14:editId="5D3FFFA3">
            <wp:extent cx="3562184" cy="3117874"/>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1834" cy="3126321"/>
                    </a:xfrm>
                    <a:prstGeom prst="rect">
                      <a:avLst/>
                    </a:prstGeom>
                    <a:noFill/>
                  </pic:spPr>
                </pic:pic>
              </a:graphicData>
            </a:graphic>
          </wp:inline>
        </w:drawing>
      </w:r>
      <w:r w:rsidRPr="000E4599">
        <w:rPr>
          <w:rStyle w:val="FootnoteReference"/>
          <w:rFonts w:ascii="Times New Roman" w:hAnsi="Times New Roman" w:cs="Times New Roman"/>
          <w:sz w:val="24"/>
          <w:szCs w:val="24"/>
        </w:rPr>
        <w:footnoteReference w:id="5"/>
      </w: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These out of date rules are creating </w:t>
      </w:r>
      <w:r w:rsidR="00C164C7">
        <w:rPr>
          <w:rFonts w:ascii="Times New Roman" w:hAnsi="Times New Roman" w:cs="Times New Roman"/>
          <w:sz w:val="24"/>
          <w:szCs w:val="24"/>
        </w:rPr>
        <w:t>issue</w:t>
      </w:r>
      <w:r w:rsidR="00C164C7" w:rsidRPr="000E4599">
        <w:rPr>
          <w:rFonts w:ascii="Times New Roman" w:hAnsi="Times New Roman" w:cs="Times New Roman"/>
          <w:sz w:val="24"/>
          <w:szCs w:val="24"/>
        </w:rPr>
        <w:t>s</w:t>
      </w:r>
      <w:r w:rsidRPr="000E4599">
        <w:rPr>
          <w:rFonts w:ascii="Times New Roman" w:hAnsi="Times New Roman" w:cs="Times New Roman"/>
          <w:sz w:val="24"/>
          <w:szCs w:val="24"/>
        </w:rPr>
        <w:t xml:space="preserve">. Many modern contractors are not subject to the withholding rules and are instead required to manage their own tax obligations (including provisional tax). </w:t>
      </w:r>
      <w:r w:rsidR="005B7EFD">
        <w:rPr>
          <w:rFonts w:ascii="Times New Roman" w:hAnsi="Times New Roman" w:cs="Times New Roman"/>
          <w:sz w:val="24"/>
          <w:szCs w:val="24"/>
        </w:rPr>
        <w:t xml:space="preserve">Contractors </w:t>
      </w:r>
      <w:r w:rsidRPr="000E4599">
        <w:rPr>
          <w:rFonts w:ascii="Times New Roman" w:hAnsi="Times New Roman" w:cs="Times New Roman"/>
          <w:sz w:val="24"/>
          <w:szCs w:val="24"/>
        </w:rPr>
        <w:t>subject to the withholding rules face an inflexible set of rules that prescribe flat rates of withholding and do not give them the tools to self-manage their obligations.</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These contractors also have the opportunity to sup</w:t>
      </w:r>
      <w:r w:rsidR="005A7600">
        <w:rPr>
          <w:rFonts w:ascii="Times New Roman" w:hAnsi="Times New Roman" w:cs="Times New Roman"/>
          <w:sz w:val="24"/>
          <w:szCs w:val="24"/>
        </w:rPr>
        <w:t>p</w:t>
      </w:r>
      <w:r w:rsidRPr="000E4599">
        <w:rPr>
          <w:rFonts w:ascii="Times New Roman" w:hAnsi="Times New Roman" w:cs="Times New Roman"/>
          <w:sz w:val="24"/>
          <w:szCs w:val="24"/>
        </w:rPr>
        <w:t>ress income and operate totally or partially in the hidden economy. Investigators within Inland Revenue are reporting that there are compliance issues with contractors not subject to withholding. These contractors are not paying their fair share of tax and are claiming social policy benefits they are not entitled to.</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This imposes greater costs and creates inefficiencies. </w:t>
      </w:r>
      <w:r w:rsidR="00E03224">
        <w:rPr>
          <w:rFonts w:ascii="Times New Roman" w:hAnsi="Times New Roman" w:cs="Times New Roman"/>
          <w:sz w:val="24"/>
          <w:szCs w:val="24"/>
        </w:rPr>
        <w:t xml:space="preserve">Source </w:t>
      </w:r>
      <w:r w:rsidR="008E4AF0">
        <w:rPr>
          <w:rFonts w:ascii="Times New Roman" w:hAnsi="Times New Roman" w:cs="Times New Roman"/>
          <w:sz w:val="24"/>
          <w:szCs w:val="24"/>
        </w:rPr>
        <w:t>deductions</w:t>
      </w:r>
      <w:r w:rsidR="00E03224">
        <w:rPr>
          <w:rFonts w:ascii="Times New Roman" w:hAnsi="Times New Roman" w:cs="Times New Roman"/>
          <w:sz w:val="24"/>
          <w:szCs w:val="24"/>
        </w:rPr>
        <w:t xml:space="preserve"> are</w:t>
      </w:r>
      <w:r w:rsidRPr="000E4599">
        <w:rPr>
          <w:rFonts w:ascii="Times New Roman" w:hAnsi="Times New Roman" w:cs="Times New Roman"/>
          <w:sz w:val="24"/>
          <w:szCs w:val="24"/>
        </w:rPr>
        <w:t xml:space="preserve"> a more efficient means of collecting tax for both contractors as well as Inland Revenue. It costs Inland Revenue $0.28 to collect $100 of </w:t>
      </w:r>
      <w:r w:rsidR="00E03224">
        <w:rPr>
          <w:rFonts w:ascii="Times New Roman" w:hAnsi="Times New Roman" w:cs="Times New Roman"/>
          <w:sz w:val="24"/>
          <w:szCs w:val="24"/>
        </w:rPr>
        <w:t>tax from withheld</w:t>
      </w:r>
      <w:r w:rsidR="00AB3A6E">
        <w:rPr>
          <w:rFonts w:ascii="Times New Roman" w:hAnsi="Times New Roman" w:cs="Times New Roman"/>
          <w:sz w:val="24"/>
          <w:szCs w:val="24"/>
        </w:rPr>
        <w:t xml:space="preserve"> PAYE</w:t>
      </w:r>
      <w:r w:rsidR="00E03224">
        <w:rPr>
          <w:rFonts w:ascii="Times New Roman" w:hAnsi="Times New Roman" w:cs="Times New Roman"/>
          <w:sz w:val="24"/>
          <w:szCs w:val="24"/>
        </w:rPr>
        <w:t xml:space="preserve"> income</w:t>
      </w:r>
      <w:r w:rsidR="00E03224" w:rsidRPr="000E4599">
        <w:rPr>
          <w:rFonts w:ascii="Times New Roman" w:hAnsi="Times New Roman" w:cs="Times New Roman"/>
          <w:sz w:val="24"/>
          <w:szCs w:val="24"/>
        </w:rPr>
        <w:t xml:space="preserve"> </w:t>
      </w:r>
      <w:r w:rsidRPr="000E4599">
        <w:rPr>
          <w:rFonts w:ascii="Times New Roman" w:hAnsi="Times New Roman" w:cs="Times New Roman"/>
          <w:sz w:val="24"/>
          <w:szCs w:val="24"/>
        </w:rPr>
        <w:t xml:space="preserve">compared with $2.28 for $100 </w:t>
      </w:r>
      <w:r w:rsidR="00E03224">
        <w:rPr>
          <w:rFonts w:ascii="Times New Roman" w:hAnsi="Times New Roman" w:cs="Times New Roman"/>
          <w:sz w:val="24"/>
          <w:szCs w:val="24"/>
        </w:rPr>
        <w:t xml:space="preserve">of </w:t>
      </w:r>
      <w:r w:rsidR="00AB3A6E">
        <w:rPr>
          <w:rFonts w:ascii="Times New Roman" w:hAnsi="Times New Roman" w:cs="Times New Roman"/>
          <w:sz w:val="24"/>
          <w:szCs w:val="24"/>
        </w:rPr>
        <w:t xml:space="preserve">income </w:t>
      </w:r>
      <w:r w:rsidR="00E03224">
        <w:rPr>
          <w:rFonts w:ascii="Times New Roman" w:hAnsi="Times New Roman" w:cs="Times New Roman"/>
          <w:sz w:val="24"/>
          <w:szCs w:val="24"/>
        </w:rPr>
        <w:t>tax from</w:t>
      </w:r>
      <w:r w:rsidR="00E03224" w:rsidRPr="000E4599">
        <w:rPr>
          <w:rFonts w:ascii="Times New Roman" w:hAnsi="Times New Roman" w:cs="Times New Roman"/>
          <w:sz w:val="24"/>
          <w:szCs w:val="24"/>
        </w:rPr>
        <w:t xml:space="preserve"> </w:t>
      </w:r>
      <w:r w:rsidRPr="000E4599">
        <w:rPr>
          <w:rFonts w:ascii="Times New Roman" w:hAnsi="Times New Roman" w:cs="Times New Roman"/>
          <w:sz w:val="24"/>
          <w:szCs w:val="24"/>
        </w:rPr>
        <w:t>non-withheld income. The out of date rules are imposing greater costs on both contractors and the government.</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This regulatory impact statement considers three measures to address these </w:t>
      </w:r>
      <w:r w:rsidR="00C164C7">
        <w:rPr>
          <w:rFonts w:ascii="Times New Roman" w:hAnsi="Times New Roman" w:cs="Times New Roman"/>
          <w:sz w:val="24"/>
          <w:szCs w:val="24"/>
        </w:rPr>
        <w:t>issue</w:t>
      </w:r>
      <w:r w:rsidR="00C164C7" w:rsidRPr="000E4599">
        <w:rPr>
          <w:rFonts w:ascii="Times New Roman" w:hAnsi="Times New Roman" w:cs="Times New Roman"/>
          <w:sz w:val="24"/>
          <w:szCs w:val="24"/>
        </w:rPr>
        <w:t xml:space="preserve">s </w:t>
      </w:r>
      <w:r w:rsidRPr="000E4599">
        <w:rPr>
          <w:rFonts w:ascii="Times New Roman" w:hAnsi="Times New Roman" w:cs="Times New Roman"/>
          <w:sz w:val="24"/>
          <w:szCs w:val="24"/>
        </w:rPr>
        <w:t xml:space="preserve">that are feasible to implement with a 1 April 2017 application date. </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2C30E2" w:rsidRDefault="00BB68BD" w:rsidP="00BB68BD">
      <w:pPr>
        <w:spacing w:after="0" w:line="240" w:lineRule="auto"/>
        <w:jc w:val="both"/>
        <w:rPr>
          <w:rFonts w:ascii="Times New Roman" w:hAnsi="Times New Roman" w:cs="Times New Roman"/>
          <w:b/>
          <w:i/>
          <w:sz w:val="24"/>
          <w:szCs w:val="24"/>
        </w:rPr>
      </w:pPr>
      <w:r w:rsidRPr="002C30E2">
        <w:rPr>
          <w:rFonts w:ascii="Times New Roman" w:hAnsi="Times New Roman" w:cs="Times New Roman"/>
          <w:b/>
          <w:i/>
          <w:sz w:val="24"/>
          <w:szCs w:val="24"/>
        </w:rPr>
        <w:t>Options</w:t>
      </w:r>
      <w:r w:rsidR="002C30E2" w:rsidRPr="002C30E2">
        <w:rPr>
          <w:rFonts w:ascii="Times New Roman" w:hAnsi="Times New Roman" w:cs="Times New Roman"/>
          <w:b/>
          <w:i/>
          <w:sz w:val="24"/>
          <w:szCs w:val="24"/>
        </w:rPr>
        <w:t xml:space="preserve"> and analysis</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The options to address the </w:t>
      </w:r>
      <w:r w:rsidR="00C164C7">
        <w:rPr>
          <w:rFonts w:ascii="Times New Roman" w:hAnsi="Times New Roman" w:cs="Times New Roman"/>
          <w:sz w:val="24"/>
          <w:szCs w:val="24"/>
        </w:rPr>
        <w:t>issue</w:t>
      </w:r>
      <w:r w:rsidR="00C164C7" w:rsidRPr="000E4599">
        <w:rPr>
          <w:rFonts w:ascii="Times New Roman" w:hAnsi="Times New Roman" w:cs="Times New Roman"/>
          <w:sz w:val="24"/>
          <w:szCs w:val="24"/>
        </w:rPr>
        <w:t xml:space="preserve"> </w:t>
      </w:r>
      <w:r w:rsidRPr="000E4599">
        <w:rPr>
          <w:rFonts w:ascii="Times New Roman" w:hAnsi="Times New Roman" w:cs="Times New Roman"/>
          <w:sz w:val="24"/>
          <w:szCs w:val="24"/>
        </w:rPr>
        <w:t>are:</w:t>
      </w:r>
    </w:p>
    <w:p w:rsidR="00BB68BD" w:rsidRPr="000E4599" w:rsidRDefault="00BB68BD" w:rsidP="00BB68BD">
      <w:pPr>
        <w:spacing w:after="0" w:line="240" w:lineRule="auto"/>
        <w:jc w:val="both"/>
        <w:rPr>
          <w:rFonts w:ascii="Times New Roman" w:hAnsi="Times New Roman" w:cs="Times New Roman"/>
          <w:sz w:val="24"/>
          <w:szCs w:val="24"/>
        </w:rPr>
      </w:pPr>
    </w:p>
    <w:p w:rsidR="00BB68BD" w:rsidRDefault="005A64CE" w:rsidP="008D31DB">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Retain the s</w:t>
      </w:r>
      <w:r w:rsidR="00BB68BD" w:rsidRPr="000E4599">
        <w:rPr>
          <w:rFonts w:ascii="Times New Roman" w:hAnsi="Times New Roman" w:cs="Times New Roman"/>
          <w:sz w:val="24"/>
          <w:szCs w:val="24"/>
        </w:rPr>
        <w:t>tatus quo</w:t>
      </w:r>
      <w:r w:rsidR="00E236E9">
        <w:rPr>
          <w:rFonts w:ascii="Times New Roman" w:hAnsi="Times New Roman" w:cs="Times New Roman"/>
          <w:sz w:val="24"/>
          <w:szCs w:val="24"/>
        </w:rPr>
        <w:t>.</w:t>
      </w:r>
    </w:p>
    <w:p w:rsidR="005B7EFD" w:rsidRPr="005B7EFD" w:rsidRDefault="005B7EFD" w:rsidP="005B7EFD">
      <w:pPr>
        <w:spacing w:after="0" w:line="240" w:lineRule="auto"/>
        <w:jc w:val="both"/>
        <w:rPr>
          <w:rFonts w:ascii="Times New Roman" w:hAnsi="Times New Roman" w:cs="Times New Roman"/>
          <w:sz w:val="24"/>
          <w:szCs w:val="24"/>
        </w:rPr>
      </w:pPr>
    </w:p>
    <w:p w:rsidR="00BB68BD" w:rsidRDefault="00BB68BD" w:rsidP="008D31DB">
      <w:pPr>
        <w:pStyle w:val="ListParagraph"/>
        <w:numPr>
          <w:ilvl w:val="0"/>
          <w:numId w:val="47"/>
        </w:num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Allow contractors subject to the </w:t>
      </w:r>
      <w:proofErr w:type="spellStart"/>
      <w:r w:rsidRPr="000E4599">
        <w:rPr>
          <w:rFonts w:ascii="Times New Roman" w:hAnsi="Times New Roman" w:cs="Times New Roman"/>
          <w:sz w:val="24"/>
          <w:szCs w:val="24"/>
        </w:rPr>
        <w:t>schedular</w:t>
      </w:r>
      <w:proofErr w:type="spellEnd"/>
      <w:r w:rsidRPr="000E4599">
        <w:rPr>
          <w:rFonts w:ascii="Times New Roman" w:hAnsi="Times New Roman" w:cs="Times New Roman"/>
          <w:sz w:val="24"/>
          <w:szCs w:val="24"/>
        </w:rPr>
        <w:t xml:space="preserve"> payment rules to elect their own withholding rate</w:t>
      </w:r>
      <w:r w:rsidR="00E236E9">
        <w:rPr>
          <w:rFonts w:ascii="Times New Roman" w:hAnsi="Times New Roman" w:cs="Times New Roman"/>
          <w:sz w:val="24"/>
          <w:szCs w:val="24"/>
        </w:rPr>
        <w:t>.</w:t>
      </w:r>
    </w:p>
    <w:p w:rsidR="00874D8C" w:rsidRDefault="00BB68BD" w:rsidP="0003767F">
      <w:pPr>
        <w:pStyle w:val="ListParagraph"/>
        <w:numPr>
          <w:ilvl w:val="0"/>
          <w:numId w:val="47"/>
        </w:num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Allow contractors not subject to the </w:t>
      </w:r>
      <w:proofErr w:type="spellStart"/>
      <w:r w:rsidRPr="000E4599">
        <w:rPr>
          <w:rFonts w:ascii="Times New Roman" w:hAnsi="Times New Roman" w:cs="Times New Roman"/>
          <w:sz w:val="24"/>
          <w:szCs w:val="24"/>
        </w:rPr>
        <w:t>schedular</w:t>
      </w:r>
      <w:proofErr w:type="spellEnd"/>
      <w:r w:rsidRPr="000E4599">
        <w:rPr>
          <w:rFonts w:ascii="Times New Roman" w:hAnsi="Times New Roman" w:cs="Times New Roman"/>
          <w:sz w:val="24"/>
          <w:szCs w:val="24"/>
        </w:rPr>
        <w:t xml:space="preserve"> payment rules to voluntarily elect into the withholding rules</w:t>
      </w:r>
      <w:r w:rsidR="00E236E9">
        <w:rPr>
          <w:rFonts w:ascii="Times New Roman" w:hAnsi="Times New Roman" w:cs="Times New Roman"/>
          <w:sz w:val="24"/>
          <w:szCs w:val="24"/>
        </w:rPr>
        <w:t>.</w:t>
      </w:r>
    </w:p>
    <w:p w:rsidR="00874D8C" w:rsidRPr="00874D8C" w:rsidRDefault="00874D8C" w:rsidP="00874D8C">
      <w:pPr>
        <w:pStyle w:val="ListParagraph"/>
        <w:rPr>
          <w:rFonts w:ascii="Times New Roman" w:hAnsi="Times New Roman" w:cs="Times New Roman"/>
          <w:sz w:val="24"/>
          <w:szCs w:val="24"/>
        </w:rPr>
      </w:pPr>
    </w:p>
    <w:p w:rsidR="00874D8C" w:rsidRDefault="00874D8C" w:rsidP="0003767F">
      <w:pPr>
        <w:pStyle w:val="ListParagraph"/>
        <w:numPr>
          <w:ilvl w:val="0"/>
          <w:numId w:val="47"/>
        </w:num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Extend withholding to labour-hire firms</w:t>
      </w:r>
      <w:r>
        <w:rPr>
          <w:rFonts w:ascii="Times New Roman" w:hAnsi="Times New Roman" w:cs="Times New Roman"/>
          <w:sz w:val="24"/>
          <w:szCs w:val="24"/>
        </w:rPr>
        <w:t>.</w:t>
      </w:r>
    </w:p>
    <w:p w:rsidR="00E236E9" w:rsidRDefault="00E236E9" w:rsidP="00E236E9">
      <w:pPr>
        <w:spacing w:after="0" w:line="240" w:lineRule="auto"/>
        <w:jc w:val="both"/>
        <w:rPr>
          <w:rFonts w:ascii="Times New Roman" w:hAnsi="Times New Roman" w:cs="Times New Roman"/>
          <w:sz w:val="24"/>
          <w:szCs w:val="24"/>
        </w:rPr>
      </w:pPr>
    </w:p>
    <w:p w:rsidR="00E236E9" w:rsidRPr="00E236E9" w:rsidRDefault="00E236E9" w:rsidP="00E236E9">
      <w:pPr>
        <w:spacing w:after="0" w:line="240" w:lineRule="auto"/>
        <w:jc w:val="both"/>
        <w:rPr>
          <w:rFonts w:ascii="Times New Roman" w:hAnsi="Times New Roman" w:cs="Times New Roman"/>
          <w:sz w:val="24"/>
          <w:szCs w:val="24"/>
        </w:rPr>
      </w:pPr>
      <w:r w:rsidRPr="00E236E9">
        <w:rPr>
          <w:rFonts w:ascii="Times New Roman" w:hAnsi="Times New Roman" w:cs="Times New Roman"/>
          <w:sz w:val="24"/>
          <w:szCs w:val="24"/>
        </w:rPr>
        <w:t xml:space="preserve">The three measures </w:t>
      </w:r>
      <w:r w:rsidR="003C4F37">
        <w:rPr>
          <w:rFonts w:ascii="Times New Roman" w:hAnsi="Times New Roman" w:cs="Times New Roman"/>
          <w:sz w:val="24"/>
          <w:szCs w:val="24"/>
        </w:rPr>
        <w:t>2</w:t>
      </w:r>
      <w:r w:rsidRPr="00E236E9">
        <w:rPr>
          <w:rFonts w:ascii="Times New Roman" w:hAnsi="Times New Roman" w:cs="Times New Roman"/>
          <w:sz w:val="24"/>
          <w:szCs w:val="24"/>
        </w:rPr>
        <w:t xml:space="preserve">, </w:t>
      </w:r>
      <w:r w:rsidR="003C4F37">
        <w:rPr>
          <w:rFonts w:ascii="Times New Roman" w:hAnsi="Times New Roman" w:cs="Times New Roman"/>
          <w:sz w:val="24"/>
          <w:szCs w:val="24"/>
        </w:rPr>
        <w:t>3</w:t>
      </w:r>
      <w:r w:rsidRPr="00E236E9">
        <w:rPr>
          <w:rFonts w:ascii="Times New Roman" w:hAnsi="Times New Roman" w:cs="Times New Roman"/>
          <w:sz w:val="24"/>
          <w:szCs w:val="24"/>
        </w:rPr>
        <w:t xml:space="preserve">, and </w:t>
      </w:r>
      <w:r w:rsidR="003C4F37">
        <w:rPr>
          <w:rFonts w:ascii="Times New Roman" w:hAnsi="Times New Roman" w:cs="Times New Roman"/>
          <w:sz w:val="24"/>
          <w:szCs w:val="24"/>
        </w:rPr>
        <w:t>4</w:t>
      </w:r>
      <w:r w:rsidRPr="00E236E9">
        <w:rPr>
          <w:rFonts w:ascii="Times New Roman" w:hAnsi="Times New Roman" w:cs="Times New Roman"/>
          <w:sz w:val="24"/>
          <w:szCs w:val="24"/>
        </w:rPr>
        <w:t>, are not mutually exclusive.</w:t>
      </w:r>
    </w:p>
    <w:p w:rsidR="00E236E9" w:rsidRPr="00E236E9" w:rsidRDefault="00E236E9" w:rsidP="00E236E9">
      <w:pPr>
        <w:spacing w:after="0" w:line="240" w:lineRule="auto"/>
        <w:jc w:val="both"/>
        <w:rPr>
          <w:rFonts w:ascii="Times New Roman" w:hAnsi="Times New Roman" w:cs="Times New Roman"/>
          <w:sz w:val="24"/>
          <w:szCs w:val="24"/>
        </w:rPr>
      </w:pPr>
    </w:p>
    <w:p w:rsidR="00E236E9" w:rsidRPr="00E236E9" w:rsidRDefault="00E236E9" w:rsidP="00E236E9">
      <w:pPr>
        <w:spacing w:after="0" w:line="240" w:lineRule="auto"/>
        <w:jc w:val="both"/>
        <w:rPr>
          <w:rFonts w:ascii="Times New Roman" w:hAnsi="Times New Roman" w:cs="Times New Roman"/>
          <w:i/>
          <w:sz w:val="24"/>
          <w:szCs w:val="24"/>
        </w:rPr>
      </w:pPr>
      <w:r w:rsidRPr="00E236E9">
        <w:rPr>
          <w:rFonts w:ascii="Times New Roman" w:hAnsi="Times New Roman" w:cs="Times New Roman"/>
          <w:i/>
          <w:sz w:val="24"/>
          <w:szCs w:val="24"/>
        </w:rPr>
        <w:t>Measures not considered</w:t>
      </w:r>
    </w:p>
    <w:p w:rsidR="00E236E9" w:rsidRPr="00E236E9" w:rsidRDefault="00E236E9" w:rsidP="00E236E9">
      <w:pPr>
        <w:spacing w:after="0" w:line="240" w:lineRule="auto"/>
        <w:jc w:val="both"/>
        <w:rPr>
          <w:rFonts w:ascii="Times New Roman" w:hAnsi="Times New Roman" w:cs="Times New Roman"/>
          <w:sz w:val="24"/>
          <w:szCs w:val="24"/>
        </w:rPr>
      </w:pPr>
    </w:p>
    <w:p w:rsidR="00E236E9" w:rsidRDefault="00E236E9" w:rsidP="00E236E9">
      <w:pPr>
        <w:spacing w:after="0" w:line="240" w:lineRule="auto"/>
        <w:jc w:val="both"/>
        <w:rPr>
          <w:rFonts w:ascii="Times New Roman" w:hAnsi="Times New Roman" w:cs="Times New Roman"/>
          <w:sz w:val="24"/>
          <w:szCs w:val="24"/>
        </w:rPr>
      </w:pPr>
      <w:r w:rsidRPr="00E236E9">
        <w:rPr>
          <w:rFonts w:ascii="Times New Roman" w:hAnsi="Times New Roman" w:cs="Times New Roman"/>
          <w:sz w:val="24"/>
          <w:szCs w:val="24"/>
        </w:rPr>
        <w:t xml:space="preserve">There are a number of other options that would address these </w:t>
      </w:r>
      <w:r w:rsidR="00C164C7">
        <w:rPr>
          <w:rFonts w:ascii="Times New Roman" w:hAnsi="Times New Roman" w:cs="Times New Roman"/>
          <w:sz w:val="24"/>
          <w:szCs w:val="24"/>
        </w:rPr>
        <w:t>issue</w:t>
      </w:r>
      <w:r w:rsidR="00C164C7" w:rsidRPr="00E236E9">
        <w:rPr>
          <w:rFonts w:ascii="Times New Roman" w:hAnsi="Times New Roman" w:cs="Times New Roman"/>
          <w:sz w:val="24"/>
          <w:szCs w:val="24"/>
        </w:rPr>
        <w:t xml:space="preserve">s </w:t>
      </w:r>
      <w:r w:rsidRPr="00E236E9">
        <w:rPr>
          <w:rFonts w:ascii="Times New Roman" w:hAnsi="Times New Roman" w:cs="Times New Roman"/>
          <w:sz w:val="24"/>
          <w:szCs w:val="24"/>
        </w:rPr>
        <w:t>that are not considered in this regulatory impact statement.</w:t>
      </w:r>
      <w:r>
        <w:rPr>
          <w:rFonts w:ascii="Times New Roman" w:hAnsi="Times New Roman" w:cs="Times New Roman"/>
          <w:sz w:val="24"/>
          <w:szCs w:val="24"/>
        </w:rPr>
        <w:t xml:space="preserve"> </w:t>
      </w:r>
      <w:r w:rsidRPr="00E236E9">
        <w:rPr>
          <w:rFonts w:ascii="Times New Roman" w:hAnsi="Times New Roman" w:cs="Times New Roman"/>
          <w:sz w:val="24"/>
          <w:szCs w:val="24"/>
        </w:rPr>
        <w:t>This includes:</w:t>
      </w:r>
    </w:p>
    <w:p w:rsidR="00E236E9" w:rsidRPr="00E236E9" w:rsidRDefault="00E236E9" w:rsidP="00E236E9">
      <w:pPr>
        <w:spacing w:after="0" w:line="240" w:lineRule="auto"/>
        <w:jc w:val="both"/>
        <w:rPr>
          <w:rFonts w:ascii="Times New Roman" w:hAnsi="Times New Roman" w:cs="Times New Roman"/>
          <w:sz w:val="24"/>
          <w:szCs w:val="24"/>
        </w:rPr>
      </w:pPr>
    </w:p>
    <w:p w:rsidR="00E236E9" w:rsidRDefault="00E236E9" w:rsidP="00E236E9">
      <w:pPr>
        <w:spacing w:after="0" w:line="240" w:lineRule="auto"/>
        <w:ind w:left="709" w:hanging="283"/>
        <w:jc w:val="both"/>
        <w:rPr>
          <w:rFonts w:ascii="Times New Roman" w:hAnsi="Times New Roman" w:cs="Times New Roman"/>
          <w:sz w:val="24"/>
          <w:szCs w:val="24"/>
        </w:rPr>
      </w:pPr>
      <w:r w:rsidRPr="00E236E9">
        <w:rPr>
          <w:rFonts w:ascii="Times New Roman" w:hAnsi="Times New Roman" w:cs="Times New Roman"/>
          <w:sz w:val="24"/>
          <w:szCs w:val="24"/>
        </w:rPr>
        <w:t>•</w:t>
      </w:r>
      <w:r w:rsidRPr="00E236E9">
        <w:rPr>
          <w:rFonts w:ascii="Times New Roman" w:hAnsi="Times New Roman" w:cs="Times New Roman"/>
          <w:sz w:val="24"/>
          <w:szCs w:val="24"/>
        </w:rPr>
        <w:tab/>
        <w:t>Extending withholding to other</w:t>
      </w:r>
      <w:r w:rsidR="00F26F3F">
        <w:rPr>
          <w:rFonts w:ascii="Times New Roman" w:hAnsi="Times New Roman" w:cs="Times New Roman"/>
          <w:sz w:val="24"/>
          <w:szCs w:val="24"/>
        </w:rPr>
        <w:t xml:space="preserve"> directly engaged</w:t>
      </w:r>
      <w:r w:rsidRPr="00E236E9">
        <w:rPr>
          <w:rFonts w:ascii="Times New Roman" w:hAnsi="Times New Roman" w:cs="Times New Roman"/>
          <w:sz w:val="24"/>
          <w:szCs w:val="24"/>
        </w:rPr>
        <w:t xml:space="preserve"> contractors (for example, IT contractors)</w:t>
      </w:r>
      <w:r w:rsidR="00A124DF">
        <w:rPr>
          <w:rFonts w:ascii="Times New Roman" w:hAnsi="Times New Roman" w:cs="Times New Roman"/>
          <w:sz w:val="24"/>
          <w:szCs w:val="24"/>
        </w:rPr>
        <w:t>.</w:t>
      </w:r>
    </w:p>
    <w:p w:rsidR="00E236E9" w:rsidRPr="00E236E9" w:rsidRDefault="00E236E9" w:rsidP="00E236E9">
      <w:pPr>
        <w:spacing w:after="0" w:line="240" w:lineRule="auto"/>
        <w:ind w:left="709" w:hanging="283"/>
        <w:jc w:val="both"/>
        <w:rPr>
          <w:rFonts w:ascii="Times New Roman" w:hAnsi="Times New Roman" w:cs="Times New Roman"/>
          <w:sz w:val="24"/>
          <w:szCs w:val="24"/>
        </w:rPr>
      </w:pPr>
    </w:p>
    <w:p w:rsidR="00E236E9" w:rsidRDefault="00E236E9" w:rsidP="00E236E9">
      <w:pPr>
        <w:spacing w:after="0" w:line="240" w:lineRule="auto"/>
        <w:ind w:left="709" w:hanging="283"/>
        <w:jc w:val="both"/>
        <w:rPr>
          <w:rFonts w:ascii="Times New Roman" w:hAnsi="Times New Roman" w:cs="Times New Roman"/>
          <w:sz w:val="24"/>
          <w:szCs w:val="24"/>
        </w:rPr>
      </w:pPr>
      <w:r w:rsidRPr="00E236E9">
        <w:rPr>
          <w:rFonts w:ascii="Times New Roman" w:hAnsi="Times New Roman" w:cs="Times New Roman"/>
          <w:sz w:val="24"/>
          <w:szCs w:val="24"/>
        </w:rPr>
        <w:t>•</w:t>
      </w:r>
      <w:r w:rsidRPr="00E236E9">
        <w:rPr>
          <w:rFonts w:ascii="Times New Roman" w:hAnsi="Times New Roman" w:cs="Times New Roman"/>
          <w:sz w:val="24"/>
          <w:szCs w:val="24"/>
        </w:rPr>
        <w:tab/>
        <w:t xml:space="preserve">Removing or amending the company exception to the </w:t>
      </w:r>
      <w:proofErr w:type="spellStart"/>
      <w:r w:rsidRPr="00E236E9">
        <w:rPr>
          <w:rFonts w:ascii="Times New Roman" w:hAnsi="Times New Roman" w:cs="Times New Roman"/>
          <w:sz w:val="24"/>
          <w:szCs w:val="24"/>
        </w:rPr>
        <w:t>schedular</w:t>
      </w:r>
      <w:proofErr w:type="spellEnd"/>
      <w:r w:rsidRPr="00E236E9">
        <w:rPr>
          <w:rFonts w:ascii="Times New Roman" w:hAnsi="Times New Roman" w:cs="Times New Roman"/>
          <w:sz w:val="24"/>
          <w:szCs w:val="24"/>
        </w:rPr>
        <w:t xml:space="preserve"> payment rules</w:t>
      </w:r>
      <w:r w:rsidR="00A124DF">
        <w:rPr>
          <w:rFonts w:ascii="Times New Roman" w:hAnsi="Times New Roman" w:cs="Times New Roman"/>
          <w:sz w:val="24"/>
          <w:szCs w:val="24"/>
        </w:rPr>
        <w:t>.</w:t>
      </w:r>
    </w:p>
    <w:p w:rsidR="00E236E9" w:rsidRPr="00E236E9" w:rsidRDefault="00E236E9" w:rsidP="00E236E9">
      <w:pPr>
        <w:spacing w:after="0" w:line="240" w:lineRule="auto"/>
        <w:ind w:left="709" w:hanging="283"/>
        <w:jc w:val="both"/>
        <w:rPr>
          <w:rFonts w:ascii="Times New Roman" w:hAnsi="Times New Roman" w:cs="Times New Roman"/>
          <w:sz w:val="24"/>
          <w:szCs w:val="24"/>
        </w:rPr>
      </w:pPr>
    </w:p>
    <w:p w:rsidR="00E236E9" w:rsidRPr="00E236E9" w:rsidRDefault="00E236E9" w:rsidP="00E236E9">
      <w:pPr>
        <w:spacing w:after="0" w:line="240" w:lineRule="auto"/>
        <w:ind w:left="709" w:hanging="283"/>
        <w:jc w:val="both"/>
        <w:rPr>
          <w:rFonts w:ascii="Times New Roman" w:hAnsi="Times New Roman" w:cs="Times New Roman"/>
          <w:sz w:val="24"/>
          <w:szCs w:val="24"/>
        </w:rPr>
      </w:pPr>
      <w:r w:rsidRPr="00E236E9">
        <w:rPr>
          <w:rFonts w:ascii="Times New Roman" w:hAnsi="Times New Roman" w:cs="Times New Roman"/>
          <w:sz w:val="24"/>
          <w:szCs w:val="24"/>
        </w:rPr>
        <w:t>•</w:t>
      </w:r>
      <w:r w:rsidRPr="00E236E9">
        <w:rPr>
          <w:rFonts w:ascii="Times New Roman" w:hAnsi="Times New Roman" w:cs="Times New Roman"/>
          <w:sz w:val="24"/>
          <w:szCs w:val="24"/>
        </w:rPr>
        <w:tab/>
        <w:t>Using banks as an intermediary for withholding rather than the payer of the contractor</w:t>
      </w:r>
      <w:r>
        <w:rPr>
          <w:rFonts w:ascii="Times New Roman" w:hAnsi="Times New Roman" w:cs="Times New Roman"/>
          <w:sz w:val="24"/>
          <w:szCs w:val="24"/>
        </w:rPr>
        <w:t>.</w:t>
      </w:r>
    </w:p>
    <w:p w:rsidR="00E236E9" w:rsidRPr="00E236E9" w:rsidRDefault="00E236E9" w:rsidP="00E236E9">
      <w:pPr>
        <w:spacing w:after="0" w:line="240" w:lineRule="auto"/>
        <w:jc w:val="both"/>
        <w:rPr>
          <w:rFonts w:ascii="Times New Roman" w:hAnsi="Times New Roman" w:cs="Times New Roman"/>
          <w:sz w:val="24"/>
          <w:szCs w:val="24"/>
        </w:rPr>
      </w:pPr>
    </w:p>
    <w:p w:rsidR="005B7EFD" w:rsidRDefault="00E236E9" w:rsidP="005A64CE">
      <w:pPr>
        <w:spacing w:after="0" w:line="240" w:lineRule="auto"/>
        <w:jc w:val="both"/>
        <w:rPr>
          <w:rFonts w:ascii="Times New Roman" w:hAnsi="Times New Roman" w:cs="Times New Roman"/>
          <w:sz w:val="24"/>
          <w:szCs w:val="24"/>
        </w:rPr>
      </w:pPr>
      <w:r w:rsidRPr="00E236E9">
        <w:rPr>
          <w:rFonts w:ascii="Times New Roman" w:hAnsi="Times New Roman" w:cs="Times New Roman"/>
          <w:sz w:val="24"/>
          <w:szCs w:val="24"/>
        </w:rPr>
        <w:t xml:space="preserve">These options are not considered in this regulatory impact statement because </w:t>
      </w:r>
      <w:r w:rsidR="006E0916">
        <w:rPr>
          <w:rFonts w:ascii="Times New Roman" w:hAnsi="Times New Roman" w:cs="Times New Roman"/>
          <w:sz w:val="24"/>
          <w:szCs w:val="24"/>
        </w:rPr>
        <w:t>officials</w:t>
      </w:r>
      <w:r w:rsidRPr="00E236E9">
        <w:rPr>
          <w:rFonts w:ascii="Times New Roman" w:hAnsi="Times New Roman" w:cs="Times New Roman"/>
          <w:sz w:val="24"/>
          <w:szCs w:val="24"/>
        </w:rPr>
        <w:t xml:space="preserve"> do not consider them feasible to implement by 1 April 2017. </w:t>
      </w:r>
      <w:r w:rsidR="006E0916">
        <w:rPr>
          <w:rFonts w:ascii="Times New Roman" w:hAnsi="Times New Roman" w:cs="Times New Roman"/>
          <w:sz w:val="24"/>
          <w:szCs w:val="24"/>
        </w:rPr>
        <w:t>T</w:t>
      </w:r>
      <w:r w:rsidRPr="00E236E9">
        <w:rPr>
          <w:rFonts w:ascii="Times New Roman" w:hAnsi="Times New Roman" w:cs="Times New Roman"/>
          <w:sz w:val="24"/>
          <w:szCs w:val="24"/>
        </w:rPr>
        <w:t>hese measures require greater policy work and consultation than can be achieved in time for a 1 April 2017 application date.</w:t>
      </w:r>
    </w:p>
    <w:p w:rsidR="004C64C4" w:rsidRDefault="004C64C4" w:rsidP="005A64CE">
      <w:pPr>
        <w:spacing w:after="0" w:line="240" w:lineRule="auto"/>
        <w:jc w:val="both"/>
        <w:rPr>
          <w:rFonts w:ascii="Times New Roman" w:hAnsi="Times New Roman" w:cs="Times New Roman"/>
          <w:sz w:val="24"/>
          <w:szCs w:val="24"/>
        </w:rPr>
      </w:pPr>
    </w:p>
    <w:p w:rsidR="00BB68BD" w:rsidRPr="008D31DB" w:rsidRDefault="007E4C33" w:rsidP="00BB68B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Option 2 -</w:t>
      </w:r>
      <w:r w:rsidR="00BB68BD" w:rsidRPr="008D31DB">
        <w:rPr>
          <w:rFonts w:ascii="Times New Roman" w:hAnsi="Times New Roman" w:cs="Times New Roman"/>
          <w:i/>
          <w:sz w:val="24"/>
          <w:szCs w:val="24"/>
        </w:rPr>
        <w:t xml:space="preserve"> Electing own withholding rate</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At present the </w:t>
      </w:r>
      <w:proofErr w:type="spellStart"/>
      <w:r w:rsidRPr="000E4599">
        <w:rPr>
          <w:rFonts w:ascii="Times New Roman" w:hAnsi="Times New Roman" w:cs="Times New Roman"/>
          <w:sz w:val="24"/>
          <w:szCs w:val="24"/>
        </w:rPr>
        <w:t>schedular</w:t>
      </w:r>
      <w:proofErr w:type="spellEnd"/>
      <w:r w:rsidRPr="000E4599">
        <w:rPr>
          <w:rFonts w:ascii="Times New Roman" w:hAnsi="Times New Roman" w:cs="Times New Roman"/>
          <w:sz w:val="24"/>
          <w:szCs w:val="24"/>
        </w:rPr>
        <w:t xml:space="preserve"> payment rules specify flat rates of withholding to be applied to payments to contractors. These rates will often not match the contractor’s actual income tax liability. Contractors can obtain a special tax code to alter their </w:t>
      </w:r>
      <w:r w:rsidR="00EB148A" w:rsidRPr="000E4599">
        <w:rPr>
          <w:rFonts w:ascii="Times New Roman" w:hAnsi="Times New Roman" w:cs="Times New Roman"/>
          <w:sz w:val="24"/>
          <w:szCs w:val="24"/>
        </w:rPr>
        <w:t>rate;</w:t>
      </w:r>
      <w:r w:rsidRPr="000E4599">
        <w:rPr>
          <w:rFonts w:ascii="Times New Roman" w:hAnsi="Times New Roman" w:cs="Times New Roman"/>
          <w:sz w:val="24"/>
          <w:szCs w:val="24"/>
        </w:rPr>
        <w:t xml:space="preserve"> however the process can be cumbersome and requires an application to Inland Revenue with supporting information.</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This option would allow contractors to select their own withholding rate without needing to apply to Inland Revenue. This means that an application for a special tax code will no longer be needed to alter the rate applied to a </w:t>
      </w:r>
      <w:proofErr w:type="spellStart"/>
      <w:r w:rsidRPr="000E4599">
        <w:rPr>
          <w:rFonts w:ascii="Times New Roman" w:hAnsi="Times New Roman" w:cs="Times New Roman"/>
          <w:sz w:val="24"/>
          <w:szCs w:val="24"/>
        </w:rPr>
        <w:t>schedular</w:t>
      </w:r>
      <w:proofErr w:type="spellEnd"/>
      <w:r w:rsidRPr="000E4599">
        <w:rPr>
          <w:rFonts w:ascii="Times New Roman" w:hAnsi="Times New Roman" w:cs="Times New Roman"/>
          <w:sz w:val="24"/>
          <w:szCs w:val="24"/>
        </w:rPr>
        <w:t xml:space="preserve"> payment.</w:t>
      </w:r>
    </w:p>
    <w:p w:rsidR="00BB68BD" w:rsidRDefault="00BB68BD" w:rsidP="00BB68BD">
      <w:pPr>
        <w:spacing w:after="0" w:line="240" w:lineRule="auto"/>
        <w:jc w:val="both"/>
        <w:rPr>
          <w:rFonts w:ascii="Times New Roman" w:hAnsi="Times New Roman" w:cs="Times New Roman"/>
          <w:sz w:val="24"/>
          <w:szCs w:val="24"/>
        </w:rPr>
      </w:pPr>
    </w:p>
    <w:p w:rsidR="00874D8C" w:rsidRPr="008D31DB" w:rsidRDefault="007E4C33" w:rsidP="00874D8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Option 3-</w:t>
      </w:r>
      <w:r w:rsidR="00874D8C" w:rsidRPr="008D31DB">
        <w:rPr>
          <w:rFonts w:ascii="Times New Roman" w:hAnsi="Times New Roman" w:cs="Times New Roman"/>
          <w:i/>
          <w:sz w:val="24"/>
          <w:szCs w:val="24"/>
        </w:rPr>
        <w:t xml:space="preserve"> Voluntary withholding agreements</w:t>
      </w:r>
    </w:p>
    <w:p w:rsidR="00874D8C" w:rsidRPr="000E4599" w:rsidRDefault="00874D8C" w:rsidP="00874D8C">
      <w:pPr>
        <w:spacing w:after="0" w:line="240" w:lineRule="auto"/>
        <w:jc w:val="both"/>
        <w:rPr>
          <w:rFonts w:ascii="Times New Roman" w:hAnsi="Times New Roman" w:cs="Times New Roman"/>
          <w:sz w:val="24"/>
          <w:szCs w:val="24"/>
        </w:rPr>
      </w:pPr>
    </w:p>
    <w:p w:rsidR="00874D8C" w:rsidRPr="000E4599" w:rsidRDefault="00874D8C" w:rsidP="00874D8C">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Contractors not covered by the </w:t>
      </w:r>
      <w:proofErr w:type="spellStart"/>
      <w:r w:rsidRPr="000E4599">
        <w:rPr>
          <w:rFonts w:ascii="Times New Roman" w:hAnsi="Times New Roman" w:cs="Times New Roman"/>
          <w:sz w:val="24"/>
          <w:szCs w:val="24"/>
        </w:rPr>
        <w:t>schedular</w:t>
      </w:r>
      <w:proofErr w:type="spellEnd"/>
      <w:r w:rsidRPr="000E4599">
        <w:rPr>
          <w:rFonts w:ascii="Times New Roman" w:hAnsi="Times New Roman" w:cs="Times New Roman"/>
          <w:sz w:val="24"/>
          <w:szCs w:val="24"/>
        </w:rPr>
        <w:t xml:space="preserve"> payment withholding rules are not currently able to have </w:t>
      </w:r>
      <w:r>
        <w:rPr>
          <w:rFonts w:ascii="Times New Roman" w:hAnsi="Times New Roman" w:cs="Times New Roman"/>
          <w:sz w:val="24"/>
          <w:szCs w:val="24"/>
        </w:rPr>
        <w:t>tax withheld on a payday basis.</w:t>
      </w:r>
    </w:p>
    <w:p w:rsidR="00874D8C" w:rsidRPr="000E4599" w:rsidRDefault="00874D8C" w:rsidP="00874D8C">
      <w:pPr>
        <w:spacing w:after="0" w:line="240" w:lineRule="auto"/>
        <w:jc w:val="both"/>
        <w:rPr>
          <w:rFonts w:ascii="Times New Roman" w:hAnsi="Times New Roman" w:cs="Times New Roman"/>
          <w:sz w:val="24"/>
          <w:szCs w:val="24"/>
        </w:rPr>
      </w:pPr>
    </w:p>
    <w:p w:rsidR="00874D8C" w:rsidRPr="000E4599" w:rsidRDefault="00874D8C" w:rsidP="00874D8C">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This measure will allow contractors to opt in to withholding through voluntary agreements. The proposal will require both the contractor and the payer to agree before withholding would apply. This will enable these contractors to have greater flexibility to manage their tax obligations.</w:t>
      </w:r>
    </w:p>
    <w:p w:rsidR="00874D8C" w:rsidRDefault="00874D8C" w:rsidP="00874D8C">
      <w:pPr>
        <w:spacing w:after="0" w:line="240" w:lineRule="auto"/>
        <w:jc w:val="both"/>
        <w:rPr>
          <w:rFonts w:ascii="Times New Roman" w:hAnsi="Times New Roman" w:cs="Times New Roman"/>
          <w:b/>
          <w:sz w:val="24"/>
          <w:szCs w:val="24"/>
        </w:rPr>
      </w:pPr>
    </w:p>
    <w:p w:rsidR="00BB68BD" w:rsidRPr="008D31DB" w:rsidRDefault="007E4C33" w:rsidP="00874D8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Option 4 -</w:t>
      </w:r>
      <w:r w:rsidR="00BB68BD" w:rsidRPr="008D31DB">
        <w:rPr>
          <w:rFonts w:ascii="Times New Roman" w:hAnsi="Times New Roman" w:cs="Times New Roman"/>
          <w:i/>
          <w:sz w:val="24"/>
          <w:szCs w:val="24"/>
        </w:rPr>
        <w:t xml:space="preserve"> Extending withholding to labour-hire firms</w:t>
      </w:r>
    </w:p>
    <w:p w:rsidR="00BB68BD" w:rsidRPr="000E4599" w:rsidRDefault="00BB68BD" w:rsidP="00BB68BD">
      <w:pPr>
        <w:spacing w:after="0" w:line="240" w:lineRule="auto"/>
        <w:jc w:val="both"/>
        <w:rPr>
          <w:rFonts w:ascii="Times New Roman" w:hAnsi="Times New Roman" w:cs="Times New Roman"/>
          <w:sz w:val="24"/>
          <w:szCs w:val="24"/>
        </w:rPr>
      </w:pPr>
    </w:p>
    <w:p w:rsidR="00BB68BD"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A labour-hire firm is a firm that arranges for workers to do work for clients. The labour-hire firm receives payment from the client and </w:t>
      </w:r>
      <w:r w:rsidR="000546DA">
        <w:rPr>
          <w:rFonts w:ascii="Times New Roman" w:hAnsi="Times New Roman" w:cs="Times New Roman"/>
          <w:sz w:val="24"/>
          <w:szCs w:val="24"/>
        </w:rPr>
        <w:t>on-</w:t>
      </w:r>
      <w:r w:rsidRPr="000E4599">
        <w:rPr>
          <w:rFonts w:ascii="Times New Roman" w:hAnsi="Times New Roman" w:cs="Times New Roman"/>
          <w:sz w:val="24"/>
          <w:szCs w:val="24"/>
        </w:rPr>
        <w:t xml:space="preserve">pays the worker. </w:t>
      </w:r>
    </w:p>
    <w:p w:rsidR="000546DA" w:rsidRPr="000E4599" w:rsidRDefault="000546DA"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Workers engaged through labour-hire firms are often contractors for the labour-hire firm and the current withholding rules do not generally apply to them. </w:t>
      </w:r>
      <w:r w:rsidRPr="00146EAF">
        <w:rPr>
          <w:rFonts w:ascii="Times New Roman" w:hAnsi="Times New Roman" w:cs="Times New Roman"/>
          <w:sz w:val="24"/>
          <w:szCs w:val="24"/>
        </w:rPr>
        <w:t>The</w:t>
      </w:r>
      <w:r w:rsidR="004C64C4" w:rsidRPr="00146EAF">
        <w:rPr>
          <w:rFonts w:ascii="Times New Roman" w:hAnsi="Times New Roman" w:cs="Times New Roman"/>
          <w:sz w:val="24"/>
          <w:szCs w:val="24"/>
        </w:rPr>
        <w:t xml:space="preserve">re are </w:t>
      </w:r>
      <w:r w:rsidR="00146EAF" w:rsidRPr="00146EAF">
        <w:rPr>
          <w:rFonts w:ascii="Times New Roman" w:hAnsi="Times New Roman" w:cs="Times New Roman"/>
          <w:sz w:val="24"/>
          <w:szCs w:val="24"/>
        </w:rPr>
        <w:t xml:space="preserve">at least </w:t>
      </w:r>
      <w:r w:rsidR="004C64C4" w:rsidRPr="00146EAF">
        <w:rPr>
          <w:rFonts w:ascii="Times New Roman" w:hAnsi="Times New Roman" w:cs="Times New Roman"/>
          <w:sz w:val="24"/>
          <w:szCs w:val="24"/>
        </w:rPr>
        <w:t xml:space="preserve">4,200 </w:t>
      </w:r>
      <w:r w:rsidRPr="00146EAF">
        <w:rPr>
          <w:rFonts w:ascii="Times New Roman" w:hAnsi="Times New Roman" w:cs="Times New Roman"/>
          <w:sz w:val="24"/>
          <w:szCs w:val="24"/>
        </w:rPr>
        <w:t>contractors</w:t>
      </w:r>
      <w:r w:rsidR="004C64C4" w:rsidRPr="00146EAF">
        <w:rPr>
          <w:rFonts w:ascii="Times New Roman" w:hAnsi="Times New Roman" w:cs="Times New Roman"/>
          <w:sz w:val="24"/>
          <w:szCs w:val="24"/>
        </w:rPr>
        <w:t xml:space="preserve"> of labour hire firms </w:t>
      </w:r>
      <w:r w:rsidR="004C64C4">
        <w:rPr>
          <w:rFonts w:ascii="Times New Roman" w:hAnsi="Times New Roman" w:cs="Times New Roman"/>
          <w:sz w:val="24"/>
          <w:szCs w:val="24"/>
        </w:rPr>
        <w:t>that</w:t>
      </w:r>
      <w:r w:rsidRPr="000E4599">
        <w:rPr>
          <w:rFonts w:ascii="Times New Roman" w:hAnsi="Times New Roman" w:cs="Times New Roman"/>
          <w:sz w:val="24"/>
          <w:szCs w:val="24"/>
        </w:rPr>
        <w:t xml:space="preserve"> are required to manage their own tax obligations and have to deal with provisional tax. </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These contractors also have opportunities for non-compliance (whether deliberate or accidental). Investigators within Inland Revenue are reporting that there are compliance issues with some labour-hire firm contractors not paying their fair share of tax and claiming social policy benefits they are not entitled to.</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This option would extend the current withholding tax rules to these contractors. The contractors would be able to elect their own withholding rate (as per option </w:t>
      </w:r>
      <w:r w:rsidR="006E0916">
        <w:rPr>
          <w:rFonts w:ascii="Times New Roman" w:hAnsi="Times New Roman" w:cs="Times New Roman"/>
          <w:sz w:val="24"/>
          <w:szCs w:val="24"/>
        </w:rPr>
        <w:t>2</w:t>
      </w:r>
      <w:r w:rsidRPr="000E4599">
        <w:rPr>
          <w:rFonts w:ascii="Times New Roman" w:hAnsi="Times New Roman" w:cs="Times New Roman"/>
          <w:sz w:val="24"/>
          <w:szCs w:val="24"/>
        </w:rPr>
        <w:t>) and tax would be deducted at this rate and paid to Inland Revenue. If the contractor picks a rate that generally matches their final tax liability they will not be required to pay provisional tax.</w:t>
      </w:r>
    </w:p>
    <w:p w:rsidR="00BB68BD" w:rsidRDefault="00BB68BD" w:rsidP="00BB68BD">
      <w:pPr>
        <w:spacing w:after="0" w:line="240" w:lineRule="auto"/>
        <w:jc w:val="both"/>
        <w:rPr>
          <w:rFonts w:ascii="Times New Roman" w:hAnsi="Times New Roman" w:cs="Times New Roman"/>
          <w:sz w:val="24"/>
          <w:szCs w:val="24"/>
        </w:rPr>
      </w:pPr>
    </w:p>
    <w:p w:rsidR="00DC20F8" w:rsidRPr="000E4599" w:rsidRDefault="00DC20F8" w:rsidP="00BB6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options are analysed against the objectives in the table on the next page.</w:t>
      </w:r>
    </w:p>
    <w:p w:rsidR="00BB68BD" w:rsidRPr="000E4599" w:rsidRDefault="00BB68BD" w:rsidP="00BB68BD">
      <w:pPr>
        <w:spacing w:after="0" w:line="240" w:lineRule="auto"/>
        <w:jc w:val="both"/>
        <w:rPr>
          <w:rFonts w:ascii="Times New Roman" w:hAnsi="Times New Roman" w:cs="Times New Roman"/>
          <w:sz w:val="24"/>
          <w:szCs w:val="24"/>
        </w:rPr>
        <w:sectPr w:rsidR="00BB68BD" w:rsidRPr="000E4599">
          <w:pgSz w:w="11906" w:h="16838"/>
          <w:pgMar w:top="1440" w:right="1440" w:bottom="1440" w:left="1440" w:header="708" w:footer="708" w:gutter="0"/>
          <w:cols w:space="708"/>
          <w:docGrid w:linePitch="360"/>
        </w:sectPr>
      </w:pPr>
    </w:p>
    <w:tbl>
      <w:tblPr>
        <w:tblStyle w:val="TableGrid"/>
        <w:tblW w:w="14512" w:type="dxa"/>
        <w:tblLook w:val="04A0" w:firstRow="1" w:lastRow="0" w:firstColumn="1" w:lastColumn="0" w:noHBand="0" w:noVBand="1"/>
      </w:tblPr>
      <w:tblGrid>
        <w:gridCol w:w="1668"/>
        <w:gridCol w:w="2835"/>
        <w:gridCol w:w="4961"/>
        <w:gridCol w:w="2268"/>
        <w:gridCol w:w="2780"/>
      </w:tblGrid>
      <w:tr w:rsidR="00BB68BD" w:rsidRPr="000E4599" w:rsidTr="008D31DB">
        <w:trPr>
          <w:trHeight w:val="574"/>
          <w:tblHeader/>
        </w:trPr>
        <w:tc>
          <w:tcPr>
            <w:tcW w:w="1668" w:type="dxa"/>
          </w:tcPr>
          <w:p w:rsidR="00BB68BD" w:rsidRPr="000E4599" w:rsidRDefault="00404174" w:rsidP="005B7EFD">
            <w:pPr>
              <w:rPr>
                <w:rFonts w:ascii="Times New Roman" w:hAnsi="Times New Roman" w:cs="Times New Roman"/>
                <w:b/>
                <w:sz w:val="24"/>
                <w:szCs w:val="24"/>
              </w:rPr>
            </w:pPr>
            <w:r w:rsidRPr="000E4599">
              <w:rPr>
                <w:rFonts w:ascii="Times New Roman" w:hAnsi="Times New Roman" w:cs="Times New Roman"/>
                <w:b/>
                <w:sz w:val="24"/>
                <w:szCs w:val="24"/>
              </w:rPr>
              <w:t>Options</w:t>
            </w:r>
          </w:p>
        </w:tc>
        <w:tc>
          <w:tcPr>
            <w:tcW w:w="2835" w:type="dxa"/>
            <w:vAlign w:val="center"/>
          </w:tcPr>
          <w:p w:rsidR="00BB68BD" w:rsidRPr="000E4599" w:rsidRDefault="00BB68BD" w:rsidP="00BB68BD">
            <w:pPr>
              <w:rPr>
                <w:rFonts w:ascii="Times New Roman" w:hAnsi="Times New Roman" w:cs="Times New Roman"/>
                <w:b/>
                <w:sz w:val="24"/>
                <w:szCs w:val="24"/>
              </w:rPr>
            </w:pPr>
            <w:r w:rsidRPr="000E4599">
              <w:rPr>
                <w:rFonts w:ascii="Times New Roman" w:hAnsi="Times New Roman" w:cs="Times New Roman"/>
                <w:b/>
                <w:sz w:val="24"/>
                <w:szCs w:val="24"/>
              </w:rPr>
              <w:t>Fairness and equity</w:t>
            </w:r>
          </w:p>
        </w:tc>
        <w:tc>
          <w:tcPr>
            <w:tcW w:w="4961" w:type="dxa"/>
            <w:vAlign w:val="center"/>
          </w:tcPr>
          <w:p w:rsidR="00BB68BD" w:rsidRPr="000E4599" w:rsidRDefault="00BB68BD" w:rsidP="00BB68BD">
            <w:pPr>
              <w:rPr>
                <w:rFonts w:ascii="Times New Roman" w:hAnsi="Times New Roman" w:cs="Times New Roman"/>
                <w:b/>
                <w:sz w:val="24"/>
                <w:szCs w:val="24"/>
              </w:rPr>
            </w:pPr>
            <w:r w:rsidRPr="000E4599">
              <w:rPr>
                <w:rFonts w:ascii="Times New Roman" w:hAnsi="Times New Roman" w:cs="Times New Roman"/>
                <w:b/>
                <w:sz w:val="24"/>
                <w:szCs w:val="24"/>
              </w:rPr>
              <w:t>Efficiency of compliance and administration</w:t>
            </w:r>
          </w:p>
        </w:tc>
        <w:tc>
          <w:tcPr>
            <w:tcW w:w="2268" w:type="dxa"/>
            <w:vAlign w:val="center"/>
          </w:tcPr>
          <w:p w:rsidR="00BB68BD" w:rsidRPr="000E4599" w:rsidRDefault="00BB68BD" w:rsidP="00BB68BD">
            <w:pPr>
              <w:rPr>
                <w:rFonts w:ascii="Times New Roman" w:hAnsi="Times New Roman" w:cs="Times New Roman"/>
                <w:b/>
                <w:sz w:val="24"/>
                <w:szCs w:val="24"/>
              </w:rPr>
            </w:pPr>
            <w:r w:rsidRPr="000E4599">
              <w:rPr>
                <w:rFonts w:ascii="Times New Roman" w:hAnsi="Times New Roman" w:cs="Times New Roman"/>
                <w:b/>
                <w:sz w:val="24"/>
                <w:szCs w:val="24"/>
              </w:rPr>
              <w:t>Sustainability of tax system</w:t>
            </w:r>
          </w:p>
        </w:tc>
        <w:tc>
          <w:tcPr>
            <w:tcW w:w="2780" w:type="dxa"/>
          </w:tcPr>
          <w:p w:rsidR="00BB68BD" w:rsidRPr="000E4599" w:rsidRDefault="00404174" w:rsidP="00062EA1">
            <w:pPr>
              <w:jc w:val="both"/>
              <w:rPr>
                <w:rFonts w:ascii="Times New Roman" w:hAnsi="Times New Roman" w:cs="Times New Roman"/>
                <w:b/>
                <w:sz w:val="24"/>
                <w:szCs w:val="24"/>
              </w:rPr>
            </w:pPr>
            <w:r w:rsidRPr="000E4599">
              <w:rPr>
                <w:rFonts w:ascii="Times New Roman" w:hAnsi="Times New Roman" w:cs="Times New Roman"/>
                <w:b/>
                <w:sz w:val="24"/>
                <w:szCs w:val="24"/>
              </w:rPr>
              <w:t xml:space="preserve">Revenue </w:t>
            </w:r>
          </w:p>
        </w:tc>
      </w:tr>
      <w:tr w:rsidR="00BB68BD" w:rsidRPr="000E4599" w:rsidTr="008D31DB">
        <w:trPr>
          <w:trHeight w:val="2568"/>
        </w:trPr>
        <w:tc>
          <w:tcPr>
            <w:tcW w:w="1668" w:type="dxa"/>
          </w:tcPr>
          <w:p w:rsidR="00BB68BD" w:rsidRPr="008D31DB" w:rsidRDefault="00CE1CA5" w:rsidP="008D31D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w:t>
            </w:r>
            <w:r w:rsidR="00BB68BD" w:rsidRPr="008D31DB">
              <w:rPr>
                <w:rFonts w:ascii="Times New Roman" w:hAnsi="Times New Roman" w:cs="Times New Roman"/>
                <w:sz w:val="24"/>
                <w:szCs w:val="24"/>
              </w:rPr>
              <w:t>Status quo</w:t>
            </w:r>
          </w:p>
        </w:tc>
        <w:tc>
          <w:tcPr>
            <w:tcW w:w="2835" w:type="dxa"/>
          </w:tcPr>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Not met</w:t>
            </w:r>
          </w:p>
          <w:p w:rsidR="00BB68BD" w:rsidRPr="000E4599" w:rsidRDefault="00BB68BD" w:rsidP="00BB68BD">
            <w:pPr>
              <w:jc w:val="both"/>
              <w:rPr>
                <w:rFonts w:ascii="Times New Roman" w:hAnsi="Times New Roman" w:cs="Times New Roman"/>
                <w:sz w:val="24"/>
                <w:szCs w:val="24"/>
              </w:rPr>
            </w:pPr>
          </w:p>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Some contractors are not paying their fair share of tax and are claiming social policy benefits they are not entitled to.</w:t>
            </w:r>
          </w:p>
          <w:p w:rsidR="00BB68BD" w:rsidRPr="000E4599" w:rsidRDefault="00BB68BD" w:rsidP="00BB68BD">
            <w:pPr>
              <w:jc w:val="both"/>
              <w:rPr>
                <w:rFonts w:ascii="Times New Roman" w:hAnsi="Times New Roman" w:cs="Times New Roman"/>
                <w:sz w:val="24"/>
                <w:szCs w:val="24"/>
              </w:rPr>
            </w:pPr>
          </w:p>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Contractors and employees are often doing very similar work, yet have very</w:t>
            </w:r>
            <w:r w:rsidR="00932C2D">
              <w:rPr>
                <w:rFonts w:ascii="Times New Roman" w:hAnsi="Times New Roman" w:cs="Times New Roman"/>
                <w:sz w:val="24"/>
                <w:szCs w:val="24"/>
              </w:rPr>
              <w:t xml:space="preserve"> different rules apply to them.</w:t>
            </w:r>
          </w:p>
        </w:tc>
        <w:tc>
          <w:tcPr>
            <w:tcW w:w="4961" w:type="dxa"/>
          </w:tcPr>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Not met</w:t>
            </w:r>
          </w:p>
          <w:p w:rsidR="00BB68BD" w:rsidRPr="000E4599" w:rsidRDefault="00BB68BD" w:rsidP="00BB68BD">
            <w:pPr>
              <w:jc w:val="both"/>
              <w:rPr>
                <w:rFonts w:ascii="Times New Roman" w:hAnsi="Times New Roman" w:cs="Times New Roman"/>
                <w:sz w:val="24"/>
                <w:szCs w:val="24"/>
              </w:rPr>
            </w:pPr>
          </w:p>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Contractors not subject to withholding have to manage their own tax obligations. Contractors subject to withholding face inflexible rules and are not given effective tools to self-manage.</w:t>
            </w:r>
          </w:p>
          <w:p w:rsidR="00BB68BD" w:rsidRPr="000E4599" w:rsidRDefault="00BB68BD" w:rsidP="00BB68BD">
            <w:pPr>
              <w:jc w:val="both"/>
              <w:rPr>
                <w:rFonts w:ascii="Times New Roman" w:hAnsi="Times New Roman" w:cs="Times New Roman"/>
                <w:sz w:val="24"/>
                <w:szCs w:val="24"/>
              </w:rPr>
            </w:pPr>
          </w:p>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 xml:space="preserve">Does not </w:t>
            </w:r>
            <w:r w:rsidR="004E4125">
              <w:rPr>
                <w:rFonts w:ascii="Times New Roman" w:hAnsi="Times New Roman" w:cs="Times New Roman"/>
                <w:sz w:val="24"/>
                <w:szCs w:val="24"/>
              </w:rPr>
              <w:t>de</w:t>
            </w:r>
            <w:r w:rsidRPr="000E4599">
              <w:rPr>
                <w:rFonts w:ascii="Times New Roman" w:hAnsi="Times New Roman" w:cs="Times New Roman"/>
                <w:sz w:val="24"/>
                <w:szCs w:val="24"/>
              </w:rPr>
              <w:t xml:space="preserve">crease compliance costs for payers (unlike options </w:t>
            </w:r>
            <w:r w:rsidR="004E4125">
              <w:rPr>
                <w:rFonts w:ascii="Times New Roman" w:hAnsi="Times New Roman" w:cs="Times New Roman"/>
                <w:sz w:val="24"/>
                <w:szCs w:val="24"/>
              </w:rPr>
              <w:t>2</w:t>
            </w:r>
            <w:r w:rsidRPr="000E4599">
              <w:rPr>
                <w:rFonts w:ascii="Times New Roman" w:hAnsi="Times New Roman" w:cs="Times New Roman"/>
                <w:sz w:val="24"/>
                <w:szCs w:val="24"/>
              </w:rPr>
              <w:t xml:space="preserve"> and </w:t>
            </w:r>
            <w:r w:rsidR="004E4125">
              <w:rPr>
                <w:rFonts w:ascii="Times New Roman" w:hAnsi="Times New Roman" w:cs="Times New Roman"/>
                <w:sz w:val="24"/>
                <w:szCs w:val="24"/>
              </w:rPr>
              <w:t>3</w:t>
            </w:r>
            <w:r w:rsidRPr="000E4599">
              <w:rPr>
                <w:rFonts w:ascii="Times New Roman" w:hAnsi="Times New Roman" w:cs="Times New Roman"/>
                <w:sz w:val="24"/>
                <w:szCs w:val="24"/>
              </w:rPr>
              <w:t>).</w:t>
            </w:r>
          </w:p>
          <w:p w:rsidR="00BB68BD" w:rsidRPr="000E4599" w:rsidRDefault="00BB68BD" w:rsidP="00BB68BD">
            <w:pPr>
              <w:jc w:val="both"/>
              <w:rPr>
                <w:rFonts w:ascii="Times New Roman" w:hAnsi="Times New Roman" w:cs="Times New Roman"/>
                <w:sz w:val="24"/>
                <w:szCs w:val="24"/>
              </w:rPr>
            </w:pPr>
          </w:p>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Higher processing and enforcement costs for Inland Revenue</w:t>
            </w:r>
            <w:r w:rsidR="00A124DF">
              <w:rPr>
                <w:rFonts w:ascii="Times New Roman" w:hAnsi="Times New Roman" w:cs="Times New Roman"/>
                <w:sz w:val="24"/>
                <w:szCs w:val="24"/>
              </w:rPr>
              <w:t>.</w:t>
            </w:r>
          </w:p>
        </w:tc>
        <w:tc>
          <w:tcPr>
            <w:tcW w:w="2268" w:type="dxa"/>
          </w:tcPr>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Not met</w:t>
            </w:r>
          </w:p>
          <w:p w:rsidR="00BB68BD" w:rsidRPr="000E4599" w:rsidRDefault="00BB68BD" w:rsidP="00BB68BD">
            <w:pPr>
              <w:jc w:val="both"/>
              <w:rPr>
                <w:rFonts w:ascii="Times New Roman" w:hAnsi="Times New Roman" w:cs="Times New Roman"/>
                <w:sz w:val="24"/>
                <w:szCs w:val="24"/>
              </w:rPr>
            </w:pPr>
          </w:p>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Some employers and contractors are structuring to avoid the rules and avoid paying their fair share of tax.</w:t>
            </w:r>
          </w:p>
          <w:p w:rsidR="00BB68BD" w:rsidRPr="000E4599" w:rsidRDefault="00BB68BD" w:rsidP="00BB68BD">
            <w:pPr>
              <w:jc w:val="both"/>
              <w:rPr>
                <w:rFonts w:ascii="Times New Roman" w:hAnsi="Times New Roman" w:cs="Times New Roman"/>
                <w:sz w:val="24"/>
                <w:szCs w:val="24"/>
              </w:rPr>
            </w:pPr>
          </w:p>
          <w:p w:rsidR="00BB68BD" w:rsidRPr="000E4599" w:rsidRDefault="00BB68BD" w:rsidP="00BB68BD">
            <w:pPr>
              <w:jc w:val="both"/>
              <w:rPr>
                <w:rFonts w:ascii="Times New Roman" w:hAnsi="Times New Roman" w:cs="Times New Roman"/>
                <w:sz w:val="24"/>
                <w:szCs w:val="24"/>
              </w:rPr>
            </w:pPr>
          </w:p>
        </w:tc>
        <w:tc>
          <w:tcPr>
            <w:tcW w:w="2780" w:type="dxa"/>
          </w:tcPr>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No impact</w:t>
            </w:r>
          </w:p>
        </w:tc>
      </w:tr>
      <w:tr w:rsidR="00BB68BD" w:rsidRPr="000E4599" w:rsidTr="008D31DB">
        <w:trPr>
          <w:trHeight w:val="283"/>
        </w:trPr>
        <w:tc>
          <w:tcPr>
            <w:tcW w:w="1668" w:type="dxa"/>
          </w:tcPr>
          <w:p w:rsidR="00BB68BD" w:rsidRPr="008D31DB" w:rsidRDefault="00CE1CA5" w:rsidP="008D31D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w:t>
            </w:r>
            <w:r w:rsidR="00BB68BD" w:rsidRPr="008D31DB">
              <w:rPr>
                <w:rFonts w:ascii="Times New Roman" w:hAnsi="Times New Roman" w:cs="Times New Roman"/>
                <w:sz w:val="24"/>
                <w:szCs w:val="24"/>
              </w:rPr>
              <w:t>Electing own withholding rate</w:t>
            </w:r>
          </w:p>
          <w:p w:rsidR="00BB68BD" w:rsidRPr="008D31DB" w:rsidRDefault="00BB68BD" w:rsidP="005B7EFD">
            <w:pPr>
              <w:spacing w:after="200" w:line="276" w:lineRule="auto"/>
              <w:rPr>
                <w:rFonts w:ascii="Times New Roman" w:hAnsi="Times New Roman" w:cs="Times New Roman"/>
                <w:sz w:val="24"/>
                <w:szCs w:val="24"/>
              </w:rPr>
            </w:pPr>
          </w:p>
        </w:tc>
        <w:tc>
          <w:tcPr>
            <w:tcW w:w="2835" w:type="dxa"/>
          </w:tcPr>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Met</w:t>
            </w:r>
          </w:p>
          <w:p w:rsidR="00BB68BD" w:rsidRPr="000E4599" w:rsidRDefault="00BB68BD" w:rsidP="00BB68BD">
            <w:pPr>
              <w:jc w:val="both"/>
              <w:rPr>
                <w:rFonts w:ascii="Times New Roman" w:hAnsi="Times New Roman" w:cs="Times New Roman"/>
                <w:sz w:val="24"/>
                <w:szCs w:val="24"/>
              </w:rPr>
            </w:pPr>
          </w:p>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 xml:space="preserve">Contractors in the </w:t>
            </w:r>
            <w:proofErr w:type="spellStart"/>
            <w:r w:rsidRPr="000E4599">
              <w:rPr>
                <w:rFonts w:ascii="Times New Roman" w:hAnsi="Times New Roman" w:cs="Times New Roman"/>
                <w:sz w:val="24"/>
                <w:szCs w:val="24"/>
              </w:rPr>
              <w:t>schedular</w:t>
            </w:r>
            <w:proofErr w:type="spellEnd"/>
            <w:r w:rsidRPr="000E4599">
              <w:rPr>
                <w:rFonts w:ascii="Times New Roman" w:hAnsi="Times New Roman" w:cs="Times New Roman"/>
                <w:sz w:val="24"/>
                <w:szCs w:val="24"/>
              </w:rPr>
              <w:t xml:space="preserve"> payment rules are currently generally over-deducted from resulting in a cash</w:t>
            </w:r>
            <w:r w:rsidR="00A124DF">
              <w:rPr>
                <w:rFonts w:ascii="Times New Roman" w:hAnsi="Times New Roman" w:cs="Times New Roman"/>
                <w:sz w:val="24"/>
                <w:szCs w:val="24"/>
              </w:rPr>
              <w:t>-</w:t>
            </w:r>
            <w:r w:rsidRPr="000E4599">
              <w:rPr>
                <w:rFonts w:ascii="Times New Roman" w:hAnsi="Times New Roman" w:cs="Times New Roman"/>
                <w:sz w:val="24"/>
                <w:szCs w:val="24"/>
              </w:rPr>
              <w:t>flow cost to them that other contractors do not have.</w:t>
            </w:r>
          </w:p>
          <w:p w:rsidR="00BB68BD" w:rsidRPr="000E4599" w:rsidRDefault="00BB68BD" w:rsidP="00BB68BD">
            <w:pPr>
              <w:jc w:val="both"/>
              <w:rPr>
                <w:rFonts w:ascii="Times New Roman" w:hAnsi="Times New Roman" w:cs="Times New Roman"/>
                <w:sz w:val="24"/>
                <w:szCs w:val="24"/>
              </w:rPr>
            </w:pPr>
          </w:p>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This change will make it easier for them to have the correct amount deducted.</w:t>
            </w:r>
          </w:p>
        </w:tc>
        <w:tc>
          <w:tcPr>
            <w:tcW w:w="4961" w:type="dxa"/>
          </w:tcPr>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Met</w:t>
            </w:r>
          </w:p>
          <w:p w:rsidR="00BB68BD" w:rsidRPr="000E4599" w:rsidRDefault="00BB68BD" w:rsidP="00BB68BD">
            <w:pPr>
              <w:jc w:val="both"/>
              <w:rPr>
                <w:rFonts w:ascii="Times New Roman" w:hAnsi="Times New Roman" w:cs="Times New Roman"/>
                <w:sz w:val="24"/>
                <w:szCs w:val="24"/>
              </w:rPr>
            </w:pPr>
          </w:p>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Contractors that are subject to withholding will be given more flexibility to pick the correct rate of withholding. Their compliance costs will decrease as they will not have to apply for a special tax code to change their rate of withholding and therefore can more easily get their tax obligations right from the start.</w:t>
            </w:r>
          </w:p>
          <w:p w:rsidR="00BB68BD" w:rsidRPr="000E4599" w:rsidRDefault="00BB68BD" w:rsidP="00BB68BD">
            <w:pPr>
              <w:jc w:val="both"/>
              <w:rPr>
                <w:rFonts w:ascii="Times New Roman" w:hAnsi="Times New Roman" w:cs="Times New Roman"/>
                <w:sz w:val="24"/>
                <w:szCs w:val="24"/>
              </w:rPr>
            </w:pPr>
          </w:p>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Payers of contractors may have an increase in compliance costs as they will have to more frequently change withholding rates. However, this is expected to be small and outweighed by the decrease in compliance costs for contractors.</w:t>
            </w:r>
          </w:p>
          <w:p w:rsidR="00BB68BD" w:rsidRPr="000E4599" w:rsidRDefault="00BB68BD" w:rsidP="00BB68BD">
            <w:pPr>
              <w:jc w:val="both"/>
              <w:rPr>
                <w:rFonts w:ascii="Times New Roman" w:hAnsi="Times New Roman" w:cs="Times New Roman"/>
                <w:sz w:val="24"/>
                <w:szCs w:val="24"/>
              </w:rPr>
            </w:pPr>
          </w:p>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Inland Revenue will have less administration costs from administering special tax code applications and end of year tax bills and refunds.</w:t>
            </w:r>
          </w:p>
        </w:tc>
        <w:tc>
          <w:tcPr>
            <w:tcW w:w="2268" w:type="dxa"/>
          </w:tcPr>
          <w:p w:rsidR="00BB68BD" w:rsidRPr="000E4599" w:rsidRDefault="00BB68BD" w:rsidP="00BB68BD">
            <w:pPr>
              <w:jc w:val="both"/>
              <w:rPr>
                <w:rFonts w:ascii="Times New Roman" w:hAnsi="Times New Roman" w:cs="Times New Roman"/>
                <w:sz w:val="24"/>
                <w:szCs w:val="24"/>
              </w:rPr>
            </w:pPr>
            <w:r w:rsidRPr="000E4599">
              <w:rPr>
                <w:rFonts w:ascii="Times New Roman" w:hAnsi="Times New Roman" w:cs="Times New Roman"/>
                <w:sz w:val="24"/>
                <w:szCs w:val="24"/>
              </w:rPr>
              <w:t>No impact</w:t>
            </w:r>
          </w:p>
        </w:tc>
        <w:tc>
          <w:tcPr>
            <w:tcW w:w="2780" w:type="dxa"/>
          </w:tcPr>
          <w:p w:rsidR="00AB3A6E" w:rsidRPr="00D97428" w:rsidRDefault="00AB3A6E" w:rsidP="00AB3A6E">
            <w:pPr>
              <w:spacing w:after="200" w:line="276" w:lineRule="auto"/>
              <w:jc w:val="both"/>
              <w:rPr>
                <w:rFonts w:ascii="Times New Roman" w:hAnsi="Times New Roman" w:cs="Times New Roman"/>
                <w:color w:val="000000" w:themeColor="text1"/>
                <w:sz w:val="24"/>
                <w:szCs w:val="24"/>
              </w:rPr>
            </w:pPr>
            <w:r w:rsidRPr="00D97428">
              <w:rPr>
                <w:rFonts w:ascii="Times New Roman" w:hAnsi="Times New Roman" w:cs="Times New Roman"/>
                <w:color w:val="000000" w:themeColor="text1"/>
                <w:sz w:val="24"/>
                <w:szCs w:val="24"/>
              </w:rPr>
              <w:t>The measure is expected to have an initial upfront fiscal cost of approximately $</w:t>
            </w:r>
            <w:r w:rsidR="00C455DF">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4 million</w:t>
            </w:r>
            <w:r w:rsidRPr="00D97428">
              <w:rPr>
                <w:rFonts w:ascii="Times New Roman" w:hAnsi="Times New Roman" w:cs="Times New Roman"/>
                <w:color w:val="000000" w:themeColor="text1"/>
                <w:sz w:val="24"/>
                <w:szCs w:val="24"/>
              </w:rPr>
              <w:t xml:space="preserve"> (of which $1</w:t>
            </w:r>
            <w:r w:rsidR="00C455DF">
              <w:rPr>
                <w:rFonts w:ascii="Times New Roman" w:hAnsi="Times New Roman" w:cs="Times New Roman"/>
                <w:color w:val="000000" w:themeColor="text1"/>
                <w:sz w:val="24"/>
                <w:szCs w:val="24"/>
              </w:rPr>
              <w:t>9</w:t>
            </w:r>
            <w:r w:rsidRPr="00D97428">
              <w:rPr>
                <w:rFonts w:ascii="Times New Roman" w:hAnsi="Times New Roman" w:cs="Times New Roman"/>
                <w:color w:val="000000" w:themeColor="text1"/>
                <w:sz w:val="24"/>
                <w:szCs w:val="24"/>
              </w:rPr>
              <w:t xml:space="preserve"> million is recovered in following two years). </w:t>
            </w:r>
          </w:p>
          <w:p w:rsidR="00BB68BD" w:rsidRPr="000E4599" w:rsidRDefault="00800C5D" w:rsidP="00BB68BD">
            <w:pPr>
              <w:jc w:val="both"/>
              <w:rPr>
                <w:rFonts w:ascii="Times New Roman" w:hAnsi="Times New Roman" w:cs="Times New Roman"/>
                <w:sz w:val="24"/>
                <w:szCs w:val="24"/>
              </w:rPr>
            </w:pPr>
            <w:r>
              <w:rPr>
                <w:rFonts w:ascii="Times New Roman" w:hAnsi="Times New Roman" w:cs="Times New Roman"/>
                <w:sz w:val="24"/>
                <w:szCs w:val="24"/>
              </w:rPr>
              <w:t xml:space="preserve">This upfront cost arises primarily because the majority of contractors in the </w:t>
            </w:r>
            <w:proofErr w:type="spellStart"/>
            <w:r>
              <w:rPr>
                <w:rFonts w:ascii="Times New Roman" w:hAnsi="Times New Roman" w:cs="Times New Roman"/>
                <w:sz w:val="24"/>
                <w:szCs w:val="24"/>
              </w:rPr>
              <w:t>schedular</w:t>
            </w:r>
            <w:proofErr w:type="spellEnd"/>
            <w:r>
              <w:rPr>
                <w:rFonts w:ascii="Times New Roman" w:hAnsi="Times New Roman" w:cs="Times New Roman"/>
                <w:sz w:val="24"/>
                <w:szCs w:val="24"/>
              </w:rPr>
              <w:t xml:space="preserve"> payment rules are currently over-withheld and receive a tax refund in the following year. This over-withholding provides a one year fiscal benefit to the government. The proposal is expected to decrease the number of contractors who are over-withheld and therefore reduce this fiscal benefit to the government.</w:t>
            </w:r>
          </w:p>
        </w:tc>
      </w:tr>
      <w:tr w:rsidR="00874D8C" w:rsidRPr="000E4599" w:rsidTr="008D31DB">
        <w:trPr>
          <w:cantSplit/>
          <w:trHeight w:val="283"/>
        </w:trPr>
        <w:tc>
          <w:tcPr>
            <w:tcW w:w="1668" w:type="dxa"/>
          </w:tcPr>
          <w:p w:rsidR="00874D8C" w:rsidRPr="008D31DB" w:rsidRDefault="00CE1CA5" w:rsidP="008D31D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 </w:t>
            </w:r>
            <w:r w:rsidR="00874D8C" w:rsidRPr="008D31DB">
              <w:rPr>
                <w:rFonts w:ascii="Times New Roman" w:hAnsi="Times New Roman" w:cs="Times New Roman"/>
                <w:sz w:val="24"/>
                <w:szCs w:val="24"/>
              </w:rPr>
              <w:t>Voluntary withholding agreements</w:t>
            </w:r>
          </w:p>
        </w:tc>
        <w:tc>
          <w:tcPr>
            <w:tcW w:w="2835" w:type="dxa"/>
          </w:tcPr>
          <w:p w:rsidR="00874D8C" w:rsidRDefault="00874D8C" w:rsidP="00BB68BD">
            <w:pPr>
              <w:jc w:val="both"/>
              <w:rPr>
                <w:rFonts w:ascii="Times New Roman" w:hAnsi="Times New Roman" w:cs="Times New Roman"/>
                <w:sz w:val="24"/>
                <w:szCs w:val="24"/>
              </w:rPr>
            </w:pPr>
            <w:r>
              <w:rPr>
                <w:rFonts w:ascii="Times New Roman" w:hAnsi="Times New Roman" w:cs="Times New Roman"/>
                <w:sz w:val="24"/>
                <w:szCs w:val="24"/>
              </w:rPr>
              <w:t>Met</w:t>
            </w:r>
          </w:p>
          <w:p w:rsidR="00874D8C" w:rsidRDefault="00874D8C" w:rsidP="00BB68BD">
            <w:pPr>
              <w:jc w:val="both"/>
              <w:rPr>
                <w:rFonts w:ascii="Times New Roman" w:hAnsi="Times New Roman" w:cs="Times New Roman"/>
                <w:sz w:val="24"/>
                <w:szCs w:val="24"/>
              </w:rPr>
            </w:pPr>
          </w:p>
          <w:p w:rsidR="00874D8C" w:rsidRPr="000E4599" w:rsidRDefault="00874D8C" w:rsidP="004E4125">
            <w:pPr>
              <w:jc w:val="both"/>
              <w:rPr>
                <w:rFonts w:ascii="Times New Roman" w:hAnsi="Times New Roman" w:cs="Times New Roman"/>
                <w:sz w:val="24"/>
                <w:szCs w:val="24"/>
              </w:rPr>
            </w:pPr>
            <w:r w:rsidRPr="000E4599">
              <w:rPr>
                <w:rFonts w:ascii="Times New Roman" w:hAnsi="Times New Roman" w:cs="Times New Roman"/>
                <w:sz w:val="24"/>
                <w:szCs w:val="24"/>
              </w:rPr>
              <w:t xml:space="preserve">Contractors will be able to voluntarily choose to have withholding apply and so have similar treatment </w:t>
            </w:r>
            <w:r w:rsidR="004E4125">
              <w:rPr>
                <w:rFonts w:ascii="Times New Roman" w:hAnsi="Times New Roman" w:cs="Times New Roman"/>
                <w:sz w:val="24"/>
                <w:szCs w:val="24"/>
              </w:rPr>
              <w:t>to</w:t>
            </w:r>
            <w:r w:rsidRPr="000E4599">
              <w:rPr>
                <w:rFonts w:ascii="Times New Roman" w:hAnsi="Times New Roman" w:cs="Times New Roman"/>
                <w:sz w:val="24"/>
                <w:szCs w:val="24"/>
              </w:rPr>
              <w:t xml:space="preserve"> employees.</w:t>
            </w:r>
          </w:p>
        </w:tc>
        <w:tc>
          <w:tcPr>
            <w:tcW w:w="4961" w:type="dxa"/>
          </w:tcPr>
          <w:p w:rsidR="00874D8C" w:rsidRPr="000E4599" w:rsidRDefault="00874D8C" w:rsidP="00D157D8">
            <w:pPr>
              <w:jc w:val="both"/>
              <w:rPr>
                <w:rFonts w:ascii="Times New Roman" w:hAnsi="Times New Roman" w:cs="Times New Roman"/>
                <w:sz w:val="24"/>
                <w:szCs w:val="24"/>
              </w:rPr>
            </w:pPr>
            <w:r w:rsidRPr="000E4599">
              <w:rPr>
                <w:rFonts w:ascii="Times New Roman" w:hAnsi="Times New Roman" w:cs="Times New Roman"/>
                <w:sz w:val="24"/>
                <w:szCs w:val="24"/>
              </w:rPr>
              <w:t>Met</w:t>
            </w:r>
          </w:p>
          <w:p w:rsidR="00874D8C" w:rsidRPr="000E4599" w:rsidRDefault="00874D8C" w:rsidP="00D157D8">
            <w:pPr>
              <w:jc w:val="both"/>
              <w:rPr>
                <w:rFonts w:ascii="Times New Roman" w:hAnsi="Times New Roman" w:cs="Times New Roman"/>
                <w:sz w:val="24"/>
                <w:szCs w:val="24"/>
              </w:rPr>
            </w:pPr>
          </w:p>
          <w:p w:rsidR="00874D8C" w:rsidRPr="000E4599" w:rsidRDefault="00874D8C" w:rsidP="00874D8C">
            <w:pPr>
              <w:jc w:val="both"/>
              <w:rPr>
                <w:rFonts w:ascii="Times New Roman" w:hAnsi="Times New Roman" w:cs="Times New Roman"/>
                <w:sz w:val="24"/>
                <w:szCs w:val="24"/>
              </w:rPr>
            </w:pPr>
            <w:r w:rsidRPr="000E4599">
              <w:rPr>
                <w:rFonts w:ascii="Times New Roman" w:hAnsi="Times New Roman" w:cs="Times New Roman"/>
                <w:sz w:val="24"/>
                <w:szCs w:val="24"/>
              </w:rPr>
              <w:t>Compliance costs for contractors who enter voluntary agreements will decrease as they have an easier means to pay their tax. Administration costs for Inland Revenue will decrease for these contractors as well.</w:t>
            </w:r>
          </w:p>
        </w:tc>
        <w:tc>
          <w:tcPr>
            <w:tcW w:w="2268" w:type="dxa"/>
          </w:tcPr>
          <w:p w:rsidR="00874D8C" w:rsidRPr="000E4599" w:rsidRDefault="00874D8C" w:rsidP="00BB68BD">
            <w:pPr>
              <w:jc w:val="both"/>
              <w:rPr>
                <w:rFonts w:ascii="Times New Roman" w:hAnsi="Times New Roman" w:cs="Times New Roman"/>
                <w:sz w:val="24"/>
                <w:szCs w:val="24"/>
              </w:rPr>
            </w:pPr>
            <w:r w:rsidRPr="000E4599">
              <w:rPr>
                <w:rFonts w:ascii="Times New Roman" w:hAnsi="Times New Roman" w:cs="Times New Roman"/>
                <w:sz w:val="24"/>
                <w:szCs w:val="24"/>
              </w:rPr>
              <w:t>No impact</w:t>
            </w:r>
          </w:p>
        </w:tc>
        <w:tc>
          <w:tcPr>
            <w:tcW w:w="2780" w:type="dxa"/>
          </w:tcPr>
          <w:p w:rsidR="00874D8C" w:rsidRPr="000E4599" w:rsidRDefault="00124BBD" w:rsidP="00BB68BD">
            <w:pPr>
              <w:jc w:val="both"/>
              <w:rPr>
                <w:rFonts w:ascii="Times New Roman" w:hAnsi="Times New Roman" w:cs="Times New Roman"/>
                <w:sz w:val="24"/>
                <w:szCs w:val="24"/>
              </w:rPr>
            </w:pPr>
            <w:r>
              <w:rPr>
                <w:rFonts w:ascii="Times New Roman" w:hAnsi="Times New Roman" w:cs="Times New Roman"/>
                <w:sz w:val="24"/>
                <w:szCs w:val="24"/>
              </w:rPr>
              <w:t>Marginal upfront gain.</w:t>
            </w:r>
          </w:p>
        </w:tc>
      </w:tr>
      <w:tr w:rsidR="00874D8C" w:rsidRPr="000E4599" w:rsidTr="008D31DB">
        <w:trPr>
          <w:trHeight w:val="283"/>
        </w:trPr>
        <w:tc>
          <w:tcPr>
            <w:tcW w:w="1668" w:type="dxa"/>
          </w:tcPr>
          <w:p w:rsidR="00874D8C" w:rsidRPr="008D31DB" w:rsidRDefault="00CE1CA5" w:rsidP="008D31D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 </w:t>
            </w:r>
            <w:r w:rsidR="00874D8C" w:rsidRPr="008D31DB">
              <w:rPr>
                <w:rFonts w:ascii="Times New Roman" w:hAnsi="Times New Roman" w:cs="Times New Roman"/>
                <w:sz w:val="24"/>
                <w:szCs w:val="24"/>
              </w:rPr>
              <w:t>Extending withholding to labour-hire firms</w:t>
            </w:r>
          </w:p>
        </w:tc>
        <w:tc>
          <w:tcPr>
            <w:tcW w:w="2835" w:type="dxa"/>
          </w:tcPr>
          <w:p w:rsidR="00874D8C" w:rsidRPr="000E4599" w:rsidRDefault="00874D8C" w:rsidP="00BB68BD">
            <w:pPr>
              <w:jc w:val="both"/>
              <w:rPr>
                <w:rFonts w:ascii="Times New Roman" w:hAnsi="Times New Roman" w:cs="Times New Roman"/>
                <w:sz w:val="24"/>
                <w:szCs w:val="24"/>
              </w:rPr>
            </w:pPr>
            <w:r w:rsidRPr="000E4599">
              <w:rPr>
                <w:rFonts w:ascii="Times New Roman" w:hAnsi="Times New Roman" w:cs="Times New Roman"/>
                <w:sz w:val="24"/>
                <w:szCs w:val="24"/>
              </w:rPr>
              <w:t>Met</w:t>
            </w:r>
          </w:p>
          <w:p w:rsidR="00874D8C" w:rsidRPr="000E4599" w:rsidRDefault="00874D8C" w:rsidP="00BB68BD">
            <w:pPr>
              <w:jc w:val="both"/>
              <w:rPr>
                <w:rFonts w:ascii="Times New Roman" w:hAnsi="Times New Roman" w:cs="Times New Roman"/>
                <w:sz w:val="24"/>
                <w:szCs w:val="24"/>
              </w:rPr>
            </w:pPr>
          </w:p>
          <w:p w:rsidR="00874D8C" w:rsidRPr="000E4599" w:rsidRDefault="00874D8C" w:rsidP="00BB68BD">
            <w:pPr>
              <w:jc w:val="both"/>
              <w:rPr>
                <w:rFonts w:ascii="Times New Roman" w:hAnsi="Times New Roman" w:cs="Times New Roman"/>
                <w:sz w:val="24"/>
                <w:szCs w:val="24"/>
              </w:rPr>
            </w:pPr>
            <w:r w:rsidRPr="000E4599">
              <w:rPr>
                <w:rFonts w:ascii="Times New Roman" w:hAnsi="Times New Roman" w:cs="Times New Roman"/>
                <w:sz w:val="24"/>
                <w:szCs w:val="24"/>
              </w:rPr>
              <w:t>Contractors working for labour-hire firms will not be able to avoid paying their fair share of tax and claim social policy benefits they are not entitled to.</w:t>
            </w:r>
          </w:p>
          <w:p w:rsidR="00874D8C" w:rsidRPr="000E4599" w:rsidRDefault="00874D8C" w:rsidP="00BB68BD">
            <w:pPr>
              <w:jc w:val="both"/>
              <w:rPr>
                <w:rFonts w:ascii="Times New Roman" w:hAnsi="Times New Roman" w:cs="Times New Roman"/>
                <w:sz w:val="24"/>
                <w:szCs w:val="24"/>
              </w:rPr>
            </w:pPr>
          </w:p>
          <w:p w:rsidR="00874D8C" w:rsidRPr="000E4599" w:rsidRDefault="00874D8C" w:rsidP="00BB68BD">
            <w:pPr>
              <w:jc w:val="both"/>
              <w:rPr>
                <w:rFonts w:ascii="Times New Roman" w:hAnsi="Times New Roman" w:cs="Times New Roman"/>
                <w:sz w:val="24"/>
                <w:szCs w:val="24"/>
              </w:rPr>
            </w:pPr>
            <w:r w:rsidRPr="000E4599">
              <w:rPr>
                <w:rFonts w:ascii="Times New Roman" w:hAnsi="Times New Roman" w:cs="Times New Roman"/>
                <w:sz w:val="24"/>
                <w:szCs w:val="24"/>
              </w:rPr>
              <w:t>This option would make the treatment of employees and contractors more similar for tax purposes.</w:t>
            </w:r>
          </w:p>
        </w:tc>
        <w:tc>
          <w:tcPr>
            <w:tcW w:w="4961" w:type="dxa"/>
          </w:tcPr>
          <w:p w:rsidR="00874D8C" w:rsidRPr="000E4599" w:rsidRDefault="00874D8C" w:rsidP="00BB68BD">
            <w:pPr>
              <w:jc w:val="both"/>
              <w:rPr>
                <w:rFonts w:ascii="Times New Roman" w:hAnsi="Times New Roman" w:cs="Times New Roman"/>
                <w:sz w:val="24"/>
                <w:szCs w:val="24"/>
              </w:rPr>
            </w:pPr>
            <w:r w:rsidRPr="000E4599">
              <w:rPr>
                <w:rFonts w:ascii="Times New Roman" w:hAnsi="Times New Roman" w:cs="Times New Roman"/>
                <w:sz w:val="24"/>
                <w:szCs w:val="24"/>
              </w:rPr>
              <w:t>Met</w:t>
            </w:r>
          </w:p>
          <w:p w:rsidR="00874D8C" w:rsidRPr="000E4599" w:rsidRDefault="00874D8C" w:rsidP="00BB68BD">
            <w:pPr>
              <w:jc w:val="both"/>
              <w:rPr>
                <w:rFonts w:ascii="Times New Roman" w:hAnsi="Times New Roman" w:cs="Times New Roman"/>
                <w:sz w:val="24"/>
                <w:szCs w:val="24"/>
              </w:rPr>
            </w:pPr>
          </w:p>
          <w:p w:rsidR="00874D8C" w:rsidRPr="000E4599" w:rsidRDefault="00874D8C" w:rsidP="00BB68BD">
            <w:pPr>
              <w:jc w:val="both"/>
              <w:rPr>
                <w:rFonts w:ascii="Times New Roman" w:hAnsi="Times New Roman" w:cs="Times New Roman"/>
                <w:sz w:val="24"/>
                <w:szCs w:val="24"/>
              </w:rPr>
            </w:pPr>
            <w:r w:rsidRPr="000E4599">
              <w:rPr>
                <w:rFonts w:ascii="Times New Roman" w:hAnsi="Times New Roman" w:cs="Times New Roman"/>
                <w:sz w:val="24"/>
                <w:szCs w:val="24"/>
              </w:rPr>
              <w:t>Will reduce compliance costs for labour-hire firm contractors as they will have an easier means to pay their tax.</w:t>
            </w:r>
          </w:p>
          <w:p w:rsidR="00874D8C" w:rsidRPr="000E4599" w:rsidRDefault="00874D8C" w:rsidP="00BB68BD">
            <w:pPr>
              <w:jc w:val="both"/>
              <w:rPr>
                <w:rFonts w:ascii="Times New Roman" w:hAnsi="Times New Roman" w:cs="Times New Roman"/>
                <w:sz w:val="24"/>
                <w:szCs w:val="24"/>
              </w:rPr>
            </w:pPr>
          </w:p>
          <w:p w:rsidR="00874D8C" w:rsidRPr="000E4599" w:rsidRDefault="00874D8C" w:rsidP="00BB68BD">
            <w:pPr>
              <w:jc w:val="both"/>
              <w:rPr>
                <w:rFonts w:ascii="Times New Roman" w:hAnsi="Times New Roman" w:cs="Times New Roman"/>
                <w:sz w:val="24"/>
                <w:szCs w:val="24"/>
              </w:rPr>
            </w:pPr>
            <w:r w:rsidRPr="000E4599">
              <w:rPr>
                <w:rFonts w:ascii="Times New Roman" w:hAnsi="Times New Roman" w:cs="Times New Roman"/>
                <w:sz w:val="24"/>
                <w:szCs w:val="24"/>
              </w:rPr>
              <w:t>Compliance costs will increase for labour-hire firms. However, this is expected to be less than the decrease in compliance costs for contractors and as a result overall compliance costs are expected to decrease.</w:t>
            </w:r>
          </w:p>
          <w:p w:rsidR="00874D8C" w:rsidRPr="000E4599" w:rsidRDefault="00874D8C" w:rsidP="00BB68BD">
            <w:pPr>
              <w:jc w:val="both"/>
              <w:rPr>
                <w:rFonts w:ascii="Times New Roman" w:hAnsi="Times New Roman" w:cs="Times New Roman"/>
                <w:sz w:val="24"/>
                <w:szCs w:val="24"/>
              </w:rPr>
            </w:pPr>
          </w:p>
          <w:p w:rsidR="00874D8C" w:rsidRPr="000E4599" w:rsidRDefault="00874D8C" w:rsidP="00BB68BD">
            <w:pPr>
              <w:jc w:val="both"/>
              <w:rPr>
                <w:rFonts w:ascii="Times New Roman" w:hAnsi="Times New Roman" w:cs="Times New Roman"/>
                <w:sz w:val="24"/>
                <w:szCs w:val="24"/>
              </w:rPr>
            </w:pPr>
            <w:r w:rsidRPr="000E4599">
              <w:rPr>
                <w:rFonts w:ascii="Times New Roman" w:hAnsi="Times New Roman" w:cs="Times New Roman"/>
                <w:sz w:val="24"/>
                <w:szCs w:val="24"/>
              </w:rPr>
              <w:t>Large labour-hire firms have reported that the compliance costs of the proposal for them would be low, while smaller firms have reported that the compliance costs would be higher.</w:t>
            </w:r>
          </w:p>
          <w:p w:rsidR="00874D8C" w:rsidRPr="000E4599" w:rsidRDefault="00874D8C" w:rsidP="00BB68BD">
            <w:pPr>
              <w:jc w:val="both"/>
              <w:rPr>
                <w:rFonts w:ascii="Times New Roman" w:hAnsi="Times New Roman" w:cs="Times New Roman"/>
                <w:sz w:val="24"/>
                <w:szCs w:val="24"/>
              </w:rPr>
            </w:pPr>
          </w:p>
          <w:p w:rsidR="00874D8C" w:rsidRPr="000E4599" w:rsidRDefault="00874D8C" w:rsidP="00BB68BD">
            <w:pPr>
              <w:jc w:val="both"/>
              <w:rPr>
                <w:rFonts w:ascii="Times New Roman" w:hAnsi="Times New Roman" w:cs="Times New Roman"/>
                <w:sz w:val="24"/>
                <w:szCs w:val="24"/>
              </w:rPr>
            </w:pPr>
            <w:r w:rsidRPr="000E4599">
              <w:rPr>
                <w:rFonts w:ascii="Times New Roman" w:hAnsi="Times New Roman" w:cs="Times New Roman"/>
                <w:sz w:val="24"/>
                <w:szCs w:val="24"/>
              </w:rPr>
              <w:t>Reduced administration costs for Inland Revenue in processing and enforcement for labour-hire firm contractors.</w:t>
            </w:r>
          </w:p>
        </w:tc>
        <w:tc>
          <w:tcPr>
            <w:tcW w:w="2268" w:type="dxa"/>
          </w:tcPr>
          <w:p w:rsidR="00874D8C" w:rsidRPr="000E4599" w:rsidRDefault="00874D8C" w:rsidP="00BB68BD">
            <w:pPr>
              <w:jc w:val="both"/>
              <w:rPr>
                <w:rFonts w:ascii="Times New Roman" w:hAnsi="Times New Roman" w:cs="Times New Roman"/>
                <w:sz w:val="24"/>
                <w:szCs w:val="24"/>
              </w:rPr>
            </w:pPr>
            <w:r w:rsidRPr="000E4599">
              <w:rPr>
                <w:rFonts w:ascii="Times New Roman" w:hAnsi="Times New Roman" w:cs="Times New Roman"/>
                <w:sz w:val="24"/>
                <w:szCs w:val="24"/>
              </w:rPr>
              <w:t>Met</w:t>
            </w:r>
          </w:p>
          <w:p w:rsidR="00874D8C" w:rsidRPr="000E4599" w:rsidRDefault="00874D8C" w:rsidP="00BB68BD">
            <w:pPr>
              <w:jc w:val="both"/>
              <w:rPr>
                <w:rFonts w:ascii="Times New Roman" w:hAnsi="Times New Roman" w:cs="Times New Roman"/>
                <w:sz w:val="24"/>
                <w:szCs w:val="24"/>
              </w:rPr>
            </w:pPr>
          </w:p>
          <w:p w:rsidR="00874D8C" w:rsidRPr="000E4599" w:rsidRDefault="00874D8C" w:rsidP="00BB68BD">
            <w:pPr>
              <w:jc w:val="both"/>
              <w:rPr>
                <w:rFonts w:ascii="Times New Roman" w:hAnsi="Times New Roman" w:cs="Times New Roman"/>
                <w:sz w:val="24"/>
                <w:szCs w:val="24"/>
              </w:rPr>
            </w:pPr>
            <w:r w:rsidRPr="000E4599">
              <w:rPr>
                <w:rFonts w:ascii="Times New Roman" w:hAnsi="Times New Roman" w:cs="Times New Roman"/>
                <w:sz w:val="24"/>
                <w:szCs w:val="24"/>
              </w:rPr>
              <w:t>Contractors working for labour-hire firms will not have the opportunity to structure to avoid paying their fair share of tax.</w:t>
            </w:r>
          </w:p>
          <w:p w:rsidR="00874D8C" w:rsidRPr="000E4599" w:rsidRDefault="00874D8C" w:rsidP="00BB68BD">
            <w:pPr>
              <w:jc w:val="both"/>
              <w:rPr>
                <w:rFonts w:ascii="Times New Roman" w:hAnsi="Times New Roman" w:cs="Times New Roman"/>
                <w:sz w:val="24"/>
                <w:szCs w:val="24"/>
              </w:rPr>
            </w:pPr>
          </w:p>
          <w:p w:rsidR="00874D8C" w:rsidRPr="000E4599" w:rsidRDefault="00874D8C" w:rsidP="00BB68BD">
            <w:pPr>
              <w:jc w:val="both"/>
              <w:rPr>
                <w:rFonts w:ascii="Times New Roman" w:hAnsi="Times New Roman" w:cs="Times New Roman"/>
                <w:sz w:val="24"/>
                <w:szCs w:val="24"/>
              </w:rPr>
            </w:pPr>
            <w:r w:rsidRPr="000E4599">
              <w:rPr>
                <w:rFonts w:ascii="Times New Roman" w:hAnsi="Times New Roman" w:cs="Times New Roman"/>
                <w:sz w:val="24"/>
                <w:szCs w:val="24"/>
              </w:rPr>
              <w:t>Some contractors may attempt to avoid the rules by contracting with clients directly; however following consultation with labour-hire firms we consider that this impact will be low.</w:t>
            </w:r>
          </w:p>
        </w:tc>
        <w:tc>
          <w:tcPr>
            <w:tcW w:w="2780" w:type="dxa"/>
          </w:tcPr>
          <w:p w:rsidR="00874D8C" w:rsidRPr="000E4599" w:rsidRDefault="00874D8C" w:rsidP="00BB68BD">
            <w:pPr>
              <w:jc w:val="both"/>
              <w:rPr>
                <w:rFonts w:ascii="Times New Roman" w:hAnsi="Times New Roman" w:cs="Times New Roman"/>
                <w:sz w:val="24"/>
                <w:szCs w:val="24"/>
              </w:rPr>
            </w:pPr>
            <w:r w:rsidRPr="000E4599">
              <w:rPr>
                <w:rFonts w:ascii="Times New Roman" w:hAnsi="Times New Roman" w:cs="Times New Roman"/>
                <w:sz w:val="24"/>
                <w:szCs w:val="24"/>
              </w:rPr>
              <w:t xml:space="preserve">The impact of this </w:t>
            </w:r>
            <w:r>
              <w:rPr>
                <w:rFonts w:ascii="Times New Roman" w:hAnsi="Times New Roman" w:cs="Times New Roman"/>
                <w:sz w:val="24"/>
                <w:szCs w:val="24"/>
              </w:rPr>
              <w:t>option</w:t>
            </w:r>
            <w:r w:rsidRPr="000E4599">
              <w:rPr>
                <w:rFonts w:ascii="Times New Roman" w:hAnsi="Times New Roman" w:cs="Times New Roman"/>
                <w:sz w:val="24"/>
                <w:szCs w:val="24"/>
              </w:rPr>
              <w:t xml:space="preserve"> is difficult to measure as it relies on estimations of the hidden economy.</w:t>
            </w:r>
          </w:p>
          <w:p w:rsidR="00874D8C" w:rsidRPr="000E4599" w:rsidRDefault="00874D8C" w:rsidP="00BB68BD">
            <w:pPr>
              <w:jc w:val="both"/>
              <w:rPr>
                <w:rFonts w:ascii="Times New Roman" w:hAnsi="Times New Roman" w:cs="Times New Roman"/>
                <w:sz w:val="24"/>
                <w:szCs w:val="24"/>
              </w:rPr>
            </w:pPr>
          </w:p>
          <w:p w:rsidR="00874D8C" w:rsidRPr="000E4599" w:rsidRDefault="00874D8C" w:rsidP="00BB68BD">
            <w:pPr>
              <w:jc w:val="both"/>
              <w:rPr>
                <w:rFonts w:ascii="Times New Roman" w:hAnsi="Times New Roman" w:cs="Times New Roman"/>
                <w:sz w:val="24"/>
                <w:szCs w:val="24"/>
              </w:rPr>
            </w:pPr>
            <w:r w:rsidRPr="000E4599">
              <w:rPr>
                <w:rFonts w:ascii="Times New Roman" w:hAnsi="Times New Roman" w:cs="Times New Roman"/>
                <w:sz w:val="24"/>
                <w:szCs w:val="24"/>
              </w:rPr>
              <w:t>A conservative estimate shows a revenue benefit of $5</w:t>
            </w:r>
            <w:r w:rsidR="00AF4FE3">
              <w:rPr>
                <w:rFonts w:ascii="Times New Roman" w:hAnsi="Times New Roman" w:cs="Times New Roman"/>
                <w:sz w:val="24"/>
                <w:szCs w:val="24"/>
              </w:rPr>
              <w:t xml:space="preserve"> </w:t>
            </w:r>
            <w:r w:rsidRPr="000E4599">
              <w:rPr>
                <w:rFonts w:ascii="Times New Roman" w:hAnsi="Times New Roman" w:cs="Times New Roman"/>
                <w:sz w:val="24"/>
                <w:szCs w:val="24"/>
              </w:rPr>
              <w:t>m</w:t>
            </w:r>
            <w:r w:rsidR="00DC0267">
              <w:rPr>
                <w:rFonts w:ascii="Times New Roman" w:hAnsi="Times New Roman" w:cs="Times New Roman"/>
                <w:sz w:val="24"/>
                <w:szCs w:val="24"/>
              </w:rPr>
              <w:t>illion</w:t>
            </w:r>
            <w:r w:rsidRPr="000E4599">
              <w:rPr>
                <w:rFonts w:ascii="Times New Roman" w:hAnsi="Times New Roman" w:cs="Times New Roman"/>
                <w:sz w:val="24"/>
                <w:szCs w:val="24"/>
              </w:rPr>
              <w:t>-$10</w:t>
            </w:r>
            <w:r w:rsidR="00AF4FE3">
              <w:rPr>
                <w:rFonts w:ascii="Times New Roman" w:hAnsi="Times New Roman" w:cs="Times New Roman"/>
                <w:sz w:val="24"/>
                <w:szCs w:val="24"/>
              </w:rPr>
              <w:t xml:space="preserve"> </w:t>
            </w:r>
            <w:r w:rsidRPr="000E4599">
              <w:rPr>
                <w:rFonts w:ascii="Times New Roman" w:hAnsi="Times New Roman" w:cs="Times New Roman"/>
                <w:sz w:val="24"/>
                <w:szCs w:val="24"/>
              </w:rPr>
              <w:t>m</w:t>
            </w:r>
            <w:r w:rsidR="00DC0267">
              <w:rPr>
                <w:rFonts w:ascii="Times New Roman" w:hAnsi="Times New Roman" w:cs="Times New Roman"/>
                <w:sz w:val="24"/>
                <w:szCs w:val="24"/>
              </w:rPr>
              <w:t>illion</w:t>
            </w:r>
            <w:r w:rsidRPr="000E4599">
              <w:rPr>
                <w:rFonts w:ascii="Times New Roman" w:hAnsi="Times New Roman" w:cs="Times New Roman"/>
                <w:sz w:val="24"/>
                <w:szCs w:val="24"/>
              </w:rPr>
              <w:t xml:space="preserve"> a year.</w:t>
            </w:r>
          </w:p>
        </w:tc>
      </w:tr>
    </w:tbl>
    <w:p w:rsidR="00BB68BD" w:rsidRPr="000E4599" w:rsidRDefault="00BB68BD" w:rsidP="00BB68BD">
      <w:pPr>
        <w:spacing w:after="0" w:line="240" w:lineRule="auto"/>
        <w:jc w:val="both"/>
        <w:rPr>
          <w:rFonts w:ascii="Times New Roman" w:hAnsi="Times New Roman" w:cs="Times New Roman"/>
          <w:sz w:val="24"/>
          <w:szCs w:val="24"/>
          <w:u w:val="single"/>
        </w:rPr>
        <w:sectPr w:rsidR="00BB68BD" w:rsidRPr="000E4599" w:rsidSect="00906C84">
          <w:pgSz w:w="16838" w:h="11906" w:orient="landscape"/>
          <w:pgMar w:top="720" w:right="720" w:bottom="720" w:left="720" w:header="709" w:footer="709" w:gutter="0"/>
          <w:cols w:space="708"/>
          <w:docGrid w:linePitch="360"/>
        </w:sectPr>
      </w:pPr>
    </w:p>
    <w:p w:rsidR="00F26F3F" w:rsidRPr="004B7C5D" w:rsidRDefault="00F26F3F" w:rsidP="00F26F3F">
      <w:pPr>
        <w:spacing w:after="0" w:line="240" w:lineRule="auto"/>
        <w:jc w:val="both"/>
        <w:rPr>
          <w:rFonts w:ascii="Times New Roman" w:hAnsi="Times New Roman" w:cs="Times New Roman"/>
          <w:b/>
          <w:i/>
          <w:sz w:val="24"/>
          <w:szCs w:val="24"/>
        </w:rPr>
      </w:pPr>
      <w:r w:rsidRPr="004B7C5D">
        <w:rPr>
          <w:rFonts w:ascii="Times New Roman" w:hAnsi="Times New Roman" w:cs="Times New Roman"/>
          <w:b/>
          <w:i/>
          <w:sz w:val="24"/>
          <w:szCs w:val="24"/>
        </w:rPr>
        <w:t>Minimum rates of withholding</w:t>
      </w:r>
    </w:p>
    <w:p w:rsidR="005908E5" w:rsidRPr="00E02F4F" w:rsidRDefault="005908E5" w:rsidP="005908E5">
      <w:pPr>
        <w:spacing w:after="0" w:line="240" w:lineRule="auto"/>
        <w:jc w:val="both"/>
        <w:rPr>
          <w:rFonts w:ascii="Times New Roman" w:hAnsi="Times New Roman" w:cs="Times New Roman"/>
          <w:sz w:val="24"/>
          <w:szCs w:val="24"/>
        </w:rPr>
      </w:pPr>
    </w:p>
    <w:p w:rsidR="005908E5" w:rsidRPr="00E02F4F" w:rsidRDefault="005908E5" w:rsidP="005908E5">
      <w:pPr>
        <w:spacing w:after="0" w:line="240" w:lineRule="auto"/>
        <w:jc w:val="both"/>
        <w:rPr>
          <w:rFonts w:ascii="Times New Roman" w:hAnsi="Times New Roman" w:cs="Times New Roman"/>
          <w:sz w:val="24"/>
          <w:szCs w:val="24"/>
        </w:rPr>
      </w:pPr>
      <w:r w:rsidRPr="00E02F4F">
        <w:rPr>
          <w:rFonts w:ascii="Times New Roman" w:hAnsi="Times New Roman" w:cs="Times New Roman"/>
          <w:sz w:val="24"/>
          <w:szCs w:val="24"/>
        </w:rPr>
        <w:t>One design decision for the electing own withholding rate proposal is whether or not to require contractors to have a minimum rate of withholding. With a minimum rate, contractors who want to have a rate of withholding below the minimum will</w:t>
      </w:r>
      <w:r>
        <w:rPr>
          <w:rFonts w:ascii="Times New Roman" w:hAnsi="Times New Roman" w:cs="Times New Roman"/>
          <w:sz w:val="24"/>
          <w:szCs w:val="24"/>
        </w:rPr>
        <w:t xml:space="preserve"> need</w:t>
      </w:r>
      <w:r w:rsidRPr="00E02F4F">
        <w:rPr>
          <w:rFonts w:ascii="Times New Roman" w:hAnsi="Times New Roman" w:cs="Times New Roman"/>
          <w:sz w:val="24"/>
          <w:szCs w:val="24"/>
        </w:rPr>
        <w:t xml:space="preserve"> to apply for a special tax code.</w:t>
      </w:r>
    </w:p>
    <w:p w:rsidR="005908E5" w:rsidRPr="00E02F4F" w:rsidRDefault="005908E5" w:rsidP="005908E5">
      <w:pPr>
        <w:spacing w:after="0" w:line="240" w:lineRule="auto"/>
        <w:jc w:val="both"/>
        <w:rPr>
          <w:rFonts w:ascii="Times New Roman" w:hAnsi="Times New Roman" w:cs="Times New Roman"/>
          <w:sz w:val="24"/>
          <w:szCs w:val="24"/>
        </w:rPr>
      </w:pPr>
    </w:p>
    <w:p w:rsidR="005908E5" w:rsidRPr="00E02F4F" w:rsidRDefault="005908E5" w:rsidP="005908E5">
      <w:pPr>
        <w:spacing w:after="0" w:line="240" w:lineRule="auto"/>
        <w:jc w:val="both"/>
        <w:rPr>
          <w:rFonts w:ascii="Times New Roman" w:hAnsi="Times New Roman" w:cs="Times New Roman"/>
          <w:sz w:val="24"/>
          <w:szCs w:val="24"/>
        </w:rPr>
      </w:pPr>
      <w:r w:rsidRPr="00E02F4F">
        <w:rPr>
          <w:rFonts w:ascii="Times New Roman" w:hAnsi="Times New Roman" w:cs="Times New Roman"/>
          <w:sz w:val="24"/>
          <w:szCs w:val="24"/>
        </w:rPr>
        <w:t xml:space="preserve">The key advantage of a minimum rate is that it reduces the fiscal risk that contractors may attempt to defer or avoid paying their tax through picking artificially low rates. The key disadvantage is that it limits choice for contractors and therefore </w:t>
      </w:r>
      <w:r w:rsidR="00A15379">
        <w:rPr>
          <w:rFonts w:ascii="Times New Roman" w:hAnsi="Times New Roman" w:cs="Times New Roman"/>
          <w:sz w:val="24"/>
          <w:szCs w:val="24"/>
        </w:rPr>
        <w:t>imposes</w:t>
      </w:r>
      <w:r w:rsidR="00A15379" w:rsidRPr="00E02F4F">
        <w:rPr>
          <w:rFonts w:ascii="Times New Roman" w:hAnsi="Times New Roman" w:cs="Times New Roman"/>
          <w:sz w:val="24"/>
          <w:szCs w:val="24"/>
        </w:rPr>
        <w:t xml:space="preserve"> </w:t>
      </w:r>
      <w:r w:rsidRPr="00E02F4F">
        <w:rPr>
          <w:rFonts w:ascii="Times New Roman" w:hAnsi="Times New Roman" w:cs="Times New Roman"/>
          <w:sz w:val="24"/>
          <w:szCs w:val="24"/>
        </w:rPr>
        <w:t>withholding tax on compliant contractors who may prefer provisional tax.</w:t>
      </w:r>
    </w:p>
    <w:p w:rsidR="005908E5" w:rsidRPr="00E02F4F" w:rsidRDefault="005908E5" w:rsidP="005908E5">
      <w:pPr>
        <w:spacing w:after="0" w:line="240" w:lineRule="auto"/>
        <w:jc w:val="both"/>
        <w:rPr>
          <w:rFonts w:ascii="Times New Roman" w:hAnsi="Times New Roman" w:cs="Times New Roman"/>
          <w:sz w:val="24"/>
          <w:szCs w:val="24"/>
        </w:rPr>
      </w:pPr>
    </w:p>
    <w:p w:rsidR="00AB3A6E" w:rsidRDefault="00AB3A6E" w:rsidP="00AB3A6E">
      <w:pPr>
        <w:spacing w:after="0" w:line="240" w:lineRule="auto"/>
        <w:jc w:val="both"/>
        <w:rPr>
          <w:rFonts w:ascii="Times New Roman" w:hAnsi="Times New Roman" w:cs="Times New Roman"/>
          <w:color w:val="000000" w:themeColor="text1"/>
          <w:sz w:val="24"/>
          <w:szCs w:val="24"/>
        </w:rPr>
      </w:pPr>
      <w:r w:rsidRPr="00D97428">
        <w:rPr>
          <w:rFonts w:ascii="Times New Roman" w:hAnsi="Times New Roman" w:cs="Times New Roman"/>
          <w:color w:val="000000" w:themeColor="text1"/>
          <w:sz w:val="24"/>
          <w:szCs w:val="24"/>
        </w:rPr>
        <w:t>With a minimum rate of 1</w:t>
      </w:r>
      <w:r w:rsidR="00C455DF">
        <w:rPr>
          <w:rFonts w:ascii="Times New Roman" w:hAnsi="Times New Roman" w:cs="Times New Roman"/>
          <w:color w:val="000000" w:themeColor="text1"/>
          <w:sz w:val="24"/>
          <w:szCs w:val="24"/>
        </w:rPr>
        <w:t>0</w:t>
      </w:r>
      <w:r w:rsidRPr="00D97428">
        <w:rPr>
          <w:rFonts w:ascii="Times New Roman" w:hAnsi="Times New Roman" w:cs="Times New Roman"/>
          <w:color w:val="000000" w:themeColor="text1"/>
          <w:sz w:val="24"/>
          <w:szCs w:val="24"/>
        </w:rPr>
        <w:t>%, the fiscal impact of the proposal is expected to be approximately $</w:t>
      </w:r>
      <w:r w:rsidR="00C455DF">
        <w:rPr>
          <w:rFonts w:ascii="Times New Roman" w:hAnsi="Times New Roman" w:cs="Times New Roman"/>
          <w:color w:val="000000" w:themeColor="text1"/>
          <w:sz w:val="24"/>
          <w:szCs w:val="24"/>
        </w:rPr>
        <w:t>5</w:t>
      </w:r>
      <w:r w:rsidRPr="00D97428">
        <w:rPr>
          <w:rFonts w:ascii="Times New Roman" w:hAnsi="Times New Roman" w:cs="Times New Roman"/>
          <w:color w:val="000000" w:themeColor="text1"/>
          <w:sz w:val="24"/>
          <w:szCs w:val="24"/>
        </w:rPr>
        <w:t>4 million (with $1</w:t>
      </w:r>
      <w:r w:rsidR="00C455DF">
        <w:rPr>
          <w:rFonts w:ascii="Times New Roman" w:hAnsi="Times New Roman" w:cs="Times New Roman"/>
          <w:color w:val="000000" w:themeColor="text1"/>
          <w:sz w:val="24"/>
          <w:szCs w:val="24"/>
        </w:rPr>
        <w:t>9</w:t>
      </w:r>
      <w:r w:rsidRPr="00D97428">
        <w:rPr>
          <w:rFonts w:ascii="Times New Roman" w:hAnsi="Times New Roman" w:cs="Times New Roman"/>
          <w:color w:val="000000" w:themeColor="text1"/>
          <w:sz w:val="24"/>
          <w:szCs w:val="24"/>
        </w:rPr>
        <w:t xml:space="preserve"> million of this recovered in the subsequent two years). With no minimum rate this increases to approximately $111m (with $39 million recovered in subsequent two years). </w:t>
      </w:r>
    </w:p>
    <w:p w:rsidR="00AB3A6E" w:rsidRPr="00D42C53" w:rsidRDefault="00AB3A6E" w:rsidP="00AB3A6E">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b/>
          <w:i/>
          <w:sz w:val="24"/>
          <w:szCs w:val="24"/>
        </w:rPr>
      </w:pPr>
      <w:r w:rsidRPr="000E4599">
        <w:rPr>
          <w:rFonts w:ascii="Times New Roman" w:hAnsi="Times New Roman" w:cs="Times New Roman"/>
          <w:b/>
          <w:i/>
          <w:sz w:val="24"/>
          <w:szCs w:val="24"/>
        </w:rPr>
        <w:t>Consultation</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Inland Revenue and Treasury officials have consulted on these measures with industry groups and businesses, including small and large labour-hire firms.</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These groups were generally supportive of the measures and believed they would reduce overall compliance costs. </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Larger labour-hire firms have said that compliance costs of the proposals would be relatively low, while smaller labour-hire firms have reported that compliance costs would be relatively greater for them. </w:t>
      </w:r>
      <w:r w:rsidR="0003767F">
        <w:rPr>
          <w:rFonts w:ascii="Times New Roman" w:hAnsi="Times New Roman" w:cs="Times New Roman"/>
          <w:sz w:val="24"/>
          <w:szCs w:val="24"/>
        </w:rPr>
        <w:t xml:space="preserve">In their submissions, </w:t>
      </w:r>
      <w:r w:rsidR="00F610F4">
        <w:rPr>
          <w:rFonts w:ascii="Times New Roman" w:hAnsi="Times New Roman" w:cs="Times New Roman"/>
          <w:sz w:val="24"/>
          <w:szCs w:val="24"/>
        </w:rPr>
        <w:t>l</w:t>
      </w:r>
      <w:r w:rsidRPr="000E4599">
        <w:rPr>
          <w:rFonts w:ascii="Times New Roman" w:hAnsi="Times New Roman" w:cs="Times New Roman"/>
          <w:sz w:val="24"/>
          <w:szCs w:val="24"/>
        </w:rPr>
        <w:t xml:space="preserve">abour-hire firms </w:t>
      </w:r>
      <w:r w:rsidR="0003767F">
        <w:rPr>
          <w:rFonts w:ascii="Times New Roman" w:hAnsi="Times New Roman" w:cs="Times New Roman"/>
          <w:sz w:val="24"/>
          <w:szCs w:val="24"/>
        </w:rPr>
        <w:t>said</w:t>
      </w:r>
      <w:r w:rsidRPr="000E4599">
        <w:rPr>
          <w:rFonts w:ascii="Times New Roman" w:hAnsi="Times New Roman" w:cs="Times New Roman"/>
          <w:sz w:val="24"/>
          <w:szCs w:val="24"/>
        </w:rPr>
        <w:t xml:space="preserve"> the labour-hire rules need to apply consistently across all labour-hire industr</w:t>
      </w:r>
      <w:r w:rsidR="0003767F">
        <w:rPr>
          <w:rFonts w:ascii="Times New Roman" w:hAnsi="Times New Roman" w:cs="Times New Roman"/>
          <w:sz w:val="24"/>
          <w:szCs w:val="24"/>
        </w:rPr>
        <w:t>ies,</w:t>
      </w:r>
      <w:r w:rsidRPr="000E4599">
        <w:rPr>
          <w:rFonts w:ascii="Times New Roman" w:hAnsi="Times New Roman" w:cs="Times New Roman"/>
          <w:sz w:val="24"/>
          <w:szCs w:val="24"/>
        </w:rPr>
        <w:t xml:space="preserve"> and that it is unlikely that labour-hire contractors will change their behaviour to avoid the rules by contracting directly with clients.</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The analysis and rules recommended in this regulatory impact statement reflect these submissions.</w:t>
      </w:r>
    </w:p>
    <w:p w:rsidR="003D6145" w:rsidRDefault="003D6145" w:rsidP="003D6145">
      <w:pPr>
        <w:spacing w:after="0" w:line="240" w:lineRule="auto"/>
        <w:jc w:val="both"/>
        <w:rPr>
          <w:rFonts w:ascii="Times New Roman" w:hAnsi="Times New Roman" w:cs="Times New Roman"/>
          <w:sz w:val="24"/>
          <w:szCs w:val="24"/>
        </w:rPr>
      </w:pPr>
    </w:p>
    <w:p w:rsidR="003D6145" w:rsidRPr="000E4599" w:rsidRDefault="003D6145" w:rsidP="003D6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concern raised by submitters was that the electing own withholding rate proposal could significantly increase compliance costs for withholders if contractors repeatedly alter their withholding rates. We are proposing to address this through requiring the consent of the withholder to further changes in a contractor</w:t>
      </w:r>
      <w:r w:rsidR="0003767F">
        <w:rPr>
          <w:rFonts w:ascii="Times New Roman" w:hAnsi="Times New Roman" w:cs="Times New Roman"/>
          <w:sz w:val="24"/>
          <w:szCs w:val="24"/>
        </w:rPr>
        <w:t>’</w:t>
      </w:r>
      <w:r>
        <w:rPr>
          <w:rFonts w:ascii="Times New Roman" w:hAnsi="Times New Roman" w:cs="Times New Roman"/>
          <w:sz w:val="24"/>
          <w:szCs w:val="24"/>
        </w:rPr>
        <w:t>s withholding rate if the contractor has previously changed their withholding rate twice within one year.</w:t>
      </w:r>
    </w:p>
    <w:p w:rsidR="00BB68BD" w:rsidRPr="000E4599" w:rsidRDefault="00BB68BD" w:rsidP="00BB68BD">
      <w:pPr>
        <w:spacing w:after="0" w:line="240" w:lineRule="auto"/>
        <w:jc w:val="both"/>
        <w:rPr>
          <w:rFonts w:ascii="Times New Roman" w:hAnsi="Times New Roman" w:cs="Times New Roman"/>
          <w:sz w:val="24"/>
          <w:szCs w:val="24"/>
        </w:rPr>
      </w:pPr>
    </w:p>
    <w:p w:rsidR="00BB68BD" w:rsidRPr="000E4599" w:rsidRDefault="00D56B23" w:rsidP="002D0AC2">
      <w:pPr>
        <w:pStyle w:val="Heading3"/>
      </w:pPr>
      <w:bookmarkStart w:id="24" w:name="_Toc444145611"/>
      <w:r>
        <w:t>R</w:t>
      </w:r>
      <w:r w:rsidR="00BB68BD" w:rsidRPr="000E4599">
        <w:t>ecommendations</w:t>
      </w:r>
      <w:bookmarkEnd w:id="24"/>
    </w:p>
    <w:p w:rsidR="00BB68BD" w:rsidRPr="000E4599" w:rsidRDefault="00BB68BD" w:rsidP="00BB68BD">
      <w:pPr>
        <w:spacing w:after="0" w:line="240" w:lineRule="auto"/>
        <w:jc w:val="both"/>
        <w:rPr>
          <w:rFonts w:ascii="Times New Roman" w:hAnsi="Times New Roman" w:cs="Times New Roman"/>
          <w:sz w:val="24"/>
          <w:szCs w:val="24"/>
          <w:u w:val="single"/>
        </w:rPr>
      </w:pPr>
    </w:p>
    <w:p w:rsidR="00BB68BD" w:rsidRPr="000E4599" w:rsidRDefault="00BB68BD" w:rsidP="00BB68B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Inland Revenue supports options </w:t>
      </w:r>
      <w:r w:rsidR="0003767F">
        <w:rPr>
          <w:rFonts w:ascii="Times New Roman" w:hAnsi="Times New Roman" w:cs="Times New Roman"/>
          <w:sz w:val="24"/>
          <w:szCs w:val="24"/>
        </w:rPr>
        <w:t>2</w:t>
      </w:r>
      <w:r w:rsidRPr="000E4599">
        <w:rPr>
          <w:rFonts w:ascii="Times New Roman" w:hAnsi="Times New Roman" w:cs="Times New Roman"/>
          <w:sz w:val="24"/>
          <w:szCs w:val="24"/>
        </w:rPr>
        <w:t xml:space="preserve">, </w:t>
      </w:r>
      <w:r w:rsidR="0003767F">
        <w:rPr>
          <w:rFonts w:ascii="Times New Roman" w:hAnsi="Times New Roman" w:cs="Times New Roman"/>
          <w:sz w:val="24"/>
          <w:szCs w:val="24"/>
        </w:rPr>
        <w:t>3</w:t>
      </w:r>
      <w:r w:rsidRPr="000E4599">
        <w:rPr>
          <w:rFonts w:ascii="Times New Roman" w:hAnsi="Times New Roman" w:cs="Times New Roman"/>
          <w:sz w:val="24"/>
          <w:szCs w:val="24"/>
        </w:rPr>
        <w:t xml:space="preserve">, and </w:t>
      </w:r>
      <w:r w:rsidR="0003767F">
        <w:rPr>
          <w:rFonts w:ascii="Times New Roman" w:hAnsi="Times New Roman" w:cs="Times New Roman"/>
          <w:sz w:val="24"/>
          <w:szCs w:val="24"/>
        </w:rPr>
        <w:t>4</w:t>
      </w:r>
      <w:r w:rsidRPr="000E4599">
        <w:rPr>
          <w:rFonts w:ascii="Times New Roman" w:hAnsi="Times New Roman" w:cs="Times New Roman"/>
          <w:sz w:val="24"/>
          <w:szCs w:val="24"/>
        </w:rPr>
        <w:t xml:space="preserve">. These three measures take the first step in modernising the withholding rules for contractors </w:t>
      </w:r>
      <w:r w:rsidR="0003767F">
        <w:rPr>
          <w:rFonts w:ascii="Times New Roman" w:hAnsi="Times New Roman" w:cs="Times New Roman"/>
          <w:sz w:val="24"/>
          <w:szCs w:val="24"/>
        </w:rPr>
        <w:t>and</w:t>
      </w:r>
      <w:r w:rsidR="0003767F" w:rsidRPr="000E4599">
        <w:rPr>
          <w:rFonts w:ascii="Times New Roman" w:hAnsi="Times New Roman" w:cs="Times New Roman"/>
          <w:sz w:val="24"/>
          <w:szCs w:val="24"/>
        </w:rPr>
        <w:t xml:space="preserve"> </w:t>
      </w:r>
      <w:r w:rsidRPr="000E4599">
        <w:rPr>
          <w:rFonts w:ascii="Times New Roman" w:hAnsi="Times New Roman" w:cs="Times New Roman"/>
          <w:sz w:val="24"/>
          <w:szCs w:val="24"/>
        </w:rPr>
        <w:t>can be implemented by 1 April 2017.</w:t>
      </w:r>
    </w:p>
    <w:p w:rsidR="00BB68BD" w:rsidRPr="000E4599" w:rsidRDefault="00BB68BD" w:rsidP="00BB68BD">
      <w:pPr>
        <w:spacing w:after="0" w:line="240" w:lineRule="auto"/>
        <w:jc w:val="both"/>
        <w:rPr>
          <w:rFonts w:ascii="Times New Roman" w:hAnsi="Times New Roman" w:cs="Times New Roman"/>
          <w:sz w:val="24"/>
          <w:szCs w:val="24"/>
        </w:rPr>
      </w:pPr>
    </w:p>
    <w:p w:rsidR="00AB3A6E" w:rsidRDefault="00BB68BD" w:rsidP="000D155B">
      <w:pPr>
        <w:pStyle w:val="ListParagraph"/>
        <w:spacing w:after="0" w:line="240" w:lineRule="auto"/>
        <w:ind w:left="0"/>
        <w:jc w:val="both"/>
        <w:rPr>
          <w:rFonts w:ascii="Times New Roman" w:hAnsi="Times New Roman" w:cs="Times New Roman"/>
          <w:sz w:val="24"/>
          <w:szCs w:val="24"/>
        </w:rPr>
      </w:pPr>
      <w:r w:rsidRPr="004B7C5D">
        <w:rPr>
          <w:rFonts w:ascii="Times New Roman" w:hAnsi="Times New Roman" w:cs="Times New Roman"/>
          <w:sz w:val="24"/>
          <w:szCs w:val="24"/>
        </w:rPr>
        <w:t>These three options will reduce overall compliance costs and provide a fairer, more sustainable tax system. As a result we consider them an improvement over the status quo.</w:t>
      </w:r>
      <w:r w:rsidR="004C64C4" w:rsidRPr="004B7C5D">
        <w:rPr>
          <w:rFonts w:ascii="Times New Roman" w:hAnsi="Times New Roman" w:cs="Times New Roman"/>
          <w:sz w:val="24"/>
          <w:szCs w:val="24"/>
        </w:rPr>
        <w:t xml:space="preserve"> </w:t>
      </w:r>
      <w:r w:rsidR="00146EAF" w:rsidRPr="004B7C5D">
        <w:rPr>
          <w:rFonts w:ascii="Times New Roman" w:hAnsi="Times New Roman" w:cs="Times New Roman"/>
          <w:sz w:val="24"/>
          <w:szCs w:val="24"/>
        </w:rPr>
        <w:t>Approximately</w:t>
      </w:r>
      <w:r w:rsidR="004E4125" w:rsidRPr="004B7C5D">
        <w:rPr>
          <w:rFonts w:ascii="Times New Roman" w:hAnsi="Times New Roman" w:cs="Times New Roman"/>
          <w:sz w:val="24"/>
          <w:szCs w:val="24"/>
        </w:rPr>
        <w:t xml:space="preserve"> </w:t>
      </w:r>
      <w:r w:rsidR="004C64C4" w:rsidRPr="004B7C5D">
        <w:rPr>
          <w:rFonts w:ascii="Times New Roman" w:hAnsi="Times New Roman" w:cs="Times New Roman"/>
          <w:sz w:val="24"/>
          <w:szCs w:val="24"/>
        </w:rPr>
        <w:t xml:space="preserve">130,000 taxpayers currently subject to withholding tax for contract work will have greater flexibility to self-manage and </w:t>
      </w:r>
      <w:r w:rsidR="00146EAF" w:rsidRPr="004B7C5D">
        <w:rPr>
          <w:rFonts w:ascii="Times New Roman" w:hAnsi="Times New Roman" w:cs="Times New Roman"/>
          <w:sz w:val="24"/>
          <w:szCs w:val="24"/>
        </w:rPr>
        <w:t xml:space="preserve">at least </w:t>
      </w:r>
      <w:r w:rsidR="004C64C4" w:rsidRPr="004B7C5D">
        <w:rPr>
          <w:rFonts w:ascii="Times New Roman" w:hAnsi="Times New Roman" w:cs="Times New Roman"/>
          <w:sz w:val="24"/>
          <w:szCs w:val="24"/>
        </w:rPr>
        <w:t>4,200 labour hire contractors will be brought into withholding.</w:t>
      </w:r>
      <w:r w:rsidR="00AB3A6E">
        <w:rPr>
          <w:rFonts w:ascii="Times New Roman" w:hAnsi="Times New Roman" w:cs="Times New Roman"/>
          <w:sz w:val="24"/>
          <w:szCs w:val="24"/>
        </w:rPr>
        <w:br w:type="page"/>
      </w:r>
    </w:p>
    <w:p w:rsidR="00BF4A25" w:rsidRPr="00D3113A" w:rsidRDefault="002D0AC2" w:rsidP="004B7C5D">
      <w:pPr>
        <w:pStyle w:val="Heading1"/>
      </w:pPr>
      <w:bookmarkStart w:id="25" w:name="_Toc444145612"/>
      <w:r>
        <w:t xml:space="preserve">APPENDIX </w:t>
      </w:r>
      <w:r w:rsidR="008B1513">
        <w:t>C</w:t>
      </w:r>
      <w:r>
        <w:t xml:space="preserve"> – </w:t>
      </w:r>
      <w:r w:rsidR="00677F58" w:rsidRPr="00D3113A">
        <w:t>MAKI</w:t>
      </w:r>
      <w:r w:rsidR="00663D81">
        <w:t>NG</w:t>
      </w:r>
      <w:r w:rsidR="00677F58" w:rsidRPr="00D3113A">
        <w:t xml:space="preserve"> THE SYSTEM FAIRER</w:t>
      </w:r>
      <w:bookmarkEnd w:id="25"/>
    </w:p>
    <w:p w:rsidR="00D3113A" w:rsidRPr="00D3113A" w:rsidRDefault="00D3113A" w:rsidP="00D3113A">
      <w:pPr>
        <w:spacing w:after="0" w:line="240" w:lineRule="auto"/>
        <w:jc w:val="both"/>
        <w:rPr>
          <w:rFonts w:ascii="Times New Roman" w:hAnsi="Times New Roman" w:cs="Times New Roman"/>
          <w:sz w:val="24"/>
          <w:szCs w:val="24"/>
        </w:rPr>
      </w:pPr>
    </w:p>
    <w:p w:rsidR="00D3113A" w:rsidRPr="00D3113A" w:rsidRDefault="00D3113A" w:rsidP="00D3113A">
      <w:pPr>
        <w:spacing w:after="0" w:line="240" w:lineRule="auto"/>
        <w:jc w:val="both"/>
        <w:rPr>
          <w:rFonts w:ascii="Times New Roman" w:hAnsi="Times New Roman" w:cs="Times New Roman"/>
          <w:b/>
          <w:i/>
          <w:sz w:val="24"/>
          <w:szCs w:val="24"/>
        </w:rPr>
      </w:pPr>
      <w:r w:rsidRPr="00D3113A">
        <w:rPr>
          <w:rFonts w:ascii="Times New Roman" w:hAnsi="Times New Roman" w:cs="Times New Roman"/>
          <w:b/>
          <w:i/>
          <w:sz w:val="24"/>
          <w:szCs w:val="24"/>
        </w:rPr>
        <w:t>Status quo and problem definition</w:t>
      </w:r>
    </w:p>
    <w:p w:rsidR="00D3113A" w:rsidRDefault="00D3113A" w:rsidP="00D3113A">
      <w:pPr>
        <w:spacing w:after="0" w:line="240" w:lineRule="auto"/>
        <w:jc w:val="both"/>
        <w:rPr>
          <w:rFonts w:ascii="Times New Roman" w:hAnsi="Times New Roman" w:cs="Times New Roman"/>
          <w:sz w:val="24"/>
          <w:szCs w:val="24"/>
        </w:rPr>
      </w:pPr>
    </w:p>
    <w:p w:rsidR="00D3113A" w:rsidRPr="00D3113A" w:rsidRDefault="00883761" w:rsidP="00D311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D3113A">
        <w:rPr>
          <w:rFonts w:ascii="Times New Roman" w:hAnsi="Times New Roman" w:cs="Times New Roman"/>
          <w:sz w:val="24"/>
          <w:szCs w:val="24"/>
        </w:rPr>
        <w:t xml:space="preserve">axpayers </w:t>
      </w:r>
      <w:r>
        <w:rPr>
          <w:rFonts w:ascii="Times New Roman" w:hAnsi="Times New Roman" w:cs="Times New Roman"/>
          <w:sz w:val="24"/>
          <w:szCs w:val="24"/>
        </w:rPr>
        <w:t>are required to pay the right amount of</w:t>
      </w:r>
      <w:r w:rsidRPr="00D3113A">
        <w:rPr>
          <w:rFonts w:ascii="Times New Roman" w:hAnsi="Times New Roman" w:cs="Times New Roman"/>
          <w:sz w:val="24"/>
          <w:szCs w:val="24"/>
        </w:rPr>
        <w:t xml:space="preserve"> tax on time. To encourage taxpayers to pay on time, late payment penalties </w:t>
      </w:r>
      <w:r>
        <w:rPr>
          <w:rFonts w:ascii="Times New Roman" w:hAnsi="Times New Roman" w:cs="Times New Roman"/>
          <w:sz w:val="24"/>
          <w:szCs w:val="24"/>
        </w:rPr>
        <w:t xml:space="preserve">are imposed </w:t>
      </w:r>
      <w:r w:rsidRPr="00D3113A">
        <w:rPr>
          <w:rFonts w:ascii="Times New Roman" w:hAnsi="Times New Roman" w:cs="Times New Roman"/>
          <w:sz w:val="24"/>
          <w:szCs w:val="24"/>
        </w:rPr>
        <w:t xml:space="preserve">on </w:t>
      </w:r>
      <w:r>
        <w:rPr>
          <w:rFonts w:ascii="Times New Roman" w:hAnsi="Times New Roman" w:cs="Times New Roman"/>
          <w:sz w:val="24"/>
          <w:szCs w:val="24"/>
        </w:rPr>
        <w:t>overdue</w:t>
      </w:r>
      <w:r w:rsidRPr="00D3113A">
        <w:rPr>
          <w:rFonts w:ascii="Times New Roman" w:hAnsi="Times New Roman" w:cs="Times New Roman"/>
          <w:sz w:val="24"/>
          <w:szCs w:val="24"/>
        </w:rPr>
        <w:t xml:space="preserve"> tax</w:t>
      </w:r>
      <w:r w:rsidR="00D3113A" w:rsidRPr="00D3113A">
        <w:rPr>
          <w:rFonts w:ascii="Times New Roman" w:hAnsi="Times New Roman" w:cs="Times New Roman"/>
          <w:sz w:val="24"/>
          <w:szCs w:val="24"/>
        </w:rPr>
        <w:t xml:space="preserve">.  </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D3113A" w:rsidRDefault="00D3113A" w:rsidP="00D3113A">
      <w:pPr>
        <w:spacing w:after="0" w:line="240" w:lineRule="auto"/>
        <w:jc w:val="both"/>
        <w:rPr>
          <w:rFonts w:ascii="Times New Roman" w:hAnsi="Times New Roman" w:cs="Times New Roman"/>
          <w:sz w:val="24"/>
          <w:szCs w:val="24"/>
        </w:rPr>
      </w:pPr>
      <w:r w:rsidRPr="00D3113A">
        <w:rPr>
          <w:rFonts w:ascii="Times New Roman" w:hAnsi="Times New Roman" w:cs="Times New Roman"/>
          <w:sz w:val="24"/>
          <w:szCs w:val="24"/>
        </w:rPr>
        <w:t>The late payment penalty is imposed in two stages: the initial late payment penalty and the increment</w:t>
      </w:r>
      <w:r w:rsidR="00887B68">
        <w:rPr>
          <w:rFonts w:ascii="Times New Roman" w:hAnsi="Times New Roman" w:cs="Times New Roman"/>
          <w:sz w:val="24"/>
          <w:szCs w:val="24"/>
        </w:rPr>
        <w:t>al</w:t>
      </w:r>
      <w:r w:rsidRPr="00D3113A">
        <w:rPr>
          <w:rFonts w:ascii="Times New Roman" w:hAnsi="Times New Roman" w:cs="Times New Roman"/>
          <w:sz w:val="24"/>
          <w:szCs w:val="24"/>
        </w:rPr>
        <w:t xml:space="preserve"> late payment penalty. The initial late payment penalty is also applied in two steps: a one </w:t>
      </w:r>
      <w:r w:rsidR="008E4AF0" w:rsidRPr="00D3113A">
        <w:rPr>
          <w:rFonts w:ascii="Times New Roman" w:hAnsi="Times New Roman" w:cs="Times New Roman"/>
          <w:sz w:val="24"/>
          <w:szCs w:val="24"/>
        </w:rPr>
        <w:t>per cent</w:t>
      </w:r>
      <w:r w:rsidRPr="00D3113A">
        <w:rPr>
          <w:rFonts w:ascii="Times New Roman" w:hAnsi="Times New Roman" w:cs="Times New Roman"/>
          <w:sz w:val="24"/>
          <w:szCs w:val="24"/>
        </w:rPr>
        <w:t xml:space="preserve"> penalty imposed the day after the due date and a four </w:t>
      </w:r>
      <w:r w:rsidR="008E4AF0" w:rsidRPr="00D3113A">
        <w:rPr>
          <w:rFonts w:ascii="Times New Roman" w:hAnsi="Times New Roman" w:cs="Times New Roman"/>
          <w:sz w:val="24"/>
          <w:szCs w:val="24"/>
        </w:rPr>
        <w:t>per cent</w:t>
      </w:r>
      <w:r w:rsidRPr="00D3113A">
        <w:rPr>
          <w:rFonts w:ascii="Times New Roman" w:hAnsi="Times New Roman" w:cs="Times New Roman"/>
          <w:sz w:val="24"/>
          <w:szCs w:val="24"/>
        </w:rPr>
        <w:t xml:space="preserve"> penalty imposed on the seventh day if the tax remains outstanding. An incremental late payment penalty of one </w:t>
      </w:r>
      <w:r w:rsidR="008E4AF0" w:rsidRPr="00D3113A">
        <w:rPr>
          <w:rFonts w:ascii="Times New Roman" w:hAnsi="Times New Roman" w:cs="Times New Roman"/>
          <w:sz w:val="24"/>
          <w:szCs w:val="24"/>
        </w:rPr>
        <w:t>per cent</w:t>
      </w:r>
      <w:r w:rsidRPr="00D3113A">
        <w:rPr>
          <w:rFonts w:ascii="Times New Roman" w:hAnsi="Times New Roman" w:cs="Times New Roman"/>
          <w:sz w:val="24"/>
          <w:szCs w:val="24"/>
        </w:rPr>
        <w:t xml:space="preserve"> is imposed each month the tax remains outstanding.</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D3113A" w:rsidRDefault="00D3113A" w:rsidP="00D3113A">
      <w:pPr>
        <w:spacing w:after="0" w:line="240" w:lineRule="auto"/>
        <w:jc w:val="both"/>
        <w:rPr>
          <w:rFonts w:ascii="Times New Roman" w:hAnsi="Times New Roman" w:cs="Times New Roman"/>
          <w:sz w:val="24"/>
          <w:szCs w:val="24"/>
        </w:rPr>
      </w:pPr>
      <w:r w:rsidRPr="00D3113A">
        <w:rPr>
          <w:rFonts w:ascii="Times New Roman" w:hAnsi="Times New Roman" w:cs="Times New Roman"/>
          <w:sz w:val="24"/>
          <w:szCs w:val="24"/>
        </w:rPr>
        <w:t xml:space="preserve">In addition, </w:t>
      </w:r>
      <w:proofErr w:type="spellStart"/>
      <w:r w:rsidRPr="00D3113A">
        <w:rPr>
          <w:rFonts w:ascii="Times New Roman" w:hAnsi="Times New Roman" w:cs="Times New Roman"/>
          <w:sz w:val="24"/>
          <w:szCs w:val="24"/>
        </w:rPr>
        <w:t>UOMI</w:t>
      </w:r>
      <w:proofErr w:type="spellEnd"/>
      <w:r w:rsidRPr="00D3113A">
        <w:rPr>
          <w:rFonts w:ascii="Times New Roman" w:hAnsi="Times New Roman" w:cs="Times New Roman"/>
          <w:sz w:val="24"/>
          <w:szCs w:val="24"/>
        </w:rPr>
        <w:t xml:space="preserve"> is imposed from day one on the outstanding amount and any initial and incremental late payment penalties. Interest is calculated on a daily basis on the amount of underpaid tax </w:t>
      </w:r>
      <w:r w:rsidR="0052494F">
        <w:rPr>
          <w:rFonts w:ascii="Times New Roman" w:hAnsi="Times New Roman" w:cs="Times New Roman"/>
          <w:sz w:val="24"/>
          <w:szCs w:val="24"/>
        </w:rPr>
        <w:t>(including late payment penalties)</w:t>
      </w:r>
      <w:r w:rsidR="0052494F" w:rsidRPr="00D3113A">
        <w:rPr>
          <w:rFonts w:ascii="Times New Roman" w:hAnsi="Times New Roman" w:cs="Times New Roman"/>
          <w:sz w:val="24"/>
          <w:szCs w:val="24"/>
        </w:rPr>
        <w:t xml:space="preserve"> </w:t>
      </w:r>
      <w:r w:rsidRPr="00D3113A">
        <w:rPr>
          <w:rFonts w:ascii="Times New Roman" w:hAnsi="Times New Roman" w:cs="Times New Roman"/>
          <w:sz w:val="24"/>
          <w:szCs w:val="24"/>
        </w:rPr>
        <w:t>but is not included in the calculation of the late payment penalty, and does not compound. The current rate for the underpayment of tax is 9.21%</w:t>
      </w:r>
      <w:r w:rsidR="006F58AC">
        <w:rPr>
          <w:rFonts w:ascii="Times New Roman" w:hAnsi="Times New Roman" w:cs="Times New Roman"/>
          <w:sz w:val="24"/>
          <w:szCs w:val="24"/>
        </w:rPr>
        <w:t xml:space="preserve"> per annum</w:t>
      </w:r>
      <w:r w:rsidRPr="00D3113A">
        <w:rPr>
          <w:rFonts w:ascii="Times New Roman" w:hAnsi="Times New Roman" w:cs="Times New Roman"/>
          <w:sz w:val="24"/>
          <w:szCs w:val="24"/>
        </w:rPr>
        <w:t>.</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D3113A" w:rsidRDefault="00D3113A" w:rsidP="00D3113A">
      <w:pPr>
        <w:spacing w:after="0" w:line="240" w:lineRule="auto"/>
        <w:jc w:val="both"/>
        <w:rPr>
          <w:rFonts w:ascii="Times New Roman" w:hAnsi="Times New Roman" w:cs="Times New Roman"/>
          <w:sz w:val="24"/>
          <w:szCs w:val="24"/>
        </w:rPr>
      </w:pPr>
      <w:r w:rsidRPr="00D3113A">
        <w:rPr>
          <w:rFonts w:ascii="Times New Roman" w:hAnsi="Times New Roman" w:cs="Times New Roman"/>
          <w:sz w:val="24"/>
          <w:szCs w:val="24"/>
        </w:rPr>
        <w:t xml:space="preserve">In some circumstances late payment penalties are not imposed such as where the taxpayer is under a formal instalment arrangement, the taxpayer is providing information to the Commissioner to consider debt relief, where the unpaid tax is below $100 or in certain circumstances where the underlying tax assessment is being disputed by the taxpayer. In addition there is a grace period </w:t>
      </w:r>
      <w:r w:rsidR="004E4125">
        <w:rPr>
          <w:rFonts w:ascii="Times New Roman" w:hAnsi="Times New Roman" w:cs="Times New Roman"/>
          <w:sz w:val="24"/>
          <w:szCs w:val="24"/>
        </w:rPr>
        <w:t>for</w:t>
      </w:r>
      <w:r w:rsidRPr="00D3113A">
        <w:rPr>
          <w:rFonts w:ascii="Times New Roman" w:hAnsi="Times New Roman" w:cs="Times New Roman"/>
          <w:sz w:val="24"/>
          <w:szCs w:val="24"/>
        </w:rPr>
        <w:t xml:space="preserve"> taxpayers who have been compliant for the previous two years</w:t>
      </w:r>
      <w:r w:rsidR="004E4125">
        <w:rPr>
          <w:rFonts w:ascii="Times New Roman" w:hAnsi="Times New Roman" w:cs="Times New Roman"/>
          <w:sz w:val="24"/>
          <w:szCs w:val="24"/>
        </w:rPr>
        <w:t>. These taxpayers</w:t>
      </w:r>
      <w:r w:rsidRPr="00D3113A">
        <w:rPr>
          <w:rFonts w:ascii="Times New Roman" w:hAnsi="Times New Roman" w:cs="Times New Roman"/>
          <w:sz w:val="24"/>
          <w:szCs w:val="24"/>
        </w:rPr>
        <w:t xml:space="preserve"> are not cha</w:t>
      </w:r>
      <w:r w:rsidR="0052494F">
        <w:rPr>
          <w:rFonts w:ascii="Times New Roman" w:hAnsi="Times New Roman" w:cs="Times New Roman"/>
          <w:sz w:val="24"/>
          <w:szCs w:val="24"/>
        </w:rPr>
        <w:t>r</w:t>
      </w:r>
      <w:r w:rsidRPr="00D3113A">
        <w:rPr>
          <w:rFonts w:ascii="Times New Roman" w:hAnsi="Times New Roman" w:cs="Times New Roman"/>
          <w:sz w:val="24"/>
          <w:szCs w:val="24"/>
        </w:rPr>
        <w:t>ged late payment penalties if the payment is made up quickly.</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D3113A" w:rsidRDefault="00190955" w:rsidP="00D311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debt is approximately $5.15</w:t>
      </w:r>
      <w:r w:rsidR="00AF4FE3">
        <w:rPr>
          <w:rFonts w:ascii="Times New Roman" w:hAnsi="Times New Roman" w:cs="Times New Roman"/>
          <w:sz w:val="24"/>
          <w:szCs w:val="24"/>
        </w:rPr>
        <w:t xml:space="preserve"> </w:t>
      </w:r>
      <w:r w:rsidR="00C52566">
        <w:rPr>
          <w:rFonts w:ascii="Times New Roman" w:hAnsi="Times New Roman" w:cs="Times New Roman"/>
          <w:sz w:val="24"/>
          <w:szCs w:val="24"/>
        </w:rPr>
        <w:t>billion</w:t>
      </w:r>
      <w:r w:rsidR="00D3113A" w:rsidRPr="006F58AC">
        <w:rPr>
          <w:rStyle w:val="FootnoteReference"/>
        </w:rPr>
        <w:footnoteReference w:id="6"/>
      </w:r>
      <w:r w:rsidR="004E4125">
        <w:rPr>
          <w:rFonts w:ascii="Times New Roman" w:hAnsi="Times New Roman" w:cs="Times New Roman"/>
          <w:sz w:val="24"/>
          <w:szCs w:val="24"/>
        </w:rPr>
        <w:t xml:space="preserve">, </w:t>
      </w:r>
      <w:r w:rsidR="00D3113A" w:rsidRPr="00D3113A">
        <w:rPr>
          <w:rFonts w:ascii="Times New Roman" w:hAnsi="Times New Roman" w:cs="Times New Roman"/>
          <w:sz w:val="24"/>
          <w:szCs w:val="24"/>
        </w:rPr>
        <w:t xml:space="preserve">with penalties and interest representing </w:t>
      </w:r>
      <w:r>
        <w:rPr>
          <w:rFonts w:ascii="Times New Roman" w:hAnsi="Times New Roman" w:cs="Times New Roman"/>
          <w:sz w:val="24"/>
          <w:szCs w:val="24"/>
        </w:rPr>
        <w:t xml:space="preserve">a significant proportion </w:t>
      </w:r>
      <w:r w:rsidR="00D3113A" w:rsidRPr="00D3113A">
        <w:rPr>
          <w:rFonts w:ascii="Times New Roman" w:hAnsi="Times New Roman" w:cs="Times New Roman"/>
          <w:sz w:val="24"/>
          <w:szCs w:val="24"/>
        </w:rPr>
        <w:t xml:space="preserve">of the </w:t>
      </w:r>
      <w:r w:rsidR="0052494F">
        <w:rPr>
          <w:rFonts w:ascii="Times New Roman" w:hAnsi="Times New Roman" w:cs="Times New Roman"/>
          <w:sz w:val="24"/>
          <w:szCs w:val="24"/>
        </w:rPr>
        <w:t xml:space="preserve">total </w:t>
      </w:r>
      <w:r w:rsidR="00D3113A" w:rsidRPr="00D3113A">
        <w:rPr>
          <w:rFonts w:ascii="Times New Roman" w:hAnsi="Times New Roman" w:cs="Times New Roman"/>
          <w:sz w:val="24"/>
          <w:szCs w:val="24"/>
        </w:rPr>
        <w:t>debt book. Many of these accumulated late payment penalties are written off by Inland Revenue as uncollectible.</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D3113A" w:rsidRDefault="00D3113A" w:rsidP="00D3113A">
      <w:pPr>
        <w:spacing w:after="0" w:line="240" w:lineRule="auto"/>
        <w:jc w:val="both"/>
        <w:rPr>
          <w:rFonts w:ascii="Times New Roman" w:hAnsi="Times New Roman" w:cs="Times New Roman"/>
          <w:sz w:val="24"/>
          <w:szCs w:val="24"/>
        </w:rPr>
      </w:pPr>
      <w:r w:rsidRPr="00D3113A">
        <w:rPr>
          <w:rFonts w:ascii="Times New Roman" w:hAnsi="Times New Roman" w:cs="Times New Roman"/>
          <w:sz w:val="24"/>
          <w:szCs w:val="24"/>
        </w:rPr>
        <w:t xml:space="preserve">In past surveys, taxpayers have advised Inland Revenue that their reasons for incurring late payment penalties </w:t>
      </w:r>
      <w:r w:rsidR="0052494F">
        <w:rPr>
          <w:rFonts w:ascii="Times New Roman" w:hAnsi="Times New Roman" w:cs="Times New Roman"/>
          <w:sz w:val="24"/>
          <w:szCs w:val="24"/>
        </w:rPr>
        <w:t>are</w:t>
      </w:r>
      <w:r w:rsidRPr="00D3113A">
        <w:rPr>
          <w:rFonts w:ascii="Times New Roman" w:hAnsi="Times New Roman" w:cs="Times New Roman"/>
          <w:sz w:val="24"/>
          <w:szCs w:val="24"/>
        </w:rPr>
        <w:t xml:space="preserve"> due to administrative error, short-term and long-term cash</w:t>
      </w:r>
      <w:r w:rsidR="00DC20F8">
        <w:rPr>
          <w:rFonts w:ascii="Times New Roman" w:hAnsi="Times New Roman" w:cs="Times New Roman"/>
          <w:sz w:val="24"/>
          <w:szCs w:val="24"/>
        </w:rPr>
        <w:t>-</w:t>
      </w:r>
      <w:r w:rsidRPr="00D3113A">
        <w:rPr>
          <w:rFonts w:ascii="Times New Roman" w:hAnsi="Times New Roman" w:cs="Times New Roman"/>
          <w:sz w:val="24"/>
          <w:szCs w:val="24"/>
        </w:rPr>
        <w:t xml:space="preserve">flow problems. </w:t>
      </w:r>
    </w:p>
    <w:p w:rsidR="0052494F" w:rsidRPr="0052494F" w:rsidRDefault="0052494F" w:rsidP="0052494F">
      <w:pPr>
        <w:spacing w:after="0" w:line="240" w:lineRule="auto"/>
        <w:jc w:val="both"/>
        <w:rPr>
          <w:rFonts w:ascii="Times New Roman" w:hAnsi="Times New Roman" w:cs="Times New Roman"/>
          <w:sz w:val="24"/>
          <w:szCs w:val="24"/>
        </w:rPr>
      </w:pPr>
    </w:p>
    <w:p w:rsidR="0052494F" w:rsidRPr="0052494F" w:rsidRDefault="0052494F" w:rsidP="008B1609">
      <w:pPr>
        <w:spacing w:after="0" w:line="240" w:lineRule="auto"/>
        <w:contextualSpacing/>
        <w:jc w:val="both"/>
        <w:rPr>
          <w:rFonts w:ascii="Times New Roman" w:hAnsi="Times New Roman" w:cs="Times New Roman"/>
          <w:sz w:val="24"/>
          <w:szCs w:val="24"/>
        </w:rPr>
      </w:pPr>
      <w:r w:rsidRPr="0052494F">
        <w:rPr>
          <w:rFonts w:ascii="Times New Roman" w:hAnsi="Times New Roman" w:cs="Times New Roman"/>
          <w:sz w:val="24"/>
          <w:szCs w:val="24"/>
        </w:rPr>
        <w:t>The late payment penalty does not effectively encourage all taxpayers to comply. For some taxpayers, late payment penalties can be seen as ineffective if they are imposed on people who did not pay due to an administrative error (as they have underdeveloped business processes), cannot pay (as they do not have the resources) or will not pay (as they have the resources, but choose not to pay). The first group feel Inland Revenue is penalising them for an honest mistake and will grudgingly pay the penalty</w:t>
      </w:r>
      <w:r w:rsidR="00C52566">
        <w:rPr>
          <w:rFonts w:ascii="Times New Roman" w:hAnsi="Times New Roman" w:cs="Times New Roman"/>
          <w:sz w:val="24"/>
          <w:szCs w:val="24"/>
        </w:rPr>
        <w:t>. T</w:t>
      </w:r>
      <w:r w:rsidRPr="0052494F">
        <w:rPr>
          <w:rFonts w:ascii="Times New Roman" w:hAnsi="Times New Roman" w:cs="Times New Roman"/>
          <w:sz w:val="24"/>
          <w:szCs w:val="24"/>
        </w:rPr>
        <w:t>he second cannot pay the initial amount and so will not be able to pay the penalties</w:t>
      </w:r>
      <w:r w:rsidR="00C52566">
        <w:rPr>
          <w:rFonts w:ascii="Times New Roman" w:hAnsi="Times New Roman" w:cs="Times New Roman"/>
          <w:sz w:val="24"/>
          <w:szCs w:val="24"/>
        </w:rPr>
        <w:t>. T</w:t>
      </w:r>
      <w:r w:rsidRPr="0052494F">
        <w:rPr>
          <w:rFonts w:ascii="Times New Roman" w:hAnsi="Times New Roman" w:cs="Times New Roman"/>
          <w:sz w:val="24"/>
          <w:szCs w:val="24"/>
        </w:rPr>
        <w:t xml:space="preserve">he third is unlikely to be motivated by a financial penalty and so other tools would be more effective. </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D3113A" w:rsidRDefault="00D3113A" w:rsidP="00D3113A">
      <w:pPr>
        <w:spacing w:after="0" w:line="240" w:lineRule="auto"/>
        <w:jc w:val="both"/>
        <w:rPr>
          <w:rFonts w:ascii="Times New Roman" w:hAnsi="Times New Roman" w:cs="Times New Roman"/>
          <w:sz w:val="24"/>
          <w:szCs w:val="24"/>
        </w:rPr>
      </w:pPr>
      <w:r w:rsidRPr="00D3113A">
        <w:rPr>
          <w:rFonts w:ascii="Times New Roman" w:hAnsi="Times New Roman" w:cs="Times New Roman"/>
          <w:sz w:val="24"/>
          <w:szCs w:val="24"/>
        </w:rPr>
        <w:t xml:space="preserve">The </w:t>
      </w:r>
      <w:r w:rsidR="00C164C7">
        <w:rPr>
          <w:rFonts w:ascii="Times New Roman" w:hAnsi="Times New Roman" w:cs="Times New Roman"/>
          <w:sz w:val="24"/>
          <w:szCs w:val="24"/>
        </w:rPr>
        <w:t>issue</w:t>
      </w:r>
      <w:r w:rsidR="00C164C7" w:rsidRPr="00D3113A">
        <w:rPr>
          <w:rFonts w:ascii="Times New Roman" w:hAnsi="Times New Roman" w:cs="Times New Roman"/>
          <w:sz w:val="24"/>
          <w:szCs w:val="24"/>
        </w:rPr>
        <w:t xml:space="preserve">s </w:t>
      </w:r>
      <w:r w:rsidRPr="00D3113A">
        <w:rPr>
          <w:rFonts w:ascii="Times New Roman" w:hAnsi="Times New Roman" w:cs="Times New Roman"/>
          <w:sz w:val="24"/>
          <w:szCs w:val="24"/>
        </w:rPr>
        <w:t xml:space="preserve">with the late payment penalty are </w:t>
      </w:r>
      <w:r w:rsidR="00DC20F8">
        <w:rPr>
          <w:rFonts w:ascii="Times New Roman" w:hAnsi="Times New Roman" w:cs="Times New Roman"/>
          <w:sz w:val="24"/>
          <w:szCs w:val="24"/>
        </w:rPr>
        <w:t>its size,</w:t>
      </w:r>
      <w:r w:rsidRPr="00D3113A">
        <w:rPr>
          <w:rFonts w:ascii="Times New Roman" w:hAnsi="Times New Roman" w:cs="Times New Roman"/>
          <w:sz w:val="24"/>
          <w:szCs w:val="24"/>
        </w:rPr>
        <w:t xml:space="preserve"> blunt</w:t>
      </w:r>
      <w:r w:rsidR="00C52566">
        <w:rPr>
          <w:rFonts w:ascii="Times New Roman" w:hAnsi="Times New Roman" w:cs="Times New Roman"/>
          <w:sz w:val="24"/>
          <w:szCs w:val="24"/>
        </w:rPr>
        <w:t xml:space="preserve"> application</w:t>
      </w:r>
      <w:r w:rsidR="005B7EFD">
        <w:rPr>
          <w:rFonts w:ascii="Times New Roman" w:hAnsi="Times New Roman" w:cs="Times New Roman"/>
          <w:sz w:val="24"/>
          <w:szCs w:val="24"/>
        </w:rPr>
        <w:t>,</w:t>
      </w:r>
      <w:r w:rsidRPr="00D3113A">
        <w:rPr>
          <w:rFonts w:ascii="Times New Roman" w:hAnsi="Times New Roman" w:cs="Times New Roman"/>
          <w:sz w:val="24"/>
          <w:szCs w:val="24"/>
        </w:rPr>
        <w:t xml:space="preserve"> and impos</w:t>
      </w:r>
      <w:r w:rsidR="00C52566">
        <w:rPr>
          <w:rFonts w:ascii="Times New Roman" w:hAnsi="Times New Roman" w:cs="Times New Roman"/>
          <w:sz w:val="24"/>
          <w:szCs w:val="24"/>
        </w:rPr>
        <w:t>ition</w:t>
      </w:r>
      <w:r w:rsidRPr="00D3113A">
        <w:rPr>
          <w:rFonts w:ascii="Times New Roman" w:hAnsi="Times New Roman" w:cs="Times New Roman"/>
          <w:sz w:val="24"/>
          <w:szCs w:val="24"/>
        </w:rPr>
        <w:t xml:space="preserve"> on groups where it is ineffective as a collection tool.</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D3113A" w:rsidRDefault="00D3113A" w:rsidP="00D3113A">
      <w:pPr>
        <w:spacing w:after="0" w:line="240" w:lineRule="auto"/>
        <w:jc w:val="both"/>
        <w:rPr>
          <w:rFonts w:ascii="Times New Roman" w:hAnsi="Times New Roman" w:cs="Times New Roman"/>
          <w:sz w:val="24"/>
          <w:szCs w:val="24"/>
        </w:rPr>
      </w:pPr>
      <w:r w:rsidRPr="00D3113A">
        <w:rPr>
          <w:rFonts w:ascii="Times New Roman" w:hAnsi="Times New Roman" w:cs="Times New Roman"/>
          <w:sz w:val="24"/>
          <w:szCs w:val="24"/>
        </w:rPr>
        <w:t>Together</w:t>
      </w:r>
      <w:r w:rsidR="00C52566">
        <w:rPr>
          <w:rFonts w:ascii="Times New Roman" w:hAnsi="Times New Roman" w:cs="Times New Roman"/>
          <w:sz w:val="24"/>
          <w:szCs w:val="24"/>
        </w:rPr>
        <w:t>,</w:t>
      </w:r>
      <w:r w:rsidRPr="00D3113A">
        <w:rPr>
          <w:rFonts w:ascii="Times New Roman" w:hAnsi="Times New Roman" w:cs="Times New Roman"/>
          <w:sz w:val="24"/>
          <w:szCs w:val="24"/>
        </w:rPr>
        <w:t xml:space="preserve"> the late payment penalties and </w:t>
      </w:r>
      <w:proofErr w:type="spellStart"/>
      <w:r w:rsidRPr="00D3113A">
        <w:rPr>
          <w:rFonts w:ascii="Times New Roman" w:hAnsi="Times New Roman" w:cs="Times New Roman"/>
          <w:sz w:val="24"/>
          <w:szCs w:val="24"/>
        </w:rPr>
        <w:t>UOMI</w:t>
      </w:r>
      <w:proofErr w:type="spellEnd"/>
      <w:r w:rsidRPr="00D3113A">
        <w:rPr>
          <w:rFonts w:ascii="Times New Roman" w:hAnsi="Times New Roman" w:cs="Times New Roman"/>
          <w:sz w:val="24"/>
          <w:szCs w:val="24"/>
        </w:rPr>
        <w:t xml:space="preserve"> mean taxpayers incur a combined rate of approximately 27% in the first year. This combined penalty and interest rate is less in subsequent years as only the monthly incremental late payment penalty is imposed. </w:t>
      </w:r>
      <w:proofErr w:type="spellStart"/>
      <w:r w:rsidRPr="00D3113A">
        <w:rPr>
          <w:rFonts w:ascii="Times New Roman" w:hAnsi="Times New Roman" w:cs="Times New Roman"/>
          <w:sz w:val="24"/>
          <w:szCs w:val="24"/>
        </w:rPr>
        <w:t>UOMI</w:t>
      </w:r>
      <w:proofErr w:type="spellEnd"/>
      <w:r w:rsidRPr="00D3113A">
        <w:rPr>
          <w:rFonts w:ascii="Times New Roman" w:hAnsi="Times New Roman" w:cs="Times New Roman"/>
          <w:sz w:val="24"/>
          <w:szCs w:val="24"/>
        </w:rPr>
        <w:t xml:space="preserve"> rate</w:t>
      </w:r>
      <w:r w:rsidR="0052494F">
        <w:rPr>
          <w:rFonts w:ascii="Times New Roman" w:hAnsi="Times New Roman" w:cs="Times New Roman"/>
          <w:sz w:val="24"/>
          <w:szCs w:val="24"/>
        </w:rPr>
        <w:t>s are based on the Reserve B</w:t>
      </w:r>
      <w:r w:rsidRPr="00D3113A">
        <w:rPr>
          <w:rFonts w:ascii="Times New Roman" w:hAnsi="Times New Roman" w:cs="Times New Roman"/>
          <w:sz w:val="24"/>
          <w:szCs w:val="24"/>
        </w:rPr>
        <w:t xml:space="preserve">ank rates and fluctuate depending on the market. In previous years </w:t>
      </w:r>
      <w:proofErr w:type="spellStart"/>
      <w:r w:rsidRPr="00D3113A">
        <w:rPr>
          <w:rFonts w:ascii="Times New Roman" w:hAnsi="Times New Roman" w:cs="Times New Roman"/>
          <w:sz w:val="24"/>
          <w:szCs w:val="24"/>
        </w:rPr>
        <w:t>UOMI</w:t>
      </w:r>
      <w:proofErr w:type="spellEnd"/>
      <w:r w:rsidRPr="00D3113A">
        <w:rPr>
          <w:rFonts w:ascii="Times New Roman" w:hAnsi="Times New Roman" w:cs="Times New Roman"/>
          <w:sz w:val="24"/>
          <w:szCs w:val="24"/>
        </w:rPr>
        <w:t xml:space="preserve"> has been set at over 14% per annum, resulting in a combined penalty and interest rate of over 30% in the first year. This also has a significant impact on the amount of uncollectible penalties that </w:t>
      </w:r>
      <w:r w:rsidR="00D22583">
        <w:rPr>
          <w:rFonts w:ascii="Times New Roman" w:hAnsi="Times New Roman" w:cs="Times New Roman"/>
          <w:sz w:val="24"/>
          <w:szCs w:val="24"/>
        </w:rPr>
        <w:t>are added to the tax debt book.</w:t>
      </w:r>
    </w:p>
    <w:p w:rsidR="00D3113A" w:rsidRPr="00D3113A" w:rsidRDefault="00D3113A" w:rsidP="00D3113A">
      <w:pPr>
        <w:spacing w:after="0" w:line="240" w:lineRule="auto"/>
        <w:jc w:val="both"/>
        <w:rPr>
          <w:rFonts w:ascii="Times New Roman" w:hAnsi="Times New Roman" w:cs="Times New Roman"/>
          <w:sz w:val="24"/>
          <w:szCs w:val="24"/>
        </w:rPr>
      </w:pPr>
    </w:p>
    <w:p w:rsidR="00D3113A" w:rsidRDefault="00D3113A" w:rsidP="00D3113A">
      <w:pPr>
        <w:spacing w:after="0" w:line="240" w:lineRule="auto"/>
        <w:jc w:val="both"/>
        <w:rPr>
          <w:rFonts w:ascii="Times New Roman" w:hAnsi="Times New Roman" w:cs="Times New Roman"/>
          <w:sz w:val="24"/>
          <w:szCs w:val="24"/>
        </w:rPr>
      </w:pPr>
      <w:r w:rsidRPr="00D3113A">
        <w:rPr>
          <w:rFonts w:ascii="Times New Roman" w:hAnsi="Times New Roman" w:cs="Times New Roman"/>
          <w:sz w:val="24"/>
          <w:szCs w:val="24"/>
        </w:rPr>
        <w:t xml:space="preserve">Under the current penalty and interest rules, within two years (without repayments), penalties and interest compound to more than 50% of the original tax owed. Inland Revenue’s research has shown that for many indebted </w:t>
      </w:r>
      <w:proofErr w:type="spellStart"/>
      <w:r w:rsidRPr="00D3113A">
        <w:rPr>
          <w:rFonts w:ascii="Times New Roman" w:hAnsi="Times New Roman" w:cs="Times New Roman"/>
          <w:sz w:val="24"/>
          <w:szCs w:val="24"/>
        </w:rPr>
        <w:t>SME</w:t>
      </w:r>
      <w:proofErr w:type="spellEnd"/>
      <w:r w:rsidRPr="00D3113A">
        <w:rPr>
          <w:rFonts w:ascii="Times New Roman" w:hAnsi="Times New Roman" w:cs="Times New Roman"/>
          <w:sz w:val="24"/>
          <w:szCs w:val="24"/>
        </w:rPr>
        <w:t xml:space="preserve"> taxpayers, once the component of the penalties and interest reaches this point, they feel overwhelmed by their debt and become disengaged. At this point, imposing any additional late payment penalties becomes counterproductive as their imposition may further discourage the taxpayer from complying</w:t>
      </w:r>
      <w:r>
        <w:rPr>
          <w:rFonts w:ascii="Times New Roman" w:hAnsi="Times New Roman" w:cs="Times New Roman"/>
          <w:sz w:val="24"/>
          <w:szCs w:val="24"/>
        </w:rPr>
        <w:t>.</w:t>
      </w:r>
    </w:p>
    <w:p w:rsidR="00DB2E13" w:rsidRPr="00D3113A" w:rsidRDefault="00DB2E13" w:rsidP="00DB2E13">
      <w:pPr>
        <w:spacing w:after="0" w:line="240" w:lineRule="auto"/>
        <w:jc w:val="both"/>
        <w:rPr>
          <w:rFonts w:ascii="Times New Roman" w:hAnsi="Times New Roman" w:cs="Times New Roman"/>
          <w:sz w:val="24"/>
          <w:szCs w:val="24"/>
        </w:rPr>
      </w:pPr>
    </w:p>
    <w:p w:rsidR="00DB2E13" w:rsidRPr="00DB2E13" w:rsidRDefault="00DB2E13" w:rsidP="00DB2E13">
      <w:pPr>
        <w:spacing w:after="0" w:line="240" w:lineRule="auto"/>
        <w:jc w:val="both"/>
        <w:rPr>
          <w:rFonts w:ascii="Times New Roman" w:hAnsi="Times New Roman" w:cs="Times New Roman"/>
          <w:sz w:val="24"/>
          <w:szCs w:val="24"/>
        </w:rPr>
      </w:pPr>
      <w:r w:rsidRPr="00DB2E13">
        <w:rPr>
          <w:rFonts w:ascii="Times New Roman" w:hAnsi="Times New Roman" w:cs="Times New Roman"/>
          <w:sz w:val="24"/>
          <w:szCs w:val="24"/>
        </w:rPr>
        <w:t xml:space="preserve">Working for Families </w:t>
      </w:r>
      <w:r w:rsidR="00241B66">
        <w:rPr>
          <w:rFonts w:ascii="Times New Roman" w:hAnsi="Times New Roman" w:cs="Times New Roman"/>
          <w:sz w:val="24"/>
          <w:szCs w:val="24"/>
        </w:rPr>
        <w:t>T</w:t>
      </w:r>
      <w:r w:rsidRPr="00DB2E13">
        <w:rPr>
          <w:rFonts w:ascii="Times New Roman" w:hAnsi="Times New Roman" w:cs="Times New Roman"/>
          <w:sz w:val="24"/>
          <w:szCs w:val="24"/>
        </w:rPr>
        <w:t xml:space="preserve">ax </w:t>
      </w:r>
      <w:r w:rsidR="00241B66">
        <w:rPr>
          <w:rFonts w:ascii="Times New Roman" w:hAnsi="Times New Roman" w:cs="Times New Roman"/>
          <w:sz w:val="24"/>
          <w:szCs w:val="24"/>
        </w:rPr>
        <w:t>C</w:t>
      </w:r>
      <w:r w:rsidRPr="00DB2E13">
        <w:rPr>
          <w:rFonts w:ascii="Times New Roman" w:hAnsi="Times New Roman" w:cs="Times New Roman"/>
          <w:sz w:val="24"/>
          <w:szCs w:val="24"/>
        </w:rPr>
        <w:t>redits (</w:t>
      </w:r>
      <w:proofErr w:type="spellStart"/>
      <w:r w:rsidRPr="00DB2E13">
        <w:rPr>
          <w:rFonts w:ascii="Times New Roman" w:hAnsi="Times New Roman" w:cs="Times New Roman"/>
          <w:sz w:val="24"/>
          <w:szCs w:val="24"/>
        </w:rPr>
        <w:t>WFFTC</w:t>
      </w:r>
      <w:proofErr w:type="spellEnd"/>
      <w:r w:rsidRPr="00DB2E13">
        <w:rPr>
          <w:rFonts w:ascii="Times New Roman" w:hAnsi="Times New Roman" w:cs="Times New Roman"/>
          <w:sz w:val="24"/>
          <w:szCs w:val="24"/>
        </w:rPr>
        <w:t xml:space="preserve">) shares many income tax administrative and enforcement rules including filing requirements, terminal tax date, and the penalty (i.e. late payment penalty) rules. Therefore, </w:t>
      </w:r>
      <w:proofErr w:type="spellStart"/>
      <w:r w:rsidRPr="00DB2E13">
        <w:rPr>
          <w:rFonts w:ascii="Times New Roman" w:hAnsi="Times New Roman" w:cs="Times New Roman"/>
          <w:sz w:val="24"/>
          <w:szCs w:val="24"/>
        </w:rPr>
        <w:t>WFFTC</w:t>
      </w:r>
      <w:proofErr w:type="spellEnd"/>
      <w:r w:rsidRPr="00DB2E13">
        <w:rPr>
          <w:rFonts w:ascii="Times New Roman" w:hAnsi="Times New Roman" w:cs="Times New Roman"/>
          <w:sz w:val="24"/>
          <w:szCs w:val="24"/>
        </w:rPr>
        <w:t xml:space="preserve"> recipients face similar issues to taxpayers regarding </w:t>
      </w:r>
      <w:r w:rsidR="00241B66">
        <w:rPr>
          <w:rFonts w:ascii="Times New Roman" w:hAnsi="Times New Roman" w:cs="Times New Roman"/>
          <w:sz w:val="24"/>
          <w:szCs w:val="24"/>
        </w:rPr>
        <w:t>how quickly</w:t>
      </w:r>
      <w:r w:rsidRPr="00DB2E13">
        <w:rPr>
          <w:rFonts w:ascii="Times New Roman" w:hAnsi="Times New Roman" w:cs="Times New Roman"/>
          <w:sz w:val="24"/>
          <w:szCs w:val="24"/>
        </w:rPr>
        <w:t xml:space="preserve"> penalties and interest</w:t>
      </w:r>
      <w:r w:rsidR="00241B66" w:rsidRPr="00241B66">
        <w:rPr>
          <w:rFonts w:ascii="Times New Roman" w:hAnsi="Times New Roman" w:cs="Times New Roman"/>
          <w:sz w:val="24"/>
          <w:szCs w:val="24"/>
        </w:rPr>
        <w:t xml:space="preserve"> </w:t>
      </w:r>
      <w:r w:rsidR="00241B66" w:rsidRPr="00DB2E13">
        <w:rPr>
          <w:rFonts w:ascii="Times New Roman" w:hAnsi="Times New Roman" w:cs="Times New Roman"/>
          <w:sz w:val="24"/>
          <w:szCs w:val="24"/>
        </w:rPr>
        <w:t>accumulate</w:t>
      </w:r>
      <w:r w:rsidRPr="00DB2E13">
        <w:rPr>
          <w:rFonts w:ascii="Times New Roman" w:hAnsi="Times New Roman" w:cs="Times New Roman"/>
          <w:sz w:val="24"/>
          <w:szCs w:val="24"/>
        </w:rPr>
        <w:t xml:space="preserve">. However, unlike income tax, </w:t>
      </w:r>
      <w:proofErr w:type="spellStart"/>
      <w:r w:rsidR="00241B66">
        <w:rPr>
          <w:rFonts w:ascii="Times New Roman" w:hAnsi="Times New Roman" w:cs="Times New Roman"/>
          <w:sz w:val="24"/>
          <w:szCs w:val="24"/>
        </w:rPr>
        <w:t>WFFTC</w:t>
      </w:r>
      <w:proofErr w:type="spellEnd"/>
      <w:r w:rsidRPr="00DB2E13">
        <w:rPr>
          <w:rFonts w:ascii="Times New Roman" w:hAnsi="Times New Roman" w:cs="Times New Roman"/>
          <w:sz w:val="24"/>
          <w:szCs w:val="24"/>
        </w:rPr>
        <w:t xml:space="preserve"> has a different purpose; to financially support families’ day-to-day living costs. Currently, the late payment penalty rules can subject many indebted low income recipients to significant stress and anxiety as they struggle to afford to repay their </w:t>
      </w:r>
      <w:proofErr w:type="spellStart"/>
      <w:r w:rsidRPr="00DB2E13">
        <w:rPr>
          <w:rFonts w:ascii="Times New Roman" w:hAnsi="Times New Roman" w:cs="Times New Roman"/>
          <w:sz w:val="24"/>
          <w:szCs w:val="24"/>
        </w:rPr>
        <w:t>WFFTC</w:t>
      </w:r>
      <w:proofErr w:type="spellEnd"/>
      <w:r w:rsidRPr="00DB2E13">
        <w:rPr>
          <w:rFonts w:ascii="Times New Roman" w:hAnsi="Times New Roman" w:cs="Times New Roman"/>
          <w:sz w:val="24"/>
          <w:szCs w:val="24"/>
        </w:rPr>
        <w:t xml:space="preserve"> debt (due to overpayments), while watching their debt quickly grow to an unmanageable level. As a consequence much of this debt is written off.</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D3113A" w:rsidRDefault="00D3113A" w:rsidP="00D3113A">
      <w:pPr>
        <w:spacing w:after="0" w:line="240" w:lineRule="auto"/>
        <w:jc w:val="both"/>
        <w:rPr>
          <w:rFonts w:ascii="Times New Roman" w:hAnsi="Times New Roman" w:cs="Times New Roman"/>
          <w:sz w:val="24"/>
          <w:szCs w:val="24"/>
        </w:rPr>
      </w:pPr>
      <w:r w:rsidRPr="00D3113A">
        <w:rPr>
          <w:rFonts w:ascii="Times New Roman" w:hAnsi="Times New Roman" w:cs="Times New Roman"/>
          <w:sz w:val="24"/>
          <w:szCs w:val="24"/>
        </w:rPr>
        <w:t>New Zealand’s current combined penalty and interest rate is significantly higher than most commercial lending institutions in New Zealand, as well as other OECD countries, including A</w:t>
      </w:r>
      <w:r>
        <w:rPr>
          <w:rFonts w:ascii="Times New Roman" w:hAnsi="Times New Roman" w:cs="Times New Roman"/>
          <w:sz w:val="24"/>
          <w:szCs w:val="24"/>
        </w:rPr>
        <w:t>ustralia.</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D3113A" w:rsidRDefault="00D3113A" w:rsidP="00D3113A">
      <w:pPr>
        <w:spacing w:after="0" w:line="240" w:lineRule="auto"/>
        <w:jc w:val="both"/>
        <w:rPr>
          <w:rFonts w:ascii="Times New Roman" w:hAnsi="Times New Roman" w:cs="Times New Roman"/>
          <w:b/>
          <w:i/>
          <w:sz w:val="24"/>
          <w:szCs w:val="24"/>
        </w:rPr>
      </w:pPr>
      <w:r w:rsidRPr="00D3113A">
        <w:rPr>
          <w:rFonts w:ascii="Times New Roman" w:hAnsi="Times New Roman" w:cs="Times New Roman"/>
          <w:b/>
          <w:i/>
          <w:sz w:val="24"/>
          <w:szCs w:val="24"/>
        </w:rPr>
        <w:t>Constraints</w:t>
      </w:r>
    </w:p>
    <w:p w:rsidR="00D56B23" w:rsidRDefault="00D56B23" w:rsidP="00D56B23">
      <w:pPr>
        <w:pStyle w:val="ListParagraph"/>
        <w:spacing w:after="0" w:line="240" w:lineRule="auto"/>
        <w:ind w:left="0"/>
        <w:jc w:val="both"/>
        <w:rPr>
          <w:rFonts w:ascii="Times New Roman" w:hAnsi="Times New Roman" w:cs="Times New Roman"/>
          <w:sz w:val="24"/>
          <w:szCs w:val="24"/>
        </w:rPr>
      </w:pPr>
    </w:p>
    <w:p w:rsidR="00D56B23" w:rsidRPr="005D3931" w:rsidRDefault="00F64673" w:rsidP="00D56B23">
      <w:pPr>
        <w:pStyle w:val="ListParagraph"/>
        <w:spacing w:after="0" w:line="240" w:lineRule="auto"/>
        <w:ind w:left="0"/>
        <w:jc w:val="both"/>
        <w:rPr>
          <w:rFonts w:ascii="Times New Roman" w:hAnsi="Times New Roman" w:cs="Times New Roman"/>
          <w:sz w:val="24"/>
          <w:szCs w:val="24"/>
        </w:rPr>
      </w:pPr>
      <w:r w:rsidRPr="005D3931">
        <w:rPr>
          <w:rFonts w:ascii="Times New Roman" w:hAnsi="Times New Roman" w:cs="Times New Roman"/>
          <w:sz w:val="24"/>
          <w:szCs w:val="24"/>
        </w:rPr>
        <w:t xml:space="preserve">Ministers have asked officials </w:t>
      </w:r>
      <w:r w:rsidR="00D56B23" w:rsidRPr="005D3931">
        <w:rPr>
          <w:rFonts w:ascii="Times New Roman" w:hAnsi="Times New Roman" w:cs="Times New Roman"/>
          <w:sz w:val="24"/>
          <w:szCs w:val="24"/>
        </w:rPr>
        <w:t>for options that could be included in a business tax package to apply from 1 April 2017.  This has limited the feasible options that officials could consider to those that can be implemented within the timeframe.</w:t>
      </w:r>
      <w:r w:rsidR="00A75A2E">
        <w:rPr>
          <w:rFonts w:ascii="Times New Roman" w:hAnsi="Times New Roman" w:cs="Times New Roman"/>
          <w:sz w:val="24"/>
          <w:szCs w:val="24"/>
        </w:rPr>
        <w:t xml:space="preserve">  This limitation extends to the scope of the options as well as their design – that is, whether the option could apply to all tax types or just specific tax types such as GST or Working for Families.</w:t>
      </w:r>
    </w:p>
    <w:p w:rsidR="00D3113A" w:rsidRPr="00D3113A" w:rsidRDefault="00D3113A" w:rsidP="00D3113A">
      <w:pPr>
        <w:spacing w:after="0" w:line="240" w:lineRule="auto"/>
        <w:jc w:val="both"/>
        <w:rPr>
          <w:rFonts w:ascii="Times New Roman" w:hAnsi="Times New Roman" w:cs="Times New Roman"/>
          <w:sz w:val="24"/>
          <w:szCs w:val="24"/>
        </w:rPr>
      </w:pPr>
    </w:p>
    <w:p w:rsidR="00586051" w:rsidRPr="00D3113A" w:rsidRDefault="00586051" w:rsidP="00586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difficult to</w:t>
      </w:r>
      <w:r w:rsidRPr="00D3113A">
        <w:rPr>
          <w:rFonts w:ascii="Times New Roman" w:hAnsi="Times New Roman" w:cs="Times New Roman"/>
          <w:sz w:val="24"/>
          <w:szCs w:val="24"/>
        </w:rPr>
        <w:t xml:space="preserve"> estimate the behavioural impact any changes to the penalty rules might have on both compliant and non</w:t>
      </w:r>
      <w:r>
        <w:rPr>
          <w:rFonts w:ascii="Times New Roman" w:hAnsi="Times New Roman" w:cs="Times New Roman"/>
          <w:sz w:val="24"/>
          <w:szCs w:val="24"/>
        </w:rPr>
        <w:t>-compliant groups of taxpayers.</w:t>
      </w:r>
    </w:p>
    <w:p w:rsidR="00D3113A" w:rsidRPr="00D3113A" w:rsidRDefault="00D3113A" w:rsidP="00D3113A">
      <w:pPr>
        <w:spacing w:after="0" w:line="240" w:lineRule="auto"/>
        <w:jc w:val="both"/>
        <w:rPr>
          <w:rFonts w:ascii="Times New Roman" w:hAnsi="Times New Roman" w:cs="Times New Roman"/>
          <w:sz w:val="24"/>
          <w:szCs w:val="24"/>
        </w:rPr>
      </w:pPr>
    </w:p>
    <w:p w:rsidR="00586051" w:rsidRPr="00D3113A" w:rsidRDefault="00586051" w:rsidP="00586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D3113A">
        <w:rPr>
          <w:rFonts w:ascii="Times New Roman" w:hAnsi="Times New Roman" w:cs="Times New Roman"/>
          <w:sz w:val="24"/>
          <w:szCs w:val="24"/>
        </w:rPr>
        <w:t xml:space="preserve">ny financial penalty that is imposed and consequently paid by the taxpayer is revenue to the government. </w:t>
      </w:r>
      <w:r>
        <w:rPr>
          <w:rFonts w:ascii="Times New Roman" w:hAnsi="Times New Roman" w:cs="Times New Roman"/>
          <w:sz w:val="24"/>
          <w:szCs w:val="24"/>
        </w:rPr>
        <w:t>Due</w:t>
      </w:r>
      <w:r w:rsidRPr="00D3113A">
        <w:rPr>
          <w:rFonts w:ascii="Times New Roman" w:hAnsi="Times New Roman" w:cs="Times New Roman"/>
          <w:sz w:val="24"/>
          <w:szCs w:val="24"/>
        </w:rPr>
        <w:t xml:space="preserve"> to the difficulty in estimating the behavioural impact of any changes, officials are unable to fully estimate the fiscal cost of any changes in the late payment penalty rules.</w:t>
      </w:r>
    </w:p>
    <w:p w:rsidR="00D3113A" w:rsidRPr="00D3113A" w:rsidRDefault="00D3113A" w:rsidP="00D3113A">
      <w:pPr>
        <w:spacing w:after="0" w:line="240" w:lineRule="auto"/>
        <w:jc w:val="both"/>
        <w:rPr>
          <w:rFonts w:ascii="Times New Roman" w:hAnsi="Times New Roman" w:cs="Times New Roman"/>
          <w:sz w:val="24"/>
          <w:szCs w:val="24"/>
        </w:rPr>
      </w:pPr>
    </w:p>
    <w:p w:rsidR="00497AF6" w:rsidRPr="00497AF6" w:rsidRDefault="00497AF6" w:rsidP="00497AF6">
      <w:pPr>
        <w:spacing w:after="0" w:line="240" w:lineRule="auto"/>
        <w:jc w:val="both"/>
        <w:rPr>
          <w:rFonts w:ascii="Times New Roman" w:hAnsi="Times New Roman" w:cs="Times New Roman"/>
          <w:sz w:val="24"/>
          <w:szCs w:val="24"/>
        </w:rPr>
      </w:pPr>
      <w:r w:rsidRPr="00497AF6">
        <w:rPr>
          <w:rFonts w:ascii="Times New Roman" w:hAnsi="Times New Roman" w:cs="Times New Roman"/>
          <w:sz w:val="24"/>
          <w:szCs w:val="24"/>
        </w:rPr>
        <w:t xml:space="preserve">Inland Revenue is deploying a new IT system (START) which will supersede the legacy system (FIRST) over the course of the next few years. To avoid having to amend both the legacy system and build the new rules into START, any changes to late payment penalties will only apply to taxes as they migrate to START. </w:t>
      </w:r>
    </w:p>
    <w:p w:rsidR="00D3113A" w:rsidRPr="00D3113A" w:rsidRDefault="00D3113A" w:rsidP="00D3113A">
      <w:pPr>
        <w:spacing w:after="0" w:line="240" w:lineRule="auto"/>
        <w:jc w:val="both"/>
        <w:rPr>
          <w:rFonts w:ascii="Times New Roman" w:hAnsi="Times New Roman" w:cs="Times New Roman"/>
          <w:strike/>
          <w:sz w:val="24"/>
          <w:szCs w:val="24"/>
        </w:rPr>
      </w:pPr>
    </w:p>
    <w:p w:rsidR="00D3113A" w:rsidRPr="00D3113A" w:rsidRDefault="00D3113A" w:rsidP="00D3113A">
      <w:pPr>
        <w:spacing w:after="0" w:line="240" w:lineRule="auto"/>
        <w:jc w:val="both"/>
        <w:rPr>
          <w:rFonts w:ascii="Times New Roman" w:hAnsi="Times New Roman" w:cs="Times New Roman"/>
          <w:b/>
          <w:i/>
          <w:sz w:val="24"/>
          <w:szCs w:val="24"/>
        </w:rPr>
      </w:pPr>
      <w:r w:rsidRPr="00D3113A">
        <w:rPr>
          <w:rFonts w:ascii="Times New Roman" w:hAnsi="Times New Roman" w:cs="Times New Roman"/>
          <w:b/>
          <w:i/>
          <w:sz w:val="24"/>
          <w:szCs w:val="24"/>
        </w:rPr>
        <w:t>Options and analysis</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D3113A" w:rsidRDefault="00D3113A" w:rsidP="00D3113A">
      <w:pPr>
        <w:spacing w:after="0" w:line="240" w:lineRule="auto"/>
        <w:jc w:val="both"/>
        <w:rPr>
          <w:rFonts w:ascii="Times New Roman" w:hAnsi="Times New Roman" w:cs="Times New Roman"/>
          <w:sz w:val="24"/>
          <w:szCs w:val="24"/>
        </w:rPr>
      </w:pPr>
      <w:r w:rsidRPr="00D3113A">
        <w:rPr>
          <w:rFonts w:ascii="Times New Roman" w:hAnsi="Times New Roman" w:cs="Times New Roman"/>
          <w:sz w:val="24"/>
          <w:szCs w:val="24"/>
        </w:rPr>
        <w:t xml:space="preserve">Options to address the </w:t>
      </w:r>
      <w:r w:rsidR="00C164C7">
        <w:rPr>
          <w:rFonts w:ascii="Times New Roman" w:hAnsi="Times New Roman" w:cs="Times New Roman"/>
          <w:sz w:val="24"/>
          <w:szCs w:val="24"/>
        </w:rPr>
        <w:t>issue</w:t>
      </w:r>
      <w:r w:rsidR="00C164C7" w:rsidRPr="00D3113A">
        <w:rPr>
          <w:rFonts w:ascii="Times New Roman" w:hAnsi="Times New Roman" w:cs="Times New Roman"/>
          <w:sz w:val="24"/>
          <w:szCs w:val="24"/>
        </w:rPr>
        <w:t xml:space="preserve"> </w:t>
      </w:r>
      <w:r w:rsidRPr="00D3113A">
        <w:rPr>
          <w:rFonts w:ascii="Times New Roman" w:hAnsi="Times New Roman" w:cs="Times New Roman"/>
          <w:sz w:val="24"/>
          <w:szCs w:val="24"/>
        </w:rPr>
        <w:t>are:</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D22583" w:rsidRDefault="005B7EFD" w:rsidP="00D22583">
      <w:pPr>
        <w:pStyle w:val="ListParagraph"/>
        <w:numPr>
          <w:ilvl w:val="0"/>
          <w:numId w:val="44"/>
        </w:numPr>
        <w:spacing w:after="0" w:line="240" w:lineRule="auto"/>
        <w:jc w:val="both"/>
        <w:rPr>
          <w:rFonts w:ascii="Times New Roman" w:hAnsi="Times New Roman" w:cs="Times New Roman"/>
          <w:sz w:val="24"/>
          <w:szCs w:val="24"/>
        </w:rPr>
      </w:pPr>
      <w:r w:rsidRPr="00D22583">
        <w:rPr>
          <w:rFonts w:ascii="Times New Roman" w:hAnsi="Times New Roman" w:cs="Times New Roman"/>
          <w:sz w:val="24"/>
          <w:szCs w:val="24"/>
        </w:rPr>
        <w:t>Retain the s</w:t>
      </w:r>
      <w:r w:rsidR="00D3113A" w:rsidRPr="00D22583">
        <w:rPr>
          <w:rFonts w:ascii="Times New Roman" w:hAnsi="Times New Roman" w:cs="Times New Roman"/>
          <w:sz w:val="24"/>
          <w:szCs w:val="24"/>
        </w:rPr>
        <w:t>tatus quo.</w:t>
      </w:r>
    </w:p>
    <w:p w:rsidR="00D22583" w:rsidRPr="00D3113A" w:rsidRDefault="00D22583" w:rsidP="00D22583">
      <w:pPr>
        <w:spacing w:after="0" w:line="240" w:lineRule="auto"/>
        <w:ind w:left="720" w:hanging="360"/>
        <w:jc w:val="both"/>
        <w:rPr>
          <w:rFonts w:ascii="Times New Roman" w:hAnsi="Times New Roman" w:cs="Times New Roman"/>
          <w:sz w:val="24"/>
          <w:szCs w:val="24"/>
        </w:rPr>
      </w:pPr>
    </w:p>
    <w:p w:rsidR="00D3113A" w:rsidRPr="00D22583" w:rsidRDefault="00D3113A" w:rsidP="00D22583">
      <w:pPr>
        <w:pStyle w:val="ListParagraph"/>
        <w:numPr>
          <w:ilvl w:val="0"/>
          <w:numId w:val="44"/>
        </w:numPr>
        <w:spacing w:after="0" w:line="240" w:lineRule="auto"/>
        <w:jc w:val="both"/>
        <w:rPr>
          <w:rFonts w:ascii="Times New Roman" w:hAnsi="Times New Roman" w:cs="Times New Roman"/>
          <w:sz w:val="24"/>
          <w:szCs w:val="24"/>
        </w:rPr>
      </w:pPr>
      <w:r w:rsidRPr="00D22583">
        <w:rPr>
          <w:rFonts w:ascii="Times New Roman" w:hAnsi="Times New Roman" w:cs="Times New Roman"/>
          <w:sz w:val="24"/>
          <w:szCs w:val="24"/>
        </w:rPr>
        <w:t>Reduce the rate of the incremental late payment penalty.</w:t>
      </w:r>
    </w:p>
    <w:p w:rsidR="00D22583" w:rsidRPr="00D3113A" w:rsidRDefault="00D22583" w:rsidP="00D22583">
      <w:pPr>
        <w:spacing w:after="0" w:line="240" w:lineRule="auto"/>
        <w:ind w:left="720" w:hanging="360"/>
        <w:jc w:val="both"/>
        <w:rPr>
          <w:rFonts w:ascii="Times New Roman" w:hAnsi="Times New Roman" w:cs="Times New Roman"/>
          <w:sz w:val="24"/>
          <w:szCs w:val="24"/>
        </w:rPr>
      </w:pPr>
    </w:p>
    <w:p w:rsidR="00D3113A" w:rsidRDefault="00D3113A" w:rsidP="00D22583">
      <w:pPr>
        <w:numPr>
          <w:ilvl w:val="0"/>
          <w:numId w:val="44"/>
        </w:numPr>
        <w:spacing w:after="0" w:line="240" w:lineRule="auto"/>
        <w:contextualSpacing/>
        <w:jc w:val="both"/>
        <w:rPr>
          <w:rFonts w:ascii="Times New Roman" w:hAnsi="Times New Roman" w:cs="Times New Roman"/>
          <w:sz w:val="24"/>
          <w:szCs w:val="24"/>
        </w:rPr>
      </w:pPr>
      <w:r w:rsidRPr="00D3113A">
        <w:rPr>
          <w:rFonts w:ascii="Times New Roman" w:hAnsi="Times New Roman" w:cs="Times New Roman"/>
          <w:sz w:val="24"/>
          <w:szCs w:val="24"/>
        </w:rPr>
        <w:t xml:space="preserve">Remove the 1% monthly incremental late payment penalty. </w:t>
      </w:r>
    </w:p>
    <w:p w:rsidR="00D22583" w:rsidRPr="00D3113A" w:rsidRDefault="00D22583" w:rsidP="00D22583">
      <w:pPr>
        <w:spacing w:after="0" w:line="240" w:lineRule="auto"/>
        <w:ind w:left="720" w:hanging="360"/>
        <w:jc w:val="both"/>
        <w:rPr>
          <w:rFonts w:ascii="Times New Roman" w:hAnsi="Times New Roman" w:cs="Times New Roman"/>
          <w:sz w:val="24"/>
          <w:szCs w:val="24"/>
        </w:rPr>
      </w:pPr>
    </w:p>
    <w:p w:rsidR="00D3113A" w:rsidRDefault="00D3113A" w:rsidP="00D22583">
      <w:pPr>
        <w:numPr>
          <w:ilvl w:val="0"/>
          <w:numId w:val="44"/>
        </w:numPr>
        <w:spacing w:after="0" w:line="240" w:lineRule="auto"/>
        <w:contextualSpacing/>
        <w:jc w:val="both"/>
        <w:rPr>
          <w:rFonts w:ascii="Times New Roman" w:hAnsi="Times New Roman" w:cs="Times New Roman"/>
          <w:sz w:val="24"/>
          <w:szCs w:val="24"/>
        </w:rPr>
      </w:pPr>
      <w:r w:rsidRPr="00D3113A">
        <w:rPr>
          <w:rFonts w:ascii="Times New Roman" w:hAnsi="Times New Roman" w:cs="Times New Roman"/>
          <w:sz w:val="24"/>
          <w:szCs w:val="24"/>
        </w:rPr>
        <w:t>Remov</w:t>
      </w:r>
      <w:r w:rsidR="00241B66">
        <w:rPr>
          <w:rFonts w:ascii="Times New Roman" w:hAnsi="Times New Roman" w:cs="Times New Roman"/>
          <w:sz w:val="24"/>
          <w:szCs w:val="24"/>
        </w:rPr>
        <w:t>e</w:t>
      </w:r>
      <w:r w:rsidRPr="00D3113A">
        <w:rPr>
          <w:rFonts w:ascii="Times New Roman" w:hAnsi="Times New Roman" w:cs="Times New Roman"/>
          <w:sz w:val="24"/>
          <w:szCs w:val="24"/>
        </w:rPr>
        <w:t xml:space="preserve"> all late payment penalties and apply </w:t>
      </w:r>
      <w:proofErr w:type="spellStart"/>
      <w:r w:rsidR="0045650F">
        <w:rPr>
          <w:rFonts w:ascii="Times New Roman" w:hAnsi="Times New Roman" w:cs="Times New Roman"/>
          <w:sz w:val="24"/>
          <w:szCs w:val="24"/>
        </w:rPr>
        <w:t>UOMI</w:t>
      </w:r>
      <w:proofErr w:type="spellEnd"/>
      <w:r w:rsidRPr="00D3113A">
        <w:rPr>
          <w:rFonts w:ascii="Times New Roman" w:hAnsi="Times New Roman" w:cs="Times New Roman"/>
          <w:sz w:val="24"/>
          <w:szCs w:val="24"/>
        </w:rPr>
        <w:t xml:space="preserve"> only.</w:t>
      </w:r>
    </w:p>
    <w:p w:rsidR="00D22583" w:rsidRPr="00D3113A" w:rsidRDefault="00D22583" w:rsidP="00D22583">
      <w:pPr>
        <w:spacing w:after="0" w:line="240" w:lineRule="auto"/>
        <w:ind w:left="720" w:hanging="360"/>
        <w:jc w:val="both"/>
        <w:rPr>
          <w:rFonts w:ascii="Times New Roman" w:hAnsi="Times New Roman" w:cs="Times New Roman"/>
          <w:sz w:val="24"/>
          <w:szCs w:val="24"/>
        </w:rPr>
      </w:pPr>
    </w:p>
    <w:p w:rsidR="00D3113A" w:rsidRPr="00D3113A" w:rsidRDefault="00A75A2E" w:rsidP="00D22583">
      <w:pPr>
        <w:numPr>
          <w:ilvl w:val="0"/>
          <w:numId w:val="4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Broad discretion to impose penalties based on individual circumstances</w:t>
      </w:r>
      <w:r w:rsidR="00497AF6">
        <w:rPr>
          <w:rFonts w:ascii="Times New Roman" w:hAnsi="Times New Roman" w:cs="Times New Roman"/>
          <w:sz w:val="24"/>
          <w:szCs w:val="24"/>
        </w:rPr>
        <w:t>.</w:t>
      </w:r>
    </w:p>
    <w:p w:rsidR="00D3113A" w:rsidRPr="00D3113A" w:rsidRDefault="00D3113A" w:rsidP="00D3113A">
      <w:pPr>
        <w:spacing w:after="0" w:line="240" w:lineRule="auto"/>
        <w:jc w:val="both"/>
        <w:rPr>
          <w:rFonts w:ascii="Times New Roman" w:hAnsi="Times New Roman" w:cs="Times New Roman"/>
          <w:sz w:val="24"/>
          <w:szCs w:val="24"/>
        </w:rPr>
      </w:pPr>
    </w:p>
    <w:p w:rsidR="00767E65" w:rsidRDefault="004E48C5" w:rsidP="00D3113A">
      <w:pPr>
        <w:spacing w:after="0" w:line="240" w:lineRule="auto"/>
        <w:jc w:val="both"/>
        <w:rPr>
          <w:rFonts w:ascii="Times New Roman" w:hAnsi="Times New Roman" w:cs="Times New Roman"/>
          <w:sz w:val="24"/>
          <w:szCs w:val="24"/>
        </w:rPr>
      </w:pPr>
      <w:r w:rsidRPr="004E48C5">
        <w:rPr>
          <w:rFonts w:ascii="Times New Roman" w:hAnsi="Times New Roman" w:cs="Times New Roman"/>
          <w:i/>
          <w:sz w:val="24"/>
          <w:szCs w:val="24"/>
        </w:rPr>
        <w:t>Option 1 – Retain the status quo</w:t>
      </w:r>
    </w:p>
    <w:p w:rsidR="00767E65" w:rsidRDefault="00767E65" w:rsidP="00D3113A">
      <w:pPr>
        <w:spacing w:after="0" w:line="240" w:lineRule="auto"/>
        <w:jc w:val="both"/>
        <w:rPr>
          <w:rFonts w:ascii="Times New Roman" w:hAnsi="Times New Roman" w:cs="Times New Roman"/>
          <w:sz w:val="24"/>
          <w:szCs w:val="24"/>
        </w:rPr>
      </w:pPr>
    </w:p>
    <w:p w:rsidR="00D3113A" w:rsidRPr="00D3113A" w:rsidRDefault="00F610F4" w:rsidP="00D3113A">
      <w:pPr>
        <w:spacing w:after="0" w:line="240" w:lineRule="auto"/>
        <w:jc w:val="both"/>
        <w:rPr>
          <w:rFonts w:ascii="Times New Roman" w:hAnsi="Times New Roman" w:cs="Times New Roman"/>
          <w:sz w:val="24"/>
          <w:szCs w:val="24"/>
        </w:rPr>
      </w:pPr>
      <w:r w:rsidRPr="00D3113A">
        <w:rPr>
          <w:rFonts w:ascii="Times New Roman" w:hAnsi="Times New Roman" w:cs="Times New Roman"/>
          <w:sz w:val="24"/>
          <w:szCs w:val="24"/>
        </w:rPr>
        <w:t xml:space="preserve">The high combined rate </w:t>
      </w:r>
      <w:r>
        <w:rPr>
          <w:rFonts w:ascii="Times New Roman" w:hAnsi="Times New Roman" w:cs="Times New Roman"/>
          <w:sz w:val="24"/>
          <w:szCs w:val="24"/>
        </w:rPr>
        <w:t>leads</w:t>
      </w:r>
      <w:r w:rsidRPr="00D3113A">
        <w:rPr>
          <w:rFonts w:ascii="Times New Roman" w:hAnsi="Times New Roman" w:cs="Times New Roman"/>
          <w:sz w:val="24"/>
          <w:szCs w:val="24"/>
        </w:rPr>
        <w:t xml:space="preserve"> to increasing debt and</w:t>
      </w:r>
      <w:r>
        <w:rPr>
          <w:rFonts w:ascii="Times New Roman" w:hAnsi="Times New Roman" w:cs="Times New Roman"/>
          <w:sz w:val="24"/>
          <w:szCs w:val="24"/>
        </w:rPr>
        <w:t xml:space="preserve"> high</w:t>
      </w:r>
      <w:r w:rsidRPr="00D3113A">
        <w:rPr>
          <w:rFonts w:ascii="Times New Roman" w:hAnsi="Times New Roman" w:cs="Times New Roman"/>
          <w:sz w:val="24"/>
          <w:szCs w:val="24"/>
        </w:rPr>
        <w:t xml:space="preserve"> compliance costs for the taxpayer and </w:t>
      </w:r>
      <w:r>
        <w:rPr>
          <w:rFonts w:ascii="Times New Roman" w:hAnsi="Times New Roman" w:cs="Times New Roman"/>
          <w:sz w:val="24"/>
          <w:szCs w:val="24"/>
        </w:rPr>
        <w:t>high</w:t>
      </w:r>
      <w:r w:rsidRPr="00D3113A">
        <w:rPr>
          <w:rFonts w:ascii="Times New Roman" w:hAnsi="Times New Roman" w:cs="Times New Roman"/>
          <w:sz w:val="24"/>
          <w:szCs w:val="24"/>
        </w:rPr>
        <w:t xml:space="preserve"> administration costs </w:t>
      </w:r>
      <w:r>
        <w:rPr>
          <w:rFonts w:ascii="Times New Roman" w:hAnsi="Times New Roman" w:cs="Times New Roman"/>
          <w:sz w:val="24"/>
          <w:szCs w:val="24"/>
        </w:rPr>
        <w:t>for</w:t>
      </w:r>
      <w:r w:rsidRPr="00D3113A">
        <w:rPr>
          <w:rFonts w:ascii="Times New Roman" w:hAnsi="Times New Roman" w:cs="Times New Roman"/>
          <w:sz w:val="24"/>
          <w:szCs w:val="24"/>
        </w:rPr>
        <w:t xml:space="preserve"> Inland Revenue. Inland Revenue will continue to struggle to </w:t>
      </w:r>
      <w:r>
        <w:rPr>
          <w:rFonts w:ascii="Times New Roman" w:hAnsi="Times New Roman" w:cs="Times New Roman"/>
          <w:sz w:val="24"/>
          <w:szCs w:val="24"/>
        </w:rPr>
        <w:t>constructively</w:t>
      </w:r>
      <w:r w:rsidRPr="00D3113A">
        <w:rPr>
          <w:rFonts w:ascii="Times New Roman" w:hAnsi="Times New Roman" w:cs="Times New Roman"/>
          <w:sz w:val="24"/>
          <w:szCs w:val="24"/>
        </w:rPr>
        <w:t xml:space="preserve"> engage with indebted taxpayers. The lack of flexibility around the late payment penalty rules will prevent Inland Revenue from being able to effectively support newly indebted taxpayers</w:t>
      </w:r>
      <w:r w:rsidR="00D3113A" w:rsidRPr="00D3113A">
        <w:rPr>
          <w:rFonts w:ascii="Times New Roman" w:hAnsi="Times New Roman" w:cs="Times New Roman"/>
          <w:sz w:val="24"/>
          <w:szCs w:val="24"/>
        </w:rPr>
        <w:t xml:space="preserve">. </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4E48C5" w:rsidRDefault="004E48C5" w:rsidP="00D3113A">
      <w:pPr>
        <w:spacing w:after="0" w:line="240" w:lineRule="auto"/>
        <w:contextualSpacing/>
        <w:jc w:val="both"/>
        <w:rPr>
          <w:rFonts w:ascii="Times New Roman" w:hAnsi="Times New Roman" w:cs="Times New Roman"/>
          <w:i/>
          <w:sz w:val="24"/>
          <w:szCs w:val="24"/>
        </w:rPr>
      </w:pPr>
      <w:r w:rsidRPr="004E48C5">
        <w:rPr>
          <w:rFonts w:ascii="Times New Roman" w:hAnsi="Times New Roman" w:cs="Times New Roman"/>
          <w:i/>
          <w:sz w:val="24"/>
          <w:szCs w:val="24"/>
        </w:rPr>
        <w:t xml:space="preserve">Option 2 – </w:t>
      </w:r>
      <w:r w:rsidR="00090647">
        <w:rPr>
          <w:rFonts w:ascii="Times New Roman" w:hAnsi="Times New Roman" w:cs="Times New Roman"/>
          <w:i/>
          <w:sz w:val="24"/>
          <w:szCs w:val="24"/>
        </w:rPr>
        <w:t>R</w:t>
      </w:r>
      <w:r w:rsidRPr="004E48C5">
        <w:rPr>
          <w:rFonts w:ascii="Times New Roman" w:hAnsi="Times New Roman" w:cs="Times New Roman"/>
          <w:i/>
          <w:sz w:val="24"/>
          <w:szCs w:val="24"/>
        </w:rPr>
        <w:t xml:space="preserve">educe the </w:t>
      </w:r>
      <w:r w:rsidR="00D3113A" w:rsidRPr="004E48C5">
        <w:rPr>
          <w:rFonts w:ascii="Times New Roman" w:hAnsi="Times New Roman" w:cs="Times New Roman"/>
          <w:i/>
          <w:sz w:val="24"/>
          <w:szCs w:val="24"/>
        </w:rPr>
        <w:t>1% monthly incremental late payment penalty</w:t>
      </w:r>
    </w:p>
    <w:p w:rsidR="00FD7D47" w:rsidRDefault="00FD7D47" w:rsidP="00FD7D47">
      <w:pPr>
        <w:spacing w:after="0" w:line="240" w:lineRule="auto"/>
        <w:contextualSpacing/>
        <w:jc w:val="both"/>
        <w:rPr>
          <w:rFonts w:ascii="Times New Roman" w:hAnsi="Times New Roman" w:cs="Times New Roman"/>
          <w:sz w:val="24"/>
          <w:szCs w:val="24"/>
        </w:rPr>
      </w:pPr>
    </w:p>
    <w:p w:rsidR="00FD7D47" w:rsidRPr="00D3113A" w:rsidRDefault="00FD7D47" w:rsidP="00FD7D4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Pr="00D3113A">
        <w:rPr>
          <w:rFonts w:ascii="Times New Roman" w:hAnsi="Times New Roman" w:cs="Times New Roman"/>
          <w:sz w:val="24"/>
          <w:szCs w:val="24"/>
        </w:rPr>
        <w:t xml:space="preserve">ttempting to have a meaningful incremental late payment penalty will </w:t>
      </w:r>
      <w:r>
        <w:rPr>
          <w:rFonts w:ascii="Times New Roman" w:hAnsi="Times New Roman" w:cs="Times New Roman"/>
          <w:sz w:val="24"/>
          <w:szCs w:val="24"/>
        </w:rPr>
        <w:t xml:space="preserve">still </w:t>
      </w:r>
      <w:r w:rsidRPr="00D3113A">
        <w:rPr>
          <w:rFonts w:ascii="Times New Roman" w:hAnsi="Times New Roman" w:cs="Times New Roman"/>
          <w:sz w:val="24"/>
          <w:szCs w:val="24"/>
        </w:rPr>
        <w:t xml:space="preserve">result in a higher than desirable combined penalty and interest rate. For example, </w:t>
      </w:r>
      <w:r w:rsidR="00497AF6">
        <w:rPr>
          <w:rFonts w:ascii="Times New Roman" w:hAnsi="Times New Roman" w:cs="Times New Roman"/>
          <w:sz w:val="24"/>
          <w:szCs w:val="24"/>
        </w:rPr>
        <w:t xml:space="preserve">based on current </w:t>
      </w:r>
      <w:proofErr w:type="spellStart"/>
      <w:r w:rsidR="00497AF6">
        <w:rPr>
          <w:rFonts w:ascii="Times New Roman" w:hAnsi="Times New Roman" w:cs="Times New Roman"/>
          <w:sz w:val="24"/>
          <w:szCs w:val="24"/>
        </w:rPr>
        <w:t>UOMI</w:t>
      </w:r>
      <w:proofErr w:type="spellEnd"/>
      <w:r w:rsidR="00497AF6">
        <w:rPr>
          <w:rFonts w:ascii="Times New Roman" w:hAnsi="Times New Roman" w:cs="Times New Roman"/>
          <w:sz w:val="24"/>
          <w:szCs w:val="24"/>
        </w:rPr>
        <w:t xml:space="preserve"> rates,</w:t>
      </w:r>
      <w:r w:rsidR="00497AF6" w:rsidRPr="00D3113A">
        <w:rPr>
          <w:rFonts w:ascii="Times New Roman" w:hAnsi="Times New Roman" w:cs="Times New Roman"/>
          <w:sz w:val="24"/>
          <w:szCs w:val="24"/>
        </w:rPr>
        <w:t xml:space="preserve"> </w:t>
      </w:r>
      <w:r w:rsidRPr="00D3113A">
        <w:rPr>
          <w:rFonts w:ascii="Times New Roman" w:hAnsi="Times New Roman" w:cs="Times New Roman"/>
          <w:sz w:val="24"/>
          <w:szCs w:val="24"/>
        </w:rPr>
        <w:t>an incremental late payment penalty rate of 0.5% will result in the combined penalty and interest rate of approximately 21% per annum, in the first ye</w:t>
      </w:r>
      <w:r w:rsidR="00497AF6">
        <w:rPr>
          <w:rFonts w:ascii="Times New Roman" w:hAnsi="Times New Roman" w:cs="Times New Roman"/>
          <w:sz w:val="24"/>
          <w:szCs w:val="24"/>
        </w:rPr>
        <w:t>ar</w:t>
      </w:r>
      <w:r>
        <w:rPr>
          <w:rFonts w:ascii="Times New Roman" w:hAnsi="Times New Roman" w:cs="Times New Roman"/>
          <w:sz w:val="24"/>
          <w:szCs w:val="24"/>
        </w:rPr>
        <w:t>.</w:t>
      </w:r>
    </w:p>
    <w:p w:rsidR="00FD7D47" w:rsidRDefault="00FD7D47" w:rsidP="00336FA4">
      <w:pPr>
        <w:spacing w:after="0" w:line="240" w:lineRule="auto"/>
        <w:contextualSpacing/>
        <w:jc w:val="both"/>
        <w:rPr>
          <w:rFonts w:ascii="Times New Roman" w:hAnsi="Times New Roman" w:cs="Times New Roman"/>
          <w:sz w:val="24"/>
          <w:szCs w:val="24"/>
        </w:rPr>
      </w:pPr>
    </w:p>
    <w:p w:rsidR="00336FA4" w:rsidRPr="00336FA4" w:rsidRDefault="00336FA4" w:rsidP="00336FA4">
      <w:pPr>
        <w:spacing w:after="0" w:line="240" w:lineRule="auto"/>
        <w:jc w:val="both"/>
        <w:rPr>
          <w:rFonts w:ascii="Times New Roman" w:hAnsi="Times New Roman" w:cs="Times New Roman"/>
          <w:sz w:val="24"/>
          <w:szCs w:val="24"/>
        </w:rPr>
      </w:pPr>
      <w:r w:rsidRPr="00336FA4">
        <w:rPr>
          <w:rFonts w:ascii="Times New Roman" w:hAnsi="Times New Roman" w:cs="Times New Roman"/>
          <w:sz w:val="24"/>
          <w:szCs w:val="24"/>
        </w:rPr>
        <w:t>On its own, a reduced incremental late payment penalty is unlikely to provide a significant compliance benefit over the status quo, as taxpayers are unlikely to be further encouraged to comply by anticipating a reduced incremental late payment</w:t>
      </w:r>
      <w:r w:rsidR="00E02F2A">
        <w:rPr>
          <w:rFonts w:ascii="Times New Roman" w:hAnsi="Times New Roman" w:cs="Times New Roman"/>
          <w:sz w:val="24"/>
          <w:szCs w:val="24"/>
        </w:rPr>
        <w:t xml:space="preserve"> penalty</w:t>
      </w:r>
      <w:r w:rsidRPr="00336FA4">
        <w:rPr>
          <w:rFonts w:ascii="Times New Roman" w:hAnsi="Times New Roman" w:cs="Times New Roman"/>
          <w:sz w:val="24"/>
          <w:szCs w:val="24"/>
        </w:rPr>
        <w:t xml:space="preserve"> if they do not comply. In addition, these unpaid incremental late payment penalties will continue to be added to the tax debt book.</w:t>
      </w:r>
    </w:p>
    <w:p w:rsidR="00D3113A" w:rsidRPr="00D3113A" w:rsidRDefault="00D3113A" w:rsidP="00336FA4">
      <w:pPr>
        <w:spacing w:after="0" w:line="240" w:lineRule="auto"/>
        <w:contextualSpacing/>
        <w:jc w:val="both"/>
        <w:rPr>
          <w:rFonts w:ascii="Times New Roman" w:hAnsi="Times New Roman" w:cs="Times New Roman"/>
          <w:sz w:val="24"/>
          <w:szCs w:val="24"/>
        </w:rPr>
      </w:pPr>
    </w:p>
    <w:p w:rsidR="00D3113A" w:rsidRPr="00D3113A" w:rsidRDefault="00D3113A" w:rsidP="00D3113A">
      <w:pPr>
        <w:spacing w:after="0" w:line="240" w:lineRule="auto"/>
        <w:contextualSpacing/>
        <w:jc w:val="both"/>
        <w:rPr>
          <w:rFonts w:ascii="Times New Roman" w:hAnsi="Times New Roman" w:cs="Times New Roman"/>
          <w:sz w:val="24"/>
          <w:szCs w:val="24"/>
        </w:rPr>
      </w:pPr>
      <w:r w:rsidRPr="00D3113A">
        <w:rPr>
          <w:rFonts w:ascii="Times New Roman" w:hAnsi="Times New Roman" w:cs="Times New Roman"/>
          <w:sz w:val="24"/>
          <w:szCs w:val="24"/>
        </w:rPr>
        <w:t xml:space="preserve">This option will continue to maintain a financial incentive for indebted taxpayers to enter into instalment arrangements, in order to avoid the imposition of the monthly </w:t>
      </w:r>
      <w:r w:rsidR="00497AF6">
        <w:rPr>
          <w:rFonts w:ascii="Times New Roman" w:hAnsi="Times New Roman" w:cs="Times New Roman"/>
          <w:sz w:val="24"/>
          <w:szCs w:val="24"/>
        </w:rPr>
        <w:t>i</w:t>
      </w:r>
      <w:r w:rsidRPr="00D3113A">
        <w:rPr>
          <w:rFonts w:ascii="Times New Roman" w:hAnsi="Times New Roman" w:cs="Times New Roman"/>
          <w:sz w:val="24"/>
          <w:szCs w:val="24"/>
        </w:rPr>
        <w:t xml:space="preserve">ncremental late payment penalty. </w:t>
      </w:r>
    </w:p>
    <w:p w:rsidR="00D3113A" w:rsidRPr="00D3113A" w:rsidRDefault="00D3113A" w:rsidP="00D3113A">
      <w:pPr>
        <w:spacing w:after="0" w:line="240" w:lineRule="auto"/>
        <w:contextualSpacing/>
        <w:jc w:val="both"/>
        <w:rPr>
          <w:rFonts w:ascii="Times New Roman" w:hAnsi="Times New Roman" w:cs="Times New Roman"/>
          <w:sz w:val="24"/>
          <w:szCs w:val="24"/>
        </w:rPr>
      </w:pPr>
    </w:p>
    <w:p w:rsidR="00D3113A" w:rsidRPr="00D3113A" w:rsidRDefault="00497AF6" w:rsidP="00D3113A">
      <w:pPr>
        <w:spacing w:after="0" w:line="240" w:lineRule="auto"/>
        <w:contextualSpacing/>
        <w:jc w:val="both"/>
        <w:rPr>
          <w:rFonts w:ascii="Times New Roman" w:hAnsi="Times New Roman" w:cs="Times New Roman"/>
          <w:sz w:val="24"/>
          <w:szCs w:val="24"/>
        </w:rPr>
      </w:pPr>
      <w:r w:rsidRPr="00D3113A">
        <w:rPr>
          <w:rFonts w:ascii="Times New Roman" w:hAnsi="Times New Roman" w:cs="Times New Roman"/>
          <w:sz w:val="24"/>
          <w:szCs w:val="24"/>
        </w:rPr>
        <w:t>Overall, this option</w:t>
      </w:r>
      <w:r>
        <w:rPr>
          <w:rFonts w:ascii="Times New Roman" w:hAnsi="Times New Roman" w:cs="Times New Roman"/>
          <w:sz w:val="24"/>
          <w:szCs w:val="24"/>
        </w:rPr>
        <w:t>,</w:t>
      </w:r>
      <w:r w:rsidRPr="00D3113A">
        <w:rPr>
          <w:rFonts w:ascii="Times New Roman" w:hAnsi="Times New Roman" w:cs="Times New Roman"/>
          <w:sz w:val="24"/>
          <w:szCs w:val="24"/>
        </w:rPr>
        <w:t xml:space="preserve"> in effect</w:t>
      </w:r>
      <w:r>
        <w:rPr>
          <w:rFonts w:ascii="Times New Roman" w:hAnsi="Times New Roman" w:cs="Times New Roman"/>
          <w:sz w:val="24"/>
          <w:szCs w:val="24"/>
        </w:rPr>
        <w:t>,</w:t>
      </w:r>
      <w:r w:rsidRPr="00D3113A">
        <w:rPr>
          <w:rFonts w:ascii="Times New Roman" w:hAnsi="Times New Roman" w:cs="Times New Roman"/>
          <w:sz w:val="24"/>
          <w:szCs w:val="24"/>
        </w:rPr>
        <w:t xml:space="preserve"> </w:t>
      </w:r>
      <w:r w:rsidR="00D3113A" w:rsidRPr="00D3113A">
        <w:rPr>
          <w:rFonts w:ascii="Times New Roman" w:hAnsi="Times New Roman" w:cs="Times New Roman"/>
          <w:sz w:val="24"/>
          <w:szCs w:val="24"/>
        </w:rPr>
        <w:t xml:space="preserve">maintains the current incremental late payment penalty framework, including continuing to penalise taxpayers long after the debt was due, and in most cases imposing an additional financial penalty which is unlikely to encourage the taxpayer to comply. </w:t>
      </w:r>
    </w:p>
    <w:p w:rsidR="00D3113A" w:rsidRPr="00D3113A" w:rsidRDefault="00D3113A" w:rsidP="00D3113A">
      <w:pPr>
        <w:spacing w:after="0" w:line="240" w:lineRule="auto"/>
        <w:contextualSpacing/>
        <w:jc w:val="both"/>
        <w:rPr>
          <w:rFonts w:ascii="Times New Roman" w:hAnsi="Times New Roman" w:cs="Times New Roman"/>
          <w:sz w:val="24"/>
          <w:szCs w:val="24"/>
        </w:rPr>
      </w:pPr>
    </w:p>
    <w:p w:rsidR="005B7EFD" w:rsidRDefault="00497AF6" w:rsidP="00497AF6">
      <w:pPr>
        <w:spacing w:after="0" w:line="240" w:lineRule="auto"/>
        <w:contextualSpacing/>
        <w:jc w:val="both"/>
        <w:rPr>
          <w:rFonts w:ascii="Times New Roman" w:hAnsi="Times New Roman" w:cs="Times New Roman"/>
          <w:sz w:val="24"/>
          <w:szCs w:val="24"/>
        </w:rPr>
      </w:pPr>
      <w:r w:rsidRPr="00497AF6">
        <w:rPr>
          <w:rFonts w:ascii="Times New Roman" w:hAnsi="Times New Roman" w:cs="Times New Roman"/>
          <w:i/>
          <w:sz w:val="24"/>
          <w:szCs w:val="24"/>
        </w:rPr>
        <w:t>Option 3 – Remov</w:t>
      </w:r>
      <w:r w:rsidR="007269BC">
        <w:rPr>
          <w:rFonts w:ascii="Times New Roman" w:hAnsi="Times New Roman" w:cs="Times New Roman"/>
          <w:i/>
          <w:sz w:val="24"/>
          <w:szCs w:val="24"/>
        </w:rPr>
        <w:t>e</w:t>
      </w:r>
      <w:r w:rsidRPr="00497AF6">
        <w:rPr>
          <w:rFonts w:ascii="Times New Roman" w:hAnsi="Times New Roman" w:cs="Times New Roman"/>
          <w:i/>
          <w:sz w:val="24"/>
          <w:szCs w:val="24"/>
        </w:rPr>
        <w:t xml:space="preserve"> the 1% incremental late payment penalty</w:t>
      </w:r>
    </w:p>
    <w:p w:rsidR="005B7EFD" w:rsidRDefault="005B7EFD" w:rsidP="00497AF6">
      <w:pPr>
        <w:spacing w:after="0" w:line="240" w:lineRule="auto"/>
        <w:contextualSpacing/>
        <w:jc w:val="both"/>
        <w:rPr>
          <w:rFonts w:ascii="Times New Roman" w:hAnsi="Times New Roman" w:cs="Times New Roman"/>
          <w:sz w:val="24"/>
          <w:szCs w:val="24"/>
        </w:rPr>
      </w:pPr>
    </w:p>
    <w:p w:rsidR="00497AF6" w:rsidRPr="00497AF6" w:rsidRDefault="00497AF6" w:rsidP="00497AF6">
      <w:pPr>
        <w:spacing w:after="0" w:line="240" w:lineRule="auto"/>
        <w:contextualSpacing/>
        <w:jc w:val="both"/>
        <w:rPr>
          <w:rFonts w:ascii="Times New Roman" w:hAnsi="Times New Roman" w:cs="Times New Roman"/>
          <w:sz w:val="24"/>
          <w:szCs w:val="24"/>
        </w:rPr>
      </w:pPr>
      <w:r w:rsidRPr="00497AF6">
        <w:rPr>
          <w:rFonts w:ascii="Times New Roman" w:hAnsi="Times New Roman" w:cs="Times New Roman"/>
          <w:sz w:val="24"/>
          <w:szCs w:val="24"/>
        </w:rPr>
        <w:t>Only the one</w:t>
      </w:r>
      <w:r w:rsidR="00E02F2A">
        <w:rPr>
          <w:rFonts w:ascii="Times New Roman" w:hAnsi="Times New Roman" w:cs="Times New Roman"/>
          <w:sz w:val="24"/>
          <w:szCs w:val="24"/>
        </w:rPr>
        <w:t>-</w:t>
      </w:r>
      <w:r w:rsidRPr="00497AF6">
        <w:rPr>
          <w:rFonts w:ascii="Times New Roman" w:hAnsi="Times New Roman" w:cs="Times New Roman"/>
          <w:sz w:val="24"/>
          <w:szCs w:val="24"/>
        </w:rPr>
        <w:t xml:space="preserve">off initial late payment penalty of 1% </w:t>
      </w:r>
      <w:r w:rsidR="00767E65">
        <w:rPr>
          <w:rFonts w:ascii="Times New Roman" w:hAnsi="Times New Roman" w:cs="Times New Roman"/>
          <w:sz w:val="24"/>
          <w:szCs w:val="24"/>
        </w:rPr>
        <w:t>one day after the due date</w:t>
      </w:r>
      <w:r w:rsidR="007269BC">
        <w:rPr>
          <w:rFonts w:ascii="Times New Roman" w:hAnsi="Times New Roman" w:cs="Times New Roman"/>
          <w:sz w:val="24"/>
          <w:szCs w:val="24"/>
        </w:rPr>
        <w:t xml:space="preserve"> </w:t>
      </w:r>
      <w:r w:rsidRPr="00497AF6">
        <w:rPr>
          <w:rFonts w:ascii="Times New Roman" w:hAnsi="Times New Roman" w:cs="Times New Roman"/>
          <w:sz w:val="24"/>
          <w:szCs w:val="24"/>
        </w:rPr>
        <w:t xml:space="preserve">and 4% </w:t>
      </w:r>
      <w:r w:rsidR="007269BC">
        <w:rPr>
          <w:rFonts w:ascii="Times New Roman" w:hAnsi="Times New Roman" w:cs="Times New Roman"/>
          <w:sz w:val="24"/>
          <w:szCs w:val="24"/>
        </w:rPr>
        <w:t xml:space="preserve">after </w:t>
      </w:r>
      <w:r w:rsidR="00767E65">
        <w:rPr>
          <w:rFonts w:ascii="Times New Roman" w:hAnsi="Times New Roman" w:cs="Times New Roman"/>
          <w:sz w:val="24"/>
          <w:szCs w:val="24"/>
        </w:rPr>
        <w:t>seven</w:t>
      </w:r>
      <w:r w:rsidR="007269BC">
        <w:rPr>
          <w:rFonts w:ascii="Times New Roman" w:hAnsi="Times New Roman" w:cs="Times New Roman"/>
          <w:sz w:val="24"/>
          <w:szCs w:val="24"/>
        </w:rPr>
        <w:t xml:space="preserve"> days </w:t>
      </w:r>
      <w:r w:rsidRPr="00497AF6">
        <w:rPr>
          <w:rFonts w:ascii="Times New Roman" w:hAnsi="Times New Roman" w:cs="Times New Roman"/>
          <w:sz w:val="24"/>
          <w:szCs w:val="24"/>
        </w:rPr>
        <w:t xml:space="preserve">will be imposed. This option results in the combined penalty and interest rate decreasing from approximately 27% per annum, to approximately 15% per annum, in the first year. </w:t>
      </w:r>
    </w:p>
    <w:p w:rsidR="00497AF6" w:rsidRPr="00497AF6" w:rsidRDefault="00497AF6" w:rsidP="00497AF6">
      <w:pPr>
        <w:spacing w:after="0" w:line="240" w:lineRule="auto"/>
        <w:jc w:val="both"/>
        <w:rPr>
          <w:rFonts w:ascii="Times New Roman" w:hAnsi="Times New Roman" w:cs="Times New Roman"/>
          <w:sz w:val="24"/>
          <w:szCs w:val="24"/>
        </w:rPr>
      </w:pPr>
    </w:p>
    <w:p w:rsidR="00497AF6" w:rsidRPr="00497AF6" w:rsidRDefault="00497AF6" w:rsidP="00497AF6">
      <w:pPr>
        <w:spacing w:after="0" w:line="240" w:lineRule="auto"/>
        <w:jc w:val="both"/>
        <w:rPr>
          <w:rFonts w:ascii="Times New Roman" w:hAnsi="Times New Roman" w:cs="Times New Roman"/>
          <w:sz w:val="24"/>
          <w:szCs w:val="24"/>
        </w:rPr>
      </w:pPr>
      <w:r w:rsidRPr="00497AF6">
        <w:rPr>
          <w:rFonts w:ascii="Times New Roman" w:hAnsi="Times New Roman" w:cs="Times New Roman"/>
          <w:sz w:val="24"/>
          <w:szCs w:val="24"/>
        </w:rPr>
        <w:t>This revised rate is more in line with unsecured lending from traditional commercial lenders</w:t>
      </w:r>
      <w:r w:rsidR="00767E65">
        <w:rPr>
          <w:rFonts w:ascii="Times New Roman" w:hAnsi="Times New Roman" w:cs="Times New Roman"/>
          <w:sz w:val="24"/>
          <w:szCs w:val="24"/>
        </w:rPr>
        <w:t>. It</w:t>
      </w:r>
      <w:r w:rsidRPr="00497AF6">
        <w:rPr>
          <w:rFonts w:ascii="Times New Roman" w:hAnsi="Times New Roman" w:cs="Times New Roman"/>
          <w:sz w:val="24"/>
          <w:szCs w:val="24"/>
        </w:rPr>
        <w:t xml:space="preserve"> ensur</w:t>
      </w:r>
      <w:r w:rsidR="00767E65">
        <w:rPr>
          <w:rFonts w:ascii="Times New Roman" w:hAnsi="Times New Roman" w:cs="Times New Roman"/>
          <w:sz w:val="24"/>
          <w:szCs w:val="24"/>
        </w:rPr>
        <w:t>es</w:t>
      </w:r>
      <w:r w:rsidRPr="00497AF6">
        <w:rPr>
          <w:rFonts w:ascii="Times New Roman" w:hAnsi="Times New Roman" w:cs="Times New Roman"/>
          <w:sz w:val="24"/>
          <w:szCs w:val="24"/>
        </w:rPr>
        <w:t xml:space="preserve"> there continues to be </w:t>
      </w:r>
      <w:r w:rsidR="00767E65">
        <w:rPr>
          <w:rFonts w:ascii="Times New Roman" w:hAnsi="Times New Roman" w:cs="Times New Roman"/>
          <w:sz w:val="24"/>
          <w:szCs w:val="24"/>
        </w:rPr>
        <w:t xml:space="preserve">a </w:t>
      </w:r>
      <w:r w:rsidRPr="00497AF6">
        <w:rPr>
          <w:rFonts w:ascii="Times New Roman" w:hAnsi="Times New Roman" w:cs="Times New Roman"/>
          <w:sz w:val="24"/>
          <w:szCs w:val="24"/>
        </w:rPr>
        <w:t>financial cost to taxpayers who do not pay on time</w:t>
      </w:r>
      <w:r w:rsidR="00767E65">
        <w:rPr>
          <w:rFonts w:ascii="Times New Roman" w:hAnsi="Times New Roman" w:cs="Times New Roman"/>
          <w:sz w:val="24"/>
          <w:szCs w:val="24"/>
        </w:rPr>
        <w:t>. In addition, this option</w:t>
      </w:r>
      <w:r w:rsidRPr="00497AF6">
        <w:rPr>
          <w:rFonts w:ascii="Times New Roman" w:hAnsi="Times New Roman" w:cs="Times New Roman"/>
          <w:sz w:val="24"/>
          <w:szCs w:val="24"/>
        </w:rPr>
        <w:t xml:space="preserve"> will enable </w:t>
      </w:r>
      <w:r w:rsidR="00767E65">
        <w:rPr>
          <w:rFonts w:ascii="Times New Roman" w:hAnsi="Times New Roman" w:cs="Times New Roman"/>
          <w:sz w:val="24"/>
          <w:szCs w:val="24"/>
        </w:rPr>
        <w:t>taxpayers</w:t>
      </w:r>
      <w:r w:rsidRPr="00497AF6">
        <w:rPr>
          <w:rFonts w:ascii="Times New Roman" w:hAnsi="Times New Roman" w:cs="Times New Roman"/>
          <w:sz w:val="24"/>
          <w:szCs w:val="24"/>
        </w:rPr>
        <w:t xml:space="preserve"> to repay their debt in a more sustainable way, as the debt is not incurring continuous late payment penalties.</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D3113A" w:rsidRDefault="00D3113A" w:rsidP="00D3113A">
      <w:pPr>
        <w:spacing w:after="0" w:line="240" w:lineRule="auto"/>
        <w:jc w:val="both"/>
        <w:rPr>
          <w:rFonts w:ascii="Times New Roman" w:hAnsi="Times New Roman" w:cs="Times New Roman"/>
          <w:sz w:val="24"/>
          <w:szCs w:val="24"/>
        </w:rPr>
      </w:pPr>
      <w:r w:rsidRPr="00D3113A">
        <w:rPr>
          <w:rFonts w:ascii="Times New Roman" w:hAnsi="Times New Roman" w:cs="Times New Roman"/>
          <w:sz w:val="24"/>
          <w:szCs w:val="24"/>
        </w:rPr>
        <w:t xml:space="preserve">Currently, indebted taxpayers that enter </w:t>
      </w:r>
      <w:r w:rsidR="00E02F2A">
        <w:rPr>
          <w:rFonts w:ascii="Times New Roman" w:hAnsi="Times New Roman" w:cs="Times New Roman"/>
          <w:sz w:val="24"/>
          <w:szCs w:val="24"/>
        </w:rPr>
        <w:t xml:space="preserve">into </w:t>
      </w:r>
      <w:r w:rsidRPr="00D3113A">
        <w:rPr>
          <w:rFonts w:ascii="Times New Roman" w:hAnsi="Times New Roman" w:cs="Times New Roman"/>
          <w:sz w:val="24"/>
          <w:szCs w:val="24"/>
        </w:rPr>
        <w:t xml:space="preserve">instalment arrangements have their future incremental late payment penalties suppressed (not imposed). In effect, this option removes the financial incentive to enter into an instalment arrangement. However, taxpayers would continue to have an incentive to enter </w:t>
      </w:r>
      <w:r w:rsidR="00E02F2A">
        <w:rPr>
          <w:rFonts w:ascii="Times New Roman" w:hAnsi="Times New Roman" w:cs="Times New Roman"/>
          <w:sz w:val="24"/>
          <w:szCs w:val="24"/>
        </w:rPr>
        <w:t xml:space="preserve">into </w:t>
      </w:r>
      <w:r w:rsidRPr="00D3113A">
        <w:rPr>
          <w:rFonts w:ascii="Times New Roman" w:hAnsi="Times New Roman" w:cs="Times New Roman"/>
          <w:sz w:val="24"/>
          <w:szCs w:val="24"/>
        </w:rPr>
        <w:t xml:space="preserve">an instalment arrangement before the due date, to avoid the 4% penalty. In addition, the taxpayer continues to receive certainty that Inland Revenue will also adhere to the instalment arrangement and allow the taxpayer to repay the unpaid tax, over time, without taking action to </w:t>
      </w:r>
      <w:r w:rsidR="00497AF6">
        <w:rPr>
          <w:rFonts w:ascii="Times New Roman" w:hAnsi="Times New Roman" w:cs="Times New Roman"/>
          <w:sz w:val="24"/>
          <w:szCs w:val="24"/>
        </w:rPr>
        <w:t xml:space="preserve">enforce </w:t>
      </w:r>
      <w:r w:rsidRPr="00D3113A">
        <w:rPr>
          <w:rFonts w:ascii="Times New Roman" w:hAnsi="Times New Roman" w:cs="Times New Roman"/>
          <w:sz w:val="24"/>
          <w:szCs w:val="24"/>
        </w:rPr>
        <w:t>the tax debt.</w:t>
      </w:r>
    </w:p>
    <w:p w:rsidR="00D3113A" w:rsidRDefault="00D3113A" w:rsidP="00336FA4">
      <w:pPr>
        <w:spacing w:after="0" w:line="240" w:lineRule="auto"/>
        <w:jc w:val="both"/>
        <w:rPr>
          <w:rFonts w:ascii="Times New Roman" w:hAnsi="Times New Roman" w:cs="Times New Roman"/>
          <w:sz w:val="24"/>
          <w:szCs w:val="24"/>
        </w:rPr>
      </w:pPr>
    </w:p>
    <w:p w:rsidR="00336FA4" w:rsidRPr="00336FA4" w:rsidRDefault="00767E65" w:rsidP="00336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336FA4" w:rsidRPr="00336FA4">
        <w:rPr>
          <w:rFonts w:ascii="Times New Roman" w:hAnsi="Times New Roman" w:cs="Times New Roman"/>
          <w:sz w:val="24"/>
          <w:szCs w:val="24"/>
        </w:rPr>
        <w:t>emoving the incremental late payment penalty means indebted taxpayers no longer incur late payment penalties that might have otherwise encouraged some to pay months or years after the due date</w:t>
      </w:r>
      <w:r>
        <w:rPr>
          <w:rFonts w:ascii="Times New Roman" w:hAnsi="Times New Roman" w:cs="Times New Roman"/>
          <w:sz w:val="24"/>
          <w:szCs w:val="24"/>
        </w:rPr>
        <w:t>.</w:t>
      </w:r>
      <w:r w:rsidR="00336FA4" w:rsidRPr="00336FA4">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336FA4" w:rsidRPr="00336FA4">
        <w:rPr>
          <w:rFonts w:ascii="Times New Roman" w:hAnsi="Times New Roman" w:cs="Times New Roman"/>
          <w:sz w:val="24"/>
          <w:szCs w:val="24"/>
        </w:rPr>
        <w:t>the reduced combined penalty and interest rate will reduce the growth of the debt and consequently provide more opportunity to all indebted taxpayers to repay their tax debt before it becomes too big to resolve.</w:t>
      </w:r>
    </w:p>
    <w:p w:rsidR="00336FA4" w:rsidRDefault="00336FA4" w:rsidP="00336FA4">
      <w:pPr>
        <w:spacing w:after="0" w:line="240" w:lineRule="auto"/>
        <w:jc w:val="both"/>
        <w:rPr>
          <w:rFonts w:ascii="Times New Roman" w:hAnsi="Times New Roman" w:cs="Times New Roman"/>
          <w:sz w:val="24"/>
          <w:szCs w:val="24"/>
        </w:rPr>
      </w:pPr>
    </w:p>
    <w:p w:rsidR="005B7EFD" w:rsidRDefault="00A80576" w:rsidP="00A80576">
      <w:pPr>
        <w:spacing w:after="0" w:line="240" w:lineRule="auto"/>
        <w:contextualSpacing/>
        <w:jc w:val="both"/>
        <w:rPr>
          <w:rFonts w:ascii="Times New Roman" w:hAnsi="Times New Roman" w:cs="Times New Roman"/>
          <w:i/>
          <w:sz w:val="24"/>
          <w:szCs w:val="24"/>
        </w:rPr>
      </w:pPr>
      <w:r w:rsidRPr="00A80576">
        <w:rPr>
          <w:rFonts w:ascii="Times New Roman" w:hAnsi="Times New Roman" w:cs="Times New Roman"/>
          <w:i/>
          <w:sz w:val="24"/>
          <w:szCs w:val="24"/>
        </w:rPr>
        <w:t>Option 4 -Remov</w:t>
      </w:r>
      <w:r w:rsidR="00767E65">
        <w:rPr>
          <w:rFonts w:ascii="Times New Roman" w:hAnsi="Times New Roman" w:cs="Times New Roman"/>
          <w:i/>
          <w:sz w:val="24"/>
          <w:szCs w:val="24"/>
        </w:rPr>
        <w:t>e</w:t>
      </w:r>
      <w:r w:rsidRPr="00A80576">
        <w:rPr>
          <w:rFonts w:ascii="Times New Roman" w:hAnsi="Times New Roman" w:cs="Times New Roman"/>
          <w:i/>
          <w:sz w:val="24"/>
          <w:szCs w:val="24"/>
        </w:rPr>
        <w:t xml:space="preserve"> all late payment penalties and impose </w:t>
      </w:r>
      <w:proofErr w:type="spellStart"/>
      <w:r w:rsidR="0045650F">
        <w:rPr>
          <w:rFonts w:ascii="Times New Roman" w:hAnsi="Times New Roman" w:cs="Times New Roman"/>
          <w:i/>
          <w:sz w:val="24"/>
          <w:szCs w:val="24"/>
        </w:rPr>
        <w:t>UOMI</w:t>
      </w:r>
      <w:proofErr w:type="spellEnd"/>
      <w:r w:rsidRPr="00A80576">
        <w:rPr>
          <w:rFonts w:ascii="Times New Roman" w:hAnsi="Times New Roman" w:cs="Times New Roman"/>
          <w:i/>
          <w:sz w:val="24"/>
          <w:szCs w:val="24"/>
        </w:rPr>
        <w:t xml:space="preserve"> only</w:t>
      </w:r>
    </w:p>
    <w:p w:rsidR="005B7EFD" w:rsidRDefault="005B7EFD" w:rsidP="00A80576">
      <w:pPr>
        <w:spacing w:after="0" w:line="240" w:lineRule="auto"/>
        <w:contextualSpacing/>
        <w:jc w:val="both"/>
        <w:rPr>
          <w:rFonts w:ascii="Times New Roman" w:hAnsi="Times New Roman" w:cs="Times New Roman"/>
          <w:sz w:val="24"/>
          <w:szCs w:val="24"/>
        </w:rPr>
      </w:pPr>
    </w:p>
    <w:p w:rsidR="00A80576" w:rsidRPr="00A80576" w:rsidRDefault="00A80576" w:rsidP="00A80576">
      <w:pPr>
        <w:spacing w:after="0" w:line="240" w:lineRule="auto"/>
        <w:contextualSpacing/>
        <w:jc w:val="both"/>
        <w:rPr>
          <w:rFonts w:ascii="Times New Roman" w:hAnsi="Times New Roman" w:cs="Times New Roman"/>
          <w:sz w:val="24"/>
          <w:szCs w:val="24"/>
        </w:rPr>
      </w:pPr>
      <w:r w:rsidRPr="00A80576">
        <w:rPr>
          <w:rFonts w:ascii="Times New Roman" w:hAnsi="Times New Roman" w:cs="Times New Roman"/>
          <w:sz w:val="24"/>
          <w:szCs w:val="24"/>
        </w:rPr>
        <w:t xml:space="preserve">This option removes all late payment penalties (initial and incremental) and only imposes </w:t>
      </w:r>
      <w:proofErr w:type="spellStart"/>
      <w:r w:rsidRPr="00A80576">
        <w:rPr>
          <w:rFonts w:ascii="Times New Roman" w:hAnsi="Times New Roman" w:cs="Times New Roman"/>
          <w:sz w:val="24"/>
          <w:szCs w:val="24"/>
        </w:rPr>
        <w:t>UOMI</w:t>
      </w:r>
      <w:proofErr w:type="spellEnd"/>
      <w:r w:rsidRPr="00A80576">
        <w:rPr>
          <w:rFonts w:ascii="Times New Roman" w:hAnsi="Times New Roman" w:cs="Times New Roman"/>
          <w:sz w:val="24"/>
          <w:szCs w:val="24"/>
        </w:rPr>
        <w:t xml:space="preserve"> on unpaid tax, one </w:t>
      </w:r>
      <w:r w:rsidR="00767E65" w:rsidRPr="00A80576">
        <w:rPr>
          <w:rFonts w:ascii="Times New Roman" w:hAnsi="Times New Roman" w:cs="Times New Roman"/>
          <w:sz w:val="24"/>
          <w:szCs w:val="24"/>
        </w:rPr>
        <w:t xml:space="preserve">day </w:t>
      </w:r>
      <w:r w:rsidRPr="00A80576">
        <w:rPr>
          <w:rFonts w:ascii="Times New Roman" w:hAnsi="Times New Roman" w:cs="Times New Roman"/>
          <w:sz w:val="24"/>
          <w:szCs w:val="24"/>
        </w:rPr>
        <w:t xml:space="preserve">after the due date. </w:t>
      </w:r>
    </w:p>
    <w:p w:rsidR="00A80576" w:rsidRPr="00A80576" w:rsidRDefault="00A80576" w:rsidP="00A80576">
      <w:pPr>
        <w:spacing w:after="0" w:line="240" w:lineRule="auto"/>
        <w:jc w:val="both"/>
        <w:rPr>
          <w:rFonts w:ascii="Times New Roman" w:hAnsi="Times New Roman" w:cs="Times New Roman"/>
          <w:sz w:val="24"/>
          <w:szCs w:val="24"/>
        </w:rPr>
      </w:pPr>
    </w:p>
    <w:p w:rsidR="00A80576" w:rsidRPr="00A80576" w:rsidRDefault="00A80576" w:rsidP="00A80576">
      <w:pPr>
        <w:spacing w:after="0" w:line="240" w:lineRule="auto"/>
        <w:jc w:val="both"/>
        <w:rPr>
          <w:rFonts w:ascii="Times New Roman" w:hAnsi="Times New Roman" w:cs="Times New Roman"/>
          <w:sz w:val="24"/>
          <w:szCs w:val="24"/>
        </w:rPr>
      </w:pPr>
      <w:r w:rsidRPr="00A80576">
        <w:rPr>
          <w:rFonts w:ascii="Times New Roman" w:hAnsi="Times New Roman" w:cs="Times New Roman"/>
          <w:sz w:val="24"/>
          <w:szCs w:val="24"/>
        </w:rPr>
        <w:t xml:space="preserve">This single rate will </w:t>
      </w:r>
      <w:r w:rsidR="00767E65">
        <w:rPr>
          <w:rFonts w:ascii="Times New Roman" w:hAnsi="Times New Roman" w:cs="Times New Roman"/>
          <w:sz w:val="24"/>
          <w:szCs w:val="24"/>
        </w:rPr>
        <w:t>provide</w:t>
      </w:r>
      <w:r w:rsidRPr="00A80576">
        <w:rPr>
          <w:rFonts w:ascii="Times New Roman" w:hAnsi="Times New Roman" w:cs="Times New Roman"/>
          <w:sz w:val="24"/>
          <w:szCs w:val="24"/>
        </w:rPr>
        <w:t xml:space="preserve"> a better understanding to taxpayers of the consequences of not paying on time.</w:t>
      </w:r>
    </w:p>
    <w:p w:rsidR="00A80576" w:rsidRPr="00A80576" w:rsidRDefault="00A80576" w:rsidP="00A80576">
      <w:pPr>
        <w:spacing w:after="0" w:line="240" w:lineRule="auto"/>
        <w:jc w:val="both"/>
        <w:rPr>
          <w:rFonts w:ascii="Times New Roman" w:hAnsi="Times New Roman" w:cs="Times New Roman"/>
          <w:sz w:val="24"/>
          <w:szCs w:val="24"/>
        </w:rPr>
      </w:pPr>
    </w:p>
    <w:p w:rsidR="00A80576" w:rsidRPr="00A80576" w:rsidRDefault="00A80576" w:rsidP="00A80576">
      <w:pPr>
        <w:spacing w:after="0" w:line="240" w:lineRule="auto"/>
        <w:jc w:val="both"/>
        <w:rPr>
          <w:rFonts w:ascii="Times New Roman" w:hAnsi="Times New Roman" w:cs="Times New Roman"/>
          <w:sz w:val="24"/>
          <w:szCs w:val="24"/>
        </w:rPr>
      </w:pPr>
      <w:r w:rsidRPr="00A80576">
        <w:rPr>
          <w:rFonts w:ascii="Times New Roman" w:hAnsi="Times New Roman" w:cs="Times New Roman"/>
          <w:sz w:val="24"/>
          <w:szCs w:val="24"/>
        </w:rPr>
        <w:t xml:space="preserve">As </w:t>
      </w:r>
      <w:proofErr w:type="spellStart"/>
      <w:r w:rsidRPr="00A80576">
        <w:rPr>
          <w:rFonts w:ascii="Times New Roman" w:hAnsi="Times New Roman" w:cs="Times New Roman"/>
          <w:sz w:val="24"/>
          <w:szCs w:val="24"/>
        </w:rPr>
        <w:t>UOMI</w:t>
      </w:r>
      <w:proofErr w:type="spellEnd"/>
      <w:r w:rsidRPr="00A80576">
        <w:rPr>
          <w:rFonts w:ascii="Times New Roman" w:hAnsi="Times New Roman" w:cs="Times New Roman"/>
          <w:sz w:val="24"/>
          <w:szCs w:val="24"/>
        </w:rPr>
        <w:t xml:space="preserve"> is compensation to the government for the loss of the use of the money, this option does not contain any financial penalty element</w:t>
      </w:r>
      <w:r w:rsidR="00586051">
        <w:rPr>
          <w:rFonts w:ascii="Times New Roman" w:hAnsi="Times New Roman" w:cs="Times New Roman"/>
          <w:sz w:val="24"/>
          <w:szCs w:val="24"/>
        </w:rPr>
        <w:t xml:space="preserve"> notwithstanding some taxpayers’ perception that </w:t>
      </w:r>
      <w:proofErr w:type="spellStart"/>
      <w:r w:rsidR="00586051">
        <w:rPr>
          <w:rFonts w:ascii="Times New Roman" w:hAnsi="Times New Roman" w:cs="Times New Roman"/>
          <w:sz w:val="24"/>
          <w:szCs w:val="24"/>
        </w:rPr>
        <w:t>UOMI</w:t>
      </w:r>
      <w:proofErr w:type="spellEnd"/>
      <w:r w:rsidR="00586051">
        <w:rPr>
          <w:rFonts w:ascii="Times New Roman" w:hAnsi="Times New Roman" w:cs="Times New Roman"/>
          <w:sz w:val="24"/>
          <w:szCs w:val="24"/>
        </w:rPr>
        <w:t xml:space="preserve"> is </w:t>
      </w:r>
      <w:r w:rsidR="008E4AF0">
        <w:rPr>
          <w:rFonts w:ascii="Times New Roman" w:hAnsi="Times New Roman" w:cs="Times New Roman"/>
          <w:sz w:val="24"/>
          <w:szCs w:val="24"/>
        </w:rPr>
        <w:t>punitive</w:t>
      </w:r>
      <w:r w:rsidRPr="00A80576">
        <w:rPr>
          <w:rFonts w:ascii="Times New Roman" w:hAnsi="Times New Roman" w:cs="Times New Roman"/>
          <w:sz w:val="24"/>
          <w:szCs w:val="24"/>
        </w:rPr>
        <w:t>. The financial consequences of non-payment would be significantly lower than under the status quo, even during the time the tax has become initially outstanding.</w:t>
      </w:r>
    </w:p>
    <w:p w:rsidR="00A80576" w:rsidRPr="00A80576" w:rsidRDefault="00A80576" w:rsidP="00A80576">
      <w:pPr>
        <w:spacing w:after="0" w:line="240" w:lineRule="auto"/>
        <w:jc w:val="both"/>
        <w:rPr>
          <w:rFonts w:ascii="Times New Roman" w:hAnsi="Times New Roman" w:cs="Times New Roman"/>
          <w:sz w:val="24"/>
          <w:szCs w:val="24"/>
        </w:rPr>
      </w:pPr>
    </w:p>
    <w:p w:rsidR="00A80576" w:rsidRPr="00A80576" w:rsidRDefault="00A80576" w:rsidP="00A80576">
      <w:pPr>
        <w:spacing w:after="0" w:line="240" w:lineRule="auto"/>
        <w:jc w:val="both"/>
        <w:rPr>
          <w:rFonts w:ascii="Times New Roman" w:hAnsi="Times New Roman" w:cs="Times New Roman"/>
          <w:sz w:val="24"/>
          <w:szCs w:val="24"/>
        </w:rPr>
      </w:pPr>
      <w:r w:rsidRPr="00A80576">
        <w:rPr>
          <w:rFonts w:ascii="Times New Roman" w:hAnsi="Times New Roman" w:cs="Times New Roman"/>
          <w:sz w:val="24"/>
          <w:szCs w:val="24"/>
        </w:rPr>
        <w:t xml:space="preserve">For taxpayers </w:t>
      </w:r>
      <w:r w:rsidR="00767E65" w:rsidRPr="00A80576">
        <w:rPr>
          <w:rFonts w:ascii="Times New Roman" w:hAnsi="Times New Roman" w:cs="Times New Roman"/>
          <w:sz w:val="24"/>
          <w:szCs w:val="24"/>
        </w:rPr>
        <w:t xml:space="preserve">struggling </w:t>
      </w:r>
      <w:r w:rsidRPr="00A80576">
        <w:rPr>
          <w:rFonts w:ascii="Times New Roman" w:hAnsi="Times New Roman" w:cs="Times New Roman"/>
          <w:sz w:val="24"/>
          <w:szCs w:val="24"/>
        </w:rPr>
        <w:t xml:space="preserve">financially, this option will likely encourage further non-compliance. Due to their likely credit risk, the taxpayer’s marginal cost of borrowing is likely to be higher than the </w:t>
      </w:r>
      <w:proofErr w:type="spellStart"/>
      <w:r w:rsidRPr="00A80576">
        <w:rPr>
          <w:rFonts w:ascii="Times New Roman" w:hAnsi="Times New Roman" w:cs="Times New Roman"/>
          <w:sz w:val="24"/>
          <w:szCs w:val="24"/>
        </w:rPr>
        <w:t>UOMI</w:t>
      </w:r>
      <w:proofErr w:type="spellEnd"/>
      <w:r w:rsidRPr="00A80576">
        <w:rPr>
          <w:rFonts w:ascii="Times New Roman" w:hAnsi="Times New Roman" w:cs="Times New Roman"/>
          <w:sz w:val="24"/>
          <w:szCs w:val="24"/>
        </w:rPr>
        <w:t xml:space="preserve"> being imposed on tax debt. This would lead to most indebted taxpayers choosing not to pay their tax liability because it is cheaper to owe Inland Revenue than to borrow the money to pay the outstanding tax. This places Inland Revenue at a distinct disadvantage and will likely lead to an increase in Inland Revenue’s tax debt book.</w:t>
      </w:r>
    </w:p>
    <w:p w:rsidR="00A80576" w:rsidRPr="00A80576" w:rsidRDefault="00A80576" w:rsidP="00A80576">
      <w:pPr>
        <w:spacing w:after="0" w:line="240" w:lineRule="auto"/>
        <w:jc w:val="both"/>
        <w:rPr>
          <w:rFonts w:ascii="Times New Roman" w:hAnsi="Times New Roman" w:cs="Times New Roman"/>
          <w:sz w:val="24"/>
          <w:szCs w:val="24"/>
        </w:rPr>
      </w:pPr>
    </w:p>
    <w:p w:rsidR="00A80576" w:rsidRPr="00A80576" w:rsidRDefault="00A80576" w:rsidP="00A80576">
      <w:pPr>
        <w:spacing w:after="0" w:line="240" w:lineRule="auto"/>
        <w:jc w:val="both"/>
        <w:rPr>
          <w:rFonts w:ascii="Times New Roman" w:hAnsi="Times New Roman" w:cs="Times New Roman"/>
          <w:sz w:val="24"/>
          <w:szCs w:val="24"/>
        </w:rPr>
      </w:pPr>
      <w:r w:rsidRPr="00A80576">
        <w:rPr>
          <w:rFonts w:ascii="Times New Roman" w:hAnsi="Times New Roman" w:cs="Times New Roman"/>
          <w:sz w:val="24"/>
          <w:szCs w:val="24"/>
        </w:rPr>
        <w:t xml:space="preserve">This option will also likely erode confidence in the integrity of the tax system as compliant taxpayers will not see non-compliant taxpayers being penalised for failing to pay tax. </w:t>
      </w:r>
    </w:p>
    <w:p w:rsidR="00D3113A" w:rsidRPr="00D3113A" w:rsidRDefault="00D3113A" w:rsidP="00D3113A">
      <w:pPr>
        <w:spacing w:after="0" w:line="240" w:lineRule="auto"/>
        <w:contextualSpacing/>
        <w:jc w:val="both"/>
        <w:rPr>
          <w:rFonts w:ascii="Times New Roman" w:hAnsi="Times New Roman" w:cs="Times New Roman"/>
          <w:sz w:val="24"/>
          <w:szCs w:val="24"/>
        </w:rPr>
      </w:pPr>
    </w:p>
    <w:p w:rsidR="00177EB8" w:rsidRDefault="00A80576" w:rsidP="00A80576">
      <w:pPr>
        <w:spacing w:after="0" w:line="240" w:lineRule="auto"/>
        <w:jc w:val="both"/>
        <w:rPr>
          <w:rFonts w:ascii="Times New Roman" w:hAnsi="Times New Roman" w:cs="Times New Roman"/>
          <w:i/>
          <w:sz w:val="24"/>
          <w:szCs w:val="24"/>
        </w:rPr>
      </w:pPr>
      <w:r w:rsidRPr="00532BCE">
        <w:rPr>
          <w:rFonts w:ascii="Times New Roman" w:hAnsi="Times New Roman" w:cs="Times New Roman"/>
          <w:i/>
          <w:sz w:val="24"/>
          <w:szCs w:val="24"/>
        </w:rPr>
        <w:t xml:space="preserve">Option </w:t>
      </w:r>
      <w:r w:rsidR="00732160">
        <w:rPr>
          <w:rFonts w:ascii="Times New Roman" w:hAnsi="Times New Roman" w:cs="Times New Roman"/>
          <w:i/>
          <w:sz w:val="24"/>
          <w:szCs w:val="24"/>
        </w:rPr>
        <w:t>5</w:t>
      </w:r>
      <w:r w:rsidRPr="00532BCE">
        <w:rPr>
          <w:rFonts w:ascii="Times New Roman" w:hAnsi="Times New Roman" w:cs="Times New Roman"/>
          <w:i/>
          <w:sz w:val="24"/>
          <w:szCs w:val="24"/>
        </w:rPr>
        <w:t xml:space="preserve"> – </w:t>
      </w:r>
      <w:r w:rsidR="00586051" w:rsidRPr="00334B6B">
        <w:rPr>
          <w:rFonts w:ascii="Times New Roman" w:hAnsi="Times New Roman" w:cs="Times New Roman"/>
          <w:i/>
          <w:sz w:val="24"/>
          <w:szCs w:val="24"/>
        </w:rPr>
        <w:t>Broad discretion to impose penalties based on individual circumstances</w:t>
      </w:r>
    </w:p>
    <w:p w:rsidR="00532BCE" w:rsidRPr="00334B6B" w:rsidRDefault="00532BCE" w:rsidP="00A80576">
      <w:pPr>
        <w:spacing w:after="0" w:line="240" w:lineRule="auto"/>
        <w:jc w:val="both"/>
        <w:rPr>
          <w:rFonts w:ascii="Times New Roman" w:hAnsi="Times New Roman" w:cs="Times New Roman"/>
          <w:i/>
          <w:sz w:val="24"/>
          <w:szCs w:val="24"/>
        </w:rPr>
      </w:pPr>
    </w:p>
    <w:p w:rsidR="00D3113A" w:rsidRDefault="00A80576" w:rsidP="00A80576">
      <w:pPr>
        <w:spacing w:after="0" w:line="240" w:lineRule="auto"/>
        <w:jc w:val="both"/>
        <w:rPr>
          <w:rFonts w:ascii="Times New Roman" w:hAnsi="Times New Roman" w:cs="Times New Roman"/>
          <w:sz w:val="24"/>
          <w:szCs w:val="24"/>
        </w:rPr>
      </w:pPr>
      <w:r w:rsidRPr="00A80576">
        <w:rPr>
          <w:rFonts w:ascii="Times New Roman" w:hAnsi="Times New Roman" w:cs="Times New Roman"/>
          <w:sz w:val="24"/>
          <w:szCs w:val="24"/>
        </w:rPr>
        <w:t>This option would have Inland Revenue officers exercising discretion to decide whether to impose a late payment penalty.</w:t>
      </w:r>
    </w:p>
    <w:p w:rsidR="00A80576" w:rsidRPr="00D3113A" w:rsidRDefault="00A80576" w:rsidP="00A80576">
      <w:pPr>
        <w:spacing w:after="0" w:line="240" w:lineRule="auto"/>
        <w:jc w:val="both"/>
        <w:rPr>
          <w:rFonts w:ascii="Times New Roman" w:hAnsi="Times New Roman" w:cs="Times New Roman"/>
          <w:sz w:val="24"/>
          <w:szCs w:val="24"/>
        </w:rPr>
      </w:pPr>
    </w:p>
    <w:p w:rsidR="00D3113A" w:rsidRPr="00D3113A" w:rsidRDefault="00D3113A" w:rsidP="00D3113A">
      <w:pPr>
        <w:spacing w:after="0" w:line="240" w:lineRule="auto"/>
        <w:jc w:val="both"/>
        <w:rPr>
          <w:rFonts w:ascii="Times New Roman" w:hAnsi="Times New Roman" w:cs="Times New Roman"/>
          <w:sz w:val="24"/>
          <w:szCs w:val="24"/>
        </w:rPr>
      </w:pPr>
      <w:r w:rsidRPr="00D3113A">
        <w:rPr>
          <w:rFonts w:ascii="Times New Roman" w:hAnsi="Times New Roman" w:cs="Times New Roman"/>
          <w:sz w:val="24"/>
          <w:szCs w:val="24"/>
        </w:rPr>
        <w:t xml:space="preserve">This option would provide Inland Revenue with the </w:t>
      </w:r>
      <w:r w:rsidR="003932F4">
        <w:rPr>
          <w:rFonts w:ascii="Times New Roman" w:hAnsi="Times New Roman" w:cs="Times New Roman"/>
          <w:sz w:val="24"/>
          <w:szCs w:val="24"/>
        </w:rPr>
        <w:t xml:space="preserve">legislative </w:t>
      </w:r>
      <w:r w:rsidRPr="00D3113A">
        <w:rPr>
          <w:rFonts w:ascii="Times New Roman" w:hAnsi="Times New Roman" w:cs="Times New Roman"/>
          <w:sz w:val="24"/>
          <w:szCs w:val="24"/>
        </w:rPr>
        <w:t>flexibility to impose a late payment penalty of any amount</w:t>
      </w:r>
      <w:r w:rsidR="003932F4">
        <w:rPr>
          <w:rFonts w:ascii="Times New Roman" w:hAnsi="Times New Roman" w:cs="Times New Roman"/>
          <w:sz w:val="24"/>
          <w:szCs w:val="24"/>
        </w:rPr>
        <w:t>, at any time,</w:t>
      </w:r>
      <w:r w:rsidRPr="00D3113A">
        <w:rPr>
          <w:rFonts w:ascii="Times New Roman" w:hAnsi="Times New Roman" w:cs="Times New Roman"/>
          <w:sz w:val="24"/>
          <w:szCs w:val="24"/>
        </w:rPr>
        <w:t xml:space="preserve"> on any taxpayer it chooses. The financial penalty would be imposed on taxpayers that have consistently demonstrated non-compliant behaviour, rather than taxpayers that have paid late due to genuine error.</w:t>
      </w:r>
    </w:p>
    <w:p w:rsidR="00D3113A" w:rsidRPr="00D3113A" w:rsidRDefault="00D3113A" w:rsidP="00D3113A">
      <w:pPr>
        <w:spacing w:after="0" w:line="240" w:lineRule="auto"/>
        <w:jc w:val="both"/>
        <w:rPr>
          <w:rFonts w:ascii="Times New Roman" w:hAnsi="Times New Roman" w:cs="Times New Roman"/>
          <w:sz w:val="24"/>
          <w:szCs w:val="24"/>
        </w:rPr>
      </w:pPr>
    </w:p>
    <w:p w:rsidR="003932F4" w:rsidRDefault="00D3113A" w:rsidP="00D3113A">
      <w:pPr>
        <w:spacing w:after="0" w:line="240" w:lineRule="auto"/>
        <w:jc w:val="both"/>
        <w:rPr>
          <w:rFonts w:ascii="Times New Roman" w:hAnsi="Times New Roman" w:cs="Times New Roman"/>
          <w:sz w:val="24"/>
          <w:szCs w:val="24"/>
        </w:rPr>
      </w:pPr>
      <w:r w:rsidRPr="00D3113A">
        <w:rPr>
          <w:rFonts w:ascii="Times New Roman" w:hAnsi="Times New Roman" w:cs="Times New Roman"/>
          <w:sz w:val="24"/>
          <w:szCs w:val="24"/>
        </w:rPr>
        <w:t xml:space="preserve">This option will likely have very high administration costs as Inland Revenue would be required to manually intervene and </w:t>
      </w:r>
      <w:r w:rsidR="003932F4">
        <w:rPr>
          <w:rFonts w:ascii="Times New Roman" w:hAnsi="Times New Roman" w:cs="Times New Roman"/>
          <w:sz w:val="24"/>
          <w:szCs w:val="24"/>
        </w:rPr>
        <w:t>telephone</w:t>
      </w:r>
      <w:r w:rsidRPr="00D3113A">
        <w:rPr>
          <w:rFonts w:ascii="Times New Roman" w:hAnsi="Times New Roman" w:cs="Times New Roman"/>
          <w:sz w:val="24"/>
          <w:szCs w:val="24"/>
        </w:rPr>
        <w:t xml:space="preserve"> all taxpayers that have not paid on time to determine the reasons for the late payment</w:t>
      </w:r>
      <w:r w:rsidR="00325D6B">
        <w:rPr>
          <w:rFonts w:ascii="Times New Roman" w:hAnsi="Times New Roman" w:cs="Times New Roman"/>
          <w:sz w:val="24"/>
          <w:szCs w:val="24"/>
        </w:rPr>
        <w:t xml:space="preserve"> and</w:t>
      </w:r>
      <w:r w:rsidRPr="00D3113A">
        <w:rPr>
          <w:rFonts w:ascii="Times New Roman" w:hAnsi="Times New Roman" w:cs="Times New Roman"/>
          <w:sz w:val="24"/>
          <w:szCs w:val="24"/>
        </w:rPr>
        <w:t xml:space="preserve"> whether a late payment penalty should be imposed. It will be very difficult for Inland Revenue to make this determination with a reasonable level of certainty.</w:t>
      </w:r>
    </w:p>
    <w:p w:rsidR="003932F4" w:rsidRDefault="003932F4" w:rsidP="00D3113A">
      <w:pPr>
        <w:spacing w:after="0" w:line="240" w:lineRule="auto"/>
        <w:jc w:val="both"/>
        <w:rPr>
          <w:rFonts w:ascii="Times New Roman" w:hAnsi="Times New Roman" w:cs="Times New Roman"/>
          <w:sz w:val="24"/>
          <w:szCs w:val="24"/>
        </w:rPr>
      </w:pPr>
    </w:p>
    <w:p w:rsidR="003932F4" w:rsidRPr="003932F4" w:rsidRDefault="003932F4" w:rsidP="003932F4">
      <w:pPr>
        <w:spacing w:after="0" w:line="240" w:lineRule="auto"/>
        <w:jc w:val="both"/>
        <w:rPr>
          <w:rFonts w:ascii="Times New Roman" w:hAnsi="Times New Roman" w:cs="Times New Roman"/>
          <w:sz w:val="24"/>
          <w:szCs w:val="24"/>
        </w:rPr>
      </w:pPr>
      <w:r w:rsidRPr="003932F4">
        <w:rPr>
          <w:rFonts w:ascii="Times New Roman" w:hAnsi="Times New Roman" w:cs="Times New Roman"/>
          <w:sz w:val="24"/>
          <w:szCs w:val="24"/>
        </w:rPr>
        <w:t xml:space="preserve">This option provides several avenues for indebted taxpayers to successfully avoid incurring a late payment penalty. Some taxpayers may take less care in making their payments on time if they feel that they could successfully argue that the late payment was due to a genuine mistake. Taxpayers may be less concerned about making their payments on time if they feel that they can successfully resist Inland Revenue’s efforts </w:t>
      </w:r>
      <w:r w:rsidR="00E02F2A">
        <w:rPr>
          <w:rFonts w:ascii="Times New Roman" w:hAnsi="Times New Roman" w:cs="Times New Roman"/>
          <w:sz w:val="24"/>
          <w:szCs w:val="24"/>
        </w:rPr>
        <w:t>to</w:t>
      </w:r>
      <w:r w:rsidR="00E02F2A" w:rsidRPr="003932F4">
        <w:rPr>
          <w:rFonts w:ascii="Times New Roman" w:hAnsi="Times New Roman" w:cs="Times New Roman"/>
          <w:sz w:val="24"/>
          <w:szCs w:val="24"/>
        </w:rPr>
        <w:t xml:space="preserve"> </w:t>
      </w:r>
      <w:r w:rsidRPr="003932F4">
        <w:rPr>
          <w:rFonts w:ascii="Times New Roman" w:hAnsi="Times New Roman" w:cs="Times New Roman"/>
          <w:sz w:val="24"/>
          <w:szCs w:val="24"/>
        </w:rPr>
        <w:t xml:space="preserve">contact them to discuss the reasons for their late payment. Taxpayers </w:t>
      </w:r>
      <w:r w:rsidR="00EC2A6B">
        <w:rPr>
          <w:rFonts w:ascii="Times New Roman" w:hAnsi="Times New Roman" w:cs="Times New Roman"/>
          <w:sz w:val="24"/>
          <w:szCs w:val="24"/>
        </w:rPr>
        <w:t>with</w:t>
      </w:r>
      <w:r w:rsidRPr="003932F4">
        <w:rPr>
          <w:rFonts w:ascii="Times New Roman" w:hAnsi="Times New Roman" w:cs="Times New Roman"/>
          <w:sz w:val="24"/>
          <w:szCs w:val="24"/>
        </w:rPr>
        <w:t xml:space="preserve"> more knowledge of the tax system would be more likely to be successful in not having a late payment penalty imposed.</w:t>
      </w:r>
    </w:p>
    <w:p w:rsidR="00D3113A" w:rsidRPr="00D3113A" w:rsidRDefault="00D3113A" w:rsidP="00D3113A">
      <w:pPr>
        <w:spacing w:after="0" w:line="240" w:lineRule="auto"/>
        <w:jc w:val="both"/>
        <w:rPr>
          <w:rFonts w:ascii="Times New Roman" w:hAnsi="Times New Roman" w:cs="Times New Roman"/>
          <w:sz w:val="24"/>
          <w:szCs w:val="24"/>
        </w:rPr>
      </w:pPr>
    </w:p>
    <w:p w:rsidR="00325D6B" w:rsidRPr="00D3113A" w:rsidRDefault="00325D6B" w:rsidP="00325D6B">
      <w:pPr>
        <w:spacing w:after="0" w:line="240" w:lineRule="auto"/>
        <w:jc w:val="both"/>
        <w:rPr>
          <w:rFonts w:ascii="Times New Roman" w:hAnsi="Times New Roman" w:cs="Times New Roman"/>
          <w:sz w:val="24"/>
          <w:szCs w:val="24"/>
        </w:rPr>
      </w:pPr>
      <w:r w:rsidRPr="00D3113A">
        <w:rPr>
          <w:rFonts w:ascii="Times New Roman" w:hAnsi="Times New Roman" w:cs="Times New Roman"/>
          <w:sz w:val="24"/>
          <w:szCs w:val="24"/>
        </w:rPr>
        <w:t xml:space="preserve">Due to this option requiring Inland Revenue to make highly subjective decisions, inconsistencies </w:t>
      </w:r>
      <w:r>
        <w:rPr>
          <w:rFonts w:ascii="Times New Roman" w:hAnsi="Times New Roman" w:cs="Times New Roman"/>
          <w:sz w:val="24"/>
          <w:szCs w:val="24"/>
        </w:rPr>
        <w:t>may occur</w:t>
      </w:r>
      <w:r w:rsidRPr="00D3113A">
        <w:rPr>
          <w:rFonts w:ascii="Times New Roman" w:hAnsi="Times New Roman" w:cs="Times New Roman"/>
          <w:sz w:val="24"/>
          <w:szCs w:val="24"/>
        </w:rPr>
        <w:t>. Over time, differences in treatment and other inconsistencies</w:t>
      </w:r>
      <w:r w:rsidR="00E02F2A">
        <w:rPr>
          <w:rFonts w:ascii="Times New Roman" w:hAnsi="Times New Roman" w:cs="Times New Roman"/>
          <w:sz w:val="24"/>
          <w:szCs w:val="24"/>
        </w:rPr>
        <w:t xml:space="preserve"> are likely to</w:t>
      </w:r>
      <w:r w:rsidRPr="00D3113A">
        <w:rPr>
          <w:rFonts w:ascii="Times New Roman" w:hAnsi="Times New Roman" w:cs="Times New Roman"/>
          <w:sz w:val="24"/>
          <w:szCs w:val="24"/>
        </w:rPr>
        <w:t xml:space="preserve"> </w:t>
      </w:r>
      <w:r>
        <w:rPr>
          <w:rFonts w:ascii="Times New Roman" w:hAnsi="Times New Roman" w:cs="Times New Roman"/>
          <w:sz w:val="24"/>
          <w:szCs w:val="24"/>
        </w:rPr>
        <w:t>reduce</w:t>
      </w:r>
      <w:r w:rsidRPr="00D3113A">
        <w:rPr>
          <w:rFonts w:ascii="Times New Roman" w:hAnsi="Times New Roman" w:cs="Times New Roman"/>
          <w:sz w:val="24"/>
          <w:szCs w:val="24"/>
        </w:rPr>
        <w:t xml:space="preserve"> </w:t>
      </w:r>
      <w:proofErr w:type="gramStart"/>
      <w:r w:rsidRPr="00D3113A">
        <w:rPr>
          <w:rFonts w:ascii="Times New Roman" w:hAnsi="Times New Roman" w:cs="Times New Roman"/>
          <w:sz w:val="24"/>
          <w:szCs w:val="24"/>
        </w:rPr>
        <w:t>taxpayers</w:t>
      </w:r>
      <w:proofErr w:type="gramEnd"/>
      <w:r w:rsidRPr="00D3113A">
        <w:rPr>
          <w:rFonts w:ascii="Times New Roman" w:hAnsi="Times New Roman" w:cs="Times New Roman"/>
          <w:sz w:val="24"/>
          <w:szCs w:val="24"/>
        </w:rPr>
        <w:t xml:space="preserve"> confidence in the integrity of the tax system</w:t>
      </w:r>
      <w:r>
        <w:rPr>
          <w:rFonts w:ascii="Times New Roman" w:hAnsi="Times New Roman" w:cs="Times New Roman"/>
          <w:sz w:val="24"/>
          <w:szCs w:val="24"/>
        </w:rPr>
        <w:t>.</w:t>
      </w:r>
    </w:p>
    <w:p w:rsidR="00906C84" w:rsidRDefault="00906C84" w:rsidP="00906C84">
      <w:pPr>
        <w:spacing w:after="0" w:line="240" w:lineRule="auto"/>
        <w:jc w:val="both"/>
        <w:rPr>
          <w:rFonts w:ascii="Times New Roman" w:hAnsi="Times New Roman" w:cs="Times New Roman"/>
          <w:sz w:val="24"/>
          <w:szCs w:val="24"/>
        </w:rPr>
      </w:pPr>
    </w:p>
    <w:p w:rsidR="00906C84" w:rsidRPr="00D3113A" w:rsidRDefault="00E02F2A" w:rsidP="00906C84">
      <w:pPr>
        <w:spacing w:after="0" w:line="240" w:lineRule="auto"/>
        <w:jc w:val="both"/>
        <w:rPr>
          <w:rFonts w:ascii="Times New Roman" w:hAnsi="Times New Roman" w:cs="Times New Roman"/>
          <w:sz w:val="24"/>
          <w:szCs w:val="24"/>
        </w:rPr>
      </w:pPr>
      <w:r w:rsidRPr="00702CE7">
        <w:rPr>
          <w:rFonts w:ascii="Times New Roman" w:hAnsi="Times New Roman" w:cs="Times New Roman"/>
          <w:sz w:val="24"/>
          <w:szCs w:val="24"/>
        </w:rPr>
        <w:t>These options are analysed against the objectives in the table on the next page.</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D3113A" w:rsidRDefault="00D3113A" w:rsidP="00D3113A">
      <w:pPr>
        <w:spacing w:after="0" w:line="240" w:lineRule="auto"/>
        <w:jc w:val="both"/>
        <w:rPr>
          <w:rFonts w:ascii="Times New Roman" w:hAnsi="Times New Roman" w:cs="Times New Roman"/>
          <w:sz w:val="24"/>
          <w:szCs w:val="24"/>
          <w:u w:val="single"/>
        </w:rPr>
        <w:sectPr w:rsidR="00D3113A" w:rsidRPr="00D3113A">
          <w:pgSz w:w="11906" w:h="16838"/>
          <w:pgMar w:top="1440" w:right="1440" w:bottom="1440" w:left="1440" w:header="708" w:footer="708" w:gutter="0"/>
          <w:cols w:space="708"/>
          <w:docGrid w:linePitch="360"/>
        </w:sectPr>
      </w:pPr>
    </w:p>
    <w:p w:rsidR="00D3113A" w:rsidRPr="00D3113A" w:rsidRDefault="00D3113A" w:rsidP="00D3113A">
      <w:pPr>
        <w:spacing w:after="0" w:line="240" w:lineRule="auto"/>
        <w:jc w:val="both"/>
        <w:rPr>
          <w:rFonts w:ascii="Times New Roman" w:hAnsi="Times New Roman" w:cs="Times New Roman"/>
          <w:sz w:val="24"/>
          <w:szCs w:val="24"/>
        </w:rPr>
      </w:pPr>
    </w:p>
    <w:p w:rsidR="00D3113A" w:rsidRPr="00D3113A" w:rsidRDefault="00D3113A" w:rsidP="00D3113A">
      <w:pPr>
        <w:spacing w:after="0" w:line="240" w:lineRule="auto"/>
        <w:jc w:val="both"/>
        <w:rPr>
          <w:rFonts w:ascii="Times New Roman" w:hAnsi="Times New Roman" w:cs="Times New Roman"/>
          <w:sz w:val="24"/>
          <w:szCs w:val="24"/>
        </w:rPr>
      </w:pPr>
    </w:p>
    <w:tbl>
      <w:tblPr>
        <w:tblStyle w:val="TableGrid1"/>
        <w:tblW w:w="13424" w:type="dxa"/>
        <w:tblLayout w:type="fixed"/>
        <w:tblLook w:val="04A0" w:firstRow="1" w:lastRow="0" w:firstColumn="1" w:lastColumn="0" w:noHBand="0" w:noVBand="1"/>
      </w:tblPr>
      <w:tblGrid>
        <w:gridCol w:w="1809"/>
        <w:gridCol w:w="3686"/>
        <w:gridCol w:w="2976"/>
        <w:gridCol w:w="2694"/>
        <w:gridCol w:w="2259"/>
      </w:tblGrid>
      <w:tr w:rsidR="004E48C5" w:rsidRPr="00D3113A" w:rsidTr="008D31DB">
        <w:trPr>
          <w:trHeight w:val="718"/>
          <w:tblHeader/>
        </w:trPr>
        <w:tc>
          <w:tcPr>
            <w:tcW w:w="1809" w:type="dxa"/>
          </w:tcPr>
          <w:p w:rsidR="004E48C5" w:rsidRPr="004E48C5" w:rsidRDefault="004E48C5" w:rsidP="008D31DB">
            <w:pPr>
              <w:rPr>
                <w:rFonts w:ascii="Times New Roman" w:hAnsi="Times New Roman" w:cs="Times New Roman"/>
                <w:b/>
                <w:sz w:val="24"/>
                <w:szCs w:val="24"/>
              </w:rPr>
            </w:pPr>
            <w:r w:rsidRPr="004E48C5">
              <w:rPr>
                <w:rFonts w:ascii="Times New Roman" w:hAnsi="Times New Roman" w:cs="Times New Roman"/>
                <w:b/>
                <w:sz w:val="24"/>
                <w:szCs w:val="24"/>
              </w:rPr>
              <w:t>Options</w:t>
            </w:r>
          </w:p>
        </w:tc>
        <w:tc>
          <w:tcPr>
            <w:tcW w:w="3686" w:type="dxa"/>
          </w:tcPr>
          <w:p w:rsidR="004E48C5" w:rsidRPr="004E48C5" w:rsidRDefault="004E48C5" w:rsidP="008D31DB">
            <w:pPr>
              <w:rPr>
                <w:rFonts w:ascii="Times New Roman" w:hAnsi="Times New Roman" w:cs="Times New Roman"/>
                <w:b/>
                <w:sz w:val="24"/>
                <w:szCs w:val="24"/>
              </w:rPr>
            </w:pPr>
            <w:r w:rsidRPr="004E48C5">
              <w:rPr>
                <w:rFonts w:ascii="Times New Roman" w:hAnsi="Times New Roman" w:cs="Times New Roman"/>
                <w:b/>
                <w:sz w:val="24"/>
                <w:szCs w:val="24"/>
              </w:rPr>
              <w:t>Fairness and equity</w:t>
            </w:r>
          </w:p>
        </w:tc>
        <w:tc>
          <w:tcPr>
            <w:tcW w:w="2976" w:type="dxa"/>
          </w:tcPr>
          <w:p w:rsidR="004E48C5" w:rsidRPr="004E48C5" w:rsidRDefault="004E48C5" w:rsidP="008D31DB">
            <w:pPr>
              <w:rPr>
                <w:rFonts w:ascii="Times New Roman" w:hAnsi="Times New Roman" w:cs="Times New Roman"/>
                <w:b/>
                <w:sz w:val="24"/>
                <w:szCs w:val="24"/>
              </w:rPr>
            </w:pPr>
            <w:r w:rsidRPr="004E48C5">
              <w:rPr>
                <w:rFonts w:ascii="Times New Roman" w:hAnsi="Times New Roman" w:cs="Times New Roman"/>
                <w:b/>
                <w:sz w:val="24"/>
                <w:szCs w:val="24"/>
              </w:rPr>
              <w:t xml:space="preserve">Efficiency of compliance and administration </w:t>
            </w:r>
          </w:p>
        </w:tc>
        <w:tc>
          <w:tcPr>
            <w:tcW w:w="2694" w:type="dxa"/>
          </w:tcPr>
          <w:p w:rsidR="004E48C5" w:rsidRPr="004E48C5" w:rsidRDefault="004E48C5" w:rsidP="008D31DB">
            <w:pPr>
              <w:rPr>
                <w:rFonts w:ascii="Times New Roman" w:hAnsi="Times New Roman" w:cs="Times New Roman"/>
                <w:b/>
                <w:sz w:val="24"/>
                <w:szCs w:val="24"/>
              </w:rPr>
            </w:pPr>
            <w:r w:rsidRPr="004E48C5">
              <w:rPr>
                <w:rFonts w:ascii="Times New Roman" w:hAnsi="Times New Roman" w:cs="Times New Roman"/>
                <w:b/>
                <w:sz w:val="24"/>
                <w:szCs w:val="24"/>
              </w:rPr>
              <w:t>Sustainability of tax system</w:t>
            </w:r>
          </w:p>
        </w:tc>
        <w:tc>
          <w:tcPr>
            <w:tcW w:w="2259" w:type="dxa"/>
          </w:tcPr>
          <w:p w:rsidR="004E48C5" w:rsidRPr="004E48C5" w:rsidRDefault="004E48C5" w:rsidP="008D31DB">
            <w:pPr>
              <w:rPr>
                <w:rFonts w:ascii="Times New Roman" w:hAnsi="Times New Roman" w:cs="Times New Roman"/>
                <w:b/>
                <w:sz w:val="24"/>
                <w:szCs w:val="24"/>
              </w:rPr>
            </w:pPr>
            <w:r w:rsidRPr="004E48C5">
              <w:rPr>
                <w:rFonts w:ascii="Times New Roman" w:hAnsi="Times New Roman" w:cs="Times New Roman"/>
                <w:b/>
                <w:sz w:val="24"/>
                <w:szCs w:val="24"/>
              </w:rPr>
              <w:t xml:space="preserve">Revenue </w:t>
            </w:r>
          </w:p>
        </w:tc>
      </w:tr>
      <w:tr w:rsidR="004E48C5" w:rsidRPr="00D3113A" w:rsidTr="004E48C5">
        <w:trPr>
          <w:trHeight w:val="1829"/>
        </w:trPr>
        <w:tc>
          <w:tcPr>
            <w:tcW w:w="1809" w:type="dxa"/>
          </w:tcPr>
          <w:p w:rsidR="004E48C5" w:rsidRPr="00420D8B" w:rsidRDefault="00FD7D47" w:rsidP="005B7EFD">
            <w:pPr>
              <w:pStyle w:val="ListParagraph"/>
              <w:ind w:left="0"/>
              <w:jc w:val="both"/>
              <w:rPr>
                <w:rFonts w:ascii="Times New Roman" w:hAnsi="Times New Roman" w:cs="Times New Roman"/>
                <w:sz w:val="24"/>
                <w:szCs w:val="24"/>
              </w:rPr>
            </w:pPr>
            <w:r w:rsidRPr="00420D8B">
              <w:rPr>
                <w:rFonts w:ascii="Times New Roman" w:hAnsi="Times New Roman" w:cs="Times New Roman"/>
                <w:sz w:val="24"/>
                <w:szCs w:val="24"/>
              </w:rPr>
              <w:t xml:space="preserve">1. </w:t>
            </w:r>
            <w:r w:rsidR="005B7EFD">
              <w:rPr>
                <w:rFonts w:ascii="Times New Roman" w:hAnsi="Times New Roman" w:cs="Times New Roman"/>
                <w:sz w:val="24"/>
                <w:szCs w:val="24"/>
              </w:rPr>
              <w:t>Retain the s</w:t>
            </w:r>
            <w:r w:rsidR="004E48C5" w:rsidRPr="00420D8B">
              <w:rPr>
                <w:rFonts w:ascii="Times New Roman" w:hAnsi="Times New Roman" w:cs="Times New Roman"/>
                <w:sz w:val="24"/>
                <w:szCs w:val="24"/>
              </w:rPr>
              <w:t xml:space="preserve">tatus </w:t>
            </w:r>
            <w:r w:rsidR="00C455DF">
              <w:rPr>
                <w:rFonts w:ascii="Times New Roman" w:hAnsi="Times New Roman" w:cs="Times New Roman"/>
                <w:sz w:val="24"/>
                <w:szCs w:val="24"/>
              </w:rPr>
              <w:t>q</w:t>
            </w:r>
            <w:r w:rsidR="004E48C5" w:rsidRPr="00420D8B">
              <w:rPr>
                <w:rFonts w:ascii="Times New Roman" w:hAnsi="Times New Roman" w:cs="Times New Roman"/>
                <w:sz w:val="24"/>
                <w:szCs w:val="24"/>
              </w:rPr>
              <w:t>uo</w:t>
            </w:r>
          </w:p>
        </w:tc>
        <w:tc>
          <w:tcPr>
            <w:tcW w:w="3686" w:type="dxa"/>
          </w:tcPr>
          <w:p w:rsidR="00C455DF" w:rsidRPr="00D3113A" w:rsidRDefault="00C455DF" w:rsidP="00C455DF">
            <w:pPr>
              <w:jc w:val="both"/>
              <w:rPr>
                <w:rFonts w:ascii="Times New Roman" w:hAnsi="Times New Roman" w:cs="Times New Roman"/>
                <w:sz w:val="24"/>
                <w:szCs w:val="24"/>
              </w:rPr>
            </w:pPr>
            <w:r>
              <w:rPr>
                <w:rFonts w:ascii="Times New Roman" w:hAnsi="Times New Roman" w:cs="Times New Roman"/>
                <w:sz w:val="24"/>
                <w:szCs w:val="24"/>
              </w:rPr>
              <w:t>P</w:t>
            </w:r>
            <w:r w:rsidRPr="00D3113A">
              <w:rPr>
                <w:rFonts w:ascii="Times New Roman" w:hAnsi="Times New Roman" w:cs="Times New Roman"/>
                <w:sz w:val="24"/>
                <w:szCs w:val="24"/>
              </w:rPr>
              <w:t>art</w:t>
            </w:r>
            <w:r>
              <w:rPr>
                <w:rFonts w:ascii="Times New Roman" w:hAnsi="Times New Roman" w:cs="Times New Roman"/>
                <w:sz w:val="24"/>
                <w:szCs w:val="24"/>
              </w:rPr>
              <w:t>ial</w:t>
            </w:r>
            <w:r w:rsidRPr="00D3113A">
              <w:rPr>
                <w:rFonts w:ascii="Times New Roman" w:hAnsi="Times New Roman" w:cs="Times New Roman"/>
                <w:sz w:val="24"/>
                <w:szCs w:val="24"/>
              </w:rPr>
              <w:t>ly met</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Taxpayers in similar circumstances are treated in a similar way. However, for some taxpayers, imposing the financial penalty may be disproportionate to their circumstances and may be viewed as unfair. </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Once the existing debt is significant, any additional financial penalty becomes ineffective at motivating the taxpayer to actively attempt to comply. </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It is unfair to repeatedly impose unreasonably high financial penalties for the late payment of tax.</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p>
        </w:tc>
        <w:tc>
          <w:tcPr>
            <w:tcW w:w="2976" w:type="dxa"/>
          </w:tcPr>
          <w:p w:rsidR="004E48C5" w:rsidRPr="00D3113A" w:rsidRDefault="00F47380" w:rsidP="00D3113A">
            <w:pPr>
              <w:jc w:val="both"/>
              <w:rPr>
                <w:rFonts w:ascii="Times New Roman" w:hAnsi="Times New Roman" w:cs="Times New Roman"/>
                <w:sz w:val="24"/>
                <w:szCs w:val="24"/>
              </w:rPr>
            </w:pPr>
            <w:r>
              <w:rPr>
                <w:rFonts w:ascii="Times New Roman" w:hAnsi="Times New Roman" w:cs="Times New Roman"/>
                <w:sz w:val="24"/>
                <w:szCs w:val="24"/>
              </w:rPr>
              <w:t>N</w:t>
            </w:r>
            <w:r w:rsidR="004E48C5" w:rsidRPr="00D3113A">
              <w:rPr>
                <w:rFonts w:ascii="Times New Roman" w:hAnsi="Times New Roman" w:cs="Times New Roman"/>
                <w:sz w:val="24"/>
                <w:szCs w:val="24"/>
              </w:rPr>
              <w:t xml:space="preserve">ot met </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Continue to create compliance costs for taxpayers having to pay significant financial penalties in order to repay their tax debt in full. </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Continue to create compliance costs of stress and anxiety on taxpayers, due to the high growth of their tax debt. </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Higher administration and enforcement costs for Inland Revenue, to manage and recover tax debt.  </w:t>
            </w:r>
          </w:p>
        </w:tc>
        <w:tc>
          <w:tcPr>
            <w:tcW w:w="2694" w:type="dxa"/>
          </w:tcPr>
          <w:p w:rsidR="004E48C5" w:rsidRPr="00D3113A" w:rsidRDefault="00F47380" w:rsidP="00D3113A">
            <w:pPr>
              <w:jc w:val="both"/>
              <w:rPr>
                <w:rFonts w:ascii="Times New Roman" w:hAnsi="Times New Roman" w:cs="Times New Roman"/>
                <w:sz w:val="24"/>
                <w:szCs w:val="24"/>
              </w:rPr>
            </w:pPr>
            <w:r>
              <w:rPr>
                <w:rFonts w:ascii="Times New Roman" w:hAnsi="Times New Roman" w:cs="Times New Roman"/>
                <w:sz w:val="24"/>
                <w:szCs w:val="24"/>
              </w:rPr>
              <w:t>N</w:t>
            </w:r>
            <w:r w:rsidR="004E48C5" w:rsidRPr="00D3113A">
              <w:rPr>
                <w:rFonts w:ascii="Times New Roman" w:hAnsi="Times New Roman" w:cs="Times New Roman"/>
                <w:sz w:val="24"/>
                <w:szCs w:val="24"/>
              </w:rPr>
              <w:t xml:space="preserve">ot met </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High growth of penalties leads to many taxpayers becoming insolvent. Their continued non-compliance leads to Inland Revenue taking legal </w:t>
            </w:r>
            <w:r w:rsidR="004E4125">
              <w:rPr>
                <w:rFonts w:ascii="Times New Roman" w:hAnsi="Times New Roman" w:cs="Times New Roman"/>
                <w:sz w:val="24"/>
                <w:szCs w:val="24"/>
              </w:rPr>
              <w:t>action</w:t>
            </w:r>
            <w:r w:rsidRPr="00D3113A">
              <w:rPr>
                <w:rFonts w:ascii="Times New Roman" w:hAnsi="Times New Roman" w:cs="Times New Roman"/>
                <w:sz w:val="24"/>
                <w:szCs w:val="24"/>
              </w:rPr>
              <w:t>. As a result other taxpayers become negatively affected.</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Some taxpayers are incurring significant penalties on their tax debt, only for them to be later written off, leading to uncertainty about how m</w:t>
            </w:r>
            <w:r w:rsidR="003932F4">
              <w:rPr>
                <w:rFonts w:ascii="Times New Roman" w:hAnsi="Times New Roman" w:cs="Times New Roman"/>
                <w:sz w:val="24"/>
                <w:szCs w:val="24"/>
              </w:rPr>
              <w:t>any</w:t>
            </w:r>
            <w:r w:rsidRPr="00D3113A">
              <w:rPr>
                <w:rFonts w:ascii="Times New Roman" w:hAnsi="Times New Roman" w:cs="Times New Roman"/>
                <w:sz w:val="24"/>
                <w:szCs w:val="24"/>
              </w:rPr>
              <w:t xml:space="preserve"> outstanding late payment penalties are recoverable.</w:t>
            </w:r>
          </w:p>
          <w:p w:rsidR="004E48C5" w:rsidRPr="00D3113A" w:rsidRDefault="004E48C5" w:rsidP="00D3113A">
            <w:pPr>
              <w:jc w:val="both"/>
              <w:rPr>
                <w:rFonts w:ascii="Times New Roman" w:hAnsi="Times New Roman" w:cs="Times New Roman"/>
                <w:sz w:val="24"/>
                <w:szCs w:val="24"/>
              </w:rPr>
            </w:pPr>
          </w:p>
          <w:p w:rsidR="004E48C5" w:rsidRPr="00D3113A" w:rsidRDefault="004E48C5" w:rsidP="004E48C5">
            <w:pPr>
              <w:jc w:val="both"/>
              <w:rPr>
                <w:rFonts w:ascii="Times New Roman" w:hAnsi="Times New Roman" w:cs="Times New Roman"/>
                <w:sz w:val="24"/>
                <w:szCs w:val="24"/>
              </w:rPr>
            </w:pPr>
            <w:r w:rsidRPr="00D3113A">
              <w:rPr>
                <w:rFonts w:ascii="Times New Roman" w:hAnsi="Times New Roman" w:cs="Times New Roman"/>
                <w:sz w:val="24"/>
                <w:szCs w:val="24"/>
              </w:rPr>
              <w:t>The overall portion of financial penalties in the debt book that are unrecoverable will continue to increase.</w:t>
            </w:r>
          </w:p>
        </w:tc>
        <w:tc>
          <w:tcPr>
            <w:tcW w:w="2259" w:type="dxa"/>
          </w:tcPr>
          <w:p w:rsidR="004E48C5" w:rsidRPr="00D3113A" w:rsidRDefault="004E48C5" w:rsidP="00253C81">
            <w:pPr>
              <w:jc w:val="both"/>
              <w:rPr>
                <w:rFonts w:ascii="Times New Roman" w:hAnsi="Times New Roman" w:cs="Times New Roman"/>
                <w:sz w:val="24"/>
                <w:szCs w:val="24"/>
              </w:rPr>
            </w:pPr>
            <w:r w:rsidRPr="00D3113A">
              <w:rPr>
                <w:rFonts w:ascii="Times New Roman" w:hAnsi="Times New Roman" w:cs="Times New Roman"/>
                <w:sz w:val="24"/>
                <w:szCs w:val="24"/>
              </w:rPr>
              <w:t>No impact</w:t>
            </w:r>
          </w:p>
        </w:tc>
      </w:tr>
      <w:tr w:rsidR="004E48C5" w:rsidRPr="00D3113A" w:rsidTr="004E48C5">
        <w:trPr>
          <w:trHeight w:val="1829"/>
        </w:trPr>
        <w:tc>
          <w:tcPr>
            <w:tcW w:w="1809" w:type="dxa"/>
          </w:tcPr>
          <w:p w:rsidR="004E48C5" w:rsidRPr="00420D8B" w:rsidRDefault="00FD7D47" w:rsidP="00FD7D47">
            <w:pPr>
              <w:contextualSpacing/>
              <w:jc w:val="both"/>
              <w:rPr>
                <w:rFonts w:ascii="Times New Roman" w:hAnsi="Times New Roman" w:cs="Times New Roman"/>
                <w:sz w:val="24"/>
                <w:szCs w:val="24"/>
              </w:rPr>
            </w:pPr>
            <w:r w:rsidRPr="00420D8B">
              <w:rPr>
                <w:rFonts w:ascii="Times New Roman" w:hAnsi="Times New Roman" w:cs="Times New Roman"/>
                <w:sz w:val="24"/>
                <w:szCs w:val="24"/>
              </w:rPr>
              <w:t xml:space="preserve">2. </w:t>
            </w:r>
            <w:r w:rsidR="004E48C5" w:rsidRPr="00420D8B">
              <w:rPr>
                <w:rFonts w:ascii="Times New Roman" w:hAnsi="Times New Roman" w:cs="Times New Roman"/>
                <w:sz w:val="24"/>
                <w:szCs w:val="24"/>
              </w:rPr>
              <w:t>Reduce the rate of the incremental late payment penalty.</w:t>
            </w:r>
          </w:p>
          <w:p w:rsidR="004E48C5" w:rsidRPr="00420D8B" w:rsidRDefault="004E48C5" w:rsidP="00D3113A">
            <w:pPr>
              <w:ind w:left="720"/>
              <w:contextualSpacing/>
              <w:jc w:val="both"/>
              <w:rPr>
                <w:rFonts w:ascii="Times New Roman" w:hAnsi="Times New Roman" w:cs="Times New Roman"/>
                <w:sz w:val="24"/>
                <w:szCs w:val="24"/>
              </w:rPr>
            </w:pPr>
          </w:p>
        </w:tc>
        <w:tc>
          <w:tcPr>
            <w:tcW w:w="3686" w:type="dxa"/>
          </w:tcPr>
          <w:p w:rsidR="004E48C5" w:rsidRPr="00D3113A" w:rsidRDefault="00F47380" w:rsidP="00D3113A">
            <w:pPr>
              <w:jc w:val="both"/>
              <w:rPr>
                <w:rFonts w:ascii="Times New Roman" w:hAnsi="Times New Roman" w:cs="Times New Roman"/>
                <w:sz w:val="24"/>
                <w:szCs w:val="24"/>
              </w:rPr>
            </w:pPr>
            <w:r>
              <w:rPr>
                <w:rFonts w:ascii="Times New Roman" w:hAnsi="Times New Roman" w:cs="Times New Roman"/>
                <w:sz w:val="24"/>
                <w:szCs w:val="24"/>
              </w:rPr>
              <w:t>P</w:t>
            </w:r>
            <w:r w:rsidR="004E48C5" w:rsidRPr="00D3113A">
              <w:rPr>
                <w:rFonts w:ascii="Times New Roman" w:hAnsi="Times New Roman" w:cs="Times New Roman"/>
                <w:sz w:val="24"/>
                <w:szCs w:val="24"/>
              </w:rPr>
              <w:t>art</w:t>
            </w:r>
            <w:r w:rsidR="004E4125">
              <w:rPr>
                <w:rFonts w:ascii="Times New Roman" w:hAnsi="Times New Roman" w:cs="Times New Roman"/>
                <w:sz w:val="24"/>
                <w:szCs w:val="24"/>
              </w:rPr>
              <w:t>ial</w:t>
            </w:r>
            <w:r w:rsidR="004E48C5" w:rsidRPr="00D3113A">
              <w:rPr>
                <w:rFonts w:ascii="Times New Roman" w:hAnsi="Times New Roman" w:cs="Times New Roman"/>
                <w:sz w:val="24"/>
                <w:szCs w:val="24"/>
              </w:rPr>
              <w:t>ly met</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While the incremental late payment penalty rate is reduced, the combined penalty and interest rate may be too high to effectively encourage significantly indebted taxpayers to </w:t>
            </w:r>
            <w:r w:rsidR="003932F4">
              <w:rPr>
                <w:rFonts w:ascii="Times New Roman" w:hAnsi="Times New Roman" w:cs="Times New Roman"/>
                <w:sz w:val="24"/>
                <w:szCs w:val="24"/>
              </w:rPr>
              <w:t>engage with Inland Revenue</w:t>
            </w:r>
            <w:r w:rsidRPr="00D3113A">
              <w:rPr>
                <w:rFonts w:ascii="Times New Roman" w:hAnsi="Times New Roman" w:cs="Times New Roman"/>
                <w:sz w:val="24"/>
                <w:szCs w:val="24"/>
              </w:rPr>
              <w:t xml:space="preserve">. </w:t>
            </w:r>
          </w:p>
          <w:p w:rsidR="004E48C5" w:rsidRPr="00D3113A" w:rsidRDefault="004E48C5" w:rsidP="00D3113A">
            <w:pPr>
              <w:jc w:val="both"/>
              <w:rPr>
                <w:rFonts w:ascii="Times New Roman" w:hAnsi="Times New Roman" w:cs="Times New Roman"/>
                <w:sz w:val="24"/>
                <w:szCs w:val="24"/>
              </w:rPr>
            </w:pPr>
          </w:p>
          <w:p w:rsidR="004E48C5" w:rsidRPr="00D3113A" w:rsidRDefault="003932F4" w:rsidP="00D3113A">
            <w:pPr>
              <w:jc w:val="both"/>
              <w:rPr>
                <w:rFonts w:ascii="Times New Roman" w:hAnsi="Times New Roman" w:cs="Times New Roman"/>
                <w:sz w:val="24"/>
                <w:szCs w:val="24"/>
              </w:rPr>
            </w:pPr>
            <w:r>
              <w:rPr>
                <w:rFonts w:ascii="Times New Roman" w:hAnsi="Times New Roman" w:cs="Times New Roman"/>
                <w:sz w:val="24"/>
                <w:szCs w:val="24"/>
              </w:rPr>
              <w:t>Lacks fairness as</w:t>
            </w:r>
            <w:r w:rsidR="004E48C5" w:rsidRPr="00D3113A">
              <w:rPr>
                <w:rFonts w:ascii="Times New Roman" w:hAnsi="Times New Roman" w:cs="Times New Roman"/>
                <w:sz w:val="24"/>
                <w:szCs w:val="24"/>
              </w:rPr>
              <w:t xml:space="preserve"> Inland Revenue continue</w:t>
            </w:r>
            <w:r>
              <w:rPr>
                <w:rFonts w:ascii="Times New Roman" w:hAnsi="Times New Roman" w:cs="Times New Roman"/>
                <w:sz w:val="24"/>
                <w:szCs w:val="24"/>
              </w:rPr>
              <w:t>s</w:t>
            </w:r>
            <w:r w:rsidR="004E48C5" w:rsidRPr="00D3113A">
              <w:rPr>
                <w:rFonts w:ascii="Times New Roman" w:hAnsi="Times New Roman" w:cs="Times New Roman"/>
                <w:sz w:val="24"/>
                <w:szCs w:val="24"/>
              </w:rPr>
              <w:t xml:space="preserve"> to impose a high combined rate, while expecting the taxpayer to be motivated to repay their tax debt.</w:t>
            </w:r>
          </w:p>
          <w:p w:rsidR="004E48C5" w:rsidRPr="00D3113A" w:rsidRDefault="004E48C5" w:rsidP="00D3113A">
            <w:pPr>
              <w:jc w:val="both"/>
              <w:rPr>
                <w:rFonts w:ascii="Times New Roman" w:hAnsi="Times New Roman" w:cs="Times New Roman"/>
                <w:sz w:val="24"/>
                <w:szCs w:val="24"/>
              </w:rPr>
            </w:pPr>
          </w:p>
          <w:p w:rsidR="004E48C5" w:rsidRPr="00D3113A" w:rsidRDefault="000E4628" w:rsidP="000E4628">
            <w:pPr>
              <w:jc w:val="both"/>
              <w:rPr>
                <w:rFonts w:ascii="Times New Roman" w:hAnsi="Times New Roman" w:cs="Times New Roman"/>
                <w:sz w:val="24"/>
                <w:szCs w:val="24"/>
              </w:rPr>
            </w:pPr>
            <w:r>
              <w:rPr>
                <w:rFonts w:ascii="Times New Roman" w:hAnsi="Times New Roman" w:cs="Times New Roman"/>
                <w:sz w:val="24"/>
                <w:szCs w:val="24"/>
              </w:rPr>
              <w:t>Taxpayers</w:t>
            </w:r>
            <w:r w:rsidR="00BD67A4">
              <w:rPr>
                <w:rFonts w:ascii="Times New Roman" w:hAnsi="Times New Roman" w:cs="Times New Roman"/>
                <w:sz w:val="24"/>
                <w:szCs w:val="24"/>
              </w:rPr>
              <w:t xml:space="preserve"> will</w:t>
            </w:r>
            <w:r>
              <w:rPr>
                <w:rFonts w:ascii="Times New Roman" w:hAnsi="Times New Roman" w:cs="Times New Roman"/>
                <w:sz w:val="24"/>
                <w:szCs w:val="24"/>
              </w:rPr>
              <w:t xml:space="preserve"> c</w:t>
            </w:r>
            <w:r w:rsidR="004E48C5" w:rsidRPr="00D3113A">
              <w:rPr>
                <w:rFonts w:ascii="Times New Roman" w:hAnsi="Times New Roman" w:cs="Times New Roman"/>
                <w:sz w:val="24"/>
                <w:szCs w:val="24"/>
              </w:rPr>
              <w:t>ontinue to have a financial incentive to ent</w:t>
            </w:r>
            <w:r w:rsidR="003932F4">
              <w:rPr>
                <w:rFonts w:ascii="Times New Roman" w:hAnsi="Times New Roman" w:cs="Times New Roman"/>
                <w:sz w:val="24"/>
                <w:szCs w:val="24"/>
              </w:rPr>
              <w:t>e</w:t>
            </w:r>
            <w:r w:rsidR="004E48C5" w:rsidRPr="00D3113A">
              <w:rPr>
                <w:rFonts w:ascii="Times New Roman" w:hAnsi="Times New Roman" w:cs="Times New Roman"/>
                <w:sz w:val="24"/>
                <w:szCs w:val="24"/>
              </w:rPr>
              <w:t>r i</w:t>
            </w:r>
            <w:r w:rsidR="004E48C5">
              <w:rPr>
                <w:rFonts w:ascii="Times New Roman" w:hAnsi="Times New Roman" w:cs="Times New Roman"/>
                <w:sz w:val="24"/>
                <w:szCs w:val="24"/>
              </w:rPr>
              <w:t xml:space="preserve">nto an instalment arrangement. </w:t>
            </w:r>
          </w:p>
        </w:tc>
        <w:tc>
          <w:tcPr>
            <w:tcW w:w="2976" w:type="dxa"/>
          </w:tcPr>
          <w:p w:rsidR="004E48C5" w:rsidRPr="00D3113A" w:rsidRDefault="00F47380" w:rsidP="00D3113A">
            <w:pPr>
              <w:jc w:val="both"/>
              <w:rPr>
                <w:rFonts w:ascii="Times New Roman" w:hAnsi="Times New Roman" w:cs="Times New Roman"/>
                <w:sz w:val="24"/>
                <w:szCs w:val="24"/>
              </w:rPr>
            </w:pPr>
            <w:r>
              <w:rPr>
                <w:rFonts w:ascii="Times New Roman" w:hAnsi="Times New Roman" w:cs="Times New Roman"/>
                <w:sz w:val="24"/>
                <w:szCs w:val="24"/>
              </w:rPr>
              <w:t>P</w:t>
            </w:r>
            <w:r w:rsidR="004E48C5" w:rsidRPr="00D3113A">
              <w:rPr>
                <w:rFonts w:ascii="Times New Roman" w:hAnsi="Times New Roman" w:cs="Times New Roman"/>
                <w:sz w:val="24"/>
                <w:szCs w:val="24"/>
              </w:rPr>
              <w:t>art</w:t>
            </w:r>
            <w:r w:rsidR="00253C81">
              <w:rPr>
                <w:rFonts w:ascii="Times New Roman" w:hAnsi="Times New Roman" w:cs="Times New Roman"/>
                <w:sz w:val="24"/>
                <w:szCs w:val="24"/>
              </w:rPr>
              <w:t>ial</w:t>
            </w:r>
            <w:r w:rsidR="004E48C5" w:rsidRPr="00D3113A">
              <w:rPr>
                <w:rFonts w:ascii="Times New Roman" w:hAnsi="Times New Roman" w:cs="Times New Roman"/>
                <w:sz w:val="24"/>
                <w:szCs w:val="24"/>
              </w:rPr>
              <w:t>ly met</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Taxpayers will continue to incur significant stress and anxiety in attempting to resolve their tax debt, due to </w:t>
            </w:r>
            <w:r w:rsidR="000E4628">
              <w:rPr>
                <w:rFonts w:ascii="Times New Roman" w:hAnsi="Times New Roman" w:cs="Times New Roman"/>
                <w:sz w:val="24"/>
                <w:szCs w:val="24"/>
              </w:rPr>
              <w:t xml:space="preserve">the </w:t>
            </w:r>
            <w:r w:rsidRPr="00D3113A">
              <w:rPr>
                <w:rFonts w:ascii="Times New Roman" w:hAnsi="Times New Roman" w:cs="Times New Roman"/>
                <w:sz w:val="24"/>
                <w:szCs w:val="24"/>
              </w:rPr>
              <w:t>continue</w:t>
            </w:r>
            <w:r w:rsidR="000E4628">
              <w:rPr>
                <w:rFonts w:ascii="Times New Roman" w:hAnsi="Times New Roman" w:cs="Times New Roman"/>
                <w:sz w:val="24"/>
                <w:szCs w:val="24"/>
              </w:rPr>
              <w:t>d</w:t>
            </w:r>
            <w:r w:rsidRPr="00D3113A">
              <w:rPr>
                <w:rFonts w:ascii="Times New Roman" w:hAnsi="Times New Roman" w:cs="Times New Roman"/>
                <w:sz w:val="24"/>
                <w:szCs w:val="24"/>
              </w:rPr>
              <w:t xml:space="preserve"> impos</w:t>
            </w:r>
            <w:r w:rsidR="000E4628">
              <w:rPr>
                <w:rFonts w:ascii="Times New Roman" w:hAnsi="Times New Roman" w:cs="Times New Roman"/>
                <w:sz w:val="24"/>
                <w:szCs w:val="24"/>
              </w:rPr>
              <w:t>ition of</w:t>
            </w:r>
            <w:r w:rsidR="003932F4">
              <w:rPr>
                <w:rFonts w:ascii="Times New Roman" w:hAnsi="Times New Roman" w:cs="Times New Roman"/>
                <w:sz w:val="24"/>
                <w:szCs w:val="24"/>
              </w:rPr>
              <w:t xml:space="preserve"> penalties on their tax debt long after it</w:t>
            </w:r>
            <w:r w:rsidR="000E4628">
              <w:rPr>
                <w:rFonts w:ascii="Times New Roman" w:hAnsi="Times New Roman" w:cs="Times New Roman"/>
                <w:sz w:val="24"/>
                <w:szCs w:val="24"/>
              </w:rPr>
              <w:t xml:space="preserve"> i</w:t>
            </w:r>
            <w:r w:rsidR="003932F4">
              <w:rPr>
                <w:rFonts w:ascii="Times New Roman" w:hAnsi="Times New Roman" w:cs="Times New Roman"/>
                <w:sz w:val="24"/>
                <w:szCs w:val="24"/>
              </w:rPr>
              <w:t>s due.</w:t>
            </w:r>
          </w:p>
          <w:p w:rsidR="004E48C5" w:rsidRPr="00D3113A" w:rsidRDefault="004E48C5" w:rsidP="00D3113A">
            <w:pPr>
              <w:jc w:val="both"/>
              <w:rPr>
                <w:rFonts w:ascii="Times New Roman" w:hAnsi="Times New Roman" w:cs="Times New Roman"/>
                <w:sz w:val="24"/>
                <w:szCs w:val="24"/>
              </w:rPr>
            </w:pPr>
          </w:p>
          <w:p w:rsidR="004E48C5"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Inland Revenue would likely have a small reduction in its administration and enforcement costs (compared to the status quo), due to the smaller incremental late payment penalties being added to the tax debt book.</w:t>
            </w:r>
          </w:p>
          <w:p w:rsidR="003932F4" w:rsidRPr="00D3113A" w:rsidRDefault="003932F4" w:rsidP="00D3113A">
            <w:pPr>
              <w:jc w:val="both"/>
              <w:rPr>
                <w:rFonts w:ascii="Times New Roman" w:hAnsi="Times New Roman" w:cs="Times New Roman"/>
                <w:sz w:val="24"/>
                <w:szCs w:val="24"/>
              </w:rPr>
            </w:pPr>
          </w:p>
        </w:tc>
        <w:tc>
          <w:tcPr>
            <w:tcW w:w="2694" w:type="dxa"/>
          </w:tcPr>
          <w:p w:rsidR="004E48C5" w:rsidRPr="00D3113A" w:rsidRDefault="00F47380" w:rsidP="00D3113A">
            <w:pPr>
              <w:jc w:val="both"/>
              <w:rPr>
                <w:rFonts w:ascii="Times New Roman" w:hAnsi="Times New Roman" w:cs="Times New Roman"/>
                <w:sz w:val="24"/>
                <w:szCs w:val="24"/>
              </w:rPr>
            </w:pPr>
            <w:r>
              <w:rPr>
                <w:rFonts w:ascii="Times New Roman" w:hAnsi="Times New Roman" w:cs="Times New Roman"/>
                <w:sz w:val="24"/>
                <w:szCs w:val="24"/>
              </w:rPr>
              <w:t>N</w:t>
            </w:r>
            <w:r w:rsidR="004E48C5" w:rsidRPr="00D3113A">
              <w:rPr>
                <w:rFonts w:ascii="Times New Roman" w:hAnsi="Times New Roman" w:cs="Times New Roman"/>
                <w:sz w:val="24"/>
                <w:szCs w:val="24"/>
              </w:rPr>
              <w:t>ot met</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Unpaid and potentially uncollectible incremental late payment penalties will continue be added to the debt book, though this will be less than </w:t>
            </w:r>
            <w:r w:rsidR="003932F4">
              <w:rPr>
                <w:rFonts w:ascii="Times New Roman" w:hAnsi="Times New Roman" w:cs="Times New Roman"/>
                <w:sz w:val="24"/>
                <w:szCs w:val="24"/>
              </w:rPr>
              <w:t>the status quo.</w:t>
            </w:r>
          </w:p>
          <w:p w:rsidR="004E48C5" w:rsidRPr="00D3113A" w:rsidRDefault="004E48C5" w:rsidP="00D3113A">
            <w:pPr>
              <w:jc w:val="both"/>
              <w:rPr>
                <w:rFonts w:ascii="Times New Roman" w:hAnsi="Times New Roman" w:cs="Times New Roman"/>
                <w:sz w:val="24"/>
                <w:szCs w:val="24"/>
              </w:rPr>
            </w:pPr>
          </w:p>
        </w:tc>
        <w:tc>
          <w:tcPr>
            <w:tcW w:w="2259" w:type="dxa"/>
          </w:tcPr>
          <w:p w:rsidR="004E48C5" w:rsidRPr="00D3113A" w:rsidRDefault="00325D6B" w:rsidP="00F47380">
            <w:pPr>
              <w:jc w:val="both"/>
              <w:rPr>
                <w:rFonts w:ascii="Times New Roman" w:hAnsi="Times New Roman" w:cs="Times New Roman"/>
                <w:sz w:val="24"/>
                <w:szCs w:val="24"/>
              </w:rPr>
            </w:pPr>
            <w:r w:rsidRPr="00D3113A">
              <w:rPr>
                <w:rFonts w:ascii="Times New Roman" w:hAnsi="Times New Roman" w:cs="Times New Roman"/>
                <w:sz w:val="24"/>
                <w:szCs w:val="24"/>
              </w:rPr>
              <w:t xml:space="preserve">This option would likely have a </w:t>
            </w:r>
            <w:r>
              <w:rPr>
                <w:rFonts w:ascii="Times New Roman" w:hAnsi="Times New Roman" w:cs="Times New Roman"/>
                <w:sz w:val="24"/>
                <w:szCs w:val="24"/>
              </w:rPr>
              <w:t>negative</w:t>
            </w:r>
            <w:r w:rsidRPr="00D3113A">
              <w:rPr>
                <w:rFonts w:ascii="Times New Roman" w:hAnsi="Times New Roman" w:cs="Times New Roman"/>
                <w:sz w:val="24"/>
                <w:szCs w:val="24"/>
              </w:rPr>
              <w:t xml:space="preserve"> revenue </w:t>
            </w:r>
            <w:r>
              <w:rPr>
                <w:rFonts w:ascii="Times New Roman" w:hAnsi="Times New Roman" w:cs="Times New Roman"/>
                <w:sz w:val="24"/>
                <w:szCs w:val="24"/>
              </w:rPr>
              <w:t>impact</w:t>
            </w:r>
            <w:r w:rsidRPr="00D3113A">
              <w:rPr>
                <w:rFonts w:ascii="Times New Roman" w:hAnsi="Times New Roman" w:cs="Times New Roman"/>
                <w:sz w:val="24"/>
                <w:szCs w:val="24"/>
              </w:rPr>
              <w:t xml:space="preserve">, </w:t>
            </w:r>
            <w:r>
              <w:rPr>
                <w:rFonts w:ascii="Times New Roman" w:hAnsi="Times New Roman" w:cs="Times New Roman"/>
                <w:sz w:val="24"/>
                <w:szCs w:val="24"/>
              </w:rPr>
              <w:t xml:space="preserve">lower </w:t>
            </w:r>
            <w:r w:rsidRPr="00D3113A">
              <w:rPr>
                <w:rFonts w:ascii="Times New Roman" w:hAnsi="Times New Roman" w:cs="Times New Roman"/>
                <w:sz w:val="24"/>
                <w:szCs w:val="24"/>
              </w:rPr>
              <w:t>than the recommended option.</w:t>
            </w:r>
            <w:r w:rsidR="004E48C5" w:rsidRPr="00D3113A">
              <w:rPr>
                <w:rFonts w:ascii="Times New Roman" w:hAnsi="Times New Roman" w:cs="Times New Roman"/>
                <w:sz w:val="24"/>
                <w:szCs w:val="24"/>
              </w:rPr>
              <w:t xml:space="preserve"> </w:t>
            </w:r>
          </w:p>
        </w:tc>
      </w:tr>
      <w:tr w:rsidR="004E48C5" w:rsidRPr="00D3113A" w:rsidTr="004E48C5">
        <w:trPr>
          <w:trHeight w:val="1477"/>
        </w:trPr>
        <w:tc>
          <w:tcPr>
            <w:tcW w:w="1809" w:type="dxa"/>
          </w:tcPr>
          <w:p w:rsidR="004E48C5" w:rsidRPr="00420D8B" w:rsidRDefault="00FD7D47" w:rsidP="00FD7D47">
            <w:pPr>
              <w:contextualSpacing/>
              <w:jc w:val="both"/>
              <w:rPr>
                <w:rFonts w:ascii="Times New Roman" w:hAnsi="Times New Roman" w:cs="Times New Roman"/>
                <w:sz w:val="24"/>
                <w:szCs w:val="24"/>
              </w:rPr>
            </w:pPr>
            <w:r w:rsidRPr="00420D8B">
              <w:rPr>
                <w:rFonts w:ascii="Times New Roman" w:hAnsi="Times New Roman" w:cs="Times New Roman"/>
                <w:sz w:val="24"/>
                <w:szCs w:val="24"/>
              </w:rPr>
              <w:t xml:space="preserve">3. </w:t>
            </w:r>
            <w:r w:rsidR="004E48C5" w:rsidRPr="00420D8B">
              <w:rPr>
                <w:rFonts w:ascii="Times New Roman" w:hAnsi="Times New Roman" w:cs="Times New Roman"/>
                <w:sz w:val="24"/>
                <w:szCs w:val="24"/>
              </w:rPr>
              <w:t>Remove the 1% incremental late payment penalty</w:t>
            </w:r>
          </w:p>
        </w:tc>
        <w:tc>
          <w:tcPr>
            <w:tcW w:w="3686" w:type="dxa"/>
          </w:tcPr>
          <w:p w:rsidR="004E48C5" w:rsidRPr="00D3113A" w:rsidRDefault="000E4628" w:rsidP="00D3113A">
            <w:pPr>
              <w:jc w:val="both"/>
              <w:rPr>
                <w:rFonts w:ascii="Times New Roman" w:hAnsi="Times New Roman" w:cs="Times New Roman"/>
                <w:sz w:val="24"/>
                <w:szCs w:val="24"/>
              </w:rPr>
            </w:pPr>
            <w:r>
              <w:rPr>
                <w:rFonts w:ascii="Times New Roman" w:hAnsi="Times New Roman" w:cs="Times New Roman"/>
                <w:sz w:val="24"/>
                <w:szCs w:val="24"/>
              </w:rPr>
              <w:t>P</w:t>
            </w:r>
            <w:r w:rsidR="004E48C5" w:rsidRPr="00D3113A">
              <w:rPr>
                <w:rFonts w:ascii="Times New Roman" w:hAnsi="Times New Roman" w:cs="Times New Roman"/>
                <w:sz w:val="24"/>
                <w:szCs w:val="24"/>
              </w:rPr>
              <w:t>art</w:t>
            </w:r>
            <w:r w:rsidR="00253C81">
              <w:rPr>
                <w:rFonts w:ascii="Times New Roman" w:hAnsi="Times New Roman" w:cs="Times New Roman"/>
                <w:sz w:val="24"/>
                <w:szCs w:val="24"/>
              </w:rPr>
              <w:t>ial</w:t>
            </w:r>
            <w:r w:rsidR="004E48C5" w:rsidRPr="00D3113A">
              <w:rPr>
                <w:rFonts w:ascii="Times New Roman" w:hAnsi="Times New Roman" w:cs="Times New Roman"/>
                <w:sz w:val="24"/>
                <w:szCs w:val="24"/>
              </w:rPr>
              <w:t>ly met</w:t>
            </w:r>
          </w:p>
          <w:p w:rsidR="004E48C5" w:rsidRPr="00D3113A" w:rsidRDefault="004E48C5" w:rsidP="00D3113A">
            <w:pPr>
              <w:jc w:val="both"/>
              <w:rPr>
                <w:rFonts w:ascii="Times New Roman" w:hAnsi="Times New Roman" w:cs="Times New Roman"/>
                <w:sz w:val="24"/>
                <w:szCs w:val="24"/>
              </w:rPr>
            </w:pPr>
          </w:p>
          <w:p w:rsidR="004E48C5" w:rsidRPr="00D3113A" w:rsidRDefault="004E4125" w:rsidP="00D3113A">
            <w:pPr>
              <w:jc w:val="both"/>
              <w:rPr>
                <w:rFonts w:ascii="Times New Roman" w:hAnsi="Times New Roman" w:cs="Times New Roman"/>
                <w:sz w:val="24"/>
                <w:szCs w:val="24"/>
              </w:rPr>
            </w:pPr>
            <w:r>
              <w:rPr>
                <w:rFonts w:ascii="Times New Roman" w:hAnsi="Times New Roman" w:cs="Times New Roman"/>
                <w:sz w:val="24"/>
                <w:szCs w:val="24"/>
              </w:rPr>
              <w:t>Maintains f</w:t>
            </w:r>
            <w:r w:rsidR="004E48C5" w:rsidRPr="00D3113A">
              <w:rPr>
                <w:rFonts w:ascii="Times New Roman" w:hAnsi="Times New Roman" w:cs="Times New Roman"/>
                <w:sz w:val="24"/>
                <w:szCs w:val="24"/>
              </w:rPr>
              <w:t xml:space="preserve">airness between compliant and non-compliant taxpayers, as taxpayers will continue to have an incentive to pay their tax liability by the due date or shortly after. </w:t>
            </w:r>
          </w:p>
          <w:p w:rsidR="004E48C5" w:rsidRPr="00D3113A" w:rsidRDefault="004E48C5" w:rsidP="00D3113A">
            <w:pPr>
              <w:jc w:val="both"/>
              <w:rPr>
                <w:rFonts w:ascii="Times New Roman" w:hAnsi="Times New Roman" w:cs="Times New Roman"/>
                <w:sz w:val="24"/>
                <w:szCs w:val="24"/>
              </w:rPr>
            </w:pPr>
          </w:p>
          <w:p w:rsidR="004E48C5" w:rsidRPr="00D3113A" w:rsidRDefault="004E48C5" w:rsidP="00334B6B">
            <w:pPr>
              <w:jc w:val="both"/>
              <w:rPr>
                <w:rFonts w:ascii="Times New Roman" w:hAnsi="Times New Roman" w:cs="Times New Roman"/>
                <w:sz w:val="24"/>
                <w:szCs w:val="24"/>
              </w:rPr>
            </w:pPr>
            <w:r w:rsidRPr="00D3113A">
              <w:rPr>
                <w:rFonts w:ascii="Times New Roman" w:hAnsi="Times New Roman" w:cs="Times New Roman"/>
                <w:sz w:val="24"/>
                <w:szCs w:val="24"/>
              </w:rPr>
              <w:t>While some taxpayers will no longer receive a financial incentive to enter</w:t>
            </w:r>
            <w:r w:rsidR="000E4628">
              <w:rPr>
                <w:rFonts w:ascii="Times New Roman" w:hAnsi="Times New Roman" w:cs="Times New Roman"/>
                <w:sz w:val="24"/>
                <w:szCs w:val="24"/>
              </w:rPr>
              <w:t xml:space="preserve"> into</w:t>
            </w:r>
            <w:r w:rsidRPr="00D3113A">
              <w:rPr>
                <w:rFonts w:ascii="Times New Roman" w:hAnsi="Times New Roman" w:cs="Times New Roman"/>
                <w:sz w:val="24"/>
                <w:szCs w:val="24"/>
              </w:rPr>
              <w:t xml:space="preserve"> an instalment arrangement, they will continue to receive certainty that Inland Revenue will not take enforcement action.</w:t>
            </w:r>
          </w:p>
        </w:tc>
        <w:tc>
          <w:tcPr>
            <w:tcW w:w="2976" w:type="dxa"/>
          </w:tcPr>
          <w:p w:rsidR="004E48C5" w:rsidRPr="00D3113A" w:rsidRDefault="000E4628" w:rsidP="00D3113A">
            <w:pPr>
              <w:jc w:val="both"/>
              <w:rPr>
                <w:rFonts w:ascii="Times New Roman" w:hAnsi="Times New Roman" w:cs="Times New Roman"/>
                <w:sz w:val="24"/>
                <w:szCs w:val="24"/>
              </w:rPr>
            </w:pPr>
            <w:r>
              <w:rPr>
                <w:rFonts w:ascii="Times New Roman" w:hAnsi="Times New Roman" w:cs="Times New Roman"/>
                <w:sz w:val="24"/>
                <w:szCs w:val="24"/>
              </w:rPr>
              <w:t>M</w:t>
            </w:r>
            <w:r w:rsidR="004E48C5" w:rsidRPr="00D3113A">
              <w:rPr>
                <w:rFonts w:ascii="Times New Roman" w:hAnsi="Times New Roman" w:cs="Times New Roman"/>
                <w:sz w:val="24"/>
                <w:szCs w:val="24"/>
              </w:rPr>
              <w:t>et</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Keeping the tax debt at a more manageable level for longer will allow taxpayers more opportunity to resolve their tax debt, reducing </w:t>
            </w:r>
            <w:r w:rsidR="000E4628">
              <w:rPr>
                <w:rFonts w:ascii="Times New Roman" w:hAnsi="Times New Roman" w:cs="Times New Roman"/>
                <w:sz w:val="24"/>
                <w:szCs w:val="24"/>
              </w:rPr>
              <w:t xml:space="preserve">their </w:t>
            </w:r>
            <w:r w:rsidRPr="00D3113A">
              <w:rPr>
                <w:rFonts w:ascii="Times New Roman" w:hAnsi="Times New Roman" w:cs="Times New Roman"/>
                <w:sz w:val="24"/>
                <w:szCs w:val="24"/>
              </w:rPr>
              <w:t>stress and anxiety.</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Inland Revenue’s administration and enforcement costs </w:t>
            </w:r>
            <w:r w:rsidR="000E4628">
              <w:rPr>
                <w:rFonts w:ascii="Times New Roman" w:hAnsi="Times New Roman" w:cs="Times New Roman"/>
                <w:sz w:val="24"/>
                <w:szCs w:val="24"/>
              </w:rPr>
              <w:t xml:space="preserve">will reduce </w:t>
            </w:r>
            <w:r w:rsidRPr="00D3113A">
              <w:rPr>
                <w:rFonts w:ascii="Times New Roman" w:hAnsi="Times New Roman" w:cs="Times New Roman"/>
                <w:sz w:val="24"/>
                <w:szCs w:val="24"/>
              </w:rPr>
              <w:t xml:space="preserve">as less uncollectible penalties will be added to the debt book. </w:t>
            </w:r>
          </w:p>
        </w:tc>
        <w:tc>
          <w:tcPr>
            <w:tcW w:w="2694" w:type="dxa"/>
          </w:tcPr>
          <w:p w:rsidR="004E48C5" w:rsidRPr="00D3113A" w:rsidRDefault="000E4628" w:rsidP="00D3113A">
            <w:pPr>
              <w:jc w:val="both"/>
              <w:rPr>
                <w:rFonts w:ascii="Times New Roman" w:hAnsi="Times New Roman" w:cs="Times New Roman"/>
                <w:sz w:val="24"/>
                <w:szCs w:val="24"/>
              </w:rPr>
            </w:pPr>
            <w:r>
              <w:rPr>
                <w:rFonts w:ascii="Times New Roman" w:hAnsi="Times New Roman" w:cs="Times New Roman"/>
                <w:sz w:val="24"/>
                <w:szCs w:val="24"/>
              </w:rPr>
              <w:t>M</w:t>
            </w:r>
            <w:r w:rsidR="004E48C5" w:rsidRPr="00D3113A">
              <w:rPr>
                <w:rFonts w:ascii="Times New Roman" w:hAnsi="Times New Roman" w:cs="Times New Roman"/>
                <w:sz w:val="24"/>
                <w:szCs w:val="24"/>
              </w:rPr>
              <w:t>et</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Less uncollectible penalties are added to the debt book. The value of the debt book will more fairly reflect what is collectible, giving more certainty to government about its value. </w:t>
            </w:r>
          </w:p>
        </w:tc>
        <w:tc>
          <w:tcPr>
            <w:tcW w:w="2259" w:type="dxa"/>
          </w:tcPr>
          <w:p w:rsidR="004E48C5" w:rsidRPr="00D3113A" w:rsidRDefault="000E4628" w:rsidP="00334B6B">
            <w:pPr>
              <w:jc w:val="both"/>
              <w:rPr>
                <w:rFonts w:ascii="Times New Roman" w:hAnsi="Times New Roman" w:cs="Times New Roman"/>
                <w:sz w:val="24"/>
                <w:szCs w:val="24"/>
              </w:rPr>
            </w:pPr>
            <w:r>
              <w:rPr>
                <w:rFonts w:ascii="Times New Roman" w:hAnsi="Times New Roman" w:cs="Times New Roman"/>
                <w:sz w:val="24"/>
                <w:szCs w:val="24"/>
              </w:rPr>
              <w:t>The total cost over f</w:t>
            </w:r>
            <w:r w:rsidR="004E48C5" w:rsidRPr="00D3113A">
              <w:rPr>
                <w:rFonts w:ascii="Times New Roman" w:hAnsi="Times New Roman" w:cs="Times New Roman"/>
                <w:sz w:val="24"/>
                <w:szCs w:val="24"/>
              </w:rPr>
              <w:t>our year</w:t>
            </w:r>
            <w:r>
              <w:rPr>
                <w:rFonts w:ascii="Times New Roman" w:hAnsi="Times New Roman" w:cs="Times New Roman"/>
                <w:sz w:val="24"/>
                <w:szCs w:val="24"/>
              </w:rPr>
              <w:t>s</w:t>
            </w:r>
            <w:r w:rsidR="004E48C5" w:rsidRPr="00D3113A">
              <w:rPr>
                <w:rFonts w:ascii="Times New Roman" w:hAnsi="Times New Roman" w:cs="Times New Roman"/>
                <w:sz w:val="24"/>
                <w:szCs w:val="24"/>
              </w:rPr>
              <w:t xml:space="preserve"> is $</w:t>
            </w:r>
            <w:r w:rsidR="00124BBD">
              <w:rPr>
                <w:rFonts w:ascii="Times New Roman" w:hAnsi="Times New Roman" w:cs="Times New Roman"/>
                <w:sz w:val="24"/>
                <w:szCs w:val="24"/>
              </w:rPr>
              <w:t>87</w:t>
            </w:r>
            <w:r w:rsidR="00BD4295" w:rsidRPr="00D3113A">
              <w:rPr>
                <w:rFonts w:ascii="Times New Roman" w:hAnsi="Times New Roman" w:cs="Times New Roman"/>
                <w:sz w:val="24"/>
                <w:szCs w:val="24"/>
              </w:rPr>
              <w:t xml:space="preserve"> </w:t>
            </w:r>
            <w:r w:rsidR="004E48C5" w:rsidRPr="00D3113A">
              <w:rPr>
                <w:rFonts w:ascii="Times New Roman" w:hAnsi="Times New Roman" w:cs="Times New Roman"/>
                <w:sz w:val="24"/>
                <w:szCs w:val="24"/>
              </w:rPr>
              <w:t>million.</w:t>
            </w:r>
          </w:p>
        </w:tc>
      </w:tr>
      <w:tr w:rsidR="004E48C5" w:rsidRPr="00D3113A" w:rsidTr="004E48C5">
        <w:trPr>
          <w:trHeight w:val="1338"/>
        </w:trPr>
        <w:tc>
          <w:tcPr>
            <w:tcW w:w="1809" w:type="dxa"/>
          </w:tcPr>
          <w:p w:rsidR="004E48C5" w:rsidRPr="00420D8B" w:rsidRDefault="00FD7D47">
            <w:pPr>
              <w:contextualSpacing/>
              <w:jc w:val="both"/>
              <w:rPr>
                <w:rFonts w:ascii="Times New Roman" w:hAnsi="Times New Roman" w:cs="Times New Roman"/>
                <w:sz w:val="24"/>
                <w:szCs w:val="24"/>
              </w:rPr>
            </w:pPr>
            <w:r w:rsidRPr="00420D8B">
              <w:rPr>
                <w:rFonts w:ascii="Times New Roman" w:hAnsi="Times New Roman" w:cs="Times New Roman"/>
                <w:sz w:val="24"/>
                <w:szCs w:val="24"/>
              </w:rPr>
              <w:t xml:space="preserve">4. </w:t>
            </w:r>
            <w:r w:rsidR="004E48C5" w:rsidRPr="00420D8B">
              <w:rPr>
                <w:rFonts w:ascii="Times New Roman" w:hAnsi="Times New Roman" w:cs="Times New Roman"/>
                <w:sz w:val="24"/>
                <w:szCs w:val="24"/>
              </w:rPr>
              <w:t xml:space="preserve">Remove all late payment penalties and impose </w:t>
            </w:r>
            <w:proofErr w:type="spellStart"/>
            <w:r w:rsidR="0045650F">
              <w:rPr>
                <w:rFonts w:ascii="Times New Roman" w:hAnsi="Times New Roman" w:cs="Times New Roman"/>
                <w:sz w:val="24"/>
                <w:szCs w:val="24"/>
              </w:rPr>
              <w:t>UOMI</w:t>
            </w:r>
            <w:proofErr w:type="spellEnd"/>
            <w:r w:rsidR="004E48C5" w:rsidRPr="00420D8B">
              <w:rPr>
                <w:rFonts w:ascii="Times New Roman" w:hAnsi="Times New Roman" w:cs="Times New Roman"/>
                <w:sz w:val="24"/>
                <w:szCs w:val="24"/>
              </w:rPr>
              <w:t xml:space="preserve"> only.</w:t>
            </w:r>
          </w:p>
        </w:tc>
        <w:tc>
          <w:tcPr>
            <w:tcW w:w="3686" w:type="dxa"/>
          </w:tcPr>
          <w:p w:rsidR="004E48C5" w:rsidRPr="00D3113A" w:rsidRDefault="000E4628" w:rsidP="00D3113A">
            <w:pPr>
              <w:jc w:val="both"/>
              <w:rPr>
                <w:rFonts w:ascii="Times New Roman" w:hAnsi="Times New Roman" w:cs="Times New Roman"/>
                <w:sz w:val="24"/>
                <w:szCs w:val="24"/>
              </w:rPr>
            </w:pPr>
            <w:r>
              <w:rPr>
                <w:rFonts w:ascii="Times New Roman" w:hAnsi="Times New Roman" w:cs="Times New Roman"/>
                <w:sz w:val="24"/>
                <w:szCs w:val="24"/>
              </w:rPr>
              <w:t>N</w:t>
            </w:r>
            <w:r w:rsidR="004E48C5" w:rsidRPr="00D3113A">
              <w:rPr>
                <w:rFonts w:ascii="Times New Roman" w:hAnsi="Times New Roman" w:cs="Times New Roman"/>
                <w:sz w:val="24"/>
                <w:szCs w:val="24"/>
              </w:rPr>
              <w:t>ot met</w:t>
            </w:r>
          </w:p>
          <w:p w:rsidR="004E48C5" w:rsidRPr="00D3113A" w:rsidRDefault="004E48C5" w:rsidP="00D3113A">
            <w:pPr>
              <w:jc w:val="both"/>
              <w:rPr>
                <w:rFonts w:ascii="Times New Roman" w:hAnsi="Times New Roman" w:cs="Times New Roman"/>
                <w:sz w:val="24"/>
                <w:szCs w:val="24"/>
              </w:rPr>
            </w:pPr>
          </w:p>
          <w:p w:rsidR="004E48C5" w:rsidRPr="00D3113A" w:rsidRDefault="00325D6B" w:rsidP="00D3113A">
            <w:pPr>
              <w:jc w:val="both"/>
              <w:rPr>
                <w:rFonts w:ascii="Times New Roman" w:hAnsi="Times New Roman" w:cs="Times New Roman"/>
                <w:sz w:val="24"/>
                <w:szCs w:val="24"/>
              </w:rPr>
            </w:pPr>
            <w:r>
              <w:rPr>
                <w:rFonts w:ascii="Times New Roman" w:hAnsi="Times New Roman" w:cs="Times New Roman"/>
                <w:sz w:val="24"/>
                <w:szCs w:val="24"/>
              </w:rPr>
              <w:t>U</w:t>
            </w:r>
            <w:r w:rsidR="004E48C5" w:rsidRPr="00D3113A">
              <w:rPr>
                <w:rFonts w:ascii="Times New Roman" w:hAnsi="Times New Roman" w:cs="Times New Roman"/>
                <w:sz w:val="24"/>
                <w:szCs w:val="24"/>
              </w:rPr>
              <w:t>nfair for compliant taxpayers as the financial cost of a taxpayer’s non-compliance has been completely removed. There is no penalty imposed on taxp</w:t>
            </w:r>
            <w:r w:rsidR="004E48C5">
              <w:rPr>
                <w:rFonts w:ascii="Times New Roman" w:hAnsi="Times New Roman" w:cs="Times New Roman"/>
                <w:sz w:val="24"/>
                <w:szCs w:val="24"/>
              </w:rPr>
              <w:t xml:space="preserve">ayers that do not pay on time. </w:t>
            </w:r>
          </w:p>
          <w:p w:rsidR="004E48C5" w:rsidRPr="00D3113A" w:rsidRDefault="004E48C5" w:rsidP="00D3113A">
            <w:pPr>
              <w:jc w:val="both"/>
              <w:rPr>
                <w:rFonts w:ascii="Times New Roman" w:hAnsi="Times New Roman" w:cs="Times New Roman"/>
                <w:sz w:val="24"/>
                <w:szCs w:val="24"/>
              </w:rPr>
            </w:pPr>
          </w:p>
        </w:tc>
        <w:tc>
          <w:tcPr>
            <w:tcW w:w="2976" w:type="dxa"/>
          </w:tcPr>
          <w:p w:rsidR="004E48C5" w:rsidRPr="00D3113A" w:rsidRDefault="000E4628" w:rsidP="00D3113A">
            <w:pPr>
              <w:jc w:val="both"/>
              <w:rPr>
                <w:rFonts w:ascii="Times New Roman" w:hAnsi="Times New Roman" w:cs="Times New Roman"/>
                <w:sz w:val="24"/>
                <w:szCs w:val="24"/>
              </w:rPr>
            </w:pPr>
            <w:r>
              <w:rPr>
                <w:rFonts w:ascii="Times New Roman" w:hAnsi="Times New Roman" w:cs="Times New Roman"/>
                <w:sz w:val="24"/>
                <w:szCs w:val="24"/>
              </w:rPr>
              <w:t>N</w:t>
            </w:r>
            <w:r w:rsidR="004E48C5" w:rsidRPr="00D3113A">
              <w:rPr>
                <w:rFonts w:ascii="Times New Roman" w:hAnsi="Times New Roman" w:cs="Times New Roman"/>
                <w:sz w:val="24"/>
                <w:szCs w:val="24"/>
              </w:rPr>
              <w:t>ot met</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Reduced compliance impact as taxpayers will have reduced growth in their tax debt. However overall, the compliance impact may increase as indebted taxpayers will have more interaction with Inland Revenue as Inland Revenue make greater attempts to encourage </w:t>
            </w:r>
            <w:r w:rsidR="00E02F2A">
              <w:rPr>
                <w:rFonts w:ascii="Times New Roman" w:hAnsi="Times New Roman" w:cs="Times New Roman"/>
                <w:sz w:val="24"/>
                <w:szCs w:val="24"/>
              </w:rPr>
              <w:t>them</w:t>
            </w:r>
            <w:r w:rsidRPr="00D3113A">
              <w:rPr>
                <w:rFonts w:ascii="Times New Roman" w:hAnsi="Times New Roman" w:cs="Times New Roman"/>
                <w:sz w:val="24"/>
                <w:szCs w:val="24"/>
              </w:rPr>
              <w:t xml:space="preserve"> to pay the tax debt. </w:t>
            </w:r>
          </w:p>
          <w:p w:rsidR="004E48C5" w:rsidRPr="00D3113A" w:rsidRDefault="004E48C5" w:rsidP="00D3113A">
            <w:pPr>
              <w:jc w:val="both"/>
              <w:rPr>
                <w:rFonts w:ascii="Times New Roman" w:hAnsi="Times New Roman" w:cs="Times New Roman"/>
                <w:sz w:val="24"/>
                <w:szCs w:val="24"/>
              </w:rPr>
            </w:pPr>
          </w:p>
          <w:p w:rsidR="004E48C5" w:rsidRPr="00D3113A" w:rsidRDefault="004E48C5" w:rsidP="00BD67A4">
            <w:pPr>
              <w:jc w:val="both"/>
              <w:rPr>
                <w:rFonts w:ascii="Times New Roman" w:hAnsi="Times New Roman" w:cs="Times New Roman"/>
                <w:sz w:val="24"/>
                <w:szCs w:val="24"/>
              </w:rPr>
            </w:pPr>
            <w:r w:rsidRPr="00D3113A">
              <w:rPr>
                <w:rFonts w:ascii="Times New Roman" w:hAnsi="Times New Roman" w:cs="Times New Roman"/>
                <w:sz w:val="24"/>
                <w:szCs w:val="24"/>
              </w:rPr>
              <w:t>Likely increase in Inland Revenue’s administration and enforcement costs due to an increase in total tax debt be</w:t>
            </w:r>
            <w:r>
              <w:rPr>
                <w:rFonts w:ascii="Times New Roman" w:hAnsi="Times New Roman" w:cs="Times New Roman"/>
                <w:sz w:val="24"/>
                <w:szCs w:val="24"/>
              </w:rPr>
              <w:t xml:space="preserve">ing managed. </w:t>
            </w:r>
          </w:p>
        </w:tc>
        <w:tc>
          <w:tcPr>
            <w:tcW w:w="2694" w:type="dxa"/>
          </w:tcPr>
          <w:p w:rsidR="004E48C5" w:rsidRPr="00D3113A" w:rsidRDefault="000E4628" w:rsidP="00D3113A">
            <w:pPr>
              <w:jc w:val="both"/>
              <w:rPr>
                <w:rFonts w:ascii="Times New Roman" w:hAnsi="Times New Roman" w:cs="Times New Roman"/>
                <w:sz w:val="24"/>
                <w:szCs w:val="24"/>
              </w:rPr>
            </w:pPr>
            <w:r>
              <w:rPr>
                <w:rFonts w:ascii="Times New Roman" w:hAnsi="Times New Roman" w:cs="Times New Roman"/>
                <w:sz w:val="24"/>
                <w:szCs w:val="24"/>
              </w:rPr>
              <w:t>N</w:t>
            </w:r>
            <w:r w:rsidR="004E48C5" w:rsidRPr="00D3113A">
              <w:rPr>
                <w:rFonts w:ascii="Times New Roman" w:hAnsi="Times New Roman" w:cs="Times New Roman"/>
                <w:sz w:val="24"/>
                <w:szCs w:val="24"/>
              </w:rPr>
              <w:t>ot met</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A </w:t>
            </w:r>
            <w:proofErr w:type="spellStart"/>
            <w:r w:rsidRPr="00D3113A">
              <w:rPr>
                <w:rFonts w:ascii="Times New Roman" w:hAnsi="Times New Roman" w:cs="Times New Roman"/>
                <w:sz w:val="24"/>
                <w:szCs w:val="24"/>
              </w:rPr>
              <w:t>UOMI</w:t>
            </w:r>
            <w:proofErr w:type="spellEnd"/>
            <w:r w:rsidRPr="00D3113A">
              <w:rPr>
                <w:rFonts w:ascii="Times New Roman" w:hAnsi="Times New Roman" w:cs="Times New Roman"/>
                <w:sz w:val="24"/>
                <w:szCs w:val="24"/>
              </w:rPr>
              <w:t xml:space="preserve"> only rate may lead to some compliant taxpayers deciding that it is financial justification to pay other creditors instead of Inland Revenue and thus become non-compliant.</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The lack of a penalty for non-compliance would likely lead to an erosion of taxpayer confidence in the integrity of the tax system, as compliant taxpayers will perceive that non-compliant taxpayers are not being penalised. </w:t>
            </w:r>
          </w:p>
        </w:tc>
        <w:tc>
          <w:tcPr>
            <w:tcW w:w="2259" w:type="dxa"/>
          </w:tcPr>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This option would have a higher cost than the recommended option. This makes this option less viable for the government. </w:t>
            </w:r>
          </w:p>
        </w:tc>
      </w:tr>
      <w:tr w:rsidR="004E48C5" w:rsidRPr="00D3113A" w:rsidTr="004E48C5">
        <w:trPr>
          <w:trHeight w:val="244"/>
        </w:trPr>
        <w:tc>
          <w:tcPr>
            <w:tcW w:w="1809" w:type="dxa"/>
          </w:tcPr>
          <w:p w:rsidR="004E48C5" w:rsidRPr="00420D8B" w:rsidRDefault="00732160" w:rsidP="00586051">
            <w:pPr>
              <w:contextualSpacing/>
              <w:jc w:val="both"/>
              <w:rPr>
                <w:rFonts w:ascii="Times New Roman" w:hAnsi="Times New Roman" w:cs="Times New Roman"/>
                <w:sz w:val="24"/>
                <w:szCs w:val="24"/>
              </w:rPr>
            </w:pPr>
            <w:r>
              <w:rPr>
                <w:rFonts w:ascii="Times New Roman" w:hAnsi="Times New Roman" w:cs="Times New Roman"/>
                <w:sz w:val="24"/>
                <w:szCs w:val="24"/>
              </w:rPr>
              <w:t>5</w:t>
            </w:r>
            <w:r w:rsidR="00FD7D47" w:rsidRPr="00420D8B">
              <w:rPr>
                <w:rFonts w:ascii="Times New Roman" w:hAnsi="Times New Roman" w:cs="Times New Roman"/>
                <w:sz w:val="24"/>
                <w:szCs w:val="24"/>
              </w:rPr>
              <w:t xml:space="preserve">. </w:t>
            </w:r>
            <w:r w:rsidR="00586051">
              <w:rPr>
                <w:rFonts w:ascii="Times New Roman" w:hAnsi="Times New Roman" w:cs="Times New Roman"/>
                <w:sz w:val="24"/>
                <w:szCs w:val="24"/>
              </w:rPr>
              <w:t>Broad discretion to impose penalties based on individual circumstances</w:t>
            </w:r>
            <w:r w:rsidR="004E48C5" w:rsidRPr="00420D8B">
              <w:rPr>
                <w:rFonts w:ascii="Times New Roman" w:hAnsi="Times New Roman" w:cs="Times New Roman"/>
                <w:sz w:val="24"/>
                <w:szCs w:val="24"/>
              </w:rPr>
              <w:t xml:space="preserve"> </w:t>
            </w:r>
          </w:p>
        </w:tc>
        <w:tc>
          <w:tcPr>
            <w:tcW w:w="3686" w:type="dxa"/>
          </w:tcPr>
          <w:p w:rsidR="004E48C5" w:rsidRPr="00D3113A" w:rsidRDefault="00BD67A4" w:rsidP="00D3113A">
            <w:pPr>
              <w:jc w:val="both"/>
              <w:rPr>
                <w:rFonts w:ascii="Times New Roman" w:hAnsi="Times New Roman" w:cs="Times New Roman"/>
                <w:sz w:val="24"/>
                <w:szCs w:val="24"/>
              </w:rPr>
            </w:pPr>
            <w:r>
              <w:rPr>
                <w:rFonts w:ascii="Times New Roman" w:hAnsi="Times New Roman" w:cs="Times New Roman"/>
                <w:sz w:val="24"/>
                <w:szCs w:val="24"/>
              </w:rPr>
              <w:t>N</w:t>
            </w:r>
            <w:r w:rsidR="004E48C5" w:rsidRPr="00D3113A">
              <w:rPr>
                <w:rFonts w:ascii="Times New Roman" w:hAnsi="Times New Roman" w:cs="Times New Roman"/>
                <w:sz w:val="24"/>
                <w:szCs w:val="24"/>
              </w:rPr>
              <w:t>ot met</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Due to the level of subjectivity in the decision making process, it is highly unlikely Inland Revenue will be able to ensure consistency in decisions. Over time this </w:t>
            </w:r>
            <w:r w:rsidR="00444282">
              <w:rPr>
                <w:rFonts w:ascii="Times New Roman" w:hAnsi="Times New Roman" w:cs="Times New Roman"/>
                <w:sz w:val="24"/>
                <w:szCs w:val="24"/>
              </w:rPr>
              <w:t>could</w:t>
            </w:r>
            <w:r w:rsidR="00444282" w:rsidRPr="00D3113A">
              <w:rPr>
                <w:rFonts w:ascii="Times New Roman" w:hAnsi="Times New Roman" w:cs="Times New Roman"/>
                <w:sz w:val="24"/>
                <w:szCs w:val="24"/>
              </w:rPr>
              <w:t xml:space="preserve"> </w:t>
            </w:r>
            <w:r w:rsidRPr="00D3113A">
              <w:rPr>
                <w:rFonts w:ascii="Times New Roman" w:hAnsi="Times New Roman" w:cs="Times New Roman"/>
                <w:sz w:val="24"/>
                <w:szCs w:val="24"/>
              </w:rPr>
              <w:t xml:space="preserve">give rise to significant </w:t>
            </w:r>
            <w:r w:rsidR="00EC2A6B">
              <w:rPr>
                <w:rFonts w:ascii="Times New Roman" w:hAnsi="Times New Roman" w:cs="Times New Roman"/>
                <w:sz w:val="24"/>
                <w:szCs w:val="24"/>
              </w:rPr>
              <w:t>differences</w:t>
            </w:r>
            <w:r w:rsidRPr="00D3113A">
              <w:rPr>
                <w:rFonts w:ascii="Times New Roman" w:hAnsi="Times New Roman" w:cs="Times New Roman"/>
                <w:sz w:val="24"/>
                <w:szCs w:val="24"/>
              </w:rPr>
              <w:t xml:space="preserve"> in treatment between taxpayers in similar circumstances.    </w:t>
            </w:r>
          </w:p>
          <w:p w:rsidR="004E48C5" w:rsidRPr="00D3113A" w:rsidRDefault="004E48C5" w:rsidP="00D3113A">
            <w:pPr>
              <w:jc w:val="both"/>
              <w:rPr>
                <w:rFonts w:ascii="Times New Roman" w:hAnsi="Times New Roman" w:cs="Times New Roman"/>
                <w:sz w:val="24"/>
                <w:szCs w:val="24"/>
              </w:rPr>
            </w:pPr>
          </w:p>
          <w:p w:rsidR="004E48C5" w:rsidRPr="00D3113A" w:rsidRDefault="004E48C5" w:rsidP="00EC2A6B">
            <w:pPr>
              <w:jc w:val="both"/>
              <w:rPr>
                <w:rFonts w:ascii="Times New Roman" w:hAnsi="Times New Roman" w:cs="Times New Roman"/>
                <w:sz w:val="24"/>
                <w:szCs w:val="24"/>
              </w:rPr>
            </w:pPr>
            <w:r w:rsidRPr="00D3113A">
              <w:rPr>
                <w:rFonts w:ascii="Times New Roman" w:hAnsi="Times New Roman" w:cs="Times New Roman"/>
                <w:sz w:val="24"/>
                <w:szCs w:val="24"/>
              </w:rPr>
              <w:t xml:space="preserve">Taxpayers </w:t>
            </w:r>
            <w:r w:rsidR="00EC2A6B">
              <w:rPr>
                <w:rFonts w:ascii="Times New Roman" w:hAnsi="Times New Roman" w:cs="Times New Roman"/>
                <w:sz w:val="24"/>
                <w:szCs w:val="24"/>
              </w:rPr>
              <w:t>with</w:t>
            </w:r>
            <w:r w:rsidRPr="00D3113A">
              <w:rPr>
                <w:rFonts w:ascii="Times New Roman" w:hAnsi="Times New Roman" w:cs="Times New Roman"/>
                <w:sz w:val="24"/>
                <w:szCs w:val="24"/>
              </w:rPr>
              <w:t xml:space="preserve"> more knowledge of the tax system would be more likely to be successful in not having </w:t>
            </w:r>
            <w:r>
              <w:rPr>
                <w:rFonts w:ascii="Times New Roman" w:hAnsi="Times New Roman" w:cs="Times New Roman"/>
                <w:sz w:val="24"/>
                <w:szCs w:val="24"/>
              </w:rPr>
              <w:t>a late payment penalty imposed.</w:t>
            </w:r>
          </w:p>
        </w:tc>
        <w:tc>
          <w:tcPr>
            <w:tcW w:w="2976" w:type="dxa"/>
          </w:tcPr>
          <w:p w:rsidR="004E48C5" w:rsidRPr="00D3113A" w:rsidRDefault="00BD67A4" w:rsidP="00D3113A">
            <w:pPr>
              <w:jc w:val="both"/>
              <w:rPr>
                <w:rFonts w:ascii="Times New Roman" w:hAnsi="Times New Roman" w:cs="Times New Roman"/>
                <w:sz w:val="24"/>
                <w:szCs w:val="24"/>
              </w:rPr>
            </w:pPr>
            <w:r>
              <w:rPr>
                <w:rFonts w:ascii="Times New Roman" w:hAnsi="Times New Roman" w:cs="Times New Roman"/>
                <w:sz w:val="24"/>
                <w:szCs w:val="24"/>
              </w:rPr>
              <w:t>N</w:t>
            </w:r>
            <w:r w:rsidR="004E48C5" w:rsidRPr="00D3113A">
              <w:rPr>
                <w:rFonts w:ascii="Times New Roman" w:hAnsi="Times New Roman" w:cs="Times New Roman"/>
                <w:sz w:val="24"/>
                <w:szCs w:val="24"/>
              </w:rPr>
              <w:t>ot met</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Taxpayers will incur higher compliance costs with increased contact with Inland Revenue to discuss their non-compliance and to establish the value of the financial penalty. </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Very complex to understand and to implement. High administration costs to Inland Revenue.</w:t>
            </w:r>
          </w:p>
        </w:tc>
        <w:tc>
          <w:tcPr>
            <w:tcW w:w="2694" w:type="dxa"/>
          </w:tcPr>
          <w:p w:rsidR="004E48C5" w:rsidRPr="00D3113A" w:rsidRDefault="00BD67A4" w:rsidP="00D3113A">
            <w:pPr>
              <w:jc w:val="both"/>
              <w:rPr>
                <w:rFonts w:ascii="Times New Roman" w:hAnsi="Times New Roman" w:cs="Times New Roman"/>
                <w:sz w:val="24"/>
                <w:szCs w:val="24"/>
              </w:rPr>
            </w:pPr>
            <w:r>
              <w:rPr>
                <w:rFonts w:ascii="Times New Roman" w:hAnsi="Times New Roman" w:cs="Times New Roman"/>
                <w:sz w:val="24"/>
                <w:szCs w:val="24"/>
              </w:rPr>
              <w:t>N</w:t>
            </w:r>
            <w:r w:rsidR="004E48C5" w:rsidRPr="00D3113A">
              <w:rPr>
                <w:rFonts w:ascii="Times New Roman" w:hAnsi="Times New Roman" w:cs="Times New Roman"/>
                <w:sz w:val="24"/>
                <w:szCs w:val="24"/>
              </w:rPr>
              <w:t>ot met</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This option rewards taxpayers that successfully evade Inland Revenue.</w:t>
            </w:r>
          </w:p>
          <w:p w:rsidR="004E48C5" w:rsidRPr="00D3113A" w:rsidRDefault="004E48C5" w:rsidP="00D3113A">
            <w:pPr>
              <w:jc w:val="both"/>
              <w:rPr>
                <w:rFonts w:ascii="Times New Roman" w:hAnsi="Times New Roman" w:cs="Times New Roman"/>
                <w:sz w:val="24"/>
                <w:szCs w:val="24"/>
              </w:rPr>
            </w:pPr>
          </w:p>
          <w:p w:rsidR="004E48C5" w:rsidRPr="00D3113A" w:rsidRDefault="004E48C5" w:rsidP="00D3113A">
            <w:pPr>
              <w:jc w:val="both"/>
              <w:rPr>
                <w:rFonts w:ascii="Times New Roman" w:hAnsi="Times New Roman" w:cs="Times New Roman"/>
                <w:sz w:val="24"/>
                <w:szCs w:val="24"/>
              </w:rPr>
            </w:pPr>
            <w:r w:rsidRPr="00D3113A">
              <w:rPr>
                <w:rFonts w:ascii="Times New Roman" w:hAnsi="Times New Roman" w:cs="Times New Roman"/>
                <w:sz w:val="24"/>
                <w:szCs w:val="24"/>
              </w:rPr>
              <w:t xml:space="preserve">Unfairness in treatment will lead to taxpayers losing confidence in the integrity of the tax system and its administration by Inland Revenue. </w:t>
            </w:r>
          </w:p>
        </w:tc>
        <w:tc>
          <w:tcPr>
            <w:tcW w:w="2259" w:type="dxa"/>
          </w:tcPr>
          <w:p w:rsidR="004E48C5" w:rsidRPr="00D3113A" w:rsidRDefault="004E48C5" w:rsidP="00334B6B">
            <w:pPr>
              <w:jc w:val="both"/>
              <w:rPr>
                <w:rFonts w:ascii="Times New Roman" w:hAnsi="Times New Roman" w:cs="Times New Roman"/>
                <w:sz w:val="24"/>
                <w:szCs w:val="24"/>
              </w:rPr>
            </w:pPr>
            <w:r w:rsidRPr="00D3113A">
              <w:rPr>
                <w:rFonts w:ascii="Times New Roman" w:hAnsi="Times New Roman" w:cs="Times New Roman"/>
                <w:sz w:val="24"/>
                <w:szCs w:val="24"/>
              </w:rPr>
              <w:t>The impact is difficult to measure as it relies on subjectivity. Therefore it is not possible to estimate</w:t>
            </w:r>
            <w:r w:rsidR="00BD67A4">
              <w:rPr>
                <w:rFonts w:ascii="Times New Roman" w:hAnsi="Times New Roman" w:cs="Times New Roman"/>
                <w:sz w:val="24"/>
                <w:szCs w:val="24"/>
              </w:rPr>
              <w:t xml:space="preserve"> its fiscal impacts</w:t>
            </w:r>
            <w:r w:rsidRPr="00D3113A">
              <w:rPr>
                <w:rFonts w:ascii="Times New Roman" w:hAnsi="Times New Roman" w:cs="Times New Roman"/>
                <w:sz w:val="24"/>
                <w:szCs w:val="24"/>
              </w:rPr>
              <w:t xml:space="preserve">. </w:t>
            </w:r>
          </w:p>
        </w:tc>
      </w:tr>
    </w:tbl>
    <w:p w:rsidR="00D3113A" w:rsidRPr="00D3113A" w:rsidRDefault="00D3113A" w:rsidP="00D3113A">
      <w:pPr>
        <w:spacing w:after="0" w:line="240" w:lineRule="auto"/>
        <w:jc w:val="both"/>
        <w:rPr>
          <w:rFonts w:ascii="Times New Roman" w:hAnsi="Times New Roman" w:cs="Times New Roman"/>
          <w:sz w:val="24"/>
          <w:szCs w:val="24"/>
        </w:rPr>
        <w:sectPr w:rsidR="00D3113A" w:rsidRPr="00D3113A" w:rsidSect="00D3113A">
          <w:pgSz w:w="16838" w:h="11906" w:orient="landscape"/>
          <w:pgMar w:top="720" w:right="720" w:bottom="720" w:left="720" w:header="709" w:footer="709" w:gutter="0"/>
          <w:cols w:space="708"/>
          <w:docGrid w:linePitch="360"/>
        </w:sectPr>
      </w:pPr>
    </w:p>
    <w:p w:rsidR="00D3113A" w:rsidRPr="00F14255" w:rsidRDefault="00D3113A" w:rsidP="00D3113A">
      <w:pPr>
        <w:spacing w:after="0" w:line="240" w:lineRule="auto"/>
        <w:jc w:val="both"/>
        <w:rPr>
          <w:rFonts w:ascii="Times New Roman" w:hAnsi="Times New Roman" w:cs="Times New Roman"/>
          <w:b/>
          <w:i/>
          <w:sz w:val="24"/>
          <w:szCs w:val="24"/>
        </w:rPr>
      </w:pPr>
      <w:r w:rsidRPr="00F14255">
        <w:rPr>
          <w:rFonts w:ascii="Times New Roman" w:hAnsi="Times New Roman" w:cs="Times New Roman"/>
          <w:b/>
          <w:i/>
          <w:sz w:val="24"/>
          <w:szCs w:val="24"/>
        </w:rPr>
        <w:t>Consultation</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D3113A" w:rsidRDefault="00F14255" w:rsidP="00D311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Officials have c</w:t>
      </w:r>
      <w:r w:rsidR="00D3113A" w:rsidRPr="00D3113A">
        <w:rPr>
          <w:rFonts w:ascii="Times New Roman" w:hAnsi="Times New Roman" w:cs="Times New Roman"/>
          <w:sz w:val="24"/>
          <w:szCs w:val="24"/>
        </w:rPr>
        <w:t xml:space="preserve">onsulted with key insolvency practitioners within </w:t>
      </w:r>
      <w:r w:rsidR="00354145">
        <w:rPr>
          <w:rFonts w:ascii="Times New Roman" w:hAnsi="Times New Roman" w:cs="Times New Roman"/>
          <w:sz w:val="24"/>
          <w:szCs w:val="24"/>
        </w:rPr>
        <w:t xml:space="preserve">the </w:t>
      </w:r>
      <w:r w:rsidR="00D3113A" w:rsidRPr="00D3113A">
        <w:rPr>
          <w:rFonts w:ascii="Times New Roman" w:hAnsi="Times New Roman" w:cs="Times New Roman"/>
          <w:sz w:val="24"/>
          <w:szCs w:val="24"/>
        </w:rPr>
        <w:t xml:space="preserve">large accounting firms, Chartered Accountants Australia and New Zealand, Business New Zealand, </w:t>
      </w:r>
      <w:r w:rsidR="003D12E5">
        <w:rPr>
          <w:rFonts w:ascii="Times New Roman" w:hAnsi="Times New Roman" w:cs="Times New Roman"/>
          <w:sz w:val="24"/>
          <w:szCs w:val="24"/>
        </w:rPr>
        <w:t>and the Corporate Taxpayers Group.</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D3113A" w:rsidRDefault="00D3113A" w:rsidP="00D3113A">
      <w:pPr>
        <w:spacing w:after="0" w:line="240" w:lineRule="auto"/>
        <w:jc w:val="both"/>
        <w:rPr>
          <w:rFonts w:ascii="Times New Roman" w:hAnsi="Times New Roman" w:cs="Times New Roman"/>
          <w:sz w:val="24"/>
          <w:szCs w:val="24"/>
        </w:rPr>
      </w:pPr>
      <w:r w:rsidRPr="00D3113A">
        <w:rPr>
          <w:rFonts w:ascii="Times New Roman" w:hAnsi="Times New Roman" w:cs="Times New Roman"/>
          <w:sz w:val="24"/>
          <w:szCs w:val="24"/>
        </w:rPr>
        <w:t>These groups were generally supportive of the preferred options, as the recommended changes will result in a late payment penalty that is more fairly set and imposed</w:t>
      </w:r>
      <w:r w:rsidR="003D12E5">
        <w:rPr>
          <w:rFonts w:ascii="Times New Roman" w:hAnsi="Times New Roman" w:cs="Times New Roman"/>
          <w:sz w:val="24"/>
          <w:szCs w:val="24"/>
        </w:rPr>
        <w:t>.</w:t>
      </w:r>
    </w:p>
    <w:p w:rsidR="00D3113A" w:rsidRPr="00D3113A" w:rsidRDefault="00D3113A" w:rsidP="00D3113A">
      <w:pPr>
        <w:spacing w:after="0" w:line="240" w:lineRule="auto"/>
        <w:jc w:val="both"/>
        <w:rPr>
          <w:rFonts w:ascii="Times New Roman" w:hAnsi="Times New Roman" w:cs="Times New Roman"/>
          <w:sz w:val="24"/>
          <w:szCs w:val="24"/>
        </w:rPr>
      </w:pPr>
    </w:p>
    <w:p w:rsidR="00D3113A" w:rsidRPr="00F14255" w:rsidRDefault="00D56B23" w:rsidP="002D0AC2">
      <w:pPr>
        <w:pStyle w:val="Heading3"/>
      </w:pPr>
      <w:bookmarkStart w:id="26" w:name="_Toc444145613"/>
      <w:r>
        <w:t>R</w:t>
      </w:r>
      <w:r w:rsidR="00D3113A" w:rsidRPr="00F14255">
        <w:t>ecommendations</w:t>
      </w:r>
      <w:bookmarkEnd w:id="26"/>
    </w:p>
    <w:p w:rsidR="00D3113A" w:rsidRPr="00D3113A" w:rsidRDefault="00D3113A" w:rsidP="00D3113A">
      <w:pPr>
        <w:spacing w:after="0" w:line="240" w:lineRule="auto"/>
        <w:jc w:val="both"/>
        <w:rPr>
          <w:rFonts w:ascii="Times New Roman" w:hAnsi="Times New Roman" w:cs="Times New Roman"/>
          <w:sz w:val="24"/>
          <w:szCs w:val="24"/>
        </w:rPr>
      </w:pPr>
    </w:p>
    <w:p w:rsidR="008B1609" w:rsidRPr="00350B5C" w:rsidRDefault="00D3113A" w:rsidP="008D31DB">
      <w:pPr>
        <w:pStyle w:val="ListParagraph"/>
        <w:spacing w:after="0" w:line="240" w:lineRule="auto"/>
        <w:ind w:left="0"/>
        <w:jc w:val="both"/>
        <w:rPr>
          <w:rFonts w:ascii="Times New Roman" w:hAnsi="Times New Roman" w:cs="Times New Roman"/>
          <w:sz w:val="24"/>
          <w:szCs w:val="24"/>
        </w:rPr>
      </w:pPr>
      <w:r w:rsidRPr="00D3113A">
        <w:rPr>
          <w:rFonts w:ascii="Times New Roman" w:hAnsi="Times New Roman" w:cs="Times New Roman"/>
          <w:sz w:val="24"/>
          <w:szCs w:val="24"/>
        </w:rPr>
        <w:t>Officials recommend option 3 - remove the 1% incremental late payment penalty. This will reduce the combined penalty and interest rate to a more sustainable level and over time will reduce the amount of unrecoverable late payment penalties in the debt book. This option continues to incentivise taxpayers to pay on the due date by continuing with the initial late payment penalty. This will also ensure that compliant taxpayers will continue to see non-compliant taxpayers be</w:t>
      </w:r>
      <w:r w:rsidR="00A32947">
        <w:rPr>
          <w:rFonts w:ascii="Times New Roman" w:hAnsi="Times New Roman" w:cs="Times New Roman"/>
          <w:sz w:val="24"/>
          <w:szCs w:val="24"/>
        </w:rPr>
        <w:t>ing</w:t>
      </w:r>
      <w:r w:rsidRPr="00D3113A">
        <w:rPr>
          <w:rFonts w:ascii="Times New Roman" w:hAnsi="Times New Roman" w:cs="Times New Roman"/>
          <w:sz w:val="24"/>
          <w:szCs w:val="24"/>
        </w:rPr>
        <w:t xml:space="preserve"> penali</w:t>
      </w:r>
      <w:r w:rsidR="00A32947">
        <w:rPr>
          <w:rFonts w:ascii="Times New Roman" w:hAnsi="Times New Roman" w:cs="Times New Roman"/>
          <w:sz w:val="24"/>
          <w:szCs w:val="24"/>
        </w:rPr>
        <w:t>sed for failing to pay on time.</w:t>
      </w:r>
      <w:r w:rsidR="008B1609">
        <w:rPr>
          <w:rFonts w:ascii="Times New Roman" w:hAnsi="Times New Roman" w:cs="Times New Roman"/>
          <w:sz w:val="24"/>
          <w:szCs w:val="24"/>
        </w:rPr>
        <w:t xml:space="preserve"> </w:t>
      </w:r>
    </w:p>
    <w:p w:rsidR="00D3113A" w:rsidRPr="00D3113A" w:rsidRDefault="00D3113A" w:rsidP="00D3113A">
      <w:pPr>
        <w:spacing w:after="0" w:line="240" w:lineRule="auto"/>
        <w:jc w:val="both"/>
        <w:rPr>
          <w:rFonts w:ascii="Times New Roman" w:hAnsi="Times New Roman" w:cs="Times New Roman"/>
          <w:sz w:val="24"/>
          <w:szCs w:val="24"/>
        </w:rPr>
      </w:pPr>
    </w:p>
    <w:p w:rsidR="00D3113A" w:rsidRDefault="00D3113A" w:rsidP="00D3113A">
      <w:pPr>
        <w:spacing w:after="0" w:line="240" w:lineRule="auto"/>
        <w:jc w:val="both"/>
        <w:rPr>
          <w:rFonts w:ascii="Times New Roman" w:hAnsi="Times New Roman" w:cs="Times New Roman"/>
          <w:sz w:val="24"/>
          <w:szCs w:val="24"/>
        </w:rPr>
      </w:pPr>
      <w:r w:rsidRPr="00D3113A">
        <w:rPr>
          <w:rFonts w:ascii="Times New Roman" w:hAnsi="Times New Roman" w:cs="Times New Roman"/>
          <w:sz w:val="24"/>
          <w:szCs w:val="24"/>
        </w:rPr>
        <w:t>This option does remove the financial incentive for indebted taxpayers to enter into an instalment arrangement. However, the other significant benefit of an instalment arrangement remains; the certainty that while the debt is being repaid under the instalment arrangement Inland Revenue will not t</w:t>
      </w:r>
      <w:r w:rsidR="00A32947">
        <w:rPr>
          <w:rFonts w:ascii="Times New Roman" w:hAnsi="Times New Roman" w:cs="Times New Roman"/>
          <w:sz w:val="24"/>
          <w:szCs w:val="24"/>
        </w:rPr>
        <w:t xml:space="preserve">ake action to enforce the </w:t>
      </w:r>
      <w:r w:rsidR="00E02F2A">
        <w:rPr>
          <w:rFonts w:ascii="Times New Roman" w:hAnsi="Times New Roman" w:cs="Times New Roman"/>
          <w:sz w:val="24"/>
          <w:szCs w:val="24"/>
        </w:rPr>
        <w:t>it</w:t>
      </w:r>
      <w:r w:rsidR="00A32947">
        <w:rPr>
          <w:rFonts w:ascii="Times New Roman" w:hAnsi="Times New Roman" w:cs="Times New Roman"/>
          <w:sz w:val="24"/>
          <w:szCs w:val="24"/>
        </w:rPr>
        <w:t>.</w:t>
      </w:r>
    </w:p>
    <w:p w:rsidR="002B792B" w:rsidRDefault="002B792B" w:rsidP="00D3113A">
      <w:pPr>
        <w:spacing w:after="0" w:line="240" w:lineRule="auto"/>
        <w:jc w:val="both"/>
        <w:rPr>
          <w:rFonts w:ascii="Times New Roman" w:hAnsi="Times New Roman" w:cs="Times New Roman"/>
          <w:sz w:val="24"/>
          <w:szCs w:val="24"/>
        </w:rPr>
      </w:pPr>
    </w:p>
    <w:p w:rsidR="00D3113A" w:rsidRPr="00D3113A" w:rsidRDefault="002B792B" w:rsidP="00D3113A">
      <w:pPr>
        <w:spacing w:after="0" w:line="240" w:lineRule="auto"/>
        <w:jc w:val="both"/>
        <w:rPr>
          <w:rFonts w:ascii="Times New Roman" w:hAnsi="Times New Roman" w:cs="Times New Roman"/>
          <w:sz w:val="24"/>
          <w:szCs w:val="24"/>
        </w:rPr>
      </w:pPr>
      <w:proofErr w:type="gramStart"/>
      <w:r w:rsidRPr="00090647">
        <w:rPr>
          <w:rFonts w:ascii="Times New Roman" w:hAnsi="Times New Roman" w:cs="Times New Roman"/>
          <w:sz w:val="24"/>
          <w:szCs w:val="24"/>
        </w:rPr>
        <w:t xml:space="preserve">Once fully implemented option 3 will result in the incremental late payment penalty no longer being imposed on 65,000 taxpayers with income tax debt, 67,000 taxpayers with GST tax debt, and 23,000 families with Working for Families </w:t>
      </w:r>
      <w:r>
        <w:rPr>
          <w:rFonts w:ascii="Times New Roman" w:hAnsi="Times New Roman" w:cs="Times New Roman"/>
          <w:sz w:val="24"/>
          <w:szCs w:val="24"/>
        </w:rPr>
        <w:t>T</w:t>
      </w:r>
      <w:r w:rsidRPr="00090647">
        <w:rPr>
          <w:rFonts w:ascii="Times New Roman" w:hAnsi="Times New Roman" w:cs="Times New Roman"/>
          <w:sz w:val="24"/>
          <w:szCs w:val="24"/>
        </w:rPr>
        <w:t xml:space="preserve">ax </w:t>
      </w:r>
      <w:r>
        <w:rPr>
          <w:rFonts w:ascii="Times New Roman" w:hAnsi="Times New Roman" w:cs="Times New Roman"/>
          <w:sz w:val="24"/>
          <w:szCs w:val="24"/>
        </w:rPr>
        <w:t>C</w:t>
      </w:r>
      <w:r w:rsidRPr="00090647">
        <w:rPr>
          <w:rFonts w:ascii="Times New Roman" w:hAnsi="Times New Roman" w:cs="Times New Roman"/>
          <w:sz w:val="24"/>
          <w:szCs w:val="24"/>
        </w:rPr>
        <w:t>redit debt.</w:t>
      </w:r>
      <w:proofErr w:type="gramEnd"/>
    </w:p>
    <w:p w:rsidR="00677F58" w:rsidRPr="00D3113A" w:rsidRDefault="00677F58" w:rsidP="00D3113A">
      <w:pPr>
        <w:spacing w:after="0" w:line="240" w:lineRule="auto"/>
        <w:rPr>
          <w:rFonts w:ascii="Times New Roman" w:hAnsi="Times New Roman" w:cs="Times New Roman"/>
          <w:sz w:val="24"/>
          <w:szCs w:val="24"/>
        </w:rPr>
      </w:pPr>
      <w:r w:rsidRPr="00D3113A">
        <w:rPr>
          <w:rFonts w:ascii="Times New Roman" w:hAnsi="Times New Roman" w:cs="Times New Roman"/>
          <w:sz w:val="24"/>
          <w:szCs w:val="24"/>
        </w:rPr>
        <w:br w:type="page"/>
      </w:r>
    </w:p>
    <w:p w:rsidR="00E359E0" w:rsidRPr="00E359E0" w:rsidRDefault="002D0AC2" w:rsidP="002D0AC2">
      <w:pPr>
        <w:pStyle w:val="Heading1"/>
      </w:pPr>
      <w:bookmarkStart w:id="27" w:name="_Toc444145614"/>
      <w:r>
        <w:t xml:space="preserve">APPENDIX </w:t>
      </w:r>
      <w:r w:rsidR="008B1513">
        <w:t>D</w:t>
      </w:r>
      <w:r>
        <w:t xml:space="preserve"> – </w:t>
      </w:r>
      <w:r w:rsidR="00E359E0" w:rsidRPr="00E359E0">
        <w:t>MAKING MARKETS WORK BETTER</w:t>
      </w:r>
      <w:r w:rsidR="00EA1CE0">
        <w:t xml:space="preserve"> THROUGH TAX TRANSPARENCY</w:t>
      </w:r>
      <w:bookmarkEnd w:id="27"/>
      <w:r>
        <w:t xml:space="preserve"> </w:t>
      </w:r>
    </w:p>
    <w:p w:rsidR="00E359E0" w:rsidRDefault="00E359E0" w:rsidP="00E359E0">
      <w:pPr>
        <w:spacing w:after="0" w:line="240" w:lineRule="auto"/>
        <w:jc w:val="both"/>
        <w:rPr>
          <w:rFonts w:ascii="Verdana" w:hAnsi="Verdana"/>
          <w:sz w:val="20"/>
          <w:szCs w:val="20"/>
          <w:u w:val="single"/>
        </w:rPr>
      </w:pPr>
    </w:p>
    <w:p w:rsidR="00F14255" w:rsidRPr="00F14255" w:rsidRDefault="00F14255" w:rsidP="00E359E0">
      <w:pPr>
        <w:spacing w:after="0" w:line="240" w:lineRule="auto"/>
        <w:jc w:val="both"/>
        <w:rPr>
          <w:rFonts w:ascii="Times New Roman" w:hAnsi="Times New Roman" w:cs="Times New Roman"/>
          <w:b/>
          <w:i/>
          <w:sz w:val="24"/>
          <w:szCs w:val="24"/>
        </w:rPr>
      </w:pPr>
      <w:r w:rsidRPr="00F14255">
        <w:rPr>
          <w:rFonts w:ascii="Times New Roman" w:hAnsi="Times New Roman" w:cs="Times New Roman"/>
          <w:b/>
          <w:i/>
          <w:sz w:val="24"/>
          <w:szCs w:val="24"/>
        </w:rPr>
        <w:t>Status quo and problem definition</w:t>
      </w:r>
    </w:p>
    <w:p w:rsidR="00F14255" w:rsidRPr="00E359E0" w:rsidRDefault="00F14255" w:rsidP="00E359E0">
      <w:pPr>
        <w:spacing w:after="0" w:line="240" w:lineRule="auto"/>
        <w:jc w:val="both"/>
        <w:rPr>
          <w:rFonts w:ascii="Verdana" w:hAnsi="Verdana"/>
          <w:sz w:val="20"/>
          <w:szCs w:val="20"/>
          <w:u w:val="single"/>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 xml:space="preserve">Inland Revenue has extensive information collection powers. Revenue authorities tend to be granted wide powers to help them make sure all taxpayers </w:t>
      </w:r>
      <w:r w:rsidR="004B7C5D">
        <w:rPr>
          <w:rFonts w:ascii="Times New Roman" w:hAnsi="Times New Roman" w:cs="Times New Roman"/>
          <w:sz w:val="24"/>
          <w:szCs w:val="20"/>
        </w:rPr>
        <w:t>comply</w:t>
      </w:r>
      <w:r w:rsidRPr="00E359E0">
        <w:rPr>
          <w:rFonts w:ascii="Times New Roman" w:hAnsi="Times New Roman" w:cs="Times New Roman"/>
          <w:sz w:val="24"/>
          <w:szCs w:val="20"/>
        </w:rPr>
        <w:t xml:space="preserve"> with their tax obligations. As a counterbalance, these powers generally come with requirements on the revenue authority of tax secrecy. Tax secrecy has traditionally been considered necessary for promoting taxpayer compliance. Inland Revenue’s tax secrecy laws are broad</w:t>
      </w:r>
      <w:r w:rsidR="00EA1CE0">
        <w:rPr>
          <w:rFonts w:ascii="Times New Roman" w:hAnsi="Times New Roman" w:cs="Times New Roman"/>
          <w:sz w:val="24"/>
          <w:szCs w:val="20"/>
        </w:rPr>
        <w:t>,</w:t>
      </w:r>
      <w:r w:rsidRPr="00E359E0">
        <w:rPr>
          <w:rFonts w:ascii="Times New Roman" w:hAnsi="Times New Roman" w:cs="Times New Roman"/>
          <w:sz w:val="24"/>
          <w:szCs w:val="20"/>
          <w:vertAlign w:val="superscript"/>
        </w:rPr>
        <w:footnoteReference w:id="7"/>
      </w:r>
      <w:r w:rsidRPr="00E359E0">
        <w:rPr>
          <w:rFonts w:ascii="Times New Roman" w:hAnsi="Times New Roman" w:cs="Times New Roman"/>
          <w:sz w:val="24"/>
          <w:szCs w:val="20"/>
        </w:rPr>
        <w:t xml:space="preserve"> covering all matters relating to legislation administered by Inland Revenue. Communication of these matters is not normally permitted other than for the purpose of carrying into effect that legislation. </w:t>
      </w:r>
    </w:p>
    <w:p w:rsidR="00E359E0" w:rsidRPr="00E359E0" w:rsidRDefault="00E359E0"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 xml:space="preserve">Over time </w:t>
      </w:r>
      <w:r w:rsidR="00EA1CE0">
        <w:rPr>
          <w:rFonts w:ascii="Times New Roman" w:hAnsi="Times New Roman" w:cs="Times New Roman"/>
          <w:sz w:val="24"/>
          <w:szCs w:val="20"/>
        </w:rPr>
        <w:t xml:space="preserve">exceptions have been made to </w:t>
      </w:r>
      <w:r w:rsidRPr="00E359E0">
        <w:rPr>
          <w:rFonts w:ascii="Times New Roman" w:hAnsi="Times New Roman" w:cs="Times New Roman"/>
          <w:sz w:val="24"/>
          <w:szCs w:val="20"/>
        </w:rPr>
        <w:t>this strict rule, the majority of which involve cross-government information sharing.</w:t>
      </w:r>
      <w:r w:rsidRPr="00E359E0">
        <w:rPr>
          <w:rFonts w:ascii="Times New Roman" w:eastAsia="Times New Roman" w:hAnsi="Times New Roman" w:cs="Times New Roman"/>
          <w:sz w:val="32"/>
          <w:szCs w:val="20"/>
          <w:lang w:eastAsia="en-AU"/>
        </w:rPr>
        <w:t xml:space="preserve"> </w:t>
      </w:r>
      <w:r w:rsidRPr="00E359E0">
        <w:rPr>
          <w:rFonts w:ascii="Times New Roman" w:hAnsi="Times New Roman" w:cs="Times New Roman"/>
          <w:sz w:val="24"/>
          <w:szCs w:val="20"/>
        </w:rPr>
        <w:t xml:space="preserve">These exceptions reflect the weighing of principles of tax secrecy against the need to support economic efficiency and growth, and wider government outcomes. </w:t>
      </w:r>
    </w:p>
    <w:p w:rsidR="00E359E0" w:rsidRPr="00E359E0" w:rsidRDefault="00E359E0"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 xml:space="preserve">There are at least two areas where Inland Revenue does not currently have the power to share tax secret information, and where the sharing of this information would support economic efficiency. Specifically, there are opportunities to better inform and protect New Zealand’s business community from risks associated with its non-compliant participants.  </w:t>
      </w:r>
    </w:p>
    <w:p w:rsidR="00E359E0" w:rsidRPr="00E359E0" w:rsidRDefault="00E359E0"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b/>
          <w:i/>
          <w:sz w:val="24"/>
          <w:szCs w:val="20"/>
        </w:rPr>
      </w:pPr>
      <w:r w:rsidRPr="00E359E0">
        <w:rPr>
          <w:rFonts w:ascii="Times New Roman" w:hAnsi="Times New Roman" w:cs="Times New Roman"/>
          <w:b/>
          <w:i/>
          <w:sz w:val="24"/>
          <w:szCs w:val="20"/>
        </w:rPr>
        <w:t>Significant tax debt</w:t>
      </w:r>
    </w:p>
    <w:p w:rsidR="00E359E0" w:rsidRPr="00E359E0" w:rsidRDefault="00E359E0" w:rsidP="00E359E0">
      <w:pPr>
        <w:spacing w:after="0" w:line="240" w:lineRule="auto"/>
        <w:jc w:val="both"/>
        <w:rPr>
          <w:rFonts w:ascii="Times New Roman" w:hAnsi="Times New Roman" w:cs="Times New Roman"/>
          <w:i/>
          <w:sz w:val="24"/>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 xml:space="preserve">Information about tax debt is tax secret. Inland Revenue does not disclose information about a taxpayer’s tax debt to others, except where a claim is lodged in court for recovery of the debt.  </w:t>
      </w:r>
    </w:p>
    <w:p w:rsidR="00E359E0" w:rsidRPr="00E359E0" w:rsidRDefault="00E359E0"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 xml:space="preserve">However, there is arguably little difference between a tax debt and any other debt a taxpayer may have, especially in the context of risk posed to an indebted business’s creditors. While unpaid tax is owed to the Crown as opposed to another business, it remains a debt with a corresponding repayment obligation on the non-compliant taxpayer and will attract interest (and potentially penalties) so long as it remains outstanding. </w:t>
      </w:r>
    </w:p>
    <w:p w:rsidR="00E359E0" w:rsidRPr="00E359E0" w:rsidRDefault="00E359E0"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 xml:space="preserve">Mechanisms exist to facilitate creditors’ and potential creditors’ understanding of a business’s creditworthiness in relation to commercial debt. The lack of visibility of tax debt can have a significant impact on other businesses that have made credit decisions without full information, especially if the business with tax debt collapses and these other businesses are unsecured creditors. </w:t>
      </w:r>
    </w:p>
    <w:p w:rsidR="00E359E0" w:rsidRPr="00E359E0" w:rsidRDefault="00E359E0" w:rsidP="00E359E0">
      <w:pPr>
        <w:spacing w:after="0" w:line="240" w:lineRule="auto"/>
        <w:jc w:val="both"/>
        <w:rPr>
          <w:rFonts w:ascii="Times New Roman" w:hAnsi="Times New Roman" w:cs="Times New Roman"/>
          <w:sz w:val="24"/>
          <w:szCs w:val="20"/>
        </w:rPr>
      </w:pPr>
    </w:p>
    <w:p w:rsid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In addition to an information problem, the status quo raises concerns for the integrity of the tax system. Some taxpayers who are failing to resolve debt with Inland Revenue are not currently motivated to comply with their obligations despite the debt’s accumulation of interest and penalties. While these taxpayers are able to ignore significant tax debt by virtue of it being isolated from their regular commercial dealings, non-compliant businesses that remain in business and fail to address their debt are able to unfairly compete against those who pay on time and are compli</w:t>
      </w:r>
      <w:r w:rsidR="00D8773E">
        <w:rPr>
          <w:rFonts w:ascii="Times New Roman" w:hAnsi="Times New Roman" w:cs="Times New Roman"/>
          <w:sz w:val="24"/>
          <w:szCs w:val="20"/>
        </w:rPr>
        <w:t>ant with their tax obligations.</w:t>
      </w:r>
    </w:p>
    <w:p w:rsidR="00D8773E" w:rsidRPr="00E359E0" w:rsidRDefault="00D8773E"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b/>
          <w:i/>
          <w:sz w:val="24"/>
          <w:szCs w:val="20"/>
        </w:rPr>
      </w:pPr>
      <w:r w:rsidRPr="00E359E0">
        <w:rPr>
          <w:rFonts w:ascii="Times New Roman" w:hAnsi="Times New Roman" w:cs="Times New Roman"/>
          <w:b/>
          <w:i/>
          <w:sz w:val="24"/>
          <w:szCs w:val="20"/>
        </w:rPr>
        <w:t>Enforcement of wider business obligations</w:t>
      </w:r>
    </w:p>
    <w:p w:rsidR="00E359E0" w:rsidRPr="00E359E0" w:rsidRDefault="00E359E0" w:rsidP="00E359E0">
      <w:pPr>
        <w:spacing w:after="0" w:line="240" w:lineRule="auto"/>
        <w:jc w:val="both"/>
        <w:rPr>
          <w:rFonts w:ascii="Verdana" w:hAnsi="Verdana"/>
          <w:sz w:val="20"/>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lang w:val="en-GB"/>
        </w:rPr>
        <w:t>In the course of undertaking its core duties</w:t>
      </w:r>
      <w:r w:rsidRPr="00E359E0">
        <w:rPr>
          <w:rFonts w:ascii="Times New Roman" w:hAnsi="Times New Roman" w:cs="Times New Roman"/>
          <w:sz w:val="24"/>
          <w:szCs w:val="20"/>
        </w:rPr>
        <w:t>, Inland Revenue obtains and holds information about businesses’ (and their directors’) non-compliance with non-tax legal obligations. Inland Revenue research has shown that those that are non-compliant with their obligations under the law in one area are likely to be non-compliant in other areas</w:t>
      </w:r>
      <w:r w:rsidR="00A25937">
        <w:rPr>
          <w:rFonts w:ascii="Times New Roman" w:hAnsi="Times New Roman" w:cs="Times New Roman"/>
          <w:sz w:val="24"/>
          <w:szCs w:val="20"/>
        </w:rPr>
        <w:t>.</w:t>
      </w:r>
      <w:r w:rsidRPr="00E359E0">
        <w:rPr>
          <w:rFonts w:ascii="Times New Roman" w:hAnsi="Times New Roman" w:cs="Times New Roman"/>
          <w:sz w:val="24"/>
          <w:szCs w:val="20"/>
          <w:vertAlign w:val="superscript"/>
        </w:rPr>
        <w:footnoteReference w:id="8"/>
      </w:r>
      <w:r w:rsidRPr="00E359E0">
        <w:rPr>
          <w:rFonts w:ascii="Times New Roman" w:hAnsi="Times New Roman" w:cs="Times New Roman"/>
          <w:sz w:val="24"/>
          <w:szCs w:val="20"/>
        </w:rPr>
        <w:t xml:space="preserve"> Businesses that continue to defy their obligations without detection or sanction pose significant risks to other businesses and to New Zealand’s reputation as a safe and transparent country in which to invest and do business. These businesses further represent a risk to the revenue and to the integrity of the tax system, because they are more likely to be non-compliant with their tax obligations and the tax obligations they are required to fulfil on behalf of employees. </w:t>
      </w:r>
    </w:p>
    <w:p w:rsidR="00E359E0" w:rsidRPr="00E359E0" w:rsidRDefault="00E359E0"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With the exception of Inland Revenue’s ability to share information with New Zealand Police in relation to serious criminal offences, Inland Revenue cannot usually share information about businesses’ and directors’ non-tax illegal conduct with agencies that enforce the relevant laws. This means that, without the sharing of information:</w:t>
      </w:r>
    </w:p>
    <w:p w:rsidR="00E359E0" w:rsidRPr="00E359E0" w:rsidRDefault="00E359E0" w:rsidP="00E359E0">
      <w:pPr>
        <w:spacing w:after="0" w:line="240" w:lineRule="auto"/>
        <w:jc w:val="both"/>
        <w:rPr>
          <w:rFonts w:ascii="Times New Roman" w:hAnsi="Times New Roman" w:cs="Times New Roman"/>
          <w:sz w:val="24"/>
          <w:szCs w:val="20"/>
        </w:rPr>
      </w:pPr>
    </w:p>
    <w:p w:rsidR="00E359E0" w:rsidRDefault="00E359E0" w:rsidP="00E359E0">
      <w:pPr>
        <w:numPr>
          <w:ilvl w:val="0"/>
          <w:numId w:val="23"/>
        </w:numPr>
        <w:spacing w:after="0" w:line="240" w:lineRule="auto"/>
        <w:contextualSpacing/>
        <w:jc w:val="both"/>
        <w:rPr>
          <w:rFonts w:ascii="Times New Roman" w:hAnsi="Times New Roman" w:cs="Times New Roman"/>
          <w:sz w:val="24"/>
          <w:szCs w:val="20"/>
        </w:rPr>
      </w:pPr>
      <w:r w:rsidRPr="00E359E0">
        <w:rPr>
          <w:rFonts w:ascii="Times New Roman" w:hAnsi="Times New Roman" w:cs="Times New Roman"/>
          <w:sz w:val="24"/>
          <w:szCs w:val="20"/>
        </w:rPr>
        <w:t>some cases of illegal conduct are being committed and discovered (or partially discovered) by Inland Revenue, but are never brought to the attention of the relevant enforcement agency; and</w:t>
      </w:r>
    </w:p>
    <w:p w:rsidR="00D8773E" w:rsidRPr="00E359E0" w:rsidRDefault="00D8773E" w:rsidP="00D8773E">
      <w:pPr>
        <w:spacing w:after="0" w:line="240" w:lineRule="auto"/>
        <w:contextualSpacing/>
        <w:jc w:val="both"/>
        <w:rPr>
          <w:rFonts w:ascii="Times New Roman" w:hAnsi="Times New Roman" w:cs="Times New Roman"/>
          <w:sz w:val="24"/>
          <w:szCs w:val="20"/>
        </w:rPr>
      </w:pPr>
    </w:p>
    <w:p w:rsidR="00E359E0" w:rsidRPr="00E359E0" w:rsidRDefault="00E359E0" w:rsidP="00E359E0">
      <w:pPr>
        <w:numPr>
          <w:ilvl w:val="0"/>
          <w:numId w:val="23"/>
        </w:numPr>
        <w:spacing w:after="0" w:line="240" w:lineRule="auto"/>
        <w:contextualSpacing/>
        <w:jc w:val="both"/>
        <w:rPr>
          <w:rFonts w:ascii="Times New Roman" w:hAnsi="Times New Roman" w:cs="Times New Roman"/>
          <w:sz w:val="24"/>
          <w:szCs w:val="20"/>
        </w:rPr>
      </w:pPr>
      <w:proofErr w:type="gramStart"/>
      <w:r w:rsidRPr="00E359E0">
        <w:rPr>
          <w:rFonts w:ascii="Times New Roman" w:hAnsi="Times New Roman" w:cs="Times New Roman"/>
          <w:sz w:val="24"/>
          <w:szCs w:val="20"/>
        </w:rPr>
        <w:t>some</w:t>
      </w:r>
      <w:proofErr w:type="gramEnd"/>
      <w:r w:rsidRPr="00E359E0">
        <w:rPr>
          <w:rFonts w:ascii="Times New Roman" w:hAnsi="Times New Roman" w:cs="Times New Roman"/>
          <w:sz w:val="24"/>
          <w:szCs w:val="20"/>
        </w:rPr>
        <w:t xml:space="preserve"> cases of illegal conduct that are being investigated or prosecuted by another agency are not being handled as efficiently as they would be if that agency was able to request information already held by Inland Revenue.</w:t>
      </w:r>
    </w:p>
    <w:p w:rsidR="00E359E0" w:rsidRPr="00E359E0" w:rsidRDefault="00E359E0" w:rsidP="00E359E0">
      <w:pPr>
        <w:spacing w:after="0" w:line="240" w:lineRule="auto"/>
        <w:ind w:left="795"/>
        <w:contextualSpacing/>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sz w:val="24"/>
          <w:szCs w:val="20"/>
          <w:lang w:val="en-GB"/>
        </w:rPr>
      </w:pPr>
      <w:r w:rsidRPr="00E359E0">
        <w:rPr>
          <w:rFonts w:ascii="Times New Roman" w:hAnsi="Times New Roman" w:cs="Times New Roman"/>
          <w:sz w:val="24"/>
          <w:szCs w:val="20"/>
        </w:rPr>
        <w:t>If Inland Revenue was able to share information, the likelihood of non-compliant businesses being charged or prosecuted would increase and the associated harm reduce. Reducing harm caused to compliant businesses would ultimately support greater economic efficiency by lowering the risks and costs associated with being in business in New Zealand. More efficient enforcement of wider business obligations would also strengthen the integrity of the tax system by ensuring businesses and directors, who are non-compliant in multiple areas including tax obligations, are comprehensively held to account.</w:t>
      </w:r>
    </w:p>
    <w:p w:rsidR="00E359E0" w:rsidRPr="00E359E0" w:rsidRDefault="00E359E0" w:rsidP="00E359E0">
      <w:pPr>
        <w:spacing w:after="0" w:line="240" w:lineRule="auto"/>
        <w:jc w:val="both"/>
        <w:rPr>
          <w:rFonts w:ascii="Times New Roman" w:hAnsi="Times New Roman" w:cs="Times New Roman"/>
          <w:sz w:val="24"/>
          <w:szCs w:val="20"/>
          <w:lang w:val="en-GB"/>
        </w:rPr>
      </w:pPr>
    </w:p>
    <w:p w:rsidR="00E359E0" w:rsidRPr="00D8156F" w:rsidRDefault="00E359E0" w:rsidP="00E359E0">
      <w:pPr>
        <w:spacing w:after="0" w:line="240" w:lineRule="auto"/>
        <w:jc w:val="both"/>
        <w:rPr>
          <w:rFonts w:ascii="Times New Roman" w:hAnsi="Times New Roman" w:cs="Times New Roman"/>
          <w:b/>
          <w:i/>
          <w:sz w:val="24"/>
          <w:szCs w:val="20"/>
          <w:lang w:val="en-GB"/>
        </w:rPr>
      </w:pPr>
      <w:r w:rsidRPr="00D8156F">
        <w:rPr>
          <w:rFonts w:ascii="Times New Roman" w:hAnsi="Times New Roman" w:cs="Times New Roman"/>
          <w:b/>
          <w:i/>
          <w:sz w:val="24"/>
          <w:szCs w:val="20"/>
          <w:lang w:val="en-GB"/>
        </w:rPr>
        <w:t>Constraints</w:t>
      </w:r>
    </w:p>
    <w:p w:rsidR="00D56B23" w:rsidRDefault="00D56B23" w:rsidP="00D56B23">
      <w:pPr>
        <w:pStyle w:val="ListParagraph"/>
        <w:spacing w:after="0" w:line="240" w:lineRule="auto"/>
        <w:ind w:left="0"/>
        <w:jc w:val="both"/>
        <w:rPr>
          <w:rFonts w:ascii="Times New Roman" w:hAnsi="Times New Roman" w:cs="Times New Roman"/>
          <w:sz w:val="24"/>
          <w:szCs w:val="20"/>
          <w:lang w:val="en-GB"/>
        </w:rPr>
      </w:pPr>
    </w:p>
    <w:p w:rsidR="00D56B23" w:rsidRPr="005D3931" w:rsidRDefault="00D56B23" w:rsidP="00D56B23">
      <w:pPr>
        <w:pStyle w:val="ListParagraph"/>
        <w:spacing w:after="0" w:line="240" w:lineRule="auto"/>
        <w:ind w:left="0"/>
        <w:jc w:val="both"/>
        <w:rPr>
          <w:rFonts w:ascii="Times New Roman" w:hAnsi="Times New Roman" w:cs="Times New Roman"/>
          <w:sz w:val="24"/>
          <w:szCs w:val="24"/>
        </w:rPr>
      </w:pPr>
      <w:r w:rsidRPr="005D3931">
        <w:rPr>
          <w:rFonts w:ascii="Times New Roman" w:hAnsi="Times New Roman" w:cs="Times New Roman"/>
          <w:sz w:val="24"/>
          <w:szCs w:val="24"/>
        </w:rPr>
        <w:t>Ministers have asked officials for options that could be included in a business tax package to apply from 1 April 2017. This has limited the feasible options that officials could consider to those that can be implemented within the timeframe.</w:t>
      </w:r>
    </w:p>
    <w:p w:rsidR="00D56B23" w:rsidRPr="00E359E0" w:rsidRDefault="00D56B23" w:rsidP="00E359E0">
      <w:pPr>
        <w:spacing w:after="0" w:line="240" w:lineRule="auto"/>
        <w:jc w:val="both"/>
        <w:rPr>
          <w:rFonts w:ascii="Times New Roman" w:hAnsi="Times New Roman" w:cs="Times New Roman"/>
          <w:sz w:val="24"/>
          <w:szCs w:val="20"/>
          <w:lang w:val="en-GB"/>
        </w:rPr>
      </w:pPr>
    </w:p>
    <w:p w:rsidR="00E359E0" w:rsidRPr="00E359E0" w:rsidRDefault="00E359E0" w:rsidP="00E359E0">
      <w:pPr>
        <w:spacing w:after="0" w:line="240" w:lineRule="auto"/>
        <w:jc w:val="both"/>
        <w:rPr>
          <w:rFonts w:ascii="Times New Roman" w:hAnsi="Times New Roman" w:cs="Times New Roman"/>
          <w:sz w:val="24"/>
          <w:szCs w:val="20"/>
          <w:lang w:val="en-GB"/>
        </w:rPr>
      </w:pPr>
      <w:r w:rsidRPr="00E359E0">
        <w:rPr>
          <w:rFonts w:ascii="Times New Roman" w:hAnsi="Times New Roman" w:cs="Times New Roman"/>
          <w:sz w:val="24"/>
          <w:szCs w:val="20"/>
          <w:lang w:val="en-GB"/>
        </w:rPr>
        <w:t xml:space="preserve">The analysis that follows is </w:t>
      </w:r>
      <w:r w:rsidR="00D56B23">
        <w:rPr>
          <w:rFonts w:ascii="Times New Roman" w:hAnsi="Times New Roman" w:cs="Times New Roman"/>
          <w:sz w:val="24"/>
          <w:szCs w:val="20"/>
          <w:lang w:val="en-GB"/>
        </w:rPr>
        <w:t xml:space="preserve">also </w:t>
      </w:r>
      <w:r w:rsidRPr="00E359E0">
        <w:rPr>
          <w:rFonts w:ascii="Times New Roman" w:hAnsi="Times New Roman" w:cs="Times New Roman"/>
          <w:sz w:val="24"/>
          <w:szCs w:val="20"/>
          <w:lang w:val="en-GB"/>
        </w:rPr>
        <w:t xml:space="preserve">constrained by limits of measuring the scope of the </w:t>
      </w:r>
      <w:r w:rsidR="00C164C7">
        <w:rPr>
          <w:rFonts w:ascii="Times New Roman" w:hAnsi="Times New Roman" w:cs="Times New Roman"/>
          <w:sz w:val="24"/>
          <w:szCs w:val="20"/>
          <w:lang w:val="en-GB"/>
        </w:rPr>
        <w:t>issue</w:t>
      </w:r>
      <w:r w:rsidRPr="00E359E0">
        <w:rPr>
          <w:rFonts w:ascii="Times New Roman" w:hAnsi="Times New Roman" w:cs="Times New Roman"/>
          <w:sz w:val="24"/>
          <w:szCs w:val="20"/>
          <w:lang w:val="en-GB"/>
        </w:rPr>
        <w:t>. It is not possible to accurately measure the number of businesses and members of the public affected by non-compliant taxpayers that are able to conceal their significant tax debt or illegal activity. Officials’ analysis relies on general assumptions including:</w:t>
      </w:r>
    </w:p>
    <w:p w:rsidR="00E359E0" w:rsidRPr="00E359E0" w:rsidRDefault="00E359E0" w:rsidP="00E359E0">
      <w:pPr>
        <w:spacing w:after="0" w:line="240" w:lineRule="auto"/>
        <w:jc w:val="both"/>
        <w:rPr>
          <w:rFonts w:ascii="Times New Roman" w:hAnsi="Times New Roman" w:cs="Times New Roman"/>
          <w:sz w:val="24"/>
          <w:szCs w:val="20"/>
          <w:lang w:val="en-GB"/>
        </w:rPr>
      </w:pPr>
    </w:p>
    <w:p w:rsidR="00E359E0" w:rsidRPr="00E359E0" w:rsidRDefault="00E359E0" w:rsidP="00E359E0">
      <w:pPr>
        <w:numPr>
          <w:ilvl w:val="0"/>
          <w:numId w:val="39"/>
        </w:numPr>
        <w:spacing w:after="0" w:line="240" w:lineRule="auto"/>
        <w:contextualSpacing/>
        <w:jc w:val="both"/>
        <w:rPr>
          <w:rFonts w:ascii="Times New Roman" w:hAnsi="Times New Roman" w:cs="Times New Roman"/>
          <w:sz w:val="24"/>
          <w:szCs w:val="20"/>
          <w:lang w:val="en-GB"/>
        </w:rPr>
      </w:pPr>
      <w:r w:rsidRPr="00E359E0">
        <w:rPr>
          <w:rFonts w:ascii="Times New Roman" w:hAnsi="Times New Roman" w:cs="Times New Roman"/>
          <w:sz w:val="24"/>
          <w:szCs w:val="20"/>
          <w:lang w:val="en-GB"/>
        </w:rPr>
        <w:t>Taxpayers in significant tax debt are likely to have a number of credit arrangements with a number of businesses; and some of these businesses will be unsecured creditors who are vulnerable in the event of the taxpayer’s business collapsing.</w:t>
      </w:r>
    </w:p>
    <w:p w:rsidR="00E359E0" w:rsidRPr="00E359E0" w:rsidRDefault="00E359E0" w:rsidP="00E359E0">
      <w:pPr>
        <w:spacing w:after="0" w:line="240" w:lineRule="auto"/>
        <w:ind w:left="720"/>
        <w:contextualSpacing/>
        <w:jc w:val="both"/>
        <w:rPr>
          <w:rFonts w:ascii="Times New Roman" w:hAnsi="Times New Roman" w:cs="Times New Roman"/>
          <w:sz w:val="24"/>
          <w:szCs w:val="20"/>
          <w:lang w:val="en-GB"/>
        </w:rPr>
      </w:pPr>
    </w:p>
    <w:p w:rsidR="00E359E0" w:rsidRPr="00E359E0" w:rsidRDefault="00E359E0" w:rsidP="00E359E0">
      <w:pPr>
        <w:numPr>
          <w:ilvl w:val="0"/>
          <w:numId w:val="39"/>
        </w:numPr>
        <w:spacing w:after="0" w:line="240" w:lineRule="auto"/>
        <w:contextualSpacing/>
        <w:jc w:val="both"/>
        <w:rPr>
          <w:rFonts w:ascii="Times New Roman" w:hAnsi="Times New Roman" w:cs="Times New Roman"/>
          <w:sz w:val="24"/>
          <w:szCs w:val="20"/>
          <w:lang w:val="en-GB"/>
        </w:rPr>
      </w:pPr>
      <w:r w:rsidRPr="00E359E0">
        <w:rPr>
          <w:rFonts w:ascii="Times New Roman" w:hAnsi="Times New Roman" w:cs="Times New Roman"/>
          <w:sz w:val="24"/>
          <w:szCs w:val="20"/>
          <w:lang w:val="en-GB"/>
        </w:rPr>
        <w:t xml:space="preserve">Businesses (and their directors and management) behaving illegally are likely to pose a risk to a large number of other parties including their shareholders, creditors, and employees. </w:t>
      </w:r>
    </w:p>
    <w:p w:rsidR="00E359E0" w:rsidRPr="00E359E0" w:rsidRDefault="00E359E0" w:rsidP="00E359E0">
      <w:pPr>
        <w:spacing w:after="0" w:line="240" w:lineRule="auto"/>
        <w:ind w:left="720"/>
        <w:contextualSpacing/>
        <w:jc w:val="both"/>
        <w:rPr>
          <w:rFonts w:ascii="Times New Roman" w:hAnsi="Times New Roman" w:cs="Times New Roman"/>
          <w:sz w:val="24"/>
          <w:szCs w:val="20"/>
          <w:lang w:val="en-GB"/>
        </w:rPr>
      </w:pPr>
    </w:p>
    <w:p w:rsidR="00E359E0" w:rsidRPr="00D8156F" w:rsidRDefault="00E359E0" w:rsidP="00E359E0">
      <w:pPr>
        <w:keepNext/>
        <w:spacing w:after="0" w:line="240" w:lineRule="auto"/>
        <w:jc w:val="both"/>
        <w:rPr>
          <w:rFonts w:ascii="Times New Roman" w:hAnsi="Times New Roman" w:cs="Times New Roman"/>
          <w:b/>
          <w:i/>
          <w:sz w:val="24"/>
          <w:szCs w:val="20"/>
        </w:rPr>
      </w:pPr>
      <w:r w:rsidRPr="00D8156F">
        <w:rPr>
          <w:rFonts w:ascii="Times New Roman" w:hAnsi="Times New Roman" w:cs="Times New Roman"/>
          <w:b/>
          <w:i/>
          <w:sz w:val="24"/>
          <w:szCs w:val="20"/>
        </w:rPr>
        <w:t xml:space="preserve">Options </w:t>
      </w:r>
    </w:p>
    <w:p w:rsidR="00E359E0" w:rsidRPr="00D8156F" w:rsidRDefault="00E359E0" w:rsidP="00D8156F">
      <w:pPr>
        <w:spacing w:after="0" w:line="240" w:lineRule="auto"/>
        <w:jc w:val="both"/>
        <w:rPr>
          <w:rFonts w:ascii="Times New Roman" w:hAnsi="Times New Roman" w:cs="Times New Roman"/>
          <w:i/>
          <w:sz w:val="24"/>
          <w:szCs w:val="20"/>
        </w:rPr>
      </w:pPr>
    </w:p>
    <w:p w:rsidR="00E359E0" w:rsidRPr="00E359E0" w:rsidRDefault="00E359E0" w:rsidP="00E359E0">
      <w:pPr>
        <w:keepNext/>
        <w:spacing w:after="0" w:line="240" w:lineRule="auto"/>
        <w:jc w:val="both"/>
        <w:rPr>
          <w:rFonts w:ascii="Times New Roman" w:hAnsi="Times New Roman" w:cs="Times New Roman"/>
          <w:sz w:val="20"/>
          <w:szCs w:val="20"/>
        </w:rPr>
      </w:pPr>
      <w:r w:rsidRPr="00E359E0">
        <w:rPr>
          <w:rFonts w:ascii="Times New Roman" w:hAnsi="Times New Roman" w:cs="Times New Roman"/>
          <w:sz w:val="24"/>
          <w:szCs w:val="20"/>
        </w:rPr>
        <w:t>Officials have identified the following options:</w:t>
      </w:r>
    </w:p>
    <w:p w:rsidR="00E359E0" w:rsidRPr="00D56B23" w:rsidRDefault="00E359E0" w:rsidP="00D56B23">
      <w:pPr>
        <w:spacing w:after="0" w:line="240" w:lineRule="auto"/>
        <w:jc w:val="both"/>
        <w:rPr>
          <w:rFonts w:ascii="Times New Roman" w:hAnsi="Times New Roman" w:cs="Times New Roman"/>
          <w:i/>
          <w:sz w:val="24"/>
          <w:szCs w:val="20"/>
        </w:rPr>
      </w:pPr>
    </w:p>
    <w:p w:rsidR="00E359E0" w:rsidRDefault="00D8773E" w:rsidP="00D56B23">
      <w:pPr>
        <w:numPr>
          <w:ilvl w:val="0"/>
          <w:numId w:val="38"/>
        </w:numPr>
        <w:spacing w:after="0" w:line="240" w:lineRule="auto"/>
        <w:contextualSpacing/>
        <w:jc w:val="both"/>
        <w:rPr>
          <w:rFonts w:ascii="Times New Roman" w:hAnsi="Times New Roman" w:cs="Times New Roman"/>
          <w:sz w:val="24"/>
          <w:szCs w:val="20"/>
        </w:rPr>
      </w:pPr>
      <w:r w:rsidRPr="00D56B23">
        <w:rPr>
          <w:rFonts w:ascii="Times New Roman" w:hAnsi="Times New Roman" w:cs="Times New Roman"/>
          <w:sz w:val="24"/>
          <w:szCs w:val="20"/>
        </w:rPr>
        <w:t>Retain the s</w:t>
      </w:r>
      <w:r w:rsidR="00E359E0" w:rsidRPr="00D56B23">
        <w:rPr>
          <w:rFonts w:ascii="Times New Roman" w:hAnsi="Times New Roman" w:cs="Times New Roman"/>
          <w:sz w:val="24"/>
          <w:szCs w:val="20"/>
        </w:rPr>
        <w:t>tatus quo</w:t>
      </w:r>
      <w:r w:rsidR="00A25937">
        <w:rPr>
          <w:rFonts w:ascii="Times New Roman" w:hAnsi="Times New Roman" w:cs="Times New Roman"/>
          <w:sz w:val="24"/>
          <w:szCs w:val="20"/>
        </w:rPr>
        <w:t>.</w:t>
      </w:r>
      <w:r w:rsidR="00E359E0" w:rsidRPr="00D56B23">
        <w:rPr>
          <w:rFonts w:ascii="Times New Roman" w:hAnsi="Times New Roman" w:cs="Times New Roman"/>
          <w:sz w:val="24"/>
          <w:szCs w:val="20"/>
        </w:rPr>
        <w:t xml:space="preserve"> </w:t>
      </w:r>
    </w:p>
    <w:p w:rsidR="00D56B23" w:rsidRPr="00D56B23" w:rsidRDefault="00D56B23" w:rsidP="00D56B23">
      <w:pPr>
        <w:spacing w:after="0" w:line="240" w:lineRule="auto"/>
        <w:jc w:val="both"/>
        <w:rPr>
          <w:rFonts w:ascii="Times New Roman" w:hAnsi="Times New Roman" w:cs="Times New Roman"/>
          <w:i/>
          <w:sz w:val="24"/>
          <w:szCs w:val="20"/>
        </w:rPr>
      </w:pPr>
    </w:p>
    <w:p w:rsidR="00E359E0" w:rsidRDefault="00E359E0" w:rsidP="00D56B23">
      <w:pPr>
        <w:numPr>
          <w:ilvl w:val="0"/>
          <w:numId w:val="38"/>
        </w:numPr>
        <w:spacing w:after="0" w:line="240" w:lineRule="auto"/>
        <w:contextualSpacing/>
        <w:jc w:val="both"/>
        <w:rPr>
          <w:rFonts w:ascii="Times New Roman" w:hAnsi="Times New Roman" w:cs="Times New Roman"/>
          <w:sz w:val="24"/>
          <w:szCs w:val="20"/>
        </w:rPr>
      </w:pPr>
      <w:r w:rsidRPr="00D56B23">
        <w:rPr>
          <w:rFonts w:ascii="Times New Roman" w:hAnsi="Times New Roman" w:cs="Times New Roman"/>
          <w:sz w:val="24"/>
          <w:szCs w:val="20"/>
        </w:rPr>
        <w:t xml:space="preserve">Share significant tax debt </w:t>
      </w:r>
      <w:r w:rsidR="00D8773E" w:rsidRPr="00D56B23">
        <w:rPr>
          <w:rFonts w:ascii="Times New Roman" w:hAnsi="Times New Roman" w:cs="Times New Roman"/>
          <w:sz w:val="24"/>
          <w:szCs w:val="20"/>
        </w:rPr>
        <w:t xml:space="preserve">information </w:t>
      </w:r>
      <w:r w:rsidRPr="00D56B23">
        <w:rPr>
          <w:rFonts w:ascii="Times New Roman" w:hAnsi="Times New Roman" w:cs="Times New Roman"/>
          <w:sz w:val="24"/>
          <w:szCs w:val="20"/>
        </w:rPr>
        <w:t>with credit reporting agencies</w:t>
      </w:r>
      <w:r w:rsidR="00A25937">
        <w:rPr>
          <w:rFonts w:ascii="Times New Roman" w:hAnsi="Times New Roman" w:cs="Times New Roman"/>
          <w:sz w:val="24"/>
          <w:szCs w:val="20"/>
        </w:rPr>
        <w:t>.</w:t>
      </w:r>
    </w:p>
    <w:p w:rsidR="00D56B23" w:rsidRPr="00D56B23" w:rsidRDefault="00D56B23" w:rsidP="00D56B23">
      <w:pPr>
        <w:spacing w:after="0" w:line="240" w:lineRule="auto"/>
        <w:jc w:val="both"/>
        <w:rPr>
          <w:rFonts w:ascii="Times New Roman" w:hAnsi="Times New Roman" w:cs="Times New Roman"/>
          <w:i/>
          <w:sz w:val="24"/>
          <w:szCs w:val="20"/>
        </w:rPr>
      </w:pPr>
    </w:p>
    <w:p w:rsidR="00E359E0" w:rsidRDefault="00E359E0" w:rsidP="00D56B23">
      <w:pPr>
        <w:numPr>
          <w:ilvl w:val="0"/>
          <w:numId w:val="38"/>
        </w:numPr>
        <w:spacing w:after="0" w:line="240" w:lineRule="auto"/>
        <w:contextualSpacing/>
        <w:jc w:val="both"/>
        <w:rPr>
          <w:rFonts w:ascii="Times New Roman" w:hAnsi="Times New Roman" w:cs="Times New Roman"/>
          <w:sz w:val="24"/>
          <w:szCs w:val="20"/>
        </w:rPr>
      </w:pPr>
      <w:r w:rsidRPr="00D56B23">
        <w:rPr>
          <w:rFonts w:ascii="Times New Roman" w:hAnsi="Times New Roman" w:cs="Times New Roman"/>
          <w:sz w:val="24"/>
          <w:szCs w:val="20"/>
        </w:rPr>
        <w:t xml:space="preserve">Share significant tax debt </w:t>
      </w:r>
      <w:r w:rsidR="00D8773E" w:rsidRPr="00D56B23">
        <w:rPr>
          <w:rFonts w:ascii="Times New Roman" w:hAnsi="Times New Roman" w:cs="Times New Roman"/>
          <w:sz w:val="24"/>
          <w:szCs w:val="20"/>
        </w:rPr>
        <w:t xml:space="preserve">information </w:t>
      </w:r>
      <w:r w:rsidRPr="00D56B23">
        <w:rPr>
          <w:rFonts w:ascii="Times New Roman" w:hAnsi="Times New Roman" w:cs="Times New Roman"/>
          <w:sz w:val="24"/>
          <w:szCs w:val="20"/>
        </w:rPr>
        <w:t>with the general public</w:t>
      </w:r>
      <w:r w:rsidR="00A25937">
        <w:rPr>
          <w:rFonts w:ascii="Times New Roman" w:hAnsi="Times New Roman" w:cs="Times New Roman"/>
          <w:sz w:val="24"/>
          <w:szCs w:val="20"/>
        </w:rPr>
        <w:t>.</w:t>
      </w:r>
    </w:p>
    <w:p w:rsidR="00D56B23" w:rsidRPr="00D56B23" w:rsidRDefault="00D56B23" w:rsidP="00D56B23">
      <w:pPr>
        <w:spacing w:after="0" w:line="240" w:lineRule="auto"/>
        <w:contextualSpacing/>
        <w:jc w:val="both"/>
        <w:rPr>
          <w:rFonts w:ascii="Times New Roman" w:hAnsi="Times New Roman" w:cs="Times New Roman"/>
          <w:sz w:val="24"/>
          <w:szCs w:val="20"/>
        </w:rPr>
      </w:pPr>
    </w:p>
    <w:p w:rsidR="00E359E0" w:rsidRDefault="00E359E0" w:rsidP="00D56B23">
      <w:pPr>
        <w:numPr>
          <w:ilvl w:val="0"/>
          <w:numId w:val="38"/>
        </w:numPr>
        <w:spacing w:after="0" w:line="240" w:lineRule="auto"/>
        <w:contextualSpacing/>
        <w:jc w:val="both"/>
        <w:rPr>
          <w:rFonts w:ascii="Times New Roman" w:hAnsi="Times New Roman" w:cs="Times New Roman"/>
          <w:sz w:val="24"/>
          <w:szCs w:val="20"/>
        </w:rPr>
      </w:pPr>
      <w:r w:rsidRPr="00D56B23">
        <w:rPr>
          <w:rFonts w:ascii="Times New Roman" w:hAnsi="Times New Roman" w:cs="Times New Roman"/>
          <w:sz w:val="24"/>
          <w:szCs w:val="20"/>
        </w:rPr>
        <w:t xml:space="preserve">Share information </w:t>
      </w:r>
      <w:r w:rsidR="00D8773E" w:rsidRPr="00D56B23">
        <w:rPr>
          <w:rFonts w:ascii="Times New Roman" w:hAnsi="Times New Roman" w:cs="Times New Roman"/>
          <w:sz w:val="24"/>
          <w:szCs w:val="20"/>
        </w:rPr>
        <w:t>on</w:t>
      </w:r>
      <w:r w:rsidRPr="00D56B23">
        <w:rPr>
          <w:rFonts w:ascii="Times New Roman" w:hAnsi="Times New Roman" w:cs="Times New Roman"/>
          <w:sz w:val="24"/>
          <w:szCs w:val="20"/>
        </w:rPr>
        <w:t xml:space="preserve"> serious offences</w:t>
      </w:r>
      <w:r w:rsidR="00D8773E" w:rsidRPr="00D56B23">
        <w:rPr>
          <w:rFonts w:ascii="Times New Roman" w:hAnsi="Times New Roman" w:cs="Times New Roman"/>
          <w:sz w:val="24"/>
          <w:szCs w:val="20"/>
        </w:rPr>
        <w:t xml:space="preserve"> with </w:t>
      </w:r>
      <w:r w:rsidRPr="00D56B23">
        <w:rPr>
          <w:rFonts w:ascii="Times New Roman" w:hAnsi="Times New Roman" w:cs="Times New Roman"/>
          <w:sz w:val="24"/>
          <w:szCs w:val="20"/>
        </w:rPr>
        <w:t>the Registrar of Companies</w:t>
      </w:r>
      <w:r w:rsidR="00A25937">
        <w:rPr>
          <w:rFonts w:ascii="Times New Roman" w:hAnsi="Times New Roman" w:cs="Times New Roman"/>
          <w:sz w:val="24"/>
          <w:szCs w:val="20"/>
        </w:rPr>
        <w:t>.</w:t>
      </w:r>
    </w:p>
    <w:p w:rsidR="00D56B23" w:rsidRPr="00D56B23" w:rsidRDefault="00D56B23" w:rsidP="00D56B23">
      <w:pPr>
        <w:spacing w:after="0" w:line="240" w:lineRule="auto"/>
        <w:contextualSpacing/>
        <w:jc w:val="both"/>
        <w:rPr>
          <w:rFonts w:ascii="Times New Roman" w:hAnsi="Times New Roman" w:cs="Times New Roman"/>
          <w:sz w:val="24"/>
          <w:szCs w:val="20"/>
        </w:rPr>
      </w:pPr>
    </w:p>
    <w:p w:rsidR="00D56B23" w:rsidRPr="00D56B23" w:rsidRDefault="00E359E0" w:rsidP="00D56B23">
      <w:pPr>
        <w:numPr>
          <w:ilvl w:val="0"/>
          <w:numId w:val="38"/>
        </w:numPr>
        <w:spacing w:after="0" w:line="240" w:lineRule="auto"/>
        <w:contextualSpacing/>
        <w:jc w:val="both"/>
        <w:rPr>
          <w:rFonts w:ascii="Times New Roman" w:hAnsi="Times New Roman" w:cs="Times New Roman"/>
          <w:sz w:val="24"/>
          <w:szCs w:val="20"/>
        </w:rPr>
      </w:pPr>
      <w:r w:rsidRPr="00D56B23">
        <w:rPr>
          <w:rFonts w:ascii="Times New Roman" w:hAnsi="Times New Roman" w:cs="Times New Roman"/>
          <w:sz w:val="24"/>
          <w:szCs w:val="20"/>
        </w:rPr>
        <w:t>Share information for enforcement of wider business obligations</w:t>
      </w:r>
      <w:r w:rsidR="00A25937">
        <w:rPr>
          <w:rFonts w:ascii="Times New Roman" w:hAnsi="Times New Roman" w:cs="Times New Roman"/>
          <w:sz w:val="24"/>
          <w:szCs w:val="20"/>
        </w:rPr>
        <w:t>.</w:t>
      </w:r>
    </w:p>
    <w:p w:rsidR="00E359E0" w:rsidRPr="00D56B23" w:rsidRDefault="00E359E0" w:rsidP="00E359E0">
      <w:pPr>
        <w:spacing w:after="0" w:line="240" w:lineRule="auto"/>
        <w:jc w:val="both"/>
        <w:rPr>
          <w:rFonts w:ascii="Times New Roman" w:hAnsi="Times New Roman" w:cs="Times New Roman"/>
          <w:sz w:val="24"/>
          <w:szCs w:val="20"/>
        </w:rPr>
      </w:pPr>
    </w:p>
    <w:p w:rsidR="00420D8B" w:rsidRDefault="00E359E0" w:rsidP="00420D8B">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Options 2 and 3 are not mutually exclusive with measures 4</w:t>
      </w:r>
      <w:r w:rsidR="00444282">
        <w:rPr>
          <w:rFonts w:ascii="Times New Roman" w:hAnsi="Times New Roman" w:cs="Times New Roman"/>
          <w:sz w:val="24"/>
          <w:szCs w:val="20"/>
        </w:rPr>
        <w:t xml:space="preserve"> or</w:t>
      </w:r>
      <w:r w:rsidR="00D8773E">
        <w:rPr>
          <w:rFonts w:ascii="Times New Roman" w:hAnsi="Times New Roman" w:cs="Times New Roman"/>
          <w:sz w:val="24"/>
          <w:szCs w:val="20"/>
        </w:rPr>
        <w:t xml:space="preserve"> 5</w:t>
      </w:r>
      <w:r w:rsidRPr="00E359E0">
        <w:rPr>
          <w:rFonts w:ascii="Times New Roman" w:hAnsi="Times New Roman" w:cs="Times New Roman"/>
          <w:sz w:val="24"/>
          <w:szCs w:val="20"/>
        </w:rPr>
        <w:t>.</w:t>
      </w:r>
    </w:p>
    <w:p w:rsidR="00420D8B" w:rsidRDefault="00420D8B" w:rsidP="00420D8B">
      <w:pPr>
        <w:spacing w:after="0" w:line="240" w:lineRule="auto"/>
        <w:jc w:val="both"/>
        <w:rPr>
          <w:rFonts w:ascii="Times New Roman" w:hAnsi="Times New Roman" w:cs="Times New Roman"/>
          <w:sz w:val="24"/>
          <w:szCs w:val="20"/>
        </w:rPr>
      </w:pPr>
    </w:p>
    <w:p w:rsidR="00CE3401" w:rsidRPr="00D42C53" w:rsidRDefault="00CE3401" w:rsidP="00420D8B">
      <w:pPr>
        <w:spacing w:after="0" w:line="240" w:lineRule="auto"/>
        <w:jc w:val="both"/>
        <w:rPr>
          <w:rFonts w:ascii="Times New Roman" w:hAnsi="Times New Roman" w:cs="Times New Roman"/>
          <w:i/>
          <w:sz w:val="24"/>
          <w:szCs w:val="20"/>
        </w:rPr>
      </w:pPr>
      <w:r w:rsidRPr="00D42C53">
        <w:rPr>
          <w:rFonts w:ascii="Times New Roman" w:hAnsi="Times New Roman" w:cs="Times New Roman"/>
          <w:i/>
          <w:sz w:val="24"/>
          <w:szCs w:val="20"/>
        </w:rPr>
        <w:t>Option 1 – Status quo</w:t>
      </w:r>
    </w:p>
    <w:p w:rsidR="00CE3401" w:rsidRDefault="00CE3401" w:rsidP="00420D8B">
      <w:pPr>
        <w:spacing w:after="0" w:line="240" w:lineRule="auto"/>
        <w:jc w:val="both"/>
        <w:rPr>
          <w:rFonts w:ascii="Times New Roman" w:hAnsi="Times New Roman" w:cs="Times New Roman"/>
          <w:sz w:val="24"/>
          <w:szCs w:val="20"/>
        </w:rPr>
      </w:pPr>
    </w:p>
    <w:p w:rsidR="00CE3401" w:rsidRDefault="00CE3401" w:rsidP="00420D8B">
      <w:pPr>
        <w:spacing w:after="0" w:line="240" w:lineRule="auto"/>
        <w:jc w:val="both"/>
        <w:rPr>
          <w:rFonts w:ascii="Times New Roman" w:hAnsi="Times New Roman" w:cs="Times New Roman"/>
          <w:sz w:val="24"/>
          <w:szCs w:val="20"/>
        </w:rPr>
      </w:pPr>
      <w:r>
        <w:rPr>
          <w:rFonts w:ascii="Times New Roman" w:hAnsi="Times New Roman" w:cs="Times New Roman"/>
          <w:sz w:val="24"/>
          <w:szCs w:val="20"/>
        </w:rPr>
        <w:t>Tax secrecy laws would remain as they are and Inland Revenue would be unable to provide any information to credit reporting agencies.  Businesses would continue to enter into arrangements with other parties with no visibility of the other party’s tax debt.  This would expose them to risk if they were extending credit to a business that was heavily indebted to Inland Revenue.</w:t>
      </w:r>
    </w:p>
    <w:p w:rsidR="00CE3401" w:rsidRDefault="00CE3401" w:rsidP="00420D8B">
      <w:pPr>
        <w:spacing w:after="0" w:line="240" w:lineRule="auto"/>
        <w:jc w:val="both"/>
        <w:rPr>
          <w:rFonts w:ascii="Times New Roman" w:hAnsi="Times New Roman" w:cs="Times New Roman"/>
          <w:sz w:val="24"/>
          <w:szCs w:val="20"/>
        </w:rPr>
      </w:pPr>
    </w:p>
    <w:p w:rsidR="00420D8B" w:rsidRPr="008D31DB" w:rsidRDefault="0062379F" w:rsidP="00420D8B">
      <w:pPr>
        <w:spacing w:after="0" w:line="240" w:lineRule="auto"/>
        <w:jc w:val="both"/>
        <w:rPr>
          <w:rFonts w:ascii="Times New Roman" w:hAnsi="Times New Roman" w:cs="Times New Roman"/>
          <w:i/>
          <w:sz w:val="24"/>
          <w:szCs w:val="20"/>
        </w:rPr>
      </w:pPr>
      <w:r>
        <w:rPr>
          <w:rFonts w:ascii="Times New Roman" w:hAnsi="Times New Roman" w:cs="Times New Roman"/>
          <w:i/>
          <w:sz w:val="24"/>
          <w:szCs w:val="20"/>
        </w:rPr>
        <w:t xml:space="preserve">Option 2 - </w:t>
      </w:r>
      <w:r w:rsidR="00E359E0" w:rsidRPr="008D31DB">
        <w:rPr>
          <w:rFonts w:ascii="Times New Roman" w:hAnsi="Times New Roman" w:cs="Times New Roman"/>
          <w:i/>
          <w:sz w:val="24"/>
          <w:szCs w:val="20"/>
        </w:rPr>
        <w:t>Share information on significant tax debt with credit reporting agencies</w:t>
      </w:r>
    </w:p>
    <w:p w:rsidR="00420D8B" w:rsidRPr="00D8773E" w:rsidRDefault="00420D8B" w:rsidP="00420D8B">
      <w:pPr>
        <w:spacing w:after="0" w:line="240" w:lineRule="auto"/>
        <w:jc w:val="both"/>
        <w:rPr>
          <w:rFonts w:ascii="Times New Roman" w:hAnsi="Times New Roman" w:cs="Times New Roman"/>
          <w:sz w:val="24"/>
          <w:szCs w:val="20"/>
        </w:rPr>
      </w:pPr>
    </w:p>
    <w:p w:rsidR="00420D8B" w:rsidRDefault="00E359E0" w:rsidP="00420D8B">
      <w:pPr>
        <w:spacing w:after="0" w:line="240" w:lineRule="auto"/>
        <w:jc w:val="both"/>
        <w:rPr>
          <w:rFonts w:ascii="Times New Roman" w:hAnsi="Times New Roman" w:cs="Times New Roman"/>
          <w:b/>
          <w:i/>
          <w:sz w:val="24"/>
          <w:szCs w:val="20"/>
        </w:rPr>
      </w:pPr>
      <w:r w:rsidRPr="00E359E0">
        <w:rPr>
          <w:rFonts w:ascii="Times New Roman" w:hAnsi="Times New Roman" w:cs="Times New Roman"/>
          <w:sz w:val="24"/>
          <w:szCs w:val="20"/>
        </w:rPr>
        <w:t xml:space="preserve">Tax secrecy laws could be amended to permit the disclosure of certain tax debt information to credit reporting agencies, for use in credit ratings. This option would provide members of the business community who are seeking credit information on a taxpayer with a more complete understanding of that taxpayer’s creditworthiness. To target the option toward tax debt that poses the most risk to other businesses, officials recommend this disclosure be limited to significant income tax and GST debt, and unpaid PAYE, </w:t>
      </w:r>
      <w:proofErr w:type="spellStart"/>
      <w:r w:rsidRPr="00E359E0">
        <w:rPr>
          <w:rFonts w:ascii="Times New Roman" w:hAnsi="Times New Roman" w:cs="Times New Roman"/>
          <w:sz w:val="24"/>
          <w:szCs w:val="20"/>
        </w:rPr>
        <w:t>KiwiSaver</w:t>
      </w:r>
      <w:proofErr w:type="spellEnd"/>
      <w:r w:rsidRPr="00E359E0">
        <w:rPr>
          <w:rFonts w:ascii="Times New Roman" w:hAnsi="Times New Roman" w:cs="Times New Roman"/>
          <w:sz w:val="24"/>
          <w:szCs w:val="20"/>
        </w:rPr>
        <w:t>, student loan and child support deductions</w:t>
      </w:r>
      <w:r w:rsidR="0062379F">
        <w:rPr>
          <w:rFonts w:ascii="Times New Roman" w:hAnsi="Times New Roman" w:cs="Times New Roman"/>
          <w:sz w:val="24"/>
          <w:szCs w:val="20"/>
        </w:rPr>
        <w:t>.</w:t>
      </w:r>
      <w:r w:rsidRPr="00E359E0">
        <w:rPr>
          <w:rFonts w:ascii="Times New Roman" w:hAnsi="Times New Roman" w:cs="Times New Roman"/>
          <w:sz w:val="24"/>
          <w:szCs w:val="20"/>
          <w:vertAlign w:val="superscript"/>
        </w:rPr>
        <w:footnoteReference w:id="9"/>
      </w:r>
      <w:r w:rsidRPr="00E359E0">
        <w:rPr>
          <w:rFonts w:ascii="Times New Roman" w:hAnsi="Times New Roman" w:cs="Times New Roman"/>
          <w:sz w:val="24"/>
          <w:szCs w:val="20"/>
        </w:rPr>
        <w:t xml:space="preserve"> </w:t>
      </w:r>
    </w:p>
    <w:p w:rsidR="00420D8B" w:rsidRPr="00D8773E" w:rsidRDefault="00420D8B" w:rsidP="00420D8B">
      <w:pPr>
        <w:spacing w:after="0" w:line="240" w:lineRule="auto"/>
        <w:jc w:val="both"/>
        <w:rPr>
          <w:rFonts w:ascii="Times New Roman" w:hAnsi="Times New Roman" w:cs="Times New Roman"/>
          <w:sz w:val="24"/>
          <w:szCs w:val="20"/>
        </w:rPr>
      </w:pPr>
    </w:p>
    <w:p w:rsidR="00420D8B" w:rsidRDefault="00E359E0" w:rsidP="00420D8B">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The scope of “significant” debt would be the subject of various legislative criteria. The criteria would be designed to ensure credit reporting was only an option when disclosure would be proportionate given the level of risk accompanying the debt. The detail of the criteria would likely take into account factors including age</w:t>
      </w:r>
      <w:r w:rsidR="004E4125">
        <w:rPr>
          <w:rFonts w:ascii="Times New Roman" w:hAnsi="Times New Roman" w:cs="Times New Roman"/>
          <w:sz w:val="24"/>
          <w:szCs w:val="20"/>
        </w:rPr>
        <w:t xml:space="preserve"> and</w:t>
      </w:r>
      <w:r w:rsidRPr="00E359E0">
        <w:rPr>
          <w:rFonts w:ascii="Times New Roman" w:hAnsi="Times New Roman" w:cs="Times New Roman"/>
          <w:sz w:val="24"/>
          <w:szCs w:val="20"/>
        </w:rPr>
        <w:t xml:space="preserve"> size of debt and </w:t>
      </w:r>
      <w:r w:rsidR="0062379F">
        <w:rPr>
          <w:rFonts w:ascii="Times New Roman" w:hAnsi="Times New Roman" w:cs="Times New Roman"/>
          <w:sz w:val="24"/>
          <w:szCs w:val="20"/>
        </w:rPr>
        <w:t xml:space="preserve">the </w:t>
      </w:r>
      <w:r w:rsidRPr="00E359E0">
        <w:rPr>
          <w:rFonts w:ascii="Times New Roman" w:hAnsi="Times New Roman" w:cs="Times New Roman"/>
          <w:sz w:val="24"/>
          <w:szCs w:val="20"/>
        </w:rPr>
        <w:t>likel</w:t>
      </w:r>
      <w:r w:rsidR="00420D8B">
        <w:rPr>
          <w:rFonts w:ascii="Times New Roman" w:hAnsi="Times New Roman" w:cs="Times New Roman"/>
          <w:sz w:val="24"/>
          <w:szCs w:val="20"/>
        </w:rPr>
        <w:t xml:space="preserve">ihood of </w:t>
      </w:r>
      <w:r w:rsidR="004E4125">
        <w:rPr>
          <w:rFonts w:ascii="Times New Roman" w:hAnsi="Times New Roman" w:cs="Times New Roman"/>
          <w:sz w:val="24"/>
          <w:szCs w:val="20"/>
        </w:rPr>
        <w:t>it</w:t>
      </w:r>
      <w:r w:rsidR="00420D8B">
        <w:rPr>
          <w:rFonts w:ascii="Times New Roman" w:hAnsi="Times New Roman" w:cs="Times New Roman"/>
          <w:sz w:val="24"/>
          <w:szCs w:val="20"/>
        </w:rPr>
        <w:t xml:space="preserve"> being repaid.</w:t>
      </w:r>
    </w:p>
    <w:p w:rsidR="00420D8B" w:rsidRPr="00D8773E" w:rsidRDefault="00420D8B" w:rsidP="00420D8B">
      <w:pPr>
        <w:spacing w:after="0" w:line="240" w:lineRule="auto"/>
        <w:jc w:val="both"/>
        <w:rPr>
          <w:rFonts w:ascii="Times New Roman" w:hAnsi="Times New Roman" w:cs="Times New Roman"/>
          <w:sz w:val="24"/>
          <w:szCs w:val="20"/>
        </w:rPr>
      </w:pPr>
    </w:p>
    <w:p w:rsidR="00420D8B" w:rsidRDefault="00E359E0" w:rsidP="00420D8B">
      <w:pPr>
        <w:spacing w:after="0" w:line="240" w:lineRule="auto"/>
        <w:jc w:val="both"/>
        <w:rPr>
          <w:rFonts w:ascii="Times New Roman" w:hAnsi="Times New Roman" w:cs="Times New Roman"/>
          <w:b/>
          <w:i/>
          <w:sz w:val="24"/>
          <w:szCs w:val="20"/>
        </w:rPr>
      </w:pPr>
      <w:r w:rsidRPr="00E359E0">
        <w:rPr>
          <w:rFonts w:ascii="Times New Roman" w:hAnsi="Times New Roman" w:cs="Times New Roman"/>
          <w:sz w:val="24"/>
          <w:szCs w:val="20"/>
        </w:rPr>
        <w:t>It is recommended that in all cases Inland Revenue should be required to have attempted to resolve the debt prior to disclosure, and that disclosure not</w:t>
      </w:r>
      <w:r w:rsidR="004E4125">
        <w:rPr>
          <w:rFonts w:ascii="Times New Roman" w:hAnsi="Times New Roman" w:cs="Times New Roman"/>
          <w:sz w:val="24"/>
          <w:szCs w:val="20"/>
        </w:rPr>
        <w:t xml:space="preserve"> be</w:t>
      </w:r>
      <w:r w:rsidRPr="00E359E0">
        <w:rPr>
          <w:rFonts w:ascii="Times New Roman" w:hAnsi="Times New Roman" w:cs="Times New Roman"/>
          <w:sz w:val="24"/>
          <w:szCs w:val="20"/>
        </w:rPr>
        <w:t xml:space="preserve"> permitted if debt is under an instalment arrangement or is in dispute. Finally, prior to information being disclosed it is recommended that the affected taxpayer is given thirty days’ notice, and that this notice is served on the taxpayer personally to ensure its effectiveness.</w:t>
      </w:r>
    </w:p>
    <w:p w:rsidR="00420D8B" w:rsidRPr="00D8773E" w:rsidRDefault="00420D8B" w:rsidP="00420D8B">
      <w:pPr>
        <w:spacing w:after="0" w:line="240" w:lineRule="auto"/>
        <w:jc w:val="both"/>
        <w:rPr>
          <w:rFonts w:ascii="Times New Roman" w:hAnsi="Times New Roman" w:cs="Times New Roman"/>
          <w:sz w:val="24"/>
          <w:szCs w:val="20"/>
        </w:rPr>
      </w:pPr>
    </w:p>
    <w:p w:rsidR="00420D8B" w:rsidRDefault="00E359E0" w:rsidP="00420D8B">
      <w:pPr>
        <w:spacing w:after="0" w:line="240" w:lineRule="auto"/>
        <w:jc w:val="both"/>
        <w:rPr>
          <w:rFonts w:ascii="Times New Roman" w:hAnsi="Times New Roman" w:cs="Times New Roman"/>
          <w:b/>
          <w:i/>
          <w:sz w:val="24"/>
          <w:szCs w:val="20"/>
        </w:rPr>
      </w:pPr>
      <w:r w:rsidRPr="00E359E0">
        <w:rPr>
          <w:rFonts w:ascii="Times New Roman" w:hAnsi="Times New Roman" w:cs="Times New Roman"/>
          <w:sz w:val="24"/>
          <w:szCs w:val="20"/>
        </w:rPr>
        <w:t xml:space="preserve">This option would require rigorous safeguards to ensure the accuracy and security of information being disclosed to credit reporting agencies. One advantage of this option is that credit reporting agencies already have robust processes in place as they are already in the business of dealing with debt information on a commercial scale. Inland Revenue would need to establish its own corresponding </w:t>
      </w:r>
      <w:r w:rsidR="004E4125">
        <w:rPr>
          <w:rFonts w:ascii="Times New Roman" w:hAnsi="Times New Roman" w:cs="Times New Roman"/>
          <w:sz w:val="24"/>
          <w:szCs w:val="20"/>
        </w:rPr>
        <w:t>processes</w:t>
      </w:r>
      <w:r w:rsidRPr="00E359E0">
        <w:rPr>
          <w:rFonts w:ascii="Times New Roman" w:hAnsi="Times New Roman" w:cs="Times New Roman"/>
          <w:sz w:val="24"/>
          <w:szCs w:val="20"/>
        </w:rPr>
        <w:t xml:space="preserve">. </w:t>
      </w:r>
    </w:p>
    <w:p w:rsidR="00420D8B" w:rsidRPr="00D8773E" w:rsidRDefault="00420D8B" w:rsidP="00420D8B">
      <w:pPr>
        <w:spacing w:after="0" w:line="240" w:lineRule="auto"/>
        <w:jc w:val="both"/>
        <w:rPr>
          <w:rFonts w:ascii="Times New Roman" w:hAnsi="Times New Roman" w:cs="Times New Roman"/>
          <w:sz w:val="24"/>
          <w:szCs w:val="20"/>
        </w:rPr>
      </w:pPr>
    </w:p>
    <w:p w:rsidR="00F341AC" w:rsidRPr="00420D8B" w:rsidRDefault="00F341AC" w:rsidP="00420D8B">
      <w:pPr>
        <w:spacing w:after="0" w:line="240" w:lineRule="auto"/>
        <w:jc w:val="both"/>
        <w:rPr>
          <w:rFonts w:ascii="Times New Roman" w:hAnsi="Times New Roman" w:cs="Times New Roman"/>
          <w:b/>
          <w:i/>
          <w:sz w:val="24"/>
          <w:szCs w:val="20"/>
        </w:rPr>
      </w:pPr>
      <w:r w:rsidRPr="00F341AC">
        <w:rPr>
          <w:rFonts w:ascii="Times New Roman" w:hAnsi="Times New Roman" w:cs="Times New Roman"/>
          <w:sz w:val="24"/>
          <w:szCs w:val="20"/>
        </w:rPr>
        <w:t xml:space="preserve">One limitation attached to this option is that within the time available, officials have been unable to comprehensively work through privacy issues around credit reporting significant tax debt of individuals. Specifically, more work is required to determine the consistency of this proposal with the Credit Reporting Privacy Code 2004, which contains obligations for credit reporting agencies’ use of individual information. </w:t>
      </w:r>
    </w:p>
    <w:p w:rsidR="00F341AC" w:rsidRPr="00F341AC" w:rsidRDefault="00F341AC" w:rsidP="00D8773E">
      <w:pPr>
        <w:spacing w:after="0" w:line="240" w:lineRule="auto"/>
        <w:jc w:val="both"/>
        <w:rPr>
          <w:rFonts w:ascii="Times New Roman" w:hAnsi="Times New Roman" w:cs="Times New Roman"/>
          <w:sz w:val="24"/>
          <w:szCs w:val="20"/>
        </w:rPr>
      </w:pPr>
    </w:p>
    <w:p w:rsidR="00F341AC" w:rsidRPr="00F341AC" w:rsidRDefault="00F341AC" w:rsidP="00F341AC">
      <w:pPr>
        <w:keepNext/>
        <w:spacing w:after="0" w:line="240" w:lineRule="auto"/>
        <w:jc w:val="both"/>
        <w:rPr>
          <w:rFonts w:ascii="Times New Roman" w:hAnsi="Times New Roman" w:cs="Times New Roman"/>
          <w:sz w:val="24"/>
          <w:szCs w:val="20"/>
        </w:rPr>
      </w:pPr>
      <w:r w:rsidRPr="00F341AC">
        <w:rPr>
          <w:rFonts w:ascii="Times New Roman" w:hAnsi="Times New Roman" w:cs="Times New Roman"/>
          <w:sz w:val="24"/>
          <w:szCs w:val="20"/>
        </w:rPr>
        <w:t>Therefore this option would only initially be available for significant tax debt attached to non-individual taxpayers. Despite this limitation</w:t>
      </w:r>
      <w:r w:rsidR="0062379F">
        <w:rPr>
          <w:rFonts w:ascii="Times New Roman" w:hAnsi="Times New Roman" w:cs="Times New Roman"/>
          <w:sz w:val="24"/>
          <w:szCs w:val="20"/>
        </w:rPr>
        <w:t>,</w:t>
      </w:r>
      <w:r w:rsidRPr="00F341AC">
        <w:rPr>
          <w:rFonts w:ascii="Times New Roman" w:hAnsi="Times New Roman" w:cs="Times New Roman"/>
          <w:sz w:val="24"/>
          <w:szCs w:val="20"/>
        </w:rPr>
        <w:t xml:space="preserve"> officials believe the option remains well targeted to the policy problem. While individuals are capable of developing significant business tax debt and causing harm to other businesses, a large proportion of the significant debt information problem stems from non-individual taxpayers. </w:t>
      </w:r>
    </w:p>
    <w:p w:rsidR="00F341AC" w:rsidRPr="00F341AC" w:rsidRDefault="00F341AC" w:rsidP="00D8773E">
      <w:pPr>
        <w:spacing w:after="0" w:line="240" w:lineRule="auto"/>
        <w:jc w:val="both"/>
        <w:rPr>
          <w:rFonts w:ascii="Times New Roman" w:hAnsi="Times New Roman" w:cs="Times New Roman"/>
          <w:sz w:val="24"/>
          <w:szCs w:val="20"/>
        </w:rPr>
      </w:pPr>
    </w:p>
    <w:p w:rsidR="00F341AC" w:rsidRPr="00F341AC" w:rsidRDefault="00F341AC" w:rsidP="00F341AC">
      <w:pPr>
        <w:keepNext/>
        <w:spacing w:after="0" w:line="240" w:lineRule="auto"/>
        <w:jc w:val="both"/>
        <w:rPr>
          <w:rFonts w:ascii="Times New Roman" w:hAnsi="Times New Roman" w:cs="Times New Roman"/>
          <w:sz w:val="24"/>
          <w:szCs w:val="20"/>
        </w:rPr>
      </w:pPr>
      <w:r w:rsidRPr="00F341AC">
        <w:rPr>
          <w:rFonts w:ascii="Times New Roman" w:hAnsi="Times New Roman" w:cs="Times New Roman"/>
          <w:sz w:val="24"/>
          <w:szCs w:val="20"/>
        </w:rPr>
        <w:t xml:space="preserve">Officials continue to work with the Office of the Privacy Commissioner to better understand the issues around credit reporting individuals’ significant tax debt. </w:t>
      </w:r>
    </w:p>
    <w:p w:rsidR="00E359E0" w:rsidRPr="00E359E0" w:rsidRDefault="00E359E0" w:rsidP="00D8773E">
      <w:pPr>
        <w:spacing w:after="0" w:line="240" w:lineRule="auto"/>
        <w:jc w:val="both"/>
        <w:rPr>
          <w:rFonts w:ascii="Times New Roman" w:hAnsi="Times New Roman" w:cs="Times New Roman"/>
          <w:sz w:val="24"/>
          <w:szCs w:val="20"/>
        </w:rPr>
      </w:pPr>
    </w:p>
    <w:p w:rsidR="00E359E0" w:rsidRPr="008D31DB" w:rsidRDefault="0062379F" w:rsidP="008D31DB">
      <w:pPr>
        <w:spacing w:after="0" w:line="240" w:lineRule="auto"/>
        <w:jc w:val="both"/>
        <w:rPr>
          <w:rFonts w:ascii="Times New Roman" w:hAnsi="Times New Roman" w:cs="Times New Roman"/>
          <w:i/>
          <w:sz w:val="24"/>
          <w:szCs w:val="20"/>
        </w:rPr>
      </w:pPr>
      <w:r>
        <w:rPr>
          <w:rFonts w:ascii="Times New Roman" w:hAnsi="Times New Roman" w:cs="Times New Roman"/>
          <w:i/>
          <w:sz w:val="24"/>
          <w:szCs w:val="20"/>
        </w:rPr>
        <w:t xml:space="preserve">Option 3 - </w:t>
      </w:r>
      <w:r w:rsidR="00E359E0" w:rsidRPr="008D31DB">
        <w:rPr>
          <w:rFonts w:ascii="Times New Roman" w:hAnsi="Times New Roman" w:cs="Times New Roman"/>
          <w:i/>
          <w:sz w:val="24"/>
          <w:szCs w:val="20"/>
        </w:rPr>
        <w:t>Share information on significant tax debt with the general public</w:t>
      </w:r>
    </w:p>
    <w:p w:rsidR="00E359E0" w:rsidRPr="00D8773E" w:rsidRDefault="00E359E0"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This option could make use of similar criteria as described for option 2, with the difference being that debt information would eventually be published rather than used in determining credit ratings. The information would be available for general access, for example using a searchable website. This option would allow a broader range of people to gain information than would be the case under option 2. Disclosure to a wide</w:t>
      </w:r>
      <w:r w:rsidR="0062379F">
        <w:rPr>
          <w:rFonts w:ascii="Times New Roman" w:hAnsi="Times New Roman" w:cs="Times New Roman"/>
          <w:sz w:val="24"/>
          <w:szCs w:val="20"/>
        </w:rPr>
        <w:t>r</w:t>
      </w:r>
      <w:r w:rsidRPr="00E359E0">
        <w:rPr>
          <w:rFonts w:ascii="Times New Roman" w:hAnsi="Times New Roman" w:cs="Times New Roman"/>
          <w:sz w:val="24"/>
          <w:szCs w:val="20"/>
        </w:rPr>
        <w:t xml:space="preserve"> range of people comes with potential compliance benefits through strongly incentivising the repayment of the debt.</w:t>
      </w:r>
    </w:p>
    <w:p w:rsidR="00E359E0" w:rsidRPr="00E359E0" w:rsidRDefault="00E359E0"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 xml:space="preserve">On the other hand, the option is not as well targeted to the policy problem as option 2, as many people without a legitimate interest in a taxpayer’s creditworthiness, and to whom the taxpayer’s debt does not represent a risk, would have access to the information. The option would also lack some of the robust safeguards that accompany the use of credit reporting agencies. This option is likely to expose taxpayers to an inappropriate level of reputational risk without much further benefit to market efficiency. </w:t>
      </w:r>
    </w:p>
    <w:p w:rsidR="00E359E0" w:rsidRPr="00E359E0" w:rsidRDefault="00E359E0" w:rsidP="00E359E0">
      <w:pPr>
        <w:spacing w:after="0" w:line="240" w:lineRule="auto"/>
        <w:jc w:val="both"/>
        <w:rPr>
          <w:rFonts w:ascii="Times New Roman" w:hAnsi="Times New Roman" w:cs="Times New Roman"/>
          <w:sz w:val="24"/>
          <w:szCs w:val="20"/>
        </w:rPr>
      </w:pPr>
    </w:p>
    <w:p w:rsidR="00E359E0" w:rsidRPr="008D31DB" w:rsidRDefault="0062379F" w:rsidP="008D31DB">
      <w:pPr>
        <w:pStyle w:val="ListParagraph"/>
        <w:spacing w:after="0" w:line="240" w:lineRule="auto"/>
        <w:ind w:left="0"/>
        <w:jc w:val="both"/>
        <w:rPr>
          <w:rFonts w:ascii="Times New Roman" w:hAnsi="Times New Roman" w:cs="Times New Roman"/>
          <w:i/>
          <w:sz w:val="24"/>
          <w:szCs w:val="20"/>
        </w:rPr>
      </w:pPr>
      <w:r>
        <w:rPr>
          <w:rFonts w:ascii="Times New Roman" w:hAnsi="Times New Roman" w:cs="Times New Roman"/>
          <w:i/>
          <w:sz w:val="24"/>
          <w:szCs w:val="20"/>
        </w:rPr>
        <w:t xml:space="preserve">Option 4 - </w:t>
      </w:r>
      <w:r w:rsidR="00E359E0" w:rsidRPr="008D31DB">
        <w:rPr>
          <w:rFonts w:ascii="Times New Roman" w:hAnsi="Times New Roman" w:cs="Times New Roman"/>
          <w:i/>
          <w:sz w:val="24"/>
          <w:szCs w:val="20"/>
        </w:rPr>
        <w:t>Share serious offences</w:t>
      </w:r>
      <w:r w:rsidR="00566803" w:rsidRPr="008D31DB">
        <w:rPr>
          <w:rFonts w:ascii="Times New Roman" w:hAnsi="Times New Roman" w:cs="Times New Roman"/>
          <w:i/>
          <w:sz w:val="24"/>
          <w:szCs w:val="20"/>
        </w:rPr>
        <w:t xml:space="preserve"> information with the registrar of companies</w:t>
      </w:r>
    </w:p>
    <w:p w:rsidR="00E359E0" w:rsidRPr="00D8773E" w:rsidRDefault="00E359E0"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This option would involve a new exception to tax secrecy rules to allow Inland Revenue to share information with the Registrar of Companies in relation to certain serious offences (meaning offences with a maximum sentence of imprisonment of 5 years or more) under the Companies Act 1993. These offences relate to serious harmful conduct by company directors and management.</w:t>
      </w:r>
    </w:p>
    <w:p w:rsidR="00E359E0" w:rsidRPr="00E359E0" w:rsidRDefault="00E359E0"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Inland Revenue would be able to share information with the Registrar, either proactively or in response to a request, when:</w:t>
      </w:r>
    </w:p>
    <w:p w:rsidR="00E359E0" w:rsidRPr="00E359E0" w:rsidRDefault="00E359E0" w:rsidP="00E359E0">
      <w:pPr>
        <w:spacing w:after="0" w:line="240" w:lineRule="auto"/>
        <w:jc w:val="both"/>
        <w:rPr>
          <w:rFonts w:ascii="Times New Roman" w:hAnsi="Times New Roman" w:cs="Times New Roman"/>
          <w:sz w:val="24"/>
          <w:szCs w:val="20"/>
        </w:rPr>
      </w:pPr>
    </w:p>
    <w:p w:rsidR="00E359E0" w:rsidRDefault="00E359E0" w:rsidP="00E359E0">
      <w:pPr>
        <w:numPr>
          <w:ilvl w:val="0"/>
          <w:numId w:val="26"/>
        </w:num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there is reasonable suspicion (on the part of the initiating agency) that a serious offence has been, is being, or will be committed;</w:t>
      </w:r>
    </w:p>
    <w:p w:rsidR="00D8773E" w:rsidRPr="00E359E0" w:rsidRDefault="00D8773E" w:rsidP="00D8773E">
      <w:pPr>
        <w:spacing w:after="0" w:line="240" w:lineRule="auto"/>
        <w:jc w:val="both"/>
        <w:rPr>
          <w:rFonts w:ascii="Times New Roman" w:hAnsi="Times New Roman" w:cs="Times New Roman"/>
          <w:sz w:val="24"/>
          <w:szCs w:val="20"/>
        </w:rPr>
      </w:pPr>
    </w:p>
    <w:p w:rsidR="00E359E0" w:rsidRDefault="00E359E0" w:rsidP="00E359E0">
      <w:pPr>
        <w:numPr>
          <w:ilvl w:val="0"/>
          <w:numId w:val="26"/>
        </w:num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 xml:space="preserve">Inland Revenue considers the information being shared will prevent, detect, or provide evidence of, a serious offence that has been, is </w:t>
      </w:r>
      <w:r w:rsidR="00D8773E">
        <w:rPr>
          <w:rFonts w:ascii="Times New Roman" w:hAnsi="Times New Roman" w:cs="Times New Roman"/>
          <w:sz w:val="24"/>
          <w:szCs w:val="20"/>
        </w:rPr>
        <w:t>being, or will be committed; and</w:t>
      </w:r>
    </w:p>
    <w:p w:rsidR="00D8773E" w:rsidRPr="00E359E0" w:rsidRDefault="00D8773E" w:rsidP="00D8773E">
      <w:pPr>
        <w:spacing w:after="0" w:line="240" w:lineRule="auto"/>
        <w:jc w:val="both"/>
        <w:rPr>
          <w:rFonts w:ascii="Times New Roman" w:hAnsi="Times New Roman" w:cs="Times New Roman"/>
          <w:sz w:val="24"/>
          <w:szCs w:val="20"/>
        </w:rPr>
      </w:pPr>
    </w:p>
    <w:p w:rsidR="00E359E0" w:rsidRPr="00E359E0" w:rsidRDefault="00E359E0" w:rsidP="00E359E0">
      <w:pPr>
        <w:numPr>
          <w:ilvl w:val="0"/>
          <w:numId w:val="26"/>
        </w:num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Inland Revenue is satisfied that the information is readily available, it is reasonable and practicable to communicate it, and communication is in the public interest.</w:t>
      </w:r>
    </w:p>
    <w:p w:rsidR="00E359E0" w:rsidRPr="00E359E0" w:rsidRDefault="00E359E0"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This option would be developed to closely resemble Inland Revenue’s current ability to share information with New Zealand Police in relation to serious crime. Due to the serious nature of the offences involved</w:t>
      </w:r>
      <w:r w:rsidR="0062379F">
        <w:rPr>
          <w:rFonts w:ascii="Times New Roman" w:hAnsi="Times New Roman" w:cs="Times New Roman"/>
          <w:sz w:val="24"/>
          <w:szCs w:val="20"/>
        </w:rPr>
        <w:t>,</w:t>
      </w:r>
      <w:r w:rsidRPr="00E359E0">
        <w:rPr>
          <w:rFonts w:ascii="Times New Roman" w:hAnsi="Times New Roman" w:cs="Times New Roman"/>
          <w:sz w:val="24"/>
          <w:szCs w:val="20"/>
        </w:rPr>
        <w:t xml:space="preserve"> it is not expected there will be a large number of shares taking place. </w:t>
      </w:r>
    </w:p>
    <w:p w:rsidR="00E359E0" w:rsidRPr="00E359E0" w:rsidRDefault="00E359E0" w:rsidP="00E359E0">
      <w:pPr>
        <w:spacing w:after="0" w:line="240" w:lineRule="auto"/>
        <w:jc w:val="both"/>
        <w:rPr>
          <w:rFonts w:ascii="Times New Roman" w:hAnsi="Times New Roman" w:cs="Times New Roman"/>
          <w:sz w:val="24"/>
          <w:szCs w:val="20"/>
        </w:rPr>
      </w:pPr>
    </w:p>
    <w:p w:rsidR="00E359E0" w:rsidRPr="008D31DB" w:rsidRDefault="00253C81" w:rsidP="0067183D">
      <w:pPr>
        <w:spacing w:after="0" w:line="240" w:lineRule="auto"/>
        <w:jc w:val="both"/>
        <w:rPr>
          <w:rFonts w:ascii="Times New Roman" w:hAnsi="Times New Roman" w:cs="Times New Roman"/>
          <w:i/>
          <w:sz w:val="24"/>
          <w:szCs w:val="20"/>
        </w:rPr>
      </w:pPr>
      <w:r>
        <w:rPr>
          <w:rFonts w:ascii="Times New Roman" w:hAnsi="Times New Roman" w:cs="Times New Roman"/>
          <w:i/>
          <w:sz w:val="24"/>
          <w:szCs w:val="20"/>
        </w:rPr>
        <w:t xml:space="preserve">Option 5 - </w:t>
      </w:r>
      <w:r w:rsidR="00E359E0" w:rsidRPr="008D31DB">
        <w:rPr>
          <w:rFonts w:ascii="Times New Roman" w:hAnsi="Times New Roman" w:cs="Times New Roman"/>
          <w:i/>
          <w:sz w:val="24"/>
          <w:szCs w:val="20"/>
        </w:rPr>
        <w:t xml:space="preserve">Share information for enforcement of wider business obligations </w:t>
      </w:r>
    </w:p>
    <w:p w:rsidR="00E359E0" w:rsidRPr="00E359E0" w:rsidRDefault="00E359E0" w:rsidP="00E359E0">
      <w:pPr>
        <w:spacing w:after="0" w:line="240" w:lineRule="auto"/>
        <w:jc w:val="both"/>
        <w:rPr>
          <w:rFonts w:ascii="Times New Roman" w:hAnsi="Times New Roman" w:cs="Times New Roman"/>
          <w:i/>
          <w:sz w:val="24"/>
          <w:szCs w:val="20"/>
        </w:rPr>
      </w:pPr>
    </w:p>
    <w:p w:rsid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Exceptions to tax secrecy legislation could be developed to enable Inland Revenue to share information with other agencies for the enforcement of business obligations under various pieces of legislation. For example, Inland Revenue could share information generally to ensure other agencies’ registry records match information held by Inland Revenue, or Inland Revenue could share information in relation to lower level offences. Due to Inland Revenue’s wide information gathering powers it is very likely that it holds much of this information and that it would be useful</w:t>
      </w:r>
      <w:r>
        <w:rPr>
          <w:rFonts w:ascii="Times New Roman" w:hAnsi="Times New Roman" w:cs="Times New Roman"/>
          <w:sz w:val="24"/>
          <w:szCs w:val="20"/>
        </w:rPr>
        <w:t xml:space="preserve"> to other agencies.</w:t>
      </w:r>
    </w:p>
    <w:p w:rsidR="00E359E0" w:rsidRPr="00E359E0" w:rsidRDefault="00E359E0"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 xml:space="preserve">That being said, sharing tax secret information for the purpose of aiding other agencies’ enforcement activity will often not be an appropriate use of taxpayers’ information or Inland Revenue’s resources, and exceptions to tax secrecy legislation should only be developed where they can be strongly justified. Sharing information below the serious offence threshold is likely to be an inappropriate use of the information and of Inland Revenue’s resources.  </w:t>
      </w:r>
    </w:p>
    <w:p w:rsidR="00E359E0" w:rsidRPr="00E359E0" w:rsidRDefault="00E359E0"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It should be noted that there are non-criminal provisions, under the Companies Act and other legislation, that carry serious sanctions or serve an essential policy purpose despite not being serious criminal offences. There may be justification for including such provisions alongside serious criminal offences in future information sharing arrangements. For example, in developing these options officials considered the sharing of information in relation to two further Companies Act provisions:</w:t>
      </w:r>
    </w:p>
    <w:p w:rsidR="00E359E0" w:rsidRPr="00E359E0" w:rsidRDefault="00E359E0" w:rsidP="00E359E0">
      <w:pPr>
        <w:spacing w:after="0" w:line="240" w:lineRule="auto"/>
        <w:jc w:val="both"/>
        <w:rPr>
          <w:rFonts w:ascii="Times New Roman" w:hAnsi="Times New Roman" w:cs="Times New Roman"/>
          <w:sz w:val="24"/>
          <w:szCs w:val="20"/>
        </w:rPr>
      </w:pPr>
    </w:p>
    <w:p w:rsidR="00E359E0" w:rsidRDefault="00E359E0" w:rsidP="00E359E0">
      <w:pPr>
        <w:numPr>
          <w:ilvl w:val="0"/>
          <w:numId w:val="37"/>
        </w:numPr>
        <w:spacing w:after="0" w:line="240" w:lineRule="auto"/>
        <w:contextualSpacing/>
        <w:jc w:val="both"/>
        <w:rPr>
          <w:rFonts w:ascii="Times New Roman" w:hAnsi="Times New Roman" w:cs="Times New Roman"/>
          <w:sz w:val="24"/>
          <w:szCs w:val="20"/>
        </w:rPr>
      </w:pPr>
      <w:r w:rsidRPr="00E359E0">
        <w:rPr>
          <w:rFonts w:ascii="Times New Roman" w:hAnsi="Times New Roman" w:cs="Times New Roman"/>
          <w:sz w:val="24"/>
          <w:szCs w:val="20"/>
        </w:rPr>
        <w:t>The requirement for a company to have a director based in New Zealand, which is intended to prevent the abuse of shell companies; and</w:t>
      </w:r>
    </w:p>
    <w:p w:rsidR="00D22583" w:rsidRPr="00E359E0" w:rsidRDefault="00D22583" w:rsidP="00D22583">
      <w:pPr>
        <w:spacing w:after="0" w:line="240" w:lineRule="auto"/>
        <w:contextualSpacing/>
        <w:jc w:val="both"/>
        <w:rPr>
          <w:rFonts w:ascii="Times New Roman" w:hAnsi="Times New Roman" w:cs="Times New Roman"/>
          <w:sz w:val="24"/>
          <w:szCs w:val="20"/>
        </w:rPr>
      </w:pPr>
    </w:p>
    <w:p w:rsidR="00E359E0" w:rsidRPr="00E359E0" w:rsidRDefault="00E359E0" w:rsidP="00E359E0">
      <w:pPr>
        <w:numPr>
          <w:ilvl w:val="0"/>
          <w:numId w:val="37"/>
        </w:numPr>
        <w:spacing w:after="0" w:line="240" w:lineRule="auto"/>
        <w:contextualSpacing/>
        <w:jc w:val="both"/>
        <w:rPr>
          <w:rFonts w:ascii="Times New Roman" w:hAnsi="Times New Roman" w:cs="Times New Roman"/>
          <w:sz w:val="24"/>
          <w:szCs w:val="20"/>
        </w:rPr>
      </w:pPr>
      <w:r w:rsidRPr="00E359E0">
        <w:rPr>
          <w:rFonts w:ascii="Times New Roman" w:hAnsi="Times New Roman" w:cs="Times New Roman"/>
          <w:sz w:val="24"/>
          <w:szCs w:val="20"/>
        </w:rPr>
        <w:t>The Registrar of Companies’ power to prohibit a director of a failed company from being a director of, or taking part in the management of, another company for up to ten years.</w:t>
      </w:r>
    </w:p>
    <w:p w:rsidR="00E359E0" w:rsidRPr="00E359E0" w:rsidRDefault="00E359E0"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Ultimately these provisions have not been included in the recommended option because expanding information sharing beyond a serious criminal offence standard requires further analysis and this analysis could not be completed in the available time.</w:t>
      </w:r>
    </w:p>
    <w:p w:rsidR="00E359E0" w:rsidRDefault="00E359E0" w:rsidP="00E359E0">
      <w:pPr>
        <w:spacing w:after="0" w:line="240" w:lineRule="auto"/>
        <w:jc w:val="both"/>
        <w:rPr>
          <w:rFonts w:ascii="Times New Roman" w:hAnsi="Times New Roman" w:cs="Times New Roman"/>
          <w:sz w:val="24"/>
          <w:szCs w:val="20"/>
        </w:rPr>
      </w:pPr>
    </w:p>
    <w:p w:rsidR="00C515EB" w:rsidRDefault="00C515EB" w:rsidP="00E359E0">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Options not considered</w:t>
      </w:r>
    </w:p>
    <w:p w:rsidR="00C515EB" w:rsidRDefault="00C515EB" w:rsidP="00E359E0">
      <w:pPr>
        <w:spacing w:after="0" w:line="240" w:lineRule="auto"/>
        <w:jc w:val="both"/>
        <w:rPr>
          <w:rFonts w:ascii="Times New Roman" w:hAnsi="Times New Roman" w:cs="Times New Roman"/>
          <w:b/>
          <w:sz w:val="24"/>
          <w:szCs w:val="20"/>
        </w:rPr>
      </w:pPr>
    </w:p>
    <w:p w:rsidR="00C515EB" w:rsidRPr="0062379F" w:rsidRDefault="00C515EB" w:rsidP="00C515EB">
      <w:pPr>
        <w:spacing w:after="0" w:line="240" w:lineRule="auto"/>
        <w:jc w:val="both"/>
        <w:rPr>
          <w:rFonts w:ascii="Times New Roman" w:hAnsi="Times New Roman" w:cs="Times New Roman"/>
          <w:i/>
          <w:sz w:val="24"/>
          <w:szCs w:val="20"/>
        </w:rPr>
      </w:pPr>
      <w:r w:rsidRPr="00F11A0B">
        <w:rPr>
          <w:rFonts w:ascii="Times New Roman" w:hAnsi="Times New Roman" w:cs="Times New Roman"/>
          <w:i/>
          <w:sz w:val="24"/>
          <w:szCs w:val="20"/>
        </w:rPr>
        <w:t>Share serious offences information with a range of agencies</w:t>
      </w:r>
    </w:p>
    <w:p w:rsidR="00C515EB" w:rsidRPr="00E359E0" w:rsidRDefault="00C515EB" w:rsidP="00C515EB">
      <w:pPr>
        <w:spacing w:after="0" w:line="240" w:lineRule="auto"/>
        <w:jc w:val="both"/>
        <w:rPr>
          <w:rFonts w:ascii="Times New Roman" w:hAnsi="Times New Roman" w:cs="Times New Roman"/>
          <w:i/>
          <w:sz w:val="24"/>
          <w:szCs w:val="20"/>
        </w:rPr>
      </w:pPr>
    </w:p>
    <w:p w:rsidR="00C515EB" w:rsidRPr="00E359E0" w:rsidRDefault="00C515EB" w:rsidP="00C515EB">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 xml:space="preserve">There are a number of enforcement agencies other than New Zealand Police and the Companies Office that investigate and prosecute serious offences, some involving business and director conduct. Information sharing with these agencies may also have the potential to improve market efficiency. Given the limited time available to advance policy options for this package, officials have prioritised work on information sharing with the Registrar of Companies for serious director offences. The nature of these offences means this particular sharing proposal has strong potential to better protect compliant participants in the business community. Inland Revenue is also likely to have information that is relevant to the investigation and prosecution of these offences. </w:t>
      </w:r>
    </w:p>
    <w:p w:rsidR="00C515EB" w:rsidRPr="00E359E0" w:rsidRDefault="00C515EB" w:rsidP="00C515EB">
      <w:pPr>
        <w:spacing w:after="0" w:line="240" w:lineRule="auto"/>
        <w:jc w:val="both"/>
        <w:rPr>
          <w:rFonts w:ascii="Times New Roman" w:hAnsi="Times New Roman" w:cs="Times New Roman"/>
          <w:sz w:val="24"/>
          <w:szCs w:val="20"/>
        </w:rPr>
      </w:pPr>
    </w:p>
    <w:p w:rsidR="00C515EB" w:rsidRPr="00663D81" w:rsidRDefault="00C515EB" w:rsidP="00C515EB">
      <w:pPr>
        <w:autoSpaceDE w:val="0"/>
        <w:autoSpaceDN w:val="0"/>
        <w:adjustRightInd w:val="0"/>
        <w:spacing w:after="0" w:line="240" w:lineRule="auto"/>
        <w:jc w:val="both"/>
        <w:rPr>
          <w:rFonts w:ascii="Times New Roman" w:hAnsi="Times New Roman" w:cs="Times New Roman"/>
          <w:sz w:val="24"/>
          <w:szCs w:val="20"/>
        </w:rPr>
      </w:pPr>
      <w:r w:rsidRPr="00663D81">
        <w:rPr>
          <w:rFonts w:ascii="Times New Roman" w:hAnsi="Times New Roman" w:cs="Times New Roman"/>
          <w:sz w:val="24"/>
          <w:szCs w:val="20"/>
        </w:rPr>
        <w:t xml:space="preserve">The Government discussion document </w:t>
      </w:r>
      <w:proofErr w:type="gramStart"/>
      <w:r w:rsidRPr="00663D81">
        <w:rPr>
          <w:rFonts w:ascii="Times New Roman" w:hAnsi="Times New Roman" w:cs="Times New Roman"/>
          <w:i/>
          <w:sz w:val="24"/>
          <w:szCs w:val="20"/>
        </w:rPr>
        <w:t>Making</w:t>
      </w:r>
      <w:proofErr w:type="gramEnd"/>
      <w:r w:rsidRPr="00663D81">
        <w:rPr>
          <w:rFonts w:ascii="Times New Roman" w:hAnsi="Times New Roman" w:cs="Times New Roman"/>
          <w:i/>
          <w:sz w:val="24"/>
          <w:szCs w:val="20"/>
        </w:rPr>
        <w:t xml:space="preserve"> tax simpler – Towards a new Tax Administration Act</w:t>
      </w:r>
      <w:r w:rsidRPr="00663D81">
        <w:rPr>
          <w:rFonts w:ascii="Times New Roman" w:hAnsi="Times New Roman" w:cs="Times New Roman"/>
          <w:sz w:val="24"/>
          <w:szCs w:val="20"/>
        </w:rPr>
        <w:t xml:space="preserve"> discusses the future of cross government information sharing. The Government is currently considering how to better use agencies’ information, and in particular how to use information more effectively to combat organised crime. The document seeks feedback on the extent to which Inland Revenue should increase information sharing with other government agencies. This feedback will inform future decisions on extending information sharing for other serious offences.</w:t>
      </w:r>
    </w:p>
    <w:p w:rsidR="00E359E0" w:rsidRDefault="00E359E0" w:rsidP="00E359E0">
      <w:pPr>
        <w:jc w:val="both"/>
        <w:rPr>
          <w:rFonts w:ascii="Times New Roman" w:hAnsi="Times New Roman" w:cs="Times New Roman"/>
          <w:b/>
          <w:sz w:val="24"/>
          <w:szCs w:val="20"/>
        </w:rPr>
      </w:pPr>
    </w:p>
    <w:p w:rsidR="000D155B" w:rsidRDefault="000D155B" w:rsidP="000D155B">
      <w:pPr>
        <w:pStyle w:val="ListParagraph"/>
        <w:spacing w:after="0" w:line="240" w:lineRule="auto"/>
        <w:ind w:left="0"/>
        <w:rPr>
          <w:rFonts w:ascii="Times New Roman" w:hAnsi="Times New Roman" w:cs="Times New Roman"/>
          <w:sz w:val="24"/>
          <w:szCs w:val="24"/>
        </w:rPr>
      </w:pPr>
      <w:r w:rsidRPr="007F245B">
        <w:rPr>
          <w:rFonts w:ascii="Times New Roman" w:hAnsi="Times New Roman" w:cs="Times New Roman"/>
          <w:sz w:val="24"/>
          <w:szCs w:val="24"/>
        </w:rPr>
        <w:t>Officials’ analysis of the options is set out in the table on the next page</w:t>
      </w:r>
      <w:r>
        <w:rPr>
          <w:rFonts w:ascii="Times New Roman" w:hAnsi="Times New Roman" w:cs="Times New Roman"/>
          <w:sz w:val="24"/>
          <w:szCs w:val="24"/>
        </w:rPr>
        <w:t>.</w:t>
      </w:r>
    </w:p>
    <w:p w:rsidR="000D155B" w:rsidRPr="00E359E0" w:rsidRDefault="000D155B" w:rsidP="00E359E0">
      <w:pPr>
        <w:jc w:val="both"/>
        <w:rPr>
          <w:rFonts w:ascii="Times New Roman" w:hAnsi="Times New Roman" w:cs="Times New Roman"/>
          <w:b/>
          <w:sz w:val="24"/>
          <w:szCs w:val="20"/>
        </w:rPr>
        <w:sectPr w:rsidR="000D155B" w:rsidRPr="00E359E0">
          <w:pgSz w:w="11906" w:h="16838"/>
          <w:pgMar w:top="1440" w:right="1440" w:bottom="1440" w:left="1440" w:header="708" w:footer="708" w:gutter="0"/>
          <w:cols w:space="708"/>
          <w:docGrid w:linePitch="360"/>
        </w:sectPr>
      </w:pPr>
    </w:p>
    <w:tbl>
      <w:tblPr>
        <w:tblStyle w:val="TableGrid2"/>
        <w:tblW w:w="15735" w:type="dxa"/>
        <w:tblInd w:w="-885" w:type="dxa"/>
        <w:tblLayout w:type="fixed"/>
        <w:tblLook w:val="04A0" w:firstRow="1" w:lastRow="0" w:firstColumn="1" w:lastColumn="0" w:noHBand="0" w:noVBand="1"/>
      </w:tblPr>
      <w:tblGrid>
        <w:gridCol w:w="3147"/>
        <w:gridCol w:w="3147"/>
        <w:gridCol w:w="3147"/>
        <w:gridCol w:w="3147"/>
        <w:gridCol w:w="3147"/>
      </w:tblGrid>
      <w:tr w:rsidR="00E359E0" w:rsidRPr="00E359E0" w:rsidTr="00913BB3">
        <w:tc>
          <w:tcPr>
            <w:tcW w:w="3147" w:type="dxa"/>
          </w:tcPr>
          <w:p w:rsidR="00E359E0" w:rsidRPr="00E359E0" w:rsidRDefault="00E359E0" w:rsidP="008D31DB">
            <w:pPr>
              <w:rPr>
                <w:rFonts w:ascii="Times New Roman" w:hAnsi="Times New Roman" w:cs="Times New Roman"/>
                <w:b/>
                <w:sz w:val="24"/>
                <w:szCs w:val="20"/>
              </w:rPr>
            </w:pPr>
            <w:r w:rsidRPr="00E359E0">
              <w:rPr>
                <w:rFonts w:ascii="Times New Roman" w:hAnsi="Times New Roman" w:cs="Times New Roman"/>
                <w:b/>
                <w:sz w:val="24"/>
                <w:szCs w:val="20"/>
              </w:rPr>
              <w:t>Options</w:t>
            </w:r>
          </w:p>
        </w:tc>
        <w:tc>
          <w:tcPr>
            <w:tcW w:w="3147" w:type="dxa"/>
          </w:tcPr>
          <w:p w:rsidR="00E359E0" w:rsidRPr="00E359E0" w:rsidRDefault="00E359E0" w:rsidP="008D31DB">
            <w:pPr>
              <w:rPr>
                <w:rFonts w:ascii="Times New Roman" w:hAnsi="Times New Roman" w:cs="Times New Roman"/>
                <w:b/>
                <w:sz w:val="24"/>
                <w:szCs w:val="20"/>
              </w:rPr>
            </w:pPr>
            <w:r w:rsidRPr="00E359E0">
              <w:rPr>
                <w:rFonts w:ascii="Times New Roman" w:hAnsi="Times New Roman" w:cs="Times New Roman"/>
                <w:b/>
                <w:sz w:val="24"/>
                <w:szCs w:val="20"/>
              </w:rPr>
              <w:t>Fairness and equity</w:t>
            </w:r>
          </w:p>
        </w:tc>
        <w:tc>
          <w:tcPr>
            <w:tcW w:w="3147" w:type="dxa"/>
          </w:tcPr>
          <w:p w:rsidR="00E359E0" w:rsidRPr="00E359E0" w:rsidRDefault="00E359E0" w:rsidP="008D31DB">
            <w:pPr>
              <w:rPr>
                <w:rFonts w:ascii="Times New Roman" w:hAnsi="Times New Roman" w:cs="Times New Roman"/>
                <w:b/>
                <w:sz w:val="24"/>
                <w:szCs w:val="20"/>
              </w:rPr>
            </w:pPr>
            <w:r w:rsidRPr="00E359E0">
              <w:rPr>
                <w:rFonts w:ascii="Times New Roman" w:hAnsi="Times New Roman" w:cs="Times New Roman"/>
                <w:b/>
                <w:sz w:val="24"/>
                <w:szCs w:val="20"/>
              </w:rPr>
              <w:t xml:space="preserve">Efficiency of compliance and administration </w:t>
            </w:r>
          </w:p>
        </w:tc>
        <w:tc>
          <w:tcPr>
            <w:tcW w:w="3147" w:type="dxa"/>
          </w:tcPr>
          <w:p w:rsidR="00E359E0" w:rsidRPr="00E359E0" w:rsidRDefault="00E359E0" w:rsidP="008D31DB">
            <w:pPr>
              <w:rPr>
                <w:rFonts w:ascii="Times New Roman" w:hAnsi="Times New Roman" w:cs="Times New Roman"/>
                <w:b/>
                <w:sz w:val="24"/>
                <w:szCs w:val="20"/>
              </w:rPr>
            </w:pPr>
            <w:r w:rsidRPr="00E359E0">
              <w:rPr>
                <w:rFonts w:ascii="Times New Roman" w:hAnsi="Times New Roman" w:cs="Times New Roman"/>
                <w:b/>
                <w:sz w:val="24"/>
                <w:szCs w:val="20"/>
              </w:rPr>
              <w:t>Sustainability of tax system</w:t>
            </w:r>
          </w:p>
        </w:tc>
        <w:tc>
          <w:tcPr>
            <w:tcW w:w="3147" w:type="dxa"/>
          </w:tcPr>
          <w:p w:rsidR="00E359E0" w:rsidRPr="00E359E0" w:rsidRDefault="00E359E0" w:rsidP="008D31DB">
            <w:pPr>
              <w:rPr>
                <w:rFonts w:ascii="Times New Roman" w:hAnsi="Times New Roman" w:cs="Times New Roman"/>
                <w:b/>
                <w:sz w:val="24"/>
                <w:szCs w:val="20"/>
              </w:rPr>
            </w:pPr>
            <w:r w:rsidRPr="00E359E0">
              <w:rPr>
                <w:rFonts w:ascii="Times New Roman" w:hAnsi="Times New Roman" w:cs="Times New Roman"/>
                <w:b/>
                <w:sz w:val="24"/>
                <w:szCs w:val="20"/>
              </w:rPr>
              <w:t>Revenue impact</w:t>
            </w:r>
          </w:p>
        </w:tc>
      </w:tr>
      <w:tr w:rsidR="00E359E0" w:rsidRPr="00E359E0" w:rsidTr="00913BB3">
        <w:tc>
          <w:tcPr>
            <w:tcW w:w="3147" w:type="dxa"/>
          </w:tcPr>
          <w:p w:rsidR="00E359E0" w:rsidRPr="00E359E0" w:rsidRDefault="00D8773E" w:rsidP="00D8773E">
            <w:pPr>
              <w:contextualSpacing/>
              <w:rPr>
                <w:rFonts w:ascii="Times New Roman" w:hAnsi="Times New Roman" w:cs="Times New Roman"/>
                <w:sz w:val="24"/>
                <w:szCs w:val="20"/>
              </w:rPr>
            </w:pPr>
            <w:r>
              <w:rPr>
                <w:rFonts w:ascii="Times New Roman" w:hAnsi="Times New Roman" w:cs="Times New Roman"/>
                <w:sz w:val="24"/>
                <w:szCs w:val="20"/>
              </w:rPr>
              <w:t>1. Retain the s</w:t>
            </w:r>
            <w:r w:rsidR="00E359E0" w:rsidRPr="00E359E0">
              <w:rPr>
                <w:rFonts w:ascii="Times New Roman" w:hAnsi="Times New Roman" w:cs="Times New Roman"/>
                <w:sz w:val="24"/>
                <w:szCs w:val="20"/>
              </w:rPr>
              <w:t>tatus quo</w:t>
            </w:r>
          </w:p>
        </w:tc>
        <w:tc>
          <w:tcPr>
            <w:tcW w:w="3147" w:type="dxa"/>
          </w:tcPr>
          <w:p w:rsidR="00253C81" w:rsidRDefault="00E359E0" w:rsidP="00253C81">
            <w:pPr>
              <w:rPr>
                <w:rFonts w:ascii="Times New Roman" w:hAnsi="Times New Roman" w:cs="Times New Roman"/>
                <w:sz w:val="24"/>
                <w:szCs w:val="20"/>
              </w:rPr>
            </w:pPr>
            <w:r w:rsidRPr="00E359E0">
              <w:rPr>
                <w:rFonts w:ascii="Times New Roman" w:hAnsi="Times New Roman" w:cs="Times New Roman"/>
                <w:sz w:val="24"/>
                <w:szCs w:val="20"/>
              </w:rPr>
              <w:t>Not met</w:t>
            </w:r>
          </w:p>
          <w:p w:rsidR="00253C81" w:rsidRDefault="00253C81" w:rsidP="00253C81">
            <w:pPr>
              <w:rPr>
                <w:rFonts w:ascii="Times New Roman" w:hAnsi="Times New Roman" w:cs="Times New Roman"/>
                <w:sz w:val="24"/>
                <w:szCs w:val="20"/>
              </w:rPr>
            </w:pPr>
          </w:p>
          <w:p w:rsidR="00E359E0" w:rsidRPr="00E359E0" w:rsidRDefault="00253C81" w:rsidP="00253C81">
            <w:pPr>
              <w:rPr>
                <w:rFonts w:ascii="Times New Roman" w:hAnsi="Times New Roman" w:cs="Times New Roman"/>
                <w:sz w:val="24"/>
                <w:szCs w:val="20"/>
              </w:rPr>
            </w:pPr>
            <w:r>
              <w:rPr>
                <w:rFonts w:ascii="Times New Roman" w:hAnsi="Times New Roman" w:cs="Times New Roman"/>
                <w:sz w:val="24"/>
                <w:szCs w:val="20"/>
              </w:rPr>
              <w:t>N</w:t>
            </w:r>
            <w:r w:rsidR="00E359E0" w:rsidRPr="00E359E0">
              <w:rPr>
                <w:rFonts w:ascii="Times New Roman" w:hAnsi="Times New Roman" w:cs="Times New Roman"/>
                <w:sz w:val="24"/>
                <w:szCs w:val="20"/>
              </w:rPr>
              <w:t xml:space="preserve">on-compliant businesses </w:t>
            </w:r>
            <w:r w:rsidR="00DE748B">
              <w:rPr>
                <w:rFonts w:ascii="Times New Roman" w:hAnsi="Times New Roman" w:cs="Times New Roman"/>
                <w:sz w:val="24"/>
                <w:szCs w:val="20"/>
              </w:rPr>
              <w:t xml:space="preserve">are </w:t>
            </w:r>
            <w:r w:rsidR="00E359E0" w:rsidRPr="00E359E0">
              <w:rPr>
                <w:rFonts w:ascii="Times New Roman" w:hAnsi="Times New Roman" w:cs="Times New Roman"/>
                <w:sz w:val="24"/>
                <w:szCs w:val="20"/>
              </w:rPr>
              <w:t>able to continue trading while compliant businesses bear the risk.</w:t>
            </w:r>
          </w:p>
        </w:tc>
        <w:tc>
          <w:tcPr>
            <w:tcW w:w="3147" w:type="dxa"/>
          </w:tcPr>
          <w:p w:rsidR="00DE748B" w:rsidRDefault="00E359E0" w:rsidP="00E359E0">
            <w:pPr>
              <w:rPr>
                <w:rFonts w:ascii="Times New Roman" w:hAnsi="Times New Roman" w:cs="Times New Roman"/>
                <w:sz w:val="24"/>
                <w:szCs w:val="20"/>
              </w:rPr>
            </w:pPr>
            <w:r w:rsidRPr="00E359E0">
              <w:rPr>
                <w:rFonts w:ascii="Times New Roman" w:hAnsi="Times New Roman" w:cs="Times New Roman"/>
                <w:sz w:val="24"/>
                <w:szCs w:val="20"/>
              </w:rPr>
              <w:t>Not met</w:t>
            </w:r>
          </w:p>
          <w:p w:rsidR="00DE748B" w:rsidRDefault="00DE748B" w:rsidP="00E359E0">
            <w:pPr>
              <w:rPr>
                <w:rFonts w:ascii="Times New Roman" w:hAnsi="Times New Roman" w:cs="Times New Roman"/>
                <w:sz w:val="24"/>
                <w:szCs w:val="20"/>
              </w:rPr>
            </w:pPr>
          </w:p>
          <w:p w:rsidR="00E359E0" w:rsidRPr="00E359E0" w:rsidRDefault="00DE748B" w:rsidP="00E359E0">
            <w:pPr>
              <w:rPr>
                <w:rFonts w:ascii="Times New Roman" w:hAnsi="Times New Roman" w:cs="Times New Roman"/>
                <w:sz w:val="24"/>
                <w:szCs w:val="20"/>
              </w:rPr>
            </w:pPr>
            <w:r>
              <w:rPr>
                <w:rFonts w:ascii="Times New Roman" w:hAnsi="Times New Roman" w:cs="Times New Roman"/>
                <w:sz w:val="24"/>
                <w:szCs w:val="20"/>
              </w:rPr>
              <w:t>C</w:t>
            </w:r>
            <w:r w:rsidR="00E359E0" w:rsidRPr="00E359E0">
              <w:rPr>
                <w:rFonts w:ascii="Times New Roman" w:hAnsi="Times New Roman" w:cs="Times New Roman"/>
                <w:sz w:val="24"/>
                <w:szCs w:val="20"/>
              </w:rPr>
              <w:t xml:space="preserve">ompliant businesses can face high costs due to poor information on tax debt. </w:t>
            </w:r>
          </w:p>
          <w:p w:rsidR="00E359E0" w:rsidRPr="00E359E0" w:rsidRDefault="00E359E0" w:rsidP="00E359E0">
            <w:pPr>
              <w:rPr>
                <w:rFonts w:ascii="Times New Roman" w:hAnsi="Times New Roman" w:cs="Times New Roman"/>
                <w:sz w:val="24"/>
                <w:szCs w:val="20"/>
              </w:rPr>
            </w:pPr>
          </w:p>
          <w:p w:rsidR="00E359E0" w:rsidRPr="00E359E0" w:rsidRDefault="00E359E0" w:rsidP="00E359E0">
            <w:pPr>
              <w:rPr>
                <w:rFonts w:ascii="Times New Roman" w:hAnsi="Times New Roman" w:cs="Times New Roman"/>
                <w:sz w:val="24"/>
                <w:szCs w:val="20"/>
              </w:rPr>
            </w:pPr>
            <w:r w:rsidRPr="00E359E0">
              <w:rPr>
                <w:rFonts w:ascii="Times New Roman" w:hAnsi="Times New Roman" w:cs="Times New Roman"/>
                <w:sz w:val="24"/>
                <w:szCs w:val="20"/>
              </w:rPr>
              <w:t xml:space="preserve">Enforcement agencies and Inland Revenue have some inefficiency in administration in terms of habitually non-compliant businesses and directors. </w:t>
            </w:r>
          </w:p>
        </w:tc>
        <w:tc>
          <w:tcPr>
            <w:tcW w:w="3147" w:type="dxa"/>
          </w:tcPr>
          <w:p w:rsidR="00DE748B" w:rsidRDefault="00E359E0" w:rsidP="00DE748B">
            <w:pPr>
              <w:rPr>
                <w:rFonts w:ascii="Times New Roman" w:hAnsi="Times New Roman" w:cs="Times New Roman"/>
                <w:sz w:val="24"/>
                <w:szCs w:val="20"/>
              </w:rPr>
            </w:pPr>
            <w:r w:rsidRPr="00E359E0">
              <w:rPr>
                <w:rFonts w:ascii="Times New Roman" w:hAnsi="Times New Roman" w:cs="Times New Roman"/>
                <w:sz w:val="24"/>
                <w:szCs w:val="20"/>
              </w:rPr>
              <w:t>Not met</w:t>
            </w:r>
          </w:p>
          <w:p w:rsidR="00DE748B" w:rsidRDefault="00DE748B" w:rsidP="00DE748B">
            <w:pPr>
              <w:rPr>
                <w:rFonts w:ascii="Times New Roman" w:hAnsi="Times New Roman" w:cs="Times New Roman"/>
                <w:sz w:val="24"/>
                <w:szCs w:val="20"/>
              </w:rPr>
            </w:pPr>
          </w:p>
          <w:p w:rsidR="00E359E0" w:rsidRPr="00E359E0" w:rsidRDefault="00DE748B" w:rsidP="00DE748B">
            <w:pPr>
              <w:rPr>
                <w:rFonts w:ascii="Times New Roman" w:hAnsi="Times New Roman" w:cs="Times New Roman"/>
                <w:sz w:val="24"/>
                <w:szCs w:val="20"/>
              </w:rPr>
            </w:pPr>
            <w:r>
              <w:rPr>
                <w:rFonts w:ascii="Times New Roman" w:hAnsi="Times New Roman" w:cs="Times New Roman"/>
                <w:sz w:val="24"/>
                <w:szCs w:val="20"/>
              </w:rPr>
              <w:t>T</w:t>
            </w:r>
            <w:r w:rsidR="00E359E0" w:rsidRPr="00E359E0">
              <w:rPr>
                <w:rFonts w:ascii="Times New Roman" w:hAnsi="Times New Roman" w:cs="Times New Roman"/>
                <w:sz w:val="24"/>
                <w:szCs w:val="20"/>
              </w:rPr>
              <w:t xml:space="preserve">axpayers in significant tax debt can choose to isolate it from other obligations while it grows, or until the business collapses. </w:t>
            </w:r>
          </w:p>
        </w:tc>
        <w:tc>
          <w:tcPr>
            <w:tcW w:w="3147" w:type="dxa"/>
          </w:tcPr>
          <w:p w:rsidR="00E359E0" w:rsidRPr="00E359E0" w:rsidRDefault="00D8773E" w:rsidP="00E359E0">
            <w:pPr>
              <w:jc w:val="both"/>
              <w:rPr>
                <w:rFonts w:ascii="Times New Roman" w:hAnsi="Times New Roman" w:cs="Times New Roman"/>
                <w:sz w:val="24"/>
                <w:szCs w:val="20"/>
              </w:rPr>
            </w:pPr>
            <w:r w:rsidRPr="00E528EF">
              <w:rPr>
                <w:rFonts w:ascii="Times New Roman" w:hAnsi="Times New Roman" w:cs="Times New Roman"/>
                <w:sz w:val="24"/>
                <w:szCs w:val="20"/>
              </w:rPr>
              <w:t>No impact</w:t>
            </w:r>
          </w:p>
        </w:tc>
      </w:tr>
      <w:tr w:rsidR="00E359E0" w:rsidRPr="00E359E0" w:rsidTr="00913BB3">
        <w:tc>
          <w:tcPr>
            <w:tcW w:w="3147" w:type="dxa"/>
          </w:tcPr>
          <w:p w:rsidR="00E359E0" w:rsidRPr="00E359E0" w:rsidRDefault="00D8773E" w:rsidP="00D8773E">
            <w:pPr>
              <w:contextualSpacing/>
              <w:rPr>
                <w:rFonts w:ascii="Times New Roman" w:hAnsi="Times New Roman" w:cs="Times New Roman"/>
                <w:sz w:val="24"/>
                <w:szCs w:val="20"/>
              </w:rPr>
            </w:pPr>
            <w:r>
              <w:rPr>
                <w:rFonts w:ascii="Times New Roman" w:hAnsi="Times New Roman" w:cs="Times New Roman"/>
                <w:sz w:val="24"/>
                <w:szCs w:val="20"/>
              </w:rPr>
              <w:t xml:space="preserve">2. </w:t>
            </w:r>
            <w:r w:rsidR="00E359E0" w:rsidRPr="00E359E0">
              <w:rPr>
                <w:rFonts w:ascii="Times New Roman" w:hAnsi="Times New Roman" w:cs="Times New Roman"/>
                <w:sz w:val="24"/>
                <w:szCs w:val="20"/>
              </w:rPr>
              <w:t>Share significant tax debt information with credit reporting agencies</w:t>
            </w:r>
          </w:p>
        </w:tc>
        <w:tc>
          <w:tcPr>
            <w:tcW w:w="3147" w:type="dxa"/>
          </w:tcPr>
          <w:p w:rsidR="00DE748B" w:rsidRDefault="00E359E0" w:rsidP="00DE748B">
            <w:pPr>
              <w:rPr>
                <w:rFonts w:ascii="Times New Roman" w:hAnsi="Times New Roman" w:cs="Times New Roman"/>
                <w:sz w:val="24"/>
                <w:szCs w:val="20"/>
              </w:rPr>
            </w:pPr>
            <w:r w:rsidRPr="00E359E0">
              <w:rPr>
                <w:rFonts w:ascii="Times New Roman" w:hAnsi="Times New Roman" w:cs="Times New Roman"/>
                <w:sz w:val="24"/>
                <w:szCs w:val="20"/>
              </w:rPr>
              <w:t>Met</w:t>
            </w:r>
          </w:p>
          <w:p w:rsidR="00DE748B" w:rsidRDefault="00DE748B" w:rsidP="00DE748B">
            <w:pPr>
              <w:rPr>
                <w:rFonts w:ascii="Times New Roman" w:hAnsi="Times New Roman" w:cs="Times New Roman"/>
                <w:sz w:val="24"/>
                <w:szCs w:val="20"/>
              </w:rPr>
            </w:pPr>
          </w:p>
          <w:p w:rsidR="00E359E0" w:rsidRPr="00E359E0" w:rsidRDefault="00DE748B" w:rsidP="00DE748B">
            <w:pPr>
              <w:rPr>
                <w:rFonts w:ascii="Times New Roman" w:hAnsi="Times New Roman" w:cs="Times New Roman"/>
                <w:sz w:val="24"/>
                <w:szCs w:val="20"/>
              </w:rPr>
            </w:pPr>
            <w:r>
              <w:rPr>
                <w:rFonts w:ascii="Times New Roman" w:hAnsi="Times New Roman" w:cs="Times New Roman"/>
                <w:sz w:val="24"/>
                <w:szCs w:val="20"/>
              </w:rPr>
              <w:t>D</w:t>
            </w:r>
            <w:r w:rsidR="00E359E0" w:rsidRPr="00E359E0">
              <w:rPr>
                <w:rFonts w:ascii="Times New Roman" w:hAnsi="Times New Roman" w:cs="Times New Roman"/>
                <w:sz w:val="24"/>
                <w:szCs w:val="20"/>
              </w:rPr>
              <w:t xml:space="preserve">isclosure will only take place when </w:t>
            </w:r>
            <w:r>
              <w:rPr>
                <w:rFonts w:ascii="Times New Roman" w:hAnsi="Times New Roman" w:cs="Times New Roman"/>
                <w:sz w:val="24"/>
                <w:szCs w:val="20"/>
              </w:rPr>
              <w:t xml:space="preserve">it is </w:t>
            </w:r>
            <w:r w:rsidR="004E4125">
              <w:rPr>
                <w:rFonts w:ascii="Times New Roman" w:hAnsi="Times New Roman" w:cs="Times New Roman"/>
                <w:sz w:val="24"/>
                <w:szCs w:val="20"/>
              </w:rPr>
              <w:t xml:space="preserve">a </w:t>
            </w:r>
            <w:r w:rsidR="00E359E0" w:rsidRPr="00E359E0">
              <w:rPr>
                <w:rFonts w:ascii="Times New Roman" w:hAnsi="Times New Roman" w:cs="Times New Roman"/>
                <w:sz w:val="24"/>
                <w:szCs w:val="20"/>
              </w:rPr>
              <w:t xml:space="preserve">proportionate response to </w:t>
            </w:r>
            <w:r>
              <w:rPr>
                <w:rFonts w:ascii="Times New Roman" w:hAnsi="Times New Roman" w:cs="Times New Roman"/>
                <w:sz w:val="24"/>
                <w:szCs w:val="20"/>
              </w:rPr>
              <w:t xml:space="preserve">the </w:t>
            </w:r>
            <w:r w:rsidR="00E359E0" w:rsidRPr="00E359E0">
              <w:rPr>
                <w:rFonts w:ascii="Times New Roman" w:hAnsi="Times New Roman" w:cs="Times New Roman"/>
                <w:sz w:val="24"/>
                <w:szCs w:val="20"/>
              </w:rPr>
              <w:t xml:space="preserve">risk represented by taxpayer debt to </w:t>
            </w:r>
            <w:r>
              <w:rPr>
                <w:rFonts w:ascii="Times New Roman" w:hAnsi="Times New Roman" w:cs="Times New Roman"/>
                <w:sz w:val="24"/>
                <w:szCs w:val="20"/>
              </w:rPr>
              <w:t xml:space="preserve">the </w:t>
            </w:r>
            <w:r w:rsidR="00E359E0" w:rsidRPr="00E359E0">
              <w:rPr>
                <w:rFonts w:ascii="Times New Roman" w:hAnsi="Times New Roman" w:cs="Times New Roman"/>
                <w:sz w:val="24"/>
                <w:szCs w:val="20"/>
              </w:rPr>
              <w:t xml:space="preserve">business community. Compliant participants can operate with less risk due to more information.  </w:t>
            </w:r>
          </w:p>
        </w:tc>
        <w:tc>
          <w:tcPr>
            <w:tcW w:w="3147" w:type="dxa"/>
          </w:tcPr>
          <w:p w:rsidR="00DE748B" w:rsidRDefault="00E359E0" w:rsidP="00DE748B">
            <w:pPr>
              <w:rPr>
                <w:rFonts w:ascii="Times New Roman" w:hAnsi="Times New Roman" w:cs="Times New Roman"/>
                <w:sz w:val="24"/>
                <w:szCs w:val="20"/>
              </w:rPr>
            </w:pPr>
            <w:r w:rsidRPr="00E359E0">
              <w:rPr>
                <w:rFonts w:ascii="Times New Roman" w:hAnsi="Times New Roman" w:cs="Times New Roman"/>
                <w:sz w:val="24"/>
                <w:szCs w:val="20"/>
              </w:rPr>
              <w:t>Met</w:t>
            </w:r>
          </w:p>
          <w:p w:rsidR="00DE748B" w:rsidRDefault="00DE748B" w:rsidP="00DE748B">
            <w:pPr>
              <w:rPr>
                <w:rFonts w:ascii="Times New Roman" w:hAnsi="Times New Roman" w:cs="Times New Roman"/>
                <w:sz w:val="24"/>
                <w:szCs w:val="20"/>
              </w:rPr>
            </w:pPr>
          </w:p>
          <w:p w:rsidR="00E359E0" w:rsidRPr="00E359E0" w:rsidRDefault="00DE748B" w:rsidP="00DE748B">
            <w:pPr>
              <w:rPr>
                <w:rFonts w:ascii="Times New Roman" w:hAnsi="Times New Roman" w:cs="Times New Roman"/>
                <w:sz w:val="24"/>
                <w:szCs w:val="20"/>
              </w:rPr>
            </w:pPr>
            <w:r>
              <w:rPr>
                <w:rFonts w:ascii="Times New Roman" w:hAnsi="Times New Roman" w:cs="Times New Roman"/>
                <w:sz w:val="24"/>
                <w:szCs w:val="20"/>
              </w:rPr>
              <w:t xml:space="preserve">The </w:t>
            </w:r>
            <w:r w:rsidR="00E359E0" w:rsidRPr="00E359E0">
              <w:rPr>
                <w:rFonts w:ascii="Times New Roman" w:hAnsi="Times New Roman" w:cs="Times New Roman"/>
                <w:sz w:val="24"/>
                <w:szCs w:val="20"/>
              </w:rPr>
              <w:t>c</w:t>
            </w:r>
            <w:r w:rsidR="00D8773E">
              <w:rPr>
                <w:rFonts w:ascii="Times New Roman" w:hAnsi="Times New Roman" w:cs="Times New Roman"/>
                <w:sz w:val="24"/>
                <w:szCs w:val="20"/>
              </w:rPr>
              <w:t>ost of doing business generally</w:t>
            </w:r>
            <w:r w:rsidR="00E359E0" w:rsidRPr="00E359E0">
              <w:rPr>
                <w:rFonts w:ascii="Times New Roman" w:hAnsi="Times New Roman" w:cs="Times New Roman"/>
                <w:color w:val="FF0000"/>
                <w:sz w:val="24"/>
                <w:szCs w:val="20"/>
              </w:rPr>
              <w:t xml:space="preserve"> </w:t>
            </w:r>
            <w:r w:rsidR="00E359E0" w:rsidRPr="00E359E0">
              <w:rPr>
                <w:rFonts w:ascii="Times New Roman" w:hAnsi="Times New Roman" w:cs="Times New Roman"/>
                <w:sz w:val="24"/>
                <w:szCs w:val="20"/>
              </w:rPr>
              <w:t xml:space="preserve">is reduced due to better information supporting better decision making. </w:t>
            </w:r>
          </w:p>
        </w:tc>
        <w:tc>
          <w:tcPr>
            <w:tcW w:w="3147" w:type="dxa"/>
          </w:tcPr>
          <w:p w:rsidR="00DE748B" w:rsidRDefault="00E359E0" w:rsidP="00DE748B">
            <w:pPr>
              <w:rPr>
                <w:rFonts w:ascii="Times New Roman" w:hAnsi="Times New Roman" w:cs="Times New Roman"/>
                <w:sz w:val="24"/>
                <w:szCs w:val="20"/>
              </w:rPr>
            </w:pPr>
            <w:r w:rsidRPr="00E359E0">
              <w:rPr>
                <w:rFonts w:ascii="Times New Roman" w:hAnsi="Times New Roman" w:cs="Times New Roman"/>
                <w:sz w:val="24"/>
                <w:szCs w:val="20"/>
              </w:rPr>
              <w:t>Met</w:t>
            </w:r>
          </w:p>
          <w:p w:rsidR="00DE748B" w:rsidRDefault="00DE748B" w:rsidP="00DE748B">
            <w:pPr>
              <w:rPr>
                <w:rFonts w:ascii="Times New Roman" w:hAnsi="Times New Roman" w:cs="Times New Roman"/>
                <w:sz w:val="24"/>
                <w:szCs w:val="20"/>
              </w:rPr>
            </w:pPr>
          </w:p>
          <w:p w:rsidR="00E359E0" w:rsidRPr="00E359E0" w:rsidRDefault="00DE748B" w:rsidP="004E4125">
            <w:pPr>
              <w:rPr>
                <w:rFonts w:ascii="Times New Roman" w:hAnsi="Times New Roman" w:cs="Times New Roman"/>
                <w:sz w:val="24"/>
                <w:szCs w:val="20"/>
              </w:rPr>
            </w:pPr>
            <w:r>
              <w:rPr>
                <w:rFonts w:ascii="Times New Roman" w:hAnsi="Times New Roman" w:cs="Times New Roman"/>
                <w:sz w:val="24"/>
                <w:szCs w:val="20"/>
              </w:rPr>
              <w:t>T</w:t>
            </w:r>
            <w:r w:rsidR="00E359E0" w:rsidRPr="00E359E0">
              <w:rPr>
                <w:rFonts w:ascii="Times New Roman" w:hAnsi="Times New Roman" w:cs="Times New Roman"/>
                <w:sz w:val="24"/>
                <w:szCs w:val="20"/>
              </w:rPr>
              <w:t xml:space="preserve">axpayers </w:t>
            </w:r>
            <w:r w:rsidR="004E4125">
              <w:rPr>
                <w:rFonts w:ascii="Times New Roman" w:hAnsi="Times New Roman" w:cs="Times New Roman"/>
                <w:sz w:val="24"/>
                <w:szCs w:val="20"/>
              </w:rPr>
              <w:t>who</w:t>
            </w:r>
            <w:r w:rsidR="004E4125" w:rsidRPr="00E359E0">
              <w:rPr>
                <w:rFonts w:ascii="Times New Roman" w:hAnsi="Times New Roman" w:cs="Times New Roman"/>
                <w:sz w:val="24"/>
                <w:szCs w:val="20"/>
              </w:rPr>
              <w:t xml:space="preserve"> </w:t>
            </w:r>
            <w:r w:rsidR="00E359E0" w:rsidRPr="00E359E0">
              <w:rPr>
                <w:rFonts w:ascii="Times New Roman" w:hAnsi="Times New Roman" w:cs="Times New Roman"/>
                <w:sz w:val="24"/>
                <w:szCs w:val="20"/>
              </w:rPr>
              <w:t xml:space="preserve">fail to address significant debt will not be able to use tax secrecy laws to hide this debt and cause undue risk to compliant taxpayers. </w:t>
            </w:r>
          </w:p>
        </w:tc>
        <w:tc>
          <w:tcPr>
            <w:tcW w:w="3147" w:type="dxa"/>
          </w:tcPr>
          <w:p w:rsidR="00DE748B" w:rsidRDefault="00E359E0" w:rsidP="00E359E0">
            <w:pPr>
              <w:rPr>
                <w:rFonts w:ascii="Times New Roman" w:hAnsi="Times New Roman" w:cs="Times New Roman"/>
                <w:sz w:val="24"/>
                <w:szCs w:val="20"/>
              </w:rPr>
            </w:pPr>
            <w:r w:rsidRPr="00E359E0">
              <w:rPr>
                <w:rFonts w:ascii="Times New Roman" w:hAnsi="Times New Roman" w:cs="Times New Roman"/>
                <w:sz w:val="24"/>
                <w:szCs w:val="20"/>
              </w:rPr>
              <w:t>Potentially positive</w:t>
            </w:r>
          </w:p>
          <w:p w:rsidR="00DE748B" w:rsidRDefault="00DE748B" w:rsidP="00E359E0">
            <w:pPr>
              <w:rPr>
                <w:rFonts w:ascii="Times New Roman" w:hAnsi="Times New Roman" w:cs="Times New Roman"/>
                <w:sz w:val="24"/>
                <w:szCs w:val="20"/>
              </w:rPr>
            </w:pPr>
          </w:p>
          <w:p w:rsidR="00E359E0" w:rsidRPr="00E359E0" w:rsidRDefault="00DE748B" w:rsidP="00E359E0">
            <w:pPr>
              <w:rPr>
                <w:rFonts w:ascii="Times New Roman" w:hAnsi="Times New Roman" w:cs="Times New Roman"/>
                <w:sz w:val="24"/>
                <w:szCs w:val="20"/>
              </w:rPr>
            </w:pPr>
            <w:r>
              <w:rPr>
                <w:rFonts w:ascii="Times New Roman" w:hAnsi="Times New Roman" w:cs="Times New Roman"/>
                <w:sz w:val="24"/>
                <w:szCs w:val="20"/>
              </w:rPr>
              <w:t>C</w:t>
            </w:r>
            <w:r w:rsidR="00E359E0" w:rsidRPr="00E359E0">
              <w:rPr>
                <w:rFonts w:ascii="Times New Roman" w:hAnsi="Times New Roman" w:cs="Times New Roman"/>
                <w:sz w:val="24"/>
                <w:szCs w:val="20"/>
              </w:rPr>
              <w:t xml:space="preserve">ompliant businesses </w:t>
            </w:r>
            <w:r>
              <w:rPr>
                <w:rFonts w:ascii="Times New Roman" w:hAnsi="Times New Roman" w:cs="Times New Roman"/>
                <w:sz w:val="24"/>
                <w:szCs w:val="20"/>
              </w:rPr>
              <w:t xml:space="preserve">will </w:t>
            </w:r>
            <w:r w:rsidR="00E359E0" w:rsidRPr="00E359E0">
              <w:rPr>
                <w:rFonts w:ascii="Times New Roman" w:hAnsi="Times New Roman" w:cs="Times New Roman"/>
                <w:sz w:val="24"/>
                <w:szCs w:val="20"/>
              </w:rPr>
              <w:t xml:space="preserve">be less vulnerable to </w:t>
            </w:r>
            <w:r>
              <w:rPr>
                <w:rFonts w:ascii="Times New Roman" w:hAnsi="Times New Roman" w:cs="Times New Roman"/>
                <w:sz w:val="24"/>
                <w:szCs w:val="20"/>
              </w:rPr>
              <w:t xml:space="preserve">the </w:t>
            </w:r>
            <w:r w:rsidR="00E359E0" w:rsidRPr="00E359E0">
              <w:rPr>
                <w:rFonts w:ascii="Times New Roman" w:hAnsi="Times New Roman" w:cs="Times New Roman"/>
                <w:sz w:val="24"/>
                <w:szCs w:val="20"/>
              </w:rPr>
              <w:t>adverse effects of other businesses collapsing.</w:t>
            </w:r>
          </w:p>
          <w:p w:rsidR="00E359E0" w:rsidRPr="00E359E0" w:rsidRDefault="00E359E0" w:rsidP="00E359E0">
            <w:pPr>
              <w:rPr>
                <w:rFonts w:ascii="Times New Roman" w:hAnsi="Times New Roman" w:cs="Times New Roman"/>
                <w:sz w:val="24"/>
                <w:szCs w:val="20"/>
              </w:rPr>
            </w:pPr>
            <w:r w:rsidRPr="00E359E0">
              <w:rPr>
                <w:rFonts w:ascii="Times New Roman" w:hAnsi="Times New Roman" w:cs="Times New Roman"/>
                <w:sz w:val="24"/>
                <w:szCs w:val="20"/>
              </w:rPr>
              <w:t xml:space="preserve">Also potentially positive as a result of an additional incentive </w:t>
            </w:r>
            <w:r w:rsidR="00D8773E">
              <w:rPr>
                <w:rFonts w:ascii="Times New Roman" w:hAnsi="Times New Roman" w:cs="Times New Roman"/>
                <w:sz w:val="24"/>
                <w:szCs w:val="20"/>
              </w:rPr>
              <w:t>to repay debt.</w:t>
            </w:r>
          </w:p>
          <w:p w:rsidR="00E359E0" w:rsidRPr="00E359E0" w:rsidRDefault="00E359E0" w:rsidP="00E359E0">
            <w:pPr>
              <w:rPr>
                <w:rFonts w:ascii="Times New Roman" w:hAnsi="Times New Roman" w:cs="Times New Roman"/>
                <w:sz w:val="24"/>
                <w:szCs w:val="20"/>
              </w:rPr>
            </w:pPr>
          </w:p>
        </w:tc>
      </w:tr>
      <w:tr w:rsidR="00E359E0" w:rsidRPr="00E359E0" w:rsidTr="00913BB3">
        <w:tc>
          <w:tcPr>
            <w:tcW w:w="3147" w:type="dxa"/>
          </w:tcPr>
          <w:p w:rsidR="00E359E0" w:rsidRPr="00E359E0" w:rsidRDefault="00D8773E" w:rsidP="00D8773E">
            <w:pPr>
              <w:contextualSpacing/>
              <w:rPr>
                <w:rFonts w:ascii="Times New Roman" w:hAnsi="Times New Roman" w:cs="Times New Roman"/>
                <w:sz w:val="24"/>
                <w:szCs w:val="20"/>
              </w:rPr>
            </w:pPr>
            <w:r>
              <w:rPr>
                <w:rFonts w:ascii="Times New Roman" w:hAnsi="Times New Roman" w:cs="Times New Roman"/>
                <w:sz w:val="24"/>
                <w:szCs w:val="20"/>
              </w:rPr>
              <w:t xml:space="preserve">3. </w:t>
            </w:r>
            <w:r w:rsidR="00E359E0" w:rsidRPr="00E359E0">
              <w:rPr>
                <w:rFonts w:ascii="Times New Roman" w:hAnsi="Times New Roman" w:cs="Times New Roman"/>
                <w:sz w:val="24"/>
                <w:szCs w:val="20"/>
              </w:rPr>
              <w:t>Share significant tax debt information with general public</w:t>
            </w:r>
          </w:p>
        </w:tc>
        <w:tc>
          <w:tcPr>
            <w:tcW w:w="3147" w:type="dxa"/>
          </w:tcPr>
          <w:p w:rsidR="00DE748B" w:rsidRDefault="00E359E0" w:rsidP="00DE748B">
            <w:pPr>
              <w:rPr>
                <w:rFonts w:ascii="Times New Roman" w:hAnsi="Times New Roman" w:cs="Times New Roman"/>
                <w:sz w:val="24"/>
                <w:szCs w:val="20"/>
              </w:rPr>
            </w:pPr>
            <w:r w:rsidRPr="00E359E0">
              <w:rPr>
                <w:rFonts w:ascii="Times New Roman" w:hAnsi="Times New Roman" w:cs="Times New Roman"/>
                <w:sz w:val="24"/>
                <w:szCs w:val="20"/>
              </w:rPr>
              <w:t>Not met</w:t>
            </w:r>
          </w:p>
          <w:p w:rsidR="00DE748B" w:rsidRDefault="00DE748B" w:rsidP="00DE748B">
            <w:pPr>
              <w:rPr>
                <w:rFonts w:ascii="Times New Roman" w:hAnsi="Times New Roman" w:cs="Times New Roman"/>
                <w:sz w:val="24"/>
                <w:szCs w:val="20"/>
              </w:rPr>
            </w:pPr>
          </w:p>
          <w:p w:rsidR="00E359E0" w:rsidRPr="00E359E0" w:rsidRDefault="00DE748B" w:rsidP="00DE748B">
            <w:pPr>
              <w:rPr>
                <w:rFonts w:ascii="Times New Roman" w:hAnsi="Times New Roman" w:cs="Times New Roman"/>
                <w:sz w:val="24"/>
                <w:szCs w:val="20"/>
              </w:rPr>
            </w:pPr>
            <w:r>
              <w:rPr>
                <w:rFonts w:ascii="Times New Roman" w:hAnsi="Times New Roman" w:cs="Times New Roman"/>
                <w:sz w:val="24"/>
                <w:szCs w:val="20"/>
              </w:rPr>
              <w:t>A</w:t>
            </w:r>
            <w:r w:rsidR="00E359E0" w:rsidRPr="00E359E0">
              <w:rPr>
                <w:rFonts w:ascii="Times New Roman" w:hAnsi="Times New Roman" w:cs="Times New Roman"/>
                <w:sz w:val="24"/>
                <w:szCs w:val="20"/>
              </w:rPr>
              <w:t>ffected taxpayers</w:t>
            </w:r>
            <w:r>
              <w:rPr>
                <w:rFonts w:ascii="Times New Roman" w:hAnsi="Times New Roman" w:cs="Times New Roman"/>
                <w:sz w:val="24"/>
                <w:szCs w:val="20"/>
              </w:rPr>
              <w:t xml:space="preserve"> will be</w:t>
            </w:r>
            <w:r w:rsidR="00E359E0" w:rsidRPr="00E359E0">
              <w:rPr>
                <w:rFonts w:ascii="Times New Roman" w:hAnsi="Times New Roman" w:cs="Times New Roman"/>
                <w:sz w:val="24"/>
                <w:szCs w:val="20"/>
              </w:rPr>
              <w:t xml:space="preserve"> exposed to</w:t>
            </w:r>
            <w:r>
              <w:rPr>
                <w:rFonts w:ascii="Times New Roman" w:hAnsi="Times New Roman" w:cs="Times New Roman"/>
                <w:sz w:val="24"/>
                <w:szCs w:val="20"/>
              </w:rPr>
              <w:t xml:space="preserve"> an</w:t>
            </w:r>
            <w:r w:rsidR="00E359E0" w:rsidRPr="00E359E0">
              <w:rPr>
                <w:rFonts w:ascii="Times New Roman" w:hAnsi="Times New Roman" w:cs="Times New Roman"/>
                <w:sz w:val="24"/>
                <w:szCs w:val="20"/>
              </w:rPr>
              <w:t xml:space="preserve"> inappropriate level of risk, with fewer safeguards, as a result of </w:t>
            </w:r>
            <w:r>
              <w:rPr>
                <w:rFonts w:ascii="Times New Roman" w:hAnsi="Times New Roman" w:cs="Times New Roman"/>
                <w:sz w:val="24"/>
                <w:szCs w:val="20"/>
              </w:rPr>
              <w:t xml:space="preserve">providing </w:t>
            </w:r>
            <w:r w:rsidR="00E359E0" w:rsidRPr="00E359E0">
              <w:rPr>
                <w:rFonts w:ascii="Times New Roman" w:hAnsi="Times New Roman" w:cs="Times New Roman"/>
                <w:sz w:val="24"/>
                <w:szCs w:val="20"/>
              </w:rPr>
              <w:t>greater access to tax debt information.</w:t>
            </w:r>
          </w:p>
        </w:tc>
        <w:tc>
          <w:tcPr>
            <w:tcW w:w="3147" w:type="dxa"/>
          </w:tcPr>
          <w:p w:rsidR="00DE748B" w:rsidRDefault="00E359E0" w:rsidP="00E359E0">
            <w:pPr>
              <w:rPr>
                <w:rFonts w:ascii="Times New Roman" w:hAnsi="Times New Roman" w:cs="Times New Roman"/>
                <w:sz w:val="24"/>
                <w:szCs w:val="20"/>
              </w:rPr>
            </w:pPr>
            <w:r w:rsidRPr="00E359E0">
              <w:rPr>
                <w:rFonts w:ascii="Times New Roman" w:hAnsi="Times New Roman" w:cs="Times New Roman"/>
                <w:sz w:val="24"/>
                <w:szCs w:val="20"/>
              </w:rPr>
              <w:t>Not met</w:t>
            </w:r>
          </w:p>
          <w:p w:rsidR="00DE748B" w:rsidRDefault="00DE748B" w:rsidP="00E359E0">
            <w:pPr>
              <w:rPr>
                <w:rFonts w:ascii="Times New Roman" w:hAnsi="Times New Roman" w:cs="Times New Roman"/>
                <w:sz w:val="24"/>
                <w:szCs w:val="20"/>
              </w:rPr>
            </w:pPr>
          </w:p>
          <w:p w:rsidR="00E359E0" w:rsidRPr="00E359E0" w:rsidRDefault="00DE748B" w:rsidP="00E359E0">
            <w:pPr>
              <w:rPr>
                <w:rFonts w:ascii="Times New Roman" w:hAnsi="Times New Roman" w:cs="Times New Roman"/>
                <w:sz w:val="24"/>
                <w:szCs w:val="20"/>
              </w:rPr>
            </w:pPr>
            <w:r>
              <w:rPr>
                <w:rFonts w:ascii="Times New Roman" w:hAnsi="Times New Roman" w:cs="Times New Roman"/>
                <w:sz w:val="24"/>
                <w:szCs w:val="20"/>
              </w:rPr>
              <w:t>P</w:t>
            </w:r>
            <w:r w:rsidR="00E359E0" w:rsidRPr="00E359E0">
              <w:rPr>
                <w:rFonts w:ascii="Times New Roman" w:hAnsi="Times New Roman" w:cs="Times New Roman"/>
                <w:sz w:val="24"/>
                <w:szCs w:val="20"/>
              </w:rPr>
              <w:t xml:space="preserve">otentially inefficient in terms of both compliance and administration costs because of high risk of inappropriate use of information.  </w:t>
            </w:r>
          </w:p>
          <w:p w:rsidR="00E359E0" w:rsidRPr="00E359E0" w:rsidRDefault="00E359E0" w:rsidP="00E359E0">
            <w:pPr>
              <w:rPr>
                <w:rFonts w:ascii="Times New Roman" w:hAnsi="Times New Roman" w:cs="Times New Roman"/>
                <w:sz w:val="24"/>
                <w:szCs w:val="20"/>
              </w:rPr>
            </w:pPr>
          </w:p>
        </w:tc>
        <w:tc>
          <w:tcPr>
            <w:tcW w:w="3147" w:type="dxa"/>
          </w:tcPr>
          <w:p w:rsidR="00DE748B" w:rsidRDefault="00E359E0" w:rsidP="00DE748B">
            <w:pPr>
              <w:rPr>
                <w:rFonts w:ascii="Times New Roman" w:hAnsi="Times New Roman" w:cs="Times New Roman"/>
                <w:sz w:val="24"/>
                <w:szCs w:val="20"/>
              </w:rPr>
            </w:pPr>
            <w:r w:rsidRPr="00E359E0">
              <w:rPr>
                <w:rFonts w:ascii="Times New Roman" w:hAnsi="Times New Roman" w:cs="Times New Roman"/>
                <w:sz w:val="24"/>
                <w:szCs w:val="20"/>
              </w:rPr>
              <w:t>Partially met</w:t>
            </w:r>
          </w:p>
          <w:p w:rsidR="00DE748B" w:rsidRDefault="00DE748B" w:rsidP="00DE748B">
            <w:pPr>
              <w:rPr>
                <w:rFonts w:ascii="Times New Roman" w:hAnsi="Times New Roman" w:cs="Times New Roman"/>
                <w:sz w:val="24"/>
                <w:szCs w:val="20"/>
              </w:rPr>
            </w:pPr>
          </w:p>
          <w:p w:rsidR="00E359E0" w:rsidRPr="00E359E0" w:rsidRDefault="00DE748B" w:rsidP="00DE748B">
            <w:pPr>
              <w:rPr>
                <w:rFonts w:ascii="Times New Roman" w:hAnsi="Times New Roman" w:cs="Times New Roman"/>
                <w:sz w:val="24"/>
                <w:szCs w:val="20"/>
              </w:rPr>
            </w:pPr>
            <w:r>
              <w:rPr>
                <w:rFonts w:ascii="Times New Roman" w:hAnsi="Times New Roman" w:cs="Times New Roman"/>
                <w:sz w:val="24"/>
                <w:szCs w:val="20"/>
              </w:rPr>
              <w:t>W</w:t>
            </w:r>
            <w:r w:rsidR="00E359E0" w:rsidRPr="00E359E0">
              <w:rPr>
                <w:rFonts w:ascii="Times New Roman" w:hAnsi="Times New Roman" w:cs="Times New Roman"/>
                <w:sz w:val="24"/>
                <w:szCs w:val="20"/>
              </w:rPr>
              <w:t xml:space="preserve">hile taxpayers would not be able to hide significant debt using secrecy rules, the risk of inappropriate uses of their information may be detrimental for voluntary compliance and integrity of the system. </w:t>
            </w:r>
          </w:p>
        </w:tc>
        <w:tc>
          <w:tcPr>
            <w:tcW w:w="3147" w:type="dxa"/>
          </w:tcPr>
          <w:p w:rsidR="00826A07" w:rsidRDefault="00E359E0" w:rsidP="00E359E0">
            <w:pPr>
              <w:rPr>
                <w:rFonts w:ascii="Times New Roman" w:hAnsi="Times New Roman" w:cs="Times New Roman"/>
                <w:sz w:val="24"/>
                <w:szCs w:val="20"/>
              </w:rPr>
            </w:pPr>
            <w:r w:rsidRPr="00E359E0">
              <w:rPr>
                <w:rFonts w:ascii="Times New Roman" w:hAnsi="Times New Roman" w:cs="Times New Roman"/>
                <w:sz w:val="24"/>
                <w:szCs w:val="20"/>
              </w:rPr>
              <w:t>Potentially positive</w:t>
            </w:r>
          </w:p>
          <w:p w:rsidR="00826A07" w:rsidRDefault="00826A07" w:rsidP="00E359E0">
            <w:pPr>
              <w:rPr>
                <w:rFonts w:ascii="Times New Roman" w:hAnsi="Times New Roman" w:cs="Times New Roman"/>
                <w:sz w:val="24"/>
                <w:szCs w:val="20"/>
              </w:rPr>
            </w:pPr>
          </w:p>
          <w:p w:rsidR="00E359E0" w:rsidRPr="00E359E0" w:rsidRDefault="00826A07" w:rsidP="00E359E0">
            <w:pPr>
              <w:rPr>
                <w:rFonts w:ascii="Times New Roman" w:hAnsi="Times New Roman" w:cs="Times New Roman"/>
                <w:sz w:val="24"/>
                <w:szCs w:val="20"/>
              </w:rPr>
            </w:pPr>
            <w:r>
              <w:rPr>
                <w:rFonts w:ascii="Times New Roman" w:hAnsi="Times New Roman" w:cs="Times New Roman"/>
                <w:sz w:val="24"/>
                <w:szCs w:val="20"/>
              </w:rPr>
              <w:t>C</w:t>
            </w:r>
            <w:r w:rsidR="00E359E0" w:rsidRPr="00E359E0">
              <w:rPr>
                <w:rFonts w:ascii="Times New Roman" w:hAnsi="Times New Roman" w:cs="Times New Roman"/>
                <w:sz w:val="24"/>
                <w:szCs w:val="20"/>
              </w:rPr>
              <w:t xml:space="preserve">ompliant businesses </w:t>
            </w:r>
            <w:r>
              <w:rPr>
                <w:rFonts w:ascii="Times New Roman" w:hAnsi="Times New Roman" w:cs="Times New Roman"/>
                <w:sz w:val="24"/>
                <w:szCs w:val="20"/>
              </w:rPr>
              <w:t xml:space="preserve">will </w:t>
            </w:r>
            <w:r w:rsidR="00E359E0" w:rsidRPr="00E359E0">
              <w:rPr>
                <w:rFonts w:ascii="Times New Roman" w:hAnsi="Times New Roman" w:cs="Times New Roman"/>
                <w:sz w:val="24"/>
                <w:szCs w:val="20"/>
              </w:rPr>
              <w:t>be less vulnerable to adverse effects of other businesses collapsing.</w:t>
            </w:r>
          </w:p>
          <w:p w:rsidR="00E359E0" w:rsidRPr="00E359E0" w:rsidRDefault="00E359E0" w:rsidP="00E359E0">
            <w:pPr>
              <w:rPr>
                <w:rFonts w:ascii="Times New Roman" w:hAnsi="Times New Roman" w:cs="Times New Roman"/>
                <w:sz w:val="24"/>
                <w:szCs w:val="20"/>
              </w:rPr>
            </w:pPr>
          </w:p>
          <w:p w:rsidR="00E359E0" w:rsidRPr="00E359E0" w:rsidRDefault="00E359E0" w:rsidP="00E359E0">
            <w:pPr>
              <w:rPr>
                <w:rFonts w:ascii="Times New Roman" w:hAnsi="Times New Roman" w:cs="Times New Roman"/>
                <w:sz w:val="24"/>
                <w:szCs w:val="20"/>
              </w:rPr>
            </w:pPr>
            <w:r w:rsidRPr="00E359E0">
              <w:rPr>
                <w:rFonts w:ascii="Times New Roman" w:hAnsi="Times New Roman" w:cs="Times New Roman"/>
                <w:sz w:val="24"/>
                <w:szCs w:val="20"/>
              </w:rPr>
              <w:t>Potentially positive as a result of there being an additional incentive to repay</w:t>
            </w:r>
            <w:r w:rsidR="00D8773E">
              <w:rPr>
                <w:rFonts w:ascii="Times New Roman" w:hAnsi="Times New Roman" w:cs="Times New Roman"/>
                <w:sz w:val="24"/>
                <w:szCs w:val="20"/>
              </w:rPr>
              <w:t xml:space="preserve"> debt</w:t>
            </w:r>
            <w:r w:rsidRPr="00E359E0">
              <w:rPr>
                <w:rFonts w:ascii="Times New Roman" w:hAnsi="Times New Roman" w:cs="Times New Roman"/>
                <w:sz w:val="24"/>
                <w:szCs w:val="20"/>
              </w:rPr>
              <w:t>.</w:t>
            </w:r>
          </w:p>
        </w:tc>
      </w:tr>
      <w:tr w:rsidR="00E359E0" w:rsidRPr="00E359E0" w:rsidTr="00913BB3">
        <w:tc>
          <w:tcPr>
            <w:tcW w:w="3147" w:type="dxa"/>
          </w:tcPr>
          <w:p w:rsidR="00E359E0" w:rsidRPr="00D8773E" w:rsidRDefault="00D8773E" w:rsidP="00D8773E">
            <w:pPr>
              <w:rPr>
                <w:rFonts w:ascii="Times New Roman" w:hAnsi="Times New Roman" w:cs="Times New Roman"/>
                <w:sz w:val="24"/>
                <w:szCs w:val="20"/>
              </w:rPr>
            </w:pPr>
            <w:r>
              <w:rPr>
                <w:rFonts w:ascii="Times New Roman" w:hAnsi="Times New Roman" w:cs="Times New Roman"/>
                <w:sz w:val="24"/>
                <w:szCs w:val="20"/>
              </w:rPr>
              <w:t xml:space="preserve">4. </w:t>
            </w:r>
            <w:r w:rsidR="00E359E0" w:rsidRPr="00D8773E">
              <w:rPr>
                <w:rFonts w:ascii="Times New Roman" w:hAnsi="Times New Roman" w:cs="Times New Roman"/>
                <w:sz w:val="24"/>
                <w:szCs w:val="20"/>
              </w:rPr>
              <w:t xml:space="preserve">Share information on serious offences with Registrar of Companies </w:t>
            </w:r>
          </w:p>
        </w:tc>
        <w:tc>
          <w:tcPr>
            <w:tcW w:w="3147" w:type="dxa"/>
          </w:tcPr>
          <w:p w:rsidR="00DE748B" w:rsidRDefault="00E359E0" w:rsidP="00DE748B">
            <w:pPr>
              <w:rPr>
                <w:rFonts w:ascii="Times New Roman" w:hAnsi="Times New Roman" w:cs="Times New Roman"/>
                <w:sz w:val="24"/>
                <w:szCs w:val="20"/>
              </w:rPr>
            </w:pPr>
            <w:r w:rsidRPr="00E359E0">
              <w:rPr>
                <w:rFonts w:ascii="Times New Roman" w:hAnsi="Times New Roman" w:cs="Times New Roman"/>
                <w:sz w:val="24"/>
                <w:szCs w:val="20"/>
              </w:rPr>
              <w:t>Met</w:t>
            </w:r>
          </w:p>
          <w:p w:rsidR="00DE748B" w:rsidRDefault="00DE748B" w:rsidP="00DE748B">
            <w:pPr>
              <w:rPr>
                <w:rFonts w:ascii="Times New Roman" w:hAnsi="Times New Roman" w:cs="Times New Roman"/>
                <w:sz w:val="24"/>
                <w:szCs w:val="20"/>
              </w:rPr>
            </w:pPr>
          </w:p>
          <w:p w:rsidR="00E359E0" w:rsidRPr="00E359E0" w:rsidRDefault="00DE748B" w:rsidP="00DE748B">
            <w:pPr>
              <w:rPr>
                <w:rFonts w:ascii="Times New Roman" w:hAnsi="Times New Roman" w:cs="Times New Roman"/>
                <w:sz w:val="24"/>
                <w:szCs w:val="20"/>
              </w:rPr>
            </w:pPr>
            <w:r>
              <w:rPr>
                <w:rFonts w:ascii="Times New Roman" w:hAnsi="Times New Roman" w:cs="Times New Roman"/>
                <w:sz w:val="24"/>
                <w:szCs w:val="20"/>
              </w:rPr>
              <w:t>F</w:t>
            </w:r>
            <w:r w:rsidR="00E359E0" w:rsidRPr="00E359E0">
              <w:rPr>
                <w:rFonts w:ascii="Times New Roman" w:hAnsi="Times New Roman" w:cs="Times New Roman"/>
                <w:sz w:val="24"/>
                <w:szCs w:val="20"/>
              </w:rPr>
              <w:t xml:space="preserve">airness is achievable with strict tests and high thresholds for sharing. It is also in the public interest to achieve efficient enforcement of criminal director offences rather than allow these directors to continue to pose a risk to the compliant business community.  </w:t>
            </w:r>
          </w:p>
        </w:tc>
        <w:tc>
          <w:tcPr>
            <w:tcW w:w="3147" w:type="dxa"/>
          </w:tcPr>
          <w:p w:rsidR="00DE748B" w:rsidRDefault="00E359E0" w:rsidP="00DE748B">
            <w:pPr>
              <w:rPr>
                <w:rFonts w:ascii="Times New Roman" w:hAnsi="Times New Roman" w:cs="Times New Roman"/>
                <w:sz w:val="24"/>
                <w:szCs w:val="20"/>
              </w:rPr>
            </w:pPr>
            <w:r w:rsidRPr="00E359E0">
              <w:rPr>
                <w:rFonts w:ascii="Times New Roman" w:hAnsi="Times New Roman" w:cs="Times New Roman"/>
                <w:sz w:val="24"/>
                <w:szCs w:val="20"/>
              </w:rPr>
              <w:t>Met</w:t>
            </w:r>
          </w:p>
          <w:p w:rsidR="00DE748B" w:rsidRDefault="00DE748B" w:rsidP="00DE748B">
            <w:pPr>
              <w:rPr>
                <w:rFonts w:ascii="Times New Roman" w:hAnsi="Times New Roman" w:cs="Times New Roman"/>
                <w:sz w:val="24"/>
                <w:szCs w:val="20"/>
              </w:rPr>
            </w:pPr>
          </w:p>
          <w:p w:rsidR="00E359E0" w:rsidRPr="00E359E0" w:rsidRDefault="00DE748B" w:rsidP="002D0AC2">
            <w:pPr>
              <w:rPr>
                <w:rFonts w:ascii="Times New Roman" w:hAnsi="Times New Roman" w:cs="Times New Roman"/>
                <w:sz w:val="24"/>
                <w:szCs w:val="20"/>
              </w:rPr>
            </w:pPr>
            <w:r>
              <w:rPr>
                <w:rFonts w:ascii="Times New Roman" w:hAnsi="Times New Roman" w:cs="Times New Roman"/>
                <w:sz w:val="24"/>
                <w:szCs w:val="20"/>
              </w:rPr>
              <w:t>T</w:t>
            </w:r>
            <w:r w:rsidR="00E359E0" w:rsidRPr="00E359E0">
              <w:rPr>
                <w:rFonts w:ascii="Times New Roman" w:hAnsi="Times New Roman" w:cs="Times New Roman"/>
                <w:sz w:val="24"/>
                <w:szCs w:val="20"/>
              </w:rPr>
              <w:t>his option is expected to be implement</w:t>
            </w:r>
            <w:r w:rsidR="002D0AC2">
              <w:rPr>
                <w:rFonts w:ascii="Times New Roman" w:hAnsi="Times New Roman" w:cs="Times New Roman"/>
                <w:sz w:val="24"/>
                <w:szCs w:val="20"/>
              </w:rPr>
              <w:t xml:space="preserve">ed </w:t>
            </w:r>
            <w:r w:rsidR="00E359E0" w:rsidRPr="00E359E0">
              <w:rPr>
                <w:rFonts w:ascii="Times New Roman" w:hAnsi="Times New Roman" w:cs="Times New Roman"/>
                <w:sz w:val="24"/>
                <w:szCs w:val="20"/>
              </w:rPr>
              <w:t>at a low administration cost. This option would only involve a small number of information shares</w:t>
            </w:r>
            <w:r w:rsidR="00826A07">
              <w:rPr>
                <w:rFonts w:ascii="Times New Roman" w:hAnsi="Times New Roman" w:cs="Times New Roman"/>
                <w:sz w:val="24"/>
                <w:szCs w:val="20"/>
              </w:rPr>
              <w:t>;</w:t>
            </w:r>
            <w:r w:rsidR="00E359E0" w:rsidRPr="00E359E0">
              <w:rPr>
                <w:rFonts w:ascii="Times New Roman" w:hAnsi="Times New Roman" w:cs="Times New Roman"/>
                <w:sz w:val="24"/>
                <w:szCs w:val="20"/>
              </w:rPr>
              <w:t xml:space="preserve"> however it is likely that successful enforcement of serious Companies Act provisions would reduce harm to a larger population of compliant businesses.</w:t>
            </w:r>
          </w:p>
        </w:tc>
        <w:tc>
          <w:tcPr>
            <w:tcW w:w="3147" w:type="dxa"/>
          </w:tcPr>
          <w:p w:rsidR="00DE748B" w:rsidRDefault="00E359E0" w:rsidP="00DE748B">
            <w:pPr>
              <w:jc w:val="both"/>
              <w:rPr>
                <w:rFonts w:ascii="Times New Roman" w:hAnsi="Times New Roman" w:cs="Times New Roman"/>
                <w:sz w:val="24"/>
                <w:szCs w:val="20"/>
              </w:rPr>
            </w:pPr>
            <w:r w:rsidRPr="00E359E0">
              <w:rPr>
                <w:rFonts w:ascii="Times New Roman" w:hAnsi="Times New Roman" w:cs="Times New Roman"/>
                <w:sz w:val="24"/>
                <w:szCs w:val="20"/>
              </w:rPr>
              <w:t>Met</w:t>
            </w:r>
          </w:p>
          <w:p w:rsidR="00DE748B" w:rsidRDefault="00DE748B" w:rsidP="00DE748B">
            <w:pPr>
              <w:jc w:val="both"/>
              <w:rPr>
                <w:rFonts w:ascii="Times New Roman" w:hAnsi="Times New Roman" w:cs="Times New Roman"/>
                <w:sz w:val="24"/>
                <w:szCs w:val="20"/>
              </w:rPr>
            </w:pPr>
          </w:p>
          <w:p w:rsidR="00E359E0" w:rsidRPr="00E359E0" w:rsidRDefault="00DE748B" w:rsidP="00826A07">
            <w:pPr>
              <w:jc w:val="both"/>
              <w:rPr>
                <w:rFonts w:ascii="Times New Roman" w:hAnsi="Times New Roman" w:cs="Times New Roman"/>
                <w:sz w:val="24"/>
                <w:szCs w:val="20"/>
              </w:rPr>
            </w:pPr>
            <w:r>
              <w:rPr>
                <w:rFonts w:ascii="Times New Roman" w:hAnsi="Times New Roman" w:cs="Times New Roman"/>
                <w:sz w:val="24"/>
                <w:szCs w:val="20"/>
              </w:rPr>
              <w:t>S</w:t>
            </w:r>
            <w:r w:rsidR="00E359E0" w:rsidRPr="00E359E0">
              <w:rPr>
                <w:rFonts w:ascii="Times New Roman" w:hAnsi="Times New Roman" w:cs="Times New Roman"/>
                <w:sz w:val="24"/>
                <w:szCs w:val="20"/>
              </w:rPr>
              <w:t xml:space="preserve">eriously non-compliant directors are likely to also be posing a risk to the tax system. </w:t>
            </w:r>
          </w:p>
        </w:tc>
        <w:tc>
          <w:tcPr>
            <w:tcW w:w="3147" w:type="dxa"/>
          </w:tcPr>
          <w:p w:rsidR="00826A07" w:rsidRDefault="00E359E0" w:rsidP="00E359E0">
            <w:pPr>
              <w:jc w:val="both"/>
              <w:rPr>
                <w:rFonts w:ascii="Times New Roman" w:hAnsi="Times New Roman" w:cs="Times New Roman"/>
                <w:sz w:val="24"/>
                <w:szCs w:val="20"/>
              </w:rPr>
            </w:pPr>
            <w:r w:rsidRPr="00E359E0">
              <w:rPr>
                <w:rFonts w:ascii="Times New Roman" w:hAnsi="Times New Roman" w:cs="Times New Roman"/>
                <w:sz w:val="24"/>
                <w:szCs w:val="20"/>
              </w:rPr>
              <w:t>Potentially positive</w:t>
            </w:r>
          </w:p>
          <w:p w:rsidR="00826A07" w:rsidRDefault="00826A07" w:rsidP="00E359E0">
            <w:pPr>
              <w:jc w:val="both"/>
              <w:rPr>
                <w:rFonts w:ascii="Times New Roman" w:hAnsi="Times New Roman" w:cs="Times New Roman"/>
                <w:sz w:val="24"/>
                <w:szCs w:val="20"/>
              </w:rPr>
            </w:pPr>
          </w:p>
          <w:p w:rsidR="00E359E0" w:rsidRPr="00E359E0" w:rsidRDefault="00826A07" w:rsidP="00E359E0">
            <w:pPr>
              <w:jc w:val="both"/>
              <w:rPr>
                <w:rFonts w:ascii="Times New Roman" w:hAnsi="Times New Roman" w:cs="Times New Roman"/>
                <w:sz w:val="24"/>
                <w:szCs w:val="20"/>
              </w:rPr>
            </w:pPr>
            <w:r>
              <w:rPr>
                <w:rFonts w:ascii="Times New Roman" w:hAnsi="Times New Roman" w:cs="Times New Roman"/>
                <w:sz w:val="24"/>
                <w:szCs w:val="20"/>
              </w:rPr>
              <w:t>C</w:t>
            </w:r>
            <w:r w:rsidR="00E359E0" w:rsidRPr="00E359E0">
              <w:rPr>
                <w:rFonts w:ascii="Times New Roman" w:hAnsi="Times New Roman" w:cs="Times New Roman"/>
                <w:sz w:val="24"/>
                <w:szCs w:val="20"/>
              </w:rPr>
              <w:t xml:space="preserve">ompliant businesses </w:t>
            </w:r>
            <w:r>
              <w:rPr>
                <w:rFonts w:ascii="Times New Roman" w:hAnsi="Times New Roman" w:cs="Times New Roman"/>
                <w:sz w:val="24"/>
                <w:szCs w:val="20"/>
              </w:rPr>
              <w:t>will be less</w:t>
            </w:r>
            <w:r w:rsidR="00E359E0" w:rsidRPr="00E359E0">
              <w:rPr>
                <w:rFonts w:ascii="Times New Roman" w:hAnsi="Times New Roman" w:cs="Times New Roman"/>
                <w:sz w:val="24"/>
                <w:szCs w:val="20"/>
              </w:rPr>
              <w:t xml:space="preserve"> subject to harm from habitually non-compliant businesses and directors.</w:t>
            </w:r>
          </w:p>
          <w:p w:rsidR="00E359E0" w:rsidRPr="00E359E0" w:rsidRDefault="00E359E0" w:rsidP="00E359E0">
            <w:pPr>
              <w:jc w:val="both"/>
              <w:rPr>
                <w:rFonts w:ascii="Times New Roman" w:hAnsi="Times New Roman" w:cs="Times New Roman"/>
                <w:sz w:val="24"/>
                <w:szCs w:val="20"/>
              </w:rPr>
            </w:pPr>
          </w:p>
          <w:p w:rsidR="00E359E0" w:rsidRPr="00E359E0" w:rsidRDefault="00E359E0" w:rsidP="00E359E0">
            <w:pPr>
              <w:jc w:val="both"/>
              <w:rPr>
                <w:rFonts w:ascii="Times New Roman" w:hAnsi="Times New Roman" w:cs="Times New Roman"/>
                <w:sz w:val="24"/>
                <w:szCs w:val="20"/>
              </w:rPr>
            </w:pPr>
          </w:p>
        </w:tc>
      </w:tr>
      <w:tr w:rsidR="00E359E0" w:rsidRPr="00E359E0" w:rsidTr="00913BB3">
        <w:tc>
          <w:tcPr>
            <w:tcW w:w="3147" w:type="dxa"/>
          </w:tcPr>
          <w:p w:rsidR="00E359E0" w:rsidRPr="00E359E0" w:rsidRDefault="00D8773E" w:rsidP="00D8773E">
            <w:pPr>
              <w:tabs>
                <w:tab w:val="left" w:pos="318"/>
              </w:tabs>
              <w:contextualSpacing/>
              <w:rPr>
                <w:rFonts w:ascii="Times New Roman" w:hAnsi="Times New Roman" w:cs="Times New Roman"/>
                <w:sz w:val="24"/>
                <w:szCs w:val="20"/>
              </w:rPr>
            </w:pPr>
            <w:r>
              <w:rPr>
                <w:rFonts w:ascii="Times New Roman" w:hAnsi="Times New Roman" w:cs="Times New Roman"/>
                <w:sz w:val="24"/>
                <w:szCs w:val="20"/>
              </w:rPr>
              <w:t xml:space="preserve">5. </w:t>
            </w:r>
            <w:r w:rsidR="00E359E0" w:rsidRPr="00E359E0">
              <w:rPr>
                <w:rFonts w:ascii="Times New Roman" w:hAnsi="Times New Roman" w:cs="Times New Roman"/>
                <w:sz w:val="24"/>
                <w:szCs w:val="20"/>
              </w:rPr>
              <w:t>Share information for enforcement of wider business obligations</w:t>
            </w:r>
          </w:p>
        </w:tc>
        <w:tc>
          <w:tcPr>
            <w:tcW w:w="3147" w:type="dxa"/>
          </w:tcPr>
          <w:p w:rsidR="00DE748B" w:rsidRDefault="00E359E0" w:rsidP="00DE748B">
            <w:pPr>
              <w:jc w:val="both"/>
              <w:rPr>
                <w:rFonts w:ascii="Times New Roman" w:hAnsi="Times New Roman" w:cs="Times New Roman"/>
                <w:sz w:val="24"/>
                <w:szCs w:val="20"/>
              </w:rPr>
            </w:pPr>
            <w:r w:rsidRPr="00E359E0">
              <w:rPr>
                <w:rFonts w:ascii="Times New Roman" w:hAnsi="Times New Roman" w:cs="Times New Roman"/>
                <w:sz w:val="24"/>
                <w:szCs w:val="20"/>
              </w:rPr>
              <w:t>Not met</w:t>
            </w:r>
          </w:p>
          <w:p w:rsidR="00DE748B" w:rsidRDefault="00DE748B" w:rsidP="00DE748B">
            <w:pPr>
              <w:jc w:val="both"/>
              <w:rPr>
                <w:rFonts w:ascii="Times New Roman" w:hAnsi="Times New Roman" w:cs="Times New Roman"/>
                <w:sz w:val="24"/>
                <w:szCs w:val="20"/>
              </w:rPr>
            </w:pPr>
          </w:p>
          <w:p w:rsidR="00E359E0" w:rsidRPr="00E359E0" w:rsidRDefault="00444282" w:rsidP="00334B6B">
            <w:pPr>
              <w:jc w:val="both"/>
              <w:rPr>
                <w:rFonts w:ascii="Times New Roman" w:hAnsi="Times New Roman" w:cs="Times New Roman"/>
                <w:sz w:val="24"/>
                <w:szCs w:val="20"/>
              </w:rPr>
            </w:pPr>
            <w:r>
              <w:rPr>
                <w:rFonts w:ascii="Times New Roman" w:hAnsi="Times New Roman" w:cs="Times New Roman"/>
                <w:sz w:val="24"/>
                <w:szCs w:val="20"/>
              </w:rPr>
              <w:t>Sharing information for issues that are less significant th</w:t>
            </w:r>
            <w:r w:rsidR="00E02F2A">
              <w:rPr>
                <w:rFonts w:ascii="Times New Roman" w:hAnsi="Times New Roman" w:cs="Times New Roman"/>
                <w:sz w:val="24"/>
                <w:szCs w:val="20"/>
              </w:rPr>
              <w:t>an</w:t>
            </w:r>
            <w:r>
              <w:rPr>
                <w:rFonts w:ascii="Times New Roman" w:hAnsi="Times New Roman" w:cs="Times New Roman"/>
                <w:sz w:val="24"/>
                <w:szCs w:val="20"/>
              </w:rPr>
              <w:t xml:space="preserve"> serious offences may not </w:t>
            </w:r>
            <w:r w:rsidR="00E359E0" w:rsidRPr="00E359E0">
              <w:rPr>
                <w:rFonts w:ascii="Times New Roman" w:hAnsi="Times New Roman" w:cs="Times New Roman"/>
                <w:sz w:val="24"/>
                <w:szCs w:val="20"/>
              </w:rPr>
              <w:t xml:space="preserve">justify exceptions to tax secrecy. </w:t>
            </w:r>
          </w:p>
        </w:tc>
        <w:tc>
          <w:tcPr>
            <w:tcW w:w="3147" w:type="dxa"/>
          </w:tcPr>
          <w:p w:rsidR="00DE748B" w:rsidRDefault="00E359E0" w:rsidP="00DE748B">
            <w:pPr>
              <w:jc w:val="both"/>
              <w:rPr>
                <w:rFonts w:ascii="Times New Roman" w:hAnsi="Times New Roman" w:cs="Times New Roman"/>
                <w:sz w:val="24"/>
                <w:szCs w:val="20"/>
              </w:rPr>
            </w:pPr>
            <w:r w:rsidRPr="00E359E0">
              <w:rPr>
                <w:rFonts w:ascii="Times New Roman" w:hAnsi="Times New Roman" w:cs="Times New Roman"/>
                <w:sz w:val="24"/>
                <w:szCs w:val="20"/>
              </w:rPr>
              <w:t>Not met</w:t>
            </w:r>
          </w:p>
          <w:p w:rsidR="00DE748B" w:rsidRDefault="00DE748B" w:rsidP="00DE748B">
            <w:pPr>
              <w:jc w:val="both"/>
              <w:rPr>
                <w:rFonts w:ascii="Times New Roman" w:hAnsi="Times New Roman" w:cs="Times New Roman"/>
                <w:sz w:val="24"/>
                <w:szCs w:val="20"/>
              </w:rPr>
            </w:pPr>
          </w:p>
          <w:p w:rsidR="00E359E0" w:rsidRPr="00E359E0" w:rsidRDefault="00DE748B" w:rsidP="00DE748B">
            <w:pPr>
              <w:jc w:val="both"/>
              <w:rPr>
                <w:rFonts w:ascii="Times New Roman" w:hAnsi="Times New Roman" w:cs="Times New Roman"/>
                <w:sz w:val="24"/>
                <w:szCs w:val="20"/>
              </w:rPr>
            </w:pPr>
            <w:r>
              <w:rPr>
                <w:rFonts w:ascii="Times New Roman" w:hAnsi="Times New Roman" w:cs="Times New Roman"/>
                <w:sz w:val="24"/>
                <w:szCs w:val="20"/>
              </w:rPr>
              <w:t>T</w:t>
            </w:r>
            <w:r w:rsidR="00E359E0" w:rsidRPr="00E359E0">
              <w:rPr>
                <w:rFonts w:ascii="Times New Roman" w:hAnsi="Times New Roman" w:cs="Times New Roman"/>
                <w:sz w:val="24"/>
                <w:szCs w:val="20"/>
              </w:rPr>
              <w:t>his option would have a high administrative cost if comprehensively implemented.</w:t>
            </w:r>
          </w:p>
        </w:tc>
        <w:tc>
          <w:tcPr>
            <w:tcW w:w="3147" w:type="dxa"/>
          </w:tcPr>
          <w:p w:rsidR="00DE748B" w:rsidRDefault="00E359E0" w:rsidP="00DE748B">
            <w:pPr>
              <w:jc w:val="both"/>
              <w:rPr>
                <w:rFonts w:ascii="Times New Roman" w:hAnsi="Times New Roman" w:cs="Times New Roman"/>
                <w:sz w:val="24"/>
                <w:szCs w:val="20"/>
              </w:rPr>
            </w:pPr>
            <w:r w:rsidRPr="00E359E0">
              <w:rPr>
                <w:rFonts w:ascii="Times New Roman" w:hAnsi="Times New Roman" w:cs="Times New Roman"/>
                <w:sz w:val="24"/>
                <w:szCs w:val="20"/>
              </w:rPr>
              <w:t>Not met</w:t>
            </w:r>
          </w:p>
          <w:p w:rsidR="00DE748B" w:rsidRDefault="00DE748B" w:rsidP="00DE748B">
            <w:pPr>
              <w:jc w:val="both"/>
              <w:rPr>
                <w:rFonts w:ascii="Times New Roman" w:hAnsi="Times New Roman" w:cs="Times New Roman"/>
                <w:sz w:val="24"/>
                <w:szCs w:val="20"/>
              </w:rPr>
            </w:pPr>
          </w:p>
          <w:p w:rsidR="00E359E0" w:rsidRPr="00E359E0" w:rsidRDefault="00826A07" w:rsidP="00826A07">
            <w:pPr>
              <w:jc w:val="both"/>
              <w:rPr>
                <w:rFonts w:ascii="Times New Roman" w:hAnsi="Times New Roman" w:cs="Times New Roman"/>
                <w:sz w:val="24"/>
                <w:szCs w:val="20"/>
              </w:rPr>
            </w:pPr>
            <w:r>
              <w:rPr>
                <w:rFonts w:ascii="Times New Roman" w:hAnsi="Times New Roman" w:cs="Times New Roman"/>
                <w:sz w:val="24"/>
                <w:szCs w:val="20"/>
              </w:rPr>
              <w:t xml:space="preserve">There is a </w:t>
            </w:r>
            <w:r w:rsidR="00E359E0" w:rsidRPr="00E359E0">
              <w:rPr>
                <w:rFonts w:ascii="Times New Roman" w:hAnsi="Times New Roman" w:cs="Times New Roman"/>
                <w:sz w:val="24"/>
                <w:szCs w:val="20"/>
              </w:rPr>
              <w:t xml:space="preserve">risk of unjustified breaches of tax secrecy principles, which could lead to decreased voluntary compliance. </w:t>
            </w:r>
          </w:p>
        </w:tc>
        <w:tc>
          <w:tcPr>
            <w:tcW w:w="3147" w:type="dxa"/>
          </w:tcPr>
          <w:p w:rsidR="00826A07" w:rsidRDefault="00E359E0" w:rsidP="00E359E0">
            <w:pPr>
              <w:jc w:val="both"/>
              <w:rPr>
                <w:rFonts w:ascii="Times New Roman" w:hAnsi="Times New Roman" w:cs="Times New Roman"/>
                <w:sz w:val="24"/>
                <w:szCs w:val="20"/>
              </w:rPr>
            </w:pPr>
            <w:r w:rsidRPr="00E359E0">
              <w:rPr>
                <w:rFonts w:ascii="Times New Roman" w:hAnsi="Times New Roman" w:cs="Times New Roman"/>
                <w:sz w:val="24"/>
                <w:szCs w:val="20"/>
              </w:rPr>
              <w:t>Potentially positive</w:t>
            </w:r>
          </w:p>
          <w:p w:rsidR="00826A07" w:rsidRDefault="00826A07" w:rsidP="00E359E0">
            <w:pPr>
              <w:jc w:val="both"/>
              <w:rPr>
                <w:rFonts w:ascii="Times New Roman" w:hAnsi="Times New Roman" w:cs="Times New Roman"/>
                <w:sz w:val="24"/>
                <w:szCs w:val="20"/>
              </w:rPr>
            </w:pPr>
          </w:p>
          <w:p w:rsidR="00E359E0" w:rsidRPr="00E359E0" w:rsidRDefault="00826A07" w:rsidP="00E359E0">
            <w:pPr>
              <w:jc w:val="both"/>
              <w:rPr>
                <w:rFonts w:ascii="Times New Roman" w:hAnsi="Times New Roman" w:cs="Times New Roman"/>
                <w:sz w:val="24"/>
                <w:szCs w:val="20"/>
              </w:rPr>
            </w:pPr>
            <w:r>
              <w:rPr>
                <w:rFonts w:ascii="Times New Roman" w:hAnsi="Times New Roman" w:cs="Times New Roman"/>
                <w:sz w:val="24"/>
                <w:szCs w:val="20"/>
              </w:rPr>
              <w:t>C</w:t>
            </w:r>
            <w:r w:rsidR="00E359E0" w:rsidRPr="00E359E0">
              <w:rPr>
                <w:rFonts w:ascii="Times New Roman" w:hAnsi="Times New Roman" w:cs="Times New Roman"/>
                <w:sz w:val="24"/>
                <w:szCs w:val="20"/>
              </w:rPr>
              <w:t xml:space="preserve">ompliant businesses </w:t>
            </w:r>
            <w:r>
              <w:rPr>
                <w:rFonts w:ascii="Times New Roman" w:hAnsi="Times New Roman" w:cs="Times New Roman"/>
                <w:sz w:val="24"/>
                <w:szCs w:val="20"/>
              </w:rPr>
              <w:t>will be less</w:t>
            </w:r>
            <w:r w:rsidR="00E359E0" w:rsidRPr="00E359E0">
              <w:rPr>
                <w:rFonts w:ascii="Times New Roman" w:hAnsi="Times New Roman" w:cs="Times New Roman"/>
                <w:sz w:val="24"/>
                <w:szCs w:val="20"/>
              </w:rPr>
              <w:t xml:space="preserve"> subject </w:t>
            </w:r>
            <w:proofErr w:type="gramStart"/>
            <w:r w:rsidR="00E359E0" w:rsidRPr="00E359E0">
              <w:rPr>
                <w:rFonts w:ascii="Times New Roman" w:hAnsi="Times New Roman" w:cs="Times New Roman"/>
                <w:sz w:val="24"/>
                <w:szCs w:val="20"/>
              </w:rPr>
              <w:t>to  harm</w:t>
            </w:r>
            <w:proofErr w:type="gramEnd"/>
            <w:r w:rsidR="00E359E0" w:rsidRPr="00E359E0">
              <w:rPr>
                <w:rFonts w:ascii="Times New Roman" w:hAnsi="Times New Roman" w:cs="Times New Roman"/>
                <w:sz w:val="24"/>
                <w:szCs w:val="20"/>
              </w:rPr>
              <w:t xml:space="preserve"> from habitually non-compliant businesses and directors.</w:t>
            </w:r>
          </w:p>
          <w:p w:rsidR="00E359E0" w:rsidRPr="00E359E0" w:rsidRDefault="00E359E0" w:rsidP="00E359E0">
            <w:pPr>
              <w:jc w:val="both"/>
              <w:rPr>
                <w:rFonts w:ascii="Times New Roman" w:hAnsi="Times New Roman" w:cs="Times New Roman"/>
                <w:sz w:val="24"/>
                <w:szCs w:val="20"/>
              </w:rPr>
            </w:pPr>
          </w:p>
          <w:p w:rsidR="00E359E0" w:rsidRPr="00E359E0" w:rsidRDefault="00E359E0" w:rsidP="00E359E0">
            <w:pPr>
              <w:jc w:val="both"/>
              <w:rPr>
                <w:rFonts w:ascii="Times New Roman" w:hAnsi="Times New Roman" w:cs="Times New Roman"/>
                <w:sz w:val="24"/>
                <w:szCs w:val="20"/>
              </w:rPr>
            </w:pPr>
          </w:p>
        </w:tc>
      </w:tr>
    </w:tbl>
    <w:p w:rsidR="00E359E0" w:rsidRPr="00E359E0" w:rsidRDefault="00E359E0" w:rsidP="00E359E0">
      <w:pPr>
        <w:spacing w:after="0" w:line="240" w:lineRule="auto"/>
        <w:jc w:val="both"/>
        <w:rPr>
          <w:rFonts w:ascii="Times New Roman" w:hAnsi="Times New Roman" w:cs="Times New Roman"/>
          <w:sz w:val="24"/>
          <w:szCs w:val="20"/>
        </w:rPr>
        <w:sectPr w:rsidR="00E359E0" w:rsidRPr="00E359E0" w:rsidSect="00913BB3">
          <w:pgSz w:w="16838" w:h="11906" w:orient="landscape"/>
          <w:pgMar w:top="1440" w:right="1440" w:bottom="1440" w:left="1440" w:header="708" w:footer="708" w:gutter="0"/>
          <w:cols w:space="708"/>
          <w:docGrid w:linePitch="360"/>
        </w:sectPr>
      </w:pPr>
    </w:p>
    <w:p w:rsidR="00E359E0" w:rsidRPr="00D8156F" w:rsidRDefault="00E359E0" w:rsidP="00E359E0">
      <w:pPr>
        <w:spacing w:after="0" w:line="240" w:lineRule="auto"/>
        <w:jc w:val="both"/>
        <w:rPr>
          <w:rFonts w:ascii="Times New Roman" w:hAnsi="Times New Roman" w:cs="Times New Roman"/>
          <w:b/>
          <w:i/>
          <w:sz w:val="24"/>
          <w:szCs w:val="20"/>
        </w:rPr>
      </w:pPr>
      <w:r w:rsidRPr="00D8156F">
        <w:rPr>
          <w:rFonts w:ascii="Times New Roman" w:hAnsi="Times New Roman" w:cs="Times New Roman"/>
          <w:b/>
          <w:i/>
          <w:sz w:val="24"/>
          <w:szCs w:val="20"/>
        </w:rPr>
        <w:t>Consultation</w:t>
      </w:r>
    </w:p>
    <w:p w:rsidR="00E359E0" w:rsidRPr="00E359E0" w:rsidRDefault="00E359E0"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Officials have consulted with a range of private and public sector stakeholders including the Corporate Taxpayers Group, credit reporting agencies, large accounting firms, Chartered Accountants Australia and New Zealand, the Ministry of Business, Innovation and Employment and the Office of the Privacy Commissioner</w:t>
      </w:r>
      <w:r w:rsidR="00826A07">
        <w:rPr>
          <w:rFonts w:ascii="Times New Roman" w:hAnsi="Times New Roman" w:cs="Times New Roman"/>
          <w:sz w:val="24"/>
          <w:szCs w:val="20"/>
        </w:rPr>
        <w:t xml:space="preserve"> (</w:t>
      </w:r>
      <w:proofErr w:type="spellStart"/>
      <w:r w:rsidR="00826A07">
        <w:rPr>
          <w:rFonts w:ascii="Times New Roman" w:hAnsi="Times New Roman" w:cs="Times New Roman"/>
          <w:sz w:val="24"/>
          <w:szCs w:val="20"/>
        </w:rPr>
        <w:t>OPC</w:t>
      </w:r>
      <w:proofErr w:type="spellEnd"/>
      <w:r w:rsidR="00826A07">
        <w:rPr>
          <w:rFonts w:ascii="Times New Roman" w:hAnsi="Times New Roman" w:cs="Times New Roman"/>
          <w:sz w:val="24"/>
          <w:szCs w:val="20"/>
        </w:rPr>
        <w:t>)</w:t>
      </w:r>
      <w:r w:rsidRPr="00E359E0">
        <w:rPr>
          <w:rFonts w:ascii="Times New Roman" w:hAnsi="Times New Roman" w:cs="Times New Roman"/>
          <w:sz w:val="24"/>
          <w:szCs w:val="20"/>
        </w:rPr>
        <w:t xml:space="preserve">.  </w:t>
      </w:r>
    </w:p>
    <w:p w:rsidR="00E359E0" w:rsidRPr="00E359E0" w:rsidRDefault="00E359E0" w:rsidP="00E359E0">
      <w:pPr>
        <w:spacing w:after="0" w:line="240" w:lineRule="auto"/>
        <w:jc w:val="both"/>
        <w:rPr>
          <w:rFonts w:ascii="Times New Roman" w:hAnsi="Times New Roman" w:cs="Times New Roman"/>
          <w:sz w:val="24"/>
          <w:szCs w:val="20"/>
        </w:rPr>
      </w:pPr>
    </w:p>
    <w:p w:rsid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 xml:space="preserve">Those consulted were broadly supportive of the policy intent underlying the options of credit reporting </w:t>
      </w:r>
      <w:r w:rsidR="00826A07">
        <w:rPr>
          <w:rFonts w:ascii="Times New Roman" w:hAnsi="Times New Roman" w:cs="Times New Roman"/>
          <w:sz w:val="24"/>
          <w:szCs w:val="20"/>
        </w:rPr>
        <w:t xml:space="preserve">of </w:t>
      </w:r>
      <w:r w:rsidRPr="00E359E0">
        <w:rPr>
          <w:rFonts w:ascii="Times New Roman" w:hAnsi="Times New Roman" w:cs="Times New Roman"/>
          <w:sz w:val="24"/>
          <w:szCs w:val="20"/>
        </w:rPr>
        <w:t>significant tax debt and sharing information on serious offences with the Registrar of Companies. The majority of stakeholders consulted stressed that, given the potential consequences attached to sharing taxpayers’ information for these purposes; there should be high thresholds and se</w:t>
      </w:r>
      <w:r w:rsidR="00F341AC">
        <w:rPr>
          <w:rFonts w:ascii="Times New Roman" w:hAnsi="Times New Roman" w:cs="Times New Roman"/>
          <w:sz w:val="24"/>
          <w:szCs w:val="20"/>
        </w:rPr>
        <w:t>nsible criteria for disclosure.</w:t>
      </w:r>
    </w:p>
    <w:p w:rsidR="00F341AC" w:rsidRPr="00E359E0" w:rsidRDefault="00F341AC" w:rsidP="00E359E0">
      <w:pPr>
        <w:spacing w:after="0" w:line="240" w:lineRule="auto"/>
        <w:jc w:val="both"/>
        <w:rPr>
          <w:rFonts w:ascii="Times New Roman" w:hAnsi="Times New Roman" w:cs="Times New Roman"/>
          <w:sz w:val="24"/>
          <w:szCs w:val="20"/>
        </w:rPr>
      </w:pPr>
    </w:p>
    <w:p w:rsidR="00F341AC" w:rsidRPr="00F341AC" w:rsidRDefault="00F341AC" w:rsidP="00F341AC">
      <w:pPr>
        <w:spacing w:after="0" w:line="240" w:lineRule="auto"/>
        <w:jc w:val="both"/>
        <w:rPr>
          <w:rFonts w:ascii="Times New Roman" w:hAnsi="Times New Roman" w:cs="Times New Roman"/>
          <w:sz w:val="24"/>
          <w:szCs w:val="20"/>
        </w:rPr>
      </w:pPr>
      <w:r w:rsidRPr="00F341AC">
        <w:rPr>
          <w:rFonts w:ascii="Times New Roman" w:hAnsi="Times New Roman" w:cs="Times New Roman"/>
          <w:sz w:val="24"/>
          <w:szCs w:val="20"/>
        </w:rPr>
        <w:t>Specifically regarding the option of credit reporting</w:t>
      </w:r>
      <w:r w:rsidR="00826A07">
        <w:rPr>
          <w:rFonts w:ascii="Times New Roman" w:hAnsi="Times New Roman" w:cs="Times New Roman"/>
          <w:sz w:val="24"/>
          <w:szCs w:val="20"/>
        </w:rPr>
        <w:t xml:space="preserve"> of</w:t>
      </w:r>
      <w:r w:rsidRPr="00F341AC">
        <w:rPr>
          <w:rFonts w:ascii="Times New Roman" w:hAnsi="Times New Roman" w:cs="Times New Roman"/>
          <w:sz w:val="24"/>
          <w:szCs w:val="20"/>
        </w:rPr>
        <w:t xml:space="preserve"> significant tax debt, as stated above the </w:t>
      </w:r>
      <w:proofErr w:type="spellStart"/>
      <w:r w:rsidR="00826A07">
        <w:rPr>
          <w:rFonts w:ascii="Times New Roman" w:hAnsi="Times New Roman" w:cs="Times New Roman"/>
          <w:sz w:val="24"/>
          <w:szCs w:val="20"/>
        </w:rPr>
        <w:t>OPC</w:t>
      </w:r>
      <w:proofErr w:type="spellEnd"/>
      <w:r w:rsidRPr="00F341AC">
        <w:rPr>
          <w:rFonts w:ascii="Times New Roman" w:hAnsi="Times New Roman" w:cs="Times New Roman"/>
          <w:sz w:val="24"/>
          <w:szCs w:val="20"/>
        </w:rPr>
        <w:t xml:space="preserve"> has assisted officials’ understanding of issues surrounding credit reporting</w:t>
      </w:r>
      <w:r w:rsidR="00826A07">
        <w:rPr>
          <w:rFonts w:ascii="Times New Roman" w:hAnsi="Times New Roman" w:cs="Times New Roman"/>
          <w:sz w:val="24"/>
          <w:szCs w:val="20"/>
        </w:rPr>
        <w:t xml:space="preserve"> of</w:t>
      </w:r>
      <w:r w:rsidRPr="00F341AC">
        <w:rPr>
          <w:rFonts w:ascii="Times New Roman" w:hAnsi="Times New Roman" w:cs="Times New Roman"/>
          <w:sz w:val="24"/>
          <w:szCs w:val="20"/>
        </w:rPr>
        <w:t xml:space="preserve"> individuals’ information and officials will continue to work through these issues with </w:t>
      </w:r>
      <w:proofErr w:type="spellStart"/>
      <w:r w:rsidRPr="00F341AC">
        <w:rPr>
          <w:rFonts w:ascii="Times New Roman" w:hAnsi="Times New Roman" w:cs="Times New Roman"/>
          <w:sz w:val="24"/>
          <w:szCs w:val="20"/>
        </w:rPr>
        <w:t>OPC</w:t>
      </w:r>
      <w:proofErr w:type="spellEnd"/>
      <w:r w:rsidRPr="00F341AC">
        <w:rPr>
          <w:rFonts w:ascii="Times New Roman" w:hAnsi="Times New Roman" w:cs="Times New Roman"/>
          <w:sz w:val="24"/>
          <w:szCs w:val="20"/>
        </w:rPr>
        <w:t xml:space="preserve">. </w:t>
      </w:r>
    </w:p>
    <w:p w:rsidR="00E359E0" w:rsidRPr="00E359E0" w:rsidRDefault="00E359E0" w:rsidP="00E359E0">
      <w:pPr>
        <w:spacing w:after="0" w:line="240" w:lineRule="auto"/>
        <w:jc w:val="both"/>
        <w:rPr>
          <w:rFonts w:ascii="Times New Roman" w:hAnsi="Times New Roman" w:cs="Times New Roman"/>
          <w:sz w:val="24"/>
          <w:szCs w:val="20"/>
        </w:rPr>
      </w:pPr>
    </w:p>
    <w:p w:rsidR="00E359E0" w:rsidRPr="00E359E0" w:rsidRDefault="00E359E0" w:rsidP="00E359E0">
      <w:pPr>
        <w:spacing w:after="0" w:line="240" w:lineRule="auto"/>
        <w:jc w:val="both"/>
        <w:rPr>
          <w:rFonts w:ascii="Times New Roman" w:hAnsi="Times New Roman" w:cs="Times New Roman"/>
          <w:sz w:val="24"/>
          <w:szCs w:val="20"/>
        </w:rPr>
      </w:pPr>
      <w:r w:rsidRPr="00E359E0">
        <w:rPr>
          <w:rFonts w:ascii="Times New Roman" w:hAnsi="Times New Roman" w:cs="Times New Roman"/>
          <w:sz w:val="24"/>
          <w:szCs w:val="20"/>
        </w:rPr>
        <w:t xml:space="preserve">Specifically regarding options for information sharing with enforcement agencies, several stakeholders expressed a desire for an overarching framework for cross-Government information sharing of tax secret information. These stakeholders were supportive of sharing in relation to serious criminal offences, including company director offences, but were concerned that information sharing policy was being developed on an ad hoc basis. These comments have shaped officials’ analysis around not including non-criminal Companies Act offences alongside serious director offences in option 2 without further work. </w:t>
      </w:r>
    </w:p>
    <w:p w:rsidR="00E359E0" w:rsidRPr="00E359E0" w:rsidRDefault="00E359E0" w:rsidP="00E359E0">
      <w:pPr>
        <w:spacing w:after="0" w:line="240" w:lineRule="auto"/>
        <w:jc w:val="both"/>
        <w:rPr>
          <w:rFonts w:ascii="Times New Roman" w:hAnsi="Times New Roman" w:cs="Times New Roman"/>
          <w:sz w:val="28"/>
          <w:szCs w:val="20"/>
        </w:rPr>
      </w:pPr>
    </w:p>
    <w:p w:rsidR="00E359E0" w:rsidRPr="00D8156F" w:rsidRDefault="0067183D" w:rsidP="002D0AC2">
      <w:pPr>
        <w:pStyle w:val="Heading3"/>
      </w:pPr>
      <w:bookmarkStart w:id="28" w:name="_Toc444145615"/>
      <w:r>
        <w:t>R</w:t>
      </w:r>
      <w:r w:rsidR="00E359E0" w:rsidRPr="00D8156F">
        <w:t>ecommendations</w:t>
      </w:r>
      <w:bookmarkEnd w:id="28"/>
    </w:p>
    <w:p w:rsidR="00566803" w:rsidRDefault="00566803" w:rsidP="00F341AC">
      <w:pPr>
        <w:spacing w:after="0" w:line="240" w:lineRule="auto"/>
        <w:jc w:val="both"/>
        <w:rPr>
          <w:rFonts w:ascii="Times New Roman" w:hAnsi="Times New Roman" w:cs="Times New Roman"/>
          <w:sz w:val="24"/>
          <w:szCs w:val="24"/>
        </w:rPr>
      </w:pPr>
    </w:p>
    <w:p w:rsidR="00F341AC" w:rsidRPr="00F341AC" w:rsidRDefault="00566803" w:rsidP="00F34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F341AC" w:rsidRPr="00E359E0">
        <w:rPr>
          <w:rFonts w:ascii="Times New Roman" w:hAnsi="Times New Roman" w:cs="Times New Roman"/>
          <w:sz w:val="24"/>
          <w:szCs w:val="24"/>
        </w:rPr>
        <w:t xml:space="preserve">fficials recommend option 2 – </w:t>
      </w:r>
      <w:r w:rsidR="00F341AC" w:rsidRPr="00F341AC">
        <w:rPr>
          <w:rFonts w:ascii="Times New Roman" w:hAnsi="Times New Roman" w:cs="Times New Roman"/>
          <w:sz w:val="24"/>
          <w:szCs w:val="24"/>
        </w:rPr>
        <w:t xml:space="preserve">share significant tax debt information with credit reporting agencies. Although this option would, at least initially, be limited to disclosure of non-individuals’ information </w:t>
      </w:r>
      <w:r w:rsidR="00826A07">
        <w:rPr>
          <w:rFonts w:ascii="Times New Roman" w:hAnsi="Times New Roman" w:cs="Times New Roman"/>
          <w:sz w:val="24"/>
          <w:szCs w:val="24"/>
        </w:rPr>
        <w:t>it</w:t>
      </w:r>
      <w:r w:rsidR="00F341AC" w:rsidRPr="00F341AC">
        <w:rPr>
          <w:rFonts w:ascii="Times New Roman" w:hAnsi="Times New Roman" w:cs="Times New Roman"/>
          <w:sz w:val="24"/>
          <w:szCs w:val="24"/>
        </w:rPr>
        <w:t xml:space="preserve"> would help to remedy the current information problem that exists for businesses that require information on other businesses’ creditworthiness. The reporting of certain tax debts would allow these businesses to make more optimal lending decisions and leave them less vulnerable to the effects of other businesses collapsing with significant tax debt. The use of credit reporting agencies for the disclosure of this information would target the policy response to the problem and avoid unjustified disclosure of information. </w:t>
      </w:r>
    </w:p>
    <w:p w:rsidR="00E359E0" w:rsidRPr="00E359E0" w:rsidRDefault="00E359E0" w:rsidP="00E359E0">
      <w:pPr>
        <w:spacing w:after="0" w:line="240" w:lineRule="auto"/>
        <w:jc w:val="both"/>
        <w:rPr>
          <w:rFonts w:ascii="Times New Roman" w:hAnsi="Times New Roman" w:cs="Times New Roman"/>
          <w:sz w:val="24"/>
          <w:szCs w:val="24"/>
          <w:u w:val="single"/>
        </w:rPr>
      </w:pPr>
    </w:p>
    <w:p w:rsidR="00E359E0" w:rsidRPr="00E359E0" w:rsidRDefault="00E359E0" w:rsidP="00E359E0">
      <w:pPr>
        <w:spacing w:after="0" w:line="240" w:lineRule="auto"/>
        <w:jc w:val="both"/>
        <w:rPr>
          <w:rFonts w:ascii="Times New Roman" w:hAnsi="Times New Roman" w:cs="Times New Roman"/>
          <w:sz w:val="24"/>
          <w:szCs w:val="24"/>
        </w:rPr>
      </w:pPr>
      <w:r w:rsidRPr="00E359E0">
        <w:rPr>
          <w:rFonts w:ascii="Times New Roman" w:hAnsi="Times New Roman" w:cs="Times New Roman"/>
          <w:sz w:val="24"/>
          <w:szCs w:val="24"/>
        </w:rPr>
        <w:t xml:space="preserve">Officials also recommend option </w:t>
      </w:r>
      <w:r w:rsidR="00826A07">
        <w:rPr>
          <w:rFonts w:ascii="Times New Roman" w:hAnsi="Times New Roman" w:cs="Times New Roman"/>
          <w:sz w:val="24"/>
          <w:szCs w:val="24"/>
        </w:rPr>
        <w:t>4</w:t>
      </w:r>
      <w:r w:rsidRPr="00E359E0">
        <w:rPr>
          <w:rFonts w:ascii="Times New Roman" w:hAnsi="Times New Roman" w:cs="Times New Roman"/>
          <w:sz w:val="24"/>
          <w:szCs w:val="24"/>
        </w:rPr>
        <w:t xml:space="preserve"> – share serious offence information with the Registrar of Companies. This option would lead to more efficient enforcement of serious director offences by the Registrar and reduce harm to the business community and wider public. The detection of this offending and sanction of seriously non-compliant directors would also benefit the tax administration system because it is likely that some of these directors are also not complying with their tax obligations. </w:t>
      </w:r>
    </w:p>
    <w:p w:rsidR="00E359E0" w:rsidRPr="00D8773E" w:rsidRDefault="00E359E0" w:rsidP="00D8773E">
      <w:pPr>
        <w:spacing w:after="0" w:line="240" w:lineRule="auto"/>
        <w:jc w:val="both"/>
        <w:rPr>
          <w:rFonts w:ascii="Times New Roman" w:hAnsi="Times New Roman" w:cs="Times New Roman"/>
          <w:sz w:val="24"/>
          <w:szCs w:val="24"/>
        </w:rPr>
      </w:pPr>
    </w:p>
    <w:p w:rsidR="00EE330F" w:rsidRPr="000E4599" w:rsidRDefault="00E359E0" w:rsidP="00D8773E">
      <w:pPr>
        <w:spacing w:after="0" w:line="240" w:lineRule="auto"/>
        <w:jc w:val="both"/>
        <w:rPr>
          <w:rFonts w:ascii="Times New Roman" w:hAnsi="Times New Roman" w:cs="Times New Roman"/>
          <w:b/>
          <w:sz w:val="24"/>
          <w:szCs w:val="24"/>
        </w:rPr>
      </w:pPr>
      <w:r w:rsidRPr="00F341AC">
        <w:rPr>
          <w:rFonts w:ascii="Times New Roman" w:hAnsi="Times New Roman" w:cs="Times New Roman"/>
          <w:sz w:val="24"/>
          <w:szCs w:val="24"/>
        </w:rPr>
        <w:t>As stated above, officials have prioritised sharing with the Registrar of Companies because improved enforcement of serious offences under the Companies Act would be especially beneficial for improving market efficiency. Officials recommend further work around the development of a clear framework for this sharing</w:t>
      </w:r>
      <w:r w:rsidR="00F341AC">
        <w:rPr>
          <w:rFonts w:ascii="Times New Roman" w:hAnsi="Times New Roman" w:cs="Times New Roman"/>
          <w:sz w:val="24"/>
          <w:szCs w:val="24"/>
        </w:rPr>
        <w:t xml:space="preserve"> </w:t>
      </w:r>
      <w:r w:rsidR="00826A07">
        <w:rPr>
          <w:rFonts w:ascii="Times New Roman" w:hAnsi="Times New Roman" w:cs="Times New Roman"/>
          <w:sz w:val="24"/>
          <w:szCs w:val="24"/>
        </w:rPr>
        <w:t xml:space="preserve">to </w:t>
      </w:r>
      <w:r w:rsidR="00F341AC">
        <w:rPr>
          <w:rFonts w:ascii="Times New Roman" w:hAnsi="Times New Roman" w:cs="Times New Roman"/>
          <w:sz w:val="24"/>
          <w:szCs w:val="24"/>
        </w:rPr>
        <w:t>occur</w:t>
      </w:r>
      <w:r w:rsidRPr="00F341AC">
        <w:rPr>
          <w:rFonts w:ascii="Times New Roman" w:hAnsi="Times New Roman" w:cs="Times New Roman"/>
          <w:sz w:val="24"/>
          <w:szCs w:val="24"/>
        </w:rPr>
        <w:t xml:space="preserve">. </w:t>
      </w:r>
      <w:r w:rsidR="00EE330F" w:rsidRPr="000E4599">
        <w:rPr>
          <w:rFonts w:ascii="Times New Roman" w:hAnsi="Times New Roman" w:cs="Times New Roman"/>
          <w:b/>
          <w:sz w:val="24"/>
          <w:szCs w:val="24"/>
        </w:rPr>
        <w:br w:type="page"/>
      </w:r>
    </w:p>
    <w:p w:rsidR="00A65B46" w:rsidRPr="000E4599" w:rsidRDefault="00165D24" w:rsidP="002D0AC2">
      <w:pPr>
        <w:pStyle w:val="Heading1"/>
      </w:pPr>
      <w:bookmarkStart w:id="29" w:name="_Toc444145616"/>
      <w:r>
        <w:t xml:space="preserve">APPENDIX </w:t>
      </w:r>
      <w:r w:rsidR="008B1513">
        <w:t>E</w:t>
      </w:r>
      <w:r>
        <w:t xml:space="preserve"> – </w:t>
      </w:r>
      <w:r w:rsidR="00677F58" w:rsidRPr="000E4599">
        <w:t>SUPPLEMENTARY SIMPLIFICATION MEASURES</w:t>
      </w:r>
      <w:bookmarkEnd w:id="29"/>
    </w:p>
    <w:p w:rsidR="004B20C4" w:rsidRPr="004B20C4" w:rsidRDefault="004B20C4" w:rsidP="004B20C4">
      <w:pPr>
        <w:spacing w:after="0" w:line="240" w:lineRule="auto"/>
        <w:jc w:val="both"/>
        <w:rPr>
          <w:rFonts w:ascii="Times New Roman" w:hAnsi="Times New Roman" w:cs="Times New Roman"/>
          <w:sz w:val="24"/>
          <w:szCs w:val="24"/>
        </w:rPr>
      </w:pPr>
    </w:p>
    <w:p w:rsidR="00A65B46" w:rsidRPr="004B20C4" w:rsidRDefault="004B20C4" w:rsidP="004B20C4">
      <w:pPr>
        <w:spacing w:after="0" w:line="240" w:lineRule="auto"/>
        <w:jc w:val="both"/>
        <w:rPr>
          <w:rFonts w:ascii="Times New Roman" w:hAnsi="Times New Roman" w:cs="Times New Roman"/>
          <w:sz w:val="24"/>
          <w:szCs w:val="24"/>
        </w:rPr>
      </w:pPr>
      <w:r w:rsidRPr="004B20C4">
        <w:rPr>
          <w:rFonts w:ascii="Times New Roman" w:hAnsi="Times New Roman" w:cs="Times New Roman"/>
          <w:sz w:val="24"/>
          <w:szCs w:val="24"/>
        </w:rPr>
        <w:t>Research shows that tax compliance costs are relatively high for small businesses. However</w:t>
      </w:r>
      <w:r w:rsidR="00325D6B">
        <w:rPr>
          <w:rFonts w:ascii="Times New Roman" w:hAnsi="Times New Roman" w:cs="Times New Roman"/>
          <w:sz w:val="24"/>
          <w:szCs w:val="24"/>
        </w:rPr>
        <w:t>,</w:t>
      </w:r>
      <w:r w:rsidRPr="004B20C4">
        <w:rPr>
          <w:rFonts w:ascii="Times New Roman" w:hAnsi="Times New Roman" w:cs="Times New Roman"/>
          <w:sz w:val="24"/>
          <w:szCs w:val="24"/>
        </w:rPr>
        <w:t xml:space="preserve"> measures to simplify tax rules often face a trade-off between the accuracy of the rules in question and reduced compliance costs. This section outlines supporting simplification measures that will reduce the amount of paperwork required by businesses</w:t>
      </w:r>
      <w:r w:rsidR="0038535E">
        <w:rPr>
          <w:rFonts w:ascii="Times New Roman" w:hAnsi="Times New Roman" w:cs="Times New Roman"/>
          <w:sz w:val="24"/>
          <w:szCs w:val="24"/>
        </w:rPr>
        <w:t>,</w:t>
      </w:r>
      <w:r w:rsidRPr="004B20C4">
        <w:rPr>
          <w:rFonts w:ascii="Times New Roman" w:hAnsi="Times New Roman" w:cs="Times New Roman"/>
          <w:sz w:val="24"/>
          <w:szCs w:val="24"/>
        </w:rPr>
        <w:t xml:space="preserve"> and make it easier to manage their tax affairs without significantly affecting the amount of revenue collected by the </w:t>
      </w:r>
      <w:r w:rsidR="004E4125">
        <w:rPr>
          <w:rFonts w:ascii="Times New Roman" w:hAnsi="Times New Roman" w:cs="Times New Roman"/>
          <w:sz w:val="24"/>
          <w:szCs w:val="24"/>
        </w:rPr>
        <w:t>g</w:t>
      </w:r>
      <w:r w:rsidRPr="004B20C4">
        <w:rPr>
          <w:rFonts w:ascii="Times New Roman" w:hAnsi="Times New Roman" w:cs="Times New Roman"/>
          <w:sz w:val="24"/>
          <w:szCs w:val="24"/>
        </w:rPr>
        <w:t xml:space="preserve">overnment. The measures include simplified rules for businesses to calculate </w:t>
      </w:r>
      <w:proofErr w:type="spellStart"/>
      <w:r w:rsidRPr="004B20C4">
        <w:rPr>
          <w:rFonts w:ascii="Times New Roman" w:hAnsi="Times New Roman" w:cs="Times New Roman"/>
          <w:sz w:val="24"/>
          <w:szCs w:val="24"/>
        </w:rPr>
        <w:t>FBT</w:t>
      </w:r>
      <w:proofErr w:type="spellEnd"/>
      <w:r w:rsidRPr="004B20C4">
        <w:rPr>
          <w:rFonts w:ascii="Times New Roman" w:hAnsi="Times New Roman" w:cs="Times New Roman"/>
          <w:sz w:val="24"/>
          <w:szCs w:val="24"/>
        </w:rPr>
        <w:t>, account for vehicles and premises, and deduct employee remuneration. They also include some threshold adjustments to enable more small businesses access to simplified rules for filing and correcting errors.</w:t>
      </w:r>
    </w:p>
    <w:p w:rsidR="004B20C4" w:rsidRDefault="004B20C4" w:rsidP="004B20C4">
      <w:pPr>
        <w:spacing w:after="0" w:line="240" w:lineRule="auto"/>
        <w:jc w:val="both"/>
        <w:rPr>
          <w:rFonts w:ascii="Times New Roman" w:hAnsi="Times New Roman" w:cs="Times New Roman"/>
          <w:sz w:val="24"/>
          <w:szCs w:val="24"/>
        </w:rPr>
      </w:pPr>
    </w:p>
    <w:p w:rsidR="0067183D" w:rsidRPr="0067183D" w:rsidRDefault="0067183D" w:rsidP="0067183D">
      <w:pPr>
        <w:spacing w:after="0" w:line="240" w:lineRule="auto"/>
        <w:jc w:val="both"/>
        <w:rPr>
          <w:rFonts w:ascii="Times New Roman" w:hAnsi="Times New Roman" w:cs="Times New Roman"/>
          <w:b/>
          <w:i/>
          <w:sz w:val="24"/>
          <w:szCs w:val="24"/>
        </w:rPr>
      </w:pPr>
      <w:r w:rsidRPr="0067183D">
        <w:rPr>
          <w:rFonts w:ascii="Times New Roman" w:hAnsi="Times New Roman" w:cs="Times New Roman"/>
          <w:b/>
          <w:i/>
          <w:sz w:val="24"/>
          <w:szCs w:val="24"/>
        </w:rPr>
        <w:t>Constraints</w:t>
      </w:r>
    </w:p>
    <w:p w:rsidR="0067183D" w:rsidRDefault="0067183D" w:rsidP="0067183D">
      <w:pPr>
        <w:spacing w:after="0" w:line="240" w:lineRule="auto"/>
        <w:jc w:val="both"/>
        <w:rPr>
          <w:rFonts w:ascii="Times New Roman" w:hAnsi="Times New Roman" w:cs="Times New Roman"/>
          <w:sz w:val="24"/>
          <w:szCs w:val="24"/>
        </w:rPr>
      </w:pPr>
    </w:p>
    <w:p w:rsidR="0067183D" w:rsidRPr="005D3931" w:rsidRDefault="0067183D" w:rsidP="00671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5D3931">
        <w:rPr>
          <w:rFonts w:ascii="Times New Roman" w:hAnsi="Times New Roman" w:cs="Times New Roman"/>
          <w:sz w:val="24"/>
          <w:szCs w:val="24"/>
        </w:rPr>
        <w:t>inisters have asked officials for options that could be included in a business tax package to apply from 1 April 2017. This has limited the feasible options that officials could consider to those that can be implemented within the timeframe.</w:t>
      </w:r>
    </w:p>
    <w:p w:rsidR="0067183D" w:rsidRDefault="0067183D" w:rsidP="004B20C4">
      <w:pPr>
        <w:spacing w:after="0" w:line="240" w:lineRule="auto"/>
        <w:jc w:val="both"/>
        <w:rPr>
          <w:rFonts w:ascii="Times New Roman" w:hAnsi="Times New Roman" w:cs="Times New Roman"/>
          <w:sz w:val="24"/>
          <w:szCs w:val="24"/>
        </w:rPr>
      </w:pPr>
    </w:p>
    <w:p w:rsidR="00062EA1" w:rsidRPr="002D0AC2" w:rsidRDefault="00062EA1" w:rsidP="00062EA1">
      <w:pPr>
        <w:pStyle w:val="Heading2"/>
      </w:pPr>
      <w:bookmarkStart w:id="30" w:name="_Toc443900212"/>
      <w:bookmarkStart w:id="31" w:name="_Toc444145617"/>
      <w:r>
        <w:t>1 –</w:t>
      </w:r>
      <w:bookmarkEnd w:id="30"/>
      <w:r>
        <w:t xml:space="preserve"> </w:t>
      </w:r>
      <w:bookmarkStart w:id="32" w:name="_Toc443900213"/>
      <w:r w:rsidRPr="002D0AC2">
        <w:t>Simplified calculation of deductions for dual use vehicles</w:t>
      </w:r>
      <w:bookmarkEnd w:id="31"/>
      <w:r w:rsidRPr="002D0AC2">
        <w:t xml:space="preserve"> </w:t>
      </w:r>
      <w:bookmarkEnd w:id="32"/>
    </w:p>
    <w:p w:rsidR="00A65B46" w:rsidRDefault="00A65B46" w:rsidP="004407C0">
      <w:pPr>
        <w:spacing w:after="0" w:line="240" w:lineRule="auto"/>
        <w:jc w:val="both"/>
        <w:rPr>
          <w:rFonts w:ascii="Times New Roman" w:hAnsi="Times New Roman" w:cs="Times New Roman"/>
          <w:sz w:val="24"/>
          <w:szCs w:val="24"/>
          <w:u w:val="single"/>
        </w:rPr>
      </w:pPr>
    </w:p>
    <w:p w:rsidR="00F14255" w:rsidRPr="00F14255" w:rsidRDefault="00F14255" w:rsidP="00F14255">
      <w:pPr>
        <w:spacing w:after="0" w:line="240" w:lineRule="auto"/>
        <w:jc w:val="both"/>
        <w:rPr>
          <w:rFonts w:ascii="Times New Roman" w:hAnsi="Times New Roman" w:cs="Times New Roman"/>
          <w:b/>
          <w:i/>
          <w:sz w:val="24"/>
          <w:szCs w:val="24"/>
        </w:rPr>
      </w:pPr>
      <w:r w:rsidRPr="00F14255">
        <w:rPr>
          <w:rFonts w:ascii="Times New Roman" w:hAnsi="Times New Roman" w:cs="Times New Roman"/>
          <w:b/>
          <w:i/>
          <w:sz w:val="24"/>
          <w:szCs w:val="24"/>
        </w:rPr>
        <w:t>Status quo and problem definition</w:t>
      </w:r>
    </w:p>
    <w:p w:rsidR="00F14255" w:rsidRPr="000E4599" w:rsidRDefault="00F14255" w:rsidP="004407C0">
      <w:pPr>
        <w:spacing w:after="0" w:line="240" w:lineRule="auto"/>
        <w:jc w:val="both"/>
        <w:rPr>
          <w:rFonts w:ascii="Times New Roman" w:hAnsi="Times New Roman" w:cs="Times New Roman"/>
          <w:sz w:val="24"/>
          <w:szCs w:val="24"/>
          <w:u w:val="single"/>
        </w:rPr>
      </w:pPr>
    </w:p>
    <w:p w:rsidR="00A65B46" w:rsidRPr="000E4599" w:rsidRDefault="00A65B46" w:rsidP="004407C0">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Small business owners often use their personal vehicles and homes for both business and private purposes. Currently they need to allocate their expenses between private and business use. The private use percentage might also vary between different items of expenditure. Because there are numerous expenses for these items, allocating these between business and personal use</w:t>
      </w:r>
      <w:r w:rsidRPr="000E4599" w:rsidDel="00C94897">
        <w:rPr>
          <w:rFonts w:ascii="Times New Roman" w:hAnsi="Times New Roman" w:cs="Times New Roman"/>
          <w:sz w:val="24"/>
          <w:szCs w:val="24"/>
        </w:rPr>
        <w:t xml:space="preserve"> </w:t>
      </w:r>
      <w:r w:rsidRPr="000E4599">
        <w:rPr>
          <w:rFonts w:ascii="Times New Roman" w:hAnsi="Times New Roman" w:cs="Times New Roman"/>
          <w:sz w:val="24"/>
          <w:szCs w:val="24"/>
        </w:rPr>
        <w:t>can create large compliance obligations compared to the amount of tax at stake.</w:t>
      </w:r>
    </w:p>
    <w:p w:rsidR="004B20C4" w:rsidRPr="000E4599" w:rsidRDefault="004B20C4" w:rsidP="004B20C4">
      <w:pPr>
        <w:spacing w:after="0" w:line="240" w:lineRule="auto"/>
        <w:jc w:val="both"/>
        <w:rPr>
          <w:rFonts w:ascii="Times New Roman" w:hAnsi="Times New Roman" w:cs="Times New Roman"/>
          <w:sz w:val="24"/>
          <w:szCs w:val="24"/>
        </w:rPr>
      </w:pPr>
    </w:p>
    <w:p w:rsidR="0067183D" w:rsidRDefault="00A65B46" w:rsidP="004407C0">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The following options (other than the status quo) have been considered for ad</w:t>
      </w:r>
      <w:r w:rsidR="0067183D">
        <w:rPr>
          <w:rFonts w:ascii="Times New Roman" w:hAnsi="Times New Roman" w:cs="Times New Roman"/>
          <w:sz w:val="24"/>
          <w:szCs w:val="24"/>
        </w:rPr>
        <w:t xml:space="preserve">dressing this </w:t>
      </w:r>
      <w:r w:rsidR="004E4125">
        <w:rPr>
          <w:rFonts w:ascii="Times New Roman" w:hAnsi="Times New Roman" w:cs="Times New Roman"/>
          <w:sz w:val="24"/>
          <w:szCs w:val="24"/>
        </w:rPr>
        <w:t>issue</w:t>
      </w:r>
      <w:r w:rsidR="0067183D">
        <w:rPr>
          <w:rFonts w:ascii="Times New Roman" w:hAnsi="Times New Roman" w:cs="Times New Roman"/>
          <w:sz w:val="24"/>
          <w:szCs w:val="24"/>
        </w:rPr>
        <w:t>.</w:t>
      </w:r>
    </w:p>
    <w:p w:rsidR="0067183D" w:rsidRPr="000E4599" w:rsidRDefault="0067183D" w:rsidP="004407C0">
      <w:pPr>
        <w:spacing w:after="0" w:line="240" w:lineRule="auto"/>
        <w:jc w:val="both"/>
        <w:rPr>
          <w:rFonts w:ascii="Times New Roman" w:hAnsi="Times New Roman" w:cs="Times New Roman"/>
          <w:sz w:val="24"/>
          <w:szCs w:val="24"/>
        </w:rPr>
      </w:pPr>
    </w:p>
    <w:p w:rsidR="00A65B46" w:rsidRPr="00D8773E" w:rsidRDefault="00677F58" w:rsidP="00AF66BE">
      <w:pPr>
        <w:spacing w:after="0" w:line="240" w:lineRule="auto"/>
        <w:ind w:firstLine="720"/>
        <w:jc w:val="both"/>
        <w:rPr>
          <w:rFonts w:ascii="Times New Roman" w:hAnsi="Times New Roman" w:cs="Times New Roman"/>
          <w:i/>
          <w:sz w:val="24"/>
          <w:szCs w:val="24"/>
        </w:rPr>
      </w:pPr>
      <w:r w:rsidRPr="00D8773E">
        <w:rPr>
          <w:rFonts w:ascii="Times New Roman" w:hAnsi="Times New Roman" w:cs="Times New Roman"/>
          <w:i/>
          <w:sz w:val="24"/>
          <w:szCs w:val="24"/>
        </w:rPr>
        <w:t xml:space="preserve">Simplified calculation </w:t>
      </w:r>
      <w:r w:rsidR="00793CF6">
        <w:rPr>
          <w:rFonts w:ascii="Times New Roman" w:hAnsi="Times New Roman" w:cs="Times New Roman"/>
          <w:i/>
          <w:sz w:val="24"/>
          <w:szCs w:val="24"/>
        </w:rPr>
        <w:t xml:space="preserve">of </w:t>
      </w:r>
      <w:r w:rsidR="00793CF6" w:rsidRPr="00D8773E">
        <w:rPr>
          <w:rFonts w:ascii="Times New Roman" w:hAnsi="Times New Roman" w:cs="Times New Roman"/>
          <w:i/>
          <w:sz w:val="24"/>
          <w:szCs w:val="24"/>
        </w:rPr>
        <w:t>deduction</w:t>
      </w:r>
      <w:r w:rsidR="00793CF6">
        <w:rPr>
          <w:rFonts w:ascii="Times New Roman" w:hAnsi="Times New Roman" w:cs="Times New Roman"/>
          <w:i/>
          <w:sz w:val="24"/>
          <w:szCs w:val="24"/>
        </w:rPr>
        <w:t>s</w:t>
      </w:r>
      <w:r w:rsidR="00793CF6" w:rsidRPr="00D8773E">
        <w:rPr>
          <w:rFonts w:ascii="Times New Roman" w:hAnsi="Times New Roman" w:cs="Times New Roman"/>
          <w:i/>
          <w:sz w:val="24"/>
          <w:szCs w:val="24"/>
        </w:rPr>
        <w:t xml:space="preserve"> </w:t>
      </w:r>
      <w:r w:rsidRPr="00D8773E">
        <w:rPr>
          <w:rFonts w:ascii="Times New Roman" w:hAnsi="Times New Roman" w:cs="Times New Roman"/>
          <w:i/>
          <w:sz w:val="24"/>
          <w:szCs w:val="24"/>
        </w:rPr>
        <w:t>for dual use vehicles</w:t>
      </w:r>
    </w:p>
    <w:p w:rsidR="00A65B46" w:rsidRDefault="00A65B46" w:rsidP="004407C0">
      <w:pPr>
        <w:spacing w:after="0" w:line="240" w:lineRule="auto"/>
        <w:jc w:val="both"/>
        <w:rPr>
          <w:rFonts w:ascii="Times New Roman" w:hAnsi="Times New Roman" w:cs="Times New Roman"/>
          <w:i/>
          <w:sz w:val="24"/>
          <w:szCs w:val="24"/>
        </w:rPr>
      </w:pPr>
    </w:p>
    <w:p w:rsidR="009B04FA" w:rsidRPr="009B04FA" w:rsidRDefault="009B04FA" w:rsidP="004407C0">
      <w:pPr>
        <w:spacing w:after="0" w:line="240" w:lineRule="auto"/>
        <w:jc w:val="both"/>
        <w:rPr>
          <w:rFonts w:ascii="Times New Roman" w:hAnsi="Times New Roman" w:cs="Times New Roman"/>
          <w:b/>
          <w:i/>
          <w:sz w:val="24"/>
          <w:szCs w:val="24"/>
        </w:rPr>
      </w:pPr>
      <w:r w:rsidRPr="009B04FA">
        <w:rPr>
          <w:rFonts w:ascii="Times New Roman" w:hAnsi="Times New Roman" w:cs="Times New Roman"/>
          <w:b/>
          <w:i/>
          <w:sz w:val="24"/>
          <w:szCs w:val="24"/>
        </w:rPr>
        <w:t>Options and analysis</w:t>
      </w:r>
    </w:p>
    <w:p w:rsidR="009B04FA" w:rsidRPr="000E4599" w:rsidRDefault="009B04FA" w:rsidP="004407C0">
      <w:pPr>
        <w:spacing w:after="0" w:line="240" w:lineRule="auto"/>
        <w:jc w:val="both"/>
        <w:rPr>
          <w:rFonts w:ascii="Times New Roman" w:hAnsi="Times New Roman" w:cs="Times New Roman"/>
          <w:i/>
          <w:sz w:val="24"/>
          <w:szCs w:val="24"/>
        </w:rPr>
      </w:pPr>
    </w:p>
    <w:p w:rsidR="00677F58" w:rsidRPr="000E4599" w:rsidRDefault="00677F58" w:rsidP="004407C0">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The options to address </w:t>
      </w:r>
      <w:r w:rsidR="004E4125">
        <w:rPr>
          <w:rFonts w:ascii="Times New Roman" w:hAnsi="Times New Roman" w:cs="Times New Roman"/>
          <w:sz w:val="24"/>
          <w:szCs w:val="24"/>
        </w:rPr>
        <w:t>this issue</w:t>
      </w:r>
      <w:r w:rsidRPr="000E4599">
        <w:rPr>
          <w:rFonts w:ascii="Times New Roman" w:hAnsi="Times New Roman" w:cs="Times New Roman"/>
          <w:sz w:val="24"/>
          <w:szCs w:val="24"/>
        </w:rPr>
        <w:t xml:space="preserve"> are:</w:t>
      </w:r>
    </w:p>
    <w:p w:rsidR="00677F58" w:rsidRPr="000E4599" w:rsidRDefault="00677F58" w:rsidP="004407C0">
      <w:pPr>
        <w:spacing w:after="0" w:line="240" w:lineRule="auto"/>
        <w:jc w:val="both"/>
        <w:rPr>
          <w:rFonts w:ascii="Times New Roman" w:hAnsi="Times New Roman" w:cs="Times New Roman"/>
          <w:sz w:val="24"/>
          <w:szCs w:val="24"/>
        </w:rPr>
      </w:pPr>
    </w:p>
    <w:p w:rsidR="00A65B46" w:rsidRPr="000E4599" w:rsidRDefault="00A65B46" w:rsidP="004407C0">
      <w:pPr>
        <w:spacing w:after="0" w:line="240" w:lineRule="auto"/>
        <w:jc w:val="both"/>
        <w:rPr>
          <w:rFonts w:ascii="Times New Roman" w:hAnsi="Times New Roman" w:cs="Times New Roman"/>
          <w:i/>
          <w:sz w:val="24"/>
          <w:szCs w:val="24"/>
        </w:rPr>
      </w:pPr>
      <w:r w:rsidRPr="000E4599">
        <w:rPr>
          <w:rFonts w:ascii="Times New Roman" w:hAnsi="Times New Roman" w:cs="Times New Roman"/>
          <w:i/>
          <w:sz w:val="24"/>
          <w:szCs w:val="24"/>
        </w:rPr>
        <w:t>Option</w:t>
      </w:r>
      <w:r w:rsidR="00FC7E28">
        <w:rPr>
          <w:rFonts w:ascii="Times New Roman" w:hAnsi="Times New Roman" w:cs="Times New Roman"/>
          <w:i/>
          <w:sz w:val="24"/>
          <w:szCs w:val="24"/>
        </w:rPr>
        <w:t xml:space="preserve"> 1</w:t>
      </w:r>
      <w:r w:rsidRPr="000E4599">
        <w:rPr>
          <w:rFonts w:ascii="Times New Roman" w:hAnsi="Times New Roman" w:cs="Times New Roman"/>
          <w:i/>
          <w:sz w:val="24"/>
          <w:szCs w:val="24"/>
        </w:rPr>
        <w:t xml:space="preserve"> – </w:t>
      </w:r>
      <w:r w:rsidR="00677F58" w:rsidRPr="000E4599">
        <w:rPr>
          <w:rFonts w:ascii="Times New Roman" w:hAnsi="Times New Roman" w:cs="Times New Roman"/>
          <w:i/>
          <w:sz w:val="24"/>
          <w:szCs w:val="24"/>
        </w:rPr>
        <w:t xml:space="preserve">retain the </w:t>
      </w:r>
      <w:r w:rsidRPr="000E4599">
        <w:rPr>
          <w:rFonts w:ascii="Times New Roman" w:hAnsi="Times New Roman" w:cs="Times New Roman"/>
          <w:i/>
          <w:sz w:val="24"/>
          <w:szCs w:val="24"/>
        </w:rPr>
        <w:t>status quo</w:t>
      </w:r>
    </w:p>
    <w:p w:rsidR="00A65B46" w:rsidRPr="000E4599" w:rsidRDefault="00A65B46" w:rsidP="004407C0">
      <w:pPr>
        <w:spacing w:after="0" w:line="240" w:lineRule="auto"/>
        <w:jc w:val="both"/>
        <w:rPr>
          <w:rFonts w:ascii="Times New Roman" w:hAnsi="Times New Roman" w:cs="Times New Roman"/>
          <w:i/>
          <w:sz w:val="24"/>
          <w:szCs w:val="24"/>
          <w:u w:val="single"/>
        </w:rPr>
      </w:pPr>
    </w:p>
    <w:p w:rsidR="0038535E" w:rsidRDefault="00A65B46" w:rsidP="004407C0">
      <w:pPr>
        <w:spacing w:after="0" w:line="240" w:lineRule="auto"/>
        <w:jc w:val="both"/>
        <w:rPr>
          <w:rFonts w:ascii="Times New Roman" w:hAnsi="Times New Roman" w:cs="Times New Roman"/>
          <w:sz w:val="24"/>
          <w:szCs w:val="24"/>
        </w:rPr>
      </w:pPr>
      <w:r w:rsidRPr="000E4599">
        <w:rPr>
          <w:rFonts w:ascii="Times New Roman" w:hAnsi="Times New Roman" w:cs="Times New Roman"/>
          <w:i/>
          <w:sz w:val="24"/>
          <w:szCs w:val="24"/>
        </w:rPr>
        <w:t>Option 2 – optional single rate method</w:t>
      </w:r>
    </w:p>
    <w:p w:rsidR="0038535E" w:rsidRDefault="0038535E" w:rsidP="004407C0">
      <w:pPr>
        <w:spacing w:after="0" w:line="240" w:lineRule="auto"/>
        <w:jc w:val="both"/>
        <w:rPr>
          <w:rFonts w:ascii="Times New Roman" w:hAnsi="Times New Roman" w:cs="Times New Roman"/>
          <w:sz w:val="24"/>
          <w:szCs w:val="24"/>
        </w:rPr>
      </w:pPr>
    </w:p>
    <w:p w:rsidR="0038535E" w:rsidRDefault="004407C0" w:rsidP="004407C0">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This method would be optional and </w:t>
      </w:r>
      <w:r w:rsidR="00A65B46" w:rsidRPr="000E4599">
        <w:rPr>
          <w:rFonts w:ascii="Times New Roman" w:hAnsi="Times New Roman" w:cs="Times New Roman"/>
          <w:sz w:val="24"/>
          <w:szCs w:val="24"/>
        </w:rPr>
        <w:t>extend and modify the current per kilometre option for calculating business use deductions so it c</w:t>
      </w:r>
      <w:r w:rsidRPr="000E4599">
        <w:rPr>
          <w:rFonts w:ascii="Times New Roman" w:hAnsi="Times New Roman" w:cs="Times New Roman"/>
          <w:sz w:val="24"/>
          <w:szCs w:val="24"/>
        </w:rPr>
        <w:t>ould</w:t>
      </w:r>
      <w:r w:rsidR="00A65B46" w:rsidRPr="000E4599">
        <w:rPr>
          <w:rFonts w:ascii="Times New Roman" w:hAnsi="Times New Roman" w:cs="Times New Roman"/>
          <w:sz w:val="24"/>
          <w:szCs w:val="24"/>
        </w:rPr>
        <w:t xml:space="preserve"> be used regardless of kilometres travelled (the current rules only allow the method to be used if business use is less than 5,000 km).  </w:t>
      </w:r>
    </w:p>
    <w:p w:rsidR="0038535E" w:rsidRDefault="0038535E" w:rsidP="004407C0">
      <w:pPr>
        <w:spacing w:after="0" w:line="240" w:lineRule="auto"/>
        <w:jc w:val="both"/>
        <w:rPr>
          <w:rFonts w:ascii="Times New Roman" w:hAnsi="Times New Roman" w:cs="Times New Roman"/>
          <w:sz w:val="24"/>
          <w:szCs w:val="24"/>
        </w:rPr>
      </w:pPr>
    </w:p>
    <w:p w:rsidR="00A65B46" w:rsidRPr="000E4599" w:rsidRDefault="00A65B46" w:rsidP="004407C0">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Under this option:</w:t>
      </w:r>
    </w:p>
    <w:p w:rsidR="00A65B46" w:rsidRPr="000E4599" w:rsidRDefault="00A65B46" w:rsidP="004407C0">
      <w:pPr>
        <w:pStyle w:val="ListParagraph"/>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 </w:t>
      </w:r>
    </w:p>
    <w:p w:rsidR="00A65B46" w:rsidRPr="000E4599" w:rsidRDefault="00A65B46" w:rsidP="004407C0">
      <w:pPr>
        <w:pStyle w:val="ListParagraph"/>
        <w:numPr>
          <w:ilvl w:val="0"/>
          <w:numId w:val="15"/>
        </w:num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Taxpayers would deduct a fixed amount per kilometre travelled for business purposes based on rates published by Inland Revenue. This would be instead of deducting actual costs.  </w:t>
      </w:r>
    </w:p>
    <w:p w:rsidR="00A65B46" w:rsidRPr="000E4599" w:rsidRDefault="00A65B46" w:rsidP="004407C0">
      <w:pPr>
        <w:pStyle w:val="ListParagraph"/>
        <w:jc w:val="both"/>
        <w:rPr>
          <w:rFonts w:ascii="Times New Roman" w:hAnsi="Times New Roman" w:cs="Times New Roman"/>
          <w:sz w:val="24"/>
          <w:szCs w:val="24"/>
        </w:rPr>
      </w:pPr>
    </w:p>
    <w:p w:rsidR="00A65B46" w:rsidRPr="000E4599" w:rsidRDefault="00A65B46" w:rsidP="004407C0">
      <w:pPr>
        <w:pStyle w:val="ListParagraph"/>
        <w:numPr>
          <w:ilvl w:val="0"/>
          <w:numId w:val="15"/>
        </w:num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The rates would be set by reference to industry figures, and based on the average per kilometre cost for the average vehicle. The rates would also assume a fixed amount of private use in respect of the fixed cost element, so no apportionment between actual business and private use would be required</w:t>
      </w:r>
    </w:p>
    <w:p w:rsidR="00A65B46" w:rsidRPr="000E4599" w:rsidRDefault="00A65B46" w:rsidP="004407C0">
      <w:pPr>
        <w:pStyle w:val="ListParagraph"/>
        <w:jc w:val="both"/>
        <w:rPr>
          <w:rFonts w:ascii="Times New Roman" w:hAnsi="Times New Roman" w:cs="Times New Roman"/>
          <w:sz w:val="24"/>
          <w:szCs w:val="24"/>
        </w:rPr>
      </w:pPr>
    </w:p>
    <w:p w:rsidR="00A65B46" w:rsidRPr="000E4599" w:rsidRDefault="00A65B46" w:rsidP="004407C0">
      <w:pPr>
        <w:pStyle w:val="ListParagraph"/>
        <w:numPr>
          <w:ilvl w:val="0"/>
          <w:numId w:val="15"/>
        </w:num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The rate would be divided into 2 tiers. The first tier would provide for the recovery of both the vehicle’s fixed costs and per kilometre costs. The </w:t>
      </w:r>
      <w:r w:rsidR="0038535E">
        <w:rPr>
          <w:rFonts w:ascii="Times New Roman" w:hAnsi="Times New Roman" w:cs="Times New Roman"/>
          <w:sz w:val="24"/>
          <w:szCs w:val="24"/>
        </w:rPr>
        <w:t xml:space="preserve">second </w:t>
      </w:r>
      <w:r w:rsidRPr="000E4599">
        <w:rPr>
          <w:rFonts w:ascii="Times New Roman" w:hAnsi="Times New Roman" w:cs="Times New Roman"/>
          <w:sz w:val="24"/>
          <w:szCs w:val="24"/>
        </w:rPr>
        <w:t>tier would provide for the recovery of the per kilometre costs only.</w:t>
      </w:r>
    </w:p>
    <w:p w:rsidR="00A65B46" w:rsidRPr="000E4599" w:rsidRDefault="00A65B46" w:rsidP="004407C0">
      <w:pPr>
        <w:pStyle w:val="ListParagraph"/>
        <w:jc w:val="both"/>
        <w:rPr>
          <w:rFonts w:ascii="Times New Roman" w:hAnsi="Times New Roman" w:cs="Times New Roman"/>
          <w:sz w:val="24"/>
          <w:szCs w:val="24"/>
        </w:rPr>
      </w:pPr>
    </w:p>
    <w:p w:rsidR="00A65B46" w:rsidRPr="000E4599" w:rsidRDefault="00A65B46" w:rsidP="004407C0">
      <w:pPr>
        <w:pStyle w:val="ListParagraph"/>
        <w:numPr>
          <w:ilvl w:val="0"/>
          <w:numId w:val="15"/>
        </w:num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Taxpayers would keep a logbook for a 3 month representative test period to determine the vehicle’s business kilometres as a proportion of the total distance travelled. Taxpayers could then multiply that fraction by the total distance travelled each year to give the business kilometres.</w:t>
      </w:r>
      <w:r w:rsidR="00E907AB" w:rsidRPr="00E907AB">
        <w:rPr>
          <w:rFonts w:ascii="Times New Roman" w:hAnsi="Times New Roman" w:cs="Times New Roman"/>
          <w:sz w:val="24"/>
          <w:szCs w:val="24"/>
        </w:rPr>
        <w:t xml:space="preserve"> </w:t>
      </w:r>
      <w:r w:rsidR="00E907AB">
        <w:rPr>
          <w:rFonts w:ascii="Times New Roman" w:hAnsi="Times New Roman" w:cs="Times New Roman"/>
          <w:sz w:val="24"/>
          <w:szCs w:val="24"/>
        </w:rPr>
        <w:t>Taxpayers would also be able to choose the current method of recording and using their actual business kilometres for an income year.</w:t>
      </w:r>
    </w:p>
    <w:p w:rsidR="004407C0" w:rsidRPr="000E4599" w:rsidRDefault="004407C0" w:rsidP="004407C0">
      <w:pPr>
        <w:spacing w:after="0" w:line="240" w:lineRule="auto"/>
        <w:jc w:val="both"/>
        <w:rPr>
          <w:rFonts w:ascii="Times New Roman" w:hAnsi="Times New Roman" w:cs="Times New Roman"/>
          <w:sz w:val="24"/>
          <w:szCs w:val="24"/>
        </w:rPr>
      </w:pPr>
    </w:p>
    <w:p w:rsidR="0038535E" w:rsidRDefault="00A65B46" w:rsidP="009B04FA">
      <w:pPr>
        <w:spacing w:after="0" w:line="240" w:lineRule="auto"/>
        <w:jc w:val="both"/>
        <w:rPr>
          <w:rFonts w:ascii="Times New Roman" w:hAnsi="Times New Roman" w:cs="Times New Roman"/>
          <w:sz w:val="24"/>
          <w:szCs w:val="24"/>
        </w:rPr>
      </w:pPr>
      <w:r w:rsidRPr="000E4599">
        <w:rPr>
          <w:rFonts w:ascii="Times New Roman" w:hAnsi="Times New Roman" w:cs="Times New Roman"/>
          <w:i/>
          <w:sz w:val="24"/>
          <w:szCs w:val="24"/>
        </w:rPr>
        <w:t xml:space="preserve">Option 3 – </w:t>
      </w:r>
      <w:r w:rsidR="004E4125">
        <w:rPr>
          <w:rFonts w:ascii="Times New Roman" w:hAnsi="Times New Roman" w:cs="Times New Roman"/>
          <w:i/>
          <w:sz w:val="24"/>
          <w:szCs w:val="24"/>
        </w:rPr>
        <w:t>C</w:t>
      </w:r>
      <w:r w:rsidRPr="000E4599">
        <w:rPr>
          <w:rFonts w:ascii="Times New Roman" w:hAnsi="Times New Roman" w:cs="Times New Roman"/>
          <w:i/>
          <w:sz w:val="24"/>
          <w:szCs w:val="24"/>
        </w:rPr>
        <w:t>ompulsory single rate method</w:t>
      </w:r>
    </w:p>
    <w:p w:rsidR="0038535E" w:rsidRDefault="0038535E" w:rsidP="009B04FA">
      <w:pPr>
        <w:spacing w:after="0" w:line="240" w:lineRule="auto"/>
        <w:jc w:val="both"/>
        <w:rPr>
          <w:rFonts w:ascii="Times New Roman" w:hAnsi="Times New Roman" w:cs="Times New Roman"/>
          <w:sz w:val="24"/>
          <w:szCs w:val="24"/>
        </w:rPr>
      </w:pPr>
    </w:p>
    <w:p w:rsidR="00A65B46" w:rsidRDefault="004407C0" w:rsidP="009B04FA">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This option is the </w:t>
      </w:r>
      <w:r w:rsidR="00A65B46" w:rsidRPr="000E4599">
        <w:rPr>
          <w:rFonts w:ascii="Times New Roman" w:hAnsi="Times New Roman" w:cs="Times New Roman"/>
          <w:sz w:val="24"/>
          <w:szCs w:val="24"/>
        </w:rPr>
        <w:t>same as option 2, except the method would be compulsory.</w:t>
      </w:r>
    </w:p>
    <w:p w:rsidR="009B04FA" w:rsidRPr="000E4599" w:rsidRDefault="009B04FA" w:rsidP="009B04FA">
      <w:pPr>
        <w:spacing w:after="0" w:line="240" w:lineRule="auto"/>
        <w:jc w:val="both"/>
        <w:rPr>
          <w:rFonts w:ascii="Times New Roman" w:hAnsi="Times New Roman" w:cs="Times New Roman"/>
          <w:sz w:val="24"/>
          <w:szCs w:val="24"/>
        </w:rPr>
      </w:pPr>
    </w:p>
    <w:p w:rsidR="00A65B46" w:rsidRPr="000E4599" w:rsidRDefault="00A65B46" w:rsidP="004407C0">
      <w:pPr>
        <w:pStyle w:val="ListParagraph"/>
        <w:spacing w:after="0" w:line="240" w:lineRule="auto"/>
        <w:ind w:left="0"/>
        <w:jc w:val="both"/>
        <w:rPr>
          <w:rFonts w:ascii="Times New Roman" w:hAnsi="Times New Roman" w:cs="Times New Roman"/>
          <w:sz w:val="24"/>
          <w:szCs w:val="24"/>
        </w:rPr>
      </w:pPr>
      <w:r w:rsidRPr="000E4599">
        <w:rPr>
          <w:rFonts w:ascii="Times New Roman" w:hAnsi="Times New Roman" w:cs="Times New Roman"/>
          <w:sz w:val="24"/>
          <w:szCs w:val="24"/>
        </w:rPr>
        <w:t xml:space="preserve">Officials’ analysis of the options is set out in the table </w:t>
      </w:r>
      <w:r w:rsidR="002960C6">
        <w:rPr>
          <w:rFonts w:ascii="Times New Roman" w:hAnsi="Times New Roman" w:cs="Times New Roman"/>
          <w:sz w:val="24"/>
          <w:szCs w:val="24"/>
        </w:rPr>
        <w:t>on the next page</w:t>
      </w:r>
      <w:r w:rsidRPr="000E4599">
        <w:rPr>
          <w:rFonts w:ascii="Times New Roman" w:hAnsi="Times New Roman" w:cs="Times New Roman"/>
          <w:sz w:val="24"/>
          <w:szCs w:val="24"/>
        </w:rPr>
        <w:t>.</w:t>
      </w:r>
    </w:p>
    <w:p w:rsidR="00EE330F" w:rsidRPr="000E4599" w:rsidRDefault="00EE330F">
      <w:pPr>
        <w:rPr>
          <w:rFonts w:ascii="Times New Roman" w:hAnsi="Times New Roman" w:cs="Times New Roman"/>
          <w:sz w:val="24"/>
          <w:szCs w:val="24"/>
        </w:rPr>
        <w:sectPr w:rsidR="00EE330F" w:rsidRPr="000E4599">
          <w:pgSz w:w="11906" w:h="16838"/>
          <w:pgMar w:top="1440" w:right="1440" w:bottom="1440" w:left="1440" w:header="708" w:footer="708" w:gutter="0"/>
          <w:cols w:space="708"/>
          <w:docGrid w:linePitch="360"/>
        </w:sectPr>
      </w:pPr>
    </w:p>
    <w:p w:rsidR="00A65B46" w:rsidRPr="000E4599" w:rsidRDefault="00A65B46" w:rsidP="00A65B46">
      <w:pPr>
        <w:spacing w:after="0" w:line="240" w:lineRule="auto"/>
        <w:jc w:val="both"/>
        <w:rPr>
          <w:rFonts w:ascii="Times New Roman" w:hAnsi="Times New Roman" w:cs="Times New Roman"/>
          <w:sz w:val="24"/>
          <w:szCs w:val="24"/>
        </w:rPr>
      </w:pPr>
    </w:p>
    <w:tbl>
      <w:tblPr>
        <w:tblStyle w:val="TableGrid"/>
        <w:tblW w:w="12725" w:type="dxa"/>
        <w:tblLayout w:type="fixed"/>
        <w:tblLook w:val="04A0" w:firstRow="1" w:lastRow="0" w:firstColumn="1" w:lastColumn="0" w:noHBand="0" w:noVBand="1"/>
      </w:tblPr>
      <w:tblGrid>
        <w:gridCol w:w="1384"/>
        <w:gridCol w:w="2551"/>
        <w:gridCol w:w="3686"/>
        <w:gridCol w:w="2835"/>
        <w:gridCol w:w="2269"/>
      </w:tblGrid>
      <w:tr w:rsidR="00444282" w:rsidRPr="000E4599" w:rsidTr="008D31DB">
        <w:trPr>
          <w:tblHeader/>
        </w:trPr>
        <w:tc>
          <w:tcPr>
            <w:tcW w:w="1384" w:type="dxa"/>
          </w:tcPr>
          <w:p w:rsidR="00444282" w:rsidRPr="000E4599" w:rsidRDefault="00444282" w:rsidP="00A65B46">
            <w:pPr>
              <w:rPr>
                <w:rFonts w:ascii="Times New Roman" w:hAnsi="Times New Roman" w:cs="Times New Roman"/>
                <w:b/>
                <w:sz w:val="24"/>
                <w:szCs w:val="24"/>
              </w:rPr>
            </w:pPr>
            <w:r w:rsidRPr="000E4599">
              <w:rPr>
                <w:rFonts w:ascii="Times New Roman" w:hAnsi="Times New Roman" w:cs="Times New Roman"/>
                <w:b/>
                <w:sz w:val="24"/>
                <w:szCs w:val="24"/>
              </w:rPr>
              <w:t>Options</w:t>
            </w:r>
          </w:p>
        </w:tc>
        <w:tc>
          <w:tcPr>
            <w:tcW w:w="2551" w:type="dxa"/>
          </w:tcPr>
          <w:p w:rsidR="00444282" w:rsidRPr="000E4599" w:rsidRDefault="00444282" w:rsidP="00A65B46">
            <w:pPr>
              <w:rPr>
                <w:rFonts w:ascii="Times New Roman" w:hAnsi="Times New Roman" w:cs="Times New Roman"/>
                <w:b/>
                <w:sz w:val="24"/>
                <w:szCs w:val="24"/>
              </w:rPr>
            </w:pPr>
            <w:r w:rsidRPr="000E4599">
              <w:rPr>
                <w:rFonts w:ascii="Times New Roman" w:hAnsi="Times New Roman" w:cs="Times New Roman"/>
                <w:b/>
                <w:sz w:val="24"/>
                <w:szCs w:val="24"/>
              </w:rPr>
              <w:t>Fairness and equity</w:t>
            </w:r>
          </w:p>
        </w:tc>
        <w:tc>
          <w:tcPr>
            <w:tcW w:w="3686" w:type="dxa"/>
          </w:tcPr>
          <w:p w:rsidR="00444282" w:rsidRPr="000E4599" w:rsidRDefault="00444282" w:rsidP="00062EA1">
            <w:pPr>
              <w:rPr>
                <w:rFonts w:ascii="Times New Roman" w:hAnsi="Times New Roman" w:cs="Times New Roman"/>
                <w:b/>
                <w:sz w:val="24"/>
                <w:szCs w:val="24"/>
              </w:rPr>
            </w:pPr>
            <w:r w:rsidRPr="000E4599">
              <w:rPr>
                <w:rFonts w:ascii="Times New Roman" w:hAnsi="Times New Roman" w:cs="Times New Roman"/>
                <w:b/>
                <w:sz w:val="24"/>
                <w:szCs w:val="24"/>
              </w:rPr>
              <w:t xml:space="preserve">Efficiency of compliance and administration </w:t>
            </w:r>
          </w:p>
        </w:tc>
        <w:tc>
          <w:tcPr>
            <w:tcW w:w="2835" w:type="dxa"/>
          </w:tcPr>
          <w:p w:rsidR="00444282" w:rsidRPr="000E4599" w:rsidRDefault="00444282" w:rsidP="00A65B46">
            <w:pPr>
              <w:rPr>
                <w:rFonts w:ascii="Times New Roman" w:hAnsi="Times New Roman" w:cs="Times New Roman"/>
                <w:b/>
                <w:sz w:val="24"/>
                <w:szCs w:val="24"/>
              </w:rPr>
            </w:pPr>
            <w:r w:rsidRPr="000E4599">
              <w:rPr>
                <w:rFonts w:ascii="Times New Roman" w:hAnsi="Times New Roman" w:cs="Times New Roman"/>
                <w:b/>
                <w:sz w:val="24"/>
                <w:szCs w:val="24"/>
              </w:rPr>
              <w:t>Sustainability of tax system</w:t>
            </w:r>
          </w:p>
        </w:tc>
        <w:tc>
          <w:tcPr>
            <w:tcW w:w="2269" w:type="dxa"/>
          </w:tcPr>
          <w:p w:rsidR="00444282" w:rsidRPr="000E4599" w:rsidRDefault="00444282" w:rsidP="00A10950">
            <w:pPr>
              <w:rPr>
                <w:rFonts w:ascii="Times New Roman" w:hAnsi="Times New Roman" w:cs="Times New Roman"/>
                <w:b/>
                <w:sz w:val="24"/>
                <w:szCs w:val="24"/>
              </w:rPr>
            </w:pPr>
            <w:r w:rsidRPr="000E4599">
              <w:rPr>
                <w:rFonts w:ascii="Times New Roman" w:hAnsi="Times New Roman" w:cs="Times New Roman"/>
                <w:b/>
                <w:sz w:val="24"/>
                <w:szCs w:val="24"/>
              </w:rPr>
              <w:t xml:space="preserve">Revenue </w:t>
            </w:r>
          </w:p>
        </w:tc>
      </w:tr>
      <w:tr w:rsidR="00444282" w:rsidRPr="000E4599" w:rsidTr="008D31DB">
        <w:tc>
          <w:tcPr>
            <w:tcW w:w="1384" w:type="dxa"/>
          </w:tcPr>
          <w:p w:rsidR="00444282" w:rsidRPr="00566803" w:rsidRDefault="00444282" w:rsidP="00370C96">
            <w:pPr>
              <w:pStyle w:val="ListParagraph"/>
              <w:ind w:left="0"/>
              <w:rPr>
                <w:rFonts w:ascii="Times New Roman" w:hAnsi="Times New Roman" w:cs="Times New Roman"/>
                <w:sz w:val="24"/>
                <w:szCs w:val="24"/>
              </w:rPr>
            </w:pPr>
            <w:r w:rsidRPr="00566803">
              <w:rPr>
                <w:rFonts w:ascii="Times New Roman" w:hAnsi="Times New Roman" w:cs="Times New Roman"/>
                <w:sz w:val="24"/>
                <w:szCs w:val="24"/>
              </w:rPr>
              <w:t xml:space="preserve">1. </w:t>
            </w:r>
            <w:r>
              <w:rPr>
                <w:rFonts w:ascii="Times New Roman" w:hAnsi="Times New Roman" w:cs="Times New Roman"/>
                <w:sz w:val="24"/>
                <w:szCs w:val="24"/>
              </w:rPr>
              <w:t>Retain the s</w:t>
            </w:r>
            <w:r w:rsidRPr="00566803">
              <w:rPr>
                <w:rFonts w:ascii="Times New Roman" w:hAnsi="Times New Roman" w:cs="Times New Roman"/>
                <w:sz w:val="24"/>
                <w:szCs w:val="24"/>
              </w:rPr>
              <w:t xml:space="preserve">tatus quo </w:t>
            </w:r>
          </w:p>
        </w:tc>
        <w:tc>
          <w:tcPr>
            <w:tcW w:w="2551"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Met</w:t>
            </w:r>
          </w:p>
          <w:p w:rsidR="00444282" w:rsidRDefault="00444282" w:rsidP="00A65B46">
            <w:pPr>
              <w:rPr>
                <w:rFonts w:ascii="Times New Roman" w:hAnsi="Times New Roman" w:cs="Times New Roman"/>
                <w:sz w:val="24"/>
                <w:szCs w:val="24"/>
              </w:rPr>
            </w:pPr>
          </w:p>
          <w:p w:rsidR="00444282" w:rsidRPr="000E4599" w:rsidRDefault="00444282" w:rsidP="00A65B46">
            <w:pPr>
              <w:rPr>
                <w:rFonts w:ascii="Times New Roman" w:hAnsi="Times New Roman" w:cs="Times New Roman"/>
                <w:sz w:val="24"/>
                <w:szCs w:val="24"/>
              </w:rPr>
            </w:pPr>
            <w:r w:rsidRPr="000E4599">
              <w:rPr>
                <w:rFonts w:ascii="Times New Roman" w:hAnsi="Times New Roman" w:cs="Times New Roman"/>
                <w:sz w:val="24"/>
                <w:szCs w:val="24"/>
              </w:rPr>
              <w:t>Completely fair, as the business proportion of actual expenses is deductible</w:t>
            </w:r>
            <w:r>
              <w:rPr>
                <w:rFonts w:ascii="Times New Roman" w:hAnsi="Times New Roman" w:cs="Times New Roman"/>
                <w:sz w:val="24"/>
                <w:szCs w:val="24"/>
              </w:rPr>
              <w:t>.</w:t>
            </w:r>
          </w:p>
        </w:tc>
        <w:tc>
          <w:tcPr>
            <w:tcW w:w="3686"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Not met</w:t>
            </w:r>
          </w:p>
          <w:p w:rsidR="00444282" w:rsidRDefault="00444282" w:rsidP="00A65B46">
            <w:pPr>
              <w:rPr>
                <w:rFonts w:ascii="Times New Roman" w:hAnsi="Times New Roman" w:cs="Times New Roman"/>
                <w:sz w:val="24"/>
                <w:szCs w:val="24"/>
              </w:rPr>
            </w:pPr>
          </w:p>
          <w:p w:rsidR="00444282" w:rsidRPr="000E4599" w:rsidRDefault="00444282" w:rsidP="0038535E">
            <w:pPr>
              <w:rPr>
                <w:rFonts w:ascii="Times New Roman" w:hAnsi="Times New Roman" w:cs="Times New Roman"/>
                <w:sz w:val="24"/>
                <w:szCs w:val="24"/>
              </w:rPr>
            </w:pPr>
            <w:r w:rsidRPr="000E4599">
              <w:rPr>
                <w:rFonts w:ascii="Times New Roman" w:hAnsi="Times New Roman" w:cs="Times New Roman"/>
                <w:sz w:val="24"/>
                <w:szCs w:val="24"/>
              </w:rPr>
              <w:t>Inefficient to comply with, due to the number of expenses and the small amount of tax. Not currently time-consuming to administer.</w:t>
            </w:r>
          </w:p>
        </w:tc>
        <w:tc>
          <w:tcPr>
            <w:tcW w:w="2835"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Met</w:t>
            </w:r>
          </w:p>
          <w:p w:rsidR="00444282" w:rsidRDefault="00444282" w:rsidP="00A65B46">
            <w:pPr>
              <w:rPr>
                <w:rFonts w:ascii="Times New Roman" w:hAnsi="Times New Roman" w:cs="Times New Roman"/>
                <w:sz w:val="24"/>
                <w:szCs w:val="24"/>
              </w:rPr>
            </w:pPr>
          </w:p>
          <w:p w:rsidR="00444282" w:rsidRPr="000E4599" w:rsidRDefault="00444282" w:rsidP="00A42378">
            <w:pPr>
              <w:rPr>
                <w:rFonts w:ascii="Times New Roman" w:hAnsi="Times New Roman" w:cs="Times New Roman"/>
                <w:sz w:val="24"/>
                <w:szCs w:val="24"/>
              </w:rPr>
            </w:pPr>
            <w:r>
              <w:rPr>
                <w:rFonts w:ascii="Times New Roman" w:hAnsi="Times New Roman" w:cs="Times New Roman"/>
                <w:sz w:val="24"/>
                <w:szCs w:val="24"/>
              </w:rPr>
              <w:t>The</w:t>
            </w:r>
            <w:r w:rsidRPr="000E4599">
              <w:rPr>
                <w:rFonts w:ascii="Times New Roman" w:hAnsi="Times New Roman" w:cs="Times New Roman"/>
                <w:sz w:val="24"/>
                <w:szCs w:val="24"/>
              </w:rPr>
              <w:t xml:space="preserve"> actual calculation can be complicated.</w:t>
            </w:r>
          </w:p>
        </w:tc>
        <w:tc>
          <w:tcPr>
            <w:tcW w:w="2269" w:type="dxa"/>
          </w:tcPr>
          <w:p w:rsidR="00444282" w:rsidRPr="000E4599" w:rsidRDefault="00444282" w:rsidP="00370C96">
            <w:pPr>
              <w:rPr>
                <w:rFonts w:ascii="Times New Roman" w:hAnsi="Times New Roman" w:cs="Times New Roman"/>
                <w:sz w:val="24"/>
                <w:szCs w:val="24"/>
              </w:rPr>
            </w:pPr>
            <w:r>
              <w:rPr>
                <w:rFonts w:ascii="Times New Roman" w:hAnsi="Times New Roman" w:cs="Times New Roman"/>
                <w:sz w:val="24"/>
                <w:szCs w:val="24"/>
              </w:rPr>
              <w:t>No impact</w:t>
            </w:r>
          </w:p>
        </w:tc>
      </w:tr>
      <w:tr w:rsidR="00444282" w:rsidRPr="000E4599" w:rsidTr="008D31DB">
        <w:tc>
          <w:tcPr>
            <w:tcW w:w="1384" w:type="dxa"/>
          </w:tcPr>
          <w:p w:rsidR="00444282" w:rsidRPr="00566803" w:rsidRDefault="00444282" w:rsidP="00A65B46">
            <w:pPr>
              <w:pStyle w:val="ListParagraph"/>
              <w:ind w:left="0"/>
              <w:rPr>
                <w:rFonts w:ascii="Times New Roman" w:hAnsi="Times New Roman" w:cs="Times New Roman"/>
                <w:sz w:val="24"/>
                <w:szCs w:val="24"/>
              </w:rPr>
            </w:pPr>
            <w:r w:rsidRPr="00566803">
              <w:rPr>
                <w:rFonts w:ascii="Times New Roman" w:hAnsi="Times New Roman" w:cs="Times New Roman"/>
                <w:sz w:val="24"/>
                <w:szCs w:val="24"/>
              </w:rPr>
              <w:t>2. Optional single rate for Vehicles</w:t>
            </w:r>
          </w:p>
        </w:tc>
        <w:tc>
          <w:tcPr>
            <w:tcW w:w="2551"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Met</w:t>
            </w:r>
          </w:p>
          <w:p w:rsidR="00444282" w:rsidRDefault="00444282" w:rsidP="00A65B46">
            <w:pPr>
              <w:rPr>
                <w:rFonts w:ascii="Times New Roman" w:hAnsi="Times New Roman" w:cs="Times New Roman"/>
                <w:sz w:val="24"/>
                <w:szCs w:val="24"/>
              </w:rPr>
            </w:pPr>
          </w:p>
          <w:p w:rsidR="00444282" w:rsidRPr="000E4599" w:rsidRDefault="00444282" w:rsidP="0038535E">
            <w:pPr>
              <w:rPr>
                <w:rFonts w:ascii="Times New Roman" w:hAnsi="Times New Roman" w:cs="Times New Roman"/>
                <w:sz w:val="24"/>
                <w:szCs w:val="24"/>
              </w:rPr>
            </w:pPr>
            <w:r w:rsidRPr="000E4599">
              <w:rPr>
                <w:rFonts w:ascii="Times New Roman" w:hAnsi="Times New Roman" w:cs="Times New Roman"/>
                <w:sz w:val="24"/>
                <w:szCs w:val="24"/>
              </w:rPr>
              <w:t>Generally fair, as the rate will be approximately accurate for most vehicles and owners of more expensive vehicles can elect to deduct based on their actual expenses. However owners of older cars may be able to claim greater deductions than their actual expenditure.</w:t>
            </w:r>
          </w:p>
        </w:tc>
        <w:tc>
          <w:tcPr>
            <w:tcW w:w="3686"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Met</w:t>
            </w:r>
          </w:p>
          <w:p w:rsidR="00444282" w:rsidRDefault="00444282" w:rsidP="00A65B46">
            <w:pPr>
              <w:rPr>
                <w:rFonts w:ascii="Times New Roman" w:hAnsi="Times New Roman" w:cs="Times New Roman"/>
                <w:sz w:val="24"/>
                <w:szCs w:val="24"/>
              </w:rPr>
            </w:pPr>
          </w:p>
          <w:p w:rsidR="00444282" w:rsidRPr="000E4599" w:rsidRDefault="00444282" w:rsidP="00793CF6">
            <w:pPr>
              <w:rPr>
                <w:rFonts w:ascii="Times New Roman" w:hAnsi="Times New Roman" w:cs="Times New Roman"/>
                <w:sz w:val="24"/>
                <w:szCs w:val="24"/>
              </w:rPr>
            </w:pPr>
            <w:r w:rsidRPr="000E4599">
              <w:rPr>
                <w:rFonts w:ascii="Times New Roman" w:hAnsi="Times New Roman" w:cs="Times New Roman"/>
                <w:sz w:val="24"/>
                <w:szCs w:val="24"/>
              </w:rPr>
              <w:t>More efficient for taxpayers to comply with, due to single rate calculation. Also easier to audit, but not otherwise easier to administer. However some taxpayers may elect to calculate their deductions under both this method and the other currently available methods so they can claim the greater amount. This would increase the tax calculations for such taxpayers. The measure will impact sole traders who use their vehicle for both business and personal purposes. There are up to 3,500 such taxpayers.</w:t>
            </w:r>
          </w:p>
        </w:tc>
        <w:tc>
          <w:tcPr>
            <w:tcW w:w="2835"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Met</w:t>
            </w:r>
          </w:p>
          <w:p w:rsidR="00444282" w:rsidRDefault="00444282" w:rsidP="00A65B46">
            <w:pPr>
              <w:rPr>
                <w:rFonts w:ascii="Times New Roman" w:hAnsi="Times New Roman" w:cs="Times New Roman"/>
                <w:sz w:val="24"/>
                <w:szCs w:val="24"/>
              </w:rPr>
            </w:pPr>
          </w:p>
          <w:p w:rsidR="00444282" w:rsidRPr="000E4599" w:rsidRDefault="00444282" w:rsidP="00793CF6">
            <w:pPr>
              <w:rPr>
                <w:rFonts w:ascii="Times New Roman" w:hAnsi="Times New Roman" w:cs="Times New Roman"/>
                <w:sz w:val="24"/>
                <w:szCs w:val="24"/>
              </w:rPr>
            </w:pPr>
            <w:r w:rsidRPr="000E4599">
              <w:rPr>
                <w:rFonts w:ascii="Times New Roman" w:hAnsi="Times New Roman" w:cs="Times New Roman"/>
                <w:sz w:val="24"/>
                <w:szCs w:val="24"/>
              </w:rPr>
              <w:t xml:space="preserve">The actual calculation is easier, rates will be broadly accurate for most taxpayers, and there is a significant cost floor for vehicle use. </w:t>
            </w:r>
          </w:p>
        </w:tc>
        <w:tc>
          <w:tcPr>
            <w:tcW w:w="2269" w:type="dxa"/>
          </w:tcPr>
          <w:p w:rsidR="00444282" w:rsidRDefault="00444282" w:rsidP="00793CF6">
            <w:pPr>
              <w:rPr>
                <w:rFonts w:ascii="Times New Roman" w:hAnsi="Times New Roman" w:cs="Times New Roman"/>
                <w:sz w:val="24"/>
                <w:szCs w:val="24"/>
              </w:rPr>
            </w:pPr>
            <w:r w:rsidRPr="000E4599">
              <w:rPr>
                <w:rFonts w:ascii="Times New Roman" w:hAnsi="Times New Roman" w:cs="Times New Roman"/>
                <w:sz w:val="24"/>
                <w:szCs w:val="24"/>
              </w:rPr>
              <w:t xml:space="preserve">Small </w:t>
            </w:r>
            <w:r w:rsidR="00BC4745">
              <w:rPr>
                <w:rFonts w:ascii="Times New Roman" w:hAnsi="Times New Roman" w:cs="Times New Roman"/>
                <w:sz w:val="24"/>
                <w:szCs w:val="24"/>
              </w:rPr>
              <w:t>cost</w:t>
            </w:r>
          </w:p>
          <w:p w:rsidR="00444282" w:rsidRDefault="00444282" w:rsidP="00793CF6">
            <w:pPr>
              <w:rPr>
                <w:rFonts w:ascii="Times New Roman" w:hAnsi="Times New Roman" w:cs="Times New Roman"/>
                <w:sz w:val="24"/>
                <w:szCs w:val="24"/>
              </w:rPr>
            </w:pPr>
          </w:p>
          <w:p w:rsidR="00444282" w:rsidRPr="000E4599" w:rsidRDefault="00444282" w:rsidP="00793CF6">
            <w:pPr>
              <w:rPr>
                <w:rFonts w:ascii="Times New Roman" w:hAnsi="Times New Roman" w:cs="Times New Roman"/>
                <w:sz w:val="24"/>
                <w:szCs w:val="24"/>
              </w:rPr>
            </w:pPr>
            <w:r>
              <w:rPr>
                <w:rFonts w:ascii="Times New Roman" w:hAnsi="Times New Roman" w:cs="Times New Roman"/>
                <w:sz w:val="24"/>
                <w:szCs w:val="24"/>
              </w:rPr>
              <w:t>T</w:t>
            </w:r>
            <w:r w:rsidRPr="000E4599">
              <w:rPr>
                <w:rFonts w:ascii="Times New Roman" w:hAnsi="Times New Roman" w:cs="Times New Roman"/>
                <w:sz w:val="24"/>
                <w:szCs w:val="24"/>
              </w:rPr>
              <w:t xml:space="preserve">axpayers with older vehicles may be able to deduct more than their actual expenditure, while taxpayers with newer or more expensive vehicles can elect not to use the method. </w:t>
            </w:r>
            <w:r>
              <w:rPr>
                <w:rFonts w:ascii="Times New Roman" w:hAnsi="Times New Roman" w:cs="Times New Roman"/>
                <w:sz w:val="24"/>
                <w:szCs w:val="24"/>
              </w:rPr>
              <w:t xml:space="preserve">The </w:t>
            </w:r>
            <w:r w:rsidRPr="000E4599">
              <w:rPr>
                <w:rFonts w:ascii="Times New Roman" w:hAnsi="Times New Roman" w:cs="Times New Roman"/>
                <w:sz w:val="24"/>
                <w:szCs w:val="24"/>
              </w:rPr>
              <w:t>estimate</w:t>
            </w:r>
            <w:r>
              <w:rPr>
                <w:rFonts w:ascii="Times New Roman" w:hAnsi="Times New Roman" w:cs="Times New Roman"/>
                <w:sz w:val="24"/>
                <w:szCs w:val="24"/>
              </w:rPr>
              <w:t>d</w:t>
            </w:r>
            <w:r w:rsidRPr="000E4599">
              <w:rPr>
                <w:rFonts w:ascii="Times New Roman" w:hAnsi="Times New Roman" w:cs="Times New Roman"/>
                <w:sz w:val="24"/>
                <w:szCs w:val="24"/>
              </w:rPr>
              <w:t xml:space="preserve"> fiscal cost for this option </w:t>
            </w:r>
            <w:r>
              <w:rPr>
                <w:rFonts w:ascii="Times New Roman" w:hAnsi="Times New Roman" w:cs="Times New Roman"/>
                <w:sz w:val="24"/>
                <w:szCs w:val="24"/>
              </w:rPr>
              <w:t>is</w:t>
            </w:r>
            <w:r w:rsidRPr="000E4599">
              <w:rPr>
                <w:rFonts w:ascii="Times New Roman" w:hAnsi="Times New Roman" w:cs="Times New Roman"/>
                <w:sz w:val="24"/>
                <w:szCs w:val="24"/>
              </w:rPr>
              <w:t xml:space="preserve"> $700,000 per year.</w:t>
            </w:r>
          </w:p>
        </w:tc>
      </w:tr>
      <w:tr w:rsidR="00444282" w:rsidRPr="000E4599" w:rsidTr="008D31DB">
        <w:trPr>
          <w:cantSplit/>
        </w:trPr>
        <w:tc>
          <w:tcPr>
            <w:tcW w:w="1384" w:type="dxa"/>
          </w:tcPr>
          <w:p w:rsidR="00444282" w:rsidRPr="00566803" w:rsidRDefault="00444282" w:rsidP="00A65B46">
            <w:pPr>
              <w:pStyle w:val="ListParagraph"/>
              <w:ind w:left="0"/>
              <w:rPr>
                <w:rFonts w:ascii="Times New Roman" w:hAnsi="Times New Roman" w:cs="Times New Roman"/>
                <w:sz w:val="24"/>
                <w:szCs w:val="24"/>
              </w:rPr>
            </w:pPr>
            <w:r w:rsidRPr="00566803">
              <w:rPr>
                <w:rFonts w:ascii="Times New Roman" w:hAnsi="Times New Roman" w:cs="Times New Roman"/>
                <w:sz w:val="24"/>
                <w:szCs w:val="24"/>
              </w:rPr>
              <w:t>3.Compulsory single rate for vehicles</w:t>
            </w:r>
          </w:p>
        </w:tc>
        <w:tc>
          <w:tcPr>
            <w:tcW w:w="2551"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Not met</w:t>
            </w:r>
          </w:p>
          <w:p w:rsidR="00444282" w:rsidRDefault="00444282" w:rsidP="00A65B46">
            <w:pPr>
              <w:rPr>
                <w:rFonts w:ascii="Times New Roman" w:hAnsi="Times New Roman" w:cs="Times New Roman"/>
                <w:sz w:val="24"/>
                <w:szCs w:val="24"/>
              </w:rPr>
            </w:pPr>
          </w:p>
          <w:p w:rsidR="00444282" w:rsidRPr="000E4599" w:rsidRDefault="00444282" w:rsidP="00A65B46">
            <w:pPr>
              <w:rPr>
                <w:rFonts w:ascii="Times New Roman" w:hAnsi="Times New Roman" w:cs="Times New Roman"/>
                <w:sz w:val="24"/>
                <w:szCs w:val="24"/>
              </w:rPr>
            </w:pPr>
            <w:r w:rsidRPr="000E4599">
              <w:rPr>
                <w:rFonts w:ascii="Times New Roman" w:hAnsi="Times New Roman" w:cs="Times New Roman"/>
                <w:sz w:val="24"/>
                <w:szCs w:val="24"/>
              </w:rPr>
              <w:t xml:space="preserve">The method will be unfair for taxpayers with newer or more expensive vehicles, as the variability of vehicle costs (especially depreciation) means that an average rate could be significantly less than their actual expenses. </w:t>
            </w:r>
          </w:p>
        </w:tc>
        <w:tc>
          <w:tcPr>
            <w:tcW w:w="3686"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Met</w:t>
            </w:r>
          </w:p>
          <w:p w:rsidR="00444282" w:rsidRDefault="00444282" w:rsidP="00A65B46">
            <w:pPr>
              <w:rPr>
                <w:rFonts w:ascii="Times New Roman" w:hAnsi="Times New Roman" w:cs="Times New Roman"/>
                <w:sz w:val="24"/>
                <w:szCs w:val="24"/>
              </w:rPr>
            </w:pPr>
          </w:p>
          <w:p w:rsidR="00444282" w:rsidRPr="000E4599" w:rsidRDefault="00444282" w:rsidP="00793CF6">
            <w:pPr>
              <w:rPr>
                <w:rFonts w:ascii="Times New Roman" w:hAnsi="Times New Roman" w:cs="Times New Roman"/>
                <w:sz w:val="24"/>
                <w:szCs w:val="24"/>
              </w:rPr>
            </w:pPr>
            <w:r w:rsidRPr="000E4599">
              <w:rPr>
                <w:rFonts w:ascii="Times New Roman" w:hAnsi="Times New Roman" w:cs="Times New Roman"/>
                <w:sz w:val="24"/>
                <w:szCs w:val="24"/>
              </w:rPr>
              <w:t>More efficient for taxpayers to comply with, due to single rate calculation. Also easier to audit, but not otherwise easier to administer. The measure will impact the same number of taxpayers as option 2, although taxpayers will not be able to opt out of it.</w:t>
            </w:r>
          </w:p>
        </w:tc>
        <w:tc>
          <w:tcPr>
            <w:tcW w:w="2835"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Met</w:t>
            </w:r>
          </w:p>
          <w:p w:rsidR="00444282" w:rsidRDefault="00444282" w:rsidP="00A65B46">
            <w:pPr>
              <w:rPr>
                <w:rFonts w:ascii="Times New Roman" w:hAnsi="Times New Roman" w:cs="Times New Roman"/>
                <w:sz w:val="24"/>
                <w:szCs w:val="24"/>
              </w:rPr>
            </w:pPr>
          </w:p>
          <w:p w:rsidR="00444282" w:rsidRPr="000E4599" w:rsidRDefault="00444282" w:rsidP="00793CF6">
            <w:pPr>
              <w:rPr>
                <w:rFonts w:ascii="Times New Roman" w:hAnsi="Times New Roman" w:cs="Times New Roman"/>
                <w:sz w:val="24"/>
                <w:szCs w:val="24"/>
              </w:rPr>
            </w:pPr>
            <w:r w:rsidRPr="000E4599">
              <w:rPr>
                <w:rFonts w:ascii="Times New Roman" w:hAnsi="Times New Roman" w:cs="Times New Roman"/>
                <w:sz w:val="24"/>
                <w:szCs w:val="24"/>
              </w:rPr>
              <w:t>The calculation is easier than the status quo. There should not be any fiscal cost or savings, as the rates will be set based on the average vehicle expenditure.</w:t>
            </w:r>
          </w:p>
        </w:tc>
        <w:tc>
          <w:tcPr>
            <w:tcW w:w="2269" w:type="dxa"/>
          </w:tcPr>
          <w:p w:rsidR="00444282" w:rsidRDefault="00444282" w:rsidP="00A10950">
            <w:pPr>
              <w:rPr>
                <w:rFonts w:ascii="Times New Roman" w:hAnsi="Times New Roman" w:cs="Times New Roman"/>
                <w:sz w:val="24"/>
                <w:szCs w:val="24"/>
              </w:rPr>
            </w:pPr>
            <w:r>
              <w:rPr>
                <w:rFonts w:ascii="Times New Roman" w:hAnsi="Times New Roman" w:cs="Times New Roman"/>
                <w:sz w:val="24"/>
                <w:szCs w:val="24"/>
              </w:rPr>
              <w:t>No impact</w:t>
            </w:r>
          </w:p>
          <w:p w:rsidR="00444282" w:rsidRDefault="00444282" w:rsidP="00A10950">
            <w:pPr>
              <w:rPr>
                <w:rFonts w:ascii="Times New Roman" w:hAnsi="Times New Roman" w:cs="Times New Roman"/>
                <w:sz w:val="24"/>
                <w:szCs w:val="24"/>
              </w:rPr>
            </w:pPr>
          </w:p>
          <w:p w:rsidR="00444282" w:rsidRPr="000E4599" w:rsidRDefault="00444282" w:rsidP="00A10950">
            <w:pPr>
              <w:rPr>
                <w:rFonts w:ascii="Times New Roman" w:hAnsi="Times New Roman" w:cs="Times New Roman"/>
                <w:sz w:val="24"/>
                <w:szCs w:val="24"/>
              </w:rPr>
            </w:pPr>
            <w:r w:rsidRPr="000E4599">
              <w:rPr>
                <w:rFonts w:ascii="Times New Roman" w:hAnsi="Times New Roman" w:cs="Times New Roman"/>
                <w:sz w:val="24"/>
                <w:szCs w:val="24"/>
              </w:rPr>
              <w:t>There should not be any fiscal cost or savings, as the rates will be set based on the average vehicle expenditure.</w:t>
            </w:r>
          </w:p>
        </w:tc>
      </w:tr>
    </w:tbl>
    <w:p w:rsidR="00EE330F" w:rsidRPr="000E4599" w:rsidRDefault="00EE330F" w:rsidP="00A65B46">
      <w:pPr>
        <w:pStyle w:val="ListParagraph"/>
        <w:spacing w:after="0" w:line="240" w:lineRule="auto"/>
        <w:ind w:left="0"/>
        <w:jc w:val="both"/>
        <w:rPr>
          <w:rFonts w:ascii="Times New Roman" w:hAnsi="Times New Roman" w:cs="Times New Roman"/>
          <w:sz w:val="24"/>
          <w:szCs w:val="24"/>
        </w:rPr>
        <w:sectPr w:rsidR="00EE330F" w:rsidRPr="000E4599" w:rsidSect="00EE330F">
          <w:pgSz w:w="16838" w:h="11906" w:orient="landscape"/>
          <w:pgMar w:top="1440" w:right="1440" w:bottom="1440" w:left="1440" w:header="708" w:footer="708" w:gutter="0"/>
          <w:cols w:space="708"/>
          <w:docGrid w:linePitch="360"/>
        </w:sectPr>
      </w:pPr>
    </w:p>
    <w:p w:rsidR="00A65B46" w:rsidRPr="000E4599" w:rsidRDefault="00A65B46" w:rsidP="00A65B46">
      <w:pPr>
        <w:pStyle w:val="ListParagraph"/>
        <w:spacing w:after="0" w:line="240" w:lineRule="auto"/>
        <w:ind w:left="0"/>
        <w:jc w:val="both"/>
        <w:rPr>
          <w:rFonts w:ascii="Times New Roman" w:hAnsi="Times New Roman" w:cs="Times New Roman"/>
          <w:sz w:val="24"/>
          <w:szCs w:val="24"/>
        </w:rPr>
      </w:pPr>
    </w:p>
    <w:p w:rsidR="00A65B46" w:rsidRPr="000E4599" w:rsidRDefault="0067183D" w:rsidP="00604EE6">
      <w:pPr>
        <w:pStyle w:val="Heading3"/>
      </w:pPr>
      <w:bookmarkStart w:id="33" w:name="_Toc444145618"/>
      <w:r>
        <w:t>R</w:t>
      </w:r>
      <w:r w:rsidR="00A65B46" w:rsidRPr="000E4599">
        <w:t>ecommendation</w:t>
      </w:r>
      <w:r w:rsidR="00604EE6">
        <w:t>s</w:t>
      </w:r>
      <w:bookmarkEnd w:id="33"/>
    </w:p>
    <w:p w:rsidR="00A65B46" w:rsidRPr="000E4599" w:rsidRDefault="00A65B46" w:rsidP="00A65B46">
      <w:pPr>
        <w:pStyle w:val="ListParagraph"/>
        <w:spacing w:after="0" w:line="240" w:lineRule="auto"/>
        <w:ind w:left="0"/>
        <w:jc w:val="both"/>
        <w:rPr>
          <w:rFonts w:ascii="Times New Roman" w:hAnsi="Times New Roman" w:cs="Times New Roman"/>
          <w:sz w:val="24"/>
          <w:szCs w:val="24"/>
        </w:rPr>
      </w:pPr>
    </w:p>
    <w:p w:rsidR="00A65B46" w:rsidRPr="000E4599" w:rsidRDefault="00A65B46" w:rsidP="00A65B46">
      <w:pPr>
        <w:pStyle w:val="ListParagraph"/>
        <w:spacing w:after="0" w:line="240" w:lineRule="auto"/>
        <w:ind w:left="0"/>
        <w:jc w:val="both"/>
        <w:rPr>
          <w:rFonts w:ascii="Times New Roman" w:hAnsi="Times New Roman" w:cs="Times New Roman"/>
          <w:sz w:val="24"/>
          <w:szCs w:val="24"/>
        </w:rPr>
      </w:pPr>
      <w:r w:rsidRPr="000E4599">
        <w:rPr>
          <w:rFonts w:ascii="Times New Roman" w:hAnsi="Times New Roman" w:cs="Times New Roman"/>
          <w:sz w:val="24"/>
          <w:szCs w:val="24"/>
        </w:rPr>
        <w:t xml:space="preserve">Officials recommend that option 2 be adopted – optional single rate for vehicles. While an optional method has some disadvantages in terms of efficiency and sustainability, </w:t>
      </w:r>
      <w:r w:rsidR="00F610F4">
        <w:rPr>
          <w:rFonts w:ascii="Times New Roman" w:hAnsi="Times New Roman" w:cs="Times New Roman"/>
          <w:sz w:val="24"/>
          <w:szCs w:val="24"/>
        </w:rPr>
        <w:t>o</w:t>
      </w:r>
      <w:r w:rsidRPr="000E4599">
        <w:rPr>
          <w:rFonts w:ascii="Times New Roman" w:hAnsi="Times New Roman" w:cs="Times New Roman"/>
          <w:sz w:val="24"/>
          <w:szCs w:val="24"/>
        </w:rPr>
        <w:t xml:space="preserve">fficials consider the variance in the actual costs of car ownership is too wide for a compulsory single rate to be acceptably fair. Owners of newer and more expensive cars may see </w:t>
      </w:r>
      <w:r w:rsidR="00736709">
        <w:rPr>
          <w:rFonts w:ascii="Times New Roman" w:hAnsi="Times New Roman" w:cs="Times New Roman"/>
          <w:sz w:val="24"/>
          <w:szCs w:val="24"/>
        </w:rPr>
        <w:t>a compulsory</w:t>
      </w:r>
      <w:r w:rsidR="00736709" w:rsidRPr="000E4599">
        <w:rPr>
          <w:rFonts w:ascii="Times New Roman" w:hAnsi="Times New Roman" w:cs="Times New Roman"/>
          <w:sz w:val="24"/>
          <w:szCs w:val="24"/>
        </w:rPr>
        <w:t xml:space="preserve"> </w:t>
      </w:r>
      <w:r w:rsidRPr="000E4599">
        <w:rPr>
          <w:rFonts w:ascii="Times New Roman" w:hAnsi="Times New Roman" w:cs="Times New Roman"/>
          <w:sz w:val="24"/>
          <w:szCs w:val="24"/>
        </w:rPr>
        <w:t xml:space="preserve">measure as a cap on their deductions rather than a simplification. A more accurate compulsory method could be developed, but this would erode the compliance cost benefits.  </w:t>
      </w:r>
    </w:p>
    <w:p w:rsidR="00A65B46" w:rsidRPr="000E4599" w:rsidRDefault="00A65B46" w:rsidP="00A65B46">
      <w:pPr>
        <w:pStyle w:val="ListParagraph"/>
        <w:spacing w:after="0" w:line="240" w:lineRule="auto"/>
        <w:ind w:left="0"/>
        <w:jc w:val="both"/>
        <w:rPr>
          <w:rFonts w:ascii="Times New Roman" w:hAnsi="Times New Roman" w:cs="Times New Roman"/>
          <w:sz w:val="24"/>
          <w:szCs w:val="24"/>
        </w:rPr>
      </w:pPr>
    </w:p>
    <w:p w:rsidR="00C73EA9" w:rsidRPr="000E4599" w:rsidRDefault="00C73EA9" w:rsidP="00A65B46">
      <w:pPr>
        <w:pStyle w:val="ListParagraph"/>
        <w:spacing w:after="0" w:line="240" w:lineRule="auto"/>
        <w:ind w:left="0"/>
        <w:jc w:val="both"/>
        <w:rPr>
          <w:rFonts w:ascii="Times New Roman" w:hAnsi="Times New Roman" w:cs="Times New Roman"/>
          <w:sz w:val="24"/>
          <w:szCs w:val="24"/>
        </w:rPr>
      </w:pPr>
    </w:p>
    <w:p w:rsidR="00A65B46" w:rsidRPr="00370C96" w:rsidRDefault="00043703" w:rsidP="002D0AC2">
      <w:pPr>
        <w:pStyle w:val="Heading2"/>
      </w:pPr>
      <w:bookmarkStart w:id="34" w:name="_Toc444145619"/>
      <w:r>
        <w:t xml:space="preserve">2 – </w:t>
      </w:r>
      <w:r w:rsidR="00C73EA9" w:rsidRPr="00370C96">
        <w:t xml:space="preserve">Simplified calculation </w:t>
      </w:r>
      <w:r w:rsidR="00793CF6">
        <w:t xml:space="preserve">of </w:t>
      </w:r>
      <w:r w:rsidR="00793CF6" w:rsidRPr="00370C96">
        <w:t>deduction</w:t>
      </w:r>
      <w:r w:rsidR="00793CF6">
        <w:t>s</w:t>
      </w:r>
      <w:r w:rsidR="00793CF6" w:rsidRPr="00370C96">
        <w:t xml:space="preserve"> </w:t>
      </w:r>
      <w:r w:rsidR="00C73EA9" w:rsidRPr="00370C96">
        <w:t>for business use of premises.</w:t>
      </w:r>
      <w:bookmarkEnd w:id="34"/>
    </w:p>
    <w:p w:rsidR="009B04FA" w:rsidRDefault="009B04FA" w:rsidP="00A65B46">
      <w:pPr>
        <w:spacing w:after="0" w:line="240" w:lineRule="auto"/>
        <w:jc w:val="both"/>
        <w:rPr>
          <w:rFonts w:ascii="Times New Roman" w:hAnsi="Times New Roman" w:cs="Times New Roman"/>
          <w:sz w:val="24"/>
          <w:szCs w:val="24"/>
        </w:rPr>
      </w:pPr>
    </w:p>
    <w:p w:rsidR="009B04FA" w:rsidRPr="000E4599" w:rsidRDefault="00D54EC7" w:rsidP="009B04FA">
      <w:pPr>
        <w:pStyle w:val="ListParagraph"/>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Options and a</w:t>
      </w:r>
      <w:r w:rsidR="009B04FA" w:rsidRPr="000E4599">
        <w:rPr>
          <w:rFonts w:ascii="Times New Roman" w:hAnsi="Times New Roman" w:cs="Times New Roman"/>
          <w:b/>
          <w:i/>
          <w:sz w:val="24"/>
          <w:szCs w:val="24"/>
        </w:rPr>
        <w:t>nalysis</w:t>
      </w:r>
    </w:p>
    <w:p w:rsidR="009B04FA" w:rsidRDefault="009B04FA" w:rsidP="00A65B46">
      <w:pPr>
        <w:spacing w:after="0" w:line="240" w:lineRule="auto"/>
        <w:jc w:val="both"/>
        <w:rPr>
          <w:rFonts w:ascii="Times New Roman" w:hAnsi="Times New Roman" w:cs="Times New Roman"/>
          <w:sz w:val="24"/>
          <w:szCs w:val="24"/>
        </w:rPr>
      </w:pPr>
    </w:p>
    <w:p w:rsidR="00C73EA9" w:rsidRPr="000E4599" w:rsidRDefault="00C73EA9" w:rsidP="00A65B46">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Options to address this </w:t>
      </w:r>
      <w:r w:rsidR="00C164C7">
        <w:rPr>
          <w:rFonts w:ascii="Times New Roman" w:hAnsi="Times New Roman" w:cs="Times New Roman"/>
          <w:sz w:val="24"/>
          <w:szCs w:val="24"/>
        </w:rPr>
        <w:t>issue</w:t>
      </w:r>
      <w:r w:rsidR="00C164C7" w:rsidRPr="000E4599">
        <w:rPr>
          <w:rFonts w:ascii="Times New Roman" w:hAnsi="Times New Roman" w:cs="Times New Roman"/>
          <w:sz w:val="24"/>
          <w:szCs w:val="24"/>
        </w:rPr>
        <w:t xml:space="preserve"> </w:t>
      </w:r>
      <w:r w:rsidRPr="000E4599">
        <w:rPr>
          <w:rFonts w:ascii="Times New Roman" w:hAnsi="Times New Roman" w:cs="Times New Roman"/>
          <w:sz w:val="24"/>
          <w:szCs w:val="24"/>
        </w:rPr>
        <w:t>are:</w:t>
      </w:r>
    </w:p>
    <w:p w:rsidR="00C73EA9" w:rsidRPr="000E4599" w:rsidRDefault="00C73EA9" w:rsidP="00A65B46">
      <w:pPr>
        <w:spacing w:after="0" w:line="240" w:lineRule="auto"/>
        <w:jc w:val="both"/>
        <w:rPr>
          <w:rFonts w:ascii="Times New Roman" w:hAnsi="Times New Roman" w:cs="Times New Roman"/>
          <w:sz w:val="24"/>
          <w:szCs w:val="24"/>
        </w:rPr>
      </w:pPr>
    </w:p>
    <w:p w:rsidR="00A65B46" w:rsidRPr="000E4599" w:rsidRDefault="00A65B46" w:rsidP="00A65B46">
      <w:pPr>
        <w:spacing w:after="0" w:line="240" w:lineRule="auto"/>
        <w:jc w:val="both"/>
        <w:rPr>
          <w:rFonts w:ascii="Times New Roman" w:hAnsi="Times New Roman" w:cs="Times New Roman"/>
          <w:i/>
          <w:sz w:val="24"/>
          <w:szCs w:val="24"/>
        </w:rPr>
      </w:pPr>
      <w:r w:rsidRPr="000E4599">
        <w:rPr>
          <w:rFonts w:ascii="Times New Roman" w:hAnsi="Times New Roman" w:cs="Times New Roman"/>
          <w:i/>
          <w:sz w:val="24"/>
          <w:szCs w:val="24"/>
        </w:rPr>
        <w:t xml:space="preserve">Option 1 – </w:t>
      </w:r>
      <w:r w:rsidR="004E4125">
        <w:rPr>
          <w:rFonts w:ascii="Times New Roman" w:hAnsi="Times New Roman" w:cs="Times New Roman"/>
          <w:i/>
          <w:sz w:val="24"/>
          <w:szCs w:val="24"/>
        </w:rPr>
        <w:t>R</w:t>
      </w:r>
      <w:r w:rsidR="00C73EA9" w:rsidRPr="000E4599">
        <w:rPr>
          <w:rFonts w:ascii="Times New Roman" w:hAnsi="Times New Roman" w:cs="Times New Roman"/>
          <w:i/>
          <w:sz w:val="24"/>
          <w:szCs w:val="24"/>
        </w:rPr>
        <w:t xml:space="preserve">etain the </w:t>
      </w:r>
      <w:r w:rsidRPr="000E4599">
        <w:rPr>
          <w:rFonts w:ascii="Times New Roman" w:hAnsi="Times New Roman" w:cs="Times New Roman"/>
          <w:i/>
          <w:sz w:val="24"/>
          <w:szCs w:val="24"/>
        </w:rPr>
        <w:t>status quo</w:t>
      </w:r>
    </w:p>
    <w:p w:rsidR="00A65B46" w:rsidRPr="000E4599" w:rsidRDefault="00A65B46" w:rsidP="00A65B46">
      <w:pPr>
        <w:spacing w:after="0" w:line="240" w:lineRule="auto"/>
        <w:jc w:val="both"/>
        <w:rPr>
          <w:rFonts w:ascii="Times New Roman" w:hAnsi="Times New Roman" w:cs="Times New Roman"/>
          <w:i/>
          <w:sz w:val="24"/>
          <w:szCs w:val="24"/>
          <w:u w:val="single"/>
        </w:rPr>
      </w:pPr>
    </w:p>
    <w:p w:rsidR="00793CF6" w:rsidRDefault="00A65B46" w:rsidP="00A65B46">
      <w:pPr>
        <w:spacing w:after="0" w:line="240" w:lineRule="auto"/>
        <w:jc w:val="both"/>
        <w:rPr>
          <w:rFonts w:ascii="Times New Roman" w:hAnsi="Times New Roman" w:cs="Times New Roman"/>
          <w:i/>
          <w:sz w:val="24"/>
          <w:szCs w:val="24"/>
        </w:rPr>
      </w:pPr>
      <w:r w:rsidRPr="000E4599">
        <w:rPr>
          <w:rFonts w:ascii="Times New Roman" w:hAnsi="Times New Roman" w:cs="Times New Roman"/>
          <w:i/>
          <w:sz w:val="24"/>
          <w:szCs w:val="24"/>
        </w:rPr>
        <w:t xml:space="preserve">Option 2 – </w:t>
      </w:r>
      <w:r w:rsidR="004E4125">
        <w:rPr>
          <w:rFonts w:ascii="Times New Roman" w:hAnsi="Times New Roman" w:cs="Times New Roman"/>
          <w:i/>
          <w:sz w:val="24"/>
          <w:szCs w:val="24"/>
        </w:rPr>
        <w:t>O</w:t>
      </w:r>
      <w:r w:rsidRPr="000E4599">
        <w:rPr>
          <w:rFonts w:ascii="Times New Roman" w:hAnsi="Times New Roman" w:cs="Times New Roman"/>
          <w:i/>
          <w:sz w:val="24"/>
          <w:szCs w:val="24"/>
        </w:rPr>
        <w:t>ptional single rate method</w:t>
      </w:r>
    </w:p>
    <w:p w:rsidR="00793CF6" w:rsidRDefault="00793CF6" w:rsidP="00A65B46">
      <w:pPr>
        <w:spacing w:after="0" w:line="240" w:lineRule="auto"/>
        <w:jc w:val="both"/>
        <w:rPr>
          <w:rFonts w:ascii="Times New Roman" w:hAnsi="Times New Roman" w:cs="Times New Roman"/>
          <w:i/>
          <w:sz w:val="24"/>
          <w:szCs w:val="24"/>
        </w:rPr>
      </w:pPr>
    </w:p>
    <w:p w:rsidR="00A65B46" w:rsidRPr="000E4599" w:rsidRDefault="00A65B46" w:rsidP="00A65B46">
      <w:pPr>
        <w:spacing w:after="0" w:line="240" w:lineRule="auto"/>
        <w:jc w:val="both"/>
        <w:rPr>
          <w:rFonts w:ascii="Times New Roman" w:hAnsi="Times New Roman" w:cs="Times New Roman"/>
          <w:sz w:val="24"/>
          <w:szCs w:val="24"/>
          <w:u w:val="single"/>
        </w:rPr>
      </w:pPr>
      <w:r w:rsidRPr="000E4599">
        <w:rPr>
          <w:rFonts w:ascii="Times New Roman" w:hAnsi="Times New Roman" w:cs="Times New Roman"/>
          <w:sz w:val="24"/>
          <w:szCs w:val="24"/>
        </w:rPr>
        <w:t>Under this option, the deduction for business use of premises would be calculated by multiplying the number of square metres of the premises used primarily for business purposes by a single rate. A different rate would apply depending on whether the taxpayer owned or rented their premises. Taxpayers would also claim a deduction for their actual rates, mortgage interest or rental costs, based on the percentage of the premises used primarily for business purposes. This method would be optional.</w:t>
      </w:r>
    </w:p>
    <w:p w:rsidR="00A65B46" w:rsidRPr="000E4599" w:rsidRDefault="00A65B46" w:rsidP="00C73EA9">
      <w:pPr>
        <w:spacing w:after="0" w:line="240" w:lineRule="auto"/>
        <w:rPr>
          <w:rFonts w:ascii="Times New Roman" w:hAnsi="Times New Roman" w:cs="Times New Roman"/>
          <w:sz w:val="24"/>
          <w:szCs w:val="24"/>
        </w:rPr>
      </w:pPr>
    </w:p>
    <w:p w:rsidR="00793CF6" w:rsidRDefault="00C73EA9" w:rsidP="00C73EA9">
      <w:pPr>
        <w:spacing w:after="0" w:line="240" w:lineRule="auto"/>
        <w:rPr>
          <w:rFonts w:ascii="Times New Roman" w:hAnsi="Times New Roman" w:cs="Times New Roman"/>
          <w:sz w:val="24"/>
          <w:szCs w:val="24"/>
        </w:rPr>
      </w:pPr>
      <w:r w:rsidRPr="000E4599">
        <w:rPr>
          <w:rFonts w:ascii="Times New Roman" w:hAnsi="Times New Roman" w:cs="Times New Roman"/>
          <w:i/>
          <w:sz w:val="24"/>
          <w:szCs w:val="24"/>
        </w:rPr>
        <w:t xml:space="preserve">Option 3 </w:t>
      </w:r>
      <w:r w:rsidRPr="000E4599">
        <w:rPr>
          <w:rFonts w:ascii="Times New Roman" w:hAnsi="Times New Roman" w:cs="Times New Roman"/>
          <w:i/>
          <w:sz w:val="24"/>
          <w:szCs w:val="24"/>
        </w:rPr>
        <w:softHyphen/>
        <w:t xml:space="preserve"> </w:t>
      </w:r>
      <w:r w:rsidR="00793CF6">
        <w:rPr>
          <w:rFonts w:ascii="Times New Roman" w:hAnsi="Times New Roman" w:cs="Times New Roman"/>
          <w:i/>
          <w:sz w:val="24"/>
          <w:szCs w:val="24"/>
        </w:rPr>
        <w:t>Compulsory single rate method</w:t>
      </w:r>
    </w:p>
    <w:p w:rsidR="00793CF6" w:rsidRDefault="00793CF6" w:rsidP="00C73EA9">
      <w:pPr>
        <w:spacing w:after="0" w:line="240" w:lineRule="auto"/>
        <w:rPr>
          <w:rFonts w:ascii="Times New Roman" w:hAnsi="Times New Roman" w:cs="Times New Roman"/>
          <w:sz w:val="24"/>
          <w:szCs w:val="24"/>
        </w:rPr>
      </w:pPr>
    </w:p>
    <w:p w:rsidR="00A65B46" w:rsidRPr="000E4599" w:rsidRDefault="00A65B46" w:rsidP="00C73EA9">
      <w:pPr>
        <w:spacing w:after="0" w:line="240" w:lineRule="auto"/>
        <w:rPr>
          <w:rFonts w:ascii="Times New Roman" w:hAnsi="Times New Roman" w:cs="Times New Roman"/>
          <w:sz w:val="24"/>
          <w:szCs w:val="24"/>
        </w:rPr>
      </w:pPr>
      <w:r w:rsidRPr="000E4599">
        <w:rPr>
          <w:rFonts w:ascii="Times New Roman" w:hAnsi="Times New Roman" w:cs="Times New Roman"/>
          <w:sz w:val="24"/>
          <w:szCs w:val="24"/>
        </w:rPr>
        <w:t>This option is the same as option 2, except the method would be compulsory.</w:t>
      </w:r>
    </w:p>
    <w:p w:rsidR="00A65B46" w:rsidRPr="000E4599" w:rsidRDefault="00A65B46" w:rsidP="00A65B46">
      <w:pPr>
        <w:pStyle w:val="ListParagraph"/>
        <w:spacing w:after="0" w:line="240" w:lineRule="auto"/>
        <w:ind w:left="0"/>
        <w:jc w:val="both"/>
        <w:rPr>
          <w:rFonts w:ascii="Times New Roman" w:hAnsi="Times New Roman" w:cs="Times New Roman"/>
          <w:sz w:val="24"/>
          <w:szCs w:val="24"/>
        </w:rPr>
      </w:pPr>
    </w:p>
    <w:p w:rsidR="00A10950" w:rsidRPr="000E4599" w:rsidRDefault="00A65B46" w:rsidP="00A10950">
      <w:pPr>
        <w:pStyle w:val="ListParagraph"/>
        <w:spacing w:after="0" w:line="240" w:lineRule="auto"/>
        <w:ind w:left="0"/>
        <w:rPr>
          <w:rFonts w:ascii="Times New Roman" w:hAnsi="Times New Roman" w:cs="Times New Roman"/>
          <w:sz w:val="24"/>
          <w:szCs w:val="24"/>
        </w:rPr>
        <w:sectPr w:rsidR="00A10950" w:rsidRPr="000E4599" w:rsidSect="00EE330F">
          <w:pgSz w:w="11906" w:h="16838"/>
          <w:pgMar w:top="1440" w:right="1440" w:bottom="1440" w:left="1440" w:header="708" w:footer="708" w:gutter="0"/>
          <w:cols w:space="708"/>
          <w:docGrid w:linePitch="360"/>
        </w:sectPr>
      </w:pPr>
      <w:r w:rsidRPr="000E4599">
        <w:rPr>
          <w:rFonts w:ascii="Times New Roman" w:hAnsi="Times New Roman" w:cs="Times New Roman"/>
          <w:sz w:val="24"/>
          <w:szCs w:val="24"/>
        </w:rPr>
        <w:t xml:space="preserve">Officials’ analysis of the options is set out in the table </w:t>
      </w:r>
      <w:r w:rsidR="002960C6">
        <w:rPr>
          <w:rFonts w:ascii="Times New Roman" w:hAnsi="Times New Roman" w:cs="Times New Roman"/>
          <w:sz w:val="24"/>
          <w:szCs w:val="24"/>
        </w:rPr>
        <w:t>on the next page</w:t>
      </w:r>
      <w:r w:rsidRPr="000E4599">
        <w:rPr>
          <w:rFonts w:ascii="Times New Roman" w:hAnsi="Times New Roman" w:cs="Times New Roman"/>
          <w:sz w:val="24"/>
          <w:szCs w:val="24"/>
        </w:rPr>
        <w:t>.</w:t>
      </w:r>
    </w:p>
    <w:p w:rsidR="00A65B46" w:rsidRPr="000E4599" w:rsidRDefault="00A65B46" w:rsidP="00A65B46">
      <w:pPr>
        <w:spacing w:after="0" w:line="240" w:lineRule="auto"/>
        <w:jc w:val="both"/>
        <w:rPr>
          <w:rFonts w:ascii="Times New Roman" w:hAnsi="Times New Roman" w:cs="Times New Roman"/>
          <w:sz w:val="24"/>
          <w:szCs w:val="24"/>
        </w:rPr>
      </w:pPr>
    </w:p>
    <w:tbl>
      <w:tblPr>
        <w:tblStyle w:val="TableGrid"/>
        <w:tblW w:w="12582" w:type="dxa"/>
        <w:tblLayout w:type="fixed"/>
        <w:tblLook w:val="04A0" w:firstRow="1" w:lastRow="0" w:firstColumn="1" w:lastColumn="0" w:noHBand="0" w:noVBand="1"/>
      </w:tblPr>
      <w:tblGrid>
        <w:gridCol w:w="1384"/>
        <w:gridCol w:w="2551"/>
        <w:gridCol w:w="3686"/>
        <w:gridCol w:w="2410"/>
        <w:gridCol w:w="2551"/>
      </w:tblGrid>
      <w:tr w:rsidR="00444282" w:rsidRPr="000E4599" w:rsidTr="008D31DB">
        <w:trPr>
          <w:tblHeader/>
        </w:trPr>
        <w:tc>
          <w:tcPr>
            <w:tcW w:w="1384" w:type="dxa"/>
          </w:tcPr>
          <w:p w:rsidR="00444282" w:rsidRPr="000E4599" w:rsidRDefault="00444282" w:rsidP="00A65B46">
            <w:pPr>
              <w:rPr>
                <w:rFonts w:ascii="Times New Roman" w:hAnsi="Times New Roman" w:cs="Times New Roman"/>
                <w:b/>
                <w:sz w:val="24"/>
                <w:szCs w:val="24"/>
              </w:rPr>
            </w:pPr>
            <w:r w:rsidRPr="000E4599">
              <w:rPr>
                <w:rFonts w:ascii="Times New Roman" w:hAnsi="Times New Roman" w:cs="Times New Roman"/>
                <w:b/>
                <w:sz w:val="24"/>
                <w:szCs w:val="24"/>
              </w:rPr>
              <w:t>Options</w:t>
            </w:r>
          </w:p>
        </w:tc>
        <w:tc>
          <w:tcPr>
            <w:tcW w:w="2551" w:type="dxa"/>
          </w:tcPr>
          <w:p w:rsidR="00444282" w:rsidRPr="000E4599" w:rsidRDefault="00444282" w:rsidP="00A65B46">
            <w:pPr>
              <w:rPr>
                <w:rFonts w:ascii="Times New Roman" w:hAnsi="Times New Roman" w:cs="Times New Roman"/>
                <w:b/>
                <w:sz w:val="24"/>
                <w:szCs w:val="24"/>
              </w:rPr>
            </w:pPr>
            <w:r w:rsidRPr="000E4599">
              <w:rPr>
                <w:rFonts w:ascii="Times New Roman" w:hAnsi="Times New Roman" w:cs="Times New Roman"/>
                <w:b/>
                <w:sz w:val="24"/>
                <w:szCs w:val="24"/>
              </w:rPr>
              <w:t>Fairness and equity</w:t>
            </w:r>
          </w:p>
        </w:tc>
        <w:tc>
          <w:tcPr>
            <w:tcW w:w="3686" w:type="dxa"/>
          </w:tcPr>
          <w:p w:rsidR="00444282" w:rsidRPr="000E4599" w:rsidRDefault="00444282" w:rsidP="00062EA1">
            <w:pPr>
              <w:rPr>
                <w:rFonts w:ascii="Times New Roman" w:hAnsi="Times New Roman" w:cs="Times New Roman"/>
                <w:b/>
                <w:sz w:val="24"/>
                <w:szCs w:val="24"/>
              </w:rPr>
            </w:pPr>
            <w:r w:rsidRPr="000E4599">
              <w:rPr>
                <w:rFonts w:ascii="Times New Roman" w:hAnsi="Times New Roman" w:cs="Times New Roman"/>
                <w:b/>
                <w:sz w:val="24"/>
                <w:szCs w:val="24"/>
              </w:rPr>
              <w:t xml:space="preserve">Efficiency of compliance and administration </w:t>
            </w:r>
          </w:p>
        </w:tc>
        <w:tc>
          <w:tcPr>
            <w:tcW w:w="2410" w:type="dxa"/>
          </w:tcPr>
          <w:p w:rsidR="00444282" w:rsidRPr="000E4599" w:rsidRDefault="00444282" w:rsidP="00A65B46">
            <w:pPr>
              <w:rPr>
                <w:rFonts w:ascii="Times New Roman" w:hAnsi="Times New Roman" w:cs="Times New Roman"/>
                <w:b/>
                <w:sz w:val="24"/>
                <w:szCs w:val="24"/>
              </w:rPr>
            </w:pPr>
            <w:r w:rsidRPr="000E4599">
              <w:rPr>
                <w:rFonts w:ascii="Times New Roman" w:hAnsi="Times New Roman" w:cs="Times New Roman"/>
                <w:b/>
                <w:sz w:val="24"/>
                <w:szCs w:val="24"/>
              </w:rPr>
              <w:t>Sustainability of tax system</w:t>
            </w:r>
          </w:p>
        </w:tc>
        <w:tc>
          <w:tcPr>
            <w:tcW w:w="2551" w:type="dxa"/>
          </w:tcPr>
          <w:p w:rsidR="00444282" w:rsidRPr="000E4599" w:rsidRDefault="00444282" w:rsidP="00A10950">
            <w:pPr>
              <w:rPr>
                <w:rFonts w:ascii="Times New Roman" w:hAnsi="Times New Roman" w:cs="Times New Roman"/>
                <w:b/>
                <w:sz w:val="24"/>
                <w:szCs w:val="24"/>
              </w:rPr>
            </w:pPr>
            <w:r w:rsidRPr="000E4599">
              <w:rPr>
                <w:rFonts w:ascii="Times New Roman" w:hAnsi="Times New Roman" w:cs="Times New Roman"/>
                <w:b/>
                <w:sz w:val="24"/>
                <w:szCs w:val="24"/>
              </w:rPr>
              <w:t>Revenue</w:t>
            </w:r>
          </w:p>
        </w:tc>
      </w:tr>
      <w:tr w:rsidR="00444282" w:rsidRPr="000E4599" w:rsidTr="008D31DB">
        <w:tc>
          <w:tcPr>
            <w:tcW w:w="1384" w:type="dxa"/>
          </w:tcPr>
          <w:p w:rsidR="00444282" w:rsidRPr="00566803" w:rsidRDefault="00444282" w:rsidP="00A65B46">
            <w:pPr>
              <w:pStyle w:val="ListParagraph"/>
              <w:ind w:left="0"/>
              <w:rPr>
                <w:rFonts w:ascii="Times New Roman" w:hAnsi="Times New Roman" w:cs="Times New Roman"/>
                <w:sz w:val="24"/>
                <w:szCs w:val="24"/>
              </w:rPr>
            </w:pPr>
            <w:r w:rsidRPr="00566803">
              <w:rPr>
                <w:rFonts w:ascii="Times New Roman" w:hAnsi="Times New Roman" w:cs="Times New Roman"/>
                <w:sz w:val="24"/>
                <w:szCs w:val="24"/>
              </w:rPr>
              <w:t>1. Status quo for premises</w:t>
            </w:r>
          </w:p>
          <w:p w:rsidR="00444282" w:rsidRPr="00566803" w:rsidRDefault="00444282" w:rsidP="00A65B46">
            <w:pPr>
              <w:pStyle w:val="ListParagraph"/>
              <w:ind w:left="360"/>
              <w:rPr>
                <w:rFonts w:ascii="Times New Roman" w:hAnsi="Times New Roman" w:cs="Times New Roman"/>
                <w:sz w:val="24"/>
                <w:szCs w:val="24"/>
              </w:rPr>
            </w:pPr>
          </w:p>
        </w:tc>
        <w:tc>
          <w:tcPr>
            <w:tcW w:w="2551"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Met</w:t>
            </w:r>
          </w:p>
          <w:p w:rsidR="00444282" w:rsidRDefault="00444282" w:rsidP="00A65B46">
            <w:pPr>
              <w:rPr>
                <w:rFonts w:ascii="Times New Roman" w:hAnsi="Times New Roman" w:cs="Times New Roman"/>
                <w:sz w:val="24"/>
                <w:szCs w:val="24"/>
              </w:rPr>
            </w:pPr>
          </w:p>
          <w:p w:rsidR="00444282" w:rsidRPr="000E4599" w:rsidRDefault="00444282" w:rsidP="00A65B46">
            <w:pPr>
              <w:rPr>
                <w:rFonts w:ascii="Times New Roman" w:hAnsi="Times New Roman" w:cs="Times New Roman"/>
                <w:sz w:val="24"/>
                <w:szCs w:val="24"/>
              </w:rPr>
            </w:pPr>
            <w:r>
              <w:rPr>
                <w:rFonts w:ascii="Times New Roman" w:hAnsi="Times New Roman" w:cs="Times New Roman"/>
                <w:sz w:val="24"/>
                <w:szCs w:val="24"/>
              </w:rPr>
              <w:t>T</w:t>
            </w:r>
            <w:r w:rsidRPr="000E4599">
              <w:rPr>
                <w:rFonts w:ascii="Times New Roman" w:hAnsi="Times New Roman" w:cs="Times New Roman"/>
                <w:sz w:val="24"/>
                <w:szCs w:val="24"/>
              </w:rPr>
              <w:t>he business proportion of actual expenses is deductible</w:t>
            </w:r>
            <w:r>
              <w:rPr>
                <w:rFonts w:ascii="Times New Roman" w:hAnsi="Times New Roman" w:cs="Times New Roman"/>
                <w:sz w:val="24"/>
                <w:szCs w:val="24"/>
              </w:rPr>
              <w:t>.</w:t>
            </w:r>
          </w:p>
        </w:tc>
        <w:tc>
          <w:tcPr>
            <w:tcW w:w="3686"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Not met</w:t>
            </w:r>
          </w:p>
          <w:p w:rsidR="00444282" w:rsidRDefault="00444282" w:rsidP="00A65B46">
            <w:pPr>
              <w:rPr>
                <w:rFonts w:ascii="Times New Roman" w:hAnsi="Times New Roman" w:cs="Times New Roman"/>
                <w:sz w:val="24"/>
                <w:szCs w:val="24"/>
              </w:rPr>
            </w:pPr>
          </w:p>
          <w:p w:rsidR="00444282" w:rsidRPr="000E4599" w:rsidRDefault="00444282" w:rsidP="00A65B46">
            <w:pPr>
              <w:rPr>
                <w:rFonts w:ascii="Times New Roman" w:hAnsi="Times New Roman" w:cs="Times New Roman"/>
                <w:sz w:val="24"/>
                <w:szCs w:val="24"/>
              </w:rPr>
            </w:pPr>
            <w:r w:rsidRPr="000E4599">
              <w:rPr>
                <w:rFonts w:ascii="Times New Roman" w:hAnsi="Times New Roman" w:cs="Times New Roman"/>
                <w:sz w:val="24"/>
                <w:szCs w:val="24"/>
              </w:rPr>
              <w:t>Inefficient to comply with, due to the number of expenses and the small amount of tax</w:t>
            </w:r>
            <w:r>
              <w:rPr>
                <w:rFonts w:ascii="Times New Roman" w:hAnsi="Times New Roman" w:cs="Times New Roman"/>
                <w:sz w:val="24"/>
                <w:szCs w:val="24"/>
              </w:rPr>
              <w:t>.</w:t>
            </w:r>
          </w:p>
        </w:tc>
        <w:tc>
          <w:tcPr>
            <w:tcW w:w="2410"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Met</w:t>
            </w:r>
          </w:p>
          <w:p w:rsidR="00444282" w:rsidRDefault="00444282" w:rsidP="00A65B46">
            <w:pPr>
              <w:rPr>
                <w:rFonts w:ascii="Times New Roman" w:hAnsi="Times New Roman" w:cs="Times New Roman"/>
                <w:sz w:val="24"/>
                <w:szCs w:val="24"/>
              </w:rPr>
            </w:pPr>
          </w:p>
          <w:p w:rsidR="00444282" w:rsidRPr="000E4599" w:rsidRDefault="00444282" w:rsidP="00A42378">
            <w:pPr>
              <w:rPr>
                <w:rFonts w:ascii="Times New Roman" w:hAnsi="Times New Roman" w:cs="Times New Roman"/>
                <w:sz w:val="24"/>
                <w:szCs w:val="24"/>
              </w:rPr>
            </w:pPr>
            <w:r w:rsidRPr="000E4599">
              <w:rPr>
                <w:rFonts w:ascii="Times New Roman" w:hAnsi="Times New Roman" w:cs="Times New Roman"/>
                <w:sz w:val="24"/>
                <w:szCs w:val="24"/>
              </w:rPr>
              <w:t>Generally sustainable. However the actual calculation can be complicated</w:t>
            </w:r>
            <w:r>
              <w:rPr>
                <w:rFonts w:ascii="Times New Roman" w:hAnsi="Times New Roman" w:cs="Times New Roman"/>
                <w:sz w:val="24"/>
                <w:szCs w:val="24"/>
              </w:rPr>
              <w:t>.</w:t>
            </w:r>
          </w:p>
        </w:tc>
        <w:tc>
          <w:tcPr>
            <w:tcW w:w="2551" w:type="dxa"/>
          </w:tcPr>
          <w:p w:rsidR="00444282" w:rsidRPr="000E4599" w:rsidRDefault="00444282" w:rsidP="00A10950">
            <w:pPr>
              <w:rPr>
                <w:rFonts w:ascii="Times New Roman" w:hAnsi="Times New Roman" w:cs="Times New Roman"/>
                <w:sz w:val="24"/>
                <w:szCs w:val="24"/>
              </w:rPr>
            </w:pPr>
            <w:r>
              <w:rPr>
                <w:rFonts w:ascii="Times New Roman" w:hAnsi="Times New Roman" w:cs="Times New Roman"/>
                <w:sz w:val="24"/>
                <w:szCs w:val="24"/>
              </w:rPr>
              <w:t>No impact</w:t>
            </w:r>
          </w:p>
        </w:tc>
      </w:tr>
      <w:tr w:rsidR="00444282" w:rsidRPr="000E4599" w:rsidTr="008D31DB">
        <w:tc>
          <w:tcPr>
            <w:tcW w:w="1384" w:type="dxa"/>
          </w:tcPr>
          <w:p w:rsidR="00444282" w:rsidRPr="00566803" w:rsidRDefault="00444282" w:rsidP="00A65B46">
            <w:pPr>
              <w:rPr>
                <w:rFonts w:ascii="Times New Roman" w:hAnsi="Times New Roman" w:cs="Times New Roman"/>
                <w:sz w:val="24"/>
                <w:szCs w:val="24"/>
              </w:rPr>
            </w:pPr>
            <w:r w:rsidRPr="00566803">
              <w:rPr>
                <w:rFonts w:ascii="Times New Roman" w:hAnsi="Times New Roman" w:cs="Times New Roman"/>
                <w:sz w:val="24"/>
                <w:szCs w:val="24"/>
              </w:rPr>
              <w:t>2. Optional single rate for premises</w:t>
            </w:r>
          </w:p>
        </w:tc>
        <w:tc>
          <w:tcPr>
            <w:tcW w:w="2551"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Met</w:t>
            </w:r>
          </w:p>
          <w:p w:rsidR="00444282" w:rsidRDefault="00444282" w:rsidP="00A65B46">
            <w:pPr>
              <w:rPr>
                <w:rFonts w:ascii="Times New Roman" w:hAnsi="Times New Roman" w:cs="Times New Roman"/>
                <w:sz w:val="24"/>
                <w:szCs w:val="24"/>
              </w:rPr>
            </w:pPr>
          </w:p>
          <w:p w:rsidR="00444282" w:rsidRPr="000E4599" w:rsidRDefault="00444282" w:rsidP="00A42378">
            <w:pPr>
              <w:rPr>
                <w:rFonts w:ascii="Times New Roman" w:hAnsi="Times New Roman" w:cs="Times New Roman"/>
                <w:sz w:val="24"/>
                <w:szCs w:val="24"/>
              </w:rPr>
            </w:pPr>
            <w:r>
              <w:rPr>
                <w:rFonts w:ascii="Times New Roman" w:hAnsi="Times New Roman" w:cs="Times New Roman"/>
                <w:sz w:val="24"/>
                <w:szCs w:val="24"/>
              </w:rPr>
              <w:t>T</w:t>
            </w:r>
            <w:r w:rsidRPr="000E4599">
              <w:rPr>
                <w:rFonts w:ascii="Times New Roman" w:hAnsi="Times New Roman" w:cs="Times New Roman"/>
                <w:sz w:val="24"/>
                <w:szCs w:val="24"/>
              </w:rPr>
              <w:t>he rate should be fairly accurate and taxpayers will still have the option to deduct based on actual expenses. Some taxpayers may be able to claim greater deductions than their actual expenditure. This is not expected to be significant however, due to the small variance in utility charges.</w:t>
            </w:r>
          </w:p>
        </w:tc>
        <w:tc>
          <w:tcPr>
            <w:tcW w:w="3686"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Met</w:t>
            </w:r>
          </w:p>
          <w:p w:rsidR="00444282" w:rsidRDefault="00444282" w:rsidP="00A65B46">
            <w:pPr>
              <w:rPr>
                <w:rFonts w:ascii="Times New Roman" w:hAnsi="Times New Roman" w:cs="Times New Roman"/>
                <w:sz w:val="24"/>
                <w:szCs w:val="24"/>
              </w:rPr>
            </w:pPr>
          </w:p>
          <w:p w:rsidR="00444282" w:rsidRPr="000E4599" w:rsidRDefault="00444282" w:rsidP="00A42378">
            <w:pPr>
              <w:rPr>
                <w:rFonts w:ascii="Times New Roman" w:hAnsi="Times New Roman" w:cs="Times New Roman"/>
                <w:sz w:val="24"/>
                <w:szCs w:val="24"/>
              </w:rPr>
            </w:pPr>
            <w:r w:rsidRPr="000E4599">
              <w:rPr>
                <w:rFonts w:ascii="Times New Roman" w:hAnsi="Times New Roman" w:cs="Times New Roman"/>
                <w:sz w:val="24"/>
                <w:szCs w:val="24"/>
              </w:rPr>
              <w:t>More efficient for taxpayers to comply with, due to single rate calculation. Also easier to audit, but not otherwise easier to administer. However some taxpayers may elect to calculate their deductions under both this method and the actual cost method so they can claim the greater amount. This would increase the tax calculations for such taxpayers. The measure will impact sole traders who use their premises for both business and personal purposes. There may be up to 3,500 such taxpayers.</w:t>
            </w:r>
          </w:p>
        </w:tc>
        <w:tc>
          <w:tcPr>
            <w:tcW w:w="2410"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Met</w:t>
            </w:r>
          </w:p>
          <w:p w:rsidR="00444282" w:rsidRDefault="00444282" w:rsidP="00A65B46">
            <w:pPr>
              <w:rPr>
                <w:rFonts w:ascii="Times New Roman" w:hAnsi="Times New Roman" w:cs="Times New Roman"/>
                <w:sz w:val="24"/>
                <w:szCs w:val="24"/>
              </w:rPr>
            </w:pPr>
          </w:p>
          <w:p w:rsidR="00444282" w:rsidRPr="000E4599" w:rsidRDefault="00444282" w:rsidP="00A42378">
            <w:pPr>
              <w:rPr>
                <w:rFonts w:ascii="Times New Roman" w:hAnsi="Times New Roman" w:cs="Times New Roman"/>
                <w:sz w:val="24"/>
                <w:szCs w:val="24"/>
              </w:rPr>
            </w:pPr>
            <w:r w:rsidRPr="000E4599">
              <w:rPr>
                <w:rFonts w:ascii="Times New Roman" w:hAnsi="Times New Roman" w:cs="Times New Roman"/>
                <w:sz w:val="24"/>
                <w:szCs w:val="24"/>
              </w:rPr>
              <w:t>The actual calculation is easier</w:t>
            </w:r>
            <w:r w:rsidR="00E02F2A">
              <w:rPr>
                <w:rFonts w:ascii="Times New Roman" w:hAnsi="Times New Roman" w:cs="Times New Roman"/>
                <w:sz w:val="24"/>
                <w:szCs w:val="24"/>
              </w:rPr>
              <w:t>.</w:t>
            </w:r>
            <w:r w:rsidRPr="000E4599">
              <w:rPr>
                <w:rFonts w:ascii="Times New Roman" w:hAnsi="Times New Roman" w:cs="Times New Roman"/>
                <w:sz w:val="24"/>
                <w:szCs w:val="24"/>
              </w:rPr>
              <w:t xml:space="preserve"> </w:t>
            </w:r>
          </w:p>
        </w:tc>
        <w:tc>
          <w:tcPr>
            <w:tcW w:w="2551" w:type="dxa"/>
          </w:tcPr>
          <w:p w:rsidR="00444282" w:rsidRDefault="00444282" w:rsidP="00A42378">
            <w:pPr>
              <w:rPr>
                <w:rFonts w:ascii="Times New Roman" w:hAnsi="Times New Roman" w:cs="Times New Roman"/>
                <w:sz w:val="24"/>
                <w:szCs w:val="24"/>
              </w:rPr>
            </w:pPr>
            <w:r w:rsidRPr="000E4599">
              <w:rPr>
                <w:rFonts w:ascii="Times New Roman" w:hAnsi="Times New Roman" w:cs="Times New Roman"/>
                <w:sz w:val="24"/>
                <w:szCs w:val="24"/>
              </w:rPr>
              <w:t xml:space="preserve">Small </w:t>
            </w:r>
            <w:r w:rsidR="00BC4745">
              <w:rPr>
                <w:rFonts w:ascii="Times New Roman" w:hAnsi="Times New Roman" w:cs="Times New Roman"/>
                <w:sz w:val="24"/>
                <w:szCs w:val="24"/>
              </w:rPr>
              <w:t>cost</w:t>
            </w:r>
          </w:p>
          <w:p w:rsidR="00444282" w:rsidRDefault="00444282" w:rsidP="00A42378">
            <w:pPr>
              <w:rPr>
                <w:rFonts w:ascii="Times New Roman" w:hAnsi="Times New Roman" w:cs="Times New Roman"/>
                <w:sz w:val="24"/>
                <w:szCs w:val="24"/>
              </w:rPr>
            </w:pPr>
          </w:p>
          <w:p w:rsidR="00444282" w:rsidRPr="000E4599" w:rsidRDefault="00444282" w:rsidP="00A42378">
            <w:pPr>
              <w:rPr>
                <w:rFonts w:ascii="Times New Roman" w:hAnsi="Times New Roman" w:cs="Times New Roman"/>
                <w:sz w:val="24"/>
                <w:szCs w:val="24"/>
              </w:rPr>
            </w:pPr>
            <w:r>
              <w:rPr>
                <w:rFonts w:ascii="Times New Roman" w:hAnsi="Times New Roman" w:cs="Times New Roman"/>
                <w:sz w:val="24"/>
                <w:szCs w:val="24"/>
              </w:rPr>
              <w:t>T</w:t>
            </w:r>
            <w:r w:rsidRPr="000E4599">
              <w:rPr>
                <w:rFonts w:ascii="Times New Roman" w:hAnsi="Times New Roman" w:cs="Times New Roman"/>
                <w:sz w:val="24"/>
                <w:szCs w:val="24"/>
              </w:rPr>
              <w:t>axpayers could elect to use this method only if it increased their deductions compared with the actual cost method. There is insufficient data to estimate this cost, however it is expected to be fiscally immaterial due to the small variance in utility charges</w:t>
            </w:r>
            <w:r>
              <w:rPr>
                <w:rFonts w:ascii="Times New Roman" w:hAnsi="Times New Roman" w:cs="Times New Roman"/>
                <w:sz w:val="24"/>
                <w:szCs w:val="24"/>
              </w:rPr>
              <w:t>.</w:t>
            </w:r>
          </w:p>
        </w:tc>
      </w:tr>
      <w:tr w:rsidR="00444282" w:rsidRPr="000E4599" w:rsidTr="008D31DB">
        <w:tc>
          <w:tcPr>
            <w:tcW w:w="1384" w:type="dxa"/>
          </w:tcPr>
          <w:p w:rsidR="00444282" w:rsidRPr="00566803" w:rsidRDefault="00444282" w:rsidP="00A65B46">
            <w:pPr>
              <w:pStyle w:val="ListParagraph"/>
              <w:ind w:left="0"/>
              <w:rPr>
                <w:rFonts w:ascii="Times New Roman" w:hAnsi="Times New Roman" w:cs="Times New Roman"/>
                <w:sz w:val="24"/>
                <w:szCs w:val="24"/>
              </w:rPr>
            </w:pPr>
            <w:r w:rsidRPr="00566803">
              <w:rPr>
                <w:rFonts w:ascii="Times New Roman" w:hAnsi="Times New Roman" w:cs="Times New Roman"/>
                <w:sz w:val="24"/>
                <w:szCs w:val="24"/>
              </w:rPr>
              <w:t>3. Compulsory Single rate for premises</w:t>
            </w:r>
          </w:p>
          <w:p w:rsidR="00444282" w:rsidRPr="00566803" w:rsidRDefault="00444282" w:rsidP="00A65B46">
            <w:pPr>
              <w:pStyle w:val="ListParagraph"/>
              <w:ind w:left="0"/>
              <w:rPr>
                <w:rFonts w:ascii="Times New Roman" w:hAnsi="Times New Roman" w:cs="Times New Roman"/>
                <w:sz w:val="24"/>
                <w:szCs w:val="24"/>
              </w:rPr>
            </w:pPr>
          </w:p>
        </w:tc>
        <w:tc>
          <w:tcPr>
            <w:tcW w:w="2551"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Met</w:t>
            </w:r>
          </w:p>
          <w:p w:rsidR="00444282" w:rsidRDefault="00444282" w:rsidP="00A65B46">
            <w:pPr>
              <w:rPr>
                <w:rFonts w:ascii="Times New Roman" w:hAnsi="Times New Roman" w:cs="Times New Roman"/>
                <w:sz w:val="24"/>
                <w:szCs w:val="24"/>
              </w:rPr>
            </w:pPr>
          </w:p>
          <w:p w:rsidR="00444282" w:rsidRPr="000E4599" w:rsidRDefault="00444282" w:rsidP="00A42378">
            <w:pPr>
              <w:rPr>
                <w:rFonts w:ascii="Times New Roman" w:hAnsi="Times New Roman" w:cs="Times New Roman"/>
                <w:sz w:val="24"/>
                <w:szCs w:val="24"/>
              </w:rPr>
            </w:pPr>
            <w:r>
              <w:rPr>
                <w:rFonts w:ascii="Times New Roman" w:hAnsi="Times New Roman" w:cs="Times New Roman"/>
                <w:sz w:val="24"/>
                <w:szCs w:val="24"/>
              </w:rPr>
              <w:t>T</w:t>
            </w:r>
            <w:r w:rsidRPr="000E4599">
              <w:rPr>
                <w:rFonts w:ascii="Times New Roman" w:hAnsi="Times New Roman" w:cs="Times New Roman"/>
                <w:sz w:val="24"/>
                <w:szCs w:val="24"/>
              </w:rPr>
              <w:t xml:space="preserve">he rate for utilities </w:t>
            </w:r>
            <w:proofErr w:type="spellStart"/>
            <w:r w:rsidRPr="000E4599">
              <w:rPr>
                <w:rFonts w:ascii="Times New Roman" w:hAnsi="Times New Roman" w:cs="Times New Roman"/>
                <w:sz w:val="24"/>
                <w:szCs w:val="24"/>
              </w:rPr>
              <w:t>etc</w:t>
            </w:r>
            <w:proofErr w:type="spellEnd"/>
            <w:r w:rsidRPr="000E4599">
              <w:rPr>
                <w:rFonts w:ascii="Times New Roman" w:hAnsi="Times New Roman" w:cs="Times New Roman"/>
                <w:sz w:val="24"/>
                <w:szCs w:val="24"/>
              </w:rPr>
              <w:t xml:space="preserve"> should be fairly accurate across taxpayers and the more variable interest, rent and rates are still deducted based on actual expenses. Some taxpayers may be entitled to slightly greater or lesser deductions than their actual expenditure however.</w:t>
            </w:r>
          </w:p>
        </w:tc>
        <w:tc>
          <w:tcPr>
            <w:tcW w:w="3686"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Met</w:t>
            </w:r>
          </w:p>
          <w:p w:rsidR="00444282" w:rsidRDefault="00444282" w:rsidP="00A65B46">
            <w:pPr>
              <w:rPr>
                <w:rFonts w:ascii="Times New Roman" w:hAnsi="Times New Roman" w:cs="Times New Roman"/>
                <w:sz w:val="24"/>
                <w:szCs w:val="24"/>
              </w:rPr>
            </w:pPr>
          </w:p>
          <w:p w:rsidR="00444282" w:rsidRPr="000E4599" w:rsidRDefault="00444282" w:rsidP="00A42378">
            <w:pPr>
              <w:rPr>
                <w:rFonts w:ascii="Times New Roman" w:hAnsi="Times New Roman" w:cs="Times New Roman"/>
                <w:sz w:val="24"/>
                <w:szCs w:val="24"/>
              </w:rPr>
            </w:pPr>
            <w:r w:rsidRPr="000E4599">
              <w:rPr>
                <w:rFonts w:ascii="Times New Roman" w:hAnsi="Times New Roman" w:cs="Times New Roman"/>
                <w:sz w:val="24"/>
                <w:szCs w:val="24"/>
              </w:rPr>
              <w:t>More efficient for taxpayers to comply with, due to single rate calculation. The measure will impact the same number of taxpayers as option 2, although taxpayers will not be able to opt out of it.</w:t>
            </w:r>
          </w:p>
        </w:tc>
        <w:tc>
          <w:tcPr>
            <w:tcW w:w="2410" w:type="dxa"/>
          </w:tcPr>
          <w:p w:rsidR="00444282" w:rsidRDefault="00444282" w:rsidP="00A65B46">
            <w:pPr>
              <w:rPr>
                <w:rFonts w:ascii="Times New Roman" w:hAnsi="Times New Roman" w:cs="Times New Roman"/>
                <w:sz w:val="24"/>
                <w:szCs w:val="24"/>
              </w:rPr>
            </w:pPr>
            <w:r>
              <w:rPr>
                <w:rFonts w:ascii="Times New Roman" w:hAnsi="Times New Roman" w:cs="Times New Roman"/>
                <w:sz w:val="24"/>
                <w:szCs w:val="24"/>
              </w:rPr>
              <w:t>Met</w:t>
            </w:r>
          </w:p>
          <w:p w:rsidR="00444282" w:rsidRDefault="00444282" w:rsidP="00A65B46">
            <w:pPr>
              <w:rPr>
                <w:rFonts w:ascii="Times New Roman" w:hAnsi="Times New Roman" w:cs="Times New Roman"/>
                <w:sz w:val="24"/>
                <w:szCs w:val="24"/>
              </w:rPr>
            </w:pPr>
          </w:p>
          <w:p w:rsidR="00444282" w:rsidRPr="000E4599" w:rsidRDefault="00444282" w:rsidP="00A42378">
            <w:pPr>
              <w:rPr>
                <w:rFonts w:ascii="Times New Roman" w:hAnsi="Times New Roman" w:cs="Times New Roman"/>
                <w:sz w:val="24"/>
                <w:szCs w:val="24"/>
              </w:rPr>
            </w:pPr>
            <w:r w:rsidRPr="000E4599">
              <w:rPr>
                <w:rFonts w:ascii="Times New Roman" w:hAnsi="Times New Roman" w:cs="Times New Roman"/>
                <w:sz w:val="24"/>
                <w:szCs w:val="24"/>
              </w:rPr>
              <w:t xml:space="preserve">The calculation is easier than the status quo. </w:t>
            </w:r>
          </w:p>
        </w:tc>
        <w:tc>
          <w:tcPr>
            <w:tcW w:w="2551" w:type="dxa"/>
          </w:tcPr>
          <w:p w:rsidR="00444282" w:rsidRDefault="00444282" w:rsidP="00A10950">
            <w:pPr>
              <w:rPr>
                <w:rFonts w:ascii="Times New Roman" w:hAnsi="Times New Roman" w:cs="Times New Roman"/>
                <w:sz w:val="24"/>
                <w:szCs w:val="24"/>
              </w:rPr>
            </w:pPr>
            <w:r>
              <w:rPr>
                <w:rFonts w:ascii="Times New Roman" w:hAnsi="Times New Roman" w:cs="Times New Roman"/>
                <w:sz w:val="24"/>
                <w:szCs w:val="24"/>
              </w:rPr>
              <w:t>No impact</w:t>
            </w:r>
          </w:p>
          <w:p w:rsidR="00444282" w:rsidRDefault="00444282" w:rsidP="00A10950">
            <w:pPr>
              <w:rPr>
                <w:rFonts w:ascii="Times New Roman" w:hAnsi="Times New Roman" w:cs="Times New Roman"/>
                <w:sz w:val="24"/>
                <w:szCs w:val="24"/>
              </w:rPr>
            </w:pPr>
          </w:p>
          <w:p w:rsidR="00444282" w:rsidRPr="000E4599" w:rsidRDefault="00444282" w:rsidP="00A10950">
            <w:pPr>
              <w:rPr>
                <w:rFonts w:ascii="Times New Roman" w:hAnsi="Times New Roman" w:cs="Times New Roman"/>
                <w:sz w:val="24"/>
                <w:szCs w:val="24"/>
              </w:rPr>
            </w:pPr>
            <w:r w:rsidRPr="000E4599">
              <w:rPr>
                <w:rFonts w:ascii="Times New Roman" w:hAnsi="Times New Roman" w:cs="Times New Roman"/>
                <w:sz w:val="24"/>
                <w:szCs w:val="24"/>
              </w:rPr>
              <w:t>There should not be any fiscal cost or savings, as the rates will be set based on the average housing expenditure</w:t>
            </w:r>
            <w:r w:rsidR="009500FD">
              <w:rPr>
                <w:rFonts w:ascii="Times New Roman" w:hAnsi="Times New Roman" w:cs="Times New Roman"/>
                <w:sz w:val="24"/>
                <w:szCs w:val="24"/>
              </w:rPr>
              <w:t>.</w:t>
            </w:r>
          </w:p>
        </w:tc>
      </w:tr>
    </w:tbl>
    <w:p w:rsidR="00A10950" w:rsidRPr="000E4599" w:rsidRDefault="00A10950" w:rsidP="00A10950">
      <w:pPr>
        <w:spacing w:after="0" w:line="240" w:lineRule="auto"/>
        <w:jc w:val="both"/>
        <w:rPr>
          <w:rFonts w:ascii="Times New Roman" w:hAnsi="Times New Roman" w:cs="Times New Roman"/>
          <w:sz w:val="24"/>
          <w:szCs w:val="24"/>
        </w:rPr>
        <w:sectPr w:rsidR="00A10950" w:rsidRPr="000E4599" w:rsidSect="00A10950">
          <w:pgSz w:w="16838" w:h="11906" w:orient="landscape"/>
          <w:pgMar w:top="1440" w:right="1440" w:bottom="1440" w:left="1440" w:header="708" w:footer="708" w:gutter="0"/>
          <w:cols w:space="708"/>
          <w:docGrid w:linePitch="360"/>
        </w:sectPr>
      </w:pPr>
    </w:p>
    <w:p w:rsidR="00A32691" w:rsidRPr="000E4599" w:rsidRDefault="0067183D" w:rsidP="002D0AC2">
      <w:pPr>
        <w:pStyle w:val="Heading3"/>
      </w:pPr>
      <w:bookmarkStart w:id="35" w:name="_Toc444145620"/>
      <w:r>
        <w:t>R</w:t>
      </w:r>
      <w:r w:rsidR="00A32691" w:rsidRPr="000E4599">
        <w:t>ecommendations</w:t>
      </w:r>
      <w:bookmarkEnd w:id="35"/>
    </w:p>
    <w:p w:rsidR="00A32691" w:rsidRPr="000E4599" w:rsidRDefault="00A32691" w:rsidP="00A32691">
      <w:pPr>
        <w:spacing w:after="0" w:line="240" w:lineRule="auto"/>
        <w:jc w:val="both"/>
        <w:rPr>
          <w:rFonts w:ascii="Times New Roman" w:hAnsi="Times New Roman" w:cs="Times New Roman"/>
          <w:sz w:val="24"/>
          <w:szCs w:val="24"/>
        </w:rPr>
      </w:pPr>
    </w:p>
    <w:p w:rsidR="00E907AB" w:rsidRDefault="00E907AB" w:rsidP="00A65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Officials recommend option 2 for premises.  While</w:t>
      </w:r>
      <w:r w:rsidRPr="00D04D6B">
        <w:rPr>
          <w:rFonts w:ascii="Times New Roman" w:hAnsi="Times New Roman" w:cs="Times New Roman"/>
          <w:sz w:val="24"/>
          <w:szCs w:val="24"/>
        </w:rPr>
        <w:t xml:space="preserve"> the method should produce a fairly accurate measure for most taxpayers, </w:t>
      </w:r>
      <w:r>
        <w:rPr>
          <w:rFonts w:ascii="Times New Roman" w:hAnsi="Times New Roman" w:cs="Times New Roman"/>
          <w:sz w:val="24"/>
          <w:szCs w:val="24"/>
        </w:rPr>
        <w:t>some taxpayers will be entitled to smaller deductions under the method than their actual costs</w:t>
      </w:r>
      <w:r w:rsidRPr="00D04D6B">
        <w:rPr>
          <w:rFonts w:ascii="Times New Roman" w:hAnsi="Times New Roman" w:cs="Times New Roman"/>
          <w:sz w:val="24"/>
          <w:szCs w:val="24"/>
        </w:rPr>
        <w:t>.</w:t>
      </w:r>
      <w:r>
        <w:rPr>
          <w:rFonts w:ascii="Times New Roman" w:hAnsi="Times New Roman" w:cs="Times New Roman"/>
          <w:sz w:val="24"/>
          <w:szCs w:val="24"/>
        </w:rPr>
        <w:t xml:space="preserve">  Such taxpayers may consequently regard a compulsory</w:t>
      </w:r>
      <w:r w:rsidRPr="00D04D6B">
        <w:rPr>
          <w:rFonts w:ascii="Times New Roman" w:hAnsi="Times New Roman" w:cs="Times New Roman"/>
          <w:sz w:val="24"/>
          <w:szCs w:val="24"/>
        </w:rPr>
        <w:t xml:space="preserve"> measure as a cap on their deductions rather than a simplification</w:t>
      </w:r>
      <w:r>
        <w:rPr>
          <w:rFonts w:ascii="Times New Roman" w:hAnsi="Times New Roman" w:cs="Times New Roman"/>
          <w:sz w:val="24"/>
          <w:szCs w:val="24"/>
        </w:rPr>
        <w:t xml:space="preserve">.  Introducing a new option will prompt some taxpayers to undertake both sets of calculations, in order to determine which gives the best result, and thereby undermine the compliance savings.  It is unlikely though </w:t>
      </w:r>
      <w:proofErr w:type="gramStart"/>
      <w:r>
        <w:rPr>
          <w:rFonts w:ascii="Times New Roman" w:hAnsi="Times New Roman" w:cs="Times New Roman"/>
          <w:sz w:val="24"/>
          <w:szCs w:val="24"/>
        </w:rPr>
        <w:t>that taxpayers</w:t>
      </w:r>
      <w:proofErr w:type="gramEnd"/>
      <w:r>
        <w:rPr>
          <w:rFonts w:ascii="Times New Roman" w:hAnsi="Times New Roman" w:cs="Times New Roman"/>
          <w:sz w:val="24"/>
          <w:szCs w:val="24"/>
        </w:rPr>
        <w:t xml:space="preserve"> would do this every year as premises expenses would likely remain fairly stable and so a reassessment of the calculation options would not be necessary.</w:t>
      </w:r>
    </w:p>
    <w:p w:rsidR="00A65B46" w:rsidRPr="000E4599" w:rsidRDefault="00A65B46" w:rsidP="00A65B46">
      <w:pPr>
        <w:spacing w:after="0" w:line="240" w:lineRule="auto"/>
        <w:jc w:val="both"/>
        <w:rPr>
          <w:rFonts w:ascii="Times New Roman" w:hAnsi="Times New Roman" w:cs="Times New Roman"/>
          <w:sz w:val="24"/>
          <w:szCs w:val="24"/>
        </w:rPr>
      </w:pPr>
    </w:p>
    <w:p w:rsidR="00A65B46" w:rsidRPr="000E4599" w:rsidRDefault="00A65B46" w:rsidP="00A65B46">
      <w:pPr>
        <w:spacing w:after="0" w:line="240" w:lineRule="auto"/>
        <w:jc w:val="both"/>
        <w:rPr>
          <w:rFonts w:ascii="Times New Roman" w:hAnsi="Times New Roman" w:cs="Times New Roman"/>
          <w:b/>
          <w:i/>
          <w:sz w:val="24"/>
          <w:szCs w:val="24"/>
        </w:rPr>
      </w:pPr>
      <w:r w:rsidRPr="000E4599">
        <w:rPr>
          <w:rFonts w:ascii="Times New Roman" w:hAnsi="Times New Roman" w:cs="Times New Roman"/>
          <w:b/>
          <w:i/>
          <w:sz w:val="24"/>
          <w:szCs w:val="24"/>
        </w:rPr>
        <w:t>Consultation</w:t>
      </w:r>
    </w:p>
    <w:p w:rsidR="0022632E" w:rsidRDefault="0022632E" w:rsidP="002A5ED9">
      <w:pPr>
        <w:spacing w:after="0" w:line="240" w:lineRule="auto"/>
        <w:jc w:val="both"/>
        <w:rPr>
          <w:rFonts w:ascii="Times New Roman" w:hAnsi="Times New Roman" w:cs="Times New Roman"/>
          <w:sz w:val="24"/>
          <w:szCs w:val="24"/>
        </w:rPr>
      </w:pPr>
    </w:p>
    <w:p w:rsidR="00A65B46" w:rsidRPr="0022632E" w:rsidRDefault="00E907AB" w:rsidP="002A5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consulted on the options with </w:t>
      </w:r>
      <w:r w:rsidRPr="00350B5C">
        <w:rPr>
          <w:rFonts w:ascii="Times New Roman" w:hAnsi="Times New Roman" w:cs="Times New Roman"/>
          <w:sz w:val="24"/>
          <w:szCs w:val="24"/>
        </w:rPr>
        <w:t>Chartered Accountants of Australia and New Ze</w:t>
      </w:r>
      <w:r>
        <w:rPr>
          <w:rFonts w:ascii="Times New Roman" w:hAnsi="Times New Roman" w:cs="Times New Roman"/>
          <w:sz w:val="24"/>
          <w:szCs w:val="24"/>
        </w:rPr>
        <w:t>aland (</w:t>
      </w:r>
      <w:proofErr w:type="spellStart"/>
      <w:r>
        <w:rPr>
          <w:rFonts w:ascii="Times New Roman" w:hAnsi="Times New Roman" w:cs="Times New Roman"/>
          <w:sz w:val="24"/>
          <w:szCs w:val="24"/>
        </w:rPr>
        <w:t>CAANZ</w:t>
      </w:r>
      <w:proofErr w:type="spellEnd"/>
      <w:r>
        <w:rPr>
          <w:rFonts w:ascii="Times New Roman" w:hAnsi="Times New Roman" w:cs="Times New Roman"/>
          <w:sz w:val="24"/>
          <w:szCs w:val="24"/>
        </w:rPr>
        <w:t>), Corporate Taxpayer Group and</w:t>
      </w:r>
      <w:r w:rsidRPr="00350B5C">
        <w:rPr>
          <w:rFonts w:ascii="Times New Roman" w:hAnsi="Times New Roman" w:cs="Times New Roman"/>
          <w:sz w:val="24"/>
          <w:szCs w:val="24"/>
        </w:rPr>
        <w:t xml:space="preserve"> Business New Zealand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CAANZ</w:t>
      </w:r>
      <w:proofErr w:type="spellEnd"/>
      <w:r>
        <w:rPr>
          <w:rFonts w:ascii="Times New Roman" w:hAnsi="Times New Roman" w:cs="Times New Roman"/>
          <w:sz w:val="24"/>
          <w:szCs w:val="24"/>
        </w:rPr>
        <w:t xml:space="preserve"> submitted that the premises single rate method should be optional.  </w:t>
      </w:r>
      <w:proofErr w:type="spellStart"/>
      <w:r>
        <w:rPr>
          <w:rFonts w:ascii="Times New Roman" w:hAnsi="Times New Roman" w:cs="Times New Roman"/>
          <w:sz w:val="24"/>
          <w:szCs w:val="24"/>
        </w:rPr>
        <w:t>CAANZ</w:t>
      </w:r>
      <w:proofErr w:type="spellEnd"/>
      <w:r>
        <w:rPr>
          <w:rFonts w:ascii="Times New Roman" w:hAnsi="Times New Roman" w:cs="Times New Roman"/>
          <w:sz w:val="24"/>
          <w:szCs w:val="24"/>
        </w:rPr>
        <w:t xml:space="preserve"> also suggested consideration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given to a flat deduction for dual use premises.  However Officials consider that a flat deduction would be too inaccurate, given that it would not be proportionate to the size of the premises used for business purposes.  Accordingly this suggestion was not included in the options above.</w:t>
      </w:r>
    </w:p>
    <w:p w:rsidR="00A65B46" w:rsidRPr="000E4599" w:rsidRDefault="00A65B46" w:rsidP="002A5ED9">
      <w:pPr>
        <w:spacing w:after="0" w:line="240" w:lineRule="auto"/>
        <w:jc w:val="both"/>
        <w:rPr>
          <w:rFonts w:ascii="Times New Roman" w:hAnsi="Times New Roman" w:cs="Times New Roman"/>
          <w:sz w:val="24"/>
          <w:szCs w:val="24"/>
        </w:rPr>
      </w:pPr>
    </w:p>
    <w:p w:rsidR="00C73EA9" w:rsidRPr="000E4599" w:rsidRDefault="00C73EA9" w:rsidP="002A5ED9">
      <w:pPr>
        <w:spacing w:after="0" w:line="240" w:lineRule="auto"/>
        <w:jc w:val="both"/>
        <w:rPr>
          <w:rFonts w:ascii="Times New Roman" w:hAnsi="Times New Roman" w:cs="Times New Roman"/>
          <w:sz w:val="24"/>
          <w:szCs w:val="24"/>
        </w:rPr>
      </w:pPr>
    </w:p>
    <w:p w:rsidR="00A65B46" w:rsidRPr="00AF66BE" w:rsidRDefault="00043703" w:rsidP="002D0AC2">
      <w:pPr>
        <w:pStyle w:val="Heading2"/>
      </w:pPr>
      <w:bookmarkStart w:id="36" w:name="_Toc444145621"/>
      <w:r>
        <w:t xml:space="preserve">3 – </w:t>
      </w:r>
      <w:r w:rsidR="00A65B46" w:rsidRPr="00AF66BE">
        <w:t>Increase threshold for taxpayer self-corrections of minor errors</w:t>
      </w:r>
      <w:bookmarkEnd w:id="36"/>
    </w:p>
    <w:p w:rsidR="00A65B46" w:rsidRPr="000E4599" w:rsidRDefault="00A65B46" w:rsidP="00A65B46">
      <w:pPr>
        <w:spacing w:after="0" w:line="240" w:lineRule="auto"/>
        <w:jc w:val="both"/>
        <w:rPr>
          <w:rFonts w:ascii="Times New Roman" w:hAnsi="Times New Roman" w:cs="Times New Roman"/>
          <w:b/>
          <w:i/>
          <w:sz w:val="24"/>
          <w:szCs w:val="24"/>
          <w:u w:val="single"/>
        </w:rPr>
      </w:pPr>
    </w:p>
    <w:p w:rsidR="00F14255" w:rsidRPr="00F14255" w:rsidRDefault="00F14255" w:rsidP="00F14255">
      <w:pPr>
        <w:spacing w:after="0" w:line="240" w:lineRule="auto"/>
        <w:jc w:val="both"/>
        <w:rPr>
          <w:rFonts w:ascii="Times New Roman" w:hAnsi="Times New Roman" w:cs="Times New Roman"/>
          <w:b/>
          <w:i/>
          <w:sz w:val="24"/>
          <w:szCs w:val="24"/>
        </w:rPr>
      </w:pPr>
      <w:r w:rsidRPr="00F14255">
        <w:rPr>
          <w:rFonts w:ascii="Times New Roman" w:hAnsi="Times New Roman" w:cs="Times New Roman"/>
          <w:b/>
          <w:i/>
          <w:sz w:val="24"/>
          <w:szCs w:val="24"/>
        </w:rPr>
        <w:t>Status quo and problem definition</w:t>
      </w:r>
    </w:p>
    <w:p w:rsidR="00A65B46" w:rsidRPr="000E4599" w:rsidRDefault="00A65B46" w:rsidP="00A65B46">
      <w:pPr>
        <w:spacing w:after="0" w:line="240" w:lineRule="auto"/>
        <w:jc w:val="both"/>
        <w:rPr>
          <w:rFonts w:ascii="Times New Roman" w:hAnsi="Times New Roman" w:cs="Times New Roman"/>
          <w:sz w:val="24"/>
          <w:szCs w:val="24"/>
        </w:rPr>
      </w:pPr>
    </w:p>
    <w:p w:rsidR="00A65B46" w:rsidRPr="000E4599" w:rsidRDefault="00325D6B" w:rsidP="00C73E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A65B46" w:rsidRPr="000E4599">
        <w:rPr>
          <w:rFonts w:ascii="Times New Roman" w:hAnsi="Times New Roman" w:cs="Times New Roman"/>
          <w:sz w:val="24"/>
          <w:szCs w:val="24"/>
        </w:rPr>
        <w:t>f a taxpayer makes a minor error in their tax return with a tax effect of less than $500, they can self-correct the error in their next tax return</w:t>
      </w:r>
      <w:r w:rsidR="000A4E11">
        <w:rPr>
          <w:rFonts w:ascii="Times New Roman" w:hAnsi="Times New Roman" w:cs="Times New Roman"/>
          <w:sz w:val="24"/>
          <w:szCs w:val="24"/>
        </w:rPr>
        <w:t>.</w:t>
      </w:r>
      <w:r w:rsidR="00A65B46" w:rsidRPr="000E4599">
        <w:rPr>
          <w:rStyle w:val="FootnoteReference"/>
          <w:rFonts w:ascii="Times New Roman" w:hAnsi="Times New Roman" w:cs="Times New Roman"/>
          <w:sz w:val="24"/>
          <w:szCs w:val="24"/>
        </w:rPr>
        <w:footnoteReference w:id="10"/>
      </w:r>
      <w:r w:rsidR="00A65B46" w:rsidRPr="000E4599">
        <w:rPr>
          <w:rFonts w:ascii="Times New Roman" w:hAnsi="Times New Roman" w:cs="Times New Roman"/>
          <w:sz w:val="24"/>
          <w:szCs w:val="24"/>
        </w:rPr>
        <w:t xml:space="preserve"> However</w:t>
      </w:r>
      <w:r>
        <w:rPr>
          <w:rFonts w:ascii="Times New Roman" w:hAnsi="Times New Roman" w:cs="Times New Roman"/>
          <w:sz w:val="24"/>
          <w:szCs w:val="24"/>
        </w:rPr>
        <w:t>,</w:t>
      </w:r>
      <w:r w:rsidR="00A65B46" w:rsidRPr="000E4599">
        <w:rPr>
          <w:rFonts w:ascii="Times New Roman" w:hAnsi="Times New Roman" w:cs="Times New Roman"/>
          <w:sz w:val="24"/>
          <w:szCs w:val="24"/>
        </w:rPr>
        <w:t xml:space="preserve"> if the error results in more than a $500 tax difference, the taxpayer must request the Commissioner to correct the error. This imposes compliance costs on the taxpayer in having to apply to the Commissioner for a small adjustment. It also imposes administration costs on Inland Revenue in having to manage these low value items. These costs </w:t>
      </w:r>
      <w:r>
        <w:rPr>
          <w:rFonts w:ascii="Times New Roman" w:hAnsi="Times New Roman" w:cs="Times New Roman"/>
          <w:sz w:val="24"/>
          <w:szCs w:val="24"/>
        </w:rPr>
        <w:t>can be</w:t>
      </w:r>
      <w:r w:rsidRPr="000E4599">
        <w:rPr>
          <w:rFonts w:ascii="Times New Roman" w:hAnsi="Times New Roman" w:cs="Times New Roman"/>
          <w:sz w:val="24"/>
          <w:szCs w:val="24"/>
        </w:rPr>
        <w:t xml:space="preserve"> </w:t>
      </w:r>
      <w:r w:rsidR="00A65B46" w:rsidRPr="000E4599">
        <w:rPr>
          <w:rFonts w:ascii="Times New Roman" w:hAnsi="Times New Roman" w:cs="Times New Roman"/>
          <w:sz w:val="24"/>
          <w:szCs w:val="24"/>
        </w:rPr>
        <w:t>high compared with the amount of tax at stake.</w:t>
      </w:r>
    </w:p>
    <w:p w:rsidR="00A65B46" w:rsidRPr="000E4599" w:rsidRDefault="00A65B46" w:rsidP="00C73EA9">
      <w:pPr>
        <w:spacing w:after="0" w:line="240" w:lineRule="auto"/>
        <w:jc w:val="both"/>
        <w:rPr>
          <w:rFonts w:ascii="Times New Roman" w:hAnsi="Times New Roman" w:cs="Times New Roman"/>
          <w:sz w:val="24"/>
          <w:szCs w:val="24"/>
        </w:rPr>
      </w:pPr>
    </w:p>
    <w:p w:rsidR="00F235A8" w:rsidRPr="000E4599" w:rsidRDefault="00D54EC7" w:rsidP="00F235A8">
      <w:pPr>
        <w:pStyle w:val="ListParagraph"/>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Options and a</w:t>
      </w:r>
      <w:r w:rsidR="00F235A8" w:rsidRPr="000E4599">
        <w:rPr>
          <w:rFonts w:ascii="Times New Roman" w:hAnsi="Times New Roman" w:cs="Times New Roman"/>
          <w:b/>
          <w:i/>
          <w:sz w:val="24"/>
          <w:szCs w:val="24"/>
        </w:rPr>
        <w:t>nalysis</w:t>
      </w:r>
    </w:p>
    <w:p w:rsidR="00A65B46" w:rsidRPr="000E4599" w:rsidRDefault="00A65B46" w:rsidP="00C73EA9">
      <w:pPr>
        <w:spacing w:after="0" w:line="240" w:lineRule="auto"/>
        <w:jc w:val="both"/>
        <w:rPr>
          <w:rFonts w:ascii="Times New Roman" w:hAnsi="Times New Roman" w:cs="Times New Roman"/>
          <w:sz w:val="24"/>
          <w:szCs w:val="24"/>
        </w:rPr>
      </w:pPr>
    </w:p>
    <w:p w:rsidR="00A65B46" w:rsidRDefault="00A65B46" w:rsidP="00C73EA9">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Options for addressing the </w:t>
      </w:r>
      <w:r w:rsidR="00C164C7">
        <w:rPr>
          <w:rFonts w:ascii="Times New Roman" w:hAnsi="Times New Roman" w:cs="Times New Roman"/>
          <w:sz w:val="24"/>
          <w:szCs w:val="24"/>
        </w:rPr>
        <w:t xml:space="preserve">issue </w:t>
      </w:r>
      <w:r w:rsidR="00F235A8">
        <w:rPr>
          <w:rFonts w:ascii="Times New Roman" w:hAnsi="Times New Roman" w:cs="Times New Roman"/>
          <w:sz w:val="24"/>
          <w:szCs w:val="24"/>
        </w:rPr>
        <w:t>are to retain the status quo, to increase the self-adjustment threshold to</w:t>
      </w:r>
      <w:r w:rsidR="00305DA6">
        <w:rPr>
          <w:rFonts w:ascii="Times New Roman" w:hAnsi="Times New Roman" w:cs="Times New Roman"/>
          <w:sz w:val="24"/>
          <w:szCs w:val="24"/>
        </w:rPr>
        <w:t xml:space="preserve"> $1,000, to increase the threshold to $2,000, or set the threshold as a percentage of taxpayer tax or turnover.</w:t>
      </w:r>
    </w:p>
    <w:p w:rsidR="00305DA6" w:rsidRDefault="00305DA6" w:rsidP="00C73EA9">
      <w:pPr>
        <w:spacing w:after="0" w:line="240" w:lineRule="auto"/>
        <w:jc w:val="both"/>
        <w:rPr>
          <w:rFonts w:ascii="Times New Roman" w:hAnsi="Times New Roman" w:cs="Times New Roman"/>
          <w:sz w:val="24"/>
          <w:szCs w:val="24"/>
        </w:rPr>
      </w:pPr>
    </w:p>
    <w:p w:rsidR="00A65B46" w:rsidRPr="000E4599" w:rsidRDefault="00305DA6" w:rsidP="00C73EA9">
      <w:pPr>
        <w:spacing w:after="0" w:line="240" w:lineRule="auto"/>
        <w:jc w:val="both"/>
        <w:rPr>
          <w:rFonts w:ascii="Times New Roman" w:hAnsi="Times New Roman" w:cs="Times New Roman"/>
          <w:sz w:val="24"/>
          <w:szCs w:val="24"/>
        </w:rPr>
      </w:pPr>
      <w:r w:rsidRPr="00305DA6">
        <w:rPr>
          <w:rFonts w:ascii="Times New Roman" w:hAnsi="Times New Roman" w:cs="Times New Roman"/>
          <w:sz w:val="24"/>
          <w:szCs w:val="24"/>
        </w:rPr>
        <w:t xml:space="preserve">The option to increase the threshold to </w:t>
      </w:r>
      <w:r w:rsidR="007B24CA" w:rsidRPr="00305DA6">
        <w:rPr>
          <w:rFonts w:ascii="Times New Roman" w:hAnsi="Times New Roman" w:cs="Times New Roman"/>
          <w:sz w:val="24"/>
          <w:szCs w:val="24"/>
        </w:rPr>
        <w:t>$1000</w:t>
      </w:r>
      <w:r w:rsidR="00A65B46" w:rsidRPr="000E4599">
        <w:rPr>
          <w:rFonts w:ascii="Times New Roman" w:hAnsi="Times New Roman" w:cs="Times New Roman"/>
          <w:sz w:val="24"/>
          <w:szCs w:val="24"/>
        </w:rPr>
        <w:t xml:space="preserve"> represents a maximum adjustment of income or deductions of $3,571 for a company, $3,030 for an individual and $7,667 for GST.</w:t>
      </w:r>
    </w:p>
    <w:p w:rsidR="00A65B46" w:rsidRPr="000E4599" w:rsidRDefault="00A65B46" w:rsidP="00C73EA9">
      <w:pPr>
        <w:spacing w:after="0" w:line="240" w:lineRule="auto"/>
        <w:jc w:val="both"/>
        <w:rPr>
          <w:rFonts w:ascii="Times New Roman" w:hAnsi="Times New Roman" w:cs="Times New Roman"/>
          <w:sz w:val="24"/>
          <w:szCs w:val="24"/>
        </w:rPr>
      </w:pPr>
    </w:p>
    <w:p w:rsidR="00A65B46" w:rsidRPr="000E4599" w:rsidRDefault="00305DA6" w:rsidP="007B24CA">
      <w:pPr>
        <w:spacing w:after="0" w:line="240" w:lineRule="auto"/>
        <w:jc w:val="both"/>
        <w:rPr>
          <w:rFonts w:ascii="Times New Roman" w:hAnsi="Times New Roman" w:cs="Times New Roman"/>
          <w:sz w:val="24"/>
          <w:szCs w:val="24"/>
        </w:rPr>
      </w:pPr>
      <w:r w:rsidRPr="00305DA6">
        <w:rPr>
          <w:rFonts w:ascii="Times New Roman" w:hAnsi="Times New Roman" w:cs="Times New Roman"/>
          <w:sz w:val="24"/>
          <w:szCs w:val="24"/>
        </w:rPr>
        <w:t>T</w:t>
      </w:r>
      <w:r w:rsidR="007B24CA" w:rsidRPr="00305DA6">
        <w:rPr>
          <w:rFonts w:ascii="Times New Roman" w:hAnsi="Times New Roman" w:cs="Times New Roman"/>
          <w:sz w:val="24"/>
          <w:szCs w:val="24"/>
        </w:rPr>
        <w:t xml:space="preserve">he </w:t>
      </w:r>
      <w:r w:rsidRPr="00305DA6">
        <w:rPr>
          <w:rFonts w:ascii="Times New Roman" w:hAnsi="Times New Roman" w:cs="Times New Roman"/>
          <w:sz w:val="24"/>
          <w:szCs w:val="24"/>
        </w:rPr>
        <w:t xml:space="preserve">option to increase the </w:t>
      </w:r>
      <w:r w:rsidR="007B24CA" w:rsidRPr="00305DA6">
        <w:rPr>
          <w:rFonts w:ascii="Times New Roman" w:hAnsi="Times New Roman" w:cs="Times New Roman"/>
          <w:sz w:val="24"/>
          <w:szCs w:val="24"/>
        </w:rPr>
        <w:t>self-adjustment threshold to $2000</w:t>
      </w:r>
      <w:r w:rsidR="00A65B46" w:rsidRPr="000E4599">
        <w:rPr>
          <w:rFonts w:ascii="Times New Roman" w:hAnsi="Times New Roman" w:cs="Times New Roman"/>
          <w:sz w:val="24"/>
          <w:szCs w:val="24"/>
        </w:rPr>
        <w:t xml:space="preserve"> represents a maximum adjustment of income or deductions of $7,142 for a company, $6,060 for an individual and $15,333 for GST.</w:t>
      </w:r>
    </w:p>
    <w:p w:rsidR="00A65B46" w:rsidRPr="000E4599" w:rsidRDefault="00A65B46" w:rsidP="00C73EA9">
      <w:pPr>
        <w:spacing w:after="0" w:line="240" w:lineRule="auto"/>
        <w:jc w:val="both"/>
        <w:rPr>
          <w:rFonts w:ascii="Times New Roman" w:hAnsi="Times New Roman" w:cs="Times New Roman"/>
          <w:sz w:val="24"/>
          <w:szCs w:val="24"/>
        </w:rPr>
      </w:pPr>
    </w:p>
    <w:p w:rsidR="00A65B46" w:rsidRPr="000E4599" w:rsidRDefault="00305DA6" w:rsidP="00C73E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option to set th</w:t>
      </w:r>
      <w:r w:rsidRPr="00305DA6">
        <w:rPr>
          <w:rFonts w:ascii="Times New Roman" w:hAnsi="Times New Roman" w:cs="Times New Roman"/>
          <w:sz w:val="24"/>
          <w:szCs w:val="24"/>
        </w:rPr>
        <w:t xml:space="preserve">e </w:t>
      </w:r>
      <w:r w:rsidR="007B24CA" w:rsidRPr="00305DA6">
        <w:rPr>
          <w:rFonts w:ascii="Times New Roman" w:hAnsi="Times New Roman" w:cs="Times New Roman"/>
          <w:sz w:val="24"/>
          <w:szCs w:val="24"/>
        </w:rPr>
        <w:t xml:space="preserve">self-correction </w:t>
      </w:r>
      <w:r w:rsidRPr="00305DA6">
        <w:rPr>
          <w:rFonts w:ascii="Times New Roman" w:hAnsi="Times New Roman" w:cs="Times New Roman"/>
          <w:sz w:val="24"/>
          <w:szCs w:val="24"/>
        </w:rPr>
        <w:t xml:space="preserve">threshold as </w:t>
      </w:r>
      <w:r w:rsidR="007B24CA" w:rsidRPr="00305DA6">
        <w:rPr>
          <w:rFonts w:ascii="Times New Roman" w:hAnsi="Times New Roman" w:cs="Times New Roman"/>
          <w:sz w:val="24"/>
          <w:szCs w:val="24"/>
        </w:rPr>
        <w:t>a percentage of the taxpayer’s tax or turnover</w:t>
      </w:r>
      <w:r w:rsidRPr="00305DA6">
        <w:rPr>
          <w:rFonts w:ascii="Times New Roman" w:hAnsi="Times New Roman" w:cs="Times New Roman"/>
          <w:sz w:val="24"/>
          <w:szCs w:val="24"/>
        </w:rPr>
        <w:t xml:space="preserve"> would mean</w:t>
      </w:r>
      <w:r>
        <w:rPr>
          <w:rFonts w:ascii="Times New Roman" w:hAnsi="Times New Roman" w:cs="Times New Roman"/>
          <w:sz w:val="24"/>
          <w:szCs w:val="24"/>
        </w:rPr>
        <w:t xml:space="preserve"> </w:t>
      </w:r>
      <w:r w:rsidR="00A65B46" w:rsidRPr="000E4599">
        <w:rPr>
          <w:rFonts w:ascii="Times New Roman" w:hAnsi="Times New Roman" w:cs="Times New Roman"/>
          <w:sz w:val="24"/>
          <w:szCs w:val="24"/>
        </w:rPr>
        <w:t>a corporate taxpayer with a $50 million tax liability could make a $1 million adjustment if the threshold for self-correction was set at 2% of tax. This represents $3.57 million of income or $7.667 million for GST.</w:t>
      </w:r>
    </w:p>
    <w:p w:rsidR="00A65B46" w:rsidRPr="000E4599" w:rsidRDefault="00A65B46" w:rsidP="00C73EA9">
      <w:pPr>
        <w:spacing w:after="0" w:line="240" w:lineRule="auto"/>
        <w:jc w:val="both"/>
        <w:rPr>
          <w:rFonts w:ascii="Times New Roman" w:hAnsi="Times New Roman" w:cs="Times New Roman"/>
          <w:sz w:val="24"/>
          <w:szCs w:val="24"/>
        </w:rPr>
      </w:pPr>
    </w:p>
    <w:p w:rsidR="00A65B46" w:rsidRPr="000E4599" w:rsidRDefault="00A65B46" w:rsidP="00C73EA9">
      <w:pPr>
        <w:pStyle w:val="ListParagraph"/>
        <w:spacing w:after="0" w:line="240" w:lineRule="auto"/>
        <w:ind w:left="0"/>
        <w:jc w:val="both"/>
        <w:rPr>
          <w:rFonts w:ascii="Times New Roman" w:hAnsi="Times New Roman" w:cs="Times New Roman"/>
          <w:sz w:val="24"/>
          <w:szCs w:val="24"/>
        </w:rPr>
      </w:pPr>
      <w:r w:rsidRPr="000E4599">
        <w:rPr>
          <w:rFonts w:ascii="Times New Roman" w:hAnsi="Times New Roman" w:cs="Times New Roman"/>
          <w:sz w:val="24"/>
          <w:szCs w:val="24"/>
        </w:rPr>
        <w:t xml:space="preserve">Officials’ analysis of the options is set out in the table </w:t>
      </w:r>
      <w:r w:rsidR="002960C6">
        <w:rPr>
          <w:rFonts w:ascii="Times New Roman" w:hAnsi="Times New Roman" w:cs="Times New Roman"/>
          <w:sz w:val="24"/>
          <w:szCs w:val="24"/>
        </w:rPr>
        <w:t>on the next page</w:t>
      </w:r>
      <w:r w:rsidRPr="000E4599">
        <w:rPr>
          <w:rFonts w:ascii="Times New Roman" w:hAnsi="Times New Roman" w:cs="Times New Roman"/>
          <w:sz w:val="24"/>
          <w:szCs w:val="24"/>
        </w:rPr>
        <w:t>.</w:t>
      </w:r>
    </w:p>
    <w:p w:rsidR="000A4E11" w:rsidRDefault="000A4E11" w:rsidP="00C73EA9">
      <w:pPr>
        <w:spacing w:after="0" w:line="240" w:lineRule="auto"/>
        <w:jc w:val="both"/>
        <w:rPr>
          <w:rFonts w:ascii="Times New Roman" w:hAnsi="Times New Roman" w:cs="Times New Roman"/>
          <w:sz w:val="24"/>
          <w:szCs w:val="24"/>
        </w:rPr>
        <w:sectPr w:rsidR="000A4E11">
          <w:pgSz w:w="11906" w:h="16838"/>
          <w:pgMar w:top="1440" w:right="1440" w:bottom="1440" w:left="1440" w:header="708" w:footer="708" w:gutter="0"/>
          <w:cols w:space="708"/>
          <w:docGrid w:linePitch="360"/>
        </w:sectPr>
      </w:pPr>
    </w:p>
    <w:tbl>
      <w:tblPr>
        <w:tblStyle w:val="TableGrid"/>
        <w:tblW w:w="15735" w:type="dxa"/>
        <w:tblInd w:w="-885" w:type="dxa"/>
        <w:tblLook w:val="04A0" w:firstRow="1" w:lastRow="0" w:firstColumn="1" w:lastColumn="0" w:noHBand="0" w:noVBand="1"/>
      </w:tblPr>
      <w:tblGrid>
        <w:gridCol w:w="3120"/>
        <w:gridCol w:w="3118"/>
        <w:gridCol w:w="3260"/>
        <w:gridCol w:w="3119"/>
        <w:gridCol w:w="3118"/>
      </w:tblGrid>
      <w:tr w:rsidR="00842528" w:rsidRPr="000E4599" w:rsidTr="000A4E11">
        <w:tc>
          <w:tcPr>
            <w:tcW w:w="3120" w:type="dxa"/>
          </w:tcPr>
          <w:p w:rsidR="00842528" w:rsidRPr="000E4599" w:rsidRDefault="00842528" w:rsidP="008D31DB">
            <w:pPr>
              <w:rPr>
                <w:rFonts w:ascii="Times New Roman" w:hAnsi="Times New Roman" w:cs="Times New Roman"/>
                <w:b/>
                <w:sz w:val="24"/>
                <w:szCs w:val="24"/>
              </w:rPr>
            </w:pPr>
            <w:r w:rsidRPr="000E4599">
              <w:rPr>
                <w:rFonts w:ascii="Times New Roman" w:hAnsi="Times New Roman" w:cs="Times New Roman"/>
                <w:b/>
                <w:sz w:val="24"/>
                <w:szCs w:val="24"/>
              </w:rPr>
              <w:t>Options</w:t>
            </w:r>
          </w:p>
        </w:tc>
        <w:tc>
          <w:tcPr>
            <w:tcW w:w="3118" w:type="dxa"/>
          </w:tcPr>
          <w:p w:rsidR="00842528" w:rsidRPr="000E4599" w:rsidRDefault="00842528" w:rsidP="008D31DB">
            <w:pPr>
              <w:rPr>
                <w:rFonts w:ascii="Times New Roman" w:hAnsi="Times New Roman" w:cs="Times New Roman"/>
                <w:b/>
                <w:sz w:val="24"/>
                <w:szCs w:val="24"/>
              </w:rPr>
            </w:pPr>
            <w:r w:rsidRPr="000E4599">
              <w:rPr>
                <w:rFonts w:ascii="Times New Roman" w:hAnsi="Times New Roman" w:cs="Times New Roman"/>
                <w:b/>
                <w:sz w:val="24"/>
                <w:szCs w:val="24"/>
              </w:rPr>
              <w:t>Fairness and equity</w:t>
            </w:r>
          </w:p>
        </w:tc>
        <w:tc>
          <w:tcPr>
            <w:tcW w:w="3260" w:type="dxa"/>
          </w:tcPr>
          <w:p w:rsidR="00842528" w:rsidRPr="000E4599" w:rsidRDefault="00842528" w:rsidP="008D31DB">
            <w:pPr>
              <w:rPr>
                <w:rFonts w:ascii="Times New Roman" w:hAnsi="Times New Roman" w:cs="Times New Roman"/>
                <w:b/>
                <w:sz w:val="24"/>
                <w:szCs w:val="24"/>
              </w:rPr>
            </w:pPr>
            <w:r w:rsidRPr="000E4599">
              <w:rPr>
                <w:rFonts w:ascii="Times New Roman" w:hAnsi="Times New Roman" w:cs="Times New Roman"/>
                <w:b/>
                <w:sz w:val="24"/>
                <w:szCs w:val="24"/>
              </w:rPr>
              <w:t xml:space="preserve">Efficiency of compliance and administration </w:t>
            </w:r>
          </w:p>
        </w:tc>
        <w:tc>
          <w:tcPr>
            <w:tcW w:w="3119" w:type="dxa"/>
          </w:tcPr>
          <w:p w:rsidR="00842528" w:rsidRPr="000E4599" w:rsidRDefault="00842528" w:rsidP="008D31DB">
            <w:pPr>
              <w:rPr>
                <w:rFonts w:ascii="Times New Roman" w:hAnsi="Times New Roman" w:cs="Times New Roman"/>
                <w:b/>
                <w:sz w:val="24"/>
                <w:szCs w:val="24"/>
              </w:rPr>
            </w:pPr>
            <w:r w:rsidRPr="000E4599">
              <w:rPr>
                <w:rFonts w:ascii="Times New Roman" w:hAnsi="Times New Roman" w:cs="Times New Roman"/>
                <w:b/>
                <w:sz w:val="24"/>
                <w:szCs w:val="24"/>
              </w:rPr>
              <w:t>Sustainability of tax system</w:t>
            </w:r>
          </w:p>
        </w:tc>
        <w:tc>
          <w:tcPr>
            <w:tcW w:w="3118" w:type="dxa"/>
          </w:tcPr>
          <w:p w:rsidR="00842528" w:rsidRPr="000E4599" w:rsidRDefault="00842528" w:rsidP="008D31DB">
            <w:pPr>
              <w:rPr>
                <w:rFonts w:ascii="Times New Roman" w:hAnsi="Times New Roman" w:cs="Times New Roman"/>
                <w:b/>
                <w:sz w:val="24"/>
                <w:szCs w:val="24"/>
              </w:rPr>
            </w:pPr>
            <w:r w:rsidRPr="000E4599">
              <w:rPr>
                <w:rFonts w:ascii="Times New Roman" w:hAnsi="Times New Roman" w:cs="Times New Roman"/>
                <w:b/>
                <w:sz w:val="24"/>
                <w:szCs w:val="24"/>
              </w:rPr>
              <w:t>Revenue</w:t>
            </w:r>
            <w:r w:rsidR="000A4E11">
              <w:rPr>
                <w:rFonts w:ascii="Times New Roman" w:hAnsi="Times New Roman" w:cs="Times New Roman"/>
                <w:b/>
                <w:sz w:val="24"/>
                <w:szCs w:val="24"/>
              </w:rPr>
              <w:t xml:space="preserve"> </w:t>
            </w:r>
          </w:p>
        </w:tc>
      </w:tr>
      <w:tr w:rsidR="00370C96" w:rsidRPr="000E4599" w:rsidTr="000A4E11">
        <w:tc>
          <w:tcPr>
            <w:tcW w:w="3120" w:type="dxa"/>
          </w:tcPr>
          <w:p w:rsidR="00370C96" w:rsidRPr="00566803" w:rsidRDefault="00370C96" w:rsidP="00A10950">
            <w:pPr>
              <w:rPr>
                <w:rFonts w:ascii="Times New Roman" w:hAnsi="Times New Roman" w:cs="Times New Roman"/>
                <w:sz w:val="24"/>
                <w:szCs w:val="24"/>
              </w:rPr>
            </w:pPr>
            <w:r w:rsidRPr="00566803">
              <w:rPr>
                <w:rFonts w:ascii="Times New Roman" w:hAnsi="Times New Roman" w:cs="Times New Roman"/>
                <w:sz w:val="24"/>
                <w:szCs w:val="24"/>
              </w:rPr>
              <w:t>1. Status quo</w:t>
            </w:r>
          </w:p>
        </w:tc>
        <w:tc>
          <w:tcPr>
            <w:tcW w:w="3118" w:type="dxa"/>
          </w:tcPr>
          <w:p w:rsidR="000A4E11" w:rsidRDefault="000A4E11" w:rsidP="00A10950">
            <w:pPr>
              <w:rPr>
                <w:rFonts w:ascii="Times New Roman" w:hAnsi="Times New Roman" w:cs="Times New Roman"/>
                <w:sz w:val="24"/>
                <w:szCs w:val="24"/>
              </w:rPr>
            </w:pPr>
            <w:r>
              <w:rPr>
                <w:rFonts w:ascii="Times New Roman" w:hAnsi="Times New Roman" w:cs="Times New Roman"/>
                <w:sz w:val="24"/>
                <w:szCs w:val="24"/>
              </w:rPr>
              <w:t>Met</w:t>
            </w:r>
          </w:p>
          <w:p w:rsidR="000A4E11" w:rsidRDefault="000A4E11" w:rsidP="00A10950">
            <w:pPr>
              <w:rPr>
                <w:rFonts w:ascii="Times New Roman" w:hAnsi="Times New Roman" w:cs="Times New Roman"/>
                <w:sz w:val="24"/>
                <w:szCs w:val="24"/>
              </w:rPr>
            </w:pPr>
          </w:p>
          <w:p w:rsidR="00370C96" w:rsidRPr="000E4599" w:rsidRDefault="00370C96" w:rsidP="00A10950">
            <w:pPr>
              <w:rPr>
                <w:rFonts w:ascii="Times New Roman" w:hAnsi="Times New Roman" w:cs="Times New Roman"/>
                <w:sz w:val="24"/>
                <w:szCs w:val="24"/>
              </w:rPr>
            </w:pPr>
            <w:r w:rsidRPr="000E4599">
              <w:rPr>
                <w:rFonts w:ascii="Times New Roman" w:hAnsi="Times New Roman" w:cs="Times New Roman"/>
                <w:sz w:val="24"/>
                <w:szCs w:val="24"/>
              </w:rPr>
              <w:t>Generally fair</w:t>
            </w:r>
            <w:r w:rsidR="009500FD">
              <w:rPr>
                <w:rFonts w:ascii="Times New Roman" w:hAnsi="Times New Roman" w:cs="Times New Roman"/>
                <w:sz w:val="24"/>
                <w:szCs w:val="24"/>
              </w:rPr>
              <w:t>.</w:t>
            </w:r>
          </w:p>
        </w:tc>
        <w:tc>
          <w:tcPr>
            <w:tcW w:w="3260" w:type="dxa"/>
          </w:tcPr>
          <w:p w:rsidR="000A4E11" w:rsidRDefault="000A4E11" w:rsidP="00A10950">
            <w:pPr>
              <w:rPr>
                <w:rFonts w:ascii="Times New Roman" w:hAnsi="Times New Roman" w:cs="Times New Roman"/>
                <w:sz w:val="24"/>
                <w:szCs w:val="24"/>
              </w:rPr>
            </w:pPr>
            <w:r>
              <w:rPr>
                <w:rFonts w:ascii="Times New Roman" w:hAnsi="Times New Roman" w:cs="Times New Roman"/>
                <w:sz w:val="24"/>
                <w:szCs w:val="24"/>
              </w:rPr>
              <w:t>Not met</w:t>
            </w:r>
          </w:p>
          <w:p w:rsidR="000A4E11" w:rsidRDefault="000A4E11" w:rsidP="00A10950">
            <w:pPr>
              <w:rPr>
                <w:rFonts w:ascii="Times New Roman" w:hAnsi="Times New Roman" w:cs="Times New Roman"/>
                <w:sz w:val="24"/>
                <w:szCs w:val="24"/>
              </w:rPr>
            </w:pPr>
          </w:p>
          <w:p w:rsidR="00370C96" w:rsidRPr="000E4599" w:rsidRDefault="00370C96" w:rsidP="00A10950">
            <w:pPr>
              <w:rPr>
                <w:rFonts w:ascii="Times New Roman" w:hAnsi="Times New Roman" w:cs="Times New Roman"/>
                <w:sz w:val="24"/>
                <w:szCs w:val="24"/>
              </w:rPr>
            </w:pPr>
            <w:r w:rsidRPr="000E4599">
              <w:rPr>
                <w:rFonts w:ascii="Times New Roman" w:hAnsi="Times New Roman" w:cs="Times New Roman"/>
                <w:sz w:val="24"/>
                <w:szCs w:val="24"/>
              </w:rPr>
              <w:t>Inefficient, as taxpayers must apply to Inland Revenue to self-correct small errors</w:t>
            </w:r>
            <w:r w:rsidR="000A4E11">
              <w:rPr>
                <w:rFonts w:ascii="Times New Roman" w:hAnsi="Times New Roman" w:cs="Times New Roman"/>
                <w:sz w:val="24"/>
                <w:szCs w:val="24"/>
              </w:rPr>
              <w:t>.</w:t>
            </w:r>
          </w:p>
        </w:tc>
        <w:tc>
          <w:tcPr>
            <w:tcW w:w="3119" w:type="dxa"/>
          </w:tcPr>
          <w:p w:rsidR="00370C96" w:rsidRPr="000E4599" w:rsidRDefault="000A4E11" w:rsidP="00A10950">
            <w:pPr>
              <w:rPr>
                <w:rFonts w:ascii="Times New Roman" w:hAnsi="Times New Roman" w:cs="Times New Roman"/>
                <w:sz w:val="24"/>
                <w:szCs w:val="24"/>
              </w:rPr>
            </w:pPr>
            <w:r>
              <w:rPr>
                <w:rFonts w:ascii="Times New Roman" w:hAnsi="Times New Roman" w:cs="Times New Roman"/>
                <w:sz w:val="24"/>
                <w:szCs w:val="24"/>
              </w:rPr>
              <w:t>Met</w:t>
            </w:r>
          </w:p>
        </w:tc>
        <w:tc>
          <w:tcPr>
            <w:tcW w:w="3118" w:type="dxa"/>
          </w:tcPr>
          <w:p w:rsidR="00370C96" w:rsidRPr="000E4599" w:rsidRDefault="00370C96" w:rsidP="00D56B23">
            <w:pPr>
              <w:rPr>
                <w:rFonts w:ascii="Times New Roman" w:hAnsi="Times New Roman" w:cs="Times New Roman"/>
                <w:sz w:val="24"/>
                <w:szCs w:val="24"/>
              </w:rPr>
            </w:pPr>
            <w:r>
              <w:rPr>
                <w:rFonts w:ascii="Times New Roman" w:hAnsi="Times New Roman" w:cs="Times New Roman"/>
                <w:sz w:val="24"/>
                <w:szCs w:val="24"/>
              </w:rPr>
              <w:t>No impact</w:t>
            </w:r>
          </w:p>
        </w:tc>
      </w:tr>
      <w:tr w:rsidR="00842528" w:rsidRPr="000E4599" w:rsidTr="000A4E11">
        <w:tc>
          <w:tcPr>
            <w:tcW w:w="3120" w:type="dxa"/>
          </w:tcPr>
          <w:p w:rsidR="00842528" w:rsidRPr="00566803" w:rsidRDefault="00842528" w:rsidP="00A10950">
            <w:pPr>
              <w:rPr>
                <w:rFonts w:ascii="Times New Roman" w:hAnsi="Times New Roman" w:cs="Times New Roman"/>
                <w:sz w:val="24"/>
                <w:szCs w:val="24"/>
              </w:rPr>
            </w:pPr>
            <w:r w:rsidRPr="00566803">
              <w:rPr>
                <w:rFonts w:ascii="Times New Roman" w:hAnsi="Times New Roman" w:cs="Times New Roman"/>
                <w:sz w:val="24"/>
                <w:szCs w:val="24"/>
              </w:rPr>
              <w:t>2. Increase threshold to $1,000</w:t>
            </w:r>
          </w:p>
        </w:tc>
        <w:tc>
          <w:tcPr>
            <w:tcW w:w="3118" w:type="dxa"/>
          </w:tcPr>
          <w:p w:rsidR="00842528" w:rsidRPr="000E4599" w:rsidRDefault="008F6668" w:rsidP="00A10950">
            <w:pPr>
              <w:rPr>
                <w:rFonts w:ascii="Times New Roman" w:hAnsi="Times New Roman" w:cs="Times New Roman"/>
                <w:sz w:val="24"/>
                <w:szCs w:val="24"/>
              </w:rPr>
            </w:pPr>
            <w:r>
              <w:rPr>
                <w:rFonts w:ascii="Times New Roman" w:hAnsi="Times New Roman" w:cs="Times New Roman"/>
                <w:sz w:val="24"/>
                <w:szCs w:val="24"/>
              </w:rPr>
              <w:t>Met</w:t>
            </w:r>
          </w:p>
        </w:tc>
        <w:tc>
          <w:tcPr>
            <w:tcW w:w="3260" w:type="dxa"/>
          </w:tcPr>
          <w:p w:rsidR="000A4E11" w:rsidRDefault="000A4E11" w:rsidP="00A10950">
            <w:pPr>
              <w:rPr>
                <w:rFonts w:ascii="Times New Roman" w:hAnsi="Times New Roman" w:cs="Times New Roman"/>
                <w:sz w:val="24"/>
                <w:szCs w:val="24"/>
              </w:rPr>
            </w:pPr>
            <w:r>
              <w:rPr>
                <w:rFonts w:ascii="Times New Roman" w:hAnsi="Times New Roman" w:cs="Times New Roman"/>
                <w:sz w:val="24"/>
                <w:szCs w:val="24"/>
              </w:rPr>
              <w:t>Met</w:t>
            </w:r>
          </w:p>
          <w:p w:rsidR="000A4E11" w:rsidRDefault="000A4E11" w:rsidP="00A10950">
            <w:pPr>
              <w:rPr>
                <w:rFonts w:ascii="Times New Roman" w:hAnsi="Times New Roman" w:cs="Times New Roman"/>
                <w:sz w:val="24"/>
                <w:szCs w:val="24"/>
              </w:rPr>
            </w:pPr>
          </w:p>
          <w:p w:rsidR="00842528" w:rsidRPr="000E4599" w:rsidRDefault="00842528" w:rsidP="000A4E11">
            <w:pPr>
              <w:rPr>
                <w:rFonts w:ascii="Times New Roman" w:hAnsi="Times New Roman" w:cs="Times New Roman"/>
                <w:sz w:val="24"/>
                <w:szCs w:val="24"/>
              </w:rPr>
            </w:pPr>
            <w:r w:rsidRPr="000E4599">
              <w:rPr>
                <w:rFonts w:ascii="Times New Roman" w:hAnsi="Times New Roman" w:cs="Times New Roman"/>
                <w:sz w:val="24"/>
                <w:szCs w:val="24"/>
              </w:rPr>
              <w:t>More efficient, as taxpayers can self-correct larger errors. The measure will affect all taxpayers who make low value minor errors</w:t>
            </w:r>
            <w:r w:rsidR="000A4E11">
              <w:rPr>
                <w:rFonts w:ascii="Times New Roman" w:hAnsi="Times New Roman" w:cs="Times New Roman"/>
                <w:sz w:val="24"/>
                <w:szCs w:val="24"/>
              </w:rPr>
              <w:t>.</w:t>
            </w:r>
          </w:p>
        </w:tc>
        <w:tc>
          <w:tcPr>
            <w:tcW w:w="3119" w:type="dxa"/>
          </w:tcPr>
          <w:p w:rsidR="000A4E11" w:rsidRDefault="000A4E11" w:rsidP="00A10950">
            <w:pPr>
              <w:rPr>
                <w:rFonts w:ascii="Times New Roman" w:hAnsi="Times New Roman" w:cs="Times New Roman"/>
                <w:sz w:val="24"/>
                <w:szCs w:val="24"/>
              </w:rPr>
            </w:pPr>
            <w:r>
              <w:rPr>
                <w:rFonts w:ascii="Times New Roman" w:hAnsi="Times New Roman" w:cs="Times New Roman"/>
                <w:sz w:val="24"/>
                <w:szCs w:val="24"/>
              </w:rPr>
              <w:t>Met</w:t>
            </w:r>
            <w:r w:rsidR="00842528" w:rsidRPr="000E4599">
              <w:rPr>
                <w:rFonts w:ascii="Times New Roman" w:hAnsi="Times New Roman" w:cs="Times New Roman"/>
                <w:sz w:val="24"/>
                <w:szCs w:val="24"/>
              </w:rPr>
              <w:t xml:space="preserve"> </w:t>
            </w:r>
          </w:p>
          <w:p w:rsidR="000A4E11" w:rsidRDefault="000A4E11" w:rsidP="00A10950">
            <w:pPr>
              <w:rPr>
                <w:rFonts w:ascii="Times New Roman" w:hAnsi="Times New Roman" w:cs="Times New Roman"/>
                <w:sz w:val="24"/>
                <w:szCs w:val="24"/>
              </w:rPr>
            </w:pPr>
          </w:p>
          <w:p w:rsidR="00842528" w:rsidRPr="000E4599" w:rsidRDefault="000A4E11" w:rsidP="00A10950">
            <w:pPr>
              <w:rPr>
                <w:rFonts w:ascii="Times New Roman" w:hAnsi="Times New Roman" w:cs="Times New Roman"/>
                <w:sz w:val="24"/>
                <w:szCs w:val="24"/>
              </w:rPr>
            </w:pPr>
            <w:r>
              <w:rPr>
                <w:rFonts w:ascii="Times New Roman" w:hAnsi="Times New Roman" w:cs="Times New Roman"/>
                <w:sz w:val="24"/>
                <w:szCs w:val="24"/>
              </w:rPr>
              <w:t>A</w:t>
            </w:r>
            <w:r w:rsidR="00842528" w:rsidRPr="000E4599">
              <w:rPr>
                <w:rFonts w:ascii="Times New Roman" w:hAnsi="Times New Roman" w:cs="Times New Roman"/>
                <w:sz w:val="24"/>
                <w:szCs w:val="24"/>
              </w:rPr>
              <w:t xml:space="preserve">lthough less Inland Revenue oversight of error correction slightly increases </w:t>
            </w:r>
            <w:r w:rsidR="004E4125">
              <w:rPr>
                <w:rFonts w:ascii="Times New Roman" w:hAnsi="Times New Roman" w:cs="Times New Roman"/>
                <w:sz w:val="24"/>
                <w:szCs w:val="24"/>
              </w:rPr>
              <w:t xml:space="preserve">the </w:t>
            </w:r>
            <w:r w:rsidR="00842528" w:rsidRPr="000E4599">
              <w:rPr>
                <w:rFonts w:ascii="Times New Roman" w:hAnsi="Times New Roman" w:cs="Times New Roman"/>
                <w:sz w:val="24"/>
                <w:szCs w:val="24"/>
              </w:rPr>
              <w:t>potential for abuse</w:t>
            </w:r>
            <w:r>
              <w:rPr>
                <w:rFonts w:ascii="Times New Roman" w:hAnsi="Times New Roman" w:cs="Times New Roman"/>
                <w:sz w:val="24"/>
                <w:szCs w:val="24"/>
              </w:rPr>
              <w:t>.</w:t>
            </w:r>
          </w:p>
        </w:tc>
        <w:tc>
          <w:tcPr>
            <w:tcW w:w="3118" w:type="dxa"/>
          </w:tcPr>
          <w:p w:rsidR="00842528" w:rsidRPr="000E4599" w:rsidRDefault="00842528" w:rsidP="00A10950">
            <w:pPr>
              <w:rPr>
                <w:rFonts w:ascii="Times New Roman" w:hAnsi="Times New Roman" w:cs="Times New Roman"/>
                <w:sz w:val="24"/>
                <w:szCs w:val="24"/>
              </w:rPr>
            </w:pPr>
            <w:r w:rsidRPr="000E4599">
              <w:rPr>
                <w:rFonts w:ascii="Times New Roman" w:hAnsi="Times New Roman" w:cs="Times New Roman"/>
                <w:sz w:val="24"/>
                <w:szCs w:val="24"/>
              </w:rPr>
              <w:t>No impact</w:t>
            </w:r>
          </w:p>
        </w:tc>
      </w:tr>
      <w:tr w:rsidR="00842528" w:rsidRPr="000E4599" w:rsidTr="000A4E11">
        <w:tc>
          <w:tcPr>
            <w:tcW w:w="3120" w:type="dxa"/>
          </w:tcPr>
          <w:p w:rsidR="00842528" w:rsidRPr="00566803" w:rsidRDefault="00842528" w:rsidP="00A10950">
            <w:pPr>
              <w:rPr>
                <w:rFonts w:ascii="Times New Roman" w:hAnsi="Times New Roman" w:cs="Times New Roman"/>
                <w:sz w:val="24"/>
                <w:szCs w:val="24"/>
              </w:rPr>
            </w:pPr>
            <w:r w:rsidRPr="00566803">
              <w:rPr>
                <w:rFonts w:ascii="Times New Roman" w:hAnsi="Times New Roman" w:cs="Times New Roman"/>
                <w:sz w:val="24"/>
                <w:szCs w:val="24"/>
              </w:rPr>
              <w:t>3. Increase threshold to $2,000</w:t>
            </w:r>
          </w:p>
        </w:tc>
        <w:tc>
          <w:tcPr>
            <w:tcW w:w="3118" w:type="dxa"/>
          </w:tcPr>
          <w:p w:rsidR="00842528" w:rsidRPr="000E4599" w:rsidRDefault="008F6668" w:rsidP="00A10950">
            <w:pPr>
              <w:rPr>
                <w:rFonts w:ascii="Times New Roman" w:hAnsi="Times New Roman" w:cs="Times New Roman"/>
                <w:sz w:val="24"/>
                <w:szCs w:val="24"/>
              </w:rPr>
            </w:pPr>
            <w:r>
              <w:rPr>
                <w:rFonts w:ascii="Times New Roman" w:hAnsi="Times New Roman" w:cs="Times New Roman"/>
                <w:sz w:val="24"/>
                <w:szCs w:val="24"/>
              </w:rPr>
              <w:t>Met</w:t>
            </w:r>
          </w:p>
        </w:tc>
        <w:tc>
          <w:tcPr>
            <w:tcW w:w="3260" w:type="dxa"/>
          </w:tcPr>
          <w:p w:rsidR="000A4E11" w:rsidRDefault="000A4E11" w:rsidP="00A10950">
            <w:pPr>
              <w:rPr>
                <w:rFonts w:ascii="Times New Roman" w:hAnsi="Times New Roman" w:cs="Times New Roman"/>
                <w:sz w:val="24"/>
                <w:szCs w:val="24"/>
              </w:rPr>
            </w:pPr>
            <w:r>
              <w:rPr>
                <w:rFonts w:ascii="Times New Roman" w:hAnsi="Times New Roman" w:cs="Times New Roman"/>
                <w:sz w:val="24"/>
                <w:szCs w:val="24"/>
              </w:rPr>
              <w:t>Met</w:t>
            </w:r>
          </w:p>
          <w:p w:rsidR="000A4E11" w:rsidRDefault="000A4E11" w:rsidP="00A10950">
            <w:pPr>
              <w:rPr>
                <w:rFonts w:ascii="Times New Roman" w:hAnsi="Times New Roman" w:cs="Times New Roman"/>
                <w:sz w:val="24"/>
                <w:szCs w:val="24"/>
              </w:rPr>
            </w:pPr>
          </w:p>
          <w:p w:rsidR="00842528" w:rsidRPr="000E4599" w:rsidRDefault="00842528" w:rsidP="00A10950">
            <w:pPr>
              <w:rPr>
                <w:rFonts w:ascii="Times New Roman" w:hAnsi="Times New Roman" w:cs="Times New Roman"/>
                <w:sz w:val="24"/>
                <w:szCs w:val="24"/>
              </w:rPr>
            </w:pPr>
            <w:r w:rsidRPr="000E4599">
              <w:rPr>
                <w:rFonts w:ascii="Times New Roman" w:hAnsi="Times New Roman" w:cs="Times New Roman"/>
                <w:sz w:val="24"/>
                <w:szCs w:val="24"/>
              </w:rPr>
              <w:t>As above, except a greater efficiency increase and impact with the greater threshold</w:t>
            </w:r>
            <w:r w:rsidR="000A4E11">
              <w:rPr>
                <w:rFonts w:ascii="Times New Roman" w:hAnsi="Times New Roman" w:cs="Times New Roman"/>
                <w:sz w:val="24"/>
                <w:szCs w:val="24"/>
              </w:rPr>
              <w:t>.</w:t>
            </w:r>
          </w:p>
        </w:tc>
        <w:tc>
          <w:tcPr>
            <w:tcW w:w="3119" w:type="dxa"/>
          </w:tcPr>
          <w:p w:rsidR="000A4E11" w:rsidRDefault="004E5176" w:rsidP="00A10950">
            <w:pPr>
              <w:rPr>
                <w:rFonts w:ascii="Times New Roman" w:hAnsi="Times New Roman" w:cs="Times New Roman"/>
                <w:sz w:val="24"/>
                <w:szCs w:val="24"/>
              </w:rPr>
            </w:pPr>
            <w:r>
              <w:rPr>
                <w:rFonts w:ascii="Times New Roman" w:hAnsi="Times New Roman" w:cs="Times New Roman"/>
                <w:sz w:val="24"/>
                <w:szCs w:val="24"/>
              </w:rPr>
              <w:t>Partially m</w:t>
            </w:r>
            <w:r w:rsidR="000A4E11">
              <w:rPr>
                <w:rFonts w:ascii="Times New Roman" w:hAnsi="Times New Roman" w:cs="Times New Roman"/>
                <w:sz w:val="24"/>
                <w:szCs w:val="24"/>
              </w:rPr>
              <w:t>et</w:t>
            </w:r>
          </w:p>
          <w:p w:rsidR="000A4E11" w:rsidRDefault="000A4E11" w:rsidP="00A10950">
            <w:pPr>
              <w:rPr>
                <w:rFonts w:ascii="Times New Roman" w:hAnsi="Times New Roman" w:cs="Times New Roman"/>
                <w:sz w:val="24"/>
                <w:szCs w:val="24"/>
              </w:rPr>
            </w:pPr>
          </w:p>
          <w:p w:rsidR="00842528" w:rsidRPr="000E4599" w:rsidRDefault="00842528" w:rsidP="00A10950">
            <w:pPr>
              <w:rPr>
                <w:rFonts w:ascii="Times New Roman" w:hAnsi="Times New Roman" w:cs="Times New Roman"/>
                <w:sz w:val="24"/>
                <w:szCs w:val="24"/>
              </w:rPr>
            </w:pPr>
            <w:r w:rsidRPr="000E4599">
              <w:rPr>
                <w:rFonts w:ascii="Times New Roman" w:hAnsi="Times New Roman" w:cs="Times New Roman"/>
                <w:sz w:val="24"/>
                <w:szCs w:val="24"/>
              </w:rPr>
              <w:t>As above, although the impact on sustainability increases with the greater threshold</w:t>
            </w:r>
            <w:r w:rsidR="000A4E11">
              <w:rPr>
                <w:rFonts w:ascii="Times New Roman" w:hAnsi="Times New Roman" w:cs="Times New Roman"/>
                <w:sz w:val="24"/>
                <w:szCs w:val="24"/>
              </w:rPr>
              <w:t>.</w:t>
            </w:r>
          </w:p>
        </w:tc>
        <w:tc>
          <w:tcPr>
            <w:tcW w:w="3118" w:type="dxa"/>
          </w:tcPr>
          <w:p w:rsidR="00842528" w:rsidRPr="000E4599" w:rsidRDefault="00842528" w:rsidP="00A10950">
            <w:pPr>
              <w:rPr>
                <w:rFonts w:ascii="Times New Roman" w:hAnsi="Times New Roman" w:cs="Times New Roman"/>
                <w:sz w:val="24"/>
                <w:szCs w:val="24"/>
              </w:rPr>
            </w:pPr>
            <w:r w:rsidRPr="000E4599">
              <w:rPr>
                <w:rFonts w:ascii="Times New Roman" w:hAnsi="Times New Roman" w:cs="Times New Roman"/>
                <w:sz w:val="24"/>
                <w:szCs w:val="24"/>
              </w:rPr>
              <w:t xml:space="preserve">No impact </w:t>
            </w:r>
          </w:p>
        </w:tc>
      </w:tr>
      <w:tr w:rsidR="00842528" w:rsidRPr="000E4599" w:rsidTr="000A4E11">
        <w:tc>
          <w:tcPr>
            <w:tcW w:w="3120" w:type="dxa"/>
          </w:tcPr>
          <w:p w:rsidR="00842528" w:rsidRPr="00566803" w:rsidRDefault="00842528" w:rsidP="00A10950">
            <w:pPr>
              <w:rPr>
                <w:rFonts w:ascii="Times New Roman" w:hAnsi="Times New Roman" w:cs="Times New Roman"/>
                <w:sz w:val="24"/>
                <w:szCs w:val="24"/>
              </w:rPr>
            </w:pPr>
            <w:r w:rsidRPr="00566803">
              <w:rPr>
                <w:rFonts w:ascii="Times New Roman" w:hAnsi="Times New Roman" w:cs="Times New Roman"/>
                <w:sz w:val="24"/>
                <w:szCs w:val="24"/>
              </w:rPr>
              <w:t>4. Revenue percentage threshold</w:t>
            </w:r>
          </w:p>
        </w:tc>
        <w:tc>
          <w:tcPr>
            <w:tcW w:w="3118" w:type="dxa"/>
          </w:tcPr>
          <w:p w:rsidR="000A4E11" w:rsidRDefault="000A4E11" w:rsidP="00A10950">
            <w:pPr>
              <w:rPr>
                <w:rFonts w:ascii="Times New Roman" w:hAnsi="Times New Roman" w:cs="Times New Roman"/>
                <w:sz w:val="24"/>
                <w:szCs w:val="24"/>
              </w:rPr>
            </w:pPr>
            <w:r>
              <w:rPr>
                <w:rFonts w:ascii="Times New Roman" w:hAnsi="Times New Roman" w:cs="Times New Roman"/>
                <w:sz w:val="24"/>
                <w:szCs w:val="24"/>
              </w:rPr>
              <w:t>Not met</w:t>
            </w:r>
          </w:p>
          <w:p w:rsidR="000A4E11" w:rsidRDefault="000A4E11" w:rsidP="00A10950">
            <w:pPr>
              <w:rPr>
                <w:rFonts w:ascii="Times New Roman" w:hAnsi="Times New Roman" w:cs="Times New Roman"/>
                <w:sz w:val="24"/>
                <w:szCs w:val="24"/>
              </w:rPr>
            </w:pPr>
          </w:p>
          <w:p w:rsidR="00842528" w:rsidRPr="000E4599" w:rsidRDefault="00842528" w:rsidP="00325D6B">
            <w:pPr>
              <w:rPr>
                <w:rFonts w:ascii="Times New Roman" w:hAnsi="Times New Roman" w:cs="Times New Roman"/>
                <w:sz w:val="24"/>
                <w:szCs w:val="24"/>
              </w:rPr>
            </w:pPr>
            <w:r w:rsidRPr="000E4599">
              <w:rPr>
                <w:rFonts w:ascii="Times New Roman" w:hAnsi="Times New Roman" w:cs="Times New Roman"/>
                <w:sz w:val="24"/>
                <w:szCs w:val="24"/>
              </w:rPr>
              <w:t xml:space="preserve">Unfair </w:t>
            </w:r>
            <w:r w:rsidR="00325D6B">
              <w:rPr>
                <w:rFonts w:ascii="Times New Roman" w:hAnsi="Times New Roman" w:cs="Times New Roman"/>
                <w:sz w:val="24"/>
                <w:szCs w:val="24"/>
              </w:rPr>
              <w:t>as</w:t>
            </w:r>
            <w:r w:rsidRPr="000E4599">
              <w:rPr>
                <w:rFonts w:ascii="Times New Roman" w:hAnsi="Times New Roman" w:cs="Times New Roman"/>
                <w:sz w:val="24"/>
                <w:szCs w:val="24"/>
              </w:rPr>
              <w:t xml:space="preserve"> large taxpayers will be able to self-correct larger errors, but arguably fair given the relative significance of the error to the business</w:t>
            </w:r>
            <w:r w:rsidR="000A4E11">
              <w:rPr>
                <w:rFonts w:ascii="Times New Roman" w:hAnsi="Times New Roman" w:cs="Times New Roman"/>
                <w:sz w:val="24"/>
                <w:szCs w:val="24"/>
              </w:rPr>
              <w:t>.</w:t>
            </w:r>
          </w:p>
        </w:tc>
        <w:tc>
          <w:tcPr>
            <w:tcW w:w="3260" w:type="dxa"/>
          </w:tcPr>
          <w:p w:rsidR="000A4E11" w:rsidRDefault="000A4E11" w:rsidP="00A10950">
            <w:pPr>
              <w:rPr>
                <w:rFonts w:ascii="Times New Roman" w:hAnsi="Times New Roman" w:cs="Times New Roman"/>
                <w:sz w:val="24"/>
                <w:szCs w:val="24"/>
              </w:rPr>
            </w:pPr>
            <w:r>
              <w:rPr>
                <w:rFonts w:ascii="Times New Roman" w:hAnsi="Times New Roman" w:cs="Times New Roman"/>
                <w:sz w:val="24"/>
                <w:szCs w:val="24"/>
              </w:rPr>
              <w:t>Met</w:t>
            </w:r>
          </w:p>
          <w:p w:rsidR="000A4E11" w:rsidRDefault="000A4E11" w:rsidP="00A10950">
            <w:pPr>
              <w:rPr>
                <w:rFonts w:ascii="Times New Roman" w:hAnsi="Times New Roman" w:cs="Times New Roman"/>
                <w:sz w:val="24"/>
                <w:szCs w:val="24"/>
              </w:rPr>
            </w:pPr>
          </w:p>
          <w:p w:rsidR="00842528" w:rsidRPr="000E4599" w:rsidRDefault="00842528" w:rsidP="00A10950">
            <w:pPr>
              <w:rPr>
                <w:rFonts w:ascii="Times New Roman" w:hAnsi="Times New Roman" w:cs="Times New Roman"/>
                <w:sz w:val="24"/>
                <w:szCs w:val="24"/>
              </w:rPr>
            </w:pPr>
            <w:r w:rsidRPr="000E4599">
              <w:rPr>
                <w:rFonts w:ascii="Times New Roman" w:hAnsi="Times New Roman" w:cs="Times New Roman"/>
                <w:sz w:val="24"/>
                <w:szCs w:val="24"/>
              </w:rPr>
              <w:t>As above</w:t>
            </w:r>
            <w:r w:rsidR="004E4125">
              <w:rPr>
                <w:rFonts w:ascii="Times New Roman" w:hAnsi="Times New Roman" w:cs="Times New Roman"/>
                <w:sz w:val="24"/>
                <w:szCs w:val="24"/>
              </w:rPr>
              <w:t>.</w:t>
            </w:r>
          </w:p>
        </w:tc>
        <w:tc>
          <w:tcPr>
            <w:tcW w:w="3119" w:type="dxa"/>
          </w:tcPr>
          <w:p w:rsidR="000A4E11" w:rsidRDefault="004E4125" w:rsidP="00A10950">
            <w:pPr>
              <w:rPr>
                <w:rFonts w:ascii="Times New Roman" w:hAnsi="Times New Roman" w:cs="Times New Roman"/>
                <w:sz w:val="24"/>
                <w:szCs w:val="24"/>
              </w:rPr>
            </w:pPr>
            <w:r>
              <w:rPr>
                <w:rFonts w:ascii="Times New Roman" w:hAnsi="Times New Roman" w:cs="Times New Roman"/>
                <w:sz w:val="24"/>
                <w:szCs w:val="24"/>
              </w:rPr>
              <w:t>Partially m</w:t>
            </w:r>
            <w:r w:rsidR="000A4E11">
              <w:rPr>
                <w:rFonts w:ascii="Times New Roman" w:hAnsi="Times New Roman" w:cs="Times New Roman"/>
                <w:sz w:val="24"/>
                <w:szCs w:val="24"/>
              </w:rPr>
              <w:t>et</w:t>
            </w:r>
          </w:p>
          <w:p w:rsidR="000A4E11" w:rsidRDefault="000A4E11" w:rsidP="00A10950">
            <w:pPr>
              <w:rPr>
                <w:rFonts w:ascii="Times New Roman" w:hAnsi="Times New Roman" w:cs="Times New Roman"/>
                <w:sz w:val="24"/>
                <w:szCs w:val="24"/>
              </w:rPr>
            </w:pPr>
          </w:p>
          <w:p w:rsidR="00842528" w:rsidRPr="000E4599" w:rsidRDefault="00842528" w:rsidP="00A10950">
            <w:pPr>
              <w:rPr>
                <w:rFonts w:ascii="Times New Roman" w:hAnsi="Times New Roman" w:cs="Times New Roman"/>
                <w:sz w:val="24"/>
                <w:szCs w:val="24"/>
              </w:rPr>
            </w:pPr>
            <w:r w:rsidRPr="000E4599">
              <w:rPr>
                <w:rFonts w:ascii="Times New Roman" w:hAnsi="Times New Roman" w:cs="Times New Roman"/>
                <w:sz w:val="24"/>
                <w:szCs w:val="24"/>
              </w:rPr>
              <w:t>As above, except there could be a significant impact on sustainability for large taxpayers, as they could make significant tax adjustments without Inland Revenue oversight</w:t>
            </w:r>
            <w:r w:rsidR="000A4E11">
              <w:rPr>
                <w:rFonts w:ascii="Times New Roman" w:hAnsi="Times New Roman" w:cs="Times New Roman"/>
                <w:sz w:val="24"/>
                <w:szCs w:val="24"/>
              </w:rPr>
              <w:t>.</w:t>
            </w:r>
          </w:p>
        </w:tc>
        <w:tc>
          <w:tcPr>
            <w:tcW w:w="3118" w:type="dxa"/>
          </w:tcPr>
          <w:p w:rsidR="001B2E50" w:rsidRDefault="001B2E50" w:rsidP="00A10950">
            <w:pPr>
              <w:rPr>
                <w:rFonts w:ascii="Times New Roman" w:hAnsi="Times New Roman" w:cs="Times New Roman"/>
                <w:sz w:val="24"/>
                <w:szCs w:val="24"/>
              </w:rPr>
            </w:pPr>
            <w:r>
              <w:rPr>
                <w:rFonts w:ascii="Times New Roman" w:hAnsi="Times New Roman" w:cs="Times New Roman"/>
                <w:sz w:val="24"/>
                <w:szCs w:val="24"/>
              </w:rPr>
              <w:t>Measure may be abused</w:t>
            </w:r>
          </w:p>
          <w:p w:rsidR="001B2E50" w:rsidRDefault="001B2E50" w:rsidP="00A10950">
            <w:pPr>
              <w:rPr>
                <w:rFonts w:ascii="Times New Roman" w:hAnsi="Times New Roman" w:cs="Times New Roman"/>
                <w:sz w:val="24"/>
                <w:szCs w:val="24"/>
              </w:rPr>
            </w:pPr>
          </w:p>
          <w:p w:rsidR="00842528" w:rsidRPr="000E4599" w:rsidRDefault="00842528" w:rsidP="001B2E50">
            <w:pPr>
              <w:rPr>
                <w:rFonts w:ascii="Times New Roman" w:hAnsi="Times New Roman" w:cs="Times New Roman"/>
                <w:sz w:val="24"/>
                <w:szCs w:val="24"/>
              </w:rPr>
            </w:pPr>
            <w:r w:rsidRPr="000E4599">
              <w:rPr>
                <w:rFonts w:ascii="Times New Roman" w:hAnsi="Times New Roman" w:cs="Times New Roman"/>
                <w:sz w:val="24"/>
                <w:szCs w:val="24"/>
              </w:rPr>
              <w:t>There might be an impact if large taxpayers abuse the measure to defer income</w:t>
            </w:r>
            <w:r w:rsidR="001B2E50">
              <w:rPr>
                <w:rFonts w:ascii="Times New Roman" w:hAnsi="Times New Roman" w:cs="Times New Roman"/>
                <w:sz w:val="24"/>
                <w:szCs w:val="24"/>
              </w:rPr>
              <w:t>;</w:t>
            </w:r>
            <w:r w:rsidRPr="000E4599">
              <w:rPr>
                <w:rFonts w:ascii="Times New Roman" w:hAnsi="Times New Roman" w:cs="Times New Roman"/>
                <w:sz w:val="24"/>
                <w:szCs w:val="24"/>
              </w:rPr>
              <w:t xml:space="preserve"> however this is not possible to estimate.</w:t>
            </w:r>
          </w:p>
        </w:tc>
      </w:tr>
    </w:tbl>
    <w:p w:rsidR="00A65B46" w:rsidRPr="000E4599" w:rsidRDefault="00A65B46" w:rsidP="002A5ED9">
      <w:pPr>
        <w:spacing w:after="0" w:line="240" w:lineRule="auto"/>
        <w:jc w:val="both"/>
        <w:rPr>
          <w:rFonts w:ascii="Times New Roman" w:hAnsi="Times New Roman" w:cs="Times New Roman"/>
          <w:sz w:val="24"/>
          <w:szCs w:val="24"/>
        </w:rPr>
      </w:pPr>
    </w:p>
    <w:p w:rsidR="000A4E11" w:rsidRDefault="000A4E11" w:rsidP="002A5ED9">
      <w:pPr>
        <w:spacing w:after="0" w:line="240" w:lineRule="auto"/>
        <w:jc w:val="both"/>
        <w:rPr>
          <w:rFonts w:ascii="Times New Roman" w:hAnsi="Times New Roman" w:cs="Times New Roman"/>
          <w:sz w:val="24"/>
          <w:szCs w:val="24"/>
        </w:rPr>
        <w:sectPr w:rsidR="000A4E11" w:rsidSect="008D31DB">
          <w:pgSz w:w="16838" w:h="11906" w:orient="landscape"/>
          <w:pgMar w:top="1440" w:right="1440" w:bottom="1440" w:left="1440" w:header="708" w:footer="708" w:gutter="0"/>
          <w:cols w:space="708"/>
          <w:docGrid w:linePitch="360"/>
        </w:sectPr>
      </w:pPr>
    </w:p>
    <w:p w:rsidR="00D22583" w:rsidRDefault="00D22583" w:rsidP="002A5ED9">
      <w:pPr>
        <w:spacing w:after="0" w:line="240" w:lineRule="auto"/>
        <w:jc w:val="both"/>
        <w:rPr>
          <w:rFonts w:ascii="Times New Roman" w:hAnsi="Times New Roman" w:cs="Times New Roman"/>
          <w:sz w:val="24"/>
          <w:szCs w:val="24"/>
        </w:rPr>
      </w:pPr>
    </w:p>
    <w:p w:rsidR="00A65B46" w:rsidRPr="000E4599" w:rsidRDefault="00A65B46" w:rsidP="002A5ED9">
      <w:pPr>
        <w:spacing w:after="0" w:line="240" w:lineRule="auto"/>
        <w:jc w:val="both"/>
        <w:rPr>
          <w:rFonts w:ascii="Times New Roman" w:hAnsi="Times New Roman" w:cs="Times New Roman"/>
          <w:b/>
          <w:i/>
          <w:sz w:val="24"/>
          <w:szCs w:val="24"/>
        </w:rPr>
      </w:pPr>
      <w:r w:rsidRPr="000E4599">
        <w:rPr>
          <w:rFonts w:ascii="Times New Roman" w:hAnsi="Times New Roman" w:cs="Times New Roman"/>
          <w:b/>
          <w:i/>
          <w:sz w:val="24"/>
          <w:szCs w:val="24"/>
        </w:rPr>
        <w:t>Consultation</w:t>
      </w:r>
    </w:p>
    <w:p w:rsidR="0022632E" w:rsidRDefault="0022632E" w:rsidP="0022632E">
      <w:pPr>
        <w:spacing w:after="0" w:line="240" w:lineRule="auto"/>
        <w:jc w:val="both"/>
        <w:rPr>
          <w:rFonts w:ascii="Times New Roman" w:hAnsi="Times New Roman" w:cs="Times New Roman"/>
          <w:sz w:val="24"/>
          <w:szCs w:val="24"/>
        </w:rPr>
      </w:pPr>
    </w:p>
    <w:p w:rsidR="008C7711" w:rsidRDefault="008C7711" w:rsidP="008C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consulted on the proposal with </w:t>
      </w:r>
      <w:r w:rsidRPr="00350B5C">
        <w:rPr>
          <w:rFonts w:ascii="Times New Roman" w:hAnsi="Times New Roman" w:cs="Times New Roman"/>
          <w:sz w:val="24"/>
          <w:szCs w:val="24"/>
        </w:rPr>
        <w:t>Chartered Accountants of Australia and New Ze</w:t>
      </w:r>
      <w:r>
        <w:rPr>
          <w:rFonts w:ascii="Times New Roman" w:hAnsi="Times New Roman" w:cs="Times New Roman"/>
          <w:sz w:val="24"/>
          <w:szCs w:val="24"/>
        </w:rPr>
        <w:t>aland (</w:t>
      </w:r>
      <w:proofErr w:type="spellStart"/>
      <w:r>
        <w:rPr>
          <w:rFonts w:ascii="Times New Roman" w:hAnsi="Times New Roman" w:cs="Times New Roman"/>
          <w:sz w:val="24"/>
          <w:szCs w:val="24"/>
        </w:rPr>
        <w:t>CAANZ</w:t>
      </w:r>
      <w:proofErr w:type="spellEnd"/>
      <w:r>
        <w:rPr>
          <w:rFonts w:ascii="Times New Roman" w:hAnsi="Times New Roman" w:cs="Times New Roman"/>
          <w:sz w:val="24"/>
          <w:szCs w:val="24"/>
        </w:rPr>
        <w:t>), Corporate Taxpayer Group and</w:t>
      </w:r>
      <w:r w:rsidRPr="00350B5C">
        <w:rPr>
          <w:rFonts w:ascii="Times New Roman" w:hAnsi="Times New Roman" w:cs="Times New Roman"/>
          <w:sz w:val="24"/>
          <w:szCs w:val="24"/>
        </w:rPr>
        <w:t xml:space="preserve"> Business New Zealand</w:t>
      </w:r>
      <w:r>
        <w:rPr>
          <w:rFonts w:ascii="Times New Roman" w:hAnsi="Times New Roman" w:cs="Times New Roman"/>
          <w:sz w:val="24"/>
          <w:szCs w:val="24"/>
        </w:rPr>
        <w:t xml:space="preserve">. </w:t>
      </w:r>
      <w:proofErr w:type="spellStart"/>
      <w:r>
        <w:rPr>
          <w:rFonts w:ascii="Times New Roman" w:hAnsi="Times New Roman" w:cs="Times New Roman"/>
          <w:sz w:val="24"/>
          <w:szCs w:val="24"/>
        </w:rPr>
        <w:t>CAANZ</w:t>
      </w:r>
      <w:proofErr w:type="spellEnd"/>
      <w:r w:rsidRPr="00350B5C">
        <w:rPr>
          <w:rFonts w:ascii="Times New Roman" w:hAnsi="Times New Roman" w:cs="Times New Roman"/>
          <w:sz w:val="24"/>
          <w:szCs w:val="24"/>
        </w:rPr>
        <w:t xml:space="preserve"> and Business New Zealand</w:t>
      </w:r>
      <w:r>
        <w:rPr>
          <w:rFonts w:ascii="Times New Roman" w:hAnsi="Times New Roman" w:cs="Times New Roman"/>
          <w:sz w:val="24"/>
          <w:szCs w:val="24"/>
        </w:rPr>
        <w:t xml:space="preserve"> both supported an increase to the threshold, but considered it needed to be greater to benefit larger business. Corporate Taxpayer Group suggested setting the threshold as a percentage of tax or turnover while </w:t>
      </w:r>
      <w:proofErr w:type="spellStart"/>
      <w:r>
        <w:rPr>
          <w:rFonts w:ascii="Times New Roman" w:hAnsi="Times New Roman" w:cs="Times New Roman"/>
          <w:sz w:val="24"/>
          <w:szCs w:val="24"/>
        </w:rPr>
        <w:t>CAANZ</w:t>
      </w:r>
      <w:proofErr w:type="spellEnd"/>
      <w:r>
        <w:rPr>
          <w:rFonts w:ascii="Times New Roman" w:hAnsi="Times New Roman" w:cs="Times New Roman"/>
          <w:sz w:val="24"/>
          <w:szCs w:val="24"/>
        </w:rPr>
        <w:t xml:space="preserve"> suggested tiered thresholds based on turnover. Corporate Taxpayer Group also suggested including a requirement to notify Inland Revenue of any corrections made.</w:t>
      </w:r>
    </w:p>
    <w:p w:rsidR="0022632E" w:rsidRDefault="0022632E" w:rsidP="0022632E">
      <w:pPr>
        <w:spacing w:after="0" w:line="240" w:lineRule="auto"/>
        <w:jc w:val="both"/>
        <w:rPr>
          <w:rFonts w:ascii="Times New Roman" w:hAnsi="Times New Roman" w:cs="Times New Roman"/>
          <w:sz w:val="24"/>
          <w:szCs w:val="24"/>
        </w:rPr>
      </w:pPr>
    </w:p>
    <w:p w:rsidR="00A65B46" w:rsidRPr="000E4599" w:rsidRDefault="0022632E" w:rsidP="0022632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Officials considered this option (included as option 4 in the table </w:t>
      </w:r>
      <w:r w:rsidR="002960C6">
        <w:rPr>
          <w:rFonts w:ascii="Times New Roman" w:hAnsi="Times New Roman" w:cs="Times New Roman"/>
          <w:sz w:val="24"/>
          <w:szCs w:val="24"/>
        </w:rPr>
        <w:t>on the previous page</w:t>
      </w:r>
      <w:r>
        <w:rPr>
          <w:rFonts w:ascii="Times New Roman" w:hAnsi="Times New Roman" w:cs="Times New Roman"/>
          <w:sz w:val="24"/>
          <w:szCs w:val="24"/>
        </w:rPr>
        <w:t xml:space="preserve">), but do not recommend it. This is because it would have a </w:t>
      </w:r>
      <w:r w:rsidRPr="000E4599">
        <w:rPr>
          <w:rFonts w:ascii="Times New Roman" w:hAnsi="Times New Roman" w:cs="Times New Roman"/>
          <w:sz w:val="24"/>
          <w:szCs w:val="24"/>
        </w:rPr>
        <w:t xml:space="preserve">significant impact on sustainability for large taxpayers, as they could make significant tax adjustments without Inland Revenue </w:t>
      </w:r>
      <w:r>
        <w:rPr>
          <w:rFonts w:ascii="Times New Roman" w:hAnsi="Times New Roman" w:cs="Times New Roman"/>
          <w:sz w:val="24"/>
          <w:szCs w:val="24"/>
        </w:rPr>
        <w:t>agreement</w:t>
      </w:r>
      <w:r w:rsidR="001D283A">
        <w:rPr>
          <w:rFonts w:ascii="Times New Roman" w:hAnsi="Times New Roman" w:cs="Times New Roman"/>
          <w:sz w:val="24"/>
          <w:szCs w:val="24"/>
        </w:rPr>
        <w:t>.</w:t>
      </w:r>
    </w:p>
    <w:p w:rsidR="00A65B46" w:rsidRPr="000E4599" w:rsidRDefault="00A65B46" w:rsidP="002A5ED9">
      <w:pPr>
        <w:spacing w:after="0" w:line="240" w:lineRule="auto"/>
        <w:jc w:val="both"/>
        <w:rPr>
          <w:rFonts w:ascii="Times New Roman" w:hAnsi="Times New Roman" w:cs="Times New Roman"/>
          <w:sz w:val="24"/>
          <w:szCs w:val="24"/>
        </w:rPr>
      </w:pPr>
    </w:p>
    <w:p w:rsidR="00A65B46" w:rsidRPr="002D0AC2" w:rsidRDefault="0067183D" w:rsidP="002D0AC2">
      <w:pPr>
        <w:pStyle w:val="Heading3"/>
      </w:pPr>
      <w:bookmarkStart w:id="37" w:name="_Toc444145622"/>
      <w:r w:rsidRPr="002D0AC2">
        <w:t>R</w:t>
      </w:r>
      <w:r w:rsidR="00A65B46" w:rsidRPr="002D0AC2">
        <w:t>ecommendations</w:t>
      </w:r>
      <w:bookmarkEnd w:id="37"/>
    </w:p>
    <w:p w:rsidR="00A65B46" w:rsidRPr="000E4599" w:rsidRDefault="00A65B46" w:rsidP="002A5ED9">
      <w:pPr>
        <w:spacing w:after="0" w:line="240" w:lineRule="auto"/>
        <w:jc w:val="both"/>
        <w:rPr>
          <w:rFonts w:ascii="Times New Roman" w:hAnsi="Times New Roman" w:cs="Times New Roman"/>
          <w:sz w:val="24"/>
          <w:szCs w:val="24"/>
        </w:rPr>
      </w:pPr>
    </w:p>
    <w:p w:rsidR="00A65B46" w:rsidRPr="000E4599" w:rsidRDefault="00A65B46" w:rsidP="002A5ED9">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Officials recommend Option 2, as it </w:t>
      </w:r>
      <w:r w:rsidR="004E4125">
        <w:rPr>
          <w:rFonts w:ascii="Times New Roman" w:hAnsi="Times New Roman" w:cs="Times New Roman"/>
          <w:sz w:val="24"/>
          <w:szCs w:val="24"/>
        </w:rPr>
        <w:t>provides</w:t>
      </w:r>
      <w:r w:rsidR="004E4125" w:rsidRPr="000E4599">
        <w:rPr>
          <w:rFonts w:ascii="Times New Roman" w:hAnsi="Times New Roman" w:cs="Times New Roman"/>
          <w:sz w:val="24"/>
          <w:szCs w:val="24"/>
        </w:rPr>
        <w:t xml:space="preserve"> </w:t>
      </w:r>
      <w:r w:rsidRPr="000E4599">
        <w:rPr>
          <w:rFonts w:ascii="Times New Roman" w:hAnsi="Times New Roman" w:cs="Times New Roman"/>
          <w:sz w:val="24"/>
          <w:szCs w:val="24"/>
        </w:rPr>
        <w:t>the best balance between meeting the objectives</w:t>
      </w:r>
      <w:r w:rsidR="001D283A">
        <w:rPr>
          <w:rFonts w:ascii="Times New Roman" w:hAnsi="Times New Roman" w:cs="Times New Roman"/>
          <w:sz w:val="24"/>
          <w:szCs w:val="24"/>
        </w:rPr>
        <w:t xml:space="preserve"> of</w:t>
      </w:r>
      <w:r w:rsidRPr="000E4599">
        <w:rPr>
          <w:rFonts w:ascii="Times New Roman" w:hAnsi="Times New Roman" w:cs="Times New Roman"/>
          <w:sz w:val="24"/>
          <w:szCs w:val="24"/>
        </w:rPr>
        <w:t xml:space="preserve"> fairness and equity, efficiency of compliance and administration</w:t>
      </w:r>
      <w:r w:rsidR="00A32691">
        <w:rPr>
          <w:rFonts w:ascii="Times New Roman" w:hAnsi="Times New Roman" w:cs="Times New Roman"/>
          <w:sz w:val="24"/>
          <w:szCs w:val="24"/>
        </w:rPr>
        <w:t>,</w:t>
      </w:r>
      <w:r w:rsidRPr="000E4599">
        <w:rPr>
          <w:rFonts w:ascii="Times New Roman" w:hAnsi="Times New Roman" w:cs="Times New Roman"/>
          <w:sz w:val="24"/>
          <w:szCs w:val="24"/>
        </w:rPr>
        <w:t xml:space="preserve"> sustainability of the tax system</w:t>
      </w:r>
      <w:r w:rsidR="00A32691">
        <w:rPr>
          <w:rFonts w:ascii="Times New Roman" w:hAnsi="Times New Roman" w:cs="Times New Roman"/>
          <w:sz w:val="24"/>
          <w:szCs w:val="24"/>
        </w:rPr>
        <w:t xml:space="preserve"> and revenue</w:t>
      </w:r>
      <w:r w:rsidRPr="000E4599">
        <w:rPr>
          <w:rFonts w:ascii="Times New Roman" w:hAnsi="Times New Roman" w:cs="Times New Roman"/>
          <w:sz w:val="24"/>
          <w:szCs w:val="24"/>
        </w:rPr>
        <w:t>.</w:t>
      </w:r>
    </w:p>
    <w:p w:rsidR="00A65B46" w:rsidRPr="000E4599" w:rsidRDefault="00A65B46" w:rsidP="002A5ED9">
      <w:pPr>
        <w:spacing w:after="0" w:line="240" w:lineRule="auto"/>
        <w:jc w:val="both"/>
        <w:rPr>
          <w:rFonts w:ascii="Times New Roman" w:hAnsi="Times New Roman" w:cs="Times New Roman"/>
          <w:b/>
          <w:sz w:val="24"/>
          <w:szCs w:val="24"/>
        </w:rPr>
      </w:pPr>
    </w:p>
    <w:p w:rsidR="007B24CA" w:rsidRPr="000E4599" w:rsidRDefault="007B24CA" w:rsidP="002A5ED9">
      <w:pPr>
        <w:spacing w:after="0" w:line="240" w:lineRule="auto"/>
        <w:jc w:val="both"/>
        <w:rPr>
          <w:rFonts w:ascii="Times New Roman" w:hAnsi="Times New Roman" w:cs="Times New Roman"/>
          <w:b/>
          <w:sz w:val="24"/>
          <w:szCs w:val="24"/>
        </w:rPr>
      </w:pPr>
    </w:p>
    <w:p w:rsidR="00A65B46" w:rsidRPr="00842528" w:rsidRDefault="00043703" w:rsidP="002D0AC2">
      <w:pPr>
        <w:pStyle w:val="Heading2"/>
      </w:pPr>
      <w:bookmarkStart w:id="38" w:name="_Toc444145623"/>
      <w:r>
        <w:t xml:space="preserve">4 – </w:t>
      </w:r>
      <w:r w:rsidR="00A65B46" w:rsidRPr="00842528">
        <w:t xml:space="preserve">Remove the requirement to renew </w:t>
      </w:r>
      <w:proofErr w:type="spellStart"/>
      <w:r w:rsidR="00A65B46" w:rsidRPr="00842528">
        <w:t>RWT</w:t>
      </w:r>
      <w:proofErr w:type="spellEnd"/>
      <w:r w:rsidR="00A65B46" w:rsidRPr="00842528">
        <w:t xml:space="preserve"> exemption certificates annually</w:t>
      </w:r>
      <w:bookmarkEnd w:id="38"/>
    </w:p>
    <w:p w:rsidR="00A65B46" w:rsidRPr="000E4599" w:rsidRDefault="00A65B46" w:rsidP="002A5ED9">
      <w:pPr>
        <w:spacing w:after="0" w:line="240" w:lineRule="auto"/>
        <w:jc w:val="both"/>
        <w:rPr>
          <w:rFonts w:ascii="Times New Roman" w:hAnsi="Times New Roman" w:cs="Times New Roman"/>
          <w:b/>
          <w:sz w:val="24"/>
          <w:szCs w:val="24"/>
        </w:rPr>
      </w:pPr>
    </w:p>
    <w:p w:rsidR="00F14255" w:rsidRPr="00F14255" w:rsidRDefault="00F14255" w:rsidP="00F14255">
      <w:pPr>
        <w:spacing w:after="0" w:line="240" w:lineRule="auto"/>
        <w:jc w:val="both"/>
        <w:rPr>
          <w:rFonts w:ascii="Times New Roman" w:hAnsi="Times New Roman" w:cs="Times New Roman"/>
          <w:b/>
          <w:i/>
          <w:sz w:val="24"/>
          <w:szCs w:val="24"/>
        </w:rPr>
      </w:pPr>
      <w:r w:rsidRPr="00F14255">
        <w:rPr>
          <w:rFonts w:ascii="Times New Roman" w:hAnsi="Times New Roman" w:cs="Times New Roman"/>
          <w:b/>
          <w:i/>
          <w:sz w:val="24"/>
          <w:szCs w:val="24"/>
        </w:rPr>
        <w:t>Status quo and problem definition</w:t>
      </w:r>
    </w:p>
    <w:p w:rsidR="00A65B46" w:rsidRPr="000E4599" w:rsidRDefault="00A65B46" w:rsidP="002A5ED9">
      <w:pPr>
        <w:spacing w:after="0" w:line="240" w:lineRule="auto"/>
        <w:jc w:val="both"/>
        <w:rPr>
          <w:rFonts w:ascii="Times New Roman" w:hAnsi="Times New Roman" w:cs="Times New Roman"/>
          <w:sz w:val="24"/>
          <w:szCs w:val="24"/>
        </w:rPr>
      </w:pPr>
    </w:p>
    <w:p w:rsidR="00A65B46" w:rsidRPr="000E4599" w:rsidRDefault="00A65B46" w:rsidP="002A5ED9">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Currently some taxpayers who hold a certificate of exemption from </w:t>
      </w:r>
      <w:r w:rsidR="004E4125">
        <w:rPr>
          <w:rFonts w:ascii="Times New Roman" w:hAnsi="Times New Roman" w:cs="Times New Roman"/>
          <w:sz w:val="24"/>
          <w:szCs w:val="24"/>
        </w:rPr>
        <w:t>resident withholding tax (</w:t>
      </w:r>
      <w:proofErr w:type="spellStart"/>
      <w:r w:rsidRPr="000E4599">
        <w:rPr>
          <w:rFonts w:ascii="Times New Roman" w:hAnsi="Times New Roman" w:cs="Times New Roman"/>
          <w:sz w:val="24"/>
          <w:szCs w:val="24"/>
        </w:rPr>
        <w:t>RWT</w:t>
      </w:r>
      <w:proofErr w:type="spellEnd"/>
      <w:r w:rsidR="004E4125">
        <w:rPr>
          <w:rFonts w:ascii="Times New Roman" w:hAnsi="Times New Roman" w:cs="Times New Roman"/>
          <w:sz w:val="24"/>
          <w:szCs w:val="24"/>
        </w:rPr>
        <w:t>)</w:t>
      </w:r>
      <w:r w:rsidRPr="000E4599">
        <w:rPr>
          <w:rFonts w:ascii="Times New Roman" w:hAnsi="Times New Roman" w:cs="Times New Roman"/>
          <w:sz w:val="24"/>
          <w:szCs w:val="24"/>
        </w:rPr>
        <w:t xml:space="preserve"> must renew the certificate annually</w:t>
      </w:r>
      <w:r w:rsidR="001D283A">
        <w:rPr>
          <w:rFonts w:ascii="Times New Roman" w:hAnsi="Times New Roman" w:cs="Times New Roman"/>
          <w:sz w:val="24"/>
          <w:szCs w:val="24"/>
        </w:rPr>
        <w:t>.</w:t>
      </w:r>
      <w:r w:rsidRPr="000E4599">
        <w:rPr>
          <w:rStyle w:val="FootnoteReference"/>
          <w:rFonts w:ascii="Times New Roman" w:hAnsi="Times New Roman" w:cs="Times New Roman"/>
          <w:sz w:val="24"/>
          <w:szCs w:val="24"/>
        </w:rPr>
        <w:footnoteReference w:id="11"/>
      </w:r>
      <w:r w:rsidRPr="000E4599">
        <w:rPr>
          <w:rFonts w:ascii="Times New Roman" w:hAnsi="Times New Roman" w:cs="Times New Roman"/>
          <w:sz w:val="24"/>
          <w:szCs w:val="24"/>
        </w:rPr>
        <w:t xml:space="preserve"> Taxpayers have argued that this is creating relatively large compliance costs for those who are required to renew for relatively little value. It is also creating an administrative burden for Inland Revenue, as all the annual exemption certificates must be renewed at the same time each year.</w:t>
      </w:r>
    </w:p>
    <w:p w:rsidR="00305DA6" w:rsidRPr="00305DA6" w:rsidRDefault="00305DA6" w:rsidP="002A5ED9">
      <w:pPr>
        <w:pStyle w:val="ListParagraph"/>
        <w:spacing w:after="0" w:line="240" w:lineRule="auto"/>
        <w:ind w:left="0"/>
        <w:jc w:val="both"/>
        <w:rPr>
          <w:rFonts w:ascii="Times New Roman" w:hAnsi="Times New Roman" w:cs="Times New Roman"/>
          <w:sz w:val="24"/>
          <w:szCs w:val="24"/>
        </w:rPr>
      </w:pPr>
    </w:p>
    <w:p w:rsidR="00305DA6" w:rsidRPr="000E4599" w:rsidRDefault="00D54EC7" w:rsidP="002A5ED9">
      <w:pPr>
        <w:pStyle w:val="ListParagraph"/>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Options and a</w:t>
      </w:r>
      <w:r w:rsidR="00305DA6" w:rsidRPr="000E4599">
        <w:rPr>
          <w:rFonts w:ascii="Times New Roman" w:hAnsi="Times New Roman" w:cs="Times New Roman"/>
          <w:b/>
          <w:i/>
          <w:sz w:val="24"/>
          <w:szCs w:val="24"/>
        </w:rPr>
        <w:t>nalysis</w:t>
      </w:r>
    </w:p>
    <w:p w:rsidR="00A65B46" w:rsidRPr="000E4599" w:rsidRDefault="00A65B46" w:rsidP="002A5ED9">
      <w:pPr>
        <w:spacing w:after="0" w:line="240" w:lineRule="auto"/>
        <w:jc w:val="both"/>
        <w:rPr>
          <w:rFonts w:ascii="Times New Roman" w:hAnsi="Times New Roman" w:cs="Times New Roman"/>
          <w:sz w:val="24"/>
          <w:szCs w:val="24"/>
        </w:rPr>
      </w:pPr>
    </w:p>
    <w:p w:rsidR="008F6668" w:rsidRPr="000E4599" w:rsidRDefault="008F6668" w:rsidP="008F6668">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The following </w:t>
      </w:r>
      <w:r>
        <w:rPr>
          <w:rFonts w:ascii="Times New Roman" w:hAnsi="Times New Roman" w:cs="Times New Roman"/>
          <w:sz w:val="24"/>
          <w:szCs w:val="24"/>
        </w:rPr>
        <w:t xml:space="preserve">two </w:t>
      </w:r>
      <w:r w:rsidRPr="000E4599">
        <w:rPr>
          <w:rFonts w:ascii="Times New Roman" w:hAnsi="Times New Roman" w:cs="Times New Roman"/>
          <w:sz w:val="24"/>
          <w:szCs w:val="24"/>
        </w:rPr>
        <w:t>options</w:t>
      </w:r>
      <w:r>
        <w:rPr>
          <w:rFonts w:ascii="Times New Roman" w:hAnsi="Times New Roman" w:cs="Times New Roman"/>
          <w:sz w:val="24"/>
          <w:szCs w:val="24"/>
        </w:rPr>
        <w:t>,</w:t>
      </w:r>
      <w:r w:rsidRPr="000E4599">
        <w:rPr>
          <w:rFonts w:ascii="Times New Roman" w:hAnsi="Times New Roman" w:cs="Times New Roman"/>
          <w:sz w:val="24"/>
          <w:szCs w:val="24"/>
        </w:rPr>
        <w:t xml:space="preserve"> </w:t>
      </w:r>
      <w:r>
        <w:rPr>
          <w:rFonts w:ascii="Times New Roman" w:hAnsi="Times New Roman" w:cs="Times New Roman"/>
          <w:sz w:val="24"/>
          <w:szCs w:val="24"/>
        </w:rPr>
        <w:t>plus the status quo,</w:t>
      </w:r>
      <w:r w:rsidRPr="000E4599">
        <w:rPr>
          <w:rFonts w:ascii="Times New Roman" w:hAnsi="Times New Roman" w:cs="Times New Roman"/>
          <w:sz w:val="24"/>
          <w:szCs w:val="24"/>
        </w:rPr>
        <w:t xml:space="preserve"> have been considered for addressing this </w:t>
      </w:r>
      <w:r>
        <w:rPr>
          <w:rFonts w:ascii="Times New Roman" w:hAnsi="Times New Roman" w:cs="Times New Roman"/>
          <w:sz w:val="24"/>
          <w:szCs w:val="24"/>
        </w:rPr>
        <w:t>issue</w:t>
      </w:r>
      <w:r w:rsidRPr="000E4599">
        <w:rPr>
          <w:rFonts w:ascii="Times New Roman" w:hAnsi="Times New Roman" w:cs="Times New Roman"/>
          <w:sz w:val="24"/>
          <w:szCs w:val="24"/>
        </w:rPr>
        <w:t>.</w:t>
      </w:r>
    </w:p>
    <w:p w:rsidR="00A65B46" w:rsidRPr="000E4599" w:rsidRDefault="00A65B46" w:rsidP="002A5ED9">
      <w:pPr>
        <w:spacing w:after="0" w:line="240" w:lineRule="auto"/>
        <w:jc w:val="both"/>
        <w:rPr>
          <w:rFonts w:ascii="Times New Roman" w:hAnsi="Times New Roman" w:cs="Times New Roman"/>
          <w:sz w:val="24"/>
          <w:szCs w:val="24"/>
        </w:rPr>
      </w:pPr>
    </w:p>
    <w:p w:rsidR="00A65B46" w:rsidRPr="00D54EC7" w:rsidRDefault="00D54EC7" w:rsidP="002A5ED9">
      <w:pPr>
        <w:spacing w:after="0" w:line="240" w:lineRule="auto"/>
        <w:jc w:val="both"/>
        <w:rPr>
          <w:rFonts w:ascii="Times New Roman" w:hAnsi="Times New Roman" w:cs="Times New Roman"/>
          <w:sz w:val="24"/>
          <w:szCs w:val="24"/>
        </w:rPr>
      </w:pPr>
      <w:r w:rsidRPr="00D54EC7">
        <w:rPr>
          <w:rFonts w:ascii="Times New Roman" w:hAnsi="Times New Roman" w:cs="Times New Roman"/>
          <w:sz w:val="24"/>
          <w:szCs w:val="24"/>
        </w:rPr>
        <w:t xml:space="preserve">The first option is to </w:t>
      </w:r>
      <w:r w:rsidR="00305DA6" w:rsidRPr="00D54EC7">
        <w:rPr>
          <w:rFonts w:ascii="Times New Roman" w:hAnsi="Times New Roman" w:cs="Times New Roman"/>
          <w:sz w:val="24"/>
          <w:szCs w:val="24"/>
        </w:rPr>
        <w:t xml:space="preserve">retain the </w:t>
      </w:r>
      <w:r w:rsidR="00A65B46" w:rsidRPr="00D54EC7">
        <w:rPr>
          <w:rFonts w:ascii="Times New Roman" w:hAnsi="Times New Roman" w:cs="Times New Roman"/>
          <w:sz w:val="24"/>
          <w:szCs w:val="24"/>
        </w:rPr>
        <w:t>status quo</w:t>
      </w:r>
      <w:r w:rsidR="007B24CA" w:rsidRPr="00D54EC7">
        <w:rPr>
          <w:rFonts w:ascii="Times New Roman" w:hAnsi="Times New Roman" w:cs="Times New Roman"/>
          <w:sz w:val="24"/>
          <w:szCs w:val="24"/>
        </w:rPr>
        <w:t>.</w:t>
      </w:r>
    </w:p>
    <w:p w:rsidR="00A65B46" w:rsidRPr="000E4599" w:rsidRDefault="00A65B46" w:rsidP="002A5ED9">
      <w:pPr>
        <w:spacing w:after="0" w:line="240" w:lineRule="auto"/>
        <w:jc w:val="both"/>
        <w:rPr>
          <w:rFonts w:ascii="Times New Roman" w:hAnsi="Times New Roman" w:cs="Times New Roman"/>
          <w:sz w:val="24"/>
          <w:szCs w:val="24"/>
        </w:rPr>
      </w:pPr>
    </w:p>
    <w:p w:rsidR="001D283A" w:rsidRPr="008D31DB" w:rsidRDefault="001D283A" w:rsidP="002A5ED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Option 2 – Issue certificate for an unlimited period</w:t>
      </w:r>
    </w:p>
    <w:p w:rsidR="001D283A" w:rsidRDefault="001D283A" w:rsidP="002A5ED9">
      <w:pPr>
        <w:spacing w:after="0" w:line="240" w:lineRule="auto"/>
        <w:jc w:val="both"/>
        <w:rPr>
          <w:rFonts w:ascii="Times New Roman" w:hAnsi="Times New Roman" w:cs="Times New Roman"/>
          <w:sz w:val="24"/>
          <w:szCs w:val="24"/>
        </w:rPr>
      </w:pPr>
    </w:p>
    <w:p w:rsidR="00A65B46" w:rsidRPr="000E4599" w:rsidRDefault="00A65B46" w:rsidP="002A5ED9">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This </w:t>
      </w:r>
      <w:r w:rsidR="001D283A">
        <w:rPr>
          <w:rFonts w:ascii="Times New Roman" w:hAnsi="Times New Roman" w:cs="Times New Roman"/>
          <w:sz w:val="24"/>
          <w:szCs w:val="24"/>
        </w:rPr>
        <w:t xml:space="preserve">option </w:t>
      </w:r>
      <w:r w:rsidRPr="000E4599">
        <w:rPr>
          <w:rFonts w:ascii="Times New Roman" w:hAnsi="Times New Roman" w:cs="Times New Roman"/>
          <w:sz w:val="24"/>
          <w:szCs w:val="24"/>
        </w:rPr>
        <w:t>would apply for all the available grounds of exemption, except for the taxpayer income estimation option. Inland Revenue would have the discretion to issue exemption certificates for a shorter period in exceptional circumstances.</w:t>
      </w:r>
    </w:p>
    <w:p w:rsidR="00A65B46" w:rsidRPr="000E4599" w:rsidRDefault="00A65B46" w:rsidP="002A5ED9">
      <w:pPr>
        <w:spacing w:after="0" w:line="240" w:lineRule="auto"/>
        <w:jc w:val="both"/>
        <w:rPr>
          <w:rFonts w:ascii="Times New Roman" w:hAnsi="Times New Roman" w:cs="Times New Roman"/>
          <w:sz w:val="24"/>
          <w:szCs w:val="24"/>
        </w:rPr>
      </w:pPr>
    </w:p>
    <w:p w:rsidR="00A65B46" w:rsidRPr="000E4599" w:rsidRDefault="00A65B46" w:rsidP="002A5ED9">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There is an integrity concern that a taxpayer might no longer be eligible for an </w:t>
      </w:r>
      <w:proofErr w:type="spellStart"/>
      <w:r w:rsidRPr="000E4599">
        <w:rPr>
          <w:rFonts w:ascii="Times New Roman" w:hAnsi="Times New Roman" w:cs="Times New Roman"/>
          <w:sz w:val="24"/>
          <w:szCs w:val="24"/>
        </w:rPr>
        <w:t>RWT</w:t>
      </w:r>
      <w:proofErr w:type="spellEnd"/>
      <w:r w:rsidRPr="000E4599">
        <w:rPr>
          <w:rFonts w:ascii="Times New Roman" w:hAnsi="Times New Roman" w:cs="Times New Roman"/>
          <w:sz w:val="24"/>
          <w:szCs w:val="24"/>
        </w:rPr>
        <w:t xml:space="preserve"> certificate, but because they are not required to renew this is not known to Inland Revenue. We consider that this can be adequately mitigated by including a simple “tick the box” declaration on a taxpayer’s tax return. This would require the taxpayer to confirm that they are still eligible to hold their exemption certificate on the basis on which it was granted.  </w:t>
      </w:r>
    </w:p>
    <w:p w:rsidR="00A65B46" w:rsidRPr="000E4599" w:rsidRDefault="00A65B46" w:rsidP="002A5ED9">
      <w:pPr>
        <w:spacing w:after="0" w:line="240" w:lineRule="auto"/>
        <w:jc w:val="both"/>
        <w:rPr>
          <w:rFonts w:ascii="Times New Roman" w:hAnsi="Times New Roman" w:cs="Times New Roman"/>
          <w:sz w:val="24"/>
          <w:szCs w:val="24"/>
        </w:rPr>
      </w:pPr>
    </w:p>
    <w:p w:rsidR="00A65B46" w:rsidRPr="000E4599" w:rsidRDefault="00A65B46" w:rsidP="002A5ED9">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Taxpayers will still be required to surrender their exemption certificates when they fail to meet the basis for eligibility on which they were granted. Inland Revenue will also retain its ability to cancel an exemption certificate.  </w:t>
      </w:r>
    </w:p>
    <w:p w:rsidR="00DE7EAF" w:rsidRPr="000E4599" w:rsidRDefault="00DE7EAF" w:rsidP="002A5ED9">
      <w:pPr>
        <w:spacing w:after="0" w:line="240" w:lineRule="auto"/>
        <w:jc w:val="both"/>
        <w:rPr>
          <w:rFonts w:ascii="Times New Roman" w:hAnsi="Times New Roman" w:cs="Times New Roman"/>
          <w:sz w:val="24"/>
          <w:szCs w:val="24"/>
        </w:rPr>
      </w:pPr>
    </w:p>
    <w:p w:rsidR="00B55478" w:rsidRPr="008D31DB" w:rsidRDefault="001D283A" w:rsidP="002A5ED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Option 3 – Issue certificate for a period greater than a year</w:t>
      </w:r>
    </w:p>
    <w:p w:rsidR="001D283A" w:rsidRPr="000E4599" w:rsidRDefault="001D283A" w:rsidP="002A5ED9">
      <w:pPr>
        <w:spacing w:after="0" w:line="240" w:lineRule="auto"/>
        <w:jc w:val="both"/>
        <w:rPr>
          <w:rFonts w:ascii="Times New Roman" w:hAnsi="Times New Roman" w:cs="Times New Roman"/>
          <w:sz w:val="24"/>
          <w:szCs w:val="24"/>
        </w:rPr>
      </w:pPr>
    </w:p>
    <w:p w:rsidR="00A65B46" w:rsidRPr="000E4599" w:rsidRDefault="00DE7EAF" w:rsidP="002A5ED9">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This</w:t>
      </w:r>
      <w:r w:rsidR="001D283A">
        <w:rPr>
          <w:rFonts w:ascii="Times New Roman" w:hAnsi="Times New Roman" w:cs="Times New Roman"/>
          <w:sz w:val="24"/>
          <w:szCs w:val="24"/>
        </w:rPr>
        <w:t xml:space="preserve"> option</w:t>
      </w:r>
      <w:r w:rsidRPr="000E4599">
        <w:rPr>
          <w:rFonts w:ascii="Times New Roman" w:hAnsi="Times New Roman" w:cs="Times New Roman"/>
          <w:sz w:val="24"/>
          <w:szCs w:val="24"/>
        </w:rPr>
        <w:t xml:space="preserve"> would ensure that taxpayers did not indefinitely retain exemption certificates they were </w:t>
      </w:r>
      <w:r w:rsidR="00305DA6">
        <w:rPr>
          <w:rFonts w:ascii="Times New Roman" w:hAnsi="Times New Roman" w:cs="Times New Roman"/>
          <w:sz w:val="24"/>
          <w:szCs w:val="24"/>
        </w:rPr>
        <w:t>no longer entitled to. However, a</w:t>
      </w:r>
      <w:r w:rsidRPr="000E4599">
        <w:rPr>
          <w:rFonts w:ascii="Times New Roman" w:hAnsi="Times New Roman" w:cs="Times New Roman"/>
          <w:sz w:val="24"/>
          <w:szCs w:val="24"/>
        </w:rPr>
        <w:t xml:space="preserve"> large number of exemption certificates are currently issued for an unlimited period (e</w:t>
      </w:r>
      <w:r w:rsidR="001D283A">
        <w:rPr>
          <w:rFonts w:ascii="Times New Roman" w:hAnsi="Times New Roman" w:cs="Times New Roman"/>
          <w:sz w:val="24"/>
          <w:szCs w:val="24"/>
        </w:rPr>
        <w:t>.</w:t>
      </w:r>
      <w:r w:rsidRPr="000E4599">
        <w:rPr>
          <w:rFonts w:ascii="Times New Roman" w:hAnsi="Times New Roman" w:cs="Times New Roman"/>
          <w:sz w:val="24"/>
          <w:szCs w:val="24"/>
        </w:rPr>
        <w:t>g</w:t>
      </w:r>
      <w:r w:rsidR="001D283A">
        <w:rPr>
          <w:rFonts w:ascii="Times New Roman" w:hAnsi="Times New Roman" w:cs="Times New Roman"/>
          <w:sz w:val="24"/>
          <w:szCs w:val="24"/>
        </w:rPr>
        <w:t>.</w:t>
      </w:r>
      <w:r w:rsidRPr="000E4599">
        <w:rPr>
          <w:rFonts w:ascii="Times New Roman" w:hAnsi="Times New Roman" w:cs="Times New Roman"/>
          <w:sz w:val="24"/>
          <w:szCs w:val="24"/>
        </w:rPr>
        <w:t xml:space="preserve"> to charities, banks and entities with annual gross income over $2</w:t>
      </w:r>
      <w:r w:rsidR="00AF4FE3">
        <w:rPr>
          <w:rFonts w:ascii="Times New Roman" w:hAnsi="Times New Roman" w:cs="Times New Roman"/>
          <w:sz w:val="24"/>
          <w:szCs w:val="24"/>
        </w:rPr>
        <w:t xml:space="preserve"> </w:t>
      </w:r>
      <w:r w:rsidRPr="000E4599">
        <w:rPr>
          <w:rFonts w:ascii="Times New Roman" w:hAnsi="Times New Roman" w:cs="Times New Roman"/>
          <w:sz w:val="24"/>
          <w:szCs w:val="24"/>
        </w:rPr>
        <w:t>m</w:t>
      </w:r>
      <w:r w:rsidR="00AF4FE3">
        <w:rPr>
          <w:rFonts w:ascii="Times New Roman" w:hAnsi="Times New Roman" w:cs="Times New Roman"/>
          <w:sz w:val="24"/>
          <w:szCs w:val="24"/>
        </w:rPr>
        <w:t>illion</w:t>
      </w:r>
      <w:r w:rsidRPr="000E4599">
        <w:rPr>
          <w:rFonts w:ascii="Times New Roman" w:hAnsi="Times New Roman" w:cs="Times New Roman"/>
          <w:sz w:val="24"/>
          <w:szCs w:val="24"/>
        </w:rPr>
        <w:t xml:space="preserve">) and </w:t>
      </w:r>
      <w:r w:rsidR="00305DA6">
        <w:rPr>
          <w:rFonts w:ascii="Times New Roman" w:hAnsi="Times New Roman" w:cs="Times New Roman"/>
          <w:sz w:val="24"/>
          <w:szCs w:val="24"/>
        </w:rPr>
        <w:t>this option wo</w:t>
      </w:r>
      <w:r w:rsidR="008C7711">
        <w:rPr>
          <w:rFonts w:ascii="Times New Roman" w:hAnsi="Times New Roman" w:cs="Times New Roman"/>
          <w:sz w:val="24"/>
          <w:szCs w:val="24"/>
        </w:rPr>
        <w:t>uld not</w:t>
      </w:r>
      <w:r w:rsidR="00305DA6">
        <w:rPr>
          <w:rFonts w:ascii="Times New Roman" w:hAnsi="Times New Roman" w:cs="Times New Roman"/>
          <w:sz w:val="24"/>
          <w:szCs w:val="24"/>
        </w:rPr>
        <w:t xml:space="preserve"> change this practice. Also a</w:t>
      </w:r>
      <w:r w:rsidRPr="000E4599">
        <w:rPr>
          <w:rFonts w:ascii="Times New Roman" w:hAnsi="Times New Roman" w:cs="Times New Roman"/>
          <w:sz w:val="24"/>
          <w:szCs w:val="24"/>
        </w:rPr>
        <w:t xml:space="preserve"> fixed period would still impose a level of compliance obligation in having to periodica</w:t>
      </w:r>
      <w:r w:rsidR="00305DA6">
        <w:rPr>
          <w:rFonts w:ascii="Times New Roman" w:hAnsi="Times New Roman" w:cs="Times New Roman"/>
          <w:sz w:val="24"/>
          <w:szCs w:val="24"/>
        </w:rPr>
        <w:t>lly reapply for the certificate.</w:t>
      </w:r>
    </w:p>
    <w:p w:rsidR="00B55478" w:rsidRPr="000E4599" w:rsidRDefault="00B55478" w:rsidP="00B55478">
      <w:pPr>
        <w:spacing w:after="0" w:line="240" w:lineRule="auto"/>
        <w:ind w:left="709" w:hanging="709"/>
        <w:jc w:val="both"/>
        <w:rPr>
          <w:rFonts w:ascii="Times New Roman" w:hAnsi="Times New Roman" w:cs="Times New Roman"/>
          <w:sz w:val="24"/>
          <w:szCs w:val="24"/>
        </w:rPr>
      </w:pPr>
    </w:p>
    <w:p w:rsidR="00A65B46" w:rsidRDefault="00A65B46" w:rsidP="00A65B46">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Officials’ analysis of the options is set out in the table </w:t>
      </w:r>
      <w:r w:rsidR="002960C6">
        <w:rPr>
          <w:rFonts w:ascii="Times New Roman" w:hAnsi="Times New Roman" w:cs="Times New Roman"/>
          <w:sz w:val="24"/>
          <w:szCs w:val="24"/>
        </w:rPr>
        <w:t>on the next page</w:t>
      </w:r>
      <w:r w:rsidRPr="000E4599">
        <w:rPr>
          <w:rFonts w:ascii="Times New Roman" w:hAnsi="Times New Roman" w:cs="Times New Roman"/>
          <w:sz w:val="24"/>
          <w:szCs w:val="24"/>
        </w:rPr>
        <w:t>.</w:t>
      </w:r>
    </w:p>
    <w:p w:rsidR="001D283A" w:rsidRDefault="001D283A" w:rsidP="00A65B46">
      <w:pPr>
        <w:spacing w:after="0" w:line="240" w:lineRule="auto"/>
        <w:jc w:val="both"/>
        <w:rPr>
          <w:rFonts w:ascii="Times New Roman" w:hAnsi="Times New Roman" w:cs="Times New Roman"/>
          <w:sz w:val="24"/>
          <w:szCs w:val="24"/>
        </w:rPr>
        <w:sectPr w:rsidR="001D283A">
          <w:pgSz w:w="11906" w:h="16838"/>
          <w:pgMar w:top="1440" w:right="1440" w:bottom="1440" w:left="1440" w:header="708" w:footer="708" w:gutter="0"/>
          <w:cols w:space="708"/>
          <w:docGrid w:linePitch="360"/>
        </w:sectPr>
      </w:pPr>
    </w:p>
    <w:p w:rsidR="00A65B46" w:rsidRPr="000E4599" w:rsidRDefault="00A65B46" w:rsidP="00A65B46">
      <w:pPr>
        <w:spacing w:after="0" w:line="240" w:lineRule="auto"/>
        <w:jc w:val="both"/>
        <w:rPr>
          <w:rFonts w:ascii="Times New Roman" w:hAnsi="Times New Roman" w:cs="Times New Roman"/>
          <w:sz w:val="24"/>
          <w:szCs w:val="24"/>
        </w:rPr>
      </w:pPr>
    </w:p>
    <w:tbl>
      <w:tblPr>
        <w:tblStyle w:val="TableGrid"/>
        <w:tblW w:w="15735" w:type="dxa"/>
        <w:tblInd w:w="-885" w:type="dxa"/>
        <w:tblLook w:val="04A0" w:firstRow="1" w:lastRow="0" w:firstColumn="1" w:lastColumn="0" w:noHBand="0" w:noVBand="1"/>
      </w:tblPr>
      <w:tblGrid>
        <w:gridCol w:w="3120"/>
        <w:gridCol w:w="3118"/>
        <w:gridCol w:w="3260"/>
        <w:gridCol w:w="3119"/>
        <w:gridCol w:w="3118"/>
      </w:tblGrid>
      <w:tr w:rsidR="00AB3392" w:rsidRPr="000E4599" w:rsidTr="001D283A">
        <w:tc>
          <w:tcPr>
            <w:tcW w:w="3120" w:type="dxa"/>
          </w:tcPr>
          <w:p w:rsidR="00AB3392" w:rsidRPr="000E4599" w:rsidRDefault="00AB3392" w:rsidP="00A10950">
            <w:pPr>
              <w:rPr>
                <w:rFonts w:ascii="Times New Roman" w:hAnsi="Times New Roman" w:cs="Times New Roman"/>
                <w:b/>
                <w:sz w:val="24"/>
                <w:szCs w:val="24"/>
              </w:rPr>
            </w:pPr>
            <w:r w:rsidRPr="000E4599">
              <w:rPr>
                <w:rFonts w:ascii="Times New Roman" w:hAnsi="Times New Roman" w:cs="Times New Roman"/>
                <w:b/>
                <w:sz w:val="24"/>
                <w:szCs w:val="24"/>
              </w:rPr>
              <w:t>Options</w:t>
            </w:r>
          </w:p>
        </w:tc>
        <w:tc>
          <w:tcPr>
            <w:tcW w:w="3118" w:type="dxa"/>
          </w:tcPr>
          <w:p w:rsidR="00AB3392" w:rsidRPr="000E4599" w:rsidRDefault="00AB3392" w:rsidP="00A10950">
            <w:pPr>
              <w:rPr>
                <w:rFonts w:ascii="Times New Roman" w:hAnsi="Times New Roman" w:cs="Times New Roman"/>
                <w:b/>
                <w:sz w:val="24"/>
                <w:szCs w:val="24"/>
              </w:rPr>
            </w:pPr>
            <w:r w:rsidRPr="000E4599">
              <w:rPr>
                <w:rFonts w:ascii="Times New Roman" w:hAnsi="Times New Roman" w:cs="Times New Roman"/>
                <w:b/>
                <w:sz w:val="24"/>
                <w:szCs w:val="24"/>
              </w:rPr>
              <w:t>Fairness and equity</w:t>
            </w:r>
          </w:p>
        </w:tc>
        <w:tc>
          <w:tcPr>
            <w:tcW w:w="3260" w:type="dxa"/>
          </w:tcPr>
          <w:p w:rsidR="00AB3392" w:rsidRPr="000E4599" w:rsidRDefault="00AB3392" w:rsidP="00062EA1">
            <w:pPr>
              <w:rPr>
                <w:rFonts w:ascii="Times New Roman" w:hAnsi="Times New Roman" w:cs="Times New Roman"/>
                <w:b/>
                <w:sz w:val="24"/>
                <w:szCs w:val="24"/>
              </w:rPr>
            </w:pPr>
            <w:r w:rsidRPr="000E4599">
              <w:rPr>
                <w:rFonts w:ascii="Times New Roman" w:hAnsi="Times New Roman" w:cs="Times New Roman"/>
                <w:b/>
                <w:sz w:val="24"/>
                <w:szCs w:val="24"/>
              </w:rPr>
              <w:t xml:space="preserve">Efficiency of compliance and administration </w:t>
            </w:r>
          </w:p>
        </w:tc>
        <w:tc>
          <w:tcPr>
            <w:tcW w:w="3119" w:type="dxa"/>
          </w:tcPr>
          <w:p w:rsidR="00AB3392" w:rsidRPr="000E4599" w:rsidRDefault="00AB3392" w:rsidP="00A10950">
            <w:pPr>
              <w:rPr>
                <w:rFonts w:ascii="Times New Roman" w:hAnsi="Times New Roman" w:cs="Times New Roman"/>
                <w:b/>
                <w:sz w:val="24"/>
                <w:szCs w:val="24"/>
              </w:rPr>
            </w:pPr>
            <w:r w:rsidRPr="000E4599">
              <w:rPr>
                <w:rFonts w:ascii="Times New Roman" w:hAnsi="Times New Roman" w:cs="Times New Roman"/>
                <w:b/>
                <w:sz w:val="24"/>
                <w:szCs w:val="24"/>
              </w:rPr>
              <w:t>Sustainability of tax system</w:t>
            </w:r>
          </w:p>
        </w:tc>
        <w:tc>
          <w:tcPr>
            <w:tcW w:w="3118" w:type="dxa"/>
          </w:tcPr>
          <w:p w:rsidR="00AB3392" w:rsidRPr="000E4599" w:rsidRDefault="00AB3392" w:rsidP="00A10950">
            <w:pPr>
              <w:rPr>
                <w:rFonts w:ascii="Times New Roman" w:hAnsi="Times New Roman" w:cs="Times New Roman"/>
                <w:b/>
                <w:sz w:val="24"/>
                <w:szCs w:val="24"/>
              </w:rPr>
            </w:pPr>
            <w:r w:rsidRPr="000E4599">
              <w:rPr>
                <w:rFonts w:ascii="Times New Roman" w:hAnsi="Times New Roman" w:cs="Times New Roman"/>
                <w:b/>
                <w:sz w:val="24"/>
                <w:szCs w:val="24"/>
              </w:rPr>
              <w:t>Revenue</w:t>
            </w:r>
          </w:p>
        </w:tc>
      </w:tr>
      <w:tr w:rsidR="00AB3392" w:rsidRPr="000E4599" w:rsidTr="001D283A">
        <w:tc>
          <w:tcPr>
            <w:tcW w:w="3120" w:type="dxa"/>
          </w:tcPr>
          <w:p w:rsidR="00AB3392" w:rsidRPr="00566803" w:rsidRDefault="00AB3392" w:rsidP="00AB3392">
            <w:pPr>
              <w:rPr>
                <w:rFonts w:ascii="Times New Roman" w:hAnsi="Times New Roman" w:cs="Times New Roman"/>
                <w:sz w:val="24"/>
                <w:szCs w:val="24"/>
              </w:rPr>
            </w:pPr>
            <w:r w:rsidRPr="00566803">
              <w:rPr>
                <w:rFonts w:ascii="Times New Roman" w:hAnsi="Times New Roman" w:cs="Times New Roman"/>
                <w:sz w:val="24"/>
                <w:szCs w:val="24"/>
              </w:rPr>
              <w:t>1. Retain the status quo</w:t>
            </w:r>
          </w:p>
        </w:tc>
        <w:tc>
          <w:tcPr>
            <w:tcW w:w="3118" w:type="dxa"/>
          </w:tcPr>
          <w:p w:rsidR="00AB3392" w:rsidRPr="000E4599" w:rsidRDefault="001D283A" w:rsidP="00A10950">
            <w:pPr>
              <w:rPr>
                <w:rFonts w:ascii="Times New Roman" w:hAnsi="Times New Roman" w:cs="Times New Roman"/>
                <w:sz w:val="24"/>
                <w:szCs w:val="24"/>
              </w:rPr>
            </w:pPr>
            <w:r>
              <w:rPr>
                <w:rFonts w:ascii="Times New Roman" w:hAnsi="Times New Roman" w:cs="Times New Roman"/>
                <w:sz w:val="24"/>
                <w:szCs w:val="24"/>
              </w:rPr>
              <w:t>Met</w:t>
            </w:r>
          </w:p>
        </w:tc>
        <w:tc>
          <w:tcPr>
            <w:tcW w:w="3260" w:type="dxa"/>
          </w:tcPr>
          <w:p w:rsidR="001D283A" w:rsidRDefault="001D283A" w:rsidP="00A10950">
            <w:pPr>
              <w:rPr>
                <w:rFonts w:ascii="Times New Roman" w:hAnsi="Times New Roman" w:cs="Times New Roman"/>
                <w:sz w:val="24"/>
                <w:szCs w:val="24"/>
              </w:rPr>
            </w:pPr>
            <w:r>
              <w:rPr>
                <w:rFonts w:ascii="Times New Roman" w:hAnsi="Times New Roman" w:cs="Times New Roman"/>
                <w:sz w:val="24"/>
                <w:szCs w:val="24"/>
              </w:rPr>
              <w:t>Not met</w:t>
            </w:r>
          </w:p>
          <w:p w:rsidR="001D283A" w:rsidRDefault="001D283A" w:rsidP="00A10950">
            <w:pPr>
              <w:rPr>
                <w:rFonts w:ascii="Times New Roman" w:hAnsi="Times New Roman" w:cs="Times New Roman"/>
                <w:sz w:val="24"/>
                <w:szCs w:val="24"/>
              </w:rPr>
            </w:pPr>
          </w:p>
          <w:p w:rsidR="00AB3392" w:rsidRPr="000E4599" w:rsidRDefault="00AB3392" w:rsidP="00A10950">
            <w:pPr>
              <w:rPr>
                <w:rFonts w:ascii="Times New Roman" w:hAnsi="Times New Roman" w:cs="Times New Roman"/>
                <w:sz w:val="24"/>
                <w:szCs w:val="24"/>
              </w:rPr>
            </w:pPr>
            <w:r w:rsidRPr="000E4599">
              <w:rPr>
                <w:rFonts w:ascii="Times New Roman" w:hAnsi="Times New Roman" w:cs="Times New Roman"/>
                <w:sz w:val="24"/>
                <w:szCs w:val="24"/>
              </w:rPr>
              <w:t>Inefficient, as annual applications impose compliance costs on taxpayers and administration costs on Inland Revenue.</w:t>
            </w:r>
          </w:p>
        </w:tc>
        <w:tc>
          <w:tcPr>
            <w:tcW w:w="3119" w:type="dxa"/>
          </w:tcPr>
          <w:p w:rsidR="00AB3392" w:rsidRPr="000E4599" w:rsidRDefault="001D283A" w:rsidP="00A10950">
            <w:pPr>
              <w:rPr>
                <w:rFonts w:ascii="Times New Roman" w:hAnsi="Times New Roman" w:cs="Times New Roman"/>
                <w:sz w:val="24"/>
                <w:szCs w:val="24"/>
              </w:rPr>
            </w:pPr>
            <w:r>
              <w:rPr>
                <w:rFonts w:ascii="Times New Roman" w:hAnsi="Times New Roman" w:cs="Times New Roman"/>
                <w:sz w:val="24"/>
                <w:szCs w:val="24"/>
              </w:rPr>
              <w:t>Met</w:t>
            </w:r>
          </w:p>
        </w:tc>
        <w:tc>
          <w:tcPr>
            <w:tcW w:w="3118" w:type="dxa"/>
          </w:tcPr>
          <w:p w:rsidR="00AB3392" w:rsidRPr="000E4599" w:rsidRDefault="00370C96" w:rsidP="00370C96">
            <w:pPr>
              <w:rPr>
                <w:rFonts w:ascii="Times New Roman" w:hAnsi="Times New Roman" w:cs="Times New Roman"/>
                <w:sz w:val="24"/>
                <w:szCs w:val="24"/>
              </w:rPr>
            </w:pPr>
            <w:r>
              <w:rPr>
                <w:rFonts w:ascii="Times New Roman" w:hAnsi="Times New Roman" w:cs="Times New Roman"/>
                <w:sz w:val="24"/>
                <w:szCs w:val="24"/>
              </w:rPr>
              <w:t>No impact</w:t>
            </w:r>
          </w:p>
        </w:tc>
      </w:tr>
      <w:tr w:rsidR="00AB3392" w:rsidRPr="000E4599" w:rsidTr="001D283A">
        <w:tc>
          <w:tcPr>
            <w:tcW w:w="3120" w:type="dxa"/>
          </w:tcPr>
          <w:p w:rsidR="00AB3392" w:rsidRPr="00566803" w:rsidRDefault="00AB3392" w:rsidP="00AB3392">
            <w:pPr>
              <w:rPr>
                <w:rFonts w:ascii="Times New Roman" w:hAnsi="Times New Roman" w:cs="Times New Roman"/>
                <w:sz w:val="24"/>
                <w:szCs w:val="24"/>
              </w:rPr>
            </w:pPr>
            <w:r w:rsidRPr="00566803">
              <w:rPr>
                <w:rFonts w:ascii="Times New Roman" w:hAnsi="Times New Roman" w:cs="Times New Roman"/>
                <w:sz w:val="24"/>
                <w:szCs w:val="24"/>
              </w:rPr>
              <w:t>2. Issue certificate for an unlimited period</w:t>
            </w:r>
          </w:p>
        </w:tc>
        <w:tc>
          <w:tcPr>
            <w:tcW w:w="3118" w:type="dxa"/>
          </w:tcPr>
          <w:p w:rsidR="00AB3392" w:rsidRPr="000E4599" w:rsidRDefault="008F6668" w:rsidP="001D283A">
            <w:pPr>
              <w:rPr>
                <w:rFonts w:ascii="Times New Roman" w:hAnsi="Times New Roman" w:cs="Times New Roman"/>
                <w:sz w:val="24"/>
                <w:szCs w:val="24"/>
              </w:rPr>
            </w:pPr>
            <w:r>
              <w:rPr>
                <w:rFonts w:ascii="Times New Roman" w:hAnsi="Times New Roman" w:cs="Times New Roman"/>
                <w:sz w:val="24"/>
                <w:szCs w:val="24"/>
              </w:rPr>
              <w:t>Met</w:t>
            </w:r>
            <w:r w:rsidR="00AB3392" w:rsidRPr="000E4599">
              <w:rPr>
                <w:rFonts w:ascii="Times New Roman" w:hAnsi="Times New Roman" w:cs="Times New Roman"/>
                <w:sz w:val="24"/>
                <w:szCs w:val="24"/>
              </w:rPr>
              <w:t xml:space="preserve"> </w:t>
            </w:r>
          </w:p>
        </w:tc>
        <w:tc>
          <w:tcPr>
            <w:tcW w:w="3260" w:type="dxa"/>
          </w:tcPr>
          <w:p w:rsidR="001D283A" w:rsidRDefault="001D283A" w:rsidP="00A10950">
            <w:pPr>
              <w:rPr>
                <w:rFonts w:ascii="Times New Roman" w:hAnsi="Times New Roman" w:cs="Times New Roman"/>
                <w:sz w:val="24"/>
                <w:szCs w:val="24"/>
              </w:rPr>
            </w:pPr>
            <w:r>
              <w:rPr>
                <w:rFonts w:ascii="Times New Roman" w:hAnsi="Times New Roman" w:cs="Times New Roman"/>
                <w:sz w:val="24"/>
                <w:szCs w:val="24"/>
              </w:rPr>
              <w:t>Met</w:t>
            </w:r>
          </w:p>
          <w:p w:rsidR="001D283A" w:rsidRDefault="001D283A" w:rsidP="00A10950">
            <w:pPr>
              <w:rPr>
                <w:rFonts w:ascii="Times New Roman" w:hAnsi="Times New Roman" w:cs="Times New Roman"/>
                <w:sz w:val="24"/>
                <w:szCs w:val="24"/>
              </w:rPr>
            </w:pPr>
          </w:p>
          <w:p w:rsidR="00AB3392" w:rsidRPr="000E4599" w:rsidRDefault="00AB3392" w:rsidP="00325D6B">
            <w:pPr>
              <w:rPr>
                <w:rFonts w:ascii="Times New Roman" w:hAnsi="Times New Roman" w:cs="Times New Roman"/>
                <w:sz w:val="24"/>
                <w:szCs w:val="24"/>
              </w:rPr>
            </w:pPr>
            <w:r w:rsidRPr="000E4599">
              <w:rPr>
                <w:rFonts w:ascii="Times New Roman" w:hAnsi="Times New Roman" w:cs="Times New Roman"/>
                <w:sz w:val="24"/>
                <w:szCs w:val="24"/>
              </w:rPr>
              <w:t xml:space="preserve">More efficient, as fewer taxpayers will be required to apply annually. The measure will affect taxpayers who are required to file annually, other than those applying under the income estimation method. There are currently </w:t>
            </w:r>
            <w:r w:rsidR="00325D6B">
              <w:rPr>
                <w:rFonts w:ascii="Times New Roman" w:hAnsi="Times New Roman" w:cs="Times New Roman"/>
                <w:sz w:val="24"/>
                <w:szCs w:val="24"/>
              </w:rPr>
              <w:t>less than 500 such</w:t>
            </w:r>
            <w:r w:rsidRPr="000E4599">
              <w:rPr>
                <w:rFonts w:ascii="Times New Roman" w:hAnsi="Times New Roman" w:cs="Times New Roman"/>
                <w:sz w:val="24"/>
                <w:szCs w:val="24"/>
              </w:rPr>
              <w:t xml:space="preserve"> taxpayers.</w:t>
            </w:r>
          </w:p>
        </w:tc>
        <w:tc>
          <w:tcPr>
            <w:tcW w:w="3119" w:type="dxa"/>
          </w:tcPr>
          <w:p w:rsidR="001D283A" w:rsidRDefault="001D283A" w:rsidP="00A10950">
            <w:pPr>
              <w:rPr>
                <w:rFonts w:ascii="Times New Roman" w:hAnsi="Times New Roman" w:cs="Times New Roman"/>
                <w:sz w:val="24"/>
                <w:szCs w:val="24"/>
              </w:rPr>
            </w:pPr>
            <w:r>
              <w:rPr>
                <w:rFonts w:ascii="Times New Roman" w:hAnsi="Times New Roman" w:cs="Times New Roman"/>
                <w:sz w:val="24"/>
                <w:szCs w:val="24"/>
              </w:rPr>
              <w:t>Met</w:t>
            </w:r>
          </w:p>
          <w:p w:rsidR="001D283A" w:rsidRDefault="001D283A" w:rsidP="00A10950">
            <w:pPr>
              <w:rPr>
                <w:rFonts w:ascii="Times New Roman" w:hAnsi="Times New Roman" w:cs="Times New Roman"/>
                <w:sz w:val="24"/>
                <w:szCs w:val="24"/>
              </w:rPr>
            </w:pPr>
          </w:p>
          <w:p w:rsidR="00AB3392" w:rsidRPr="000E4599" w:rsidRDefault="00AB3392" w:rsidP="00A10950">
            <w:pPr>
              <w:rPr>
                <w:rFonts w:ascii="Times New Roman" w:hAnsi="Times New Roman" w:cs="Times New Roman"/>
                <w:sz w:val="24"/>
                <w:szCs w:val="24"/>
              </w:rPr>
            </w:pPr>
            <w:r w:rsidRPr="000E4599">
              <w:rPr>
                <w:rFonts w:ascii="Times New Roman" w:hAnsi="Times New Roman" w:cs="Times New Roman"/>
                <w:sz w:val="24"/>
                <w:szCs w:val="24"/>
              </w:rPr>
              <w:t xml:space="preserve">Any integrity concerns can be addressed by requiring taxpayers to indicate in their annual returns whether they are still eligible to hold their certificates. </w:t>
            </w:r>
          </w:p>
        </w:tc>
        <w:tc>
          <w:tcPr>
            <w:tcW w:w="3118" w:type="dxa"/>
          </w:tcPr>
          <w:p w:rsidR="00AB3392" w:rsidRPr="000E4599" w:rsidRDefault="00AB3392" w:rsidP="00A10950">
            <w:pPr>
              <w:rPr>
                <w:rFonts w:ascii="Times New Roman" w:hAnsi="Times New Roman" w:cs="Times New Roman"/>
                <w:sz w:val="24"/>
                <w:szCs w:val="24"/>
              </w:rPr>
            </w:pPr>
            <w:r w:rsidRPr="000E4599">
              <w:rPr>
                <w:rFonts w:ascii="Times New Roman" w:hAnsi="Times New Roman" w:cs="Times New Roman"/>
                <w:sz w:val="24"/>
                <w:szCs w:val="24"/>
              </w:rPr>
              <w:t>No impact</w:t>
            </w:r>
          </w:p>
        </w:tc>
      </w:tr>
      <w:tr w:rsidR="00AB3392" w:rsidRPr="000E4599" w:rsidTr="001D283A">
        <w:tc>
          <w:tcPr>
            <w:tcW w:w="3120" w:type="dxa"/>
          </w:tcPr>
          <w:p w:rsidR="00AB3392" w:rsidRPr="00566803" w:rsidRDefault="00AB3392" w:rsidP="007B24CA">
            <w:pPr>
              <w:rPr>
                <w:rFonts w:ascii="Times New Roman" w:hAnsi="Times New Roman" w:cs="Times New Roman"/>
                <w:sz w:val="24"/>
                <w:szCs w:val="24"/>
              </w:rPr>
            </w:pPr>
            <w:r w:rsidRPr="00566803">
              <w:rPr>
                <w:rFonts w:ascii="Times New Roman" w:hAnsi="Times New Roman" w:cs="Times New Roman"/>
                <w:sz w:val="24"/>
                <w:szCs w:val="24"/>
              </w:rPr>
              <w:t>3. Issue certificate for fixed periods longer than a year</w:t>
            </w:r>
          </w:p>
        </w:tc>
        <w:tc>
          <w:tcPr>
            <w:tcW w:w="3118" w:type="dxa"/>
          </w:tcPr>
          <w:p w:rsidR="00AB3392" w:rsidRPr="000E4599" w:rsidRDefault="008F6668" w:rsidP="001D283A">
            <w:pPr>
              <w:rPr>
                <w:rFonts w:ascii="Times New Roman" w:hAnsi="Times New Roman" w:cs="Times New Roman"/>
                <w:sz w:val="24"/>
                <w:szCs w:val="24"/>
              </w:rPr>
            </w:pPr>
            <w:r>
              <w:rPr>
                <w:rFonts w:ascii="Times New Roman" w:hAnsi="Times New Roman" w:cs="Times New Roman"/>
                <w:sz w:val="24"/>
                <w:szCs w:val="24"/>
              </w:rPr>
              <w:t>Met</w:t>
            </w:r>
            <w:r w:rsidR="00AB3392" w:rsidRPr="000E4599">
              <w:rPr>
                <w:rFonts w:ascii="Times New Roman" w:hAnsi="Times New Roman" w:cs="Times New Roman"/>
                <w:sz w:val="24"/>
                <w:szCs w:val="24"/>
              </w:rPr>
              <w:t xml:space="preserve"> </w:t>
            </w:r>
          </w:p>
        </w:tc>
        <w:tc>
          <w:tcPr>
            <w:tcW w:w="3260" w:type="dxa"/>
          </w:tcPr>
          <w:p w:rsidR="001D283A" w:rsidRDefault="008C7711" w:rsidP="00AB3392">
            <w:pPr>
              <w:rPr>
                <w:rFonts w:ascii="Times New Roman" w:hAnsi="Times New Roman" w:cs="Times New Roman"/>
                <w:sz w:val="24"/>
                <w:szCs w:val="24"/>
              </w:rPr>
            </w:pPr>
            <w:r>
              <w:rPr>
                <w:rFonts w:ascii="Times New Roman" w:hAnsi="Times New Roman" w:cs="Times New Roman"/>
                <w:sz w:val="24"/>
                <w:szCs w:val="24"/>
              </w:rPr>
              <w:t xml:space="preserve">Partially </w:t>
            </w:r>
            <w:r w:rsidR="001D283A">
              <w:rPr>
                <w:rFonts w:ascii="Times New Roman" w:hAnsi="Times New Roman" w:cs="Times New Roman"/>
                <w:sz w:val="24"/>
                <w:szCs w:val="24"/>
              </w:rPr>
              <w:t>met</w:t>
            </w:r>
          </w:p>
          <w:p w:rsidR="001D283A" w:rsidRDefault="001D283A" w:rsidP="00AB3392">
            <w:pPr>
              <w:rPr>
                <w:rFonts w:ascii="Times New Roman" w:hAnsi="Times New Roman" w:cs="Times New Roman"/>
                <w:sz w:val="24"/>
                <w:szCs w:val="24"/>
              </w:rPr>
            </w:pPr>
          </w:p>
          <w:p w:rsidR="00AB3392" w:rsidRPr="000E4599" w:rsidRDefault="00A32691" w:rsidP="00AB3392">
            <w:pPr>
              <w:rPr>
                <w:rFonts w:ascii="Times New Roman" w:hAnsi="Times New Roman" w:cs="Times New Roman"/>
                <w:sz w:val="24"/>
                <w:szCs w:val="24"/>
              </w:rPr>
            </w:pPr>
            <w:r>
              <w:rPr>
                <w:rFonts w:ascii="Times New Roman" w:hAnsi="Times New Roman" w:cs="Times New Roman"/>
                <w:sz w:val="24"/>
                <w:szCs w:val="24"/>
              </w:rPr>
              <w:t>More efficient than option 1 but less efficient than option 2</w:t>
            </w:r>
            <w:r w:rsidRPr="000E4599">
              <w:rPr>
                <w:rFonts w:ascii="Times New Roman" w:hAnsi="Times New Roman" w:cs="Times New Roman"/>
                <w:sz w:val="24"/>
                <w:szCs w:val="24"/>
              </w:rPr>
              <w:t xml:space="preserve">, as </w:t>
            </w:r>
            <w:r>
              <w:rPr>
                <w:rFonts w:ascii="Times New Roman" w:hAnsi="Times New Roman" w:cs="Times New Roman"/>
                <w:sz w:val="24"/>
                <w:szCs w:val="24"/>
              </w:rPr>
              <w:t>renewing certificate</w:t>
            </w:r>
            <w:r w:rsidR="004E4125">
              <w:rPr>
                <w:rFonts w:ascii="Times New Roman" w:hAnsi="Times New Roman" w:cs="Times New Roman"/>
                <w:sz w:val="24"/>
                <w:szCs w:val="24"/>
              </w:rPr>
              <w:t>s</w:t>
            </w:r>
            <w:r>
              <w:rPr>
                <w:rFonts w:ascii="Times New Roman" w:hAnsi="Times New Roman" w:cs="Times New Roman"/>
                <w:sz w:val="24"/>
                <w:szCs w:val="24"/>
              </w:rPr>
              <w:t xml:space="preserve"> will </w:t>
            </w:r>
            <w:r w:rsidRPr="000E4599">
              <w:rPr>
                <w:rFonts w:ascii="Times New Roman" w:hAnsi="Times New Roman" w:cs="Times New Roman"/>
                <w:sz w:val="24"/>
                <w:szCs w:val="24"/>
              </w:rPr>
              <w:t>impose compliance costs on taxpayers and administration costs on Inland Revenue</w:t>
            </w:r>
            <w:r w:rsidR="001D283A">
              <w:rPr>
                <w:rFonts w:ascii="Times New Roman" w:hAnsi="Times New Roman" w:cs="Times New Roman"/>
                <w:sz w:val="24"/>
                <w:szCs w:val="24"/>
              </w:rPr>
              <w:t>.</w:t>
            </w:r>
          </w:p>
        </w:tc>
        <w:tc>
          <w:tcPr>
            <w:tcW w:w="3119" w:type="dxa"/>
          </w:tcPr>
          <w:p w:rsidR="00AB3392" w:rsidRPr="000E4599" w:rsidRDefault="001D283A" w:rsidP="00A10950">
            <w:pPr>
              <w:rPr>
                <w:rFonts w:ascii="Times New Roman" w:hAnsi="Times New Roman" w:cs="Times New Roman"/>
                <w:sz w:val="24"/>
                <w:szCs w:val="24"/>
              </w:rPr>
            </w:pPr>
            <w:r>
              <w:rPr>
                <w:rFonts w:ascii="Times New Roman" w:hAnsi="Times New Roman" w:cs="Times New Roman"/>
                <w:sz w:val="24"/>
                <w:szCs w:val="24"/>
              </w:rPr>
              <w:t>Met</w:t>
            </w:r>
          </w:p>
        </w:tc>
        <w:tc>
          <w:tcPr>
            <w:tcW w:w="3118" w:type="dxa"/>
          </w:tcPr>
          <w:p w:rsidR="00AB3392" w:rsidRPr="000E4599" w:rsidRDefault="00AB3392" w:rsidP="00A10950">
            <w:pPr>
              <w:rPr>
                <w:rFonts w:ascii="Times New Roman" w:hAnsi="Times New Roman" w:cs="Times New Roman"/>
                <w:sz w:val="24"/>
                <w:szCs w:val="24"/>
              </w:rPr>
            </w:pPr>
            <w:r>
              <w:rPr>
                <w:rFonts w:ascii="Times New Roman" w:hAnsi="Times New Roman" w:cs="Times New Roman"/>
                <w:sz w:val="24"/>
                <w:szCs w:val="24"/>
              </w:rPr>
              <w:t>No impact</w:t>
            </w:r>
          </w:p>
        </w:tc>
      </w:tr>
    </w:tbl>
    <w:p w:rsidR="001D283A" w:rsidRDefault="001D283A" w:rsidP="00A65B46">
      <w:pPr>
        <w:spacing w:after="0" w:line="240" w:lineRule="auto"/>
        <w:jc w:val="both"/>
        <w:rPr>
          <w:rFonts w:ascii="Times New Roman" w:hAnsi="Times New Roman" w:cs="Times New Roman"/>
          <w:sz w:val="24"/>
          <w:szCs w:val="24"/>
        </w:rPr>
        <w:sectPr w:rsidR="001D283A" w:rsidSect="008D31DB">
          <w:pgSz w:w="16838" w:h="11906" w:orient="landscape"/>
          <w:pgMar w:top="1440" w:right="1440" w:bottom="1440" w:left="1440" w:header="708" w:footer="708" w:gutter="0"/>
          <w:cols w:space="708"/>
          <w:docGrid w:linePitch="360"/>
        </w:sectPr>
      </w:pPr>
    </w:p>
    <w:p w:rsidR="00A65B46" w:rsidRPr="000E4599" w:rsidRDefault="00A65B46" w:rsidP="00A65B46">
      <w:pPr>
        <w:spacing w:after="0" w:line="240" w:lineRule="auto"/>
        <w:jc w:val="both"/>
        <w:rPr>
          <w:rFonts w:ascii="Times New Roman" w:hAnsi="Times New Roman" w:cs="Times New Roman"/>
          <w:sz w:val="24"/>
          <w:szCs w:val="24"/>
        </w:rPr>
      </w:pPr>
    </w:p>
    <w:p w:rsidR="00A65B46" w:rsidRPr="000E4599" w:rsidRDefault="00A65B46" w:rsidP="00A65B46">
      <w:pPr>
        <w:spacing w:after="0" w:line="240" w:lineRule="auto"/>
        <w:jc w:val="both"/>
        <w:rPr>
          <w:rFonts w:ascii="Times New Roman" w:hAnsi="Times New Roman" w:cs="Times New Roman"/>
          <w:b/>
          <w:i/>
          <w:sz w:val="24"/>
          <w:szCs w:val="24"/>
        </w:rPr>
      </w:pPr>
      <w:r w:rsidRPr="000E4599">
        <w:rPr>
          <w:rFonts w:ascii="Times New Roman" w:hAnsi="Times New Roman" w:cs="Times New Roman"/>
          <w:b/>
          <w:i/>
          <w:sz w:val="24"/>
          <w:szCs w:val="24"/>
        </w:rPr>
        <w:t>Consultation</w:t>
      </w:r>
    </w:p>
    <w:p w:rsidR="0022632E" w:rsidRDefault="0022632E" w:rsidP="00A65B46">
      <w:pPr>
        <w:spacing w:after="0" w:line="240" w:lineRule="auto"/>
        <w:jc w:val="both"/>
        <w:rPr>
          <w:rFonts w:ascii="Times New Roman" w:hAnsi="Times New Roman" w:cs="Times New Roman"/>
          <w:sz w:val="24"/>
          <w:szCs w:val="24"/>
        </w:rPr>
      </w:pPr>
    </w:p>
    <w:p w:rsidR="00A65B46" w:rsidRPr="000E4599" w:rsidRDefault="0022632E" w:rsidP="00A65B4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We consulted on the options with </w:t>
      </w:r>
      <w:r w:rsidRPr="00350B5C">
        <w:rPr>
          <w:rFonts w:ascii="Times New Roman" w:hAnsi="Times New Roman" w:cs="Times New Roman"/>
          <w:sz w:val="24"/>
          <w:szCs w:val="24"/>
        </w:rPr>
        <w:t>Chartered Accountants of Australia and New Ze</w:t>
      </w:r>
      <w:r>
        <w:rPr>
          <w:rFonts w:ascii="Times New Roman" w:hAnsi="Times New Roman" w:cs="Times New Roman"/>
          <w:sz w:val="24"/>
          <w:szCs w:val="24"/>
        </w:rPr>
        <w:t>aland</w:t>
      </w:r>
      <w:r w:rsidR="001D283A">
        <w:rPr>
          <w:rFonts w:ascii="Times New Roman" w:hAnsi="Times New Roman" w:cs="Times New Roman"/>
          <w:sz w:val="24"/>
          <w:szCs w:val="24"/>
        </w:rPr>
        <w:t xml:space="preserve"> (</w:t>
      </w:r>
      <w:proofErr w:type="spellStart"/>
      <w:r w:rsidR="001D283A">
        <w:rPr>
          <w:rFonts w:ascii="Times New Roman" w:hAnsi="Times New Roman" w:cs="Times New Roman"/>
          <w:sz w:val="24"/>
          <w:szCs w:val="24"/>
        </w:rPr>
        <w:t>CAANZ</w:t>
      </w:r>
      <w:proofErr w:type="spellEnd"/>
      <w:r w:rsidR="001D283A">
        <w:rPr>
          <w:rFonts w:ascii="Times New Roman" w:hAnsi="Times New Roman" w:cs="Times New Roman"/>
          <w:sz w:val="24"/>
          <w:szCs w:val="24"/>
        </w:rPr>
        <w:t>)</w:t>
      </w:r>
      <w:r>
        <w:rPr>
          <w:rFonts w:ascii="Times New Roman" w:hAnsi="Times New Roman" w:cs="Times New Roman"/>
          <w:sz w:val="24"/>
          <w:szCs w:val="24"/>
        </w:rPr>
        <w:t>, Corporate Taxpayer Group and</w:t>
      </w:r>
      <w:r w:rsidRPr="00350B5C">
        <w:rPr>
          <w:rFonts w:ascii="Times New Roman" w:hAnsi="Times New Roman" w:cs="Times New Roman"/>
          <w:sz w:val="24"/>
          <w:szCs w:val="24"/>
        </w:rPr>
        <w:t xml:space="preserve"> Business New Zealand</w:t>
      </w:r>
      <w:r>
        <w:rPr>
          <w:rFonts w:ascii="Times New Roman" w:hAnsi="Times New Roman" w:cs="Times New Roman"/>
          <w:sz w:val="24"/>
          <w:szCs w:val="24"/>
        </w:rPr>
        <w:t xml:space="preserve">. </w:t>
      </w:r>
      <w:r w:rsidR="001D283A">
        <w:rPr>
          <w:rFonts w:ascii="Times New Roman" w:hAnsi="Times New Roman" w:cs="Times New Roman"/>
          <w:sz w:val="24"/>
          <w:szCs w:val="24"/>
        </w:rPr>
        <w:t xml:space="preserve">The </w:t>
      </w:r>
      <w:r>
        <w:rPr>
          <w:rFonts w:ascii="Times New Roman" w:hAnsi="Times New Roman" w:cs="Times New Roman"/>
          <w:sz w:val="24"/>
          <w:szCs w:val="24"/>
        </w:rPr>
        <w:t>Corporate Taxpayer Group supported option 2, and recommended it be expanded to other types of exemption certificate (e</w:t>
      </w:r>
      <w:r w:rsidR="001D283A">
        <w:rPr>
          <w:rFonts w:ascii="Times New Roman" w:hAnsi="Times New Roman" w:cs="Times New Roman"/>
          <w:sz w:val="24"/>
          <w:szCs w:val="24"/>
        </w:rPr>
        <w:t>.</w:t>
      </w:r>
      <w:r>
        <w:rPr>
          <w:rFonts w:ascii="Times New Roman" w:hAnsi="Times New Roman" w:cs="Times New Roman"/>
          <w:sz w:val="24"/>
          <w:szCs w:val="24"/>
        </w:rPr>
        <w:t xml:space="preserve">g. non-resident </w:t>
      </w:r>
      <w:proofErr w:type="gramStart"/>
      <w:r>
        <w:rPr>
          <w:rFonts w:ascii="Times New Roman" w:hAnsi="Times New Roman" w:cs="Times New Roman"/>
          <w:sz w:val="24"/>
          <w:szCs w:val="24"/>
        </w:rPr>
        <w:t>contractors</w:t>
      </w:r>
      <w:proofErr w:type="gramEnd"/>
      <w:r>
        <w:rPr>
          <w:rFonts w:ascii="Times New Roman" w:hAnsi="Times New Roman" w:cs="Times New Roman"/>
          <w:sz w:val="24"/>
          <w:szCs w:val="24"/>
        </w:rPr>
        <w:t xml:space="preserve"> withholding tax). </w:t>
      </w:r>
      <w:proofErr w:type="spellStart"/>
      <w:r w:rsidR="008C7711">
        <w:rPr>
          <w:rFonts w:ascii="Times New Roman" w:hAnsi="Times New Roman" w:cs="Times New Roman"/>
          <w:sz w:val="24"/>
          <w:szCs w:val="24"/>
        </w:rPr>
        <w:t>CAANZ</w:t>
      </w:r>
      <w:proofErr w:type="spellEnd"/>
      <w:r w:rsidR="008C7711" w:rsidRPr="000E4599" w:rsidDel="009A14D2">
        <w:rPr>
          <w:rFonts w:ascii="Times New Roman" w:hAnsi="Times New Roman" w:cs="Times New Roman"/>
          <w:b/>
          <w:sz w:val="24"/>
          <w:szCs w:val="24"/>
        </w:rPr>
        <w:t xml:space="preserve"> </w:t>
      </w:r>
      <w:r w:rsidR="008C7711">
        <w:rPr>
          <w:rFonts w:ascii="Times New Roman" w:hAnsi="Times New Roman" w:cs="Times New Roman"/>
          <w:sz w:val="24"/>
          <w:szCs w:val="24"/>
        </w:rPr>
        <w:t>also supported option 2 in conjunction with the “tick the box” declaration.</w:t>
      </w:r>
    </w:p>
    <w:p w:rsidR="00A65B46" w:rsidRPr="000E4599" w:rsidRDefault="00A65B46" w:rsidP="002A5ED9">
      <w:pPr>
        <w:spacing w:after="0" w:line="240" w:lineRule="auto"/>
        <w:rPr>
          <w:rFonts w:ascii="Times New Roman" w:hAnsi="Times New Roman" w:cs="Times New Roman"/>
          <w:sz w:val="24"/>
          <w:szCs w:val="24"/>
        </w:rPr>
      </w:pPr>
    </w:p>
    <w:p w:rsidR="00A65B46" w:rsidRPr="000E4599" w:rsidRDefault="0067183D" w:rsidP="002D0AC2">
      <w:pPr>
        <w:pStyle w:val="Heading3"/>
      </w:pPr>
      <w:bookmarkStart w:id="39" w:name="_Toc444145624"/>
      <w:r>
        <w:t>R</w:t>
      </w:r>
      <w:r w:rsidR="00A65B46" w:rsidRPr="000E4599">
        <w:t>ecommendations</w:t>
      </w:r>
      <w:bookmarkEnd w:id="39"/>
    </w:p>
    <w:p w:rsidR="00A65B46" w:rsidRPr="000E4599" w:rsidRDefault="00A65B46" w:rsidP="002A5ED9">
      <w:pPr>
        <w:spacing w:after="0" w:line="240" w:lineRule="auto"/>
        <w:rPr>
          <w:rFonts w:ascii="Times New Roman" w:hAnsi="Times New Roman" w:cs="Times New Roman"/>
          <w:sz w:val="24"/>
          <w:szCs w:val="24"/>
        </w:rPr>
      </w:pPr>
    </w:p>
    <w:p w:rsidR="00A65B46" w:rsidRPr="000E4599" w:rsidRDefault="00A65B46" w:rsidP="002A5ED9">
      <w:pPr>
        <w:spacing w:after="0" w:line="240" w:lineRule="auto"/>
        <w:rPr>
          <w:rFonts w:ascii="Times New Roman" w:hAnsi="Times New Roman" w:cs="Times New Roman"/>
          <w:sz w:val="24"/>
          <w:szCs w:val="24"/>
        </w:rPr>
      </w:pPr>
      <w:r w:rsidRPr="000E4599">
        <w:rPr>
          <w:rFonts w:ascii="Times New Roman" w:hAnsi="Times New Roman" w:cs="Times New Roman"/>
          <w:sz w:val="24"/>
          <w:szCs w:val="24"/>
        </w:rPr>
        <w:t>Officials recommend option 2, as it meets the objectives and improves efficiency with no significant impact on fairness or sustainability of the tax system.</w:t>
      </w:r>
    </w:p>
    <w:p w:rsidR="00A65B46" w:rsidRPr="000E4599" w:rsidRDefault="00A65B46" w:rsidP="007B24CA">
      <w:pPr>
        <w:spacing w:after="0" w:line="240" w:lineRule="auto"/>
        <w:rPr>
          <w:rFonts w:ascii="Times New Roman" w:hAnsi="Times New Roman" w:cs="Times New Roman"/>
          <w:sz w:val="24"/>
          <w:szCs w:val="24"/>
        </w:rPr>
      </w:pPr>
    </w:p>
    <w:p w:rsidR="007B24CA" w:rsidRPr="000E4599" w:rsidRDefault="007B24CA" w:rsidP="002A5ED9">
      <w:pPr>
        <w:spacing w:after="0" w:line="240" w:lineRule="auto"/>
        <w:jc w:val="both"/>
        <w:rPr>
          <w:rFonts w:ascii="Times New Roman" w:hAnsi="Times New Roman" w:cs="Times New Roman"/>
          <w:sz w:val="24"/>
          <w:szCs w:val="24"/>
        </w:rPr>
      </w:pPr>
    </w:p>
    <w:p w:rsidR="00A65B46" w:rsidRPr="00842528" w:rsidRDefault="00043703" w:rsidP="002D0AC2">
      <w:pPr>
        <w:pStyle w:val="Heading2"/>
      </w:pPr>
      <w:bookmarkStart w:id="40" w:name="_Toc444145625"/>
      <w:r>
        <w:t xml:space="preserve">5 – </w:t>
      </w:r>
      <w:r w:rsidR="00A65B46" w:rsidRPr="00842528">
        <w:t xml:space="preserve">Increase the threshold for annual </w:t>
      </w:r>
      <w:proofErr w:type="spellStart"/>
      <w:r w:rsidR="00A65B46" w:rsidRPr="00842528">
        <w:t>FBT</w:t>
      </w:r>
      <w:proofErr w:type="spellEnd"/>
      <w:r w:rsidR="00A65B46" w:rsidRPr="00842528">
        <w:t xml:space="preserve"> returns from $500</w:t>
      </w:r>
      <w:r w:rsidR="00AF4FE3">
        <w:t>,000</w:t>
      </w:r>
      <w:r w:rsidR="00A65B46" w:rsidRPr="00842528">
        <w:t xml:space="preserve"> to $1</w:t>
      </w:r>
      <w:r w:rsidR="00AF4FE3">
        <w:t xml:space="preserve"> million</w:t>
      </w:r>
      <w:r w:rsidR="00A65B46" w:rsidRPr="00842528">
        <w:t xml:space="preserve"> of PAYE/</w:t>
      </w:r>
      <w:proofErr w:type="spellStart"/>
      <w:r w:rsidR="00A65B46" w:rsidRPr="00842528">
        <w:t>ESCT</w:t>
      </w:r>
      <w:bookmarkEnd w:id="40"/>
      <w:proofErr w:type="spellEnd"/>
    </w:p>
    <w:p w:rsidR="00A65B46" w:rsidRPr="000E4599" w:rsidRDefault="00A65B46" w:rsidP="002A5ED9">
      <w:pPr>
        <w:spacing w:after="0" w:line="240" w:lineRule="auto"/>
        <w:jc w:val="both"/>
        <w:rPr>
          <w:rFonts w:ascii="Times New Roman" w:hAnsi="Times New Roman" w:cs="Times New Roman"/>
          <w:b/>
          <w:sz w:val="24"/>
          <w:szCs w:val="24"/>
        </w:rPr>
      </w:pPr>
    </w:p>
    <w:p w:rsidR="00F14255" w:rsidRPr="00F14255" w:rsidRDefault="00F14255" w:rsidP="00F14255">
      <w:pPr>
        <w:spacing w:after="0" w:line="240" w:lineRule="auto"/>
        <w:jc w:val="both"/>
        <w:rPr>
          <w:rFonts w:ascii="Times New Roman" w:hAnsi="Times New Roman" w:cs="Times New Roman"/>
          <w:b/>
          <w:i/>
          <w:sz w:val="24"/>
          <w:szCs w:val="24"/>
        </w:rPr>
      </w:pPr>
      <w:r w:rsidRPr="00F14255">
        <w:rPr>
          <w:rFonts w:ascii="Times New Roman" w:hAnsi="Times New Roman" w:cs="Times New Roman"/>
          <w:b/>
          <w:i/>
          <w:sz w:val="24"/>
          <w:szCs w:val="24"/>
        </w:rPr>
        <w:t>Status quo and problem definition</w:t>
      </w:r>
    </w:p>
    <w:p w:rsidR="00A65B46" w:rsidRPr="000E4599" w:rsidRDefault="00A65B46" w:rsidP="002A5ED9">
      <w:pPr>
        <w:spacing w:after="0" w:line="240" w:lineRule="auto"/>
        <w:jc w:val="both"/>
        <w:rPr>
          <w:rFonts w:ascii="Times New Roman" w:hAnsi="Times New Roman" w:cs="Times New Roman"/>
          <w:sz w:val="24"/>
          <w:szCs w:val="24"/>
        </w:rPr>
      </w:pPr>
    </w:p>
    <w:p w:rsidR="00A65B46" w:rsidRDefault="00A65B46" w:rsidP="002A5ED9">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 xml:space="preserve">Most businesses are required to calculate and return </w:t>
      </w:r>
      <w:r w:rsidR="004E4125">
        <w:rPr>
          <w:rFonts w:ascii="Times New Roman" w:hAnsi="Times New Roman" w:cs="Times New Roman"/>
          <w:sz w:val="24"/>
          <w:szCs w:val="24"/>
        </w:rPr>
        <w:t>fringe benefit tax (</w:t>
      </w:r>
      <w:proofErr w:type="spellStart"/>
      <w:r w:rsidRPr="000E4599">
        <w:rPr>
          <w:rFonts w:ascii="Times New Roman" w:hAnsi="Times New Roman" w:cs="Times New Roman"/>
          <w:sz w:val="24"/>
          <w:szCs w:val="24"/>
        </w:rPr>
        <w:t>FBT</w:t>
      </w:r>
      <w:proofErr w:type="spellEnd"/>
      <w:r w:rsidR="004E4125">
        <w:rPr>
          <w:rFonts w:ascii="Times New Roman" w:hAnsi="Times New Roman" w:cs="Times New Roman"/>
          <w:sz w:val="24"/>
          <w:szCs w:val="24"/>
        </w:rPr>
        <w:t>)</w:t>
      </w:r>
      <w:r w:rsidRPr="000E4599">
        <w:rPr>
          <w:rFonts w:ascii="Times New Roman" w:hAnsi="Times New Roman" w:cs="Times New Roman"/>
          <w:sz w:val="24"/>
          <w:szCs w:val="24"/>
        </w:rPr>
        <w:t xml:space="preserve"> on a quarterly basis. However businesses that have combined </w:t>
      </w:r>
      <w:r w:rsidR="004E4125">
        <w:rPr>
          <w:rFonts w:ascii="Times New Roman" w:hAnsi="Times New Roman" w:cs="Times New Roman"/>
          <w:sz w:val="24"/>
          <w:szCs w:val="24"/>
        </w:rPr>
        <w:t>pay as you earn (</w:t>
      </w:r>
      <w:r w:rsidRPr="000E4599">
        <w:rPr>
          <w:rFonts w:ascii="Times New Roman" w:hAnsi="Times New Roman" w:cs="Times New Roman"/>
          <w:sz w:val="24"/>
          <w:szCs w:val="24"/>
        </w:rPr>
        <w:t>PAYE</w:t>
      </w:r>
      <w:r w:rsidR="004E4125">
        <w:rPr>
          <w:rFonts w:ascii="Times New Roman" w:hAnsi="Times New Roman" w:cs="Times New Roman"/>
          <w:sz w:val="24"/>
          <w:szCs w:val="24"/>
        </w:rPr>
        <w:t>)</w:t>
      </w:r>
      <w:r w:rsidRPr="000E4599">
        <w:rPr>
          <w:rFonts w:ascii="Times New Roman" w:hAnsi="Times New Roman" w:cs="Times New Roman"/>
          <w:sz w:val="24"/>
          <w:szCs w:val="24"/>
        </w:rPr>
        <w:t xml:space="preserve"> and </w:t>
      </w:r>
      <w:r w:rsidR="004E4125">
        <w:rPr>
          <w:rFonts w:ascii="Times New Roman" w:hAnsi="Times New Roman" w:cs="Times New Roman"/>
          <w:sz w:val="24"/>
          <w:szCs w:val="24"/>
        </w:rPr>
        <w:t>employer superannuation contribution tax (</w:t>
      </w:r>
      <w:proofErr w:type="spellStart"/>
      <w:r w:rsidRPr="000E4599">
        <w:rPr>
          <w:rFonts w:ascii="Times New Roman" w:hAnsi="Times New Roman" w:cs="Times New Roman"/>
          <w:sz w:val="24"/>
          <w:szCs w:val="24"/>
        </w:rPr>
        <w:t>ESCT</w:t>
      </w:r>
      <w:proofErr w:type="spellEnd"/>
      <w:r w:rsidR="004E4125">
        <w:rPr>
          <w:rFonts w:ascii="Times New Roman" w:hAnsi="Times New Roman" w:cs="Times New Roman"/>
          <w:sz w:val="24"/>
          <w:szCs w:val="24"/>
        </w:rPr>
        <w:t>)</w:t>
      </w:r>
      <w:r w:rsidRPr="000E4599">
        <w:rPr>
          <w:rFonts w:ascii="Times New Roman" w:hAnsi="Times New Roman" w:cs="Times New Roman"/>
          <w:sz w:val="24"/>
          <w:szCs w:val="24"/>
        </w:rPr>
        <w:t xml:space="preserve"> obligations of no more than $500,000 per year are currently allowed to calculate and return </w:t>
      </w:r>
      <w:proofErr w:type="spellStart"/>
      <w:r w:rsidRPr="000E4599">
        <w:rPr>
          <w:rFonts w:ascii="Times New Roman" w:hAnsi="Times New Roman" w:cs="Times New Roman"/>
          <w:sz w:val="24"/>
          <w:szCs w:val="24"/>
        </w:rPr>
        <w:t>FBT</w:t>
      </w:r>
      <w:proofErr w:type="spellEnd"/>
      <w:r w:rsidRPr="000E4599">
        <w:rPr>
          <w:rFonts w:ascii="Times New Roman" w:hAnsi="Times New Roman" w:cs="Times New Roman"/>
          <w:sz w:val="24"/>
          <w:szCs w:val="24"/>
        </w:rPr>
        <w:t xml:space="preserve"> on an annual basis</w:t>
      </w:r>
      <w:r w:rsidR="001D283A">
        <w:rPr>
          <w:rFonts w:ascii="Times New Roman" w:hAnsi="Times New Roman" w:cs="Times New Roman"/>
          <w:sz w:val="24"/>
          <w:szCs w:val="24"/>
        </w:rPr>
        <w:t>.</w:t>
      </w:r>
      <w:r w:rsidRPr="000E4599">
        <w:rPr>
          <w:rStyle w:val="FootnoteReference"/>
          <w:rFonts w:ascii="Times New Roman" w:hAnsi="Times New Roman" w:cs="Times New Roman"/>
          <w:sz w:val="24"/>
          <w:szCs w:val="24"/>
        </w:rPr>
        <w:footnoteReference w:id="12"/>
      </w:r>
      <w:r w:rsidRPr="000E4599">
        <w:rPr>
          <w:rFonts w:ascii="Times New Roman" w:hAnsi="Times New Roman" w:cs="Times New Roman"/>
          <w:sz w:val="24"/>
          <w:szCs w:val="24"/>
        </w:rPr>
        <w:t xml:space="preserve"> As a smaller business becomes larger and employs more staff, it may exceed the $500,000 threshold. Consequently the business will be required to calculate and pay </w:t>
      </w:r>
      <w:proofErr w:type="spellStart"/>
      <w:r w:rsidRPr="000E4599">
        <w:rPr>
          <w:rFonts w:ascii="Times New Roman" w:hAnsi="Times New Roman" w:cs="Times New Roman"/>
          <w:sz w:val="24"/>
          <w:szCs w:val="24"/>
        </w:rPr>
        <w:t>FBT</w:t>
      </w:r>
      <w:proofErr w:type="spellEnd"/>
      <w:r w:rsidRPr="000E4599">
        <w:rPr>
          <w:rFonts w:ascii="Times New Roman" w:hAnsi="Times New Roman" w:cs="Times New Roman"/>
          <w:sz w:val="24"/>
          <w:szCs w:val="24"/>
        </w:rPr>
        <w:t xml:space="preserve"> on a quarterly basis. This can impose compliance costs which are still significant </w:t>
      </w:r>
      <w:r w:rsidR="008F6668">
        <w:rPr>
          <w:rFonts w:ascii="Times New Roman" w:hAnsi="Times New Roman" w:cs="Times New Roman"/>
          <w:sz w:val="24"/>
          <w:szCs w:val="24"/>
        </w:rPr>
        <w:t>relative to</w:t>
      </w:r>
      <w:r w:rsidRPr="000E4599">
        <w:rPr>
          <w:rFonts w:ascii="Times New Roman" w:hAnsi="Times New Roman" w:cs="Times New Roman"/>
          <w:sz w:val="24"/>
          <w:szCs w:val="24"/>
        </w:rPr>
        <w:t xml:space="preserve"> the size of the business.</w:t>
      </w:r>
    </w:p>
    <w:p w:rsidR="00305DA6" w:rsidRPr="000E4599" w:rsidRDefault="00305DA6" w:rsidP="002A5ED9">
      <w:pPr>
        <w:spacing w:after="0" w:line="240" w:lineRule="auto"/>
        <w:jc w:val="both"/>
        <w:rPr>
          <w:rFonts w:ascii="Times New Roman" w:hAnsi="Times New Roman" w:cs="Times New Roman"/>
          <w:sz w:val="24"/>
          <w:szCs w:val="24"/>
        </w:rPr>
      </w:pPr>
    </w:p>
    <w:p w:rsidR="00305DA6" w:rsidRPr="000E4599" w:rsidRDefault="005C6E9F" w:rsidP="002A5ED9">
      <w:pPr>
        <w:pStyle w:val="ListParagraph"/>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Options and a</w:t>
      </w:r>
      <w:r w:rsidR="00305DA6" w:rsidRPr="000E4599">
        <w:rPr>
          <w:rFonts w:ascii="Times New Roman" w:hAnsi="Times New Roman" w:cs="Times New Roman"/>
          <w:b/>
          <w:i/>
          <w:sz w:val="24"/>
          <w:szCs w:val="24"/>
        </w:rPr>
        <w:t>nalysis</w:t>
      </w:r>
    </w:p>
    <w:p w:rsidR="00A65B46" w:rsidRPr="000E4599" w:rsidRDefault="00A65B46" w:rsidP="002A5ED9">
      <w:pPr>
        <w:spacing w:after="0" w:line="240" w:lineRule="auto"/>
        <w:jc w:val="both"/>
        <w:rPr>
          <w:rFonts w:ascii="Times New Roman" w:hAnsi="Times New Roman" w:cs="Times New Roman"/>
          <w:sz w:val="24"/>
          <w:szCs w:val="24"/>
        </w:rPr>
      </w:pPr>
    </w:p>
    <w:p w:rsidR="00A65B46" w:rsidRPr="0067183D" w:rsidRDefault="001D283A" w:rsidP="002A5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Three </w:t>
      </w:r>
      <w:r w:rsidR="0067183D">
        <w:rPr>
          <w:rFonts w:ascii="Times New Roman" w:hAnsi="Times New Roman" w:cs="Times New Roman"/>
          <w:sz w:val="24"/>
          <w:szCs w:val="24"/>
        </w:rPr>
        <w:t xml:space="preserve">options have been </w:t>
      </w:r>
      <w:r w:rsidR="00A65B46" w:rsidRPr="000E4599">
        <w:rPr>
          <w:rFonts w:ascii="Times New Roman" w:hAnsi="Times New Roman" w:cs="Times New Roman"/>
          <w:sz w:val="24"/>
          <w:szCs w:val="24"/>
        </w:rPr>
        <w:t>considered for a</w:t>
      </w:r>
      <w:r w:rsidR="0067183D">
        <w:rPr>
          <w:rFonts w:ascii="Times New Roman" w:hAnsi="Times New Roman" w:cs="Times New Roman"/>
          <w:sz w:val="24"/>
          <w:szCs w:val="24"/>
        </w:rPr>
        <w:t xml:space="preserve">ddressing this </w:t>
      </w:r>
      <w:r w:rsidR="004E4125">
        <w:rPr>
          <w:rFonts w:ascii="Times New Roman" w:hAnsi="Times New Roman" w:cs="Times New Roman"/>
          <w:sz w:val="24"/>
          <w:szCs w:val="24"/>
        </w:rPr>
        <w:t>issue</w:t>
      </w:r>
      <w:r w:rsidR="0067183D">
        <w:rPr>
          <w:rFonts w:ascii="Times New Roman" w:hAnsi="Times New Roman" w:cs="Times New Roman"/>
          <w:sz w:val="24"/>
          <w:szCs w:val="24"/>
        </w:rPr>
        <w:t>, namely</w:t>
      </w:r>
      <w:r>
        <w:rPr>
          <w:rFonts w:ascii="Times New Roman" w:hAnsi="Times New Roman" w:cs="Times New Roman"/>
          <w:sz w:val="24"/>
          <w:szCs w:val="24"/>
        </w:rPr>
        <w:t>;</w:t>
      </w:r>
      <w:r w:rsidR="0067183D">
        <w:rPr>
          <w:rFonts w:ascii="Times New Roman" w:hAnsi="Times New Roman" w:cs="Times New Roman"/>
          <w:sz w:val="24"/>
          <w:szCs w:val="24"/>
        </w:rPr>
        <w:t xml:space="preserve"> retain the status quo</w:t>
      </w:r>
      <w:r>
        <w:rPr>
          <w:rFonts w:ascii="Times New Roman" w:hAnsi="Times New Roman" w:cs="Times New Roman"/>
          <w:sz w:val="24"/>
          <w:szCs w:val="24"/>
        </w:rPr>
        <w:t>,</w:t>
      </w:r>
      <w:r w:rsidR="0067183D">
        <w:rPr>
          <w:rFonts w:ascii="Times New Roman" w:hAnsi="Times New Roman" w:cs="Times New Roman"/>
          <w:sz w:val="24"/>
          <w:szCs w:val="24"/>
        </w:rPr>
        <w:t xml:space="preserve"> </w:t>
      </w:r>
      <w:r>
        <w:rPr>
          <w:rFonts w:ascii="Times New Roman" w:hAnsi="Times New Roman" w:cs="Times New Roman"/>
          <w:sz w:val="24"/>
          <w:szCs w:val="24"/>
        </w:rPr>
        <w:t>or</w:t>
      </w:r>
      <w:r w:rsidR="0067183D">
        <w:rPr>
          <w:rFonts w:ascii="Times New Roman" w:hAnsi="Times New Roman" w:cs="Times New Roman"/>
          <w:sz w:val="24"/>
          <w:szCs w:val="24"/>
        </w:rPr>
        <w:t xml:space="preserve"> </w:t>
      </w:r>
      <w:r w:rsidR="00305DA6" w:rsidRPr="0067183D">
        <w:rPr>
          <w:rFonts w:ascii="Times New Roman" w:hAnsi="Times New Roman" w:cs="Times New Roman"/>
          <w:sz w:val="24"/>
          <w:szCs w:val="24"/>
        </w:rPr>
        <w:t xml:space="preserve">to </w:t>
      </w:r>
      <w:r w:rsidR="00A65B46" w:rsidRPr="0067183D">
        <w:rPr>
          <w:rFonts w:ascii="Times New Roman" w:hAnsi="Times New Roman" w:cs="Times New Roman"/>
          <w:sz w:val="24"/>
          <w:szCs w:val="24"/>
        </w:rPr>
        <w:t xml:space="preserve">increase the threshold for annual </w:t>
      </w:r>
      <w:proofErr w:type="spellStart"/>
      <w:r w:rsidR="00A65B46" w:rsidRPr="0067183D">
        <w:rPr>
          <w:rFonts w:ascii="Times New Roman" w:hAnsi="Times New Roman" w:cs="Times New Roman"/>
          <w:sz w:val="24"/>
          <w:szCs w:val="24"/>
        </w:rPr>
        <w:t>FBT</w:t>
      </w:r>
      <w:proofErr w:type="spellEnd"/>
      <w:r w:rsidR="00A65B46" w:rsidRPr="0067183D">
        <w:rPr>
          <w:rFonts w:ascii="Times New Roman" w:hAnsi="Times New Roman" w:cs="Times New Roman"/>
          <w:sz w:val="24"/>
          <w:szCs w:val="24"/>
        </w:rPr>
        <w:t xml:space="preserve"> returns from $500,000 to $1</w:t>
      </w:r>
      <w:r w:rsidR="00AF4FE3">
        <w:rPr>
          <w:rFonts w:ascii="Times New Roman" w:hAnsi="Times New Roman" w:cs="Times New Roman"/>
          <w:sz w:val="24"/>
          <w:szCs w:val="24"/>
        </w:rPr>
        <w:t xml:space="preserve"> </w:t>
      </w:r>
      <w:r w:rsidR="00A65B46" w:rsidRPr="0067183D">
        <w:rPr>
          <w:rFonts w:ascii="Times New Roman" w:hAnsi="Times New Roman" w:cs="Times New Roman"/>
          <w:sz w:val="24"/>
          <w:szCs w:val="24"/>
        </w:rPr>
        <w:t>m</w:t>
      </w:r>
      <w:r w:rsidR="00AF4FE3">
        <w:rPr>
          <w:rFonts w:ascii="Times New Roman" w:hAnsi="Times New Roman" w:cs="Times New Roman"/>
          <w:sz w:val="24"/>
          <w:szCs w:val="24"/>
        </w:rPr>
        <w:t>illion</w:t>
      </w:r>
      <w:r w:rsidR="009500FD">
        <w:rPr>
          <w:rFonts w:ascii="Times New Roman" w:hAnsi="Times New Roman" w:cs="Times New Roman"/>
          <w:sz w:val="24"/>
          <w:szCs w:val="24"/>
        </w:rPr>
        <w:t xml:space="preserve"> of PAYE/</w:t>
      </w:r>
      <w:proofErr w:type="spellStart"/>
      <w:r w:rsidR="009500FD">
        <w:rPr>
          <w:rFonts w:ascii="Times New Roman" w:hAnsi="Times New Roman" w:cs="Times New Roman"/>
          <w:sz w:val="24"/>
          <w:szCs w:val="24"/>
        </w:rPr>
        <w:t>ESCT</w:t>
      </w:r>
      <w:proofErr w:type="spellEnd"/>
      <w:r w:rsidR="00A65B46" w:rsidRPr="0067183D">
        <w:rPr>
          <w:rFonts w:ascii="Times New Roman" w:hAnsi="Times New Roman" w:cs="Times New Roman"/>
          <w:sz w:val="24"/>
          <w:szCs w:val="24"/>
        </w:rPr>
        <w:t xml:space="preserve"> </w:t>
      </w:r>
      <w:r>
        <w:rPr>
          <w:rFonts w:ascii="Times New Roman" w:hAnsi="Times New Roman" w:cs="Times New Roman"/>
          <w:sz w:val="24"/>
          <w:szCs w:val="24"/>
        </w:rPr>
        <w:t>or from $500,000 to $</w:t>
      </w:r>
      <w:r w:rsidR="004E4125">
        <w:rPr>
          <w:rFonts w:ascii="Times New Roman" w:hAnsi="Times New Roman" w:cs="Times New Roman"/>
          <w:sz w:val="24"/>
          <w:szCs w:val="24"/>
        </w:rPr>
        <w:t>2</w:t>
      </w:r>
      <w:r w:rsidR="00AF4FE3">
        <w:rPr>
          <w:rFonts w:ascii="Times New Roman" w:hAnsi="Times New Roman" w:cs="Times New Roman"/>
          <w:sz w:val="24"/>
          <w:szCs w:val="24"/>
        </w:rPr>
        <w:t xml:space="preserve"> </w:t>
      </w:r>
      <w:r>
        <w:rPr>
          <w:rFonts w:ascii="Times New Roman" w:hAnsi="Times New Roman" w:cs="Times New Roman"/>
          <w:sz w:val="24"/>
          <w:szCs w:val="24"/>
        </w:rPr>
        <w:t>m</w:t>
      </w:r>
      <w:r w:rsidR="00AF4FE3">
        <w:rPr>
          <w:rFonts w:ascii="Times New Roman" w:hAnsi="Times New Roman" w:cs="Times New Roman"/>
          <w:sz w:val="24"/>
          <w:szCs w:val="24"/>
        </w:rPr>
        <w:t>illion</w:t>
      </w:r>
      <w:r>
        <w:rPr>
          <w:rFonts w:ascii="Times New Roman" w:hAnsi="Times New Roman" w:cs="Times New Roman"/>
          <w:sz w:val="24"/>
          <w:szCs w:val="24"/>
        </w:rPr>
        <w:t xml:space="preserve"> </w:t>
      </w:r>
      <w:r w:rsidR="00A65B46" w:rsidRPr="0067183D">
        <w:rPr>
          <w:rFonts w:ascii="Times New Roman" w:hAnsi="Times New Roman" w:cs="Times New Roman"/>
          <w:sz w:val="24"/>
          <w:szCs w:val="24"/>
        </w:rPr>
        <w:t>of PAYE/</w:t>
      </w:r>
      <w:proofErr w:type="spellStart"/>
      <w:r w:rsidR="00A65B46" w:rsidRPr="0067183D">
        <w:rPr>
          <w:rFonts w:ascii="Times New Roman" w:hAnsi="Times New Roman" w:cs="Times New Roman"/>
          <w:sz w:val="24"/>
          <w:szCs w:val="24"/>
        </w:rPr>
        <w:t>ESCT</w:t>
      </w:r>
      <w:proofErr w:type="spellEnd"/>
      <w:r w:rsidR="00A65B46" w:rsidRPr="0067183D">
        <w:rPr>
          <w:rFonts w:ascii="Times New Roman" w:hAnsi="Times New Roman" w:cs="Times New Roman"/>
          <w:sz w:val="24"/>
          <w:szCs w:val="24"/>
        </w:rPr>
        <w:t>.</w:t>
      </w:r>
    </w:p>
    <w:p w:rsidR="00A65B46" w:rsidRPr="000E4599" w:rsidRDefault="00A65B46" w:rsidP="002A5ED9">
      <w:pPr>
        <w:spacing w:after="0" w:line="240" w:lineRule="auto"/>
        <w:jc w:val="both"/>
        <w:rPr>
          <w:rFonts w:ascii="Times New Roman" w:hAnsi="Times New Roman" w:cs="Times New Roman"/>
          <w:sz w:val="24"/>
          <w:szCs w:val="24"/>
        </w:rPr>
      </w:pPr>
    </w:p>
    <w:p w:rsidR="001D283A" w:rsidRDefault="00A65B46" w:rsidP="002A5ED9">
      <w:pPr>
        <w:pStyle w:val="ListParagraph"/>
        <w:spacing w:after="0" w:line="240" w:lineRule="auto"/>
        <w:ind w:left="0"/>
        <w:jc w:val="both"/>
        <w:rPr>
          <w:rFonts w:ascii="Times New Roman" w:hAnsi="Times New Roman" w:cs="Times New Roman"/>
          <w:sz w:val="24"/>
          <w:szCs w:val="24"/>
        </w:rPr>
      </w:pPr>
      <w:r w:rsidRPr="000E4599">
        <w:rPr>
          <w:rFonts w:ascii="Times New Roman" w:hAnsi="Times New Roman" w:cs="Times New Roman"/>
          <w:sz w:val="24"/>
          <w:szCs w:val="24"/>
        </w:rPr>
        <w:t xml:space="preserve">Officials’ analysis of the options is set out in the table </w:t>
      </w:r>
      <w:r w:rsidR="007F245B">
        <w:rPr>
          <w:rFonts w:ascii="Times New Roman" w:hAnsi="Times New Roman" w:cs="Times New Roman"/>
          <w:sz w:val="24"/>
          <w:szCs w:val="24"/>
        </w:rPr>
        <w:t>on the next page</w:t>
      </w:r>
      <w:r w:rsidRPr="000E4599">
        <w:rPr>
          <w:rFonts w:ascii="Times New Roman" w:hAnsi="Times New Roman" w:cs="Times New Roman"/>
          <w:sz w:val="24"/>
          <w:szCs w:val="24"/>
        </w:rPr>
        <w:t>.</w:t>
      </w:r>
    </w:p>
    <w:p w:rsidR="007F245B" w:rsidRDefault="007F245B" w:rsidP="002A5ED9">
      <w:pPr>
        <w:pStyle w:val="ListParagraph"/>
        <w:spacing w:after="0" w:line="240" w:lineRule="auto"/>
        <w:ind w:left="0"/>
        <w:jc w:val="both"/>
        <w:rPr>
          <w:rFonts w:ascii="Times New Roman" w:hAnsi="Times New Roman" w:cs="Times New Roman"/>
          <w:sz w:val="24"/>
          <w:szCs w:val="24"/>
        </w:rPr>
        <w:sectPr w:rsidR="007F245B">
          <w:pgSz w:w="11906" w:h="16838"/>
          <w:pgMar w:top="1440" w:right="1440" w:bottom="1440" w:left="1440" w:header="708" w:footer="708" w:gutter="0"/>
          <w:cols w:space="708"/>
          <w:docGrid w:linePitch="360"/>
        </w:sectPr>
      </w:pPr>
    </w:p>
    <w:p w:rsidR="00A65B46" w:rsidRPr="000E4599" w:rsidRDefault="00A65B46" w:rsidP="002A5ED9">
      <w:pPr>
        <w:spacing w:after="0" w:line="240" w:lineRule="auto"/>
        <w:jc w:val="both"/>
        <w:rPr>
          <w:rFonts w:ascii="Times New Roman" w:hAnsi="Times New Roman" w:cs="Times New Roman"/>
          <w:sz w:val="24"/>
          <w:szCs w:val="24"/>
        </w:rPr>
      </w:pPr>
    </w:p>
    <w:tbl>
      <w:tblPr>
        <w:tblStyle w:val="TableGrid"/>
        <w:tblW w:w="15735" w:type="dxa"/>
        <w:tblInd w:w="-885" w:type="dxa"/>
        <w:tblLayout w:type="fixed"/>
        <w:tblLook w:val="04A0" w:firstRow="1" w:lastRow="0" w:firstColumn="1" w:lastColumn="0" w:noHBand="0" w:noVBand="1"/>
      </w:tblPr>
      <w:tblGrid>
        <w:gridCol w:w="3120"/>
        <w:gridCol w:w="3118"/>
        <w:gridCol w:w="3260"/>
        <w:gridCol w:w="3119"/>
        <w:gridCol w:w="3118"/>
      </w:tblGrid>
      <w:tr w:rsidR="00842528" w:rsidRPr="000E4599" w:rsidTr="007F245B">
        <w:tc>
          <w:tcPr>
            <w:tcW w:w="3120" w:type="dxa"/>
          </w:tcPr>
          <w:p w:rsidR="00842528" w:rsidRPr="000E4599" w:rsidRDefault="00842528" w:rsidP="00A65B46">
            <w:pPr>
              <w:rPr>
                <w:rFonts w:ascii="Times New Roman" w:hAnsi="Times New Roman" w:cs="Times New Roman"/>
                <w:b/>
                <w:sz w:val="24"/>
                <w:szCs w:val="24"/>
              </w:rPr>
            </w:pPr>
            <w:r w:rsidRPr="000E4599">
              <w:rPr>
                <w:rFonts w:ascii="Times New Roman" w:hAnsi="Times New Roman" w:cs="Times New Roman"/>
                <w:b/>
                <w:sz w:val="24"/>
                <w:szCs w:val="24"/>
              </w:rPr>
              <w:t>Options</w:t>
            </w:r>
          </w:p>
        </w:tc>
        <w:tc>
          <w:tcPr>
            <w:tcW w:w="3118" w:type="dxa"/>
          </w:tcPr>
          <w:p w:rsidR="00842528" w:rsidRPr="000E4599" w:rsidRDefault="00842528" w:rsidP="00A65B46">
            <w:pPr>
              <w:rPr>
                <w:rFonts w:ascii="Times New Roman" w:hAnsi="Times New Roman" w:cs="Times New Roman"/>
                <w:b/>
                <w:sz w:val="24"/>
                <w:szCs w:val="24"/>
              </w:rPr>
            </w:pPr>
            <w:r w:rsidRPr="000E4599">
              <w:rPr>
                <w:rFonts w:ascii="Times New Roman" w:hAnsi="Times New Roman" w:cs="Times New Roman"/>
                <w:b/>
                <w:sz w:val="24"/>
                <w:szCs w:val="24"/>
              </w:rPr>
              <w:t>Fairness and equity</w:t>
            </w:r>
          </w:p>
        </w:tc>
        <w:tc>
          <w:tcPr>
            <w:tcW w:w="3260" w:type="dxa"/>
          </w:tcPr>
          <w:p w:rsidR="00842528" w:rsidRPr="000E4599" w:rsidRDefault="00842528" w:rsidP="00062EA1">
            <w:pPr>
              <w:rPr>
                <w:rFonts w:ascii="Times New Roman" w:hAnsi="Times New Roman" w:cs="Times New Roman"/>
                <w:b/>
                <w:sz w:val="24"/>
                <w:szCs w:val="24"/>
              </w:rPr>
            </w:pPr>
            <w:r w:rsidRPr="000E4599">
              <w:rPr>
                <w:rFonts w:ascii="Times New Roman" w:hAnsi="Times New Roman" w:cs="Times New Roman"/>
                <w:b/>
                <w:sz w:val="24"/>
                <w:szCs w:val="24"/>
              </w:rPr>
              <w:t xml:space="preserve">Efficiency of compliance and administration </w:t>
            </w:r>
          </w:p>
        </w:tc>
        <w:tc>
          <w:tcPr>
            <w:tcW w:w="3119" w:type="dxa"/>
          </w:tcPr>
          <w:p w:rsidR="00842528" w:rsidRPr="000E4599" w:rsidRDefault="00842528" w:rsidP="00A65B46">
            <w:pPr>
              <w:rPr>
                <w:rFonts w:ascii="Times New Roman" w:hAnsi="Times New Roman" w:cs="Times New Roman"/>
                <w:b/>
                <w:sz w:val="24"/>
                <w:szCs w:val="24"/>
              </w:rPr>
            </w:pPr>
            <w:r w:rsidRPr="000E4599">
              <w:rPr>
                <w:rFonts w:ascii="Times New Roman" w:hAnsi="Times New Roman" w:cs="Times New Roman"/>
                <w:b/>
                <w:sz w:val="24"/>
                <w:szCs w:val="24"/>
              </w:rPr>
              <w:t>Sustainability of tax system</w:t>
            </w:r>
          </w:p>
        </w:tc>
        <w:tc>
          <w:tcPr>
            <w:tcW w:w="3118" w:type="dxa"/>
          </w:tcPr>
          <w:p w:rsidR="00842528" w:rsidRPr="000E4599" w:rsidRDefault="00842528" w:rsidP="0044470D">
            <w:pPr>
              <w:rPr>
                <w:rFonts w:ascii="Times New Roman" w:hAnsi="Times New Roman" w:cs="Times New Roman"/>
                <w:b/>
                <w:sz w:val="24"/>
                <w:szCs w:val="24"/>
              </w:rPr>
            </w:pPr>
            <w:r w:rsidRPr="000E4599">
              <w:rPr>
                <w:rFonts w:ascii="Times New Roman" w:hAnsi="Times New Roman" w:cs="Times New Roman"/>
                <w:b/>
                <w:sz w:val="24"/>
                <w:szCs w:val="24"/>
              </w:rPr>
              <w:t>Revenue</w:t>
            </w:r>
          </w:p>
        </w:tc>
      </w:tr>
      <w:tr w:rsidR="00842528" w:rsidRPr="000E4599" w:rsidTr="007F245B">
        <w:tc>
          <w:tcPr>
            <w:tcW w:w="3120" w:type="dxa"/>
          </w:tcPr>
          <w:p w:rsidR="00842528" w:rsidRPr="00566803" w:rsidRDefault="00842528" w:rsidP="00A65B46">
            <w:pPr>
              <w:rPr>
                <w:rFonts w:ascii="Times New Roman" w:hAnsi="Times New Roman" w:cs="Times New Roman"/>
                <w:sz w:val="24"/>
                <w:szCs w:val="24"/>
              </w:rPr>
            </w:pPr>
            <w:r w:rsidRPr="00566803">
              <w:rPr>
                <w:rFonts w:ascii="Times New Roman" w:hAnsi="Times New Roman" w:cs="Times New Roman"/>
                <w:sz w:val="24"/>
                <w:szCs w:val="24"/>
              </w:rPr>
              <w:t xml:space="preserve">1. Status quo </w:t>
            </w:r>
          </w:p>
        </w:tc>
        <w:tc>
          <w:tcPr>
            <w:tcW w:w="3118" w:type="dxa"/>
          </w:tcPr>
          <w:p w:rsidR="00842528" w:rsidRPr="000E4599" w:rsidRDefault="007F245B" w:rsidP="00A65B46">
            <w:pPr>
              <w:rPr>
                <w:rFonts w:ascii="Times New Roman" w:hAnsi="Times New Roman" w:cs="Times New Roman"/>
                <w:sz w:val="24"/>
                <w:szCs w:val="24"/>
              </w:rPr>
            </w:pPr>
            <w:r>
              <w:rPr>
                <w:rFonts w:ascii="Times New Roman" w:hAnsi="Times New Roman" w:cs="Times New Roman"/>
                <w:sz w:val="24"/>
                <w:szCs w:val="24"/>
              </w:rPr>
              <w:t>Met</w:t>
            </w:r>
          </w:p>
        </w:tc>
        <w:tc>
          <w:tcPr>
            <w:tcW w:w="3260" w:type="dxa"/>
          </w:tcPr>
          <w:p w:rsidR="007F245B" w:rsidRDefault="007F245B" w:rsidP="00A65B46">
            <w:pPr>
              <w:rPr>
                <w:rFonts w:ascii="Times New Roman" w:hAnsi="Times New Roman" w:cs="Times New Roman"/>
                <w:sz w:val="24"/>
                <w:szCs w:val="24"/>
              </w:rPr>
            </w:pPr>
            <w:r>
              <w:rPr>
                <w:rFonts w:ascii="Times New Roman" w:hAnsi="Times New Roman" w:cs="Times New Roman"/>
                <w:sz w:val="24"/>
                <w:szCs w:val="24"/>
              </w:rPr>
              <w:t>Not met</w:t>
            </w:r>
          </w:p>
          <w:p w:rsidR="007F245B" w:rsidRDefault="007F245B" w:rsidP="00A65B46">
            <w:pPr>
              <w:rPr>
                <w:rFonts w:ascii="Times New Roman" w:hAnsi="Times New Roman" w:cs="Times New Roman"/>
                <w:sz w:val="24"/>
                <w:szCs w:val="24"/>
              </w:rPr>
            </w:pPr>
          </w:p>
          <w:p w:rsidR="00842528" w:rsidRPr="000E4599" w:rsidRDefault="00842528" w:rsidP="00A65B46">
            <w:pPr>
              <w:rPr>
                <w:rFonts w:ascii="Times New Roman" w:hAnsi="Times New Roman" w:cs="Times New Roman"/>
                <w:sz w:val="24"/>
                <w:szCs w:val="24"/>
              </w:rPr>
            </w:pPr>
            <w:r w:rsidRPr="000E4599">
              <w:rPr>
                <w:rFonts w:ascii="Times New Roman" w:hAnsi="Times New Roman" w:cs="Times New Roman"/>
                <w:sz w:val="24"/>
                <w:szCs w:val="24"/>
              </w:rPr>
              <w:t xml:space="preserve">Inefficient, as quarterly filing imposes a significant compliance cost compared with the amount of </w:t>
            </w:r>
            <w:proofErr w:type="spellStart"/>
            <w:r w:rsidRPr="000E4599">
              <w:rPr>
                <w:rFonts w:ascii="Times New Roman" w:hAnsi="Times New Roman" w:cs="Times New Roman"/>
                <w:sz w:val="24"/>
                <w:szCs w:val="24"/>
              </w:rPr>
              <w:t>FBT</w:t>
            </w:r>
            <w:proofErr w:type="spellEnd"/>
            <w:r w:rsidR="007F245B">
              <w:rPr>
                <w:rFonts w:ascii="Times New Roman" w:hAnsi="Times New Roman" w:cs="Times New Roman"/>
                <w:sz w:val="24"/>
                <w:szCs w:val="24"/>
              </w:rPr>
              <w:t>.</w:t>
            </w:r>
          </w:p>
        </w:tc>
        <w:tc>
          <w:tcPr>
            <w:tcW w:w="3119" w:type="dxa"/>
          </w:tcPr>
          <w:p w:rsidR="00842528" w:rsidRPr="000E4599" w:rsidRDefault="007F245B" w:rsidP="00A65B46">
            <w:pPr>
              <w:rPr>
                <w:rFonts w:ascii="Times New Roman" w:hAnsi="Times New Roman" w:cs="Times New Roman"/>
                <w:sz w:val="24"/>
                <w:szCs w:val="24"/>
              </w:rPr>
            </w:pPr>
            <w:r>
              <w:rPr>
                <w:rFonts w:ascii="Times New Roman" w:hAnsi="Times New Roman" w:cs="Times New Roman"/>
                <w:sz w:val="24"/>
                <w:szCs w:val="24"/>
              </w:rPr>
              <w:t>Met</w:t>
            </w:r>
          </w:p>
        </w:tc>
        <w:tc>
          <w:tcPr>
            <w:tcW w:w="3118" w:type="dxa"/>
          </w:tcPr>
          <w:p w:rsidR="00842528" w:rsidRPr="000E4599" w:rsidRDefault="00370C96" w:rsidP="00370C96">
            <w:pPr>
              <w:rPr>
                <w:rFonts w:ascii="Times New Roman" w:hAnsi="Times New Roman" w:cs="Times New Roman"/>
                <w:sz w:val="24"/>
                <w:szCs w:val="24"/>
              </w:rPr>
            </w:pPr>
            <w:r>
              <w:rPr>
                <w:rFonts w:ascii="Times New Roman" w:hAnsi="Times New Roman" w:cs="Times New Roman"/>
                <w:sz w:val="24"/>
                <w:szCs w:val="24"/>
              </w:rPr>
              <w:t>No impact</w:t>
            </w:r>
          </w:p>
        </w:tc>
      </w:tr>
      <w:tr w:rsidR="00842528" w:rsidRPr="000E4599" w:rsidTr="007F245B">
        <w:tc>
          <w:tcPr>
            <w:tcW w:w="3120" w:type="dxa"/>
          </w:tcPr>
          <w:p w:rsidR="00842528" w:rsidRPr="00566803" w:rsidRDefault="00842528" w:rsidP="00A65B46">
            <w:pPr>
              <w:rPr>
                <w:rFonts w:ascii="Times New Roman" w:hAnsi="Times New Roman" w:cs="Times New Roman"/>
                <w:sz w:val="24"/>
                <w:szCs w:val="24"/>
              </w:rPr>
            </w:pPr>
            <w:r w:rsidRPr="00566803">
              <w:rPr>
                <w:rFonts w:ascii="Times New Roman" w:hAnsi="Times New Roman" w:cs="Times New Roman"/>
                <w:sz w:val="24"/>
                <w:szCs w:val="24"/>
              </w:rPr>
              <w:t>2. Increase threshold to $1</w:t>
            </w:r>
            <w:r w:rsidR="00AF4FE3">
              <w:rPr>
                <w:rFonts w:ascii="Times New Roman" w:hAnsi="Times New Roman" w:cs="Times New Roman"/>
                <w:sz w:val="24"/>
                <w:szCs w:val="24"/>
              </w:rPr>
              <w:t xml:space="preserve"> </w:t>
            </w:r>
            <w:r w:rsidRPr="00566803">
              <w:rPr>
                <w:rFonts w:ascii="Times New Roman" w:hAnsi="Times New Roman" w:cs="Times New Roman"/>
                <w:sz w:val="24"/>
                <w:szCs w:val="24"/>
              </w:rPr>
              <w:t>m</w:t>
            </w:r>
            <w:r w:rsidR="00AF4FE3">
              <w:rPr>
                <w:rFonts w:ascii="Times New Roman" w:hAnsi="Times New Roman" w:cs="Times New Roman"/>
                <w:sz w:val="24"/>
                <w:szCs w:val="24"/>
              </w:rPr>
              <w:t>illion</w:t>
            </w:r>
          </w:p>
        </w:tc>
        <w:tc>
          <w:tcPr>
            <w:tcW w:w="3118" w:type="dxa"/>
          </w:tcPr>
          <w:p w:rsidR="00842528" w:rsidRPr="000E4599" w:rsidRDefault="00842528" w:rsidP="00A65B46">
            <w:pPr>
              <w:rPr>
                <w:rFonts w:ascii="Times New Roman" w:hAnsi="Times New Roman" w:cs="Times New Roman"/>
                <w:sz w:val="24"/>
                <w:szCs w:val="24"/>
              </w:rPr>
            </w:pPr>
            <w:r w:rsidRPr="000E4599">
              <w:rPr>
                <w:rFonts w:ascii="Times New Roman" w:hAnsi="Times New Roman" w:cs="Times New Roman"/>
                <w:sz w:val="24"/>
                <w:szCs w:val="24"/>
              </w:rPr>
              <w:t>No impact on fairness</w:t>
            </w:r>
          </w:p>
        </w:tc>
        <w:tc>
          <w:tcPr>
            <w:tcW w:w="3260" w:type="dxa"/>
          </w:tcPr>
          <w:p w:rsidR="007F245B" w:rsidRDefault="007F245B" w:rsidP="00A65B46">
            <w:pPr>
              <w:rPr>
                <w:rFonts w:ascii="Times New Roman" w:hAnsi="Times New Roman" w:cs="Times New Roman"/>
                <w:sz w:val="24"/>
                <w:szCs w:val="24"/>
              </w:rPr>
            </w:pPr>
            <w:r>
              <w:rPr>
                <w:rFonts w:ascii="Times New Roman" w:hAnsi="Times New Roman" w:cs="Times New Roman"/>
                <w:sz w:val="24"/>
                <w:szCs w:val="24"/>
              </w:rPr>
              <w:t>Met</w:t>
            </w:r>
          </w:p>
          <w:p w:rsidR="007F245B" w:rsidRDefault="007F245B" w:rsidP="00A65B46">
            <w:pPr>
              <w:rPr>
                <w:rFonts w:ascii="Times New Roman" w:hAnsi="Times New Roman" w:cs="Times New Roman"/>
                <w:sz w:val="24"/>
                <w:szCs w:val="24"/>
              </w:rPr>
            </w:pPr>
          </w:p>
          <w:p w:rsidR="00842528" w:rsidRPr="000E4599" w:rsidRDefault="00842528" w:rsidP="007F245B">
            <w:pPr>
              <w:rPr>
                <w:rFonts w:ascii="Times New Roman" w:hAnsi="Times New Roman" w:cs="Times New Roman"/>
                <w:sz w:val="24"/>
                <w:szCs w:val="24"/>
              </w:rPr>
            </w:pPr>
            <w:r w:rsidRPr="000E4599">
              <w:rPr>
                <w:rFonts w:ascii="Times New Roman" w:hAnsi="Times New Roman" w:cs="Times New Roman"/>
                <w:sz w:val="24"/>
                <w:szCs w:val="24"/>
              </w:rPr>
              <w:t>More efficient, as only annual filing is required. This will affect 1,500 taxpayers</w:t>
            </w:r>
            <w:r w:rsidR="007F245B">
              <w:rPr>
                <w:rFonts w:ascii="Times New Roman" w:hAnsi="Times New Roman" w:cs="Times New Roman"/>
                <w:sz w:val="24"/>
                <w:szCs w:val="24"/>
              </w:rPr>
              <w:t>.</w:t>
            </w:r>
          </w:p>
        </w:tc>
        <w:tc>
          <w:tcPr>
            <w:tcW w:w="3119" w:type="dxa"/>
          </w:tcPr>
          <w:p w:rsidR="007F245B" w:rsidRDefault="007F245B" w:rsidP="00A65B46">
            <w:pPr>
              <w:rPr>
                <w:rFonts w:ascii="Times New Roman" w:hAnsi="Times New Roman" w:cs="Times New Roman"/>
                <w:sz w:val="24"/>
                <w:szCs w:val="24"/>
              </w:rPr>
            </w:pPr>
            <w:r>
              <w:rPr>
                <w:rFonts w:ascii="Times New Roman" w:hAnsi="Times New Roman" w:cs="Times New Roman"/>
                <w:sz w:val="24"/>
                <w:szCs w:val="24"/>
              </w:rPr>
              <w:t>Met</w:t>
            </w:r>
          </w:p>
          <w:p w:rsidR="007F245B" w:rsidRDefault="007F245B" w:rsidP="00A65B46">
            <w:pPr>
              <w:rPr>
                <w:rFonts w:ascii="Times New Roman" w:hAnsi="Times New Roman" w:cs="Times New Roman"/>
                <w:sz w:val="24"/>
                <w:szCs w:val="24"/>
              </w:rPr>
            </w:pPr>
          </w:p>
          <w:p w:rsidR="00842528" w:rsidRPr="000E4599" w:rsidRDefault="007F245B" w:rsidP="007F245B">
            <w:pPr>
              <w:rPr>
                <w:rFonts w:ascii="Times New Roman" w:hAnsi="Times New Roman" w:cs="Times New Roman"/>
                <w:sz w:val="24"/>
                <w:szCs w:val="24"/>
              </w:rPr>
            </w:pPr>
            <w:r>
              <w:rPr>
                <w:rFonts w:ascii="Times New Roman" w:hAnsi="Times New Roman" w:cs="Times New Roman"/>
                <w:sz w:val="24"/>
                <w:szCs w:val="24"/>
              </w:rPr>
              <w:t>T</w:t>
            </w:r>
            <w:r w:rsidR="00842528" w:rsidRPr="000E4599">
              <w:rPr>
                <w:rFonts w:ascii="Times New Roman" w:hAnsi="Times New Roman" w:cs="Times New Roman"/>
                <w:sz w:val="24"/>
                <w:szCs w:val="24"/>
              </w:rPr>
              <w:t xml:space="preserve">he same amount of </w:t>
            </w:r>
            <w:proofErr w:type="spellStart"/>
            <w:r w:rsidR="00842528" w:rsidRPr="000E4599">
              <w:rPr>
                <w:rFonts w:ascii="Times New Roman" w:hAnsi="Times New Roman" w:cs="Times New Roman"/>
                <w:sz w:val="24"/>
                <w:szCs w:val="24"/>
              </w:rPr>
              <w:t>FBT</w:t>
            </w:r>
            <w:proofErr w:type="spellEnd"/>
            <w:r w:rsidR="00842528" w:rsidRPr="000E4599">
              <w:rPr>
                <w:rFonts w:ascii="Times New Roman" w:hAnsi="Times New Roman" w:cs="Times New Roman"/>
                <w:sz w:val="24"/>
                <w:szCs w:val="24"/>
              </w:rPr>
              <w:t xml:space="preserve"> will be payable. However the payment of </w:t>
            </w:r>
            <w:proofErr w:type="spellStart"/>
            <w:r w:rsidR="00842528" w:rsidRPr="000E4599">
              <w:rPr>
                <w:rFonts w:ascii="Times New Roman" w:hAnsi="Times New Roman" w:cs="Times New Roman"/>
                <w:sz w:val="24"/>
                <w:szCs w:val="24"/>
              </w:rPr>
              <w:t>FBT</w:t>
            </w:r>
            <w:proofErr w:type="spellEnd"/>
            <w:r w:rsidR="00842528" w:rsidRPr="000E4599">
              <w:rPr>
                <w:rFonts w:ascii="Times New Roman" w:hAnsi="Times New Roman" w:cs="Times New Roman"/>
                <w:sz w:val="24"/>
                <w:szCs w:val="24"/>
              </w:rPr>
              <w:t xml:space="preserve"> will be a deferral as it will be payable in a lump sum rather than 4 quarterly instalments</w:t>
            </w:r>
            <w:r w:rsidR="009500FD">
              <w:rPr>
                <w:rFonts w:ascii="Times New Roman" w:hAnsi="Times New Roman" w:cs="Times New Roman"/>
                <w:sz w:val="24"/>
                <w:szCs w:val="24"/>
              </w:rPr>
              <w:t>.</w:t>
            </w:r>
          </w:p>
        </w:tc>
        <w:tc>
          <w:tcPr>
            <w:tcW w:w="3118" w:type="dxa"/>
          </w:tcPr>
          <w:p w:rsidR="007F245B" w:rsidRDefault="00842528" w:rsidP="007F245B">
            <w:pPr>
              <w:rPr>
                <w:rFonts w:ascii="Times New Roman" w:hAnsi="Times New Roman" w:cs="Times New Roman"/>
                <w:sz w:val="24"/>
                <w:szCs w:val="24"/>
              </w:rPr>
            </w:pPr>
            <w:r w:rsidRPr="000E4599">
              <w:rPr>
                <w:rFonts w:ascii="Times New Roman" w:hAnsi="Times New Roman" w:cs="Times New Roman"/>
                <w:sz w:val="24"/>
                <w:szCs w:val="24"/>
              </w:rPr>
              <w:t>Small fiscal cost</w:t>
            </w:r>
          </w:p>
          <w:p w:rsidR="007F245B" w:rsidRDefault="007F245B" w:rsidP="007F245B">
            <w:pPr>
              <w:rPr>
                <w:rFonts w:ascii="Times New Roman" w:hAnsi="Times New Roman" w:cs="Times New Roman"/>
                <w:sz w:val="24"/>
                <w:szCs w:val="24"/>
              </w:rPr>
            </w:pPr>
          </w:p>
          <w:p w:rsidR="00842528" w:rsidRPr="000E4599" w:rsidRDefault="00842528" w:rsidP="00124BBD">
            <w:pPr>
              <w:rPr>
                <w:rFonts w:ascii="Times New Roman" w:hAnsi="Times New Roman" w:cs="Times New Roman"/>
                <w:sz w:val="24"/>
                <w:szCs w:val="24"/>
              </w:rPr>
            </w:pPr>
            <w:r w:rsidRPr="000E4599">
              <w:rPr>
                <w:rFonts w:ascii="Times New Roman" w:hAnsi="Times New Roman" w:cs="Times New Roman"/>
                <w:sz w:val="24"/>
                <w:szCs w:val="24"/>
              </w:rPr>
              <w:t xml:space="preserve">The fiscal cost of this for </w:t>
            </w:r>
            <w:r w:rsidR="008C25E5">
              <w:rPr>
                <w:rFonts w:ascii="Times New Roman" w:hAnsi="Times New Roman" w:cs="Times New Roman"/>
                <w:sz w:val="24"/>
                <w:szCs w:val="24"/>
              </w:rPr>
              <w:t>close</w:t>
            </w:r>
            <w:r w:rsidRPr="000E4599">
              <w:rPr>
                <w:rFonts w:ascii="Times New Roman" w:hAnsi="Times New Roman" w:cs="Times New Roman"/>
                <w:sz w:val="24"/>
                <w:szCs w:val="24"/>
              </w:rPr>
              <w:t xml:space="preserve"> companies is estimated to be </w:t>
            </w:r>
            <w:r w:rsidR="00124BBD">
              <w:rPr>
                <w:rFonts w:ascii="Times New Roman" w:hAnsi="Times New Roman" w:cs="Times New Roman"/>
                <w:sz w:val="24"/>
                <w:szCs w:val="24"/>
              </w:rPr>
              <w:t>$0.5 million over four years</w:t>
            </w:r>
            <w:r w:rsidRPr="000E4599">
              <w:rPr>
                <w:rFonts w:ascii="Times New Roman" w:hAnsi="Times New Roman" w:cs="Times New Roman"/>
                <w:sz w:val="24"/>
                <w:szCs w:val="24"/>
              </w:rPr>
              <w:t xml:space="preserve">.  Other taxpayers will still pay their </w:t>
            </w:r>
            <w:proofErr w:type="spellStart"/>
            <w:r w:rsidRPr="000E4599">
              <w:rPr>
                <w:rFonts w:ascii="Times New Roman" w:hAnsi="Times New Roman" w:cs="Times New Roman"/>
                <w:sz w:val="24"/>
                <w:szCs w:val="24"/>
              </w:rPr>
              <w:t>FBT</w:t>
            </w:r>
            <w:proofErr w:type="spellEnd"/>
            <w:r w:rsidRPr="000E4599">
              <w:rPr>
                <w:rFonts w:ascii="Times New Roman" w:hAnsi="Times New Roman" w:cs="Times New Roman"/>
                <w:sz w:val="24"/>
                <w:szCs w:val="24"/>
              </w:rPr>
              <w:t xml:space="preserve"> in the same fiscal year.</w:t>
            </w:r>
          </w:p>
        </w:tc>
      </w:tr>
      <w:tr w:rsidR="00AB040D" w:rsidRPr="000E4599" w:rsidTr="007F245B">
        <w:tc>
          <w:tcPr>
            <w:tcW w:w="3120" w:type="dxa"/>
          </w:tcPr>
          <w:p w:rsidR="00AB040D" w:rsidRPr="00566803" w:rsidRDefault="00AB040D" w:rsidP="00AB040D">
            <w:pPr>
              <w:rPr>
                <w:rFonts w:ascii="Times New Roman" w:hAnsi="Times New Roman" w:cs="Times New Roman"/>
                <w:sz w:val="24"/>
                <w:szCs w:val="24"/>
              </w:rPr>
            </w:pPr>
            <w:r>
              <w:rPr>
                <w:rFonts w:ascii="Times New Roman" w:hAnsi="Times New Roman" w:cs="Times New Roman"/>
                <w:sz w:val="24"/>
                <w:szCs w:val="24"/>
              </w:rPr>
              <w:t>3. Increase threshold to $2 million</w:t>
            </w:r>
          </w:p>
        </w:tc>
        <w:tc>
          <w:tcPr>
            <w:tcW w:w="3118" w:type="dxa"/>
          </w:tcPr>
          <w:p w:rsidR="00AB040D" w:rsidRPr="000E4599" w:rsidRDefault="00AB040D" w:rsidP="00AB040D">
            <w:pPr>
              <w:rPr>
                <w:rFonts w:ascii="Times New Roman" w:hAnsi="Times New Roman" w:cs="Times New Roman"/>
                <w:sz w:val="24"/>
                <w:szCs w:val="24"/>
              </w:rPr>
            </w:pPr>
            <w:r>
              <w:rPr>
                <w:rFonts w:ascii="Times New Roman" w:hAnsi="Times New Roman" w:cs="Times New Roman"/>
                <w:sz w:val="24"/>
                <w:szCs w:val="24"/>
              </w:rPr>
              <w:t>No impact on fairness</w:t>
            </w:r>
          </w:p>
        </w:tc>
        <w:tc>
          <w:tcPr>
            <w:tcW w:w="3260" w:type="dxa"/>
          </w:tcPr>
          <w:p w:rsidR="007F245B" w:rsidRDefault="007F245B" w:rsidP="00AB040D">
            <w:pPr>
              <w:rPr>
                <w:rFonts w:ascii="Times New Roman" w:hAnsi="Times New Roman" w:cs="Times New Roman"/>
                <w:sz w:val="24"/>
                <w:szCs w:val="24"/>
              </w:rPr>
            </w:pPr>
            <w:r>
              <w:rPr>
                <w:rFonts w:ascii="Times New Roman" w:hAnsi="Times New Roman" w:cs="Times New Roman"/>
                <w:sz w:val="24"/>
                <w:szCs w:val="24"/>
              </w:rPr>
              <w:t>Met</w:t>
            </w:r>
          </w:p>
          <w:p w:rsidR="007F245B" w:rsidRDefault="007F245B" w:rsidP="00AB040D">
            <w:pPr>
              <w:rPr>
                <w:rFonts w:ascii="Times New Roman" w:hAnsi="Times New Roman" w:cs="Times New Roman"/>
                <w:sz w:val="24"/>
                <w:szCs w:val="24"/>
              </w:rPr>
            </w:pPr>
          </w:p>
          <w:p w:rsidR="00AB040D" w:rsidRPr="000E4599" w:rsidRDefault="00AB040D" w:rsidP="007F245B">
            <w:pPr>
              <w:rPr>
                <w:rFonts w:ascii="Times New Roman" w:hAnsi="Times New Roman" w:cs="Times New Roman"/>
                <w:sz w:val="24"/>
                <w:szCs w:val="24"/>
              </w:rPr>
            </w:pPr>
            <w:r w:rsidRPr="000E4599">
              <w:rPr>
                <w:rFonts w:ascii="Times New Roman" w:hAnsi="Times New Roman" w:cs="Times New Roman"/>
                <w:sz w:val="24"/>
                <w:szCs w:val="24"/>
              </w:rPr>
              <w:t xml:space="preserve">More efficient, as only annual filing is required. This will affect </w:t>
            </w:r>
            <w:r>
              <w:rPr>
                <w:rFonts w:ascii="Times New Roman" w:hAnsi="Times New Roman" w:cs="Times New Roman"/>
                <w:sz w:val="24"/>
                <w:szCs w:val="24"/>
              </w:rPr>
              <w:t>2,100</w:t>
            </w:r>
            <w:r w:rsidRPr="000E4599">
              <w:rPr>
                <w:rFonts w:ascii="Times New Roman" w:hAnsi="Times New Roman" w:cs="Times New Roman"/>
                <w:sz w:val="24"/>
                <w:szCs w:val="24"/>
              </w:rPr>
              <w:t xml:space="preserve"> taxpayers</w:t>
            </w:r>
            <w:r w:rsidR="007F245B">
              <w:rPr>
                <w:rFonts w:ascii="Times New Roman" w:hAnsi="Times New Roman" w:cs="Times New Roman"/>
                <w:sz w:val="24"/>
                <w:szCs w:val="24"/>
              </w:rPr>
              <w:t>.</w:t>
            </w:r>
          </w:p>
        </w:tc>
        <w:tc>
          <w:tcPr>
            <w:tcW w:w="3119" w:type="dxa"/>
          </w:tcPr>
          <w:p w:rsidR="007F245B" w:rsidRDefault="007F245B" w:rsidP="00AB040D">
            <w:pPr>
              <w:rPr>
                <w:rFonts w:ascii="Times New Roman" w:hAnsi="Times New Roman" w:cs="Times New Roman"/>
                <w:sz w:val="24"/>
                <w:szCs w:val="24"/>
              </w:rPr>
            </w:pPr>
            <w:r>
              <w:rPr>
                <w:rFonts w:ascii="Times New Roman" w:hAnsi="Times New Roman" w:cs="Times New Roman"/>
                <w:sz w:val="24"/>
                <w:szCs w:val="24"/>
              </w:rPr>
              <w:t>Met</w:t>
            </w:r>
          </w:p>
          <w:p w:rsidR="007F245B" w:rsidRDefault="007F245B" w:rsidP="00AB040D">
            <w:pPr>
              <w:rPr>
                <w:rFonts w:ascii="Times New Roman" w:hAnsi="Times New Roman" w:cs="Times New Roman"/>
                <w:sz w:val="24"/>
                <w:szCs w:val="24"/>
              </w:rPr>
            </w:pPr>
          </w:p>
          <w:p w:rsidR="00AB040D" w:rsidRPr="000E4599" w:rsidRDefault="00AB040D" w:rsidP="007F245B">
            <w:pPr>
              <w:rPr>
                <w:rFonts w:ascii="Times New Roman" w:hAnsi="Times New Roman" w:cs="Times New Roman"/>
                <w:sz w:val="24"/>
                <w:szCs w:val="24"/>
              </w:rPr>
            </w:pPr>
            <w:r>
              <w:rPr>
                <w:rFonts w:ascii="Times New Roman" w:hAnsi="Times New Roman" w:cs="Times New Roman"/>
                <w:sz w:val="24"/>
                <w:szCs w:val="24"/>
              </w:rPr>
              <w:t>Same as option 2</w:t>
            </w:r>
            <w:r w:rsidRPr="000E4599">
              <w:rPr>
                <w:rFonts w:ascii="Times New Roman" w:hAnsi="Times New Roman" w:cs="Times New Roman"/>
                <w:sz w:val="24"/>
                <w:szCs w:val="24"/>
              </w:rPr>
              <w:t xml:space="preserve">.  </w:t>
            </w:r>
          </w:p>
        </w:tc>
        <w:tc>
          <w:tcPr>
            <w:tcW w:w="3118" w:type="dxa"/>
          </w:tcPr>
          <w:p w:rsidR="00AB040D" w:rsidRPr="000E4599" w:rsidRDefault="00124BBD" w:rsidP="007F245B">
            <w:pPr>
              <w:rPr>
                <w:rFonts w:ascii="Times New Roman" w:hAnsi="Times New Roman" w:cs="Times New Roman"/>
                <w:sz w:val="24"/>
                <w:szCs w:val="24"/>
              </w:rPr>
            </w:pPr>
            <w:r>
              <w:rPr>
                <w:rFonts w:ascii="Times New Roman" w:hAnsi="Times New Roman" w:cs="Times New Roman"/>
                <w:sz w:val="24"/>
                <w:szCs w:val="24"/>
              </w:rPr>
              <w:t>Small fiscal cost, greater than option 2</w:t>
            </w:r>
            <w:r w:rsidR="00AB040D" w:rsidRPr="000E4599">
              <w:rPr>
                <w:rFonts w:ascii="Times New Roman" w:hAnsi="Times New Roman" w:cs="Times New Roman"/>
                <w:sz w:val="24"/>
                <w:szCs w:val="24"/>
              </w:rPr>
              <w:t xml:space="preserve">.  </w:t>
            </w:r>
          </w:p>
        </w:tc>
      </w:tr>
    </w:tbl>
    <w:p w:rsidR="001D283A" w:rsidRDefault="001D283A" w:rsidP="00AB040D">
      <w:pPr>
        <w:spacing w:after="0" w:line="240" w:lineRule="auto"/>
        <w:jc w:val="both"/>
        <w:rPr>
          <w:rFonts w:ascii="Times New Roman" w:hAnsi="Times New Roman" w:cs="Times New Roman"/>
          <w:sz w:val="24"/>
          <w:szCs w:val="24"/>
        </w:rPr>
        <w:sectPr w:rsidR="001D283A" w:rsidSect="007F245B">
          <w:pgSz w:w="16838" w:h="11906" w:orient="landscape"/>
          <w:pgMar w:top="1440" w:right="1440" w:bottom="1440" w:left="1440" w:header="708" w:footer="708" w:gutter="0"/>
          <w:cols w:space="708"/>
          <w:docGrid w:linePitch="360"/>
        </w:sectPr>
      </w:pPr>
    </w:p>
    <w:p w:rsidR="00AB040D" w:rsidRPr="000E4599" w:rsidRDefault="00AB040D" w:rsidP="00AB040D">
      <w:pPr>
        <w:spacing w:after="0" w:line="240" w:lineRule="auto"/>
        <w:jc w:val="both"/>
        <w:rPr>
          <w:rFonts w:ascii="Times New Roman" w:hAnsi="Times New Roman" w:cs="Times New Roman"/>
          <w:sz w:val="24"/>
          <w:szCs w:val="24"/>
        </w:rPr>
      </w:pPr>
    </w:p>
    <w:p w:rsidR="00AB040D" w:rsidRPr="000E4599" w:rsidRDefault="00AB040D" w:rsidP="00AB040D">
      <w:pPr>
        <w:spacing w:after="0" w:line="240" w:lineRule="auto"/>
        <w:jc w:val="both"/>
        <w:rPr>
          <w:rFonts w:ascii="Times New Roman" w:hAnsi="Times New Roman" w:cs="Times New Roman"/>
          <w:b/>
          <w:i/>
          <w:sz w:val="24"/>
          <w:szCs w:val="24"/>
        </w:rPr>
      </w:pPr>
      <w:r w:rsidRPr="000E4599">
        <w:rPr>
          <w:rFonts w:ascii="Times New Roman" w:hAnsi="Times New Roman" w:cs="Times New Roman"/>
          <w:b/>
          <w:i/>
          <w:sz w:val="24"/>
          <w:szCs w:val="24"/>
        </w:rPr>
        <w:t>Consultation</w:t>
      </w:r>
    </w:p>
    <w:p w:rsidR="00AB040D" w:rsidRDefault="00AB040D" w:rsidP="00AB040D">
      <w:pPr>
        <w:spacing w:after="0" w:line="240" w:lineRule="auto"/>
        <w:jc w:val="both"/>
        <w:rPr>
          <w:rFonts w:ascii="Times New Roman" w:hAnsi="Times New Roman" w:cs="Times New Roman"/>
          <w:sz w:val="24"/>
          <w:szCs w:val="24"/>
        </w:rPr>
      </w:pPr>
    </w:p>
    <w:p w:rsidR="00AB040D" w:rsidRPr="000E4599" w:rsidRDefault="00AB040D" w:rsidP="00AB0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consulted on the options with </w:t>
      </w:r>
      <w:r w:rsidRPr="00350B5C">
        <w:rPr>
          <w:rFonts w:ascii="Times New Roman" w:hAnsi="Times New Roman" w:cs="Times New Roman"/>
          <w:sz w:val="24"/>
          <w:szCs w:val="24"/>
        </w:rPr>
        <w:t>Chartered Accountants of Australia and New Ze</w:t>
      </w:r>
      <w:r>
        <w:rPr>
          <w:rFonts w:ascii="Times New Roman" w:hAnsi="Times New Roman" w:cs="Times New Roman"/>
          <w:sz w:val="24"/>
          <w:szCs w:val="24"/>
        </w:rPr>
        <w:t>aland, Corporate Taxpayer Group and</w:t>
      </w:r>
      <w:r w:rsidRPr="00350B5C">
        <w:rPr>
          <w:rFonts w:ascii="Times New Roman" w:hAnsi="Times New Roman" w:cs="Times New Roman"/>
          <w:sz w:val="24"/>
          <w:szCs w:val="24"/>
        </w:rPr>
        <w:t xml:space="preserve"> Business New Zealand</w:t>
      </w:r>
      <w:r>
        <w:rPr>
          <w:rFonts w:ascii="Times New Roman" w:hAnsi="Times New Roman" w:cs="Times New Roman"/>
          <w:sz w:val="24"/>
          <w:szCs w:val="24"/>
        </w:rPr>
        <w:t>. They did not have any comments.</w:t>
      </w:r>
    </w:p>
    <w:p w:rsidR="00AB040D" w:rsidRDefault="00AB040D" w:rsidP="00AB040D">
      <w:pPr>
        <w:spacing w:after="0" w:line="240" w:lineRule="auto"/>
        <w:jc w:val="both"/>
        <w:rPr>
          <w:rFonts w:ascii="Times New Roman" w:hAnsi="Times New Roman" w:cs="Times New Roman"/>
          <w:b/>
          <w:i/>
          <w:sz w:val="24"/>
          <w:szCs w:val="24"/>
        </w:rPr>
      </w:pPr>
    </w:p>
    <w:p w:rsidR="00AB040D" w:rsidRPr="000E4599" w:rsidRDefault="00AB040D" w:rsidP="002D0AC2">
      <w:pPr>
        <w:pStyle w:val="Heading3"/>
      </w:pPr>
      <w:bookmarkStart w:id="41" w:name="_Toc444145626"/>
      <w:r>
        <w:t>R</w:t>
      </w:r>
      <w:r w:rsidRPr="000E4599">
        <w:t>ecommendations</w:t>
      </w:r>
      <w:bookmarkEnd w:id="41"/>
    </w:p>
    <w:p w:rsidR="00AB040D" w:rsidRPr="000E4599" w:rsidRDefault="00AB040D" w:rsidP="00AB040D">
      <w:pPr>
        <w:spacing w:after="0" w:line="240" w:lineRule="auto"/>
        <w:jc w:val="both"/>
        <w:rPr>
          <w:rFonts w:ascii="Times New Roman" w:hAnsi="Times New Roman" w:cs="Times New Roman"/>
          <w:sz w:val="24"/>
          <w:szCs w:val="24"/>
        </w:rPr>
      </w:pPr>
    </w:p>
    <w:p w:rsidR="00AB040D" w:rsidRDefault="00AB040D" w:rsidP="00AB040D">
      <w:pPr>
        <w:spacing w:after="0" w:line="240" w:lineRule="auto"/>
        <w:jc w:val="both"/>
        <w:rPr>
          <w:rFonts w:ascii="Times New Roman" w:hAnsi="Times New Roman" w:cs="Times New Roman"/>
          <w:sz w:val="24"/>
          <w:szCs w:val="24"/>
        </w:rPr>
      </w:pPr>
      <w:r w:rsidRPr="000E4599">
        <w:rPr>
          <w:rFonts w:ascii="Times New Roman" w:hAnsi="Times New Roman" w:cs="Times New Roman"/>
          <w:sz w:val="24"/>
          <w:szCs w:val="24"/>
        </w:rPr>
        <w:t>Officials recommend option 2, as it meets the objective without a significant fiscal cost.</w:t>
      </w:r>
      <w:r>
        <w:rPr>
          <w:rFonts w:ascii="Times New Roman" w:hAnsi="Times New Roman" w:cs="Times New Roman"/>
          <w:sz w:val="24"/>
          <w:szCs w:val="24"/>
        </w:rPr>
        <w:t xml:space="preserve"> Officials do not recommend option 3, as officials consider a business with </w:t>
      </w:r>
      <w:r w:rsidRPr="000E4599">
        <w:rPr>
          <w:rFonts w:ascii="Times New Roman" w:hAnsi="Times New Roman" w:cs="Times New Roman"/>
          <w:sz w:val="24"/>
          <w:szCs w:val="24"/>
        </w:rPr>
        <w:t>comb</w:t>
      </w:r>
      <w:r>
        <w:rPr>
          <w:rFonts w:ascii="Times New Roman" w:hAnsi="Times New Roman" w:cs="Times New Roman"/>
          <w:sz w:val="24"/>
          <w:szCs w:val="24"/>
        </w:rPr>
        <w:t xml:space="preserve">ined PAYE and </w:t>
      </w:r>
      <w:proofErr w:type="spellStart"/>
      <w:r>
        <w:rPr>
          <w:rFonts w:ascii="Times New Roman" w:hAnsi="Times New Roman" w:cs="Times New Roman"/>
          <w:sz w:val="24"/>
          <w:szCs w:val="24"/>
        </w:rPr>
        <w:t>ESCT</w:t>
      </w:r>
      <w:proofErr w:type="spellEnd"/>
      <w:r>
        <w:rPr>
          <w:rFonts w:ascii="Times New Roman" w:hAnsi="Times New Roman" w:cs="Times New Roman"/>
          <w:sz w:val="24"/>
          <w:szCs w:val="24"/>
        </w:rPr>
        <w:t xml:space="preserve"> obligations of over $1</w:t>
      </w:r>
      <w:r w:rsidR="00AF4FE3">
        <w:rPr>
          <w:rFonts w:ascii="Times New Roman" w:hAnsi="Times New Roman" w:cs="Times New Roman"/>
          <w:sz w:val="24"/>
          <w:szCs w:val="24"/>
        </w:rPr>
        <w:t xml:space="preserve"> </w:t>
      </w:r>
      <w:r>
        <w:rPr>
          <w:rFonts w:ascii="Times New Roman" w:hAnsi="Times New Roman" w:cs="Times New Roman"/>
          <w:sz w:val="24"/>
          <w:szCs w:val="24"/>
        </w:rPr>
        <w:t>m</w:t>
      </w:r>
      <w:r w:rsidR="00AF4FE3">
        <w:rPr>
          <w:rFonts w:ascii="Times New Roman" w:hAnsi="Times New Roman" w:cs="Times New Roman"/>
          <w:sz w:val="24"/>
          <w:szCs w:val="24"/>
        </w:rPr>
        <w:t>illion</w:t>
      </w:r>
      <w:r>
        <w:rPr>
          <w:rFonts w:ascii="Times New Roman" w:hAnsi="Times New Roman" w:cs="Times New Roman"/>
          <w:sz w:val="24"/>
          <w:szCs w:val="24"/>
        </w:rPr>
        <w:t xml:space="preserve"> is sufficiently large to be subject to the standard quarterly filing requirement.   </w:t>
      </w:r>
    </w:p>
    <w:p w:rsidR="00AB040D" w:rsidRDefault="00AB040D" w:rsidP="00AB040D">
      <w:pPr>
        <w:spacing w:after="0" w:line="240" w:lineRule="auto"/>
        <w:jc w:val="both"/>
        <w:rPr>
          <w:rFonts w:ascii="Times New Roman" w:hAnsi="Times New Roman" w:cs="Times New Roman"/>
          <w:sz w:val="24"/>
          <w:szCs w:val="24"/>
        </w:rPr>
      </w:pPr>
    </w:p>
    <w:p w:rsidR="007F7B62" w:rsidRPr="007E2B66" w:rsidRDefault="007F7B62" w:rsidP="007F7B62">
      <w:pPr>
        <w:spacing w:after="0" w:line="240" w:lineRule="auto"/>
        <w:jc w:val="both"/>
        <w:rPr>
          <w:rFonts w:ascii="Times New Roman" w:hAnsi="Times New Roman" w:cs="Times New Roman"/>
          <w:sz w:val="24"/>
          <w:szCs w:val="24"/>
        </w:rPr>
      </w:pPr>
    </w:p>
    <w:p w:rsidR="007F7B62" w:rsidRPr="00842528" w:rsidRDefault="00043703" w:rsidP="002D0AC2">
      <w:pPr>
        <w:pStyle w:val="Heading2"/>
      </w:pPr>
      <w:bookmarkStart w:id="42" w:name="_Toc444145627"/>
      <w:r>
        <w:t xml:space="preserve">6 – </w:t>
      </w:r>
      <w:r w:rsidR="007F7B62" w:rsidRPr="00842528">
        <w:t>Modify the 63 day rule on employee remuneration</w:t>
      </w:r>
      <w:bookmarkEnd w:id="42"/>
    </w:p>
    <w:p w:rsidR="007F7B62" w:rsidRPr="007E2B66" w:rsidRDefault="007F7B62" w:rsidP="007F7B62">
      <w:pPr>
        <w:spacing w:after="0" w:line="240" w:lineRule="auto"/>
        <w:jc w:val="both"/>
        <w:rPr>
          <w:rFonts w:ascii="Times New Roman" w:hAnsi="Times New Roman" w:cs="Times New Roman"/>
          <w:sz w:val="24"/>
          <w:szCs w:val="24"/>
          <w:u w:val="single"/>
        </w:rPr>
      </w:pPr>
    </w:p>
    <w:p w:rsidR="00F14255" w:rsidRPr="00F14255" w:rsidRDefault="00F14255" w:rsidP="00F14255">
      <w:pPr>
        <w:spacing w:after="0" w:line="240" w:lineRule="auto"/>
        <w:jc w:val="both"/>
        <w:rPr>
          <w:rFonts w:ascii="Times New Roman" w:hAnsi="Times New Roman" w:cs="Times New Roman"/>
          <w:b/>
          <w:i/>
          <w:sz w:val="24"/>
          <w:szCs w:val="24"/>
        </w:rPr>
      </w:pPr>
      <w:r w:rsidRPr="00F14255">
        <w:rPr>
          <w:rFonts w:ascii="Times New Roman" w:hAnsi="Times New Roman" w:cs="Times New Roman"/>
          <w:b/>
          <w:i/>
          <w:sz w:val="24"/>
          <w:szCs w:val="24"/>
        </w:rPr>
        <w:t>Status quo and problem definition</w:t>
      </w:r>
    </w:p>
    <w:p w:rsidR="007F7B62" w:rsidRPr="007E2B66" w:rsidRDefault="007F7B62" w:rsidP="007F7B62">
      <w:pPr>
        <w:spacing w:after="0" w:line="240" w:lineRule="auto"/>
        <w:jc w:val="both"/>
        <w:rPr>
          <w:rFonts w:ascii="Times New Roman" w:hAnsi="Times New Roman" w:cs="Times New Roman"/>
          <w:sz w:val="24"/>
          <w:szCs w:val="24"/>
        </w:rPr>
      </w:pPr>
    </w:p>
    <w:p w:rsidR="00305DA6" w:rsidRDefault="007F7B62" w:rsidP="00305DA6">
      <w:pPr>
        <w:pStyle w:val="ListParagraph"/>
        <w:spacing w:after="0" w:line="240" w:lineRule="auto"/>
        <w:ind w:left="0"/>
        <w:jc w:val="both"/>
        <w:rPr>
          <w:rFonts w:ascii="Times New Roman" w:hAnsi="Times New Roman" w:cs="Times New Roman"/>
          <w:sz w:val="24"/>
          <w:szCs w:val="24"/>
        </w:rPr>
      </w:pPr>
      <w:r w:rsidRPr="007E2B66">
        <w:rPr>
          <w:rFonts w:ascii="Times New Roman" w:hAnsi="Times New Roman" w:cs="Times New Roman"/>
          <w:sz w:val="24"/>
          <w:szCs w:val="24"/>
        </w:rPr>
        <w:t>There is a special deduction and timing rule for the deferred payment of employee remuneration. Currently, in order to comply with this deferred payment rule, taxpayers need to work out what employee remuneration has been paid during the 63 day period that relates to the previous income year. This creates an additional compliance burden for taxpayers because they need to track payments accrued at year end and paid within 63 days of the end of the income year.</w:t>
      </w:r>
    </w:p>
    <w:p w:rsidR="00305DA6" w:rsidRPr="00305DA6" w:rsidRDefault="00305DA6" w:rsidP="00305DA6">
      <w:pPr>
        <w:pStyle w:val="ListParagraph"/>
        <w:spacing w:after="0" w:line="240" w:lineRule="auto"/>
        <w:ind w:left="0"/>
        <w:jc w:val="both"/>
        <w:rPr>
          <w:rFonts w:ascii="Times New Roman" w:hAnsi="Times New Roman" w:cs="Times New Roman"/>
          <w:sz w:val="24"/>
          <w:szCs w:val="24"/>
        </w:rPr>
      </w:pPr>
    </w:p>
    <w:p w:rsidR="00305DA6" w:rsidRPr="00305DA6" w:rsidRDefault="005C6E9F" w:rsidP="00305DA6">
      <w:pPr>
        <w:spacing w:after="0" w:line="240" w:lineRule="auto"/>
        <w:jc w:val="both"/>
        <w:rPr>
          <w:rFonts w:ascii="Times New Roman" w:hAnsi="Times New Roman" w:cs="Times New Roman"/>
          <w:b/>
          <w:i/>
          <w:sz w:val="24"/>
          <w:szCs w:val="24"/>
        </w:rPr>
      </w:pPr>
      <w:r w:rsidRPr="00305DA6">
        <w:rPr>
          <w:rFonts w:ascii="Times New Roman" w:hAnsi="Times New Roman" w:cs="Times New Roman"/>
          <w:b/>
          <w:i/>
          <w:sz w:val="24"/>
          <w:szCs w:val="24"/>
        </w:rPr>
        <w:t>O</w:t>
      </w:r>
      <w:r w:rsidR="00305DA6" w:rsidRPr="00305DA6">
        <w:rPr>
          <w:rFonts w:ascii="Times New Roman" w:hAnsi="Times New Roman" w:cs="Times New Roman"/>
          <w:b/>
          <w:i/>
          <w:sz w:val="24"/>
          <w:szCs w:val="24"/>
        </w:rPr>
        <w:t>ptions</w:t>
      </w:r>
      <w:r>
        <w:rPr>
          <w:rFonts w:ascii="Times New Roman" w:hAnsi="Times New Roman" w:cs="Times New Roman"/>
          <w:b/>
          <w:i/>
          <w:sz w:val="24"/>
          <w:szCs w:val="24"/>
        </w:rPr>
        <w:t xml:space="preserve"> and analysis</w:t>
      </w:r>
    </w:p>
    <w:p w:rsidR="007F7B62" w:rsidRDefault="007F7B62" w:rsidP="007F7B62">
      <w:pPr>
        <w:pStyle w:val="ListParagraph"/>
        <w:spacing w:after="0" w:line="240" w:lineRule="auto"/>
        <w:ind w:left="0"/>
        <w:jc w:val="both"/>
        <w:rPr>
          <w:rFonts w:ascii="Times New Roman" w:hAnsi="Times New Roman" w:cs="Times New Roman"/>
          <w:sz w:val="24"/>
          <w:szCs w:val="24"/>
        </w:rPr>
      </w:pPr>
    </w:p>
    <w:p w:rsidR="007F7B62" w:rsidRPr="007E2B66" w:rsidRDefault="007F7B62" w:rsidP="00305DA6">
      <w:pPr>
        <w:pStyle w:val="ListParagraph"/>
        <w:spacing w:after="0" w:line="240" w:lineRule="auto"/>
        <w:ind w:left="0"/>
        <w:jc w:val="both"/>
        <w:rPr>
          <w:rFonts w:ascii="Times New Roman" w:hAnsi="Times New Roman" w:cs="Times New Roman"/>
          <w:sz w:val="24"/>
          <w:szCs w:val="24"/>
        </w:rPr>
      </w:pPr>
      <w:r w:rsidRPr="007E2B66">
        <w:rPr>
          <w:rFonts w:ascii="Times New Roman" w:hAnsi="Times New Roman" w:cs="Times New Roman"/>
          <w:sz w:val="24"/>
          <w:szCs w:val="24"/>
        </w:rPr>
        <w:t xml:space="preserve">The following options have been considered for addressing this </w:t>
      </w:r>
      <w:r w:rsidR="004E4125">
        <w:rPr>
          <w:rFonts w:ascii="Times New Roman" w:hAnsi="Times New Roman" w:cs="Times New Roman"/>
          <w:sz w:val="24"/>
          <w:szCs w:val="24"/>
        </w:rPr>
        <w:t>issue</w:t>
      </w:r>
      <w:r w:rsidRPr="007E2B66">
        <w:rPr>
          <w:rFonts w:ascii="Times New Roman" w:hAnsi="Times New Roman" w:cs="Times New Roman"/>
          <w:sz w:val="24"/>
          <w:szCs w:val="24"/>
        </w:rPr>
        <w:t>.</w:t>
      </w:r>
    </w:p>
    <w:p w:rsidR="007F7B62" w:rsidRPr="007E2B66" w:rsidRDefault="007F7B62" w:rsidP="007F7B62">
      <w:pPr>
        <w:spacing w:after="0" w:line="240" w:lineRule="auto"/>
        <w:jc w:val="both"/>
        <w:rPr>
          <w:rFonts w:ascii="Times New Roman" w:hAnsi="Times New Roman" w:cs="Times New Roman"/>
          <w:sz w:val="24"/>
          <w:szCs w:val="24"/>
        </w:rPr>
      </w:pPr>
    </w:p>
    <w:p w:rsidR="007F7B62" w:rsidRPr="00305DA6" w:rsidRDefault="00305DA6" w:rsidP="007F7B62">
      <w:pPr>
        <w:spacing w:after="0" w:line="240" w:lineRule="auto"/>
        <w:jc w:val="both"/>
        <w:rPr>
          <w:rFonts w:ascii="Times New Roman" w:hAnsi="Times New Roman" w:cs="Times New Roman"/>
          <w:sz w:val="24"/>
          <w:szCs w:val="24"/>
        </w:rPr>
      </w:pPr>
      <w:r w:rsidRPr="00305DA6">
        <w:rPr>
          <w:rFonts w:ascii="Times New Roman" w:hAnsi="Times New Roman" w:cs="Times New Roman"/>
          <w:sz w:val="24"/>
          <w:szCs w:val="24"/>
        </w:rPr>
        <w:t xml:space="preserve">The first option is to retain the </w:t>
      </w:r>
      <w:r w:rsidR="007F7B62" w:rsidRPr="00305DA6">
        <w:rPr>
          <w:rFonts w:ascii="Times New Roman" w:hAnsi="Times New Roman" w:cs="Times New Roman"/>
          <w:sz w:val="24"/>
          <w:szCs w:val="24"/>
        </w:rPr>
        <w:t>status quo</w:t>
      </w:r>
      <w:r>
        <w:rPr>
          <w:rFonts w:ascii="Times New Roman" w:hAnsi="Times New Roman" w:cs="Times New Roman"/>
          <w:sz w:val="24"/>
          <w:szCs w:val="24"/>
        </w:rPr>
        <w:t>.</w:t>
      </w:r>
    </w:p>
    <w:p w:rsidR="007F7B62" w:rsidRDefault="007F7B62" w:rsidP="007F7B62">
      <w:pPr>
        <w:pStyle w:val="ListParagraph"/>
        <w:spacing w:after="0" w:line="240" w:lineRule="auto"/>
        <w:ind w:left="0"/>
        <w:jc w:val="both"/>
        <w:rPr>
          <w:rFonts w:ascii="Times New Roman" w:hAnsi="Times New Roman" w:cs="Times New Roman"/>
          <w:sz w:val="24"/>
          <w:szCs w:val="24"/>
        </w:rPr>
      </w:pPr>
    </w:p>
    <w:p w:rsidR="007F245B" w:rsidRPr="008D31DB" w:rsidRDefault="007F245B" w:rsidP="005C6E9F">
      <w:pPr>
        <w:pStyle w:val="ListParagraph"/>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Option 2 – Make the 63 day </w:t>
      </w:r>
      <w:r w:rsidR="008E4AF0">
        <w:rPr>
          <w:rFonts w:ascii="Times New Roman" w:hAnsi="Times New Roman" w:cs="Times New Roman"/>
          <w:i/>
          <w:sz w:val="24"/>
          <w:szCs w:val="24"/>
        </w:rPr>
        <w:t>deferred</w:t>
      </w:r>
      <w:r>
        <w:rPr>
          <w:rFonts w:ascii="Times New Roman" w:hAnsi="Times New Roman" w:cs="Times New Roman"/>
          <w:i/>
          <w:sz w:val="24"/>
          <w:szCs w:val="24"/>
        </w:rPr>
        <w:t xml:space="preserve"> payment rule optional</w:t>
      </w:r>
    </w:p>
    <w:p w:rsidR="007F245B" w:rsidRDefault="007F245B" w:rsidP="005C6E9F">
      <w:pPr>
        <w:pStyle w:val="ListParagraph"/>
        <w:spacing w:after="0" w:line="240" w:lineRule="auto"/>
        <w:ind w:left="0"/>
        <w:jc w:val="both"/>
        <w:rPr>
          <w:rFonts w:ascii="Times New Roman" w:hAnsi="Times New Roman" w:cs="Times New Roman"/>
          <w:sz w:val="24"/>
          <w:szCs w:val="24"/>
        </w:rPr>
      </w:pPr>
    </w:p>
    <w:p w:rsidR="007F7B62" w:rsidRPr="007E2B66" w:rsidRDefault="007F7B62" w:rsidP="005C6E9F">
      <w:pPr>
        <w:pStyle w:val="ListParagraph"/>
        <w:spacing w:after="0" w:line="240" w:lineRule="auto"/>
        <w:ind w:left="0"/>
        <w:jc w:val="both"/>
        <w:rPr>
          <w:rFonts w:ascii="Times New Roman" w:hAnsi="Times New Roman" w:cs="Times New Roman"/>
          <w:sz w:val="24"/>
          <w:szCs w:val="24"/>
        </w:rPr>
      </w:pPr>
      <w:r w:rsidRPr="007E2B66">
        <w:rPr>
          <w:rFonts w:ascii="Times New Roman" w:hAnsi="Times New Roman" w:cs="Times New Roman"/>
          <w:sz w:val="24"/>
          <w:szCs w:val="24"/>
        </w:rPr>
        <w:t>If taxpayers did not want to apply the deferred payment rule, then they would deduct an amount for all employee remuneration on an “incurred and paid in an income year” basis. This would mean that taxpayers would not need to track employment remuneration payments made within 63 days of the end of the income year and could use the accruals in their financial accounts as a basis for working out the amount of their deduct</w:t>
      </w:r>
      <w:r>
        <w:rPr>
          <w:rFonts w:ascii="Times New Roman" w:hAnsi="Times New Roman" w:cs="Times New Roman"/>
          <w:sz w:val="24"/>
          <w:szCs w:val="24"/>
        </w:rPr>
        <w:t>ion for employee remuneration.</w:t>
      </w:r>
    </w:p>
    <w:p w:rsidR="007F7B62" w:rsidRPr="007F7B62" w:rsidRDefault="007F7B62" w:rsidP="00370C96">
      <w:pPr>
        <w:spacing w:after="0" w:line="240" w:lineRule="auto"/>
        <w:rPr>
          <w:rFonts w:ascii="Times New Roman" w:hAnsi="Times New Roman" w:cs="Times New Roman"/>
          <w:sz w:val="24"/>
          <w:szCs w:val="24"/>
        </w:rPr>
      </w:pPr>
    </w:p>
    <w:p w:rsidR="007F245B" w:rsidRPr="008D31DB" w:rsidRDefault="007F245B" w:rsidP="00370C96">
      <w:pPr>
        <w:pStyle w:val="ListParagraph"/>
        <w:spacing w:after="0" w:line="240" w:lineRule="auto"/>
        <w:ind w:left="0"/>
        <w:rPr>
          <w:rFonts w:ascii="Times New Roman" w:hAnsi="Times New Roman" w:cs="Times New Roman"/>
          <w:i/>
          <w:sz w:val="24"/>
          <w:szCs w:val="24"/>
        </w:rPr>
      </w:pPr>
      <w:r>
        <w:rPr>
          <w:rFonts w:ascii="Times New Roman" w:hAnsi="Times New Roman" w:cs="Times New Roman"/>
          <w:i/>
          <w:sz w:val="24"/>
          <w:szCs w:val="24"/>
        </w:rPr>
        <w:t>Option 3 – Taxpayers choose which employee remuneration is subject to the 63 day rule</w:t>
      </w:r>
    </w:p>
    <w:p w:rsidR="007F245B" w:rsidRDefault="007F245B" w:rsidP="00370C96">
      <w:pPr>
        <w:pStyle w:val="ListParagraph"/>
        <w:spacing w:after="0" w:line="240" w:lineRule="auto"/>
        <w:ind w:left="0"/>
        <w:rPr>
          <w:rFonts w:ascii="Times New Roman" w:hAnsi="Times New Roman" w:cs="Times New Roman"/>
          <w:sz w:val="24"/>
          <w:szCs w:val="24"/>
        </w:rPr>
      </w:pPr>
    </w:p>
    <w:p w:rsidR="00370C96" w:rsidRDefault="007F245B" w:rsidP="00370C9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w:t>
      </w:r>
      <w:r w:rsidR="007F7B62" w:rsidRPr="007F7B62">
        <w:rPr>
          <w:rFonts w:ascii="Times New Roman" w:hAnsi="Times New Roman" w:cs="Times New Roman"/>
          <w:sz w:val="24"/>
          <w:szCs w:val="24"/>
        </w:rPr>
        <w:t xml:space="preserve">axpayers could choose which types of employee remuneration are subject to the 63 day rule and which types are subject to the ordinary incurred and paid test. Types of employee remuneration include salary and wages, </w:t>
      </w:r>
      <w:r w:rsidR="007F7B62">
        <w:rPr>
          <w:rFonts w:ascii="Times New Roman" w:hAnsi="Times New Roman" w:cs="Times New Roman"/>
          <w:sz w:val="24"/>
          <w:szCs w:val="24"/>
        </w:rPr>
        <w:t>holiday pay and bonus payments.</w:t>
      </w:r>
    </w:p>
    <w:p w:rsidR="007F245B" w:rsidRDefault="007F245B" w:rsidP="00370C96">
      <w:pPr>
        <w:pStyle w:val="ListParagraph"/>
        <w:spacing w:after="0" w:line="240" w:lineRule="auto"/>
        <w:ind w:left="0"/>
        <w:rPr>
          <w:rFonts w:ascii="Times New Roman" w:hAnsi="Times New Roman" w:cs="Times New Roman"/>
          <w:sz w:val="24"/>
          <w:szCs w:val="24"/>
        </w:rPr>
      </w:pPr>
    </w:p>
    <w:p w:rsidR="007F245B" w:rsidRDefault="007F245B" w:rsidP="00370C96">
      <w:pPr>
        <w:pStyle w:val="ListParagraph"/>
        <w:spacing w:after="0" w:line="240" w:lineRule="auto"/>
        <w:ind w:left="0"/>
        <w:rPr>
          <w:rFonts w:ascii="Times New Roman" w:hAnsi="Times New Roman" w:cs="Times New Roman"/>
          <w:sz w:val="24"/>
          <w:szCs w:val="24"/>
        </w:rPr>
      </w:pPr>
      <w:r w:rsidRPr="007F245B">
        <w:rPr>
          <w:rFonts w:ascii="Times New Roman" w:hAnsi="Times New Roman" w:cs="Times New Roman"/>
          <w:sz w:val="24"/>
          <w:szCs w:val="24"/>
        </w:rPr>
        <w:t>Officials’ analysis of the options is set out in the table on the next page</w:t>
      </w:r>
      <w:r>
        <w:rPr>
          <w:rFonts w:ascii="Times New Roman" w:hAnsi="Times New Roman" w:cs="Times New Roman"/>
          <w:sz w:val="24"/>
          <w:szCs w:val="24"/>
        </w:rPr>
        <w:t>.</w:t>
      </w:r>
    </w:p>
    <w:p w:rsidR="007F245B" w:rsidRDefault="007F245B" w:rsidP="00370C96">
      <w:pPr>
        <w:pStyle w:val="ListParagraph"/>
        <w:spacing w:after="0" w:line="240" w:lineRule="auto"/>
        <w:ind w:left="0"/>
        <w:rPr>
          <w:rFonts w:ascii="Times New Roman" w:hAnsi="Times New Roman" w:cs="Times New Roman"/>
          <w:sz w:val="24"/>
          <w:szCs w:val="24"/>
        </w:rPr>
      </w:pPr>
    </w:p>
    <w:p w:rsidR="007F245B" w:rsidRDefault="007F245B" w:rsidP="00370C96">
      <w:pPr>
        <w:pStyle w:val="ListParagraph"/>
        <w:spacing w:after="0" w:line="240" w:lineRule="auto"/>
        <w:ind w:left="0"/>
        <w:rPr>
          <w:rFonts w:ascii="Times New Roman" w:hAnsi="Times New Roman" w:cs="Times New Roman"/>
          <w:sz w:val="24"/>
          <w:szCs w:val="24"/>
        </w:rPr>
        <w:sectPr w:rsidR="007F245B">
          <w:pgSz w:w="11906" w:h="16838"/>
          <w:pgMar w:top="1440" w:right="1440" w:bottom="1440" w:left="1440" w:header="708" w:footer="708" w:gutter="0"/>
          <w:cols w:space="708"/>
          <w:docGrid w:linePitch="360"/>
        </w:sectPr>
      </w:pPr>
    </w:p>
    <w:p w:rsidR="000D155B" w:rsidRDefault="000D155B" w:rsidP="000D155B">
      <w:pPr>
        <w:pStyle w:val="ListParagraph"/>
        <w:spacing w:after="0" w:line="240" w:lineRule="auto"/>
        <w:ind w:left="0"/>
        <w:rPr>
          <w:rFonts w:ascii="Times New Roman" w:hAnsi="Times New Roman" w:cs="Times New Roman"/>
          <w:sz w:val="24"/>
          <w:szCs w:val="24"/>
        </w:rPr>
      </w:pPr>
      <w:r w:rsidRPr="007F245B">
        <w:rPr>
          <w:rFonts w:ascii="Times New Roman" w:hAnsi="Times New Roman" w:cs="Times New Roman"/>
          <w:sz w:val="24"/>
          <w:szCs w:val="24"/>
        </w:rPr>
        <w:t xml:space="preserve">Officials’ analysis of the options is set out in the table </w:t>
      </w:r>
      <w:r>
        <w:rPr>
          <w:rFonts w:ascii="Times New Roman" w:hAnsi="Times New Roman" w:cs="Times New Roman"/>
          <w:sz w:val="24"/>
          <w:szCs w:val="24"/>
        </w:rPr>
        <w:t>below.</w:t>
      </w:r>
    </w:p>
    <w:p w:rsidR="00842528" w:rsidRPr="007F7B62" w:rsidRDefault="00842528" w:rsidP="00842528">
      <w:pPr>
        <w:pStyle w:val="ListParagraph"/>
        <w:spacing w:after="0" w:line="240" w:lineRule="auto"/>
        <w:ind w:left="0"/>
        <w:jc w:val="both"/>
        <w:rPr>
          <w:rFonts w:ascii="Times New Roman" w:hAnsi="Times New Roman" w:cs="Times New Roman"/>
          <w:sz w:val="24"/>
          <w:szCs w:val="24"/>
        </w:rPr>
      </w:pPr>
    </w:p>
    <w:tbl>
      <w:tblPr>
        <w:tblStyle w:val="TableGrid"/>
        <w:tblW w:w="14459" w:type="dxa"/>
        <w:tblInd w:w="108" w:type="dxa"/>
        <w:tblLayout w:type="fixed"/>
        <w:tblLook w:val="04A0" w:firstRow="1" w:lastRow="0" w:firstColumn="1" w:lastColumn="0" w:noHBand="0" w:noVBand="1"/>
      </w:tblPr>
      <w:tblGrid>
        <w:gridCol w:w="2268"/>
        <w:gridCol w:w="3544"/>
        <w:gridCol w:w="3402"/>
        <w:gridCol w:w="2977"/>
        <w:gridCol w:w="2268"/>
      </w:tblGrid>
      <w:tr w:rsidR="00842528" w:rsidRPr="007E2B66" w:rsidTr="008D31DB">
        <w:tc>
          <w:tcPr>
            <w:tcW w:w="2268" w:type="dxa"/>
          </w:tcPr>
          <w:p w:rsidR="00842528" w:rsidRPr="00842528" w:rsidRDefault="00842528" w:rsidP="007F7B62">
            <w:pPr>
              <w:rPr>
                <w:rFonts w:ascii="Times New Roman" w:hAnsi="Times New Roman" w:cs="Times New Roman"/>
                <w:sz w:val="24"/>
                <w:szCs w:val="24"/>
              </w:rPr>
            </w:pPr>
            <w:r w:rsidRPr="00842528">
              <w:rPr>
                <w:rFonts w:ascii="Times New Roman" w:hAnsi="Times New Roman" w:cs="Times New Roman"/>
                <w:sz w:val="24"/>
                <w:szCs w:val="24"/>
              </w:rPr>
              <w:t>Options</w:t>
            </w:r>
          </w:p>
        </w:tc>
        <w:tc>
          <w:tcPr>
            <w:tcW w:w="3544" w:type="dxa"/>
          </w:tcPr>
          <w:p w:rsidR="00842528" w:rsidRPr="007E2B66" w:rsidRDefault="00842528" w:rsidP="007F7B62">
            <w:pPr>
              <w:rPr>
                <w:rFonts w:ascii="Times New Roman" w:hAnsi="Times New Roman" w:cs="Times New Roman"/>
                <w:b/>
                <w:sz w:val="24"/>
                <w:szCs w:val="24"/>
              </w:rPr>
            </w:pPr>
            <w:r w:rsidRPr="007E2B66">
              <w:rPr>
                <w:rFonts w:ascii="Times New Roman" w:hAnsi="Times New Roman" w:cs="Times New Roman"/>
                <w:b/>
                <w:sz w:val="24"/>
                <w:szCs w:val="24"/>
              </w:rPr>
              <w:t>Fairness and equity</w:t>
            </w:r>
          </w:p>
        </w:tc>
        <w:tc>
          <w:tcPr>
            <w:tcW w:w="3402" w:type="dxa"/>
          </w:tcPr>
          <w:p w:rsidR="00842528" w:rsidRPr="007E2B66" w:rsidRDefault="00842528" w:rsidP="00062EA1">
            <w:pPr>
              <w:rPr>
                <w:rFonts w:ascii="Times New Roman" w:hAnsi="Times New Roman" w:cs="Times New Roman"/>
                <w:b/>
                <w:sz w:val="24"/>
                <w:szCs w:val="24"/>
              </w:rPr>
            </w:pPr>
            <w:r w:rsidRPr="007E2B66">
              <w:rPr>
                <w:rFonts w:ascii="Times New Roman" w:hAnsi="Times New Roman" w:cs="Times New Roman"/>
                <w:b/>
                <w:sz w:val="24"/>
                <w:szCs w:val="24"/>
              </w:rPr>
              <w:t xml:space="preserve">Efficiency of compliance and administration </w:t>
            </w:r>
          </w:p>
        </w:tc>
        <w:tc>
          <w:tcPr>
            <w:tcW w:w="2977" w:type="dxa"/>
          </w:tcPr>
          <w:p w:rsidR="00842528" w:rsidRPr="007E2B66" w:rsidRDefault="00842528" w:rsidP="007F7B62">
            <w:pPr>
              <w:rPr>
                <w:rFonts w:ascii="Times New Roman" w:hAnsi="Times New Roman" w:cs="Times New Roman"/>
                <w:b/>
                <w:sz w:val="24"/>
                <w:szCs w:val="24"/>
              </w:rPr>
            </w:pPr>
            <w:r w:rsidRPr="007E2B66">
              <w:rPr>
                <w:rFonts w:ascii="Times New Roman" w:hAnsi="Times New Roman" w:cs="Times New Roman"/>
                <w:b/>
                <w:sz w:val="24"/>
                <w:szCs w:val="24"/>
              </w:rPr>
              <w:t>Sustainability of tax system</w:t>
            </w:r>
          </w:p>
        </w:tc>
        <w:tc>
          <w:tcPr>
            <w:tcW w:w="2268" w:type="dxa"/>
          </w:tcPr>
          <w:p w:rsidR="00842528" w:rsidRPr="007E2B66" w:rsidRDefault="00842528" w:rsidP="007F7B62">
            <w:pPr>
              <w:rPr>
                <w:rFonts w:ascii="Times New Roman" w:hAnsi="Times New Roman" w:cs="Times New Roman"/>
                <w:b/>
                <w:sz w:val="24"/>
                <w:szCs w:val="24"/>
              </w:rPr>
            </w:pPr>
            <w:r w:rsidRPr="007E2B66">
              <w:rPr>
                <w:rFonts w:ascii="Times New Roman" w:hAnsi="Times New Roman" w:cs="Times New Roman"/>
                <w:b/>
                <w:sz w:val="24"/>
                <w:szCs w:val="24"/>
              </w:rPr>
              <w:t xml:space="preserve">Revenue </w:t>
            </w:r>
          </w:p>
        </w:tc>
      </w:tr>
      <w:tr w:rsidR="00842528" w:rsidRPr="007E2B66" w:rsidTr="008D31DB">
        <w:tc>
          <w:tcPr>
            <w:tcW w:w="2268" w:type="dxa"/>
          </w:tcPr>
          <w:p w:rsidR="00842528" w:rsidRPr="00842528" w:rsidRDefault="00842528" w:rsidP="007F7B62">
            <w:pPr>
              <w:pStyle w:val="ListParagraph"/>
              <w:ind w:left="0"/>
              <w:rPr>
                <w:rFonts w:ascii="Times New Roman" w:hAnsi="Times New Roman" w:cs="Times New Roman"/>
                <w:sz w:val="24"/>
                <w:szCs w:val="24"/>
              </w:rPr>
            </w:pPr>
            <w:r w:rsidRPr="00842528">
              <w:rPr>
                <w:rFonts w:ascii="Times New Roman" w:hAnsi="Times New Roman" w:cs="Times New Roman"/>
                <w:sz w:val="24"/>
                <w:szCs w:val="24"/>
              </w:rPr>
              <w:t>1. Status quo</w:t>
            </w:r>
          </w:p>
        </w:tc>
        <w:tc>
          <w:tcPr>
            <w:tcW w:w="3544" w:type="dxa"/>
          </w:tcPr>
          <w:p w:rsidR="007F245B" w:rsidRDefault="007F245B" w:rsidP="007F7B62">
            <w:pPr>
              <w:rPr>
                <w:rFonts w:ascii="Times New Roman" w:hAnsi="Times New Roman" w:cs="Times New Roman"/>
                <w:sz w:val="24"/>
                <w:szCs w:val="24"/>
              </w:rPr>
            </w:pPr>
            <w:r>
              <w:rPr>
                <w:rFonts w:ascii="Times New Roman" w:hAnsi="Times New Roman" w:cs="Times New Roman"/>
                <w:sz w:val="24"/>
                <w:szCs w:val="24"/>
              </w:rPr>
              <w:t>Met</w:t>
            </w:r>
          </w:p>
          <w:p w:rsidR="007F245B" w:rsidRDefault="007F245B" w:rsidP="007F7B62">
            <w:pPr>
              <w:rPr>
                <w:rFonts w:ascii="Times New Roman" w:hAnsi="Times New Roman" w:cs="Times New Roman"/>
                <w:sz w:val="24"/>
                <w:szCs w:val="24"/>
              </w:rPr>
            </w:pPr>
          </w:p>
          <w:p w:rsidR="00842528" w:rsidRPr="007E2B66" w:rsidRDefault="007F245B" w:rsidP="007F245B">
            <w:pPr>
              <w:rPr>
                <w:rFonts w:ascii="Times New Roman" w:hAnsi="Times New Roman" w:cs="Times New Roman"/>
                <w:sz w:val="24"/>
                <w:szCs w:val="24"/>
              </w:rPr>
            </w:pPr>
            <w:r>
              <w:rPr>
                <w:rFonts w:ascii="Times New Roman" w:hAnsi="Times New Roman" w:cs="Times New Roman"/>
                <w:sz w:val="24"/>
                <w:szCs w:val="24"/>
              </w:rPr>
              <w:t>E</w:t>
            </w:r>
            <w:r w:rsidR="00842528" w:rsidRPr="007E2B66">
              <w:rPr>
                <w:rFonts w:ascii="Times New Roman" w:hAnsi="Times New Roman" w:cs="Times New Roman"/>
                <w:sz w:val="24"/>
                <w:szCs w:val="24"/>
              </w:rPr>
              <w:t>xisting rule applies to all taxpayers</w:t>
            </w:r>
            <w:r>
              <w:rPr>
                <w:rFonts w:ascii="Times New Roman" w:hAnsi="Times New Roman" w:cs="Times New Roman"/>
                <w:sz w:val="24"/>
                <w:szCs w:val="24"/>
              </w:rPr>
              <w:t>.</w:t>
            </w:r>
          </w:p>
        </w:tc>
        <w:tc>
          <w:tcPr>
            <w:tcW w:w="3402" w:type="dxa"/>
          </w:tcPr>
          <w:p w:rsidR="007F245B" w:rsidRDefault="007F245B" w:rsidP="007F7B62">
            <w:pPr>
              <w:rPr>
                <w:rFonts w:ascii="Times New Roman" w:hAnsi="Times New Roman" w:cs="Times New Roman"/>
                <w:sz w:val="24"/>
                <w:szCs w:val="24"/>
              </w:rPr>
            </w:pPr>
            <w:r>
              <w:rPr>
                <w:rFonts w:ascii="Times New Roman" w:hAnsi="Times New Roman" w:cs="Times New Roman"/>
                <w:sz w:val="24"/>
                <w:szCs w:val="24"/>
              </w:rPr>
              <w:t>Not met</w:t>
            </w:r>
          </w:p>
          <w:p w:rsidR="007F245B" w:rsidRDefault="007F245B" w:rsidP="007F7B62">
            <w:pPr>
              <w:rPr>
                <w:rFonts w:ascii="Times New Roman" w:hAnsi="Times New Roman" w:cs="Times New Roman"/>
                <w:sz w:val="24"/>
                <w:szCs w:val="24"/>
              </w:rPr>
            </w:pPr>
          </w:p>
          <w:p w:rsidR="00842528" w:rsidRPr="007E2B66" w:rsidRDefault="00842528" w:rsidP="007F7B62">
            <w:pPr>
              <w:rPr>
                <w:rFonts w:ascii="Times New Roman" w:hAnsi="Times New Roman" w:cs="Times New Roman"/>
                <w:sz w:val="24"/>
                <w:szCs w:val="24"/>
              </w:rPr>
            </w:pPr>
            <w:r w:rsidRPr="007E2B66">
              <w:rPr>
                <w:rFonts w:ascii="Times New Roman" w:hAnsi="Times New Roman" w:cs="Times New Roman"/>
                <w:sz w:val="24"/>
                <w:szCs w:val="24"/>
              </w:rPr>
              <w:t>Inefficient to comply with, due to the need to track employee payments paid within 63 days of end of income year.</w:t>
            </w:r>
          </w:p>
        </w:tc>
        <w:tc>
          <w:tcPr>
            <w:tcW w:w="2977" w:type="dxa"/>
          </w:tcPr>
          <w:p w:rsidR="007F245B" w:rsidRDefault="007F245B" w:rsidP="007F7B62">
            <w:pPr>
              <w:rPr>
                <w:rFonts w:ascii="Times New Roman" w:hAnsi="Times New Roman" w:cs="Times New Roman"/>
                <w:sz w:val="24"/>
                <w:szCs w:val="24"/>
              </w:rPr>
            </w:pPr>
            <w:r>
              <w:rPr>
                <w:rFonts w:ascii="Times New Roman" w:hAnsi="Times New Roman" w:cs="Times New Roman"/>
                <w:sz w:val="24"/>
                <w:szCs w:val="24"/>
              </w:rPr>
              <w:t>Met</w:t>
            </w:r>
          </w:p>
          <w:p w:rsidR="007F245B" w:rsidRDefault="007F245B" w:rsidP="007F7B62">
            <w:pPr>
              <w:rPr>
                <w:rFonts w:ascii="Times New Roman" w:hAnsi="Times New Roman" w:cs="Times New Roman"/>
                <w:sz w:val="24"/>
                <w:szCs w:val="24"/>
              </w:rPr>
            </w:pPr>
          </w:p>
          <w:p w:rsidR="00842528" w:rsidRPr="007E2B66" w:rsidRDefault="007F245B" w:rsidP="007F245B">
            <w:pPr>
              <w:rPr>
                <w:rFonts w:ascii="Times New Roman" w:hAnsi="Times New Roman" w:cs="Times New Roman"/>
                <w:sz w:val="24"/>
                <w:szCs w:val="24"/>
              </w:rPr>
            </w:pPr>
            <w:r>
              <w:rPr>
                <w:rFonts w:ascii="Times New Roman" w:hAnsi="Times New Roman" w:cs="Times New Roman"/>
                <w:sz w:val="24"/>
                <w:szCs w:val="24"/>
              </w:rPr>
              <w:t>The</w:t>
            </w:r>
            <w:r w:rsidR="00842528" w:rsidRPr="007E2B66">
              <w:rPr>
                <w:rFonts w:ascii="Times New Roman" w:hAnsi="Times New Roman" w:cs="Times New Roman"/>
                <w:sz w:val="24"/>
                <w:szCs w:val="24"/>
              </w:rPr>
              <w:t xml:space="preserve"> rule is well-established. However actual calculation can be time-consuming particularly for large employers.</w:t>
            </w:r>
          </w:p>
        </w:tc>
        <w:tc>
          <w:tcPr>
            <w:tcW w:w="2268" w:type="dxa"/>
          </w:tcPr>
          <w:p w:rsidR="00842528" w:rsidRPr="007E2B66" w:rsidRDefault="00370C96" w:rsidP="00370C96">
            <w:pPr>
              <w:rPr>
                <w:rFonts w:ascii="Times New Roman" w:hAnsi="Times New Roman" w:cs="Times New Roman"/>
                <w:sz w:val="24"/>
                <w:szCs w:val="24"/>
              </w:rPr>
            </w:pPr>
            <w:r>
              <w:rPr>
                <w:rFonts w:ascii="Times New Roman" w:hAnsi="Times New Roman" w:cs="Times New Roman"/>
                <w:sz w:val="24"/>
                <w:szCs w:val="24"/>
              </w:rPr>
              <w:t>No impact</w:t>
            </w:r>
          </w:p>
        </w:tc>
      </w:tr>
      <w:tr w:rsidR="00842528" w:rsidRPr="007E2B66" w:rsidTr="008D31DB">
        <w:tc>
          <w:tcPr>
            <w:tcW w:w="2268" w:type="dxa"/>
          </w:tcPr>
          <w:p w:rsidR="00842528" w:rsidRPr="00842528" w:rsidRDefault="00842528" w:rsidP="007F7B62">
            <w:pPr>
              <w:pStyle w:val="ListParagraph"/>
              <w:ind w:left="0"/>
              <w:rPr>
                <w:rFonts w:ascii="Times New Roman" w:hAnsi="Times New Roman" w:cs="Times New Roman"/>
                <w:sz w:val="24"/>
                <w:szCs w:val="24"/>
              </w:rPr>
            </w:pPr>
            <w:r w:rsidRPr="00842528">
              <w:rPr>
                <w:rFonts w:ascii="Times New Roman" w:hAnsi="Times New Roman" w:cs="Times New Roman"/>
                <w:sz w:val="24"/>
                <w:szCs w:val="24"/>
              </w:rPr>
              <w:t>2. Optional 63 day rule</w:t>
            </w:r>
          </w:p>
        </w:tc>
        <w:tc>
          <w:tcPr>
            <w:tcW w:w="3544" w:type="dxa"/>
          </w:tcPr>
          <w:p w:rsidR="007F245B" w:rsidRDefault="007F245B" w:rsidP="007F7B62">
            <w:pPr>
              <w:rPr>
                <w:rFonts w:ascii="Times New Roman" w:hAnsi="Times New Roman" w:cs="Times New Roman"/>
                <w:sz w:val="24"/>
                <w:szCs w:val="24"/>
              </w:rPr>
            </w:pPr>
            <w:r>
              <w:rPr>
                <w:rFonts w:ascii="Times New Roman" w:hAnsi="Times New Roman" w:cs="Times New Roman"/>
                <w:sz w:val="24"/>
                <w:szCs w:val="24"/>
              </w:rPr>
              <w:t>Met</w:t>
            </w:r>
          </w:p>
          <w:p w:rsidR="007F245B" w:rsidRDefault="007F245B" w:rsidP="007F7B62">
            <w:pPr>
              <w:rPr>
                <w:rFonts w:ascii="Times New Roman" w:hAnsi="Times New Roman" w:cs="Times New Roman"/>
                <w:sz w:val="24"/>
                <w:szCs w:val="24"/>
              </w:rPr>
            </w:pPr>
          </w:p>
          <w:p w:rsidR="00842528" w:rsidRPr="007E2B66" w:rsidRDefault="007F245B" w:rsidP="007F245B">
            <w:pPr>
              <w:rPr>
                <w:rFonts w:ascii="Times New Roman" w:hAnsi="Times New Roman" w:cs="Times New Roman"/>
                <w:sz w:val="24"/>
                <w:szCs w:val="24"/>
              </w:rPr>
            </w:pPr>
            <w:r>
              <w:rPr>
                <w:rFonts w:ascii="Times New Roman" w:hAnsi="Times New Roman" w:cs="Times New Roman"/>
                <w:sz w:val="24"/>
                <w:szCs w:val="24"/>
              </w:rPr>
              <w:t>T</w:t>
            </w:r>
            <w:r w:rsidR="00842528" w:rsidRPr="007E2B66">
              <w:rPr>
                <w:rFonts w:ascii="Times New Roman" w:hAnsi="Times New Roman" w:cs="Times New Roman"/>
                <w:sz w:val="24"/>
                <w:szCs w:val="24"/>
              </w:rPr>
              <w:t xml:space="preserve">axpayers will choose whether to apply the existing deferred payment rule or not. Taxpayers will weigh up increased deductions under the existing rule against the compliance costs associated with the existing rule. </w:t>
            </w:r>
          </w:p>
        </w:tc>
        <w:tc>
          <w:tcPr>
            <w:tcW w:w="3402" w:type="dxa"/>
          </w:tcPr>
          <w:p w:rsidR="007F245B" w:rsidRDefault="007F245B" w:rsidP="007F7B62">
            <w:pPr>
              <w:rPr>
                <w:rFonts w:ascii="Times New Roman" w:hAnsi="Times New Roman" w:cs="Times New Roman"/>
                <w:sz w:val="24"/>
                <w:szCs w:val="24"/>
              </w:rPr>
            </w:pPr>
            <w:r>
              <w:rPr>
                <w:rFonts w:ascii="Times New Roman" w:hAnsi="Times New Roman" w:cs="Times New Roman"/>
                <w:sz w:val="24"/>
                <w:szCs w:val="24"/>
              </w:rPr>
              <w:t>Met</w:t>
            </w:r>
          </w:p>
          <w:p w:rsidR="007F245B" w:rsidRDefault="007F245B" w:rsidP="007F7B62">
            <w:pPr>
              <w:rPr>
                <w:rFonts w:ascii="Times New Roman" w:hAnsi="Times New Roman" w:cs="Times New Roman"/>
                <w:sz w:val="24"/>
                <w:szCs w:val="24"/>
              </w:rPr>
            </w:pPr>
          </w:p>
          <w:p w:rsidR="00842528" w:rsidRPr="007E2B66" w:rsidRDefault="00842528" w:rsidP="007F245B">
            <w:pPr>
              <w:rPr>
                <w:rFonts w:ascii="Times New Roman" w:hAnsi="Times New Roman" w:cs="Times New Roman"/>
                <w:sz w:val="24"/>
                <w:szCs w:val="24"/>
              </w:rPr>
            </w:pPr>
            <w:r w:rsidRPr="007E2B66">
              <w:rPr>
                <w:rFonts w:ascii="Times New Roman" w:hAnsi="Times New Roman" w:cs="Times New Roman"/>
                <w:sz w:val="24"/>
                <w:szCs w:val="24"/>
              </w:rPr>
              <w:t xml:space="preserve">More efficient as taxpayers will have a choice whether to continue applying the existing rule or use the information in their financial accounts. Administratively Inland Revenue will not monitor what option taxpayers elect. </w:t>
            </w:r>
          </w:p>
        </w:tc>
        <w:tc>
          <w:tcPr>
            <w:tcW w:w="2977" w:type="dxa"/>
          </w:tcPr>
          <w:p w:rsidR="00980FE0" w:rsidRDefault="00980FE0" w:rsidP="007F7B62">
            <w:pPr>
              <w:rPr>
                <w:rFonts w:ascii="Times New Roman" w:hAnsi="Times New Roman" w:cs="Times New Roman"/>
                <w:sz w:val="24"/>
                <w:szCs w:val="24"/>
              </w:rPr>
            </w:pPr>
            <w:r>
              <w:rPr>
                <w:rFonts w:ascii="Times New Roman" w:hAnsi="Times New Roman" w:cs="Times New Roman"/>
                <w:sz w:val="24"/>
                <w:szCs w:val="24"/>
              </w:rPr>
              <w:t>Met</w:t>
            </w:r>
          </w:p>
          <w:p w:rsidR="00980FE0" w:rsidRDefault="00980FE0" w:rsidP="007F7B62">
            <w:pPr>
              <w:rPr>
                <w:rFonts w:ascii="Times New Roman" w:hAnsi="Times New Roman" w:cs="Times New Roman"/>
                <w:sz w:val="24"/>
                <w:szCs w:val="24"/>
              </w:rPr>
            </w:pPr>
          </w:p>
          <w:p w:rsidR="00842528" w:rsidRPr="007E2B66" w:rsidRDefault="00980FE0" w:rsidP="00980FE0">
            <w:pPr>
              <w:rPr>
                <w:rFonts w:ascii="Times New Roman" w:hAnsi="Times New Roman" w:cs="Times New Roman"/>
                <w:sz w:val="24"/>
                <w:szCs w:val="24"/>
              </w:rPr>
            </w:pPr>
            <w:r>
              <w:rPr>
                <w:rFonts w:ascii="Times New Roman" w:hAnsi="Times New Roman" w:cs="Times New Roman"/>
                <w:sz w:val="24"/>
                <w:szCs w:val="24"/>
              </w:rPr>
              <w:t>T</w:t>
            </w:r>
            <w:r w:rsidR="00842528" w:rsidRPr="007E2B66">
              <w:rPr>
                <w:rFonts w:ascii="Times New Roman" w:hAnsi="Times New Roman" w:cs="Times New Roman"/>
                <w:sz w:val="24"/>
                <w:szCs w:val="24"/>
              </w:rPr>
              <w:t xml:space="preserve">axpayers wanting to continue with </w:t>
            </w:r>
            <w:r>
              <w:rPr>
                <w:rFonts w:ascii="Times New Roman" w:hAnsi="Times New Roman" w:cs="Times New Roman"/>
                <w:sz w:val="24"/>
                <w:szCs w:val="24"/>
              </w:rPr>
              <w:t xml:space="preserve">the </w:t>
            </w:r>
            <w:r w:rsidR="00842528" w:rsidRPr="007E2B66">
              <w:rPr>
                <w:rFonts w:ascii="Times New Roman" w:hAnsi="Times New Roman" w:cs="Times New Roman"/>
                <w:sz w:val="24"/>
                <w:szCs w:val="24"/>
              </w:rPr>
              <w:t xml:space="preserve">existing rule will not be affected and those not wanting to do </w:t>
            </w:r>
            <w:r>
              <w:rPr>
                <w:rFonts w:ascii="Times New Roman" w:hAnsi="Times New Roman" w:cs="Times New Roman"/>
                <w:sz w:val="24"/>
                <w:szCs w:val="24"/>
              </w:rPr>
              <w:t xml:space="preserve">the </w:t>
            </w:r>
            <w:r w:rsidR="00842528" w:rsidRPr="007E2B66">
              <w:rPr>
                <w:rFonts w:ascii="Times New Roman" w:hAnsi="Times New Roman" w:cs="Times New Roman"/>
                <w:sz w:val="24"/>
                <w:szCs w:val="24"/>
              </w:rPr>
              <w:t xml:space="preserve">calculation required under </w:t>
            </w:r>
            <w:r>
              <w:rPr>
                <w:rFonts w:ascii="Times New Roman" w:hAnsi="Times New Roman" w:cs="Times New Roman"/>
                <w:sz w:val="24"/>
                <w:szCs w:val="24"/>
              </w:rPr>
              <w:t xml:space="preserve">the </w:t>
            </w:r>
            <w:r w:rsidR="00842528" w:rsidRPr="007E2B66">
              <w:rPr>
                <w:rFonts w:ascii="Times New Roman" w:hAnsi="Times New Roman" w:cs="Times New Roman"/>
                <w:sz w:val="24"/>
                <w:szCs w:val="24"/>
              </w:rPr>
              <w:t>existing rule can apply</w:t>
            </w:r>
            <w:r w:rsidR="008A37FE">
              <w:rPr>
                <w:rFonts w:ascii="Times New Roman" w:hAnsi="Times New Roman" w:cs="Times New Roman"/>
                <w:sz w:val="24"/>
                <w:szCs w:val="24"/>
              </w:rPr>
              <w:t xml:space="preserve"> the</w:t>
            </w:r>
            <w:r w:rsidR="00842528" w:rsidRPr="007E2B66">
              <w:rPr>
                <w:rFonts w:ascii="Times New Roman" w:hAnsi="Times New Roman" w:cs="Times New Roman"/>
                <w:sz w:val="24"/>
                <w:szCs w:val="24"/>
              </w:rPr>
              <w:t xml:space="preserve"> simpler rule.   </w:t>
            </w:r>
          </w:p>
        </w:tc>
        <w:tc>
          <w:tcPr>
            <w:tcW w:w="2268" w:type="dxa"/>
          </w:tcPr>
          <w:p w:rsidR="00980FE0" w:rsidRDefault="0085355B" w:rsidP="00980FE0">
            <w:pPr>
              <w:rPr>
                <w:rFonts w:ascii="Times New Roman" w:hAnsi="Times New Roman" w:cs="Times New Roman"/>
                <w:sz w:val="24"/>
                <w:szCs w:val="24"/>
              </w:rPr>
            </w:pPr>
            <w:r>
              <w:rPr>
                <w:rFonts w:ascii="Times New Roman" w:hAnsi="Times New Roman" w:cs="Times New Roman"/>
                <w:sz w:val="24"/>
                <w:szCs w:val="24"/>
              </w:rPr>
              <w:t>Small upfront gain</w:t>
            </w:r>
          </w:p>
          <w:p w:rsidR="00980FE0" w:rsidRDefault="00980FE0" w:rsidP="00980FE0">
            <w:pPr>
              <w:rPr>
                <w:rFonts w:ascii="Times New Roman" w:hAnsi="Times New Roman" w:cs="Times New Roman"/>
                <w:sz w:val="24"/>
                <w:szCs w:val="24"/>
              </w:rPr>
            </w:pPr>
          </w:p>
          <w:p w:rsidR="00842528" w:rsidRPr="007E2B66" w:rsidRDefault="00980FE0" w:rsidP="00980FE0">
            <w:pPr>
              <w:rPr>
                <w:rFonts w:ascii="Times New Roman" w:hAnsi="Times New Roman" w:cs="Times New Roman"/>
                <w:sz w:val="24"/>
                <w:szCs w:val="24"/>
              </w:rPr>
            </w:pPr>
            <w:r>
              <w:rPr>
                <w:rFonts w:ascii="Times New Roman" w:hAnsi="Times New Roman" w:cs="Times New Roman"/>
                <w:sz w:val="24"/>
                <w:szCs w:val="24"/>
              </w:rPr>
              <w:t>N</w:t>
            </w:r>
            <w:r w:rsidR="00842528" w:rsidRPr="007E2B66">
              <w:rPr>
                <w:rFonts w:ascii="Times New Roman" w:hAnsi="Times New Roman" w:cs="Times New Roman"/>
                <w:sz w:val="24"/>
                <w:szCs w:val="24"/>
              </w:rPr>
              <w:t xml:space="preserve">o change to overall amount of deduction over time. </w:t>
            </w:r>
          </w:p>
        </w:tc>
      </w:tr>
      <w:tr w:rsidR="00842528" w:rsidRPr="007E2B66" w:rsidTr="008D31DB">
        <w:tc>
          <w:tcPr>
            <w:tcW w:w="2268" w:type="dxa"/>
          </w:tcPr>
          <w:p w:rsidR="00842528" w:rsidRPr="00842528" w:rsidRDefault="00842528" w:rsidP="007F7B62">
            <w:pPr>
              <w:pStyle w:val="ListParagraph"/>
              <w:ind w:left="0"/>
              <w:rPr>
                <w:rFonts w:ascii="Times New Roman" w:hAnsi="Times New Roman" w:cs="Times New Roman"/>
                <w:sz w:val="24"/>
                <w:szCs w:val="24"/>
              </w:rPr>
            </w:pPr>
            <w:r w:rsidRPr="00842528">
              <w:rPr>
                <w:rFonts w:ascii="Times New Roman" w:hAnsi="Times New Roman" w:cs="Times New Roman"/>
                <w:sz w:val="24"/>
                <w:szCs w:val="24"/>
              </w:rPr>
              <w:t>3.</w:t>
            </w:r>
            <w:r w:rsidR="008F6668">
              <w:rPr>
                <w:rFonts w:ascii="Times New Roman" w:hAnsi="Times New Roman" w:cs="Times New Roman"/>
                <w:sz w:val="24"/>
                <w:szCs w:val="24"/>
              </w:rPr>
              <w:t xml:space="preserve"> </w:t>
            </w:r>
            <w:r w:rsidRPr="00842528">
              <w:rPr>
                <w:rFonts w:ascii="Times New Roman" w:hAnsi="Times New Roman" w:cs="Times New Roman"/>
                <w:sz w:val="24"/>
                <w:szCs w:val="24"/>
              </w:rPr>
              <w:t>Optional 63 day rule for different classes of employee remuneration</w:t>
            </w:r>
          </w:p>
        </w:tc>
        <w:tc>
          <w:tcPr>
            <w:tcW w:w="3544" w:type="dxa"/>
          </w:tcPr>
          <w:p w:rsidR="007F245B" w:rsidRDefault="007F245B" w:rsidP="007F7B62">
            <w:pPr>
              <w:rPr>
                <w:rFonts w:ascii="Times New Roman" w:hAnsi="Times New Roman" w:cs="Times New Roman"/>
                <w:sz w:val="24"/>
                <w:szCs w:val="24"/>
              </w:rPr>
            </w:pPr>
            <w:r>
              <w:rPr>
                <w:rFonts w:ascii="Times New Roman" w:hAnsi="Times New Roman" w:cs="Times New Roman"/>
                <w:sz w:val="24"/>
                <w:szCs w:val="24"/>
              </w:rPr>
              <w:t>Met</w:t>
            </w:r>
          </w:p>
          <w:p w:rsidR="007F245B" w:rsidRDefault="007F245B" w:rsidP="007F7B62">
            <w:pPr>
              <w:rPr>
                <w:rFonts w:ascii="Times New Roman" w:hAnsi="Times New Roman" w:cs="Times New Roman"/>
                <w:sz w:val="24"/>
                <w:szCs w:val="24"/>
              </w:rPr>
            </w:pPr>
          </w:p>
          <w:p w:rsidR="00842528" w:rsidRPr="007E2B66" w:rsidRDefault="007F245B" w:rsidP="007F245B">
            <w:pPr>
              <w:rPr>
                <w:rFonts w:ascii="Times New Roman" w:hAnsi="Times New Roman" w:cs="Times New Roman"/>
                <w:sz w:val="24"/>
                <w:szCs w:val="24"/>
              </w:rPr>
            </w:pPr>
            <w:r>
              <w:rPr>
                <w:rFonts w:ascii="Times New Roman" w:hAnsi="Times New Roman" w:cs="Times New Roman"/>
                <w:sz w:val="24"/>
                <w:szCs w:val="24"/>
              </w:rPr>
              <w:t>T</w:t>
            </w:r>
            <w:r w:rsidR="00842528" w:rsidRPr="007E2B66">
              <w:rPr>
                <w:rFonts w:ascii="Times New Roman" w:hAnsi="Times New Roman" w:cs="Times New Roman"/>
                <w:sz w:val="24"/>
                <w:szCs w:val="24"/>
              </w:rPr>
              <w:t>axpayers will choose whether to apply the existing deferred payment rule to different classes of employee remuneration. Taxpayers will weigh up the benefit of an increased deduction under the existing rule against the compliance costs associated with the existing rule.</w:t>
            </w:r>
          </w:p>
        </w:tc>
        <w:tc>
          <w:tcPr>
            <w:tcW w:w="3402" w:type="dxa"/>
          </w:tcPr>
          <w:p w:rsidR="007F245B" w:rsidRDefault="008C25E5" w:rsidP="007F7B62">
            <w:pPr>
              <w:rPr>
                <w:rFonts w:ascii="Times New Roman" w:hAnsi="Times New Roman" w:cs="Times New Roman"/>
                <w:sz w:val="24"/>
                <w:szCs w:val="24"/>
              </w:rPr>
            </w:pPr>
            <w:r>
              <w:rPr>
                <w:rFonts w:ascii="Times New Roman" w:hAnsi="Times New Roman" w:cs="Times New Roman"/>
                <w:sz w:val="24"/>
                <w:szCs w:val="24"/>
              </w:rPr>
              <w:t>Partly m</w:t>
            </w:r>
            <w:r w:rsidR="007F245B">
              <w:rPr>
                <w:rFonts w:ascii="Times New Roman" w:hAnsi="Times New Roman" w:cs="Times New Roman"/>
                <w:sz w:val="24"/>
                <w:szCs w:val="24"/>
              </w:rPr>
              <w:t>et</w:t>
            </w:r>
          </w:p>
          <w:p w:rsidR="007F245B" w:rsidRDefault="007F245B" w:rsidP="007F7B62">
            <w:pPr>
              <w:rPr>
                <w:rFonts w:ascii="Times New Roman" w:hAnsi="Times New Roman" w:cs="Times New Roman"/>
                <w:sz w:val="24"/>
                <w:szCs w:val="24"/>
              </w:rPr>
            </w:pPr>
          </w:p>
          <w:p w:rsidR="00842528" w:rsidRPr="007E2B66" w:rsidRDefault="007F245B" w:rsidP="007F245B">
            <w:pPr>
              <w:rPr>
                <w:rFonts w:ascii="Times New Roman" w:hAnsi="Times New Roman" w:cs="Times New Roman"/>
                <w:color w:val="FF0000"/>
                <w:sz w:val="24"/>
                <w:szCs w:val="24"/>
              </w:rPr>
            </w:pPr>
            <w:r>
              <w:rPr>
                <w:rFonts w:ascii="Times New Roman" w:hAnsi="Times New Roman" w:cs="Times New Roman"/>
                <w:sz w:val="24"/>
                <w:szCs w:val="24"/>
              </w:rPr>
              <w:t>T</w:t>
            </w:r>
            <w:r w:rsidR="00842528" w:rsidRPr="007E2B66">
              <w:rPr>
                <w:rFonts w:ascii="Times New Roman" w:hAnsi="Times New Roman" w:cs="Times New Roman"/>
                <w:sz w:val="24"/>
                <w:szCs w:val="24"/>
              </w:rPr>
              <w:t>axpayers will have a choice whether to continue applying the existing rule or use the information in their financial accounts for different types of employee remuneration. Administratively Inland Revenue will not monitor what option taxpayers elect.</w:t>
            </w:r>
          </w:p>
        </w:tc>
        <w:tc>
          <w:tcPr>
            <w:tcW w:w="2977" w:type="dxa"/>
          </w:tcPr>
          <w:p w:rsidR="00980FE0" w:rsidRDefault="00980FE0" w:rsidP="007F7B62">
            <w:pPr>
              <w:rPr>
                <w:rFonts w:ascii="Times New Roman" w:hAnsi="Times New Roman" w:cs="Times New Roman"/>
                <w:sz w:val="24"/>
                <w:szCs w:val="24"/>
              </w:rPr>
            </w:pPr>
            <w:r>
              <w:rPr>
                <w:rFonts w:ascii="Times New Roman" w:hAnsi="Times New Roman" w:cs="Times New Roman"/>
                <w:sz w:val="24"/>
                <w:szCs w:val="24"/>
              </w:rPr>
              <w:t>Met</w:t>
            </w:r>
          </w:p>
          <w:p w:rsidR="00980FE0" w:rsidRDefault="00980FE0" w:rsidP="007F7B62">
            <w:pPr>
              <w:rPr>
                <w:rFonts w:ascii="Times New Roman" w:hAnsi="Times New Roman" w:cs="Times New Roman"/>
                <w:sz w:val="24"/>
                <w:szCs w:val="24"/>
              </w:rPr>
            </w:pPr>
          </w:p>
          <w:p w:rsidR="00842528" w:rsidRPr="007E2B66" w:rsidRDefault="00980FE0" w:rsidP="00980FE0">
            <w:pPr>
              <w:rPr>
                <w:rFonts w:ascii="Times New Roman" w:hAnsi="Times New Roman" w:cs="Times New Roman"/>
                <w:color w:val="FF0000"/>
                <w:sz w:val="24"/>
                <w:szCs w:val="24"/>
              </w:rPr>
            </w:pPr>
            <w:r>
              <w:rPr>
                <w:rFonts w:ascii="Times New Roman" w:hAnsi="Times New Roman" w:cs="Times New Roman"/>
                <w:sz w:val="24"/>
                <w:szCs w:val="24"/>
              </w:rPr>
              <w:t>S</w:t>
            </w:r>
            <w:r w:rsidR="00842528" w:rsidRPr="007E2B66">
              <w:rPr>
                <w:rFonts w:ascii="Times New Roman" w:hAnsi="Times New Roman" w:cs="Times New Roman"/>
                <w:sz w:val="24"/>
                <w:szCs w:val="24"/>
              </w:rPr>
              <w:t xml:space="preserve">ame reasons </w:t>
            </w:r>
            <w:r w:rsidR="008A37FE">
              <w:rPr>
                <w:rFonts w:ascii="Times New Roman" w:hAnsi="Times New Roman" w:cs="Times New Roman"/>
                <w:sz w:val="24"/>
                <w:szCs w:val="24"/>
              </w:rPr>
              <w:t xml:space="preserve">as </w:t>
            </w:r>
            <w:r w:rsidR="00842528" w:rsidRPr="007E2B66">
              <w:rPr>
                <w:rFonts w:ascii="Times New Roman" w:hAnsi="Times New Roman" w:cs="Times New Roman"/>
                <w:sz w:val="24"/>
                <w:szCs w:val="24"/>
              </w:rPr>
              <w:t>above</w:t>
            </w:r>
            <w:r>
              <w:rPr>
                <w:rFonts w:ascii="Times New Roman" w:hAnsi="Times New Roman" w:cs="Times New Roman"/>
                <w:sz w:val="24"/>
                <w:szCs w:val="24"/>
              </w:rPr>
              <w:t>,</w:t>
            </w:r>
            <w:r w:rsidR="00842528" w:rsidRPr="007E2B66">
              <w:rPr>
                <w:rFonts w:ascii="Times New Roman" w:hAnsi="Times New Roman" w:cs="Times New Roman"/>
                <w:sz w:val="24"/>
                <w:szCs w:val="24"/>
              </w:rPr>
              <w:t xml:space="preserve"> except</w:t>
            </w:r>
            <w:r>
              <w:rPr>
                <w:rFonts w:ascii="Times New Roman" w:hAnsi="Times New Roman" w:cs="Times New Roman"/>
                <w:sz w:val="24"/>
                <w:szCs w:val="24"/>
              </w:rPr>
              <w:t xml:space="preserve"> that</w:t>
            </w:r>
            <w:r w:rsidR="00842528" w:rsidRPr="007E2B66">
              <w:rPr>
                <w:rFonts w:ascii="Times New Roman" w:hAnsi="Times New Roman" w:cs="Times New Roman"/>
                <w:sz w:val="24"/>
                <w:szCs w:val="24"/>
              </w:rPr>
              <w:t xml:space="preserve"> taxpayers will be using different timing rules</w:t>
            </w:r>
            <w:r w:rsidR="008C25E5">
              <w:rPr>
                <w:rFonts w:ascii="Times New Roman" w:hAnsi="Times New Roman" w:cs="Times New Roman"/>
                <w:sz w:val="24"/>
                <w:szCs w:val="24"/>
              </w:rPr>
              <w:t xml:space="preserve"> and deductibility</w:t>
            </w:r>
            <w:r w:rsidR="00842528" w:rsidRPr="007E2B66">
              <w:rPr>
                <w:rFonts w:ascii="Times New Roman" w:hAnsi="Times New Roman" w:cs="Times New Roman"/>
                <w:sz w:val="24"/>
                <w:szCs w:val="24"/>
              </w:rPr>
              <w:t xml:space="preserve"> for</w:t>
            </w:r>
            <w:r>
              <w:rPr>
                <w:rFonts w:ascii="Times New Roman" w:hAnsi="Times New Roman" w:cs="Times New Roman"/>
                <w:sz w:val="24"/>
                <w:szCs w:val="24"/>
              </w:rPr>
              <w:t xml:space="preserve"> the</w:t>
            </w:r>
            <w:r w:rsidR="00842528" w:rsidRPr="007E2B66">
              <w:rPr>
                <w:rFonts w:ascii="Times New Roman" w:hAnsi="Times New Roman" w:cs="Times New Roman"/>
                <w:sz w:val="24"/>
                <w:szCs w:val="24"/>
              </w:rPr>
              <w:t xml:space="preserve"> same type of expenditure. </w:t>
            </w:r>
          </w:p>
        </w:tc>
        <w:tc>
          <w:tcPr>
            <w:tcW w:w="2268" w:type="dxa"/>
          </w:tcPr>
          <w:p w:rsidR="00980FE0" w:rsidRDefault="0085355B" w:rsidP="007F7B62">
            <w:pPr>
              <w:rPr>
                <w:rFonts w:ascii="Times New Roman" w:hAnsi="Times New Roman" w:cs="Times New Roman"/>
                <w:sz w:val="24"/>
                <w:szCs w:val="24"/>
              </w:rPr>
            </w:pPr>
            <w:r>
              <w:rPr>
                <w:rFonts w:ascii="Times New Roman" w:hAnsi="Times New Roman" w:cs="Times New Roman"/>
                <w:sz w:val="24"/>
                <w:szCs w:val="24"/>
              </w:rPr>
              <w:t>Small upfront gain</w:t>
            </w:r>
          </w:p>
          <w:p w:rsidR="00980FE0" w:rsidRDefault="00980FE0" w:rsidP="007F7B62">
            <w:pPr>
              <w:rPr>
                <w:rFonts w:ascii="Times New Roman" w:hAnsi="Times New Roman" w:cs="Times New Roman"/>
                <w:sz w:val="24"/>
                <w:szCs w:val="24"/>
              </w:rPr>
            </w:pPr>
          </w:p>
          <w:p w:rsidR="00842528" w:rsidRPr="007E2B66" w:rsidRDefault="00980FE0" w:rsidP="00980FE0">
            <w:pPr>
              <w:rPr>
                <w:rFonts w:ascii="Times New Roman" w:hAnsi="Times New Roman" w:cs="Times New Roman"/>
                <w:color w:val="FF0000"/>
                <w:sz w:val="24"/>
                <w:szCs w:val="24"/>
              </w:rPr>
            </w:pPr>
            <w:r>
              <w:rPr>
                <w:rFonts w:ascii="Times New Roman" w:hAnsi="Times New Roman" w:cs="Times New Roman"/>
                <w:sz w:val="24"/>
                <w:szCs w:val="24"/>
              </w:rPr>
              <w:t>N</w:t>
            </w:r>
            <w:r w:rsidR="00842528" w:rsidRPr="007E2B66">
              <w:rPr>
                <w:rFonts w:ascii="Times New Roman" w:hAnsi="Times New Roman" w:cs="Times New Roman"/>
                <w:sz w:val="24"/>
                <w:szCs w:val="24"/>
              </w:rPr>
              <w:t>o change to overall amount of deduction over time.</w:t>
            </w:r>
          </w:p>
        </w:tc>
      </w:tr>
    </w:tbl>
    <w:p w:rsidR="00370C96" w:rsidRDefault="00370C96" w:rsidP="007F7B62">
      <w:pPr>
        <w:pStyle w:val="ListParagraph"/>
        <w:rPr>
          <w:rFonts w:ascii="Times New Roman" w:hAnsi="Times New Roman" w:cs="Times New Roman"/>
          <w:sz w:val="24"/>
          <w:szCs w:val="24"/>
        </w:rPr>
        <w:sectPr w:rsidR="00370C96" w:rsidSect="00370C96">
          <w:pgSz w:w="16838" w:h="11906" w:orient="landscape"/>
          <w:pgMar w:top="1440" w:right="1440" w:bottom="1440" w:left="1440" w:header="708" w:footer="708" w:gutter="0"/>
          <w:cols w:space="708"/>
          <w:docGrid w:linePitch="360"/>
        </w:sectPr>
      </w:pPr>
    </w:p>
    <w:p w:rsidR="007F7B62" w:rsidRPr="007E2B66" w:rsidRDefault="007F7B62" w:rsidP="007F7B62">
      <w:pPr>
        <w:pStyle w:val="ListParagraph"/>
        <w:spacing w:after="0" w:line="240" w:lineRule="auto"/>
        <w:ind w:left="0"/>
        <w:jc w:val="both"/>
        <w:rPr>
          <w:rFonts w:ascii="Times New Roman" w:hAnsi="Times New Roman" w:cs="Times New Roman"/>
          <w:sz w:val="24"/>
          <w:szCs w:val="24"/>
        </w:rPr>
      </w:pPr>
    </w:p>
    <w:p w:rsidR="007F7B62" w:rsidRPr="007E2B66" w:rsidRDefault="007F7B62" w:rsidP="007F7B62">
      <w:pPr>
        <w:spacing w:after="0" w:line="240" w:lineRule="auto"/>
        <w:jc w:val="both"/>
        <w:rPr>
          <w:rFonts w:ascii="Times New Roman" w:hAnsi="Times New Roman" w:cs="Times New Roman"/>
          <w:b/>
          <w:i/>
          <w:sz w:val="24"/>
          <w:szCs w:val="24"/>
        </w:rPr>
      </w:pPr>
      <w:r w:rsidRPr="007E2B66">
        <w:rPr>
          <w:rFonts w:ascii="Times New Roman" w:hAnsi="Times New Roman" w:cs="Times New Roman"/>
          <w:b/>
          <w:i/>
          <w:sz w:val="24"/>
          <w:szCs w:val="24"/>
        </w:rPr>
        <w:t>Consultation</w:t>
      </w:r>
    </w:p>
    <w:p w:rsidR="007F7B62" w:rsidRPr="007E2B66" w:rsidRDefault="007F7B62" w:rsidP="007F7B62">
      <w:pPr>
        <w:spacing w:after="0" w:line="240" w:lineRule="auto"/>
        <w:jc w:val="both"/>
        <w:rPr>
          <w:rFonts w:ascii="Times New Roman" w:hAnsi="Times New Roman" w:cs="Times New Roman"/>
          <w:i/>
          <w:sz w:val="24"/>
          <w:szCs w:val="24"/>
        </w:rPr>
      </w:pPr>
    </w:p>
    <w:p w:rsidR="008C25E5" w:rsidRDefault="008C25E5" w:rsidP="008C25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consulted on the options with </w:t>
      </w:r>
      <w:r w:rsidRPr="00350B5C">
        <w:rPr>
          <w:rFonts w:ascii="Times New Roman" w:hAnsi="Times New Roman" w:cs="Times New Roman"/>
          <w:sz w:val="24"/>
          <w:szCs w:val="24"/>
        </w:rPr>
        <w:t>Chartered Accountants of Australia and New Ze</w:t>
      </w:r>
      <w:r>
        <w:rPr>
          <w:rFonts w:ascii="Times New Roman" w:hAnsi="Times New Roman" w:cs="Times New Roman"/>
          <w:sz w:val="24"/>
          <w:szCs w:val="24"/>
        </w:rPr>
        <w:t>aland (</w:t>
      </w:r>
      <w:proofErr w:type="spellStart"/>
      <w:r>
        <w:rPr>
          <w:rFonts w:ascii="Times New Roman" w:hAnsi="Times New Roman" w:cs="Times New Roman"/>
          <w:sz w:val="24"/>
          <w:szCs w:val="24"/>
        </w:rPr>
        <w:t>CAANZ</w:t>
      </w:r>
      <w:proofErr w:type="spellEnd"/>
      <w:r>
        <w:rPr>
          <w:rFonts w:ascii="Times New Roman" w:hAnsi="Times New Roman" w:cs="Times New Roman"/>
          <w:sz w:val="24"/>
          <w:szCs w:val="24"/>
        </w:rPr>
        <w:t>), Corporate Taxpayer Group and</w:t>
      </w:r>
      <w:r w:rsidRPr="00350B5C">
        <w:rPr>
          <w:rFonts w:ascii="Times New Roman" w:hAnsi="Times New Roman" w:cs="Times New Roman"/>
          <w:sz w:val="24"/>
          <w:szCs w:val="24"/>
        </w:rPr>
        <w:t xml:space="preserve"> Business New Zealand</w:t>
      </w:r>
      <w:r>
        <w:rPr>
          <w:rFonts w:ascii="Times New Roman" w:hAnsi="Times New Roman" w:cs="Times New Roman"/>
          <w:sz w:val="24"/>
          <w:szCs w:val="24"/>
        </w:rPr>
        <w:t xml:space="preserve">.  </w:t>
      </w:r>
      <w:proofErr w:type="spellStart"/>
      <w:r>
        <w:rPr>
          <w:rFonts w:ascii="Times New Roman" w:hAnsi="Times New Roman" w:cs="Times New Roman"/>
          <w:sz w:val="24"/>
          <w:szCs w:val="24"/>
        </w:rPr>
        <w:t>CAANZ</w:t>
      </w:r>
      <w:proofErr w:type="spellEnd"/>
      <w:r>
        <w:rPr>
          <w:rFonts w:ascii="Times New Roman" w:hAnsi="Times New Roman" w:cs="Times New Roman"/>
          <w:sz w:val="24"/>
          <w:szCs w:val="24"/>
        </w:rPr>
        <w:t xml:space="preserve"> were supportive of the proposal whilst the Corporate Taxpayer Group suggested that the 63-day period should be increased to 90 days.  A change to the existing 63-day period has not been considered as part of this proposal because the proposal is a simplification measure.  </w:t>
      </w:r>
      <w:proofErr w:type="gramStart"/>
      <w:r>
        <w:rPr>
          <w:rFonts w:ascii="Times New Roman" w:hAnsi="Times New Roman" w:cs="Times New Roman"/>
          <w:sz w:val="24"/>
          <w:szCs w:val="24"/>
        </w:rPr>
        <w:t>Increasing the day period to 90 days whilst it may increase the deduction amount, does not simplify the calculation.</w:t>
      </w:r>
      <w:proofErr w:type="gramEnd"/>
      <w:r>
        <w:rPr>
          <w:rFonts w:ascii="Times New Roman" w:hAnsi="Times New Roman" w:cs="Times New Roman"/>
          <w:sz w:val="24"/>
          <w:szCs w:val="24"/>
        </w:rPr>
        <w:t xml:space="preserve"> </w:t>
      </w:r>
    </w:p>
    <w:p w:rsidR="007F7B62" w:rsidRPr="007E2B66" w:rsidRDefault="007F7B62" w:rsidP="007F7B62">
      <w:pPr>
        <w:spacing w:after="0" w:line="240" w:lineRule="auto"/>
        <w:jc w:val="both"/>
        <w:rPr>
          <w:rFonts w:ascii="Times New Roman" w:hAnsi="Times New Roman" w:cs="Times New Roman"/>
          <w:sz w:val="24"/>
          <w:szCs w:val="24"/>
        </w:rPr>
      </w:pPr>
    </w:p>
    <w:p w:rsidR="007F7B62" w:rsidRPr="007E2B66" w:rsidRDefault="0067183D" w:rsidP="002D0AC2">
      <w:pPr>
        <w:pStyle w:val="Heading3"/>
      </w:pPr>
      <w:bookmarkStart w:id="43" w:name="_Toc444145628"/>
      <w:r>
        <w:t>R</w:t>
      </w:r>
      <w:r w:rsidR="007F7B62" w:rsidRPr="007E2B66">
        <w:t>ecommendations</w:t>
      </w:r>
      <w:bookmarkEnd w:id="43"/>
    </w:p>
    <w:p w:rsidR="007F7B62" w:rsidRPr="005D3931" w:rsidRDefault="007F7B62" w:rsidP="007F7B62">
      <w:pPr>
        <w:spacing w:after="0" w:line="240" w:lineRule="auto"/>
        <w:jc w:val="both"/>
        <w:rPr>
          <w:rFonts w:ascii="Times New Roman" w:hAnsi="Times New Roman" w:cs="Times New Roman"/>
          <w:sz w:val="24"/>
          <w:szCs w:val="24"/>
        </w:rPr>
      </w:pPr>
    </w:p>
    <w:p w:rsidR="007F7B62" w:rsidRDefault="007F7B62" w:rsidP="005C6E9F">
      <w:pPr>
        <w:pStyle w:val="ListParagraph"/>
        <w:spacing w:after="0" w:line="240" w:lineRule="auto"/>
        <w:ind w:left="0"/>
        <w:jc w:val="both"/>
        <w:rPr>
          <w:rFonts w:ascii="Times New Roman" w:hAnsi="Times New Roman" w:cs="Times New Roman"/>
          <w:sz w:val="24"/>
          <w:szCs w:val="24"/>
        </w:rPr>
      </w:pPr>
      <w:r w:rsidRPr="007E2B66">
        <w:rPr>
          <w:rFonts w:ascii="Times New Roman" w:hAnsi="Times New Roman" w:cs="Times New Roman"/>
          <w:sz w:val="24"/>
          <w:szCs w:val="24"/>
        </w:rPr>
        <w:t>Officials recommend adopting option 2 – optional 63 day rule. This option will achieve the objective of providing compliance savings while also improving the efficiency by providing taxpayers with a choice. This option also has no disadvantage</w:t>
      </w:r>
      <w:r w:rsidR="00980FE0">
        <w:rPr>
          <w:rFonts w:ascii="Times New Roman" w:hAnsi="Times New Roman" w:cs="Times New Roman"/>
          <w:sz w:val="24"/>
          <w:szCs w:val="24"/>
        </w:rPr>
        <w:t>s</w:t>
      </w:r>
      <w:r w:rsidRPr="007E2B66">
        <w:rPr>
          <w:rFonts w:ascii="Times New Roman" w:hAnsi="Times New Roman" w:cs="Times New Roman"/>
          <w:sz w:val="24"/>
          <w:szCs w:val="24"/>
        </w:rPr>
        <w:t xml:space="preserve"> in terms of fairness, equity and sust</w:t>
      </w:r>
      <w:r>
        <w:rPr>
          <w:rFonts w:ascii="Times New Roman" w:hAnsi="Times New Roman" w:cs="Times New Roman"/>
          <w:sz w:val="24"/>
          <w:szCs w:val="24"/>
        </w:rPr>
        <w:t>ainability of the tax system</w:t>
      </w:r>
      <w:r w:rsidR="008C25E5">
        <w:rPr>
          <w:rFonts w:ascii="Times New Roman" w:hAnsi="Times New Roman" w:cs="Times New Roman"/>
          <w:sz w:val="24"/>
          <w:szCs w:val="24"/>
        </w:rPr>
        <w:t xml:space="preserve"> because the same rule is being applied to all types of employee remuneration rather different rules for different types of employee remuneration as proposed under option 3.</w:t>
      </w:r>
    </w:p>
    <w:p w:rsidR="007F7B62" w:rsidRPr="007E2B66" w:rsidRDefault="007F7B62" w:rsidP="007F7B62">
      <w:pPr>
        <w:pStyle w:val="ListParagraph"/>
        <w:spacing w:after="0" w:line="240" w:lineRule="auto"/>
        <w:ind w:left="0"/>
        <w:jc w:val="both"/>
        <w:rPr>
          <w:rFonts w:ascii="Times New Roman" w:hAnsi="Times New Roman" w:cs="Times New Roman"/>
          <w:sz w:val="24"/>
          <w:szCs w:val="24"/>
        </w:rPr>
      </w:pPr>
    </w:p>
    <w:p w:rsidR="007F7B62" w:rsidRPr="007E2B66" w:rsidRDefault="007F7B62" w:rsidP="007F7B62">
      <w:pPr>
        <w:spacing w:after="0" w:line="240" w:lineRule="auto"/>
        <w:jc w:val="both"/>
        <w:rPr>
          <w:rFonts w:ascii="Times New Roman" w:hAnsi="Times New Roman" w:cs="Times New Roman"/>
          <w:sz w:val="24"/>
          <w:szCs w:val="24"/>
        </w:rPr>
      </w:pPr>
    </w:p>
    <w:p w:rsidR="007F7B62" w:rsidRPr="00842528" w:rsidRDefault="00043703" w:rsidP="002D0AC2">
      <w:pPr>
        <w:pStyle w:val="Heading2"/>
      </w:pPr>
      <w:bookmarkStart w:id="44" w:name="_Toc444145629"/>
      <w:r>
        <w:t xml:space="preserve">7 – </w:t>
      </w:r>
      <w:r w:rsidR="007F7B62" w:rsidRPr="00842528">
        <w:t>Simplification of fringe benefit calculation for close companies</w:t>
      </w:r>
      <w:bookmarkEnd w:id="44"/>
    </w:p>
    <w:p w:rsidR="007F7B62" w:rsidRPr="007E2B66" w:rsidRDefault="007F7B62" w:rsidP="008D31DB">
      <w:pPr>
        <w:spacing w:line="240" w:lineRule="auto"/>
      </w:pPr>
    </w:p>
    <w:p w:rsidR="00F14255" w:rsidRPr="00F14255" w:rsidRDefault="00F14255" w:rsidP="00F14255">
      <w:pPr>
        <w:spacing w:after="0" w:line="240" w:lineRule="auto"/>
        <w:jc w:val="both"/>
        <w:rPr>
          <w:rFonts w:ascii="Times New Roman" w:hAnsi="Times New Roman" w:cs="Times New Roman"/>
          <w:b/>
          <w:i/>
          <w:sz w:val="24"/>
          <w:szCs w:val="24"/>
        </w:rPr>
      </w:pPr>
      <w:r w:rsidRPr="00F14255">
        <w:rPr>
          <w:rFonts w:ascii="Times New Roman" w:hAnsi="Times New Roman" w:cs="Times New Roman"/>
          <w:b/>
          <w:i/>
          <w:sz w:val="24"/>
          <w:szCs w:val="24"/>
        </w:rPr>
        <w:t>Status quo and problem definition</w:t>
      </w:r>
    </w:p>
    <w:p w:rsidR="007F7B62" w:rsidRPr="007E2B66" w:rsidRDefault="007F7B62" w:rsidP="007F7B62">
      <w:pPr>
        <w:pStyle w:val="ListParagraph"/>
        <w:ind w:left="0"/>
        <w:jc w:val="both"/>
        <w:rPr>
          <w:rFonts w:ascii="Times New Roman" w:hAnsi="Times New Roman" w:cs="Times New Roman"/>
          <w:sz w:val="24"/>
          <w:szCs w:val="24"/>
        </w:rPr>
      </w:pPr>
    </w:p>
    <w:p w:rsidR="007F7B62" w:rsidRPr="007F7B62" w:rsidRDefault="00A36FCB" w:rsidP="005C6E9F">
      <w:pPr>
        <w:pStyle w:val="ListParagraph"/>
        <w:spacing w:after="0" w:line="240" w:lineRule="auto"/>
        <w:ind w:left="0"/>
        <w:jc w:val="both"/>
        <w:rPr>
          <w:rFonts w:ascii="Times New Roman" w:hAnsi="Times New Roman" w:cs="Times New Roman"/>
          <w:sz w:val="24"/>
          <w:szCs w:val="24"/>
        </w:rPr>
      </w:pPr>
      <w:r w:rsidRPr="00A36FCB">
        <w:rPr>
          <w:rFonts w:ascii="Times New Roman" w:hAnsi="Times New Roman" w:cs="Times New Roman"/>
          <w:sz w:val="24"/>
          <w:szCs w:val="24"/>
        </w:rPr>
        <w:t>C</w:t>
      </w:r>
      <w:r w:rsidR="007F7B62" w:rsidRPr="007F7B62">
        <w:rPr>
          <w:rFonts w:ascii="Times New Roman" w:hAnsi="Times New Roman" w:cs="Times New Roman"/>
          <w:sz w:val="24"/>
          <w:szCs w:val="24"/>
        </w:rPr>
        <w:t xml:space="preserve">lose companies that provide their shareholder-employees with a motor vehicle for private use are required to register and pay </w:t>
      </w:r>
      <w:proofErr w:type="spellStart"/>
      <w:r w:rsidR="007F7B62" w:rsidRPr="007F7B62">
        <w:rPr>
          <w:rFonts w:ascii="Times New Roman" w:hAnsi="Times New Roman" w:cs="Times New Roman"/>
          <w:sz w:val="24"/>
          <w:szCs w:val="24"/>
        </w:rPr>
        <w:t>FBT</w:t>
      </w:r>
      <w:proofErr w:type="spellEnd"/>
      <w:r w:rsidR="007F7B62" w:rsidRPr="007F7B62">
        <w:rPr>
          <w:rFonts w:ascii="Times New Roman" w:hAnsi="Times New Roman" w:cs="Times New Roman"/>
          <w:sz w:val="24"/>
          <w:szCs w:val="24"/>
        </w:rPr>
        <w:t xml:space="preserve"> for that benefit, subject to certain exemptions. Sole traders and partners in a partnership who use a motor vehicle in a similar way are not required to register and pay </w:t>
      </w:r>
      <w:proofErr w:type="spellStart"/>
      <w:r w:rsidR="007F7B62" w:rsidRPr="007F7B62">
        <w:rPr>
          <w:rFonts w:ascii="Times New Roman" w:hAnsi="Times New Roman" w:cs="Times New Roman"/>
          <w:sz w:val="24"/>
          <w:szCs w:val="24"/>
        </w:rPr>
        <w:t>FBT</w:t>
      </w:r>
      <w:proofErr w:type="spellEnd"/>
      <w:r w:rsidR="007F7B62" w:rsidRPr="007F7B62">
        <w:rPr>
          <w:rFonts w:ascii="Times New Roman" w:hAnsi="Times New Roman" w:cs="Times New Roman"/>
          <w:sz w:val="24"/>
          <w:szCs w:val="24"/>
        </w:rPr>
        <w:t>. Instead these taxpayers apportion their motor vehicle expenditure between the business and private use using special motor vehicle expenditure rules. These differences in treatment for what is essentially the same benefit (i</w:t>
      </w:r>
      <w:r w:rsidR="00980FE0">
        <w:rPr>
          <w:rFonts w:ascii="Times New Roman" w:hAnsi="Times New Roman" w:cs="Times New Roman"/>
          <w:sz w:val="24"/>
          <w:szCs w:val="24"/>
        </w:rPr>
        <w:t>.</w:t>
      </w:r>
      <w:r w:rsidR="007F7B62" w:rsidRPr="007F7B62">
        <w:rPr>
          <w:rFonts w:ascii="Times New Roman" w:hAnsi="Times New Roman" w:cs="Times New Roman"/>
          <w:sz w:val="24"/>
          <w:szCs w:val="24"/>
        </w:rPr>
        <w:t>e</w:t>
      </w:r>
      <w:r w:rsidR="00980FE0">
        <w:rPr>
          <w:rFonts w:ascii="Times New Roman" w:hAnsi="Times New Roman" w:cs="Times New Roman"/>
          <w:sz w:val="24"/>
          <w:szCs w:val="24"/>
        </w:rPr>
        <w:t>.</w:t>
      </w:r>
      <w:r w:rsidR="007F7B62" w:rsidRPr="007F7B62">
        <w:rPr>
          <w:rFonts w:ascii="Times New Roman" w:hAnsi="Times New Roman" w:cs="Times New Roman"/>
          <w:sz w:val="24"/>
          <w:szCs w:val="24"/>
        </w:rPr>
        <w:t xml:space="preserve"> the private use of a motor vehicle) arise because of the different entities involved. </w:t>
      </w:r>
    </w:p>
    <w:p w:rsidR="005C6E9F" w:rsidRDefault="005C6E9F" w:rsidP="005C6E9F">
      <w:pPr>
        <w:spacing w:after="0" w:line="240" w:lineRule="auto"/>
        <w:jc w:val="both"/>
        <w:rPr>
          <w:rFonts w:ascii="Times New Roman" w:hAnsi="Times New Roman" w:cs="Times New Roman"/>
          <w:b/>
          <w:i/>
          <w:sz w:val="24"/>
          <w:szCs w:val="24"/>
        </w:rPr>
      </w:pPr>
    </w:p>
    <w:p w:rsidR="005C6E9F" w:rsidRPr="005C6E9F" w:rsidRDefault="005C6E9F" w:rsidP="005C6E9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Options and analysis</w:t>
      </w:r>
    </w:p>
    <w:p w:rsidR="005C6E9F" w:rsidRDefault="005C6E9F" w:rsidP="005C6E9F">
      <w:pPr>
        <w:pStyle w:val="ListParagraph"/>
        <w:spacing w:after="0" w:line="240" w:lineRule="auto"/>
        <w:ind w:left="0"/>
        <w:jc w:val="both"/>
        <w:rPr>
          <w:rFonts w:ascii="Times New Roman" w:hAnsi="Times New Roman" w:cs="Times New Roman"/>
          <w:sz w:val="24"/>
          <w:szCs w:val="24"/>
        </w:rPr>
      </w:pPr>
    </w:p>
    <w:p w:rsidR="007F7B62" w:rsidRPr="007F7B62" w:rsidRDefault="007F7B62" w:rsidP="005C6E9F">
      <w:pPr>
        <w:pStyle w:val="ListParagraph"/>
        <w:spacing w:after="0" w:line="240" w:lineRule="auto"/>
        <w:ind w:left="0"/>
        <w:jc w:val="both"/>
        <w:rPr>
          <w:rFonts w:ascii="Times New Roman" w:hAnsi="Times New Roman" w:cs="Times New Roman"/>
          <w:sz w:val="24"/>
          <w:szCs w:val="24"/>
        </w:rPr>
      </w:pPr>
      <w:r w:rsidRPr="007F7B62">
        <w:rPr>
          <w:rFonts w:ascii="Times New Roman" w:hAnsi="Times New Roman" w:cs="Times New Roman"/>
          <w:sz w:val="24"/>
          <w:szCs w:val="24"/>
        </w:rPr>
        <w:t xml:space="preserve">The following options have been considered for addressing this </w:t>
      </w:r>
      <w:r w:rsidR="008A37FE">
        <w:rPr>
          <w:rFonts w:ascii="Times New Roman" w:hAnsi="Times New Roman" w:cs="Times New Roman"/>
          <w:sz w:val="24"/>
          <w:szCs w:val="24"/>
        </w:rPr>
        <w:t>issue</w:t>
      </w:r>
      <w:r w:rsidRPr="007F7B62">
        <w:rPr>
          <w:rFonts w:ascii="Times New Roman" w:hAnsi="Times New Roman" w:cs="Times New Roman"/>
          <w:sz w:val="24"/>
          <w:szCs w:val="24"/>
        </w:rPr>
        <w:t>.</w:t>
      </w:r>
    </w:p>
    <w:p w:rsidR="007F7B62" w:rsidRPr="007E2B66" w:rsidRDefault="007F7B62" w:rsidP="007F7B62">
      <w:pPr>
        <w:pStyle w:val="ListParagraph"/>
        <w:ind w:left="0"/>
        <w:jc w:val="both"/>
        <w:rPr>
          <w:rFonts w:ascii="Times New Roman" w:hAnsi="Times New Roman" w:cs="Times New Roman"/>
          <w:sz w:val="24"/>
          <w:szCs w:val="24"/>
        </w:rPr>
      </w:pPr>
    </w:p>
    <w:p w:rsidR="007F7B62" w:rsidRPr="007F7B62" w:rsidRDefault="007F7B62" w:rsidP="005C6E9F">
      <w:pPr>
        <w:pStyle w:val="ListParagraph"/>
        <w:spacing w:after="0" w:line="240" w:lineRule="auto"/>
        <w:ind w:left="0"/>
        <w:jc w:val="both"/>
        <w:rPr>
          <w:rFonts w:ascii="Times New Roman" w:hAnsi="Times New Roman" w:cs="Times New Roman"/>
          <w:sz w:val="24"/>
          <w:szCs w:val="24"/>
        </w:rPr>
      </w:pPr>
      <w:r w:rsidRPr="007F7B62">
        <w:rPr>
          <w:rFonts w:ascii="Times New Roman" w:hAnsi="Times New Roman" w:cs="Times New Roman"/>
          <w:sz w:val="24"/>
          <w:szCs w:val="24"/>
        </w:rPr>
        <w:t>The first option is to maintain the status quo.</w:t>
      </w:r>
    </w:p>
    <w:p w:rsidR="007F7B62" w:rsidRDefault="007F7B62" w:rsidP="007F7B62">
      <w:pPr>
        <w:pStyle w:val="ListParagraph"/>
        <w:ind w:left="0"/>
        <w:jc w:val="both"/>
        <w:rPr>
          <w:rFonts w:ascii="Times New Roman" w:hAnsi="Times New Roman" w:cs="Times New Roman"/>
          <w:sz w:val="24"/>
          <w:szCs w:val="24"/>
        </w:rPr>
      </w:pPr>
    </w:p>
    <w:p w:rsidR="00980FE0" w:rsidRPr="008D31DB" w:rsidRDefault="00980FE0" w:rsidP="007F7B62">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 xml:space="preserve">Option 2 – Use motor vehicle expenditure rules instead of paying </w:t>
      </w:r>
      <w:proofErr w:type="spellStart"/>
      <w:r>
        <w:rPr>
          <w:rFonts w:ascii="Times New Roman" w:hAnsi="Times New Roman" w:cs="Times New Roman"/>
          <w:i/>
          <w:sz w:val="24"/>
          <w:szCs w:val="24"/>
        </w:rPr>
        <w:t>FBT</w:t>
      </w:r>
      <w:proofErr w:type="spellEnd"/>
    </w:p>
    <w:p w:rsidR="00980FE0" w:rsidRPr="007E2B66" w:rsidRDefault="00980FE0" w:rsidP="007F7B62">
      <w:pPr>
        <w:pStyle w:val="ListParagraph"/>
        <w:ind w:left="0"/>
        <w:jc w:val="both"/>
        <w:rPr>
          <w:rFonts w:ascii="Times New Roman" w:hAnsi="Times New Roman" w:cs="Times New Roman"/>
          <w:sz w:val="24"/>
          <w:szCs w:val="24"/>
        </w:rPr>
      </w:pPr>
    </w:p>
    <w:p w:rsidR="007F7B62" w:rsidRPr="007F7B62" w:rsidRDefault="008A37FE" w:rsidP="005C6E9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This</w:t>
      </w:r>
      <w:r w:rsidR="007F7B62" w:rsidRPr="007F7B62">
        <w:rPr>
          <w:rFonts w:ascii="Times New Roman" w:hAnsi="Times New Roman" w:cs="Times New Roman"/>
          <w:sz w:val="24"/>
          <w:szCs w:val="24"/>
        </w:rPr>
        <w:t xml:space="preserve"> option </w:t>
      </w:r>
      <w:r>
        <w:rPr>
          <w:rFonts w:ascii="Times New Roman" w:hAnsi="Times New Roman" w:cs="Times New Roman"/>
          <w:sz w:val="24"/>
          <w:szCs w:val="24"/>
        </w:rPr>
        <w:t>will</w:t>
      </w:r>
      <w:r w:rsidR="007F7B62" w:rsidRPr="007F7B62">
        <w:rPr>
          <w:rFonts w:ascii="Times New Roman" w:hAnsi="Times New Roman" w:cs="Times New Roman"/>
          <w:sz w:val="24"/>
          <w:szCs w:val="24"/>
        </w:rPr>
        <w:t xml:space="preserve"> allow close companies who pay their </w:t>
      </w:r>
      <w:proofErr w:type="spellStart"/>
      <w:r w:rsidR="007F7B62" w:rsidRPr="007F7B62">
        <w:rPr>
          <w:rFonts w:ascii="Times New Roman" w:hAnsi="Times New Roman" w:cs="Times New Roman"/>
          <w:sz w:val="24"/>
          <w:szCs w:val="24"/>
        </w:rPr>
        <w:t>FBT</w:t>
      </w:r>
      <w:proofErr w:type="spellEnd"/>
      <w:r w:rsidR="007F7B62" w:rsidRPr="007F7B62">
        <w:rPr>
          <w:rFonts w:ascii="Times New Roman" w:hAnsi="Times New Roman" w:cs="Times New Roman"/>
          <w:sz w:val="24"/>
          <w:szCs w:val="24"/>
        </w:rPr>
        <w:t xml:space="preserve"> on an income year basis to use the motor vehicle expenditure rules instead of paying </w:t>
      </w:r>
      <w:proofErr w:type="spellStart"/>
      <w:r w:rsidR="007F7B62" w:rsidRPr="007F7B62">
        <w:rPr>
          <w:rFonts w:ascii="Times New Roman" w:hAnsi="Times New Roman" w:cs="Times New Roman"/>
          <w:sz w:val="24"/>
          <w:szCs w:val="24"/>
        </w:rPr>
        <w:t>FBT</w:t>
      </w:r>
      <w:proofErr w:type="spellEnd"/>
      <w:r w:rsidR="007F7B62" w:rsidRPr="007F7B62">
        <w:rPr>
          <w:rFonts w:ascii="Times New Roman" w:hAnsi="Times New Roman" w:cs="Times New Roman"/>
          <w:sz w:val="24"/>
          <w:szCs w:val="24"/>
        </w:rPr>
        <w:t xml:space="preserve">. These companies </w:t>
      </w:r>
      <w:r w:rsidR="008F6668">
        <w:rPr>
          <w:rFonts w:ascii="Times New Roman" w:hAnsi="Times New Roman" w:cs="Times New Roman"/>
          <w:sz w:val="24"/>
          <w:szCs w:val="24"/>
        </w:rPr>
        <w:t>could choose not to pay</w:t>
      </w:r>
      <w:r w:rsidR="007F7B62" w:rsidRPr="007F7B62">
        <w:rPr>
          <w:rFonts w:ascii="Times New Roman" w:hAnsi="Times New Roman" w:cs="Times New Roman"/>
          <w:sz w:val="24"/>
          <w:szCs w:val="24"/>
        </w:rPr>
        <w:t xml:space="preserve"> </w:t>
      </w:r>
      <w:proofErr w:type="spellStart"/>
      <w:r w:rsidR="007F7B62" w:rsidRPr="007F7B62">
        <w:rPr>
          <w:rFonts w:ascii="Times New Roman" w:hAnsi="Times New Roman" w:cs="Times New Roman"/>
          <w:sz w:val="24"/>
          <w:szCs w:val="24"/>
        </w:rPr>
        <w:t>FBT</w:t>
      </w:r>
      <w:proofErr w:type="spellEnd"/>
      <w:r w:rsidR="007F7B62" w:rsidRPr="007F7B62">
        <w:rPr>
          <w:rFonts w:ascii="Times New Roman" w:hAnsi="Times New Roman" w:cs="Times New Roman"/>
          <w:sz w:val="24"/>
          <w:szCs w:val="24"/>
        </w:rPr>
        <w:t xml:space="preserve"> for a motor vehicle being available for private use for shareholder-employees. Instead </w:t>
      </w:r>
      <w:r w:rsidR="00980FE0">
        <w:rPr>
          <w:rFonts w:ascii="Times New Roman" w:hAnsi="Times New Roman" w:cs="Times New Roman"/>
          <w:sz w:val="24"/>
          <w:szCs w:val="24"/>
        </w:rPr>
        <w:t>they</w:t>
      </w:r>
      <w:r w:rsidR="007F7B62" w:rsidRPr="007F7B62">
        <w:rPr>
          <w:rFonts w:ascii="Times New Roman" w:hAnsi="Times New Roman" w:cs="Times New Roman"/>
          <w:sz w:val="24"/>
          <w:szCs w:val="24"/>
        </w:rPr>
        <w:t xml:space="preserve"> would measure the business and private use of the motor vehicle and then make an adjustment to the amount of motor vehicle expenditure deducted. The option is available where the only benefit provide</w:t>
      </w:r>
      <w:r w:rsidR="00980FE0">
        <w:rPr>
          <w:rFonts w:ascii="Times New Roman" w:hAnsi="Times New Roman" w:cs="Times New Roman"/>
          <w:sz w:val="24"/>
          <w:szCs w:val="24"/>
        </w:rPr>
        <w:t>d</w:t>
      </w:r>
      <w:r w:rsidR="007F7B62" w:rsidRPr="007F7B62">
        <w:rPr>
          <w:rFonts w:ascii="Times New Roman" w:hAnsi="Times New Roman" w:cs="Times New Roman"/>
          <w:sz w:val="24"/>
          <w:szCs w:val="24"/>
        </w:rPr>
        <w:t xml:space="preserve"> is 1 or 2 motor vehicles for private use to shareholder-employees.</w:t>
      </w:r>
    </w:p>
    <w:p w:rsidR="007F7B62" w:rsidRPr="007E2B66" w:rsidRDefault="007F7B62" w:rsidP="007F7B62">
      <w:pPr>
        <w:pStyle w:val="ListParagraph"/>
        <w:spacing w:after="0" w:line="240" w:lineRule="auto"/>
        <w:jc w:val="both"/>
        <w:rPr>
          <w:rFonts w:ascii="Times New Roman" w:hAnsi="Times New Roman" w:cs="Times New Roman"/>
          <w:i/>
          <w:sz w:val="24"/>
          <w:szCs w:val="24"/>
        </w:rPr>
        <w:sectPr w:rsidR="007F7B62" w:rsidRPr="007E2B66">
          <w:pgSz w:w="11906" w:h="16838"/>
          <w:pgMar w:top="1440" w:right="1440" w:bottom="1440" w:left="1440" w:header="708" w:footer="708" w:gutter="0"/>
          <w:cols w:space="708"/>
          <w:docGrid w:linePitch="360"/>
        </w:sectPr>
      </w:pPr>
    </w:p>
    <w:p w:rsidR="007F7B62" w:rsidRDefault="007F7B62" w:rsidP="007F7B62">
      <w:pPr>
        <w:pStyle w:val="ListParagraph"/>
        <w:spacing w:after="0" w:line="240" w:lineRule="auto"/>
        <w:ind w:left="0"/>
        <w:jc w:val="both"/>
        <w:rPr>
          <w:rFonts w:ascii="Times New Roman" w:hAnsi="Times New Roman" w:cs="Times New Roman"/>
          <w:sz w:val="24"/>
          <w:szCs w:val="24"/>
        </w:rPr>
      </w:pPr>
    </w:p>
    <w:p w:rsidR="007F7B62" w:rsidRDefault="007F7B62" w:rsidP="00D54EC7">
      <w:pPr>
        <w:pStyle w:val="ListParagraph"/>
        <w:spacing w:after="0" w:line="240" w:lineRule="auto"/>
        <w:ind w:left="0"/>
        <w:jc w:val="both"/>
        <w:rPr>
          <w:rFonts w:ascii="Times New Roman" w:hAnsi="Times New Roman" w:cs="Times New Roman"/>
          <w:sz w:val="24"/>
          <w:szCs w:val="24"/>
        </w:rPr>
      </w:pPr>
      <w:r w:rsidRPr="007F7B62">
        <w:rPr>
          <w:rFonts w:ascii="Times New Roman" w:hAnsi="Times New Roman" w:cs="Times New Roman"/>
          <w:sz w:val="24"/>
          <w:szCs w:val="24"/>
        </w:rPr>
        <w:t>Officials’ analysis of the options is set out in the table below.</w:t>
      </w:r>
    </w:p>
    <w:p w:rsidR="007F7B62" w:rsidRPr="00D54EC7" w:rsidRDefault="007F7B62" w:rsidP="00D54EC7">
      <w:pPr>
        <w:pStyle w:val="ListParagraph"/>
        <w:spacing w:after="0" w:line="240" w:lineRule="auto"/>
        <w:ind w:left="0"/>
        <w:jc w:val="both"/>
        <w:rPr>
          <w:rFonts w:ascii="Times New Roman" w:hAnsi="Times New Roman" w:cs="Times New Roman"/>
          <w:sz w:val="24"/>
          <w:szCs w:val="24"/>
        </w:rPr>
      </w:pPr>
    </w:p>
    <w:tbl>
      <w:tblPr>
        <w:tblStyle w:val="TableGrid"/>
        <w:tblW w:w="14459" w:type="dxa"/>
        <w:tblInd w:w="108" w:type="dxa"/>
        <w:tblLayout w:type="fixed"/>
        <w:tblLook w:val="04A0" w:firstRow="1" w:lastRow="0" w:firstColumn="1" w:lastColumn="0" w:noHBand="0" w:noVBand="1"/>
      </w:tblPr>
      <w:tblGrid>
        <w:gridCol w:w="2268"/>
        <w:gridCol w:w="3261"/>
        <w:gridCol w:w="3118"/>
        <w:gridCol w:w="3969"/>
        <w:gridCol w:w="1843"/>
      </w:tblGrid>
      <w:tr w:rsidR="00842528" w:rsidRPr="007E2B66" w:rsidTr="00D54EC7">
        <w:tc>
          <w:tcPr>
            <w:tcW w:w="2268" w:type="dxa"/>
          </w:tcPr>
          <w:p w:rsidR="00842528" w:rsidRPr="007E2B66" w:rsidRDefault="00842528" w:rsidP="007F7B62">
            <w:pPr>
              <w:pStyle w:val="ListParagraph"/>
              <w:ind w:left="-76"/>
              <w:rPr>
                <w:rFonts w:ascii="Times New Roman" w:hAnsi="Times New Roman" w:cs="Times New Roman"/>
                <w:b/>
                <w:sz w:val="24"/>
                <w:szCs w:val="24"/>
              </w:rPr>
            </w:pPr>
            <w:r w:rsidRPr="007E2B66">
              <w:rPr>
                <w:rFonts w:ascii="Times New Roman" w:hAnsi="Times New Roman" w:cs="Times New Roman"/>
                <w:b/>
                <w:sz w:val="24"/>
                <w:szCs w:val="24"/>
              </w:rPr>
              <w:t>Options</w:t>
            </w:r>
          </w:p>
        </w:tc>
        <w:tc>
          <w:tcPr>
            <w:tcW w:w="3261" w:type="dxa"/>
          </w:tcPr>
          <w:p w:rsidR="00842528" w:rsidRPr="007E2B66" w:rsidRDefault="00842528" w:rsidP="007F7B62">
            <w:pPr>
              <w:pStyle w:val="ListParagraph"/>
              <w:ind w:left="0"/>
              <w:jc w:val="both"/>
              <w:rPr>
                <w:rFonts w:ascii="Times New Roman" w:hAnsi="Times New Roman" w:cs="Times New Roman"/>
                <w:b/>
                <w:sz w:val="24"/>
                <w:szCs w:val="24"/>
              </w:rPr>
            </w:pPr>
            <w:r w:rsidRPr="007E2B66">
              <w:rPr>
                <w:rFonts w:ascii="Times New Roman" w:hAnsi="Times New Roman" w:cs="Times New Roman"/>
                <w:b/>
                <w:sz w:val="24"/>
                <w:szCs w:val="24"/>
              </w:rPr>
              <w:t>Fairness and equity</w:t>
            </w:r>
          </w:p>
        </w:tc>
        <w:tc>
          <w:tcPr>
            <w:tcW w:w="3118" w:type="dxa"/>
          </w:tcPr>
          <w:p w:rsidR="00842528" w:rsidRPr="007E2B66" w:rsidRDefault="00842528" w:rsidP="00062EA1">
            <w:pPr>
              <w:pStyle w:val="ListParagraph"/>
              <w:ind w:left="0"/>
              <w:jc w:val="both"/>
              <w:rPr>
                <w:rFonts w:ascii="Times New Roman" w:hAnsi="Times New Roman" w:cs="Times New Roman"/>
                <w:b/>
                <w:sz w:val="24"/>
                <w:szCs w:val="24"/>
              </w:rPr>
            </w:pPr>
            <w:r w:rsidRPr="007E2B66">
              <w:rPr>
                <w:rFonts w:ascii="Times New Roman" w:hAnsi="Times New Roman" w:cs="Times New Roman"/>
                <w:b/>
                <w:sz w:val="24"/>
                <w:szCs w:val="24"/>
              </w:rPr>
              <w:t xml:space="preserve">Efficiency of compliance and administration </w:t>
            </w:r>
          </w:p>
        </w:tc>
        <w:tc>
          <w:tcPr>
            <w:tcW w:w="3969" w:type="dxa"/>
          </w:tcPr>
          <w:p w:rsidR="00842528" w:rsidRPr="007E2B66" w:rsidRDefault="00842528" w:rsidP="007F7B62">
            <w:pPr>
              <w:pStyle w:val="ListParagraph"/>
              <w:ind w:left="0"/>
              <w:jc w:val="both"/>
              <w:rPr>
                <w:rFonts w:ascii="Times New Roman" w:hAnsi="Times New Roman" w:cs="Times New Roman"/>
                <w:b/>
                <w:sz w:val="24"/>
                <w:szCs w:val="24"/>
              </w:rPr>
            </w:pPr>
            <w:r w:rsidRPr="007E2B66">
              <w:rPr>
                <w:rFonts w:ascii="Times New Roman" w:hAnsi="Times New Roman" w:cs="Times New Roman"/>
                <w:b/>
                <w:sz w:val="24"/>
                <w:szCs w:val="24"/>
              </w:rPr>
              <w:t>Sustainability of tax system</w:t>
            </w:r>
          </w:p>
        </w:tc>
        <w:tc>
          <w:tcPr>
            <w:tcW w:w="1843" w:type="dxa"/>
          </w:tcPr>
          <w:p w:rsidR="00842528" w:rsidRPr="007E2B66" w:rsidRDefault="00842528" w:rsidP="007F7B62">
            <w:pPr>
              <w:pStyle w:val="ListParagraph"/>
              <w:ind w:left="0"/>
              <w:jc w:val="both"/>
              <w:rPr>
                <w:rFonts w:ascii="Times New Roman" w:hAnsi="Times New Roman" w:cs="Times New Roman"/>
                <w:b/>
                <w:sz w:val="24"/>
                <w:szCs w:val="24"/>
              </w:rPr>
            </w:pPr>
            <w:r w:rsidRPr="007E2B66">
              <w:rPr>
                <w:rFonts w:ascii="Times New Roman" w:hAnsi="Times New Roman" w:cs="Times New Roman"/>
                <w:b/>
                <w:sz w:val="24"/>
                <w:szCs w:val="24"/>
              </w:rPr>
              <w:t xml:space="preserve">Revenue </w:t>
            </w:r>
          </w:p>
        </w:tc>
      </w:tr>
      <w:tr w:rsidR="00842528" w:rsidRPr="007E2B66" w:rsidTr="00D54EC7">
        <w:tc>
          <w:tcPr>
            <w:tcW w:w="2268" w:type="dxa"/>
          </w:tcPr>
          <w:p w:rsidR="00842528" w:rsidRPr="00566803" w:rsidRDefault="00842528" w:rsidP="00D54EC7">
            <w:pPr>
              <w:pStyle w:val="ListParagraph"/>
              <w:ind w:left="-76"/>
              <w:rPr>
                <w:rFonts w:ascii="Times New Roman" w:hAnsi="Times New Roman" w:cs="Times New Roman"/>
                <w:sz w:val="24"/>
                <w:szCs w:val="24"/>
              </w:rPr>
            </w:pPr>
            <w:r w:rsidRPr="00566803">
              <w:rPr>
                <w:rFonts w:ascii="Times New Roman" w:hAnsi="Times New Roman" w:cs="Times New Roman"/>
                <w:sz w:val="24"/>
                <w:szCs w:val="24"/>
              </w:rPr>
              <w:t xml:space="preserve">1. </w:t>
            </w:r>
            <w:r w:rsidR="00D54EC7" w:rsidRPr="00566803">
              <w:rPr>
                <w:rFonts w:ascii="Times New Roman" w:hAnsi="Times New Roman" w:cs="Times New Roman"/>
                <w:sz w:val="24"/>
                <w:szCs w:val="24"/>
              </w:rPr>
              <w:t>Retain the s</w:t>
            </w:r>
            <w:r w:rsidRPr="00566803">
              <w:rPr>
                <w:rFonts w:ascii="Times New Roman" w:hAnsi="Times New Roman" w:cs="Times New Roman"/>
                <w:sz w:val="24"/>
                <w:szCs w:val="24"/>
              </w:rPr>
              <w:t>tatus quo</w:t>
            </w:r>
          </w:p>
        </w:tc>
        <w:tc>
          <w:tcPr>
            <w:tcW w:w="3261" w:type="dxa"/>
          </w:tcPr>
          <w:p w:rsidR="00980FE0" w:rsidRDefault="008C25E5" w:rsidP="007F7B62">
            <w:pPr>
              <w:pStyle w:val="ListParagraph"/>
              <w:ind w:left="0"/>
              <w:jc w:val="both"/>
              <w:rPr>
                <w:rFonts w:ascii="Times New Roman" w:hAnsi="Times New Roman" w:cs="Times New Roman"/>
                <w:sz w:val="24"/>
                <w:szCs w:val="24"/>
              </w:rPr>
            </w:pPr>
            <w:r>
              <w:rPr>
                <w:rFonts w:ascii="Times New Roman" w:hAnsi="Times New Roman" w:cs="Times New Roman"/>
                <w:sz w:val="24"/>
                <w:szCs w:val="24"/>
              </w:rPr>
              <w:t>Not met</w:t>
            </w:r>
          </w:p>
          <w:p w:rsidR="00980FE0" w:rsidRDefault="00980FE0" w:rsidP="007F7B62">
            <w:pPr>
              <w:pStyle w:val="ListParagraph"/>
              <w:ind w:left="0"/>
              <w:jc w:val="both"/>
              <w:rPr>
                <w:rFonts w:ascii="Times New Roman" w:hAnsi="Times New Roman" w:cs="Times New Roman"/>
                <w:sz w:val="24"/>
                <w:szCs w:val="24"/>
              </w:rPr>
            </w:pPr>
          </w:p>
          <w:p w:rsidR="00842528" w:rsidRPr="007E2B66" w:rsidRDefault="00980FE0" w:rsidP="007F7B62">
            <w:pPr>
              <w:pStyle w:val="ListParagraph"/>
              <w:ind w:left="0"/>
              <w:jc w:val="both"/>
              <w:rPr>
                <w:rFonts w:ascii="Times New Roman" w:hAnsi="Times New Roman" w:cs="Times New Roman"/>
                <w:sz w:val="24"/>
                <w:szCs w:val="24"/>
              </w:rPr>
            </w:pPr>
            <w:r>
              <w:rPr>
                <w:rFonts w:ascii="Times New Roman" w:hAnsi="Times New Roman" w:cs="Times New Roman"/>
                <w:sz w:val="24"/>
                <w:szCs w:val="24"/>
              </w:rPr>
              <w:t>E</w:t>
            </w:r>
            <w:r w:rsidR="00842528" w:rsidRPr="007E2B66">
              <w:rPr>
                <w:rFonts w:ascii="Times New Roman" w:hAnsi="Times New Roman" w:cs="Times New Roman"/>
                <w:sz w:val="24"/>
                <w:szCs w:val="24"/>
              </w:rPr>
              <w:t xml:space="preserve">xisting rule treats </w:t>
            </w:r>
            <w:r w:rsidR="008C25E5">
              <w:rPr>
                <w:rFonts w:ascii="Times New Roman" w:hAnsi="Times New Roman" w:cs="Times New Roman"/>
                <w:sz w:val="24"/>
                <w:szCs w:val="24"/>
              </w:rPr>
              <w:t>close</w:t>
            </w:r>
            <w:r w:rsidR="00842528" w:rsidRPr="007E2B66">
              <w:rPr>
                <w:rFonts w:ascii="Times New Roman" w:hAnsi="Times New Roman" w:cs="Times New Roman"/>
                <w:sz w:val="24"/>
                <w:szCs w:val="24"/>
              </w:rPr>
              <w:t xml:space="preserve"> companies like other companies who provide benefits to their employees.  However </w:t>
            </w:r>
            <w:r w:rsidR="008C25E5">
              <w:rPr>
                <w:rFonts w:ascii="Times New Roman" w:hAnsi="Times New Roman" w:cs="Times New Roman"/>
                <w:sz w:val="24"/>
                <w:szCs w:val="24"/>
              </w:rPr>
              <w:t>close</w:t>
            </w:r>
            <w:r w:rsidR="00842528" w:rsidRPr="007E2B66">
              <w:rPr>
                <w:rFonts w:ascii="Times New Roman" w:hAnsi="Times New Roman" w:cs="Times New Roman"/>
                <w:sz w:val="24"/>
                <w:szCs w:val="24"/>
              </w:rPr>
              <w:t xml:space="preserve"> companies are often similar to sole traders and partnerships that use different rules.</w:t>
            </w:r>
          </w:p>
        </w:tc>
        <w:tc>
          <w:tcPr>
            <w:tcW w:w="3118" w:type="dxa"/>
          </w:tcPr>
          <w:p w:rsidR="008C25E5" w:rsidRDefault="009500FD" w:rsidP="007F7B62">
            <w:pPr>
              <w:pStyle w:val="ListParagraph"/>
              <w:ind w:left="0"/>
              <w:jc w:val="both"/>
              <w:rPr>
                <w:rFonts w:ascii="Times New Roman" w:hAnsi="Times New Roman" w:cs="Times New Roman"/>
                <w:sz w:val="24"/>
                <w:szCs w:val="24"/>
              </w:rPr>
            </w:pPr>
            <w:r>
              <w:rPr>
                <w:rFonts w:ascii="Times New Roman" w:hAnsi="Times New Roman" w:cs="Times New Roman"/>
                <w:sz w:val="24"/>
                <w:szCs w:val="24"/>
              </w:rPr>
              <w:t>Not m</w:t>
            </w:r>
            <w:r w:rsidR="008C25E5">
              <w:rPr>
                <w:rFonts w:ascii="Times New Roman" w:hAnsi="Times New Roman" w:cs="Times New Roman"/>
                <w:sz w:val="24"/>
                <w:szCs w:val="24"/>
              </w:rPr>
              <w:t>et</w:t>
            </w:r>
          </w:p>
          <w:p w:rsidR="008C25E5" w:rsidRDefault="008C25E5" w:rsidP="007F7B62">
            <w:pPr>
              <w:pStyle w:val="ListParagraph"/>
              <w:ind w:left="0"/>
              <w:jc w:val="both"/>
              <w:rPr>
                <w:rFonts w:ascii="Times New Roman" w:hAnsi="Times New Roman" w:cs="Times New Roman"/>
                <w:sz w:val="24"/>
                <w:szCs w:val="24"/>
              </w:rPr>
            </w:pPr>
          </w:p>
          <w:p w:rsidR="00842528" w:rsidRPr="007E2B66" w:rsidRDefault="00842528" w:rsidP="00334B6B">
            <w:pPr>
              <w:pStyle w:val="ListParagraph"/>
              <w:ind w:left="0"/>
              <w:jc w:val="both"/>
              <w:rPr>
                <w:rFonts w:ascii="Times New Roman" w:hAnsi="Times New Roman" w:cs="Times New Roman"/>
                <w:sz w:val="24"/>
                <w:szCs w:val="24"/>
              </w:rPr>
            </w:pPr>
            <w:r w:rsidRPr="007E2B66">
              <w:rPr>
                <w:rFonts w:ascii="Times New Roman" w:hAnsi="Times New Roman" w:cs="Times New Roman"/>
                <w:sz w:val="24"/>
                <w:szCs w:val="24"/>
              </w:rPr>
              <w:t xml:space="preserve">Inefficient to comply with due to having to register and pay </w:t>
            </w:r>
            <w:proofErr w:type="spellStart"/>
            <w:r w:rsidRPr="007E2B66">
              <w:rPr>
                <w:rFonts w:ascii="Times New Roman" w:hAnsi="Times New Roman" w:cs="Times New Roman"/>
                <w:sz w:val="24"/>
                <w:szCs w:val="24"/>
              </w:rPr>
              <w:t>FBT</w:t>
            </w:r>
            <w:proofErr w:type="spellEnd"/>
            <w:r w:rsidRPr="007E2B66">
              <w:rPr>
                <w:rFonts w:ascii="Times New Roman" w:hAnsi="Times New Roman" w:cs="Times New Roman"/>
                <w:sz w:val="24"/>
                <w:szCs w:val="24"/>
              </w:rPr>
              <w:t xml:space="preserve"> when </w:t>
            </w:r>
            <w:r w:rsidR="008C25E5">
              <w:rPr>
                <w:rFonts w:ascii="Times New Roman" w:hAnsi="Times New Roman" w:cs="Times New Roman"/>
                <w:sz w:val="24"/>
                <w:szCs w:val="24"/>
              </w:rPr>
              <w:t>close</w:t>
            </w:r>
            <w:r w:rsidRPr="007E2B66">
              <w:rPr>
                <w:rFonts w:ascii="Times New Roman" w:hAnsi="Times New Roman" w:cs="Times New Roman"/>
                <w:sz w:val="24"/>
                <w:szCs w:val="24"/>
              </w:rPr>
              <w:t xml:space="preserve"> compan</w:t>
            </w:r>
            <w:r w:rsidR="009500FD">
              <w:rPr>
                <w:rFonts w:ascii="Times New Roman" w:hAnsi="Times New Roman" w:cs="Times New Roman"/>
                <w:sz w:val="24"/>
                <w:szCs w:val="24"/>
              </w:rPr>
              <w:t>ies</w:t>
            </w:r>
            <w:r w:rsidRPr="007E2B66">
              <w:rPr>
                <w:rFonts w:ascii="Times New Roman" w:hAnsi="Times New Roman" w:cs="Times New Roman"/>
                <w:sz w:val="24"/>
                <w:szCs w:val="24"/>
              </w:rPr>
              <w:t xml:space="preserve"> provide sole benefit to their shareholder-employees.</w:t>
            </w:r>
          </w:p>
        </w:tc>
        <w:tc>
          <w:tcPr>
            <w:tcW w:w="3969" w:type="dxa"/>
          </w:tcPr>
          <w:p w:rsidR="00980FE0" w:rsidRDefault="00980FE0" w:rsidP="007F7B62">
            <w:pPr>
              <w:pStyle w:val="ListParagraph"/>
              <w:ind w:left="0"/>
              <w:jc w:val="both"/>
              <w:rPr>
                <w:rFonts w:ascii="Times New Roman" w:hAnsi="Times New Roman" w:cs="Times New Roman"/>
                <w:sz w:val="24"/>
                <w:szCs w:val="24"/>
              </w:rPr>
            </w:pPr>
            <w:r>
              <w:rPr>
                <w:rFonts w:ascii="Times New Roman" w:hAnsi="Times New Roman" w:cs="Times New Roman"/>
                <w:sz w:val="24"/>
                <w:szCs w:val="24"/>
              </w:rPr>
              <w:t>Not met</w:t>
            </w:r>
          </w:p>
          <w:p w:rsidR="00980FE0" w:rsidRDefault="00980FE0" w:rsidP="007F7B62">
            <w:pPr>
              <w:pStyle w:val="ListParagraph"/>
              <w:ind w:left="0"/>
              <w:jc w:val="both"/>
              <w:rPr>
                <w:rFonts w:ascii="Times New Roman" w:hAnsi="Times New Roman" w:cs="Times New Roman"/>
                <w:sz w:val="24"/>
                <w:szCs w:val="24"/>
              </w:rPr>
            </w:pPr>
          </w:p>
          <w:p w:rsidR="00842528" w:rsidRPr="007E2B66" w:rsidRDefault="00842528" w:rsidP="007F7B62">
            <w:pPr>
              <w:pStyle w:val="ListParagraph"/>
              <w:ind w:left="0"/>
              <w:jc w:val="both"/>
              <w:rPr>
                <w:rFonts w:ascii="Times New Roman" w:hAnsi="Times New Roman" w:cs="Times New Roman"/>
                <w:sz w:val="24"/>
                <w:szCs w:val="24"/>
              </w:rPr>
            </w:pPr>
            <w:r w:rsidRPr="007E2B66">
              <w:rPr>
                <w:rFonts w:ascii="Times New Roman" w:hAnsi="Times New Roman" w:cs="Times New Roman"/>
                <w:sz w:val="24"/>
                <w:szCs w:val="24"/>
              </w:rPr>
              <w:t xml:space="preserve">Generally sustainable as </w:t>
            </w:r>
            <w:r w:rsidR="009500FD">
              <w:rPr>
                <w:rFonts w:ascii="Times New Roman" w:hAnsi="Times New Roman" w:cs="Times New Roman"/>
                <w:sz w:val="24"/>
                <w:szCs w:val="24"/>
              </w:rPr>
              <w:t xml:space="preserve">the </w:t>
            </w:r>
            <w:r w:rsidRPr="007E2B66">
              <w:rPr>
                <w:rFonts w:ascii="Times New Roman" w:hAnsi="Times New Roman" w:cs="Times New Roman"/>
                <w:sz w:val="24"/>
                <w:szCs w:val="24"/>
              </w:rPr>
              <w:t xml:space="preserve">existing rule treats </w:t>
            </w:r>
            <w:r w:rsidR="008C25E5">
              <w:rPr>
                <w:rFonts w:ascii="Times New Roman" w:hAnsi="Times New Roman" w:cs="Times New Roman"/>
                <w:sz w:val="24"/>
                <w:szCs w:val="24"/>
              </w:rPr>
              <w:t>close</w:t>
            </w:r>
            <w:r w:rsidRPr="007E2B66">
              <w:rPr>
                <w:rFonts w:ascii="Times New Roman" w:hAnsi="Times New Roman" w:cs="Times New Roman"/>
                <w:sz w:val="24"/>
                <w:szCs w:val="24"/>
              </w:rPr>
              <w:t xml:space="preserve"> companies like other companies that provide fringe benefits. However </w:t>
            </w:r>
            <w:r w:rsidR="008C25E5">
              <w:rPr>
                <w:rFonts w:ascii="Times New Roman" w:hAnsi="Times New Roman" w:cs="Times New Roman"/>
                <w:sz w:val="24"/>
                <w:szCs w:val="24"/>
              </w:rPr>
              <w:t>close</w:t>
            </w:r>
            <w:r w:rsidRPr="007E2B66">
              <w:rPr>
                <w:rFonts w:ascii="Times New Roman" w:hAnsi="Times New Roman" w:cs="Times New Roman"/>
                <w:sz w:val="24"/>
                <w:szCs w:val="24"/>
              </w:rPr>
              <w:t xml:space="preserve"> companies can structure motor vehicle arrangements to minimise or avoid </w:t>
            </w:r>
            <w:proofErr w:type="spellStart"/>
            <w:r w:rsidRPr="007E2B66">
              <w:rPr>
                <w:rFonts w:ascii="Times New Roman" w:hAnsi="Times New Roman" w:cs="Times New Roman"/>
                <w:sz w:val="24"/>
                <w:szCs w:val="24"/>
              </w:rPr>
              <w:t>FBT</w:t>
            </w:r>
            <w:proofErr w:type="spellEnd"/>
            <w:r w:rsidRPr="007E2B66">
              <w:rPr>
                <w:rFonts w:ascii="Times New Roman" w:hAnsi="Times New Roman" w:cs="Times New Roman"/>
                <w:sz w:val="24"/>
                <w:szCs w:val="24"/>
              </w:rPr>
              <w:t xml:space="preserve"> liability.</w:t>
            </w:r>
          </w:p>
        </w:tc>
        <w:tc>
          <w:tcPr>
            <w:tcW w:w="1843" w:type="dxa"/>
          </w:tcPr>
          <w:p w:rsidR="00842528" w:rsidRPr="007E2B66" w:rsidRDefault="00370C96" w:rsidP="007C6889">
            <w:pPr>
              <w:pStyle w:val="ListParagraph"/>
              <w:ind w:left="0"/>
              <w:jc w:val="both"/>
              <w:rPr>
                <w:rFonts w:ascii="Times New Roman" w:hAnsi="Times New Roman" w:cs="Times New Roman"/>
                <w:sz w:val="24"/>
                <w:szCs w:val="24"/>
              </w:rPr>
            </w:pPr>
            <w:r>
              <w:rPr>
                <w:rFonts w:ascii="Times New Roman" w:hAnsi="Times New Roman" w:cs="Times New Roman"/>
                <w:sz w:val="24"/>
                <w:szCs w:val="24"/>
              </w:rPr>
              <w:t>No impact</w:t>
            </w:r>
          </w:p>
        </w:tc>
      </w:tr>
      <w:tr w:rsidR="00842528" w:rsidRPr="007E2B66" w:rsidTr="00D54EC7">
        <w:tc>
          <w:tcPr>
            <w:tcW w:w="2268" w:type="dxa"/>
          </w:tcPr>
          <w:p w:rsidR="00842528" w:rsidRPr="00566803" w:rsidRDefault="00842528" w:rsidP="007F7B62">
            <w:pPr>
              <w:pStyle w:val="ListParagraph"/>
              <w:ind w:left="-76"/>
              <w:rPr>
                <w:rFonts w:ascii="Times New Roman" w:hAnsi="Times New Roman" w:cs="Times New Roman"/>
                <w:sz w:val="24"/>
                <w:szCs w:val="24"/>
              </w:rPr>
            </w:pPr>
            <w:r w:rsidRPr="00566803">
              <w:rPr>
                <w:rFonts w:ascii="Times New Roman" w:hAnsi="Times New Roman" w:cs="Times New Roman"/>
                <w:sz w:val="24"/>
                <w:szCs w:val="24"/>
              </w:rPr>
              <w:t>2. Option for close companies to use motor vehicle expenditure rules</w:t>
            </w:r>
          </w:p>
        </w:tc>
        <w:tc>
          <w:tcPr>
            <w:tcW w:w="3261" w:type="dxa"/>
          </w:tcPr>
          <w:p w:rsidR="00980FE0" w:rsidRDefault="00980FE0" w:rsidP="007F7B62">
            <w:pPr>
              <w:pStyle w:val="ListParagraph"/>
              <w:ind w:left="0"/>
              <w:jc w:val="both"/>
              <w:rPr>
                <w:rFonts w:ascii="Times New Roman" w:hAnsi="Times New Roman" w:cs="Times New Roman"/>
                <w:sz w:val="24"/>
                <w:szCs w:val="24"/>
              </w:rPr>
            </w:pPr>
            <w:r>
              <w:rPr>
                <w:rFonts w:ascii="Times New Roman" w:hAnsi="Times New Roman" w:cs="Times New Roman"/>
                <w:sz w:val="24"/>
                <w:szCs w:val="24"/>
              </w:rPr>
              <w:t>Met</w:t>
            </w:r>
          </w:p>
          <w:p w:rsidR="00980FE0" w:rsidRDefault="00980FE0" w:rsidP="007F7B62">
            <w:pPr>
              <w:pStyle w:val="ListParagraph"/>
              <w:ind w:left="0"/>
              <w:jc w:val="both"/>
              <w:rPr>
                <w:rFonts w:ascii="Times New Roman" w:hAnsi="Times New Roman" w:cs="Times New Roman"/>
                <w:sz w:val="24"/>
                <w:szCs w:val="24"/>
              </w:rPr>
            </w:pPr>
          </w:p>
          <w:p w:rsidR="00842528" w:rsidRPr="007E2B66" w:rsidRDefault="00980FE0" w:rsidP="008A37FE">
            <w:pPr>
              <w:pStyle w:val="ListParagraph"/>
              <w:ind w:left="0"/>
              <w:jc w:val="both"/>
              <w:rPr>
                <w:rFonts w:ascii="Times New Roman" w:hAnsi="Times New Roman" w:cs="Times New Roman"/>
                <w:sz w:val="24"/>
                <w:szCs w:val="24"/>
              </w:rPr>
            </w:pPr>
            <w:r>
              <w:rPr>
                <w:rFonts w:ascii="Times New Roman" w:hAnsi="Times New Roman" w:cs="Times New Roman"/>
                <w:sz w:val="24"/>
                <w:szCs w:val="24"/>
              </w:rPr>
              <w:t>P</w:t>
            </w:r>
            <w:r w:rsidR="00842528" w:rsidRPr="007E2B66">
              <w:rPr>
                <w:rFonts w:ascii="Times New Roman" w:hAnsi="Times New Roman" w:cs="Times New Roman"/>
                <w:sz w:val="24"/>
                <w:szCs w:val="24"/>
              </w:rPr>
              <w:t>rovid</w:t>
            </w:r>
            <w:r w:rsidR="008A37FE">
              <w:rPr>
                <w:rFonts w:ascii="Times New Roman" w:hAnsi="Times New Roman" w:cs="Times New Roman"/>
                <w:sz w:val="24"/>
                <w:szCs w:val="24"/>
              </w:rPr>
              <w:t>es</w:t>
            </w:r>
            <w:r w:rsidR="00842528" w:rsidRPr="007E2B66">
              <w:rPr>
                <w:rFonts w:ascii="Times New Roman" w:hAnsi="Times New Roman" w:cs="Times New Roman"/>
                <w:sz w:val="24"/>
                <w:szCs w:val="24"/>
              </w:rPr>
              <w:t xml:space="preserve"> an option to enable </w:t>
            </w:r>
            <w:r w:rsidR="008C25E5">
              <w:rPr>
                <w:rFonts w:ascii="Times New Roman" w:hAnsi="Times New Roman" w:cs="Times New Roman"/>
                <w:sz w:val="24"/>
                <w:szCs w:val="24"/>
              </w:rPr>
              <w:t>close</w:t>
            </w:r>
            <w:r w:rsidR="00842528" w:rsidRPr="007E2B66">
              <w:rPr>
                <w:rFonts w:ascii="Times New Roman" w:hAnsi="Times New Roman" w:cs="Times New Roman"/>
                <w:sz w:val="24"/>
                <w:szCs w:val="24"/>
              </w:rPr>
              <w:t xml:space="preserve"> companies to be treated the same way as a sole trader when accounting for the use of a motor vehicle. </w:t>
            </w:r>
          </w:p>
        </w:tc>
        <w:tc>
          <w:tcPr>
            <w:tcW w:w="3118" w:type="dxa"/>
          </w:tcPr>
          <w:p w:rsidR="00980FE0" w:rsidRDefault="00980FE0" w:rsidP="007F7B62">
            <w:pPr>
              <w:pStyle w:val="ListParagraph"/>
              <w:ind w:left="0"/>
              <w:jc w:val="both"/>
              <w:rPr>
                <w:rFonts w:ascii="Times New Roman" w:hAnsi="Times New Roman" w:cs="Times New Roman"/>
                <w:sz w:val="24"/>
                <w:szCs w:val="24"/>
              </w:rPr>
            </w:pPr>
            <w:r>
              <w:rPr>
                <w:rFonts w:ascii="Times New Roman" w:hAnsi="Times New Roman" w:cs="Times New Roman"/>
                <w:sz w:val="24"/>
                <w:szCs w:val="24"/>
              </w:rPr>
              <w:t>Met</w:t>
            </w:r>
          </w:p>
          <w:p w:rsidR="00980FE0" w:rsidRDefault="00980FE0" w:rsidP="007F7B62">
            <w:pPr>
              <w:pStyle w:val="ListParagraph"/>
              <w:ind w:left="0"/>
              <w:jc w:val="both"/>
              <w:rPr>
                <w:rFonts w:ascii="Times New Roman" w:hAnsi="Times New Roman" w:cs="Times New Roman"/>
                <w:sz w:val="24"/>
                <w:szCs w:val="24"/>
              </w:rPr>
            </w:pPr>
          </w:p>
          <w:p w:rsidR="00842528" w:rsidRPr="007E2B66" w:rsidRDefault="00842528" w:rsidP="007F7B62">
            <w:pPr>
              <w:pStyle w:val="ListParagraph"/>
              <w:ind w:left="0"/>
              <w:jc w:val="both"/>
              <w:rPr>
                <w:rFonts w:ascii="Times New Roman" w:hAnsi="Times New Roman" w:cs="Times New Roman"/>
                <w:sz w:val="24"/>
                <w:szCs w:val="24"/>
              </w:rPr>
            </w:pPr>
            <w:r w:rsidRPr="007E2B66">
              <w:rPr>
                <w:rFonts w:ascii="Times New Roman" w:hAnsi="Times New Roman" w:cs="Times New Roman"/>
                <w:sz w:val="24"/>
                <w:szCs w:val="24"/>
              </w:rPr>
              <w:t xml:space="preserve">More efficient as </w:t>
            </w:r>
            <w:r w:rsidR="008C25E5">
              <w:rPr>
                <w:rFonts w:ascii="Times New Roman" w:hAnsi="Times New Roman" w:cs="Times New Roman"/>
                <w:sz w:val="24"/>
                <w:szCs w:val="24"/>
              </w:rPr>
              <w:t>close</w:t>
            </w:r>
            <w:r w:rsidRPr="007E2B66">
              <w:rPr>
                <w:rFonts w:ascii="Times New Roman" w:hAnsi="Times New Roman" w:cs="Times New Roman"/>
                <w:sz w:val="24"/>
                <w:szCs w:val="24"/>
              </w:rPr>
              <w:t xml:space="preserve"> companies will have a choice whether to register for and pay </w:t>
            </w:r>
            <w:proofErr w:type="spellStart"/>
            <w:r w:rsidRPr="007E2B66">
              <w:rPr>
                <w:rFonts w:ascii="Times New Roman" w:hAnsi="Times New Roman" w:cs="Times New Roman"/>
                <w:sz w:val="24"/>
                <w:szCs w:val="24"/>
              </w:rPr>
              <w:t>FBT</w:t>
            </w:r>
            <w:proofErr w:type="spellEnd"/>
            <w:r w:rsidRPr="007E2B66">
              <w:rPr>
                <w:rFonts w:ascii="Times New Roman" w:hAnsi="Times New Roman" w:cs="Times New Roman"/>
                <w:sz w:val="24"/>
                <w:szCs w:val="24"/>
              </w:rPr>
              <w:t xml:space="preserve"> or use the motor vehicle expenditure rules.  </w:t>
            </w:r>
          </w:p>
        </w:tc>
        <w:tc>
          <w:tcPr>
            <w:tcW w:w="3969" w:type="dxa"/>
          </w:tcPr>
          <w:p w:rsidR="00980FE0" w:rsidRDefault="00980FE0" w:rsidP="007F7B62">
            <w:pPr>
              <w:pStyle w:val="ListParagraph"/>
              <w:ind w:left="0"/>
              <w:jc w:val="both"/>
              <w:rPr>
                <w:rFonts w:ascii="Times New Roman" w:hAnsi="Times New Roman" w:cs="Times New Roman"/>
                <w:sz w:val="24"/>
                <w:szCs w:val="24"/>
              </w:rPr>
            </w:pPr>
            <w:r>
              <w:rPr>
                <w:rFonts w:ascii="Times New Roman" w:hAnsi="Times New Roman" w:cs="Times New Roman"/>
                <w:sz w:val="24"/>
                <w:szCs w:val="24"/>
              </w:rPr>
              <w:t>Met</w:t>
            </w:r>
          </w:p>
          <w:p w:rsidR="00980FE0" w:rsidRDefault="00980FE0" w:rsidP="007F7B62">
            <w:pPr>
              <w:pStyle w:val="ListParagraph"/>
              <w:ind w:left="0"/>
              <w:jc w:val="both"/>
              <w:rPr>
                <w:rFonts w:ascii="Times New Roman" w:hAnsi="Times New Roman" w:cs="Times New Roman"/>
                <w:sz w:val="24"/>
                <w:szCs w:val="24"/>
              </w:rPr>
            </w:pPr>
          </w:p>
          <w:p w:rsidR="00842528" w:rsidRPr="007E2B66" w:rsidRDefault="00842528" w:rsidP="007F7B62">
            <w:pPr>
              <w:pStyle w:val="ListParagraph"/>
              <w:ind w:left="0"/>
              <w:jc w:val="both"/>
              <w:rPr>
                <w:rFonts w:ascii="Times New Roman" w:hAnsi="Times New Roman" w:cs="Times New Roman"/>
                <w:sz w:val="24"/>
                <w:szCs w:val="24"/>
              </w:rPr>
            </w:pPr>
            <w:r w:rsidRPr="007E2B66">
              <w:rPr>
                <w:rFonts w:ascii="Times New Roman" w:hAnsi="Times New Roman" w:cs="Times New Roman"/>
                <w:sz w:val="24"/>
                <w:szCs w:val="24"/>
              </w:rPr>
              <w:t xml:space="preserve">Generally sustainable as provides a choice for </w:t>
            </w:r>
            <w:r w:rsidR="008C25E5">
              <w:rPr>
                <w:rFonts w:ascii="Times New Roman" w:hAnsi="Times New Roman" w:cs="Times New Roman"/>
                <w:sz w:val="24"/>
                <w:szCs w:val="24"/>
              </w:rPr>
              <w:t>close</w:t>
            </w:r>
            <w:r w:rsidRPr="007E2B66">
              <w:rPr>
                <w:rFonts w:ascii="Times New Roman" w:hAnsi="Times New Roman" w:cs="Times New Roman"/>
                <w:sz w:val="24"/>
                <w:szCs w:val="24"/>
              </w:rPr>
              <w:t xml:space="preserve"> companies as to how they account for the private use of a motor vehicle by their shareholder-employees.   </w:t>
            </w:r>
          </w:p>
        </w:tc>
        <w:tc>
          <w:tcPr>
            <w:tcW w:w="1843" w:type="dxa"/>
          </w:tcPr>
          <w:p w:rsidR="00980FE0" w:rsidRDefault="00842528" w:rsidP="007F7B62">
            <w:pPr>
              <w:pStyle w:val="ListParagraph"/>
              <w:ind w:left="0"/>
              <w:jc w:val="both"/>
              <w:rPr>
                <w:rFonts w:ascii="Times New Roman" w:hAnsi="Times New Roman" w:cs="Times New Roman"/>
                <w:sz w:val="24"/>
                <w:szCs w:val="24"/>
              </w:rPr>
            </w:pPr>
            <w:r w:rsidRPr="007E2B66">
              <w:rPr>
                <w:rFonts w:ascii="Times New Roman" w:hAnsi="Times New Roman" w:cs="Times New Roman"/>
                <w:sz w:val="24"/>
                <w:szCs w:val="24"/>
              </w:rPr>
              <w:t xml:space="preserve">Small fiscal cost </w:t>
            </w:r>
          </w:p>
          <w:p w:rsidR="00980FE0" w:rsidRDefault="00980FE0" w:rsidP="007F7B62">
            <w:pPr>
              <w:pStyle w:val="ListParagraph"/>
              <w:ind w:left="0"/>
              <w:jc w:val="both"/>
              <w:rPr>
                <w:rFonts w:ascii="Times New Roman" w:hAnsi="Times New Roman" w:cs="Times New Roman"/>
                <w:sz w:val="24"/>
                <w:szCs w:val="24"/>
              </w:rPr>
            </w:pPr>
          </w:p>
          <w:p w:rsidR="00842528" w:rsidRPr="007E2B66" w:rsidRDefault="00980FE0" w:rsidP="007F7B62">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r w:rsidR="00842528" w:rsidRPr="007E2B66">
              <w:rPr>
                <w:rFonts w:ascii="Times New Roman" w:hAnsi="Times New Roman" w:cs="Times New Roman"/>
                <w:sz w:val="24"/>
                <w:szCs w:val="24"/>
              </w:rPr>
              <w:t xml:space="preserve">ttributable to a reduction in </w:t>
            </w:r>
            <w:proofErr w:type="spellStart"/>
            <w:r w:rsidR="00842528" w:rsidRPr="007E2B66">
              <w:rPr>
                <w:rFonts w:ascii="Times New Roman" w:hAnsi="Times New Roman" w:cs="Times New Roman"/>
                <w:sz w:val="24"/>
                <w:szCs w:val="24"/>
              </w:rPr>
              <w:t>FBT</w:t>
            </w:r>
            <w:proofErr w:type="spellEnd"/>
            <w:r w:rsidR="00842528" w:rsidRPr="007E2B66">
              <w:rPr>
                <w:rFonts w:ascii="Times New Roman" w:hAnsi="Times New Roman" w:cs="Times New Roman"/>
                <w:sz w:val="24"/>
                <w:szCs w:val="24"/>
              </w:rPr>
              <w:t xml:space="preserve"> paid over time.</w:t>
            </w:r>
          </w:p>
        </w:tc>
      </w:tr>
    </w:tbl>
    <w:p w:rsidR="007F7B62" w:rsidRPr="007E2B66" w:rsidRDefault="007F7B62" w:rsidP="007F7B62">
      <w:pPr>
        <w:pStyle w:val="ListParagraph"/>
        <w:spacing w:after="0" w:line="240" w:lineRule="auto"/>
        <w:ind w:left="0"/>
        <w:jc w:val="both"/>
        <w:rPr>
          <w:rFonts w:ascii="Times New Roman" w:hAnsi="Times New Roman" w:cs="Times New Roman"/>
          <w:sz w:val="24"/>
          <w:szCs w:val="24"/>
        </w:rPr>
      </w:pPr>
    </w:p>
    <w:p w:rsidR="007F7B62" w:rsidRPr="007E2B66" w:rsidRDefault="007F7B62" w:rsidP="007F7B62">
      <w:pPr>
        <w:pStyle w:val="ListParagraph"/>
        <w:jc w:val="both"/>
        <w:rPr>
          <w:rFonts w:ascii="Times New Roman" w:hAnsi="Times New Roman" w:cs="Times New Roman"/>
          <w:sz w:val="24"/>
          <w:szCs w:val="24"/>
        </w:rPr>
        <w:sectPr w:rsidR="007F7B62" w:rsidRPr="007E2B66" w:rsidSect="007E2B66">
          <w:pgSz w:w="16838" w:h="11906" w:orient="landscape"/>
          <w:pgMar w:top="1440" w:right="1440" w:bottom="1440" w:left="1440" w:header="708" w:footer="708" w:gutter="0"/>
          <w:cols w:space="708"/>
          <w:docGrid w:linePitch="360"/>
        </w:sectPr>
      </w:pPr>
    </w:p>
    <w:p w:rsidR="007F7B62" w:rsidRPr="007E2B66" w:rsidRDefault="007F7B62" w:rsidP="007F7B62">
      <w:pPr>
        <w:pStyle w:val="ListParagraph"/>
        <w:ind w:left="0"/>
        <w:jc w:val="both"/>
        <w:rPr>
          <w:rFonts w:ascii="Times New Roman" w:hAnsi="Times New Roman" w:cs="Times New Roman"/>
          <w:sz w:val="24"/>
          <w:szCs w:val="24"/>
        </w:rPr>
      </w:pPr>
    </w:p>
    <w:p w:rsidR="007F7B62" w:rsidRPr="007F7B62" w:rsidRDefault="007F7B62" w:rsidP="007F7B62">
      <w:pPr>
        <w:pStyle w:val="ListParagraph"/>
        <w:ind w:left="0"/>
        <w:jc w:val="both"/>
        <w:rPr>
          <w:rFonts w:ascii="Times New Roman" w:hAnsi="Times New Roman" w:cs="Times New Roman"/>
          <w:b/>
          <w:i/>
          <w:sz w:val="24"/>
          <w:szCs w:val="24"/>
        </w:rPr>
      </w:pPr>
      <w:r w:rsidRPr="007F7B62">
        <w:rPr>
          <w:rFonts w:ascii="Times New Roman" w:hAnsi="Times New Roman" w:cs="Times New Roman"/>
          <w:b/>
          <w:i/>
          <w:sz w:val="24"/>
          <w:szCs w:val="24"/>
        </w:rPr>
        <w:t>Consultation</w:t>
      </w:r>
    </w:p>
    <w:p w:rsidR="007F7B62" w:rsidRDefault="007F7B62" w:rsidP="007F7B62">
      <w:pPr>
        <w:pStyle w:val="ListParagraph"/>
        <w:spacing w:after="0" w:line="240" w:lineRule="auto"/>
        <w:ind w:left="0"/>
        <w:jc w:val="both"/>
        <w:rPr>
          <w:rFonts w:ascii="Times New Roman" w:hAnsi="Times New Roman" w:cs="Times New Roman"/>
          <w:sz w:val="24"/>
          <w:szCs w:val="24"/>
        </w:rPr>
      </w:pPr>
    </w:p>
    <w:p w:rsidR="007F7B62" w:rsidRPr="007F7B62" w:rsidRDefault="007F7B62" w:rsidP="00D54EC7">
      <w:pPr>
        <w:pStyle w:val="ListParagraph"/>
        <w:spacing w:after="0" w:line="240" w:lineRule="auto"/>
        <w:ind w:left="0"/>
        <w:jc w:val="both"/>
        <w:rPr>
          <w:rFonts w:ascii="Times New Roman" w:hAnsi="Times New Roman" w:cs="Times New Roman"/>
          <w:sz w:val="24"/>
          <w:szCs w:val="24"/>
        </w:rPr>
      </w:pPr>
      <w:r w:rsidRPr="007F7B62">
        <w:rPr>
          <w:rFonts w:ascii="Times New Roman" w:hAnsi="Times New Roman" w:cs="Times New Roman"/>
          <w:sz w:val="24"/>
          <w:szCs w:val="24"/>
        </w:rPr>
        <w:t xml:space="preserve">Limited consultation with a small number of tax advisers indicates that option 2 would be well-received and would assist with addressing the perceived mismatch in treatment between a sole trader using a motor vehicle for private use and a shareholder-employee in a </w:t>
      </w:r>
      <w:r w:rsidR="008C25E5">
        <w:rPr>
          <w:rFonts w:ascii="Times New Roman" w:hAnsi="Times New Roman" w:cs="Times New Roman"/>
          <w:sz w:val="24"/>
          <w:szCs w:val="24"/>
        </w:rPr>
        <w:t>close</w:t>
      </w:r>
      <w:r w:rsidRPr="007F7B62">
        <w:rPr>
          <w:rFonts w:ascii="Times New Roman" w:hAnsi="Times New Roman" w:cs="Times New Roman"/>
          <w:sz w:val="24"/>
          <w:szCs w:val="24"/>
        </w:rPr>
        <w:t xml:space="preserve"> company using a vehicle for private use. It was also suggested that this option would increase compliance as </w:t>
      </w:r>
      <w:r w:rsidR="00CD4E94">
        <w:rPr>
          <w:rFonts w:ascii="Times New Roman" w:hAnsi="Times New Roman" w:cs="Times New Roman"/>
          <w:sz w:val="24"/>
          <w:szCs w:val="24"/>
        </w:rPr>
        <w:t xml:space="preserve">it </w:t>
      </w:r>
      <w:r w:rsidRPr="007F7B62">
        <w:rPr>
          <w:rFonts w:ascii="Times New Roman" w:hAnsi="Times New Roman" w:cs="Times New Roman"/>
          <w:sz w:val="24"/>
          <w:szCs w:val="24"/>
        </w:rPr>
        <w:t xml:space="preserve">will be viewed as a simpler basis for calculating the private use of the motor vehicle.  </w:t>
      </w:r>
    </w:p>
    <w:p w:rsidR="007F7B62" w:rsidRPr="007E2B66" w:rsidRDefault="007F7B62" w:rsidP="007F7B62">
      <w:pPr>
        <w:pStyle w:val="ListParagraph"/>
        <w:ind w:left="0"/>
        <w:jc w:val="both"/>
        <w:rPr>
          <w:rFonts w:ascii="Times New Roman" w:hAnsi="Times New Roman" w:cs="Times New Roman"/>
          <w:sz w:val="24"/>
          <w:szCs w:val="24"/>
        </w:rPr>
      </w:pPr>
    </w:p>
    <w:p w:rsidR="007F7B62" w:rsidRPr="007F7B62" w:rsidRDefault="0067183D" w:rsidP="002D0AC2">
      <w:pPr>
        <w:pStyle w:val="Heading3"/>
      </w:pPr>
      <w:bookmarkStart w:id="45" w:name="_Toc444145630"/>
      <w:r>
        <w:t>R</w:t>
      </w:r>
      <w:r w:rsidR="007F7B62" w:rsidRPr="007F7B62">
        <w:t>ecommendations</w:t>
      </w:r>
      <w:bookmarkEnd w:id="45"/>
    </w:p>
    <w:p w:rsidR="007F7B62" w:rsidRDefault="007F7B62" w:rsidP="007F7B62">
      <w:pPr>
        <w:pStyle w:val="ListParagraph"/>
        <w:spacing w:after="0" w:line="240" w:lineRule="auto"/>
        <w:ind w:left="0"/>
        <w:jc w:val="both"/>
        <w:rPr>
          <w:rFonts w:ascii="Times New Roman" w:hAnsi="Times New Roman" w:cs="Times New Roman"/>
          <w:sz w:val="24"/>
          <w:szCs w:val="24"/>
        </w:rPr>
      </w:pPr>
    </w:p>
    <w:p w:rsidR="007F7B62" w:rsidRPr="007F7B62" w:rsidRDefault="007F7B62" w:rsidP="00D54EC7">
      <w:pPr>
        <w:pStyle w:val="ListParagraph"/>
        <w:spacing w:after="0" w:line="240" w:lineRule="auto"/>
        <w:ind w:left="0"/>
        <w:jc w:val="both"/>
        <w:rPr>
          <w:rFonts w:ascii="Times New Roman" w:hAnsi="Times New Roman" w:cs="Times New Roman"/>
          <w:sz w:val="24"/>
          <w:szCs w:val="24"/>
        </w:rPr>
      </w:pPr>
      <w:r w:rsidRPr="007F7B62">
        <w:rPr>
          <w:rFonts w:ascii="Times New Roman" w:hAnsi="Times New Roman" w:cs="Times New Roman"/>
          <w:sz w:val="24"/>
          <w:szCs w:val="24"/>
        </w:rPr>
        <w:t xml:space="preserve">Officials recommend adopting option 2 – option for </w:t>
      </w:r>
      <w:r w:rsidR="008C25E5">
        <w:rPr>
          <w:rFonts w:ascii="Times New Roman" w:hAnsi="Times New Roman" w:cs="Times New Roman"/>
          <w:sz w:val="24"/>
          <w:szCs w:val="24"/>
        </w:rPr>
        <w:t>close</w:t>
      </w:r>
      <w:r w:rsidRPr="007F7B62">
        <w:rPr>
          <w:rFonts w:ascii="Times New Roman" w:hAnsi="Times New Roman" w:cs="Times New Roman"/>
          <w:sz w:val="24"/>
          <w:szCs w:val="24"/>
        </w:rPr>
        <w:t xml:space="preserve"> companies to use motor vehicle expenditure rules. This option will achieve the objective of providing compliance savings while also improving compliance overall. This option also has no major disadvantage in terms of fairness, equity and sust</w:t>
      </w:r>
      <w:r>
        <w:rPr>
          <w:rFonts w:ascii="Times New Roman" w:hAnsi="Times New Roman" w:cs="Times New Roman"/>
          <w:sz w:val="24"/>
          <w:szCs w:val="24"/>
        </w:rPr>
        <w:t>ainability of the tax system</w:t>
      </w:r>
      <w:r w:rsidR="00A36FCB">
        <w:rPr>
          <w:rFonts w:ascii="Times New Roman" w:hAnsi="Times New Roman" w:cs="Times New Roman"/>
          <w:sz w:val="24"/>
          <w:szCs w:val="24"/>
        </w:rPr>
        <w:t>.</w:t>
      </w:r>
    </w:p>
    <w:p w:rsidR="007F7B62" w:rsidRPr="000E4599" w:rsidRDefault="007F7B62" w:rsidP="00A65B46">
      <w:pPr>
        <w:spacing w:after="0" w:line="240" w:lineRule="auto"/>
        <w:jc w:val="both"/>
        <w:rPr>
          <w:rFonts w:ascii="Times New Roman" w:hAnsi="Times New Roman" w:cs="Times New Roman"/>
          <w:sz w:val="24"/>
          <w:szCs w:val="24"/>
        </w:rPr>
      </w:pPr>
    </w:p>
    <w:sectPr w:rsidR="007F7B62" w:rsidRPr="000E4599" w:rsidSect="00EE33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2B" w:rsidRDefault="002B792B" w:rsidP="00BB68BD">
      <w:pPr>
        <w:spacing w:after="0" w:line="240" w:lineRule="auto"/>
      </w:pPr>
      <w:r>
        <w:separator/>
      </w:r>
    </w:p>
    <w:p w:rsidR="002B792B" w:rsidRDefault="002B792B"/>
  </w:endnote>
  <w:endnote w:type="continuationSeparator" w:id="0">
    <w:p w:rsidR="002B792B" w:rsidRDefault="002B792B" w:rsidP="00BB68BD">
      <w:pPr>
        <w:spacing w:after="0" w:line="240" w:lineRule="auto"/>
      </w:pPr>
      <w:r>
        <w:continuationSeparator/>
      </w:r>
    </w:p>
    <w:p w:rsidR="002B792B" w:rsidRDefault="002B7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48776"/>
      <w:docPartObj>
        <w:docPartGallery w:val="Page Numbers (Bottom of Page)"/>
        <w:docPartUnique/>
      </w:docPartObj>
    </w:sdtPr>
    <w:sdtEndPr>
      <w:rPr>
        <w:noProof/>
      </w:rPr>
    </w:sdtEndPr>
    <w:sdtContent>
      <w:p w:rsidR="002B792B" w:rsidRDefault="002B792B">
        <w:pPr>
          <w:pStyle w:val="Footer"/>
          <w:jc w:val="right"/>
        </w:pPr>
        <w:r>
          <w:fldChar w:fldCharType="begin"/>
        </w:r>
        <w:r>
          <w:instrText xml:space="preserve"> PAGE   \* MERGEFORMAT </w:instrText>
        </w:r>
        <w:r>
          <w:fldChar w:fldCharType="separate"/>
        </w:r>
        <w:r w:rsidR="00B800C5">
          <w:rPr>
            <w:noProof/>
          </w:rPr>
          <w:t>87</w:t>
        </w:r>
        <w:r>
          <w:rPr>
            <w:noProof/>
          </w:rPr>
          <w:fldChar w:fldCharType="end"/>
        </w:r>
      </w:p>
    </w:sdtContent>
  </w:sdt>
  <w:p w:rsidR="002B792B" w:rsidRDefault="002B7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2B" w:rsidRDefault="002B792B" w:rsidP="00BB68BD">
      <w:pPr>
        <w:spacing w:after="0" w:line="240" w:lineRule="auto"/>
      </w:pPr>
      <w:r>
        <w:separator/>
      </w:r>
    </w:p>
    <w:p w:rsidR="002B792B" w:rsidRDefault="002B792B"/>
  </w:footnote>
  <w:footnote w:type="continuationSeparator" w:id="0">
    <w:p w:rsidR="002B792B" w:rsidRDefault="002B792B" w:rsidP="00BB68BD">
      <w:pPr>
        <w:spacing w:after="0" w:line="240" w:lineRule="auto"/>
      </w:pPr>
      <w:r>
        <w:continuationSeparator/>
      </w:r>
    </w:p>
    <w:p w:rsidR="002B792B" w:rsidRDefault="002B792B"/>
  </w:footnote>
  <w:footnote w:id="1">
    <w:p w:rsidR="002B792B" w:rsidRDefault="002B792B" w:rsidP="00372415">
      <w:pPr>
        <w:pStyle w:val="FootnoteText"/>
      </w:pPr>
      <w:r>
        <w:rPr>
          <w:rStyle w:val="FootnoteReference"/>
        </w:rPr>
        <w:footnoteRef/>
      </w:r>
      <w:r>
        <w:t xml:space="preserve"> </w:t>
      </w:r>
      <w:r w:rsidRPr="00372415">
        <w:rPr>
          <w:rFonts w:ascii="Times New Roman" w:hAnsi="Times New Roman" w:cs="Times New Roman"/>
          <w:sz w:val="16"/>
          <w:szCs w:val="16"/>
        </w:rPr>
        <w:t>From an Inland Revenue audit project we know that the largest 11 labour-hire firms in New Zealand engage 4,200 contractors. The total number of contractors working for labour-hire firms will be greater than this.</w:t>
      </w:r>
    </w:p>
  </w:footnote>
  <w:footnote w:id="2">
    <w:p w:rsidR="002B792B" w:rsidRDefault="002B792B" w:rsidP="000446F0">
      <w:pPr>
        <w:pStyle w:val="FootnoteText"/>
      </w:pPr>
      <w:r>
        <w:rPr>
          <w:rStyle w:val="FootnoteReference"/>
        </w:rPr>
        <w:footnoteRef/>
      </w:r>
      <w:r>
        <w:t xml:space="preserve">  </w:t>
      </w:r>
      <w:r w:rsidRPr="000302D3">
        <w:rPr>
          <w:rFonts w:ascii="Times New Roman" w:hAnsi="Times New Roman" w:cs="Times New Roman"/>
          <w:sz w:val="16"/>
          <w:szCs w:val="16"/>
        </w:rPr>
        <w:t>Section 113A of the Tax Administration Act 1994</w:t>
      </w:r>
    </w:p>
  </w:footnote>
  <w:footnote w:id="3">
    <w:p w:rsidR="002B792B" w:rsidRPr="000302D3" w:rsidRDefault="002B792B" w:rsidP="00BB68BD">
      <w:pPr>
        <w:pStyle w:val="FootnoteText"/>
        <w:rPr>
          <w:rFonts w:ascii="Times New Roman" w:hAnsi="Times New Roman" w:cs="Times New Roman"/>
          <w:sz w:val="16"/>
          <w:szCs w:val="16"/>
        </w:rPr>
      </w:pPr>
      <w:r w:rsidRPr="000302D3">
        <w:rPr>
          <w:rStyle w:val="FootnoteReference"/>
          <w:rFonts w:ascii="Times New Roman" w:hAnsi="Times New Roman" w:cs="Times New Roman"/>
          <w:sz w:val="16"/>
          <w:szCs w:val="16"/>
        </w:rPr>
        <w:footnoteRef/>
      </w:r>
      <w:r w:rsidRPr="000302D3">
        <w:rPr>
          <w:rFonts w:ascii="Times New Roman" w:hAnsi="Times New Roman" w:cs="Times New Roman"/>
          <w:sz w:val="16"/>
          <w:szCs w:val="16"/>
        </w:rPr>
        <w:t xml:space="preserve"> </w:t>
      </w:r>
      <w:proofErr w:type="gramStart"/>
      <w:r w:rsidRPr="000302D3">
        <w:rPr>
          <w:rFonts w:ascii="Times New Roman" w:hAnsi="Times New Roman" w:cs="Times New Roman"/>
          <w:sz w:val="16"/>
          <w:szCs w:val="16"/>
        </w:rPr>
        <w:t>Household Labour Force Survey.</w:t>
      </w:r>
      <w:proofErr w:type="gramEnd"/>
      <w:r w:rsidRPr="000302D3">
        <w:rPr>
          <w:rFonts w:ascii="Times New Roman" w:hAnsi="Times New Roman" w:cs="Times New Roman"/>
          <w:sz w:val="16"/>
          <w:szCs w:val="16"/>
        </w:rPr>
        <w:t xml:space="preserve"> This work is based on/includes customised </w:t>
      </w:r>
      <w:hyperlink r:id="rId1" w:history="1">
        <w:r w:rsidRPr="000302D3">
          <w:rPr>
            <w:rStyle w:val="Hyperlink"/>
            <w:rFonts w:ascii="Times New Roman" w:hAnsi="Times New Roman" w:cs="Times New Roman"/>
            <w:sz w:val="16"/>
            <w:szCs w:val="16"/>
          </w:rPr>
          <w:t>Statistics New Zealand’s</w:t>
        </w:r>
      </w:hyperlink>
      <w:r w:rsidRPr="000302D3">
        <w:rPr>
          <w:rFonts w:ascii="Times New Roman" w:hAnsi="Times New Roman" w:cs="Times New Roman"/>
          <w:sz w:val="16"/>
          <w:szCs w:val="16"/>
        </w:rPr>
        <w:t xml:space="preserve"> data which are licensed by Statistics New Zealand for re-use under the </w:t>
      </w:r>
      <w:hyperlink r:id="rId2" w:history="1">
        <w:r w:rsidRPr="000302D3">
          <w:rPr>
            <w:rStyle w:val="Hyperlink"/>
            <w:rFonts w:ascii="Times New Roman" w:hAnsi="Times New Roman" w:cs="Times New Roman"/>
            <w:sz w:val="16"/>
            <w:szCs w:val="16"/>
          </w:rPr>
          <w:t>Creative Commons Attribution 3.0 New Zealand licence</w:t>
        </w:r>
      </w:hyperlink>
      <w:r>
        <w:rPr>
          <w:rFonts w:ascii="Times New Roman" w:hAnsi="Times New Roman" w:cs="Times New Roman"/>
          <w:sz w:val="16"/>
          <w:szCs w:val="16"/>
        </w:rPr>
        <w:t>.</w:t>
      </w:r>
    </w:p>
  </w:footnote>
  <w:footnote w:id="4">
    <w:p w:rsidR="002B792B" w:rsidRPr="000302D3" w:rsidRDefault="002B792B" w:rsidP="00BB68BD">
      <w:pPr>
        <w:pStyle w:val="FootnoteText"/>
        <w:rPr>
          <w:rFonts w:ascii="Times New Roman" w:hAnsi="Times New Roman" w:cs="Times New Roman"/>
          <w:sz w:val="16"/>
          <w:szCs w:val="16"/>
        </w:rPr>
      </w:pPr>
      <w:r w:rsidRPr="000302D3">
        <w:rPr>
          <w:rStyle w:val="FootnoteReference"/>
          <w:rFonts w:ascii="Times New Roman" w:hAnsi="Times New Roman" w:cs="Times New Roman"/>
          <w:sz w:val="16"/>
          <w:szCs w:val="16"/>
        </w:rPr>
        <w:footnoteRef/>
      </w:r>
      <w:r w:rsidRPr="000302D3">
        <w:rPr>
          <w:rFonts w:ascii="Times New Roman" w:hAnsi="Times New Roman" w:cs="Times New Roman"/>
          <w:sz w:val="16"/>
          <w:szCs w:val="16"/>
        </w:rPr>
        <w:t xml:space="preserve"> Companies in the agricultural, horticultural, and viticulture industries and non-resident contractor companies are subject to withholding under the </w:t>
      </w:r>
      <w:proofErr w:type="spellStart"/>
      <w:r w:rsidRPr="000302D3">
        <w:rPr>
          <w:rFonts w:ascii="Times New Roman" w:hAnsi="Times New Roman" w:cs="Times New Roman"/>
          <w:sz w:val="16"/>
          <w:szCs w:val="16"/>
        </w:rPr>
        <w:t>schedular</w:t>
      </w:r>
      <w:proofErr w:type="spellEnd"/>
      <w:r w:rsidRPr="000302D3">
        <w:rPr>
          <w:rFonts w:ascii="Times New Roman" w:hAnsi="Times New Roman" w:cs="Times New Roman"/>
          <w:sz w:val="16"/>
          <w:szCs w:val="16"/>
        </w:rPr>
        <w:t xml:space="preserve"> payment rules.</w:t>
      </w:r>
    </w:p>
  </w:footnote>
  <w:footnote w:id="5">
    <w:p w:rsidR="002B792B" w:rsidRDefault="002B792B" w:rsidP="00BB68BD">
      <w:pPr>
        <w:pStyle w:val="FootnoteText"/>
      </w:pPr>
      <w:r w:rsidRPr="000302D3">
        <w:rPr>
          <w:rStyle w:val="FootnoteReference"/>
          <w:rFonts w:ascii="Times New Roman" w:hAnsi="Times New Roman" w:cs="Times New Roman"/>
          <w:sz w:val="16"/>
          <w:szCs w:val="16"/>
        </w:rPr>
        <w:footnoteRef/>
      </w:r>
      <w:r w:rsidRPr="000302D3">
        <w:rPr>
          <w:rFonts w:ascii="Times New Roman" w:hAnsi="Times New Roman" w:cs="Times New Roman"/>
          <w:sz w:val="16"/>
          <w:szCs w:val="16"/>
        </w:rPr>
        <w:t xml:space="preserve"> </w:t>
      </w:r>
      <w:proofErr w:type="gramStart"/>
      <w:r w:rsidRPr="000302D3">
        <w:rPr>
          <w:rFonts w:ascii="Times New Roman" w:hAnsi="Times New Roman" w:cs="Times New Roman"/>
          <w:sz w:val="16"/>
          <w:szCs w:val="16"/>
        </w:rPr>
        <w:t>Business Demography Statistics.</w:t>
      </w:r>
      <w:proofErr w:type="gramEnd"/>
      <w:r w:rsidRPr="000302D3">
        <w:rPr>
          <w:rFonts w:ascii="Times New Roman" w:hAnsi="Times New Roman" w:cs="Times New Roman"/>
          <w:sz w:val="16"/>
          <w:szCs w:val="16"/>
        </w:rPr>
        <w:t xml:space="preserve">  This work is based on/includes customised Statistics New Zealand’s data which are licenced by Statistics New Zealand for re-use under the Creative Commons Attribution 3.0 New Zealand licence.</w:t>
      </w:r>
    </w:p>
  </w:footnote>
  <w:footnote w:id="6">
    <w:p w:rsidR="002B792B" w:rsidRPr="000302D3" w:rsidRDefault="002B792B" w:rsidP="00D3113A">
      <w:pPr>
        <w:pStyle w:val="FootnoteText"/>
        <w:rPr>
          <w:rFonts w:ascii="Times New Roman" w:hAnsi="Times New Roman" w:cs="Times New Roman"/>
          <w:sz w:val="16"/>
          <w:szCs w:val="16"/>
        </w:rPr>
      </w:pPr>
      <w:r w:rsidRPr="000302D3">
        <w:rPr>
          <w:rStyle w:val="FootnoteReference"/>
          <w:rFonts w:ascii="Times New Roman" w:hAnsi="Times New Roman" w:cs="Times New Roman"/>
          <w:sz w:val="16"/>
          <w:szCs w:val="16"/>
        </w:rPr>
        <w:footnoteRef/>
      </w:r>
      <w:r w:rsidRPr="000302D3">
        <w:rPr>
          <w:rFonts w:ascii="Times New Roman" w:hAnsi="Times New Roman" w:cs="Times New Roman"/>
          <w:sz w:val="16"/>
          <w:szCs w:val="16"/>
        </w:rPr>
        <w:t xml:space="preserve"> </w:t>
      </w:r>
      <w:proofErr w:type="gramStart"/>
      <w:r w:rsidRPr="000302D3">
        <w:rPr>
          <w:rFonts w:ascii="Times New Roman" w:hAnsi="Times New Roman" w:cs="Times New Roman"/>
          <w:sz w:val="16"/>
          <w:szCs w:val="16"/>
        </w:rPr>
        <w:t>Inland Revenue Annual Report, 2015.</w:t>
      </w:r>
      <w:proofErr w:type="gramEnd"/>
    </w:p>
  </w:footnote>
  <w:footnote w:id="7">
    <w:p w:rsidR="002B792B" w:rsidRPr="00E46AEE" w:rsidRDefault="002B792B" w:rsidP="00E359E0">
      <w:pPr>
        <w:pStyle w:val="FootnoteText"/>
        <w:rPr>
          <w:rFonts w:ascii="Verdana" w:hAnsi="Verdana"/>
        </w:rPr>
      </w:pPr>
      <w:r w:rsidRPr="00E46AEE">
        <w:rPr>
          <w:rStyle w:val="FootnoteReference"/>
          <w:rFonts w:ascii="Verdana" w:hAnsi="Verdana"/>
          <w:sz w:val="16"/>
        </w:rPr>
        <w:footnoteRef/>
      </w:r>
      <w:r w:rsidRPr="00E46AEE">
        <w:rPr>
          <w:rFonts w:ascii="Verdana" w:hAnsi="Verdana"/>
          <w:sz w:val="16"/>
        </w:rPr>
        <w:t xml:space="preserve"> </w:t>
      </w:r>
      <w:r>
        <w:rPr>
          <w:rFonts w:ascii="Times New Roman" w:hAnsi="Times New Roman" w:cs="Times New Roman"/>
        </w:rPr>
        <w:t>S</w:t>
      </w:r>
      <w:r w:rsidRPr="00BF2673">
        <w:rPr>
          <w:rFonts w:ascii="Times New Roman" w:hAnsi="Times New Roman" w:cs="Times New Roman"/>
        </w:rPr>
        <w:t>ection 81, Tax Administration Act 1994</w:t>
      </w:r>
      <w:r w:rsidRPr="00BF2673">
        <w:rPr>
          <w:rFonts w:ascii="Verdana" w:hAnsi="Verdana"/>
        </w:rPr>
        <w:t xml:space="preserve"> </w:t>
      </w:r>
    </w:p>
  </w:footnote>
  <w:footnote w:id="8">
    <w:p w:rsidR="002B792B" w:rsidRPr="000302D3" w:rsidRDefault="002B792B" w:rsidP="000302D3">
      <w:pPr>
        <w:pStyle w:val="FootnoteText"/>
        <w:rPr>
          <w:rFonts w:ascii="Times New Roman" w:hAnsi="Times New Roman" w:cs="Times New Roman"/>
        </w:rPr>
      </w:pPr>
      <w:r w:rsidRPr="000302D3">
        <w:rPr>
          <w:rStyle w:val="FootnoteReference"/>
          <w:rFonts w:ascii="Times New Roman" w:hAnsi="Times New Roman" w:cs="Times New Roman"/>
        </w:rPr>
        <w:footnoteRef/>
      </w:r>
      <w:r w:rsidRPr="000302D3">
        <w:rPr>
          <w:rFonts w:ascii="Times New Roman" w:hAnsi="Times New Roman" w:cs="Times New Roman"/>
        </w:rPr>
        <w:t xml:space="preserve"> </w:t>
      </w:r>
      <w:proofErr w:type="gramStart"/>
      <w:r w:rsidRPr="000302D3">
        <w:rPr>
          <w:rFonts w:ascii="Times New Roman" w:hAnsi="Times New Roman" w:cs="Times New Roman"/>
          <w:sz w:val="16"/>
          <w:szCs w:val="16"/>
        </w:rPr>
        <w:t>Habitual Non Complier Tier 2 Analysis, Inland Revenue.</w:t>
      </w:r>
      <w:proofErr w:type="gramEnd"/>
    </w:p>
  </w:footnote>
  <w:footnote w:id="9">
    <w:p w:rsidR="002B792B" w:rsidRPr="004E4125" w:rsidRDefault="002B792B" w:rsidP="00E359E0">
      <w:pPr>
        <w:pStyle w:val="FootnoteText"/>
        <w:rPr>
          <w:rFonts w:ascii="Times New Roman" w:hAnsi="Times New Roman" w:cs="Times New Roman"/>
          <w:sz w:val="16"/>
        </w:rPr>
      </w:pPr>
      <w:r w:rsidRPr="00A25E1D">
        <w:rPr>
          <w:rStyle w:val="FootnoteReference"/>
        </w:rPr>
        <w:footnoteRef/>
      </w:r>
      <w:r w:rsidRPr="00A25E1D">
        <w:rPr>
          <w:rFonts w:ascii="Times New Roman" w:hAnsi="Times New Roman" w:cs="Times New Roman"/>
        </w:rPr>
        <w:t xml:space="preserve"> </w:t>
      </w:r>
      <w:r w:rsidRPr="000302D3">
        <w:rPr>
          <w:rFonts w:ascii="Times New Roman" w:hAnsi="Times New Roman" w:cs="Times New Roman"/>
          <w:sz w:val="16"/>
          <w:szCs w:val="16"/>
        </w:rPr>
        <w:t>Note, this proposal includes employer debt relating to employee deductions employers have failed to remit to Inland Revenue; it is not proposed that social policy debt be reported</w:t>
      </w:r>
      <w:r>
        <w:rPr>
          <w:rFonts w:ascii="Times New Roman" w:hAnsi="Times New Roman" w:cs="Times New Roman"/>
          <w:sz w:val="16"/>
          <w:szCs w:val="16"/>
        </w:rPr>
        <w:t xml:space="preserve"> to credit agencies</w:t>
      </w:r>
      <w:r w:rsidRPr="000302D3">
        <w:rPr>
          <w:rFonts w:ascii="Times New Roman" w:hAnsi="Times New Roman" w:cs="Times New Roman"/>
          <w:sz w:val="16"/>
          <w:szCs w:val="16"/>
        </w:rPr>
        <w:t>.</w:t>
      </w:r>
      <w:r w:rsidRPr="00A25E1D">
        <w:rPr>
          <w:rFonts w:ascii="Times New Roman" w:hAnsi="Times New Roman" w:cs="Times New Roman"/>
        </w:rPr>
        <w:t xml:space="preserve"> </w:t>
      </w:r>
    </w:p>
  </w:footnote>
  <w:footnote w:id="10">
    <w:p w:rsidR="002B792B" w:rsidRDefault="002B792B" w:rsidP="00A65B46">
      <w:pPr>
        <w:pStyle w:val="FootnoteText"/>
      </w:pPr>
      <w:r>
        <w:rPr>
          <w:rStyle w:val="FootnoteReference"/>
        </w:rPr>
        <w:footnoteRef/>
      </w:r>
      <w:r>
        <w:t xml:space="preserve">  </w:t>
      </w:r>
      <w:r w:rsidRPr="000302D3">
        <w:rPr>
          <w:rFonts w:ascii="Times New Roman" w:hAnsi="Times New Roman" w:cs="Times New Roman"/>
          <w:sz w:val="16"/>
          <w:szCs w:val="16"/>
        </w:rPr>
        <w:t>Section 113A of the Tax Administration Act 1994</w:t>
      </w:r>
    </w:p>
  </w:footnote>
  <w:footnote w:id="11">
    <w:p w:rsidR="002B792B" w:rsidRDefault="002B792B" w:rsidP="00A65B46">
      <w:pPr>
        <w:pStyle w:val="FootnoteText"/>
      </w:pPr>
      <w:r>
        <w:rPr>
          <w:rStyle w:val="FootnoteReference"/>
        </w:rPr>
        <w:footnoteRef/>
      </w:r>
      <w:r>
        <w:t xml:space="preserve"> </w:t>
      </w:r>
      <w:r w:rsidRPr="000302D3">
        <w:rPr>
          <w:rFonts w:ascii="Times New Roman" w:hAnsi="Times New Roman" w:cs="Times New Roman"/>
          <w:sz w:val="16"/>
          <w:szCs w:val="16"/>
        </w:rPr>
        <w:t xml:space="preserve">Annual renewal is currently required by Inland Revenue if the applicant is applying for a </w:t>
      </w:r>
      <w:proofErr w:type="spellStart"/>
      <w:r w:rsidRPr="000302D3">
        <w:rPr>
          <w:rFonts w:ascii="Times New Roman" w:hAnsi="Times New Roman" w:cs="Times New Roman"/>
          <w:sz w:val="16"/>
          <w:szCs w:val="16"/>
        </w:rPr>
        <w:t>RWT</w:t>
      </w:r>
      <w:proofErr w:type="spellEnd"/>
      <w:r w:rsidRPr="000302D3">
        <w:rPr>
          <w:rFonts w:ascii="Times New Roman" w:hAnsi="Times New Roman" w:cs="Times New Roman"/>
          <w:sz w:val="16"/>
          <w:szCs w:val="16"/>
        </w:rPr>
        <w:t xml:space="preserve"> exemption certificate on the grounds that it has tax losses, a refund of over $500 </w:t>
      </w:r>
      <w:proofErr w:type="spellStart"/>
      <w:r w:rsidRPr="000302D3">
        <w:rPr>
          <w:rFonts w:ascii="Times New Roman" w:hAnsi="Times New Roman" w:cs="Times New Roman"/>
          <w:sz w:val="16"/>
          <w:szCs w:val="16"/>
        </w:rPr>
        <w:t>RWT</w:t>
      </w:r>
      <w:proofErr w:type="spellEnd"/>
      <w:r w:rsidRPr="000302D3">
        <w:rPr>
          <w:rFonts w:ascii="Times New Roman" w:hAnsi="Times New Roman" w:cs="Times New Roman"/>
          <w:sz w:val="16"/>
          <w:szCs w:val="16"/>
        </w:rPr>
        <w:t xml:space="preserve"> or estimated annual gross income of over $2 million. Applications on other grounds (such as annual gross income over $2 million in the prior year) do not require annual renewal.</w:t>
      </w:r>
    </w:p>
  </w:footnote>
  <w:footnote w:id="12">
    <w:p w:rsidR="002B792B" w:rsidRDefault="002B792B" w:rsidP="00A65B46">
      <w:pPr>
        <w:pStyle w:val="FootnoteText"/>
      </w:pPr>
      <w:r>
        <w:rPr>
          <w:rStyle w:val="FootnoteReference"/>
        </w:rPr>
        <w:footnoteRef/>
      </w:r>
      <w:r>
        <w:t xml:space="preserve"> </w:t>
      </w:r>
      <w:r w:rsidRPr="000302D3">
        <w:rPr>
          <w:rFonts w:ascii="Times New Roman" w:hAnsi="Times New Roman" w:cs="Times New Roman"/>
          <w:sz w:val="16"/>
          <w:szCs w:val="16"/>
        </w:rPr>
        <w:t>Sections RD 60 and RD 61 of the Income Tax Act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EF8"/>
    <w:multiLevelType w:val="hybridMultilevel"/>
    <w:tmpl w:val="DFBCC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0F96E0B"/>
    <w:multiLevelType w:val="hybridMultilevel"/>
    <w:tmpl w:val="DA600E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461055"/>
    <w:multiLevelType w:val="hybridMultilevel"/>
    <w:tmpl w:val="3640A2EE"/>
    <w:lvl w:ilvl="0" w:tplc="3B14E596">
      <w:start w:val="1"/>
      <w:numFmt w:val="lowerRoman"/>
      <w:lvlText w:val="(%1)"/>
      <w:lvlJc w:val="left"/>
      <w:pPr>
        <w:ind w:left="1080" w:hanging="360"/>
      </w:pPr>
      <w:rPr>
        <w:rFonts w:hint="default"/>
      </w:rPr>
    </w:lvl>
    <w:lvl w:ilvl="1" w:tplc="14090019" w:tentative="1">
      <w:start w:val="1"/>
      <w:numFmt w:val="lowerLetter"/>
      <w:lvlText w:val="%2."/>
      <w:lvlJc w:val="left"/>
      <w:pPr>
        <w:ind w:left="2150" w:hanging="360"/>
      </w:pPr>
    </w:lvl>
    <w:lvl w:ilvl="2" w:tplc="1409001B" w:tentative="1">
      <w:start w:val="1"/>
      <w:numFmt w:val="lowerRoman"/>
      <w:lvlText w:val="%3."/>
      <w:lvlJc w:val="right"/>
      <w:pPr>
        <w:ind w:left="2870" w:hanging="180"/>
      </w:pPr>
    </w:lvl>
    <w:lvl w:ilvl="3" w:tplc="1409000F" w:tentative="1">
      <w:start w:val="1"/>
      <w:numFmt w:val="decimal"/>
      <w:lvlText w:val="%4."/>
      <w:lvlJc w:val="left"/>
      <w:pPr>
        <w:ind w:left="3590" w:hanging="360"/>
      </w:pPr>
    </w:lvl>
    <w:lvl w:ilvl="4" w:tplc="14090019" w:tentative="1">
      <w:start w:val="1"/>
      <w:numFmt w:val="lowerLetter"/>
      <w:lvlText w:val="%5."/>
      <w:lvlJc w:val="left"/>
      <w:pPr>
        <w:ind w:left="4310" w:hanging="360"/>
      </w:pPr>
    </w:lvl>
    <w:lvl w:ilvl="5" w:tplc="1409001B" w:tentative="1">
      <w:start w:val="1"/>
      <w:numFmt w:val="lowerRoman"/>
      <w:lvlText w:val="%6."/>
      <w:lvlJc w:val="right"/>
      <w:pPr>
        <w:ind w:left="5030" w:hanging="180"/>
      </w:pPr>
    </w:lvl>
    <w:lvl w:ilvl="6" w:tplc="1409000F" w:tentative="1">
      <w:start w:val="1"/>
      <w:numFmt w:val="decimal"/>
      <w:lvlText w:val="%7."/>
      <w:lvlJc w:val="left"/>
      <w:pPr>
        <w:ind w:left="5750" w:hanging="360"/>
      </w:pPr>
    </w:lvl>
    <w:lvl w:ilvl="7" w:tplc="14090019" w:tentative="1">
      <w:start w:val="1"/>
      <w:numFmt w:val="lowerLetter"/>
      <w:lvlText w:val="%8."/>
      <w:lvlJc w:val="left"/>
      <w:pPr>
        <w:ind w:left="6470" w:hanging="360"/>
      </w:pPr>
    </w:lvl>
    <w:lvl w:ilvl="8" w:tplc="1409001B" w:tentative="1">
      <w:start w:val="1"/>
      <w:numFmt w:val="lowerRoman"/>
      <w:lvlText w:val="%9."/>
      <w:lvlJc w:val="right"/>
      <w:pPr>
        <w:ind w:left="7190" w:hanging="180"/>
      </w:pPr>
    </w:lvl>
  </w:abstractNum>
  <w:abstractNum w:abstractNumId="3">
    <w:nsid w:val="093D119F"/>
    <w:multiLevelType w:val="hybridMultilevel"/>
    <w:tmpl w:val="748E0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99A17CC"/>
    <w:multiLevelType w:val="hybridMultilevel"/>
    <w:tmpl w:val="68669E2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0C2223D9"/>
    <w:multiLevelType w:val="hybridMultilevel"/>
    <w:tmpl w:val="0C44EF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0820F7D"/>
    <w:multiLevelType w:val="hybridMultilevel"/>
    <w:tmpl w:val="B98A6F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4F24D0A"/>
    <w:multiLevelType w:val="hybridMultilevel"/>
    <w:tmpl w:val="8C32FB96"/>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8">
    <w:nsid w:val="15DA0363"/>
    <w:multiLevelType w:val="hybridMultilevel"/>
    <w:tmpl w:val="3640A2EE"/>
    <w:lvl w:ilvl="0" w:tplc="3B14E596">
      <w:start w:val="1"/>
      <w:numFmt w:val="lowerRoman"/>
      <w:lvlText w:val="(%1)"/>
      <w:lvlJc w:val="left"/>
      <w:pPr>
        <w:ind w:left="1080" w:hanging="360"/>
      </w:pPr>
      <w:rPr>
        <w:rFonts w:hint="default"/>
      </w:rPr>
    </w:lvl>
    <w:lvl w:ilvl="1" w:tplc="14090019" w:tentative="1">
      <w:start w:val="1"/>
      <w:numFmt w:val="lowerLetter"/>
      <w:lvlText w:val="%2."/>
      <w:lvlJc w:val="left"/>
      <w:pPr>
        <w:ind w:left="2150" w:hanging="360"/>
      </w:pPr>
    </w:lvl>
    <w:lvl w:ilvl="2" w:tplc="1409001B" w:tentative="1">
      <w:start w:val="1"/>
      <w:numFmt w:val="lowerRoman"/>
      <w:lvlText w:val="%3."/>
      <w:lvlJc w:val="right"/>
      <w:pPr>
        <w:ind w:left="2870" w:hanging="180"/>
      </w:pPr>
    </w:lvl>
    <w:lvl w:ilvl="3" w:tplc="1409000F" w:tentative="1">
      <w:start w:val="1"/>
      <w:numFmt w:val="decimal"/>
      <w:lvlText w:val="%4."/>
      <w:lvlJc w:val="left"/>
      <w:pPr>
        <w:ind w:left="3590" w:hanging="360"/>
      </w:pPr>
    </w:lvl>
    <w:lvl w:ilvl="4" w:tplc="14090019" w:tentative="1">
      <w:start w:val="1"/>
      <w:numFmt w:val="lowerLetter"/>
      <w:lvlText w:val="%5."/>
      <w:lvlJc w:val="left"/>
      <w:pPr>
        <w:ind w:left="4310" w:hanging="360"/>
      </w:pPr>
    </w:lvl>
    <w:lvl w:ilvl="5" w:tplc="1409001B" w:tentative="1">
      <w:start w:val="1"/>
      <w:numFmt w:val="lowerRoman"/>
      <w:lvlText w:val="%6."/>
      <w:lvlJc w:val="right"/>
      <w:pPr>
        <w:ind w:left="5030" w:hanging="180"/>
      </w:pPr>
    </w:lvl>
    <w:lvl w:ilvl="6" w:tplc="1409000F" w:tentative="1">
      <w:start w:val="1"/>
      <w:numFmt w:val="decimal"/>
      <w:lvlText w:val="%7."/>
      <w:lvlJc w:val="left"/>
      <w:pPr>
        <w:ind w:left="5750" w:hanging="360"/>
      </w:pPr>
    </w:lvl>
    <w:lvl w:ilvl="7" w:tplc="14090019" w:tentative="1">
      <w:start w:val="1"/>
      <w:numFmt w:val="lowerLetter"/>
      <w:lvlText w:val="%8."/>
      <w:lvlJc w:val="left"/>
      <w:pPr>
        <w:ind w:left="6470" w:hanging="360"/>
      </w:pPr>
    </w:lvl>
    <w:lvl w:ilvl="8" w:tplc="1409001B" w:tentative="1">
      <w:start w:val="1"/>
      <w:numFmt w:val="lowerRoman"/>
      <w:lvlText w:val="%9."/>
      <w:lvlJc w:val="right"/>
      <w:pPr>
        <w:ind w:left="7190" w:hanging="180"/>
      </w:pPr>
    </w:lvl>
  </w:abstractNum>
  <w:abstractNum w:abstractNumId="9">
    <w:nsid w:val="1670033C"/>
    <w:multiLevelType w:val="hybridMultilevel"/>
    <w:tmpl w:val="8E2484CC"/>
    <w:lvl w:ilvl="0" w:tplc="207690D8">
      <w:start w:val="1"/>
      <w:numFmt w:val="decimal"/>
      <w:lvlText w:val="%1."/>
      <w:lvlJc w:val="left"/>
      <w:pPr>
        <w:tabs>
          <w:tab w:val="num" w:pos="720"/>
        </w:tabs>
        <w:ind w:left="720" w:hanging="360"/>
      </w:pPr>
      <w:rPr>
        <w:rFonts w:ascii="Times New Roman" w:hAnsi="Times New Roman" w:cs="Times New Roman" w:hint="default"/>
        <w:b w:val="0"/>
        <w:sz w:val="24"/>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70D7C05"/>
    <w:multiLevelType w:val="hybridMultilevel"/>
    <w:tmpl w:val="07F0F370"/>
    <w:lvl w:ilvl="0" w:tplc="6B9A4CF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198C3B8D"/>
    <w:multiLevelType w:val="hybridMultilevel"/>
    <w:tmpl w:val="F990D4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4F74A6D"/>
    <w:multiLevelType w:val="hybridMultilevel"/>
    <w:tmpl w:val="DAE2C934"/>
    <w:lvl w:ilvl="0" w:tplc="1409000F">
      <w:start w:val="1"/>
      <w:numFmt w:val="decimal"/>
      <w:lvlText w:val="%1."/>
      <w:lvlJc w:val="left"/>
      <w:pPr>
        <w:ind w:left="2160" w:hanging="360"/>
      </w:pPr>
      <w:rPr>
        <w:rFonts w:hint="default"/>
        <w:b w:val="0"/>
        <w:sz w:val="24"/>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3">
    <w:nsid w:val="263B5F69"/>
    <w:multiLevelType w:val="hybridMultilevel"/>
    <w:tmpl w:val="45BCBE5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6FE05EE"/>
    <w:multiLevelType w:val="hybridMultilevel"/>
    <w:tmpl w:val="714AC68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5">
    <w:nsid w:val="2AD13C6C"/>
    <w:multiLevelType w:val="hybridMultilevel"/>
    <w:tmpl w:val="4F947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B0A47D3"/>
    <w:multiLevelType w:val="hybridMultilevel"/>
    <w:tmpl w:val="D8ACEA22"/>
    <w:lvl w:ilvl="0" w:tplc="1409000F">
      <w:start w:val="1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C556681"/>
    <w:multiLevelType w:val="hybridMultilevel"/>
    <w:tmpl w:val="09729E7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F254B46"/>
    <w:multiLevelType w:val="hybridMultilevel"/>
    <w:tmpl w:val="26EC6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FD365AE"/>
    <w:multiLevelType w:val="hybridMultilevel"/>
    <w:tmpl w:val="4F46B142"/>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2534CAC"/>
    <w:multiLevelType w:val="hybridMultilevel"/>
    <w:tmpl w:val="6090F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3061B0B"/>
    <w:multiLevelType w:val="hybridMultilevel"/>
    <w:tmpl w:val="809EA3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76C56C7"/>
    <w:multiLevelType w:val="hybridMultilevel"/>
    <w:tmpl w:val="C9BCABE2"/>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3">
    <w:nsid w:val="3FB53F73"/>
    <w:multiLevelType w:val="hybridMultilevel"/>
    <w:tmpl w:val="78E800D6"/>
    <w:lvl w:ilvl="0" w:tplc="6B9A4CF2">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1633021"/>
    <w:multiLevelType w:val="hybridMultilevel"/>
    <w:tmpl w:val="28384F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nsid w:val="45935EAD"/>
    <w:multiLevelType w:val="hybridMultilevel"/>
    <w:tmpl w:val="B56429D6"/>
    <w:lvl w:ilvl="0" w:tplc="14090001">
      <w:start w:val="1"/>
      <w:numFmt w:val="bullet"/>
      <w:lvlText w:val=""/>
      <w:lvlJc w:val="left"/>
      <w:pPr>
        <w:ind w:left="2160" w:hanging="360"/>
      </w:pPr>
      <w:rPr>
        <w:rFonts w:ascii="Symbol" w:hAnsi="Symbol" w:hint="default"/>
        <w:b w:val="0"/>
        <w:sz w:val="24"/>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6">
    <w:nsid w:val="472C3852"/>
    <w:multiLevelType w:val="hybridMultilevel"/>
    <w:tmpl w:val="CEB6B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0132B9F"/>
    <w:multiLevelType w:val="hybridMultilevel"/>
    <w:tmpl w:val="D39A685C"/>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3F351B7"/>
    <w:multiLevelType w:val="hybridMultilevel"/>
    <w:tmpl w:val="51129A72"/>
    <w:lvl w:ilvl="0" w:tplc="14090017">
      <w:start w:val="1"/>
      <w:numFmt w:val="lowerLetter"/>
      <w:lvlText w:val="%1)"/>
      <w:lvlJc w:val="left"/>
      <w:pPr>
        <w:ind w:left="2160" w:hanging="360"/>
      </w:pPr>
      <w:rPr>
        <w:rFonts w:hint="default"/>
        <w:b w:val="0"/>
        <w:sz w:val="24"/>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9">
    <w:nsid w:val="569675D7"/>
    <w:multiLevelType w:val="hybridMultilevel"/>
    <w:tmpl w:val="3202C2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56D3238C"/>
    <w:multiLevelType w:val="hybridMultilevel"/>
    <w:tmpl w:val="45BCBE56"/>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584D59E5"/>
    <w:multiLevelType w:val="hybridMultilevel"/>
    <w:tmpl w:val="EDA0BDA6"/>
    <w:lvl w:ilvl="0" w:tplc="34BC95D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5A4C4FA6"/>
    <w:multiLevelType w:val="hybridMultilevel"/>
    <w:tmpl w:val="B8EA695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3">
    <w:nsid w:val="5ACB6B8C"/>
    <w:multiLevelType w:val="hybridMultilevel"/>
    <w:tmpl w:val="3C1EC488"/>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34">
    <w:nsid w:val="5DE201EE"/>
    <w:multiLevelType w:val="hybridMultilevel"/>
    <w:tmpl w:val="4EF0CB56"/>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35">
    <w:nsid w:val="60A552FB"/>
    <w:multiLevelType w:val="hybridMultilevel"/>
    <w:tmpl w:val="78781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7131E6B"/>
    <w:multiLevelType w:val="hybridMultilevel"/>
    <w:tmpl w:val="9BFA4E54"/>
    <w:lvl w:ilvl="0" w:tplc="B56EAE26">
      <w:start w:val="1"/>
      <w:numFmt w:val="lowerLetter"/>
      <w:lvlText w:val="(%1)"/>
      <w:lvlJc w:val="left"/>
      <w:pPr>
        <w:ind w:left="2062" w:hanging="360"/>
      </w:pPr>
      <w:rPr>
        <w:rFonts w:hint="default"/>
      </w:rPr>
    </w:lvl>
    <w:lvl w:ilvl="1" w:tplc="14090019" w:tentative="1">
      <w:start w:val="1"/>
      <w:numFmt w:val="lowerLetter"/>
      <w:lvlText w:val="%2."/>
      <w:lvlJc w:val="left"/>
      <w:pPr>
        <w:ind w:left="2782" w:hanging="360"/>
      </w:pPr>
    </w:lvl>
    <w:lvl w:ilvl="2" w:tplc="1409001B" w:tentative="1">
      <w:start w:val="1"/>
      <w:numFmt w:val="lowerRoman"/>
      <w:lvlText w:val="%3."/>
      <w:lvlJc w:val="right"/>
      <w:pPr>
        <w:ind w:left="3502" w:hanging="180"/>
      </w:pPr>
    </w:lvl>
    <w:lvl w:ilvl="3" w:tplc="1409000F" w:tentative="1">
      <w:start w:val="1"/>
      <w:numFmt w:val="decimal"/>
      <w:lvlText w:val="%4."/>
      <w:lvlJc w:val="left"/>
      <w:pPr>
        <w:ind w:left="4222" w:hanging="360"/>
      </w:pPr>
    </w:lvl>
    <w:lvl w:ilvl="4" w:tplc="14090019" w:tentative="1">
      <w:start w:val="1"/>
      <w:numFmt w:val="lowerLetter"/>
      <w:lvlText w:val="%5."/>
      <w:lvlJc w:val="left"/>
      <w:pPr>
        <w:ind w:left="4942" w:hanging="360"/>
      </w:pPr>
    </w:lvl>
    <w:lvl w:ilvl="5" w:tplc="1409001B" w:tentative="1">
      <w:start w:val="1"/>
      <w:numFmt w:val="lowerRoman"/>
      <w:lvlText w:val="%6."/>
      <w:lvlJc w:val="right"/>
      <w:pPr>
        <w:ind w:left="5662" w:hanging="180"/>
      </w:pPr>
    </w:lvl>
    <w:lvl w:ilvl="6" w:tplc="1409000F" w:tentative="1">
      <w:start w:val="1"/>
      <w:numFmt w:val="decimal"/>
      <w:lvlText w:val="%7."/>
      <w:lvlJc w:val="left"/>
      <w:pPr>
        <w:ind w:left="6382" w:hanging="360"/>
      </w:pPr>
    </w:lvl>
    <w:lvl w:ilvl="7" w:tplc="14090019" w:tentative="1">
      <w:start w:val="1"/>
      <w:numFmt w:val="lowerLetter"/>
      <w:lvlText w:val="%8."/>
      <w:lvlJc w:val="left"/>
      <w:pPr>
        <w:ind w:left="7102" w:hanging="360"/>
      </w:pPr>
    </w:lvl>
    <w:lvl w:ilvl="8" w:tplc="1409001B" w:tentative="1">
      <w:start w:val="1"/>
      <w:numFmt w:val="lowerRoman"/>
      <w:lvlText w:val="%9."/>
      <w:lvlJc w:val="right"/>
      <w:pPr>
        <w:ind w:left="7822" w:hanging="180"/>
      </w:pPr>
    </w:lvl>
  </w:abstractNum>
  <w:abstractNum w:abstractNumId="37">
    <w:nsid w:val="69AC45DC"/>
    <w:multiLevelType w:val="hybridMultilevel"/>
    <w:tmpl w:val="A4ACE0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BB0197C"/>
    <w:multiLevelType w:val="hybridMultilevel"/>
    <w:tmpl w:val="A4AA975C"/>
    <w:lvl w:ilvl="0" w:tplc="F0D4AA2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6EC555B2"/>
    <w:multiLevelType w:val="hybridMultilevel"/>
    <w:tmpl w:val="972E3C84"/>
    <w:lvl w:ilvl="0" w:tplc="14090015">
      <w:start w:val="1"/>
      <w:numFmt w:val="upp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2E50CE2"/>
    <w:multiLevelType w:val="hybridMultilevel"/>
    <w:tmpl w:val="81AE5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4151E40"/>
    <w:multiLevelType w:val="hybridMultilevel"/>
    <w:tmpl w:val="A99E9E28"/>
    <w:lvl w:ilvl="0" w:tplc="F23CA0A8">
      <w:start w:val="1"/>
      <w:numFmt w:val="decimal"/>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7926D27"/>
    <w:multiLevelType w:val="hybridMultilevel"/>
    <w:tmpl w:val="81203D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7B2642D1"/>
    <w:multiLevelType w:val="hybridMultilevel"/>
    <w:tmpl w:val="08F86AEA"/>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7F1A53DF"/>
    <w:multiLevelType w:val="hybridMultilevel"/>
    <w:tmpl w:val="C2CA5D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8"/>
  </w:num>
  <w:num w:numId="2">
    <w:abstractNumId w:val="35"/>
  </w:num>
  <w:num w:numId="3">
    <w:abstractNumId w:val="20"/>
  </w:num>
  <w:num w:numId="4">
    <w:abstractNumId w:val="1"/>
  </w:num>
  <w:num w:numId="5">
    <w:abstractNumId w:val="6"/>
  </w:num>
  <w:num w:numId="6">
    <w:abstractNumId w:val="7"/>
  </w:num>
  <w:num w:numId="7">
    <w:abstractNumId w:val="15"/>
  </w:num>
  <w:num w:numId="8">
    <w:abstractNumId w:val="44"/>
  </w:num>
  <w:num w:numId="9">
    <w:abstractNumId w:val="9"/>
  </w:num>
  <w:num w:numId="10">
    <w:abstractNumId w:val="40"/>
  </w:num>
  <w:num w:numId="11">
    <w:abstractNumId w:val="41"/>
  </w:num>
  <w:num w:numId="12">
    <w:abstractNumId w:val="34"/>
  </w:num>
  <w:num w:numId="13">
    <w:abstractNumId w:val="0"/>
  </w:num>
  <w:num w:numId="14">
    <w:abstractNumId w:val="38"/>
  </w:num>
  <w:num w:numId="15">
    <w:abstractNumId w:val="37"/>
  </w:num>
  <w:num w:numId="16">
    <w:abstractNumId w:val="21"/>
  </w:num>
  <w:num w:numId="17">
    <w:abstractNumId w:val="39"/>
  </w:num>
  <w:num w:numId="18">
    <w:abstractNumId w:val="17"/>
  </w:num>
  <w:num w:numId="19">
    <w:abstractNumId w:val="4"/>
  </w:num>
  <w:num w:numId="20">
    <w:abstractNumId w:val="24"/>
  </w:num>
  <w:num w:numId="21">
    <w:abstractNumId w:val="14"/>
  </w:num>
  <w:num w:numId="22">
    <w:abstractNumId w:val="28"/>
  </w:num>
  <w:num w:numId="23">
    <w:abstractNumId w:val="33"/>
  </w:num>
  <w:num w:numId="24">
    <w:abstractNumId w:val="36"/>
  </w:num>
  <w:num w:numId="25">
    <w:abstractNumId w:val="25"/>
  </w:num>
  <w:num w:numId="26">
    <w:abstractNumId w:val="22"/>
  </w:num>
  <w:num w:numId="27">
    <w:abstractNumId w:val="2"/>
  </w:num>
  <w:num w:numId="28">
    <w:abstractNumId w:val="23"/>
  </w:num>
  <w:num w:numId="29">
    <w:abstractNumId w:val="8"/>
  </w:num>
  <w:num w:numId="30">
    <w:abstractNumId w:val="10"/>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4"/>
  </w:num>
  <w:num w:numId="34">
    <w:abstractNumId w:val="32"/>
  </w:num>
  <w:num w:numId="35">
    <w:abstractNumId w:val="13"/>
  </w:num>
  <w:num w:numId="36">
    <w:abstractNumId w:val="30"/>
  </w:num>
  <w:num w:numId="37">
    <w:abstractNumId w:val="26"/>
  </w:num>
  <w:num w:numId="38">
    <w:abstractNumId w:val="5"/>
  </w:num>
  <w:num w:numId="39">
    <w:abstractNumId w:val="3"/>
  </w:num>
  <w:num w:numId="40">
    <w:abstractNumId w:val="11"/>
  </w:num>
  <w:num w:numId="41">
    <w:abstractNumId w:val="16"/>
  </w:num>
  <w:num w:numId="42">
    <w:abstractNumId w:val="27"/>
  </w:num>
  <w:num w:numId="43">
    <w:abstractNumId w:val="19"/>
  </w:num>
  <w:num w:numId="44">
    <w:abstractNumId w:val="42"/>
  </w:num>
  <w:num w:numId="45">
    <w:abstractNumId w:val="43"/>
  </w:num>
  <w:num w:numId="46">
    <w:abstractNumId w:val="31"/>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93"/>
    <w:rsid w:val="000001F4"/>
    <w:rsid w:val="00000418"/>
    <w:rsid w:val="00011DEA"/>
    <w:rsid w:val="00013A4B"/>
    <w:rsid w:val="000255A2"/>
    <w:rsid w:val="000302D3"/>
    <w:rsid w:val="000332F0"/>
    <w:rsid w:val="0003767F"/>
    <w:rsid w:val="00043703"/>
    <w:rsid w:val="00043BF2"/>
    <w:rsid w:val="000446F0"/>
    <w:rsid w:val="0004521D"/>
    <w:rsid w:val="00047D1B"/>
    <w:rsid w:val="0005071B"/>
    <w:rsid w:val="00052A61"/>
    <w:rsid w:val="000544E0"/>
    <w:rsid w:val="000546DA"/>
    <w:rsid w:val="000569C6"/>
    <w:rsid w:val="000576B9"/>
    <w:rsid w:val="00061BE6"/>
    <w:rsid w:val="00062EA1"/>
    <w:rsid w:val="000635E6"/>
    <w:rsid w:val="00065922"/>
    <w:rsid w:val="000679B7"/>
    <w:rsid w:val="00075BC3"/>
    <w:rsid w:val="00077D04"/>
    <w:rsid w:val="00082A0C"/>
    <w:rsid w:val="00082B70"/>
    <w:rsid w:val="00090647"/>
    <w:rsid w:val="000A2E6C"/>
    <w:rsid w:val="000A30DB"/>
    <w:rsid w:val="000A4E11"/>
    <w:rsid w:val="000A5A5C"/>
    <w:rsid w:val="000A6DBA"/>
    <w:rsid w:val="000B66B0"/>
    <w:rsid w:val="000B73DC"/>
    <w:rsid w:val="000C25E4"/>
    <w:rsid w:val="000C74B4"/>
    <w:rsid w:val="000D155B"/>
    <w:rsid w:val="000E3461"/>
    <w:rsid w:val="000E4599"/>
    <w:rsid w:val="000E4628"/>
    <w:rsid w:val="000E76BE"/>
    <w:rsid w:val="000F2873"/>
    <w:rsid w:val="000F45CC"/>
    <w:rsid w:val="000F6690"/>
    <w:rsid w:val="000F6698"/>
    <w:rsid w:val="001128EB"/>
    <w:rsid w:val="001167B6"/>
    <w:rsid w:val="00122C09"/>
    <w:rsid w:val="00123F1A"/>
    <w:rsid w:val="00124BBD"/>
    <w:rsid w:val="001357B1"/>
    <w:rsid w:val="0014037F"/>
    <w:rsid w:val="00145B2E"/>
    <w:rsid w:val="00146EAF"/>
    <w:rsid w:val="001476F5"/>
    <w:rsid w:val="00147796"/>
    <w:rsid w:val="001633BB"/>
    <w:rsid w:val="00165D24"/>
    <w:rsid w:val="00171682"/>
    <w:rsid w:val="00175D94"/>
    <w:rsid w:val="00175F32"/>
    <w:rsid w:val="00177EB8"/>
    <w:rsid w:val="00183E15"/>
    <w:rsid w:val="00190955"/>
    <w:rsid w:val="00196CFC"/>
    <w:rsid w:val="001B2E50"/>
    <w:rsid w:val="001C0CDE"/>
    <w:rsid w:val="001D283A"/>
    <w:rsid w:val="001D2A4E"/>
    <w:rsid w:val="001F10CC"/>
    <w:rsid w:val="001F3289"/>
    <w:rsid w:val="00201EEE"/>
    <w:rsid w:val="002069FE"/>
    <w:rsid w:val="00213C1F"/>
    <w:rsid w:val="00213DBC"/>
    <w:rsid w:val="00220A54"/>
    <w:rsid w:val="0022632E"/>
    <w:rsid w:val="002271C1"/>
    <w:rsid w:val="00230363"/>
    <w:rsid w:val="0023605D"/>
    <w:rsid w:val="00241B66"/>
    <w:rsid w:val="00247BF3"/>
    <w:rsid w:val="00253C81"/>
    <w:rsid w:val="00260B8F"/>
    <w:rsid w:val="002648E6"/>
    <w:rsid w:val="0026715D"/>
    <w:rsid w:val="00272BC1"/>
    <w:rsid w:val="002743A9"/>
    <w:rsid w:val="00274E5F"/>
    <w:rsid w:val="00277C23"/>
    <w:rsid w:val="00281981"/>
    <w:rsid w:val="00284ACA"/>
    <w:rsid w:val="002960C6"/>
    <w:rsid w:val="00296F0D"/>
    <w:rsid w:val="002A5943"/>
    <w:rsid w:val="002A5ED9"/>
    <w:rsid w:val="002B792B"/>
    <w:rsid w:val="002C266C"/>
    <w:rsid w:val="002C30E2"/>
    <w:rsid w:val="002C3BAA"/>
    <w:rsid w:val="002C6DC1"/>
    <w:rsid w:val="002D0AC2"/>
    <w:rsid w:val="002D19BB"/>
    <w:rsid w:val="002D1A55"/>
    <w:rsid w:val="002D6D92"/>
    <w:rsid w:val="002E125F"/>
    <w:rsid w:val="002E34E7"/>
    <w:rsid w:val="002E6C3E"/>
    <w:rsid w:val="0030479F"/>
    <w:rsid w:val="00305DA6"/>
    <w:rsid w:val="00311B0C"/>
    <w:rsid w:val="00322678"/>
    <w:rsid w:val="0032529A"/>
    <w:rsid w:val="00325A55"/>
    <w:rsid w:val="00325D6B"/>
    <w:rsid w:val="00325D7E"/>
    <w:rsid w:val="00326CDC"/>
    <w:rsid w:val="00334B6B"/>
    <w:rsid w:val="00336FA4"/>
    <w:rsid w:val="00350B5C"/>
    <w:rsid w:val="00354145"/>
    <w:rsid w:val="00360B0C"/>
    <w:rsid w:val="00370C96"/>
    <w:rsid w:val="00372309"/>
    <w:rsid w:val="00372415"/>
    <w:rsid w:val="003771CA"/>
    <w:rsid w:val="00382BCD"/>
    <w:rsid w:val="00382C8A"/>
    <w:rsid w:val="0038535E"/>
    <w:rsid w:val="0038613F"/>
    <w:rsid w:val="003932F4"/>
    <w:rsid w:val="00393F3E"/>
    <w:rsid w:val="00397CC7"/>
    <w:rsid w:val="003B249B"/>
    <w:rsid w:val="003B29B9"/>
    <w:rsid w:val="003B570A"/>
    <w:rsid w:val="003C4F37"/>
    <w:rsid w:val="003D12E5"/>
    <w:rsid w:val="003D3278"/>
    <w:rsid w:val="003D6145"/>
    <w:rsid w:val="003F2666"/>
    <w:rsid w:val="00402669"/>
    <w:rsid w:val="00404174"/>
    <w:rsid w:val="004102A0"/>
    <w:rsid w:val="00413041"/>
    <w:rsid w:val="00420D8B"/>
    <w:rsid w:val="00423DE6"/>
    <w:rsid w:val="004245F4"/>
    <w:rsid w:val="00430E57"/>
    <w:rsid w:val="00432264"/>
    <w:rsid w:val="0043243C"/>
    <w:rsid w:val="004407C0"/>
    <w:rsid w:val="00444282"/>
    <w:rsid w:val="0044470D"/>
    <w:rsid w:val="004449DF"/>
    <w:rsid w:val="0045650F"/>
    <w:rsid w:val="0046344E"/>
    <w:rsid w:val="00463E14"/>
    <w:rsid w:val="004808A1"/>
    <w:rsid w:val="00481A67"/>
    <w:rsid w:val="00492374"/>
    <w:rsid w:val="00497AF6"/>
    <w:rsid w:val="004A0517"/>
    <w:rsid w:val="004B20C4"/>
    <w:rsid w:val="004B7C5D"/>
    <w:rsid w:val="004C1FFF"/>
    <w:rsid w:val="004C556A"/>
    <w:rsid w:val="004C64C4"/>
    <w:rsid w:val="004C78E5"/>
    <w:rsid w:val="004D5385"/>
    <w:rsid w:val="004E12CC"/>
    <w:rsid w:val="004E4125"/>
    <w:rsid w:val="004E48C5"/>
    <w:rsid w:val="004E5176"/>
    <w:rsid w:val="004F35B0"/>
    <w:rsid w:val="004F36BE"/>
    <w:rsid w:val="004F66A6"/>
    <w:rsid w:val="005119C5"/>
    <w:rsid w:val="0052125B"/>
    <w:rsid w:val="005248B5"/>
    <w:rsid w:val="0052494F"/>
    <w:rsid w:val="00532BCE"/>
    <w:rsid w:val="005341D1"/>
    <w:rsid w:val="00545D04"/>
    <w:rsid w:val="005543BC"/>
    <w:rsid w:val="005642F2"/>
    <w:rsid w:val="00565986"/>
    <w:rsid w:val="00566803"/>
    <w:rsid w:val="00572FFC"/>
    <w:rsid w:val="00586051"/>
    <w:rsid w:val="005908E5"/>
    <w:rsid w:val="0059151D"/>
    <w:rsid w:val="00597570"/>
    <w:rsid w:val="005A31AB"/>
    <w:rsid w:val="005A64CE"/>
    <w:rsid w:val="005A7600"/>
    <w:rsid w:val="005A7C9B"/>
    <w:rsid w:val="005B0D89"/>
    <w:rsid w:val="005B2E03"/>
    <w:rsid w:val="005B69C2"/>
    <w:rsid w:val="005B7EFD"/>
    <w:rsid w:val="005C245B"/>
    <w:rsid w:val="005C6E9F"/>
    <w:rsid w:val="005C7FEC"/>
    <w:rsid w:val="005D3931"/>
    <w:rsid w:val="005D7746"/>
    <w:rsid w:val="005F03D5"/>
    <w:rsid w:val="005F0E2A"/>
    <w:rsid w:val="005F230A"/>
    <w:rsid w:val="00601236"/>
    <w:rsid w:val="00604EE6"/>
    <w:rsid w:val="00607006"/>
    <w:rsid w:val="00607E1F"/>
    <w:rsid w:val="0061206C"/>
    <w:rsid w:val="00612B73"/>
    <w:rsid w:val="00616B98"/>
    <w:rsid w:val="00617DFB"/>
    <w:rsid w:val="0062379F"/>
    <w:rsid w:val="0062384F"/>
    <w:rsid w:val="00643ADB"/>
    <w:rsid w:val="00657E6E"/>
    <w:rsid w:val="00660389"/>
    <w:rsid w:val="00663093"/>
    <w:rsid w:val="00663D81"/>
    <w:rsid w:val="00665850"/>
    <w:rsid w:val="006676EB"/>
    <w:rsid w:val="00667B69"/>
    <w:rsid w:val="0067183D"/>
    <w:rsid w:val="00674C56"/>
    <w:rsid w:val="00677F58"/>
    <w:rsid w:val="006875AD"/>
    <w:rsid w:val="0069689A"/>
    <w:rsid w:val="00697C1E"/>
    <w:rsid w:val="00697F5E"/>
    <w:rsid w:val="006A683B"/>
    <w:rsid w:val="006B108E"/>
    <w:rsid w:val="006B5E12"/>
    <w:rsid w:val="006C228C"/>
    <w:rsid w:val="006D41E5"/>
    <w:rsid w:val="006E0916"/>
    <w:rsid w:val="006E1F65"/>
    <w:rsid w:val="006E2500"/>
    <w:rsid w:val="006E331A"/>
    <w:rsid w:val="006E53AD"/>
    <w:rsid w:val="006E78D2"/>
    <w:rsid w:val="006E7D65"/>
    <w:rsid w:val="006F15DC"/>
    <w:rsid w:val="006F1F85"/>
    <w:rsid w:val="006F26A3"/>
    <w:rsid w:val="006F3BAC"/>
    <w:rsid w:val="006F58AC"/>
    <w:rsid w:val="00711A45"/>
    <w:rsid w:val="007142F0"/>
    <w:rsid w:val="007153A7"/>
    <w:rsid w:val="00717CBD"/>
    <w:rsid w:val="007219DD"/>
    <w:rsid w:val="00722BEB"/>
    <w:rsid w:val="007269BC"/>
    <w:rsid w:val="00730767"/>
    <w:rsid w:val="00732160"/>
    <w:rsid w:val="00736709"/>
    <w:rsid w:val="007376FB"/>
    <w:rsid w:val="00743E55"/>
    <w:rsid w:val="0075228D"/>
    <w:rsid w:val="007562FB"/>
    <w:rsid w:val="0075633B"/>
    <w:rsid w:val="007574AE"/>
    <w:rsid w:val="007618F8"/>
    <w:rsid w:val="0076523C"/>
    <w:rsid w:val="00767E65"/>
    <w:rsid w:val="00772789"/>
    <w:rsid w:val="00784A98"/>
    <w:rsid w:val="007871F0"/>
    <w:rsid w:val="00793CF6"/>
    <w:rsid w:val="007A0C3F"/>
    <w:rsid w:val="007A1ED1"/>
    <w:rsid w:val="007B24CA"/>
    <w:rsid w:val="007B580C"/>
    <w:rsid w:val="007B7769"/>
    <w:rsid w:val="007B7F3B"/>
    <w:rsid w:val="007C5F7E"/>
    <w:rsid w:val="007C6889"/>
    <w:rsid w:val="007E2B66"/>
    <w:rsid w:val="007E4C33"/>
    <w:rsid w:val="007F245B"/>
    <w:rsid w:val="007F7B62"/>
    <w:rsid w:val="00800C5D"/>
    <w:rsid w:val="00802D32"/>
    <w:rsid w:val="008121B2"/>
    <w:rsid w:val="00817928"/>
    <w:rsid w:val="00817FB4"/>
    <w:rsid w:val="00825CC3"/>
    <w:rsid w:val="00826A07"/>
    <w:rsid w:val="0083184B"/>
    <w:rsid w:val="00834B0A"/>
    <w:rsid w:val="008419E9"/>
    <w:rsid w:val="00842528"/>
    <w:rsid w:val="00850C3F"/>
    <w:rsid w:val="0085355B"/>
    <w:rsid w:val="008560C8"/>
    <w:rsid w:val="00874A97"/>
    <w:rsid w:val="00874D8C"/>
    <w:rsid w:val="00881624"/>
    <w:rsid w:val="00883761"/>
    <w:rsid w:val="00887B68"/>
    <w:rsid w:val="00896C21"/>
    <w:rsid w:val="008A1D52"/>
    <w:rsid w:val="008A37FE"/>
    <w:rsid w:val="008A519D"/>
    <w:rsid w:val="008A5F45"/>
    <w:rsid w:val="008A7A57"/>
    <w:rsid w:val="008B11B7"/>
    <w:rsid w:val="008B1513"/>
    <w:rsid w:val="008B1609"/>
    <w:rsid w:val="008B4563"/>
    <w:rsid w:val="008B779E"/>
    <w:rsid w:val="008C19E1"/>
    <w:rsid w:val="008C25E5"/>
    <w:rsid w:val="008C2958"/>
    <w:rsid w:val="008C51A4"/>
    <w:rsid w:val="008C7711"/>
    <w:rsid w:val="008D31DB"/>
    <w:rsid w:val="008D4D61"/>
    <w:rsid w:val="008D5E7F"/>
    <w:rsid w:val="008E3413"/>
    <w:rsid w:val="008E4AF0"/>
    <w:rsid w:val="008F1D87"/>
    <w:rsid w:val="008F6668"/>
    <w:rsid w:val="00906C84"/>
    <w:rsid w:val="00913BB3"/>
    <w:rsid w:val="00915120"/>
    <w:rsid w:val="00922871"/>
    <w:rsid w:val="009258BA"/>
    <w:rsid w:val="00931513"/>
    <w:rsid w:val="009317D4"/>
    <w:rsid w:val="00932C2D"/>
    <w:rsid w:val="00932E24"/>
    <w:rsid w:val="009500FD"/>
    <w:rsid w:val="0095088C"/>
    <w:rsid w:val="00971435"/>
    <w:rsid w:val="009729DB"/>
    <w:rsid w:val="009804E3"/>
    <w:rsid w:val="00980FE0"/>
    <w:rsid w:val="00990763"/>
    <w:rsid w:val="00997F41"/>
    <w:rsid w:val="009A198E"/>
    <w:rsid w:val="009B04FA"/>
    <w:rsid w:val="009E0294"/>
    <w:rsid w:val="009E11ED"/>
    <w:rsid w:val="009F213B"/>
    <w:rsid w:val="00A10950"/>
    <w:rsid w:val="00A124DF"/>
    <w:rsid w:val="00A14062"/>
    <w:rsid w:val="00A15379"/>
    <w:rsid w:val="00A17D18"/>
    <w:rsid w:val="00A2574D"/>
    <w:rsid w:val="00A25937"/>
    <w:rsid w:val="00A32691"/>
    <w:rsid w:val="00A32947"/>
    <w:rsid w:val="00A36FCB"/>
    <w:rsid w:val="00A417B8"/>
    <w:rsid w:val="00A42378"/>
    <w:rsid w:val="00A453BE"/>
    <w:rsid w:val="00A626B1"/>
    <w:rsid w:val="00A65B46"/>
    <w:rsid w:val="00A702CC"/>
    <w:rsid w:val="00A70894"/>
    <w:rsid w:val="00A74A32"/>
    <w:rsid w:val="00A74DD4"/>
    <w:rsid w:val="00A75A2E"/>
    <w:rsid w:val="00A80576"/>
    <w:rsid w:val="00A907C9"/>
    <w:rsid w:val="00A9203E"/>
    <w:rsid w:val="00A93EE5"/>
    <w:rsid w:val="00A97A67"/>
    <w:rsid w:val="00A97AC7"/>
    <w:rsid w:val="00AA3DD9"/>
    <w:rsid w:val="00AB040D"/>
    <w:rsid w:val="00AB12CF"/>
    <w:rsid w:val="00AB2FBC"/>
    <w:rsid w:val="00AB3392"/>
    <w:rsid w:val="00AB3A6E"/>
    <w:rsid w:val="00AB4A84"/>
    <w:rsid w:val="00AB4F4C"/>
    <w:rsid w:val="00AB657A"/>
    <w:rsid w:val="00AB73FE"/>
    <w:rsid w:val="00AC0A37"/>
    <w:rsid w:val="00AC3653"/>
    <w:rsid w:val="00AD4A67"/>
    <w:rsid w:val="00AD4E75"/>
    <w:rsid w:val="00AD7D71"/>
    <w:rsid w:val="00AE40BD"/>
    <w:rsid w:val="00AE4B72"/>
    <w:rsid w:val="00AF083F"/>
    <w:rsid w:val="00AF34FA"/>
    <w:rsid w:val="00AF4FE3"/>
    <w:rsid w:val="00AF505D"/>
    <w:rsid w:val="00AF66BE"/>
    <w:rsid w:val="00B02CDF"/>
    <w:rsid w:val="00B20F8B"/>
    <w:rsid w:val="00B23393"/>
    <w:rsid w:val="00B30234"/>
    <w:rsid w:val="00B30B01"/>
    <w:rsid w:val="00B32B89"/>
    <w:rsid w:val="00B338D2"/>
    <w:rsid w:val="00B34467"/>
    <w:rsid w:val="00B37DE5"/>
    <w:rsid w:val="00B51788"/>
    <w:rsid w:val="00B53CDE"/>
    <w:rsid w:val="00B55478"/>
    <w:rsid w:val="00B61691"/>
    <w:rsid w:val="00B628AA"/>
    <w:rsid w:val="00B67DE0"/>
    <w:rsid w:val="00B73D53"/>
    <w:rsid w:val="00B800C5"/>
    <w:rsid w:val="00B80FFE"/>
    <w:rsid w:val="00B82BFD"/>
    <w:rsid w:val="00B83DA3"/>
    <w:rsid w:val="00BA74E6"/>
    <w:rsid w:val="00BB1CAB"/>
    <w:rsid w:val="00BB2B1E"/>
    <w:rsid w:val="00BB3CC9"/>
    <w:rsid w:val="00BB68BD"/>
    <w:rsid w:val="00BC0EA0"/>
    <w:rsid w:val="00BC214F"/>
    <w:rsid w:val="00BC4098"/>
    <w:rsid w:val="00BC4745"/>
    <w:rsid w:val="00BC533E"/>
    <w:rsid w:val="00BC6120"/>
    <w:rsid w:val="00BD4295"/>
    <w:rsid w:val="00BD67A4"/>
    <w:rsid w:val="00BD6D10"/>
    <w:rsid w:val="00BF4A25"/>
    <w:rsid w:val="00C0046F"/>
    <w:rsid w:val="00C1088D"/>
    <w:rsid w:val="00C1367C"/>
    <w:rsid w:val="00C13F6D"/>
    <w:rsid w:val="00C14B65"/>
    <w:rsid w:val="00C164C7"/>
    <w:rsid w:val="00C25A16"/>
    <w:rsid w:val="00C4105A"/>
    <w:rsid w:val="00C417DB"/>
    <w:rsid w:val="00C434B5"/>
    <w:rsid w:val="00C455DF"/>
    <w:rsid w:val="00C515EB"/>
    <w:rsid w:val="00C52566"/>
    <w:rsid w:val="00C54805"/>
    <w:rsid w:val="00C67187"/>
    <w:rsid w:val="00C73EA9"/>
    <w:rsid w:val="00C74960"/>
    <w:rsid w:val="00C80A49"/>
    <w:rsid w:val="00C8249F"/>
    <w:rsid w:val="00C845B1"/>
    <w:rsid w:val="00C847ED"/>
    <w:rsid w:val="00C91BBD"/>
    <w:rsid w:val="00CB08D9"/>
    <w:rsid w:val="00CB20C3"/>
    <w:rsid w:val="00CB4090"/>
    <w:rsid w:val="00CB6764"/>
    <w:rsid w:val="00CD4E94"/>
    <w:rsid w:val="00CD565D"/>
    <w:rsid w:val="00CE1CA5"/>
    <w:rsid w:val="00CE3401"/>
    <w:rsid w:val="00D04D6B"/>
    <w:rsid w:val="00D157D8"/>
    <w:rsid w:val="00D22583"/>
    <w:rsid w:val="00D3113A"/>
    <w:rsid w:val="00D314CD"/>
    <w:rsid w:val="00D42C53"/>
    <w:rsid w:val="00D52B3A"/>
    <w:rsid w:val="00D54EC7"/>
    <w:rsid w:val="00D56B23"/>
    <w:rsid w:val="00D63FB0"/>
    <w:rsid w:val="00D675C9"/>
    <w:rsid w:val="00D7174E"/>
    <w:rsid w:val="00D8013D"/>
    <w:rsid w:val="00D8156F"/>
    <w:rsid w:val="00D83CC7"/>
    <w:rsid w:val="00D86138"/>
    <w:rsid w:val="00D8773E"/>
    <w:rsid w:val="00D94BDF"/>
    <w:rsid w:val="00DB00A1"/>
    <w:rsid w:val="00DB2E13"/>
    <w:rsid w:val="00DB48F6"/>
    <w:rsid w:val="00DC0267"/>
    <w:rsid w:val="00DC06EB"/>
    <w:rsid w:val="00DC20F8"/>
    <w:rsid w:val="00DC53C9"/>
    <w:rsid w:val="00DD208B"/>
    <w:rsid w:val="00DD4881"/>
    <w:rsid w:val="00DE2246"/>
    <w:rsid w:val="00DE748B"/>
    <w:rsid w:val="00DE7EAF"/>
    <w:rsid w:val="00DF2F7B"/>
    <w:rsid w:val="00E02F2A"/>
    <w:rsid w:val="00E03224"/>
    <w:rsid w:val="00E04570"/>
    <w:rsid w:val="00E14BE3"/>
    <w:rsid w:val="00E153B3"/>
    <w:rsid w:val="00E214BE"/>
    <w:rsid w:val="00E21698"/>
    <w:rsid w:val="00E236E9"/>
    <w:rsid w:val="00E23FB7"/>
    <w:rsid w:val="00E359E0"/>
    <w:rsid w:val="00E35DE1"/>
    <w:rsid w:val="00E436D1"/>
    <w:rsid w:val="00E462DF"/>
    <w:rsid w:val="00E47001"/>
    <w:rsid w:val="00E528EF"/>
    <w:rsid w:val="00E622F0"/>
    <w:rsid w:val="00E667E1"/>
    <w:rsid w:val="00E74457"/>
    <w:rsid w:val="00E77176"/>
    <w:rsid w:val="00E8196C"/>
    <w:rsid w:val="00E825A0"/>
    <w:rsid w:val="00E85400"/>
    <w:rsid w:val="00E907AB"/>
    <w:rsid w:val="00EA1CE0"/>
    <w:rsid w:val="00EB148A"/>
    <w:rsid w:val="00EB1964"/>
    <w:rsid w:val="00EB2384"/>
    <w:rsid w:val="00EB4701"/>
    <w:rsid w:val="00EB49EF"/>
    <w:rsid w:val="00EC0D25"/>
    <w:rsid w:val="00EC2A6B"/>
    <w:rsid w:val="00EE330F"/>
    <w:rsid w:val="00EF00F9"/>
    <w:rsid w:val="00F00BB2"/>
    <w:rsid w:val="00F03DCE"/>
    <w:rsid w:val="00F10A4C"/>
    <w:rsid w:val="00F12EC9"/>
    <w:rsid w:val="00F14255"/>
    <w:rsid w:val="00F200C6"/>
    <w:rsid w:val="00F235A8"/>
    <w:rsid w:val="00F26F3F"/>
    <w:rsid w:val="00F2718A"/>
    <w:rsid w:val="00F341AC"/>
    <w:rsid w:val="00F47380"/>
    <w:rsid w:val="00F473FA"/>
    <w:rsid w:val="00F5255F"/>
    <w:rsid w:val="00F538B2"/>
    <w:rsid w:val="00F610F4"/>
    <w:rsid w:val="00F64673"/>
    <w:rsid w:val="00F76CBC"/>
    <w:rsid w:val="00F848DE"/>
    <w:rsid w:val="00F85E69"/>
    <w:rsid w:val="00F91BC6"/>
    <w:rsid w:val="00F95C4E"/>
    <w:rsid w:val="00FA044A"/>
    <w:rsid w:val="00FA2D8C"/>
    <w:rsid w:val="00FA48B6"/>
    <w:rsid w:val="00FB02F1"/>
    <w:rsid w:val="00FB7BFF"/>
    <w:rsid w:val="00FC7E28"/>
    <w:rsid w:val="00FD7D47"/>
    <w:rsid w:val="00FE5D74"/>
    <w:rsid w:val="00FE61B9"/>
    <w:rsid w:val="00FF09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E0"/>
  </w:style>
  <w:style w:type="paragraph" w:styleId="Heading1">
    <w:name w:val="heading 1"/>
    <w:basedOn w:val="Default"/>
    <w:next w:val="Normal"/>
    <w:link w:val="Heading1Char"/>
    <w:uiPriority w:val="9"/>
    <w:qFormat/>
    <w:rsid w:val="004B7C5D"/>
    <w:pPr>
      <w:outlineLvl w:val="0"/>
    </w:pPr>
    <w:rPr>
      <w:rFonts w:ascii="Times New Roman" w:hAnsi="Times New Roman" w:cs="Times New Roman"/>
      <w:b/>
      <w:color w:val="auto"/>
      <w:lang w:val="en-AU"/>
    </w:rPr>
  </w:style>
  <w:style w:type="paragraph" w:styleId="Heading2">
    <w:name w:val="heading 2"/>
    <w:basedOn w:val="Normal"/>
    <w:next w:val="Normal"/>
    <w:link w:val="Heading2Char"/>
    <w:uiPriority w:val="9"/>
    <w:unhideWhenUsed/>
    <w:qFormat/>
    <w:rsid w:val="004B7C5D"/>
    <w:pPr>
      <w:spacing w:after="0" w:line="240" w:lineRule="auto"/>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2D0AC2"/>
    <w:pPr>
      <w:spacing w:after="0" w:line="240" w:lineRule="auto"/>
      <w:jc w:val="both"/>
      <w:outlineLvl w:val="2"/>
    </w:pPr>
    <w:rPr>
      <w:rFonts w:ascii="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4E6"/>
    <w:pPr>
      <w:ind w:left="720"/>
      <w:contextualSpacing/>
    </w:pPr>
  </w:style>
  <w:style w:type="paragraph" w:styleId="BalloonText">
    <w:name w:val="Balloon Text"/>
    <w:basedOn w:val="Normal"/>
    <w:link w:val="BalloonTextChar"/>
    <w:uiPriority w:val="99"/>
    <w:semiHidden/>
    <w:unhideWhenUsed/>
    <w:rsid w:val="0026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15D"/>
    <w:rPr>
      <w:rFonts w:ascii="Tahoma" w:hAnsi="Tahoma" w:cs="Tahoma"/>
      <w:sz w:val="16"/>
      <w:szCs w:val="16"/>
    </w:rPr>
  </w:style>
  <w:style w:type="table" w:styleId="TableGrid">
    <w:name w:val="Table Grid"/>
    <w:basedOn w:val="TableNormal"/>
    <w:uiPriority w:val="59"/>
    <w:rsid w:val="00667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2A4E"/>
    <w:pPr>
      <w:autoSpaceDE w:val="0"/>
      <w:autoSpaceDN w:val="0"/>
      <w:adjustRightInd w:val="0"/>
      <w:spacing w:after="0" w:line="240" w:lineRule="auto"/>
    </w:pPr>
    <w:rPr>
      <w:rFonts w:ascii="Calibri" w:hAnsi="Calibri" w:cs="Calibri"/>
      <w:color w:val="000000"/>
      <w:sz w:val="24"/>
      <w:szCs w:val="24"/>
    </w:rPr>
  </w:style>
  <w:style w:type="paragraph" w:customStyle="1" w:styleId="TRBodyTextChar">
    <w:name w:val="_TRBody Text Char"/>
    <w:link w:val="TRBodyTextCharChar"/>
    <w:rsid w:val="00047D1B"/>
    <w:pPr>
      <w:spacing w:after="0" w:line="300" w:lineRule="atLeast"/>
      <w:jc w:val="both"/>
    </w:pPr>
    <w:rPr>
      <w:rFonts w:ascii="Times New Roman" w:eastAsia="Times New Roman" w:hAnsi="Times New Roman" w:cs="Times New Roman"/>
      <w:sz w:val="24"/>
      <w:szCs w:val="20"/>
      <w:lang w:eastAsia="en-AU"/>
    </w:rPr>
  </w:style>
  <w:style w:type="character" w:customStyle="1" w:styleId="TRBodyTextCharChar">
    <w:name w:val="_TRBody Text Char Char"/>
    <w:basedOn w:val="DefaultParagraphFont"/>
    <w:link w:val="TRBodyTextChar"/>
    <w:rsid w:val="00047D1B"/>
    <w:rPr>
      <w:rFonts w:ascii="Times New Roman" w:eastAsia="Times New Roman" w:hAnsi="Times New Roman" w:cs="Times New Roman"/>
      <w:sz w:val="24"/>
      <w:szCs w:val="20"/>
      <w:lang w:eastAsia="en-AU"/>
    </w:rPr>
  </w:style>
  <w:style w:type="paragraph" w:customStyle="1" w:styleId="BodyText1">
    <w:name w:val="Body Text1"/>
    <w:rsid w:val="00817FB4"/>
    <w:pPr>
      <w:spacing w:after="0" w:line="240" w:lineRule="auto"/>
    </w:pPr>
    <w:rPr>
      <w:rFonts w:ascii="Verdana" w:eastAsia="Times New Roman" w:hAnsi="Verdana" w:cs="Arial"/>
      <w:sz w:val="20"/>
      <w:szCs w:val="20"/>
      <w:lang w:eastAsia="en-AU"/>
    </w:rPr>
  </w:style>
  <w:style w:type="paragraph" w:styleId="FootnoteText">
    <w:name w:val="footnote text"/>
    <w:basedOn w:val="Normal"/>
    <w:link w:val="FootnoteTextChar"/>
    <w:uiPriority w:val="99"/>
    <w:semiHidden/>
    <w:unhideWhenUsed/>
    <w:rsid w:val="00BB6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8BD"/>
    <w:rPr>
      <w:sz w:val="20"/>
      <w:szCs w:val="20"/>
    </w:rPr>
  </w:style>
  <w:style w:type="character" w:styleId="FootnoteReference">
    <w:name w:val="footnote reference"/>
    <w:basedOn w:val="DefaultParagraphFont"/>
    <w:uiPriority w:val="99"/>
    <w:semiHidden/>
    <w:unhideWhenUsed/>
    <w:rsid w:val="00BB68BD"/>
    <w:rPr>
      <w:vertAlign w:val="superscript"/>
    </w:rPr>
  </w:style>
  <w:style w:type="character" w:styleId="Hyperlink">
    <w:name w:val="Hyperlink"/>
    <w:basedOn w:val="DefaultParagraphFont"/>
    <w:uiPriority w:val="99"/>
    <w:rsid w:val="00BB68BD"/>
    <w:rPr>
      <w:color w:val="auto"/>
    </w:rPr>
  </w:style>
  <w:style w:type="paragraph" w:styleId="Header">
    <w:name w:val="header"/>
    <w:basedOn w:val="Normal"/>
    <w:link w:val="HeaderChar"/>
    <w:uiPriority w:val="99"/>
    <w:unhideWhenUsed/>
    <w:rsid w:val="00F85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E69"/>
  </w:style>
  <w:style w:type="paragraph" w:styleId="Footer">
    <w:name w:val="footer"/>
    <w:basedOn w:val="Normal"/>
    <w:link w:val="FooterChar"/>
    <w:uiPriority w:val="99"/>
    <w:unhideWhenUsed/>
    <w:rsid w:val="00413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041"/>
  </w:style>
  <w:style w:type="paragraph" w:customStyle="1" w:styleId="Bullet-list">
    <w:name w:val="Bullet-list"/>
    <w:qFormat/>
    <w:rsid w:val="006B5E12"/>
    <w:pPr>
      <w:spacing w:after="180" w:line="280" w:lineRule="exact"/>
      <w:ind w:left="284" w:hanging="284"/>
    </w:pPr>
    <w:rPr>
      <w:rFonts w:ascii="Arial" w:eastAsia="Times New Roman" w:hAnsi="Arial" w:cs="Times New Roman"/>
      <w:szCs w:val="20"/>
      <w:lang w:val="en-AU"/>
    </w:rPr>
  </w:style>
  <w:style w:type="character" w:styleId="CommentReference">
    <w:name w:val="annotation reference"/>
    <w:basedOn w:val="DefaultParagraphFont"/>
    <w:uiPriority w:val="99"/>
    <w:semiHidden/>
    <w:unhideWhenUsed/>
    <w:rsid w:val="0083184B"/>
    <w:rPr>
      <w:sz w:val="16"/>
      <w:szCs w:val="16"/>
    </w:rPr>
  </w:style>
  <w:style w:type="paragraph" w:styleId="CommentText">
    <w:name w:val="annotation text"/>
    <w:basedOn w:val="Normal"/>
    <w:link w:val="CommentTextChar"/>
    <w:uiPriority w:val="99"/>
    <w:semiHidden/>
    <w:unhideWhenUsed/>
    <w:rsid w:val="0083184B"/>
    <w:pPr>
      <w:spacing w:line="240" w:lineRule="auto"/>
    </w:pPr>
    <w:rPr>
      <w:sz w:val="20"/>
      <w:szCs w:val="20"/>
    </w:rPr>
  </w:style>
  <w:style w:type="character" w:customStyle="1" w:styleId="CommentTextChar">
    <w:name w:val="Comment Text Char"/>
    <w:basedOn w:val="DefaultParagraphFont"/>
    <w:link w:val="CommentText"/>
    <w:uiPriority w:val="99"/>
    <w:semiHidden/>
    <w:rsid w:val="0083184B"/>
    <w:rPr>
      <w:sz w:val="20"/>
      <w:szCs w:val="20"/>
    </w:rPr>
  </w:style>
  <w:style w:type="paragraph" w:styleId="CommentSubject">
    <w:name w:val="annotation subject"/>
    <w:basedOn w:val="CommentText"/>
    <w:next w:val="CommentText"/>
    <w:link w:val="CommentSubjectChar"/>
    <w:uiPriority w:val="99"/>
    <w:semiHidden/>
    <w:unhideWhenUsed/>
    <w:rsid w:val="0083184B"/>
    <w:rPr>
      <w:b/>
      <w:bCs/>
    </w:rPr>
  </w:style>
  <w:style w:type="character" w:customStyle="1" w:styleId="CommentSubjectChar">
    <w:name w:val="Comment Subject Char"/>
    <w:basedOn w:val="CommentTextChar"/>
    <w:link w:val="CommentSubject"/>
    <w:uiPriority w:val="99"/>
    <w:semiHidden/>
    <w:rsid w:val="0083184B"/>
    <w:rPr>
      <w:b/>
      <w:bCs/>
      <w:sz w:val="20"/>
      <w:szCs w:val="20"/>
    </w:rPr>
  </w:style>
  <w:style w:type="table" w:customStyle="1" w:styleId="TableGrid1">
    <w:name w:val="Table Grid1"/>
    <w:basedOn w:val="TableNormal"/>
    <w:next w:val="TableGrid"/>
    <w:uiPriority w:val="59"/>
    <w:rsid w:val="00D31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F0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35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17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B7C5D"/>
    <w:rPr>
      <w:rFonts w:ascii="Times New Roman" w:hAnsi="Times New Roman" w:cs="Times New Roman"/>
      <w:b/>
      <w:sz w:val="24"/>
      <w:szCs w:val="24"/>
      <w:lang w:val="en-AU"/>
    </w:rPr>
  </w:style>
  <w:style w:type="character" w:customStyle="1" w:styleId="Heading2Char">
    <w:name w:val="Heading 2 Char"/>
    <w:basedOn w:val="DefaultParagraphFont"/>
    <w:link w:val="Heading2"/>
    <w:uiPriority w:val="9"/>
    <w:rsid w:val="004B7C5D"/>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D0AC2"/>
    <w:rPr>
      <w:rFonts w:ascii="Times New Roman" w:hAnsi="Times New Roman" w:cs="Times New Roman"/>
      <w:b/>
      <w:i/>
      <w:sz w:val="24"/>
      <w:szCs w:val="24"/>
    </w:rPr>
  </w:style>
  <w:style w:type="paragraph" w:styleId="TOCHeading">
    <w:name w:val="TOC Heading"/>
    <w:basedOn w:val="Heading1"/>
    <w:next w:val="Normal"/>
    <w:uiPriority w:val="39"/>
    <w:semiHidden/>
    <w:unhideWhenUsed/>
    <w:qFormat/>
    <w:rsid w:val="00604EE6"/>
    <w:pPr>
      <w:keepNext/>
      <w:keepLines/>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04EE6"/>
    <w:pPr>
      <w:spacing w:after="100"/>
    </w:pPr>
  </w:style>
  <w:style w:type="paragraph" w:styleId="TOC2">
    <w:name w:val="toc 2"/>
    <w:basedOn w:val="Normal"/>
    <w:next w:val="Normal"/>
    <w:autoRedefine/>
    <w:uiPriority w:val="39"/>
    <w:unhideWhenUsed/>
    <w:rsid w:val="00604EE6"/>
    <w:pPr>
      <w:spacing w:after="100"/>
      <w:ind w:left="220"/>
    </w:pPr>
  </w:style>
  <w:style w:type="paragraph" w:styleId="TOC3">
    <w:name w:val="toc 3"/>
    <w:basedOn w:val="Normal"/>
    <w:next w:val="Normal"/>
    <w:autoRedefine/>
    <w:uiPriority w:val="39"/>
    <w:unhideWhenUsed/>
    <w:rsid w:val="00604EE6"/>
    <w:pPr>
      <w:spacing w:after="100"/>
      <w:ind w:left="440"/>
    </w:pPr>
  </w:style>
  <w:style w:type="paragraph" w:styleId="Revision">
    <w:name w:val="Revision"/>
    <w:hidden/>
    <w:uiPriority w:val="99"/>
    <w:semiHidden/>
    <w:rsid w:val="00062EA1"/>
    <w:pPr>
      <w:spacing w:after="0" w:line="240" w:lineRule="auto"/>
    </w:pPr>
  </w:style>
  <w:style w:type="paragraph" w:customStyle="1" w:styleId="Text">
    <w:name w:val="Text"/>
    <w:basedOn w:val="Normal"/>
    <w:link w:val="TextChar"/>
    <w:rsid w:val="00A2574D"/>
    <w:pPr>
      <w:spacing w:before="120" w:after="120" w:line="300" w:lineRule="exact"/>
      <w:jc w:val="both"/>
    </w:pPr>
    <w:rPr>
      <w:rFonts w:ascii="Arial" w:eastAsia="Times New Roman" w:hAnsi="Arial" w:cs="Times New Roman"/>
      <w:szCs w:val="20"/>
      <w:lang w:val="en-GB"/>
    </w:rPr>
  </w:style>
  <w:style w:type="character" w:customStyle="1" w:styleId="TextChar">
    <w:name w:val="Text Char"/>
    <w:basedOn w:val="DefaultParagraphFont"/>
    <w:link w:val="Text"/>
    <w:rsid w:val="00A2574D"/>
    <w:rPr>
      <w:rFonts w:ascii="Arial" w:eastAsia="Times New Roman" w:hAnsi="Arial"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E0"/>
  </w:style>
  <w:style w:type="paragraph" w:styleId="Heading1">
    <w:name w:val="heading 1"/>
    <w:basedOn w:val="Default"/>
    <w:next w:val="Normal"/>
    <w:link w:val="Heading1Char"/>
    <w:uiPriority w:val="9"/>
    <w:qFormat/>
    <w:rsid w:val="004B7C5D"/>
    <w:pPr>
      <w:outlineLvl w:val="0"/>
    </w:pPr>
    <w:rPr>
      <w:rFonts w:ascii="Times New Roman" w:hAnsi="Times New Roman" w:cs="Times New Roman"/>
      <w:b/>
      <w:color w:val="auto"/>
      <w:lang w:val="en-AU"/>
    </w:rPr>
  </w:style>
  <w:style w:type="paragraph" w:styleId="Heading2">
    <w:name w:val="heading 2"/>
    <w:basedOn w:val="Normal"/>
    <w:next w:val="Normal"/>
    <w:link w:val="Heading2Char"/>
    <w:uiPriority w:val="9"/>
    <w:unhideWhenUsed/>
    <w:qFormat/>
    <w:rsid w:val="004B7C5D"/>
    <w:pPr>
      <w:spacing w:after="0" w:line="240" w:lineRule="auto"/>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2D0AC2"/>
    <w:pPr>
      <w:spacing w:after="0" w:line="240" w:lineRule="auto"/>
      <w:jc w:val="both"/>
      <w:outlineLvl w:val="2"/>
    </w:pPr>
    <w:rPr>
      <w:rFonts w:ascii="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4E6"/>
    <w:pPr>
      <w:ind w:left="720"/>
      <w:contextualSpacing/>
    </w:pPr>
  </w:style>
  <w:style w:type="paragraph" w:styleId="BalloonText">
    <w:name w:val="Balloon Text"/>
    <w:basedOn w:val="Normal"/>
    <w:link w:val="BalloonTextChar"/>
    <w:uiPriority w:val="99"/>
    <w:semiHidden/>
    <w:unhideWhenUsed/>
    <w:rsid w:val="0026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15D"/>
    <w:rPr>
      <w:rFonts w:ascii="Tahoma" w:hAnsi="Tahoma" w:cs="Tahoma"/>
      <w:sz w:val="16"/>
      <w:szCs w:val="16"/>
    </w:rPr>
  </w:style>
  <w:style w:type="table" w:styleId="TableGrid">
    <w:name w:val="Table Grid"/>
    <w:basedOn w:val="TableNormal"/>
    <w:uiPriority w:val="59"/>
    <w:rsid w:val="00667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2A4E"/>
    <w:pPr>
      <w:autoSpaceDE w:val="0"/>
      <w:autoSpaceDN w:val="0"/>
      <w:adjustRightInd w:val="0"/>
      <w:spacing w:after="0" w:line="240" w:lineRule="auto"/>
    </w:pPr>
    <w:rPr>
      <w:rFonts w:ascii="Calibri" w:hAnsi="Calibri" w:cs="Calibri"/>
      <w:color w:val="000000"/>
      <w:sz w:val="24"/>
      <w:szCs w:val="24"/>
    </w:rPr>
  </w:style>
  <w:style w:type="paragraph" w:customStyle="1" w:styleId="TRBodyTextChar">
    <w:name w:val="_TRBody Text Char"/>
    <w:link w:val="TRBodyTextCharChar"/>
    <w:rsid w:val="00047D1B"/>
    <w:pPr>
      <w:spacing w:after="0" w:line="300" w:lineRule="atLeast"/>
      <w:jc w:val="both"/>
    </w:pPr>
    <w:rPr>
      <w:rFonts w:ascii="Times New Roman" w:eastAsia="Times New Roman" w:hAnsi="Times New Roman" w:cs="Times New Roman"/>
      <w:sz w:val="24"/>
      <w:szCs w:val="20"/>
      <w:lang w:eastAsia="en-AU"/>
    </w:rPr>
  </w:style>
  <w:style w:type="character" w:customStyle="1" w:styleId="TRBodyTextCharChar">
    <w:name w:val="_TRBody Text Char Char"/>
    <w:basedOn w:val="DefaultParagraphFont"/>
    <w:link w:val="TRBodyTextChar"/>
    <w:rsid w:val="00047D1B"/>
    <w:rPr>
      <w:rFonts w:ascii="Times New Roman" w:eastAsia="Times New Roman" w:hAnsi="Times New Roman" w:cs="Times New Roman"/>
      <w:sz w:val="24"/>
      <w:szCs w:val="20"/>
      <w:lang w:eastAsia="en-AU"/>
    </w:rPr>
  </w:style>
  <w:style w:type="paragraph" w:customStyle="1" w:styleId="BodyText1">
    <w:name w:val="Body Text1"/>
    <w:rsid w:val="00817FB4"/>
    <w:pPr>
      <w:spacing w:after="0" w:line="240" w:lineRule="auto"/>
    </w:pPr>
    <w:rPr>
      <w:rFonts w:ascii="Verdana" w:eastAsia="Times New Roman" w:hAnsi="Verdana" w:cs="Arial"/>
      <w:sz w:val="20"/>
      <w:szCs w:val="20"/>
      <w:lang w:eastAsia="en-AU"/>
    </w:rPr>
  </w:style>
  <w:style w:type="paragraph" w:styleId="FootnoteText">
    <w:name w:val="footnote text"/>
    <w:basedOn w:val="Normal"/>
    <w:link w:val="FootnoteTextChar"/>
    <w:uiPriority w:val="99"/>
    <w:semiHidden/>
    <w:unhideWhenUsed/>
    <w:rsid w:val="00BB6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8BD"/>
    <w:rPr>
      <w:sz w:val="20"/>
      <w:szCs w:val="20"/>
    </w:rPr>
  </w:style>
  <w:style w:type="character" w:styleId="FootnoteReference">
    <w:name w:val="footnote reference"/>
    <w:basedOn w:val="DefaultParagraphFont"/>
    <w:uiPriority w:val="99"/>
    <w:semiHidden/>
    <w:unhideWhenUsed/>
    <w:rsid w:val="00BB68BD"/>
    <w:rPr>
      <w:vertAlign w:val="superscript"/>
    </w:rPr>
  </w:style>
  <w:style w:type="character" w:styleId="Hyperlink">
    <w:name w:val="Hyperlink"/>
    <w:basedOn w:val="DefaultParagraphFont"/>
    <w:uiPriority w:val="99"/>
    <w:rsid w:val="00BB68BD"/>
    <w:rPr>
      <w:color w:val="auto"/>
    </w:rPr>
  </w:style>
  <w:style w:type="paragraph" w:styleId="Header">
    <w:name w:val="header"/>
    <w:basedOn w:val="Normal"/>
    <w:link w:val="HeaderChar"/>
    <w:uiPriority w:val="99"/>
    <w:unhideWhenUsed/>
    <w:rsid w:val="00F85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E69"/>
  </w:style>
  <w:style w:type="paragraph" w:styleId="Footer">
    <w:name w:val="footer"/>
    <w:basedOn w:val="Normal"/>
    <w:link w:val="FooterChar"/>
    <w:uiPriority w:val="99"/>
    <w:unhideWhenUsed/>
    <w:rsid w:val="00413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041"/>
  </w:style>
  <w:style w:type="paragraph" w:customStyle="1" w:styleId="Bullet-list">
    <w:name w:val="Bullet-list"/>
    <w:qFormat/>
    <w:rsid w:val="006B5E12"/>
    <w:pPr>
      <w:spacing w:after="180" w:line="280" w:lineRule="exact"/>
      <w:ind w:left="284" w:hanging="284"/>
    </w:pPr>
    <w:rPr>
      <w:rFonts w:ascii="Arial" w:eastAsia="Times New Roman" w:hAnsi="Arial" w:cs="Times New Roman"/>
      <w:szCs w:val="20"/>
      <w:lang w:val="en-AU"/>
    </w:rPr>
  </w:style>
  <w:style w:type="character" w:styleId="CommentReference">
    <w:name w:val="annotation reference"/>
    <w:basedOn w:val="DefaultParagraphFont"/>
    <w:uiPriority w:val="99"/>
    <w:semiHidden/>
    <w:unhideWhenUsed/>
    <w:rsid w:val="0083184B"/>
    <w:rPr>
      <w:sz w:val="16"/>
      <w:szCs w:val="16"/>
    </w:rPr>
  </w:style>
  <w:style w:type="paragraph" w:styleId="CommentText">
    <w:name w:val="annotation text"/>
    <w:basedOn w:val="Normal"/>
    <w:link w:val="CommentTextChar"/>
    <w:uiPriority w:val="99"/>
    <w:semiHidden/>
    <w:unhideWhenUsed/>
    <w:rsid w:val="0083184B"/>
    <w:pPr>
      <w:spacing w:line="240" w:lineRule="auto"/>
    </w:pPr>
    <w:rPr>
      <w:sz w:val="20"/>
      <w:szCs w:val="20"/>
    </w:rPr>
  </w:style>
  <w:style w:type="character" w:customStyle="1" w:styleId="CommentTextChar">
    <w:name w:val="Comment Text Char"/>
    <w:basedOn w:val="DefaultParagraphFont"/>
    <w:link w:val="CommentText"/>
    <w:uiPriority w:val="99"/>
    <w:semiHidden/>
    <w:rsid w:val="0083184B"/>
    <w:rPr>
      <w:sz w:val="20"/>
      <w:szCs w:val="20"/>
    </w:rPr>
  </w:style>
  <w:style w:type="paragraph" w:styleId="CommentSubject">
    <w:name w:val="annotation subject"/>
    <w:basedOn w:val="CommentText"/>
    <w:next w:val="CommentText"/>
    <w:link w:val="CommentSubjectChar"/>
    <w:uiPriority w:val="99"/>
    <w:semiHidden/>
    <w:unhideWhenUsed/>
    <w:rsid w:val="0083184B"/>
    <w:rPr>
      <w:b/>
      <w:bCs/>
    </w:rPr>
  </w:style>
  <w:style w:type="character" w:customStyle="1" w:styleId="CommentSubjectChar">
    <w:name w:val="Comment Subject Char"/>
    <w:basedOn w:val="CommentTextChar"/>
    <w:link w:val="CommentSubject"/>
    <w:uiPriority w:val="99"/>
    <w:semiHidden/>
    <w:rsid w:val="0083184B"/>
    <w:rPr>
      <w:b/>
      <w:bCs/>
      <w:sz w:val="20"/>
      <w:szCs w:val="20"/>
    </w:rPr>
  </w:style>
  <w:style w:type="table" w:customStyle="1" w:styleId="TableGrid1">
    <w:name w:val="Table Grid1"/>
    <w:basedOn w:val="TableNormal"/>
    <w:next w:val="TableGrid"/>
    <w:uiPriority w:val="59"/>
    <w:rsid w:val="00D31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F0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35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17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B7C5D"/>
    <w:rPr>
      <w:rFonts w:ascii="Times New Roman" w:hAnsi="Times New Roman" w:cs="Times New Roman"/>
      <w:b/>
      <w:sz w:val="24"/>
      <w:szCs w:val="24"/>
      <w:lang w:val="en-AU"/>
    </w:rPr>
  </w:style>
  <w:style w:type="character" w:customStyle="1" w:styleId="Heading2Char">
    <w:name w:val="Heading 2 Char"/>
    <w:basedOn w:val="DefaultParagraphFont"/>
    <w:link w:val="Heading2"/>
    <w:uiPriority w:val="9"/>
    <w:rsid w:val="004B7C5D"/>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D0AC2"/>
    <w:rPr>
      <w:rFonts w:ascii="Times New Roman" w:hAnsi="Times New Roman" w:cs="Times New Roman"/>
      <w:b/>
      <w:i/>
      <w:sz w:val="24"/>
      <w:szCs w:val="24"/>
    </w:rPr>
  </w:style>
  <w:style w:type="paragraph" w:styleId="TOCHeading">
    <w:name w:val="TOC Heading"/>
    <w:basedOn w:val="Heading1"/>
    <w:next w:val="Normal"/>
    <w:uiPriority w:val="39"/>
    <w:semiHidden/>
    <w:unhideWhenUsed/>
    <w:qFormat/>
    <w:rsid w:val="00604EE6"/>
    <w:pPr>
      <w:keepNext/>
      <w:keepLines/>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04EE6"/>
    <w:pPr>
      <w:spacing w:after="100"/>
    </w:pPr>
  </w:style>
  <w:style w:type="paragraph" w:styleId="TOC2">
    <w:name w:val="toc 2"/>
    <w:basedOn w:val="Normal"/>
    <w:next w:val="Normal"/>
    <w:autoRedefine/>
    <w:uiPriority w:val="39"/>
    <w:unhideWhenUsed/>
    <w:rsid w:val="00604EE6"/>
    <w:pPr>
      <w:spacing w:after="100"/>
      <w:ind w:left="220"/>
    </w:pPr>
  </w:style>
  <w:style w:type="paragraph" w:styleId="TOC3">
    <w:name w:val="toc 3"/>
    <w:basedOn w:val="Normal"/>
    <w:next w:val="Normal"/>
    <w:autoRedefine/>
    <w:uiPriority w:val="39"/>
    <w:unhideWhenUsed/>
    <w:rsid w:val="00604EE6"/>
    <w:pPr>
      <w:spacing w:after="100"/>
      <w:ind w:left="440"/>
    </w:pPr>
  </w:style>
  <w:style w:type="paragraph" w:styleId="Revision">
    <w:name w:val="Revision"/>
    <w:hidden/>
    <w:uiPriority w:val="99"/>
    <w:semiHidden/>
    <w:rsid w:val="00062EA1"/>
    <w:pPr>
      <w:spacing w:after="0" w:line="240" w:lineRule="auto"/>
    </w:pPr>
  </w:style>
  <w:style w:type="paragraph" w:customStyle="1" w:styleId="Text">
    <w:name w:val="Text"/>
    <w:basedOn w:val="Normal"/>
    <w:link w:val="TextChar"/>
    <w:rsid w:val="00A2574D"/>
    <w:pPr>
      <w:spacing w:before="120" w:after="120" w:line="300" w:lineRule="exact"/>
      <w:jc w:val="both"/>
    </w:pPr>
    <w:rPr>
      <w:rFonts w:ascii="Arial" w:eastAsia="Times New Roman" w:hAnsi="Arial" w:cs="Times New Roman"/>
      <w:szCs w:val="20"/>
      <w:lang w:val="en-GB"/>
    </w:rPr>
  </w:style>
  <w:style w:type="character" w:customStyle="1" w:styleId="TextChar">
    <w:name w:val="Text Char"/>
    <w:basedOn w:val="DefaultParagraphFont"/>
    <w:link w:val="Text"/>
    <w:rsid w:val="00A2574D"/>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83142">
      <w:bodyDiv w:val="1"/>
      <w:marLeft w:val="0"/>
      <w:marRight w:val="0"/>
      <w:marTop w:val="0"/>
      <w:marBottom w:val="0"/>
      <w:divBdr>
        <w:top w:val="none" w:sz="0" w:space="0" w:color="auto"/>
        <w:left w:val="none" w:sz="0" w:space="0" w:color="auto"/>
        <w:bottom w:val="none" w:sz="0" w:space="0" w:color="auto"/>
        <w:right w:val="none" w:sz="0" w:space="0" w:color="auto"/>
      </w:divBdr>
    </w:div>
    <w:div w:id="802845978">
      <w:bodyDiv w:val="1"/>
      <w:marLeft w:val="0"/>
      <w:marRight w:val="0"/>
      <w:marTop w:val="0"/>
      <w:marBottom w:val="0"/>
      <w:divBdr>
        <w:top w:val="none" w:sz="0" w:space="0" w:color="auto"/>
        <w:left w:val="none" w:sz="0" w:space="0" w:color="auto"/>
        <w:bottom w:val="none" w:sz="0" w:space="0" w:color="auto"/>
        <w:right w:val="none" w:sz="0" w:space="0" w:color="auto"/>
      </w:divBdr>
    </w:div>
    <w:div w:id="922564523">
      <w:bodyDiv w:val="1"/>
      <w:marLeft w:val="0"/>
      <w:marRight w:val="0"/>
      <w:marTop w:val="0"/>
      <w:marBottom w:val="0"/>
      <w:divBdr>
        <w:top w:val="none" w:sz="0" w:space="0" w:color="auto"/>
        <w:left w:val="none" w:sz="0" w:space="0" w:color="auto"/>
        <w:bottom w:val="none" w:sz="0" w:space="0" w:color="auto"/>
        <w:right w:val="none" w:sz="0" w:space="0" w:color="auto"/>
      </w:divBdr>
    </w:div>
    <w:div w:id="1022828330">
      <w:bodyDiv w:val="1"/>
      <w:marLeft w:val="0"/>
      <w:marRight w:val="0"/>
      <w:marTop w:val="0"/>
      <w:marBottom w:val="0"/>
      <w:divBdr>
        <w:top w:val="none" w:sz="0" w:space="0" w:color="auto"/>
        <w:left w:val="none" w:sz="0" w:space="0" w:color="auto"/>
        <w:bottom w:val="none" w:sz="0" w:space="0" w:color="auto"/>
        <w:right w:val="none" w:sz="0" w:space="0" w:color="auto"/>
      </w:divBdr>
    </w:div>
    <w:div w:id="1041788956">
      <w:bodyDiv w:val="1"/>
      <w:marLeft w:val="0"/>
      <w:marRight w:val="0"/>
      <w:marTop w:val="0"/>
      <w:marBottom w:val="0"/>
      <w:divBdr>
        <w:top w:val="none" w:sz="0" w:space="0" w:color="auto"/>
        <w:left w:val="none" w:sz="0" w:space="0" w:color="auto"/>
        <w:bottom w:val="none" w:sz="0" w:space="0" w:color="auto"/>
        <w:right w:val="none" w:sz="0" w:space="0" w:color="auto"/>
      </w:divBdr>
    </w:div>
    <w:div w:id="1396389098">
      <w:bodyDiv w:val="1"/>
      <w:marLeft w:val="0"/>
      <w:marRight w:val="0"/>
      <w:marTop w:val="0"/>
      <w:marBottom w:val="0"/>
      <w:divBdr>
        <w:top w:val="none" w:sz="0" w:space="0" w:color="auto"/>
        <w:left w:val="none" w:sz="0" w:space="0" w:color="auto"/>
        <w:bottom w:val="none" w:sz="0" w:space="0" w:color="auto"/>
        <w:right w:val="none" w:sz="0" w:space="0" w:color="auto"/>
      </w:divBdr>
    </w:div>
    <w:div w:id="1993026459">
      <w:bodyDiv w:val="1"/>
      <w:marLeft w:val="0"/>
      <w:marRight w:val="0"/>
      <w:marTop w:val="0"/>
      <w:marBottom w:val="0"/>
      <w:divBdr>
        <w:top w:val="none" w:sz="0" w:space="0" w:color="auto"/>
        <w:left w:val="none" w:sz="0" w:space="0" w:color="auto"/>
        <w:bottom w:val="none" w:sz="0" w:space="0" w:color="auto"/>
        <w:right w:val="none" w:sz="0" w:space="0" w:color="auto"/>
      </w:divBdr>
    </w:div>
    <w:div w:id="20216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reativecommons.org/licenses/by/3.0/nz/deed.en" TargetMode="External"/><Relationship Id="rId1" Type="http://schemas.openxmlformats.org/officeDocument/2006/relationships/hyperlink" Target="http://www.stat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A2D9-4D02-436E-9085-CF50A546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27699</Words>
  <Characters>148745</Characters>
  <Application>Microsoft Office Word</Application>
  <DocSecurity>0</DocSecurity>
  <Lines>4798</Lines>
  <Paragraphs>1729</Paragraphs>
  <ScaleCrop>false</ScaleCrop>
  <HeadingPairs>
    <vt:vector size="2" baseType="variant">
      <vt:variant>
        <vt:lpstr>Title</vt:lpstr>
      </vt:variant>
      <vt:variant>
        <vt:i4>1</vt:i4>
      </vt:variant>
    </vt:vector>
  </HeadingPairs>
  <TitlesOfParts>
    <vt:vector size="1" baseType="lpstr">
      <vt:lpstr>Regulatory impact statement - Proposed changes to business tax (February 2016)</vt:lpstr>
    </vt:vector>
  </TitlesOfParts>
  <Company>Inland Revenue</Company>
  <LinksUpToDate>false</LinksUpToDate>
  <CharactersWithSpaces>174715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Proposed changes to business tax (February 2016)</dc:title>
  <dc:creator>Policy and Strategy</dc:creator>
  <dc:description>Published August 2016.</dc:description>
  <cp:lastModifiedBy>David Nind</cp:lastModifiedBy>
  <cp:revision>2</cp:revision>
  <dcterms:created xsi:type="dcterms:W3CDTF">2016-08-07T05:34:00Z</dcterms:created>
  <dcterms:modified xsi:type="dcterms:W3CDTF">2016-08-07T05:35:00Z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