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C" w:rsidRPr="00A57E40" w:rsidRDefault="007C737B" w:rsidP="007B612D">
      <w:pPr>
        <w:pStyle w:val="ListParagraph"/>
        <w:ind w:left="0" w:right="170"/>
        <w:contextualSpacing w:val="0"/>
        <w:jc w:val="center"/>
        <w:rPr>
          <w:rFonts w:ascii="Times New Roman" w:hAnsi="Times New Roman"/>
          <w:b/>
          <w:sz w:val="32"/>
          <w:szCs w:val="24"/>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GoBack"/>
      <w:bookmarkEnd w:id="0"/>
      <w:bookmarkEnd w:id="6"/>
      <w:r w:rsidRPr="00A57E40">
        <w:rPr>
          <w:rFonts w:ascii="Times New Roman" w:hAnsi="Times New Roman"/>
          <w:b/>
          <w:sz w:val="32"/>
          <w:szCs w:val="24"/>
        </w:rPr>
        <w:t>Regulatory Impact Statement</w:t>
      </w:r>
      <w:bookmarkEnd w:id="1"/>
      <w:bookmarkEnd w:id="2"/>
      <w:bookmarkEnd w:id="3"/>
      <w:bookmarkEnd w:id="4"/>
      <w:bookmarkEnd w:id="5"/>
    </w:p>
    <w:p w:rsidR="007B612D" w:rsidRPr="00A57E40" w:rsidRDefault="007B612D" w:rsidP="007B612D">
      <w:pPr>
        <w:pStyle w:val="ListParagraph"/>
        <w:ind w:left="0" w:right="170"/>
        <w:contextualSpacing w:val="0"/>
        <w:rPr>
          <w:rFonts w:ascii="Times New Roman" w:hAnsi="Times New Roman"/>
          <w:sz w:val="24"/>
          <w:szCs w:val="24"/>
        </w:rPr>
      </w:pPr>
    </w:p>
    <w:p w:rsidR="0027520A" w:rsidRPr="00A57E40" w:rsidRDefault="0027520A" w:rsidP="007B612D">
      <w:pPr>
        <w:pStyle w:val="ListParagraph"/>
        <w:ind w:left="0" w:right="170"/>
        <w:contextualSpacing w:val="0"/>
        <w:rPr>
          <w:rFonts w:ascii="Times New Roman" w:hAnsi="Times New Roman"/>
          <w:sz w:val="24"/>
          <w:szCs w:val="24"/>
        </w:rPr>
      </w:pPr>
    </w:p>
    <w:p w:rsidR="000545DC" w:rsidRPr="00A57E40" w:rsidRDefault="00BD2CC5" w:rsidP="007B612D">
      <w:pPr>
        <w:pStyle w:val="ListParagraph"/>
        <w:ind w:left="0" w:right="170"/>
        <w:contextualSpacing w:val="0"/>
        <w:rPr>
          <w:rFonts w:ascii="Times New Roman" w:hAnsi="Times New Roman"/>
          <w:b/>
          <w:sz w:val="24"/>
          <w:szCs w:val="24"/>
        </w:rPr>
      </w:pPr>
      <w:r w:rsidRPr="00A57E40">
        <w:rPr>
          <w:rFonts w:ascii="Times New Roman" w:hAnsi="Times New Roman"/>
          <w:b/>
          <w:sz w:val="24"/>
          <w:szCs w:val="24"/>
        </w:rPr>
        <w:t>Amendments to tax disclosure rules for New Zealand foreign trusts</w:t>
      </w:r>
    </w:p>
    <w:p w:rsidR="007B612D" w:rsidRPr="00A57E40" w:rsidRDefault="007B612D" w:rsidP="007B612D">
      <w:pPr>
        <w:pStyle w:val="ListParagraph"/>
        <w:ind w:left="0" w:right="170"/>
        <w:contextualSpacing w:val="0"/>
        <w:rPr>
          <w:rFonts w:ascii="Times New Roman" w:hAnsi="Times New Roman"/>
          <w:b/>
          <w:sz w:val="24"/>
          <w:szCs w:val="24"/>
        </w:rPr>
      </w:pPr>
    </w:p>
    <w:p w:rsidR="000545DC" w:rsidRPr="00A57E40" w:rsidRDefault="001C6912" w:rsidP="007B612D">
      <w:pPr>
        <w:pStyle w:val="ListParagraph"/>
        <w:ind w:left="0" w:right="170"/>
        <w:contextualSpacing w:val="0"/>
        <w:rPr>
          <w:rFonts w:ascii="Times New Roman" w:hAnsi="Times New Roman"/>
          <w:b/>
          <w:sz w:val="24"/>
          <w:szCs w:val="24"/>
        </w:rPr>
      </w:pPr>
      <w:r w:rsidRPr="00A57E40">
        <w:rPr>
          <w:rFonts w:ascii="Times New Roman" w:hAnsi="Times New Roman"/>
          <w:b/>
          <w:sz w:val="24"/>
          <w:szCs w:val="24"/>
        </w:rPr>
        <w:t xml:space="preserve">Agency </w:t>
      </w:r>
      <w:r w:rsidR="000545DC" w:rsidRPr="00A57E40">
        <w:rPr>
          <w:rFonts w:ascii="Times New Roman" w:hAnsi="Times New Roman"/>
          <w:b/>
          <w:sz w:val="24"/>
          <w:szCs w:val="24"/>
        </w:rPr>
        <w:t xml:space="preserve">Disclosure Statement </w:t>
      </w:r>
    </w:p>
    <w:p w:rsidR="007B612D" w:rsidRPr="00A57E40" w:rsidRDefault="007B612D" w:rsidP="007B612D">
      <w:pPr>
        <w:pStyle w:val="ListParagraph"/>
        <w:ind w:left="0" w:right="170"/>
        <w:contextualSpacing w:val="0"/>
        <w:rPr>
          <w:rFonts w:ascii="Times New Roman" w:hAnsi="Times New Roman"/>
          <w:sz w:val="24"/>
          <w:szCs w:val="24"/>
        </w:rPr>
      </w:pPr>
    </w:p>
    <w:p w:rsidR="000545DC" w:rsidRPr="00A57E40" w:rsidRDefault="000545DC" w:rsidP="007B612D">
      <w:pPr>
        <w:pStyle w:val="ListParagraph"/>
        <w:ind w:left="0" w:right="170"/>
        <w:contextualSpacing w:val="0"/>
        <w:rPr>
          <w:rFonts w:ascii="Times New Roman" w:hAnsi="Times New Roman"/>
          <w:sz w:val="24"/>
          <w:szCs w:val="24"/>
        </w:rPr>
      </w:pPr>
      <w:r w:rsidRPr="00A57E40">
        <w:rPr>
          <w:rFonts w:ascii="Times New Roman" w:hAnsi="Times New Roman"/>
          <w:sz w:val="24"/>
          <w:szCs w:val="24"/>
        </w:rPr>
        <w:t xml:space="preserve">This Regulatory Impact Statement </w:t>
      </w:r>
      <w:r w:rsidR="00B955D8" w:rsidRPr="00A57E40">
        <w:rPr>
          <w:rFonts w:ascii="Times New Roman" w:hAnsi="Times New Roman"/>
          <w:sz w:val="24"/>
          <w:szCs w:val="24"/>
        </w:rPr>
        <w:t>(</w:t>
      </w:r>
      <w:proofErr w:type="spellStart"/>
      <w:r w:rsidR="00B955D8" w:rsidRPr="00A57E40">
        <w:rPr>
          <w:rFonts w:ascii="Times New Roman" w:hAnsi="Times New Roman"/>
          <w:sz w:val="24"/>
          <w:szCs w:val="24"/>
        </w:rPr>
        <w:t>RIS</w:t>
      </w:r>
      <w:proofErr w:type="spellEnd"/>
      <w:r w:rsidR="00B955D8" w:rsidRPr="00A57E40">
        <w:rPr>
          <w:rFonts w:ascii="Times New Roman" w:hAnsi="Times New Roman"/>
          <w:sz w:val="24"/>
          <w:szCs w:val="24"/>
        </w:rPr>
        <w:t xml:space="preserve">) </w:t>
      </w:r>
      <w:r w:rsidRPr="00A57E40">
        <w:rPr>
          <w:rFonts w:ascii="Times New Roman" w:hAnsi="Times New Roman"/>
          <w:sz w:val="24"/>
          <w:szCs w:val="24"/>
        </w:rPr>
        <w:t xml:space="preserve">has been prepared by </w:t>
      </w:r>
      <w:r w:rsidR="009F7B9A" w:rsidRPr="00A57E40">
        <w:rPr>
          <w:rFonts w:ascii="Times New Roman" w:hAnsi="Times New Roman"/>
          <w:sz w:val="24"/>
          <w:szCs w:val="24"/>
        </w:rPr>
        <w:t>Inland Revenue</w:t>
      </w:r>
      <w:r w:rsidR="009A23EE" w:rsidRPr="00A57E40">
        <w:rPr>
          <w:rFonts w:ascii="Times New Roman" w:hAnsi="Times New Roman"/>
          <w:sz w:val="24"/>
          <w:szCs w:val="24"/>
        </w:rPr>
        <w:t>.</w:t>
      </w:r>
    </w:p>
    <w:p w:rsidR="004342F0" w:rsidRPr="00A57E40" w:rsidRDefault="004342F0" w:rsidP="007B612D">
      <w:pPr>
        <w:pStyle w:val="ListParagraph"/>
        <w:ind w:left="0" w:right="170"/>
        <w:contextualSpacing w:val="0"/>
        <w:rPr>
          <w:rFonts w:ascii="Times New Roman" w:hAnsi="Times New Roman"/>
          <w:sz w:val="24"/>
          <w:szCs w:val="24"/>
        </w:rPr>
      </w:pPr>
    </w:p>
    <w:p w:rsidR="000545DC" w:rsidRPr="00A57E40" w:rsidRDefault="000545DC" w:rsidP="007B612D">
      <w:pPr>
        <w:pStyle w:val="ListParagraph"/>
        <w:ind w:left="0" w:right="170"/>
        <w:contextualSpacing w:val="0"/>
        <w:rPr>
          <w:rFonts w:ascii="Times New Roman" w:hAnsi="Times New Roman"/>
          <w:sz w:val="24"/>
          <w:szCs w:val="24"/>
        </w:rPr>
      </w:pPr>
      <w:r w:rsidRPr="00A57E40">
        <w:rPr>
          <w:rFonts w:ascii="Times New Roman" w:hAnsi="Times New Roman"/>
          <w:sz w:val="24"/>
          <w:szCs w:val="24"/>
        </w:rPr>
        <w:t xml:space="preserve">It provides an analysis of options to </w:t>
      </w:r>
      <w:r w:rsidR="00073EDA" w:rsidRPr="00A57E40">
        <w:rPr>
          <w:rFonts w:ascii="Times New Roman" w:hAnsi="Times New Roman"/>
          <w:sz w:val="24"/>
          <w:szCs w:val="24"/>
        </w:rPr>
        <w:t>address concerns that New Zealand foreign trusts may be</w:t>
      </w:r>
      <w:r w:rsidR="00AD3E05" w:rsidRPr="00A57E40">
        <w:rPr>
          <w:rFonts w:ascii="Times New Roman" w:hAnsi="Times New Roman"/>
          <w:sz w:val="24"/>
          <w:szCs w:val="24"/>
        </w:rPr>
        <w:t xml:space="preserve"> vulnerable to</w:t>
      </w:r>
      <w:r w:rsidR="00073EDA" w:rsidRPr="00A57E40">
        <w:rPr>
          <w:rFonts w:ascii="Times New Roman" w:hAnsi="Times New Roman"/>
          <w:sz w:val="24"/>
          <w:szCs w:val="24"/>
        </w:rPr>
        <w:t xml:space="preserve"> misuse </w:t>
      </w:r>
      <w:r w:rsidR="00DA211A" w:rsidRPr="00A57E40">
        <w:rPr>
          <w:rFonts w:ascii="Times New Roman" w:hAnsi="Times New Roman"/>
          <w:sz w:val="24"/>
          <w:szCs w:val="24"/>
        </w:rPr>
        <w:t>for avoidance or evasion</w:t>
      </w:r>
      <w:r w:rsidR="00C95B28" w:rsidRPr="00A57E40">
        <w:rPr>
          <w:rFonts w:ascii="Times New Roman" w:hAnsi="Times New Roman"/>
          <w:sz w:val="24"/>
          <w:szCs w:val="24"/>
        </w:rPr>
        <w:t xml:space="preserve"> of </w:t>
      </w:r>
      <w:r w:rsidR="00364FB1" w:rsidRPr="00A57E40">
        <w:rPr>
          <w:rFonts w:ascii="Times New Roman" w:hAnsi="Times New Roman"/>
          <w:sz w:val="24"/>
          <w:szCs w:val="24"/>
        </w:rPr>
        <w:t xml:space="preserve">foreign </w:t>
      </w:r>
      <w:r w:rsidR="00C95B28" w:rsidRPr="00A57E40">
        <w:rPr>
          <w:rFonts w:ascii="Times New Roman" w:hAnsi="Times New Roman"/>
          <w:sz w:val="24"/>
          <w:szCs w:val="24"/>
        </w:rPr>
        <w:t>tax</w:t>
      </w:r>
      <w:r w:rsidR="00DA211A" w:rsidRPr="00A57E40">
        <w:rPr>
          <w:rFonts w:ascii="Times New Roman" w:hAnsi="Times New Roman"/>
          <w:sz w:val="24"/>
          <w:szCs w:val="24"/>
        </w:rPr>
        <w:t xml:space="preserve">, </w:t>
      </w:r>
      <w:r w:rsidR="00B0798B" w:rsidRPr="00A57E40">
        <w:rPr>
          <w:rFonts w:ascii="Times New Roman" w:hAnsi="Times New Roman"/>
          <w:sz w:val="24"/>
          <w:szCs w:val="24"/>
        </w:rPr>
        <w:t>or</w:t>
      </w:r>
      <w:r w:rsidR="00DA211A" w:rsidRPr="00A57E40">
        <w:rPr>
          <w:rFonts w:ascii="Times New Roman" w:hAnsi="Times New Roman"/>
          <w:sz w:val="24"/>
          <w:szCs w:val="24"/>
        </w:rPr>
        <w:t xml:space="preserve"> for money laundering and </w:t>
      </w:r>
      <w:r w:rsidR="00CF59C5" w:rsidRPr="00A57E40">
        <w:rPr>
          <w:rFonts w:ascii="Times New Roman" w:hAnsi="Times New Roman"/>
          <w:sz w:val="24"/>
          <w:szCs w:val="24"/>
        </w:rPr>
        <w:t xml:space="preserve">other </w:t>
      </w:r>
      <w:r w:rsidR="00DA211A" w:rsidRPr="00A57E40">
        <w:rPr>
          <w:rFonts w:ascii="Times New Roman" w:hAnsi="Times New Roman"/>
          <w:sz w:val="24"/>
          <w:szCs w:val="24"/>
        </w:rPr>
        <w:t>criminal purposes.</w:t>
      </w:r>
    </w:p>
    <w:p w:rsidR="00DA211A" w:rsidRPr="00A57E40" w:rsidRDefault="00DA211A" w:rsidP="007B612D">
      <w:pPr>
        <w:pStyle w:val="ListParagraph"/>
        <w:ind w:left="0" w:right="170"/>
        <w:contextualSpacing w:val="0"/>
        <w:rPr>
          <w:rFonts w:ascii="Times New Roman" w:hAnsi="Times New Roman"/>
          <w:sz w:val="24"/>
          <w:szCs w:val="24"/>
        </w:rPr>
      </w:pPr>
    </w:p>
    <w:p w:rsidR="00DA211A" w:rsidRPr="00A57E40" w:rsidRDefault="00DA211A" w:rsidP="007B612D">
      <w:pPr>
        <w:pStyle w:val="ListParagraph"/>
        <w:ind w:left="0" w:right="170"/>
        <w:contextualSpacing w:val="0"/>
        <w:rPr>
          <w:rFonts w:ascii="Times New Roman" w:hAnsi="Times New Roman"/>
          <w:sz w:val="24"/>
          <w:szCs w:val="24"/>
        </w:rPr>
      </w:pPr>
      <w:r w:rsidRPr="00A57E40">
        <w:rPr>
          <w:rFonts w:ascii="Times New Roman" w:hAnsi="Times New Roman"/>
          <w:sz w:val="24"/>
          <w:szCs w:val="24"/>
        </w:rPr>
        <w:t xml:space="preserve">The analysis in this </w:t>
      </w:r>
      <w:proofErr w:type="spellStart"/>
      <w:r w:rsidRPr="00A57E40">
        <w:rPr>
          <w:rFonts w:ascii="Times New Roman" w:hAnsi="Times New Roman"/>
          <w:sz w:val="24"/>
          <w:szCs w:val="24"/>
        </w:rPr>
        <w:t>RIS</w:t>
      </w:r>
      <w:proofErr w:type="spellEnd"/>
      <w:r w:rsidRPr="00A57E40">
        <w:rPr>
          <w:rFonts w:ascii="Times New Roman" w:hAnsi="Times New Roman"/>
          <w:sz w:val="24"/>
          <w:szCs w:val="24"/>
        </w:rPr>
        <w:t xml:space="preserve"> was informed by the Government Inquiry into Foreign Trust Disclosure Rules (the Inquiry) which undertook an extensive independent review of the policy and operation of the foreign trust rules.  </w:t>
      </w:r>
    </w:p>
    <w:p w:rsidR="004152FF" w:rsidRPr="00A57E40" w:rsidRDefault="004152FF" w:rsidP="007B612D">
      <w:pPr>
        <w:pStyle w:val="ListParagraph"/>
        <w:ind w:left="0" w:right="170"/>
        <w:contextualSpacing w:val="0"/>
        <w:rPr>
          <w:rFonts w:ascii="Times New Roman" w:hAnsi="Times New Roman"/>
          <w:sz w:val="24"/>
          <w:szCs w:val="24"/>
        </w:rPr>
      </w:pPr>
    </w:p>
    <w:p w:rsidR="004152FF" w:rsidRPr="00A57E40" w:rsidRDefault="005156F7" w:rsidP="00CB24D4">
      <w:pPr>
        <w:pStyle w:val="Bullet-list"/>
        <w:spacing w:after="0" w:line="240" w:lineRule="auto"/>
        <w:ind w:left="0" w:right="140" w:firstLine="0"/>
        <w:jc w:val="both"/>
        <w:rPr>
          <w:rFonts w:ascii="Times New Roman" w:hAnsi="Times New Roman"/>
          <w:sz w:val="24"/>
          <w:szCs w:val="24"/>
        </w:rPr>
      </w:pPr>
      <w:r w:rsidRPr="00A57E40">
        <w:rPr>
          <w:rFonts w:ascii="Times New Roman" w:hAnsi="Times New Roman"/>
          <w:sz w:val="24"/>
          <w:szCs w:val="24"/>
        </w:rPr>
        <w:t xml:space="preserve">It should be noted that the Inquiry also recommended changes to the </w:t>
      </w:r>
      <w:r w:rsidR="00B955D8" w:rsidRPr="00A57E40">
        <w:rPr>
          <w:rFonts w:ascii="Times New Roman" w:hAnsi="Times New Roman"/>
          <w:sz w:val="24"/>
          <w:szCs w:val="24"/>
        </w:rPr>
        <w:t>anti-money laundering (</w:t>
      </w:r>
      <w:r w:rsidRPr="00A57E40">
        <w:rPr>
          <w:rFonts w:ascii="Times New Roman" w:hAnsi="Times New Roman"/>
          <w:sz w:val="24"/>
          <w:szCs w:val="24"/>
        </w:rPr>
        <w:t>AML</w:t>
      </w:r>
      <w:r w:rsidR="00B955D8" w:rsidRPr="00A57E40">
        <w:rPr>
          <w:rFonts w:ascii="Times New Roman" w:hAnsi="Times New Roman"/>
          <w:sz w:val="24"/>
          <w:szCs w:val="24"/>
        </w:rPr>
        <w:t>)</w:t>
      </w:r>
      <w:r w:rsidRPr="00A57E40">
        <w:rPr>
          <w:rFonts w:ascii="Times New Roman" w:hAnsi="Times New Roman"/>
          <w:sz w:val="24"/>
          <w:szCs w:val="24"/>
        </w:rPr>
        <w:t xml:space="preserve"> requirements.  These AML amendments are currently being considered by the Ministry of Justice, alongside work currently underway to bring in Phase II of the AML regime.  If these AML proposals are accepted, a </w:t>
      </w:r>
      <w:proofErr w:type="spellStart"/>
      <w:r w:rsidR="00A57E40">
        <w:rPr>
          <w:rFonts w:ascii="Times New Roman" w:hAnsi="Times New Roman"/>
          <w:sz w:val="24"/>
          <w:szCs w:val="24"/>
        </w:rPr>
        <w:t>RIS</w:t>
      </w:r>
      <w:proofErr w:type="spellEnd"/>
      <w:r w:rsidRPr="00A57E40">
        <w:rPr>
          <w:rFonts w:ascii="Times New Roman" w:hAnsi="Times New Roman"/>
          <w:sz w:val="24"/>
          <w:szCs w:val="24"/>
        </w:rPr>
        <w:t xml:space="preserve"> for them will be completed as part of the Phase II policy proposals.  </w:t>
      </w:r>
    </w:p>
    <w:p w:rsidR="004152FF" w:rsidRPr="00A57E40" w:rsidRDefault="004152FF" w:rsidP="007B612D">
      <w:pPr>
        <w:pStyle w:val="Bullet-list"/>
        <w:spacing w:after="0" w:line="240" w:lineRule="auto"/>
        <w:ind w:left="0" w:firstLine="0"/>
        <w:jc w:val="both"/>
        <w:rPr>
          <w:rFonts w:ascii="Times New Roman" w:hAnsi="Times New Roman"/>
          <w:sz w:val="24"/>
          <w:szCs w:val="24"/>
        </w:rPr>
      </w:pPr>
    </w:p>
    <w:p w:rsidR="00DA211A" w:rsidRPr="00A57E40" w:rsidRDefault="00AD3E05" w:rsidP="007B612D">
      <w:pPr>
        <w:pStyle w:val="Bullet-list"/>
        <w:spacing w:after="0" w:line="240" w:lineRule="auto"/>
        <w:ind w:left="0" w:right="170" w:firstLine="0"/>
        <w:jc w:val="both"/>
        <w:rPr>
          <w:rFonts w:ascii="Times New Roman" w:hAnsi="Times New Roman"/>
          <w:sz w:val="24"/>
          <w:szCs w:val="24"/>
        </w:rPr>
      </w:pPr>
      <w:r w:rsidRPr="00A57E40">
        <w:rPr>
          <w:rFonts w:ascii="Times New Roman" w:hAnsi="Times New Roman"/>
          <w:sz w:val="24"/>
          <w:szCs w:val="24"/>
        </w:rPr>
        <w:t>T</w:t>
      </w:r>
      <w:r w:rsidR="00A02F41" w:rsidRPr="00A57E40">
        <w:rPr>
          <w:rFonts w:ascii="Times New Roman" w:hAnsi="Times New Roman"/>
          <w:sz w:val="24"/>
          <w:szCs w:val="24"/>
        </w:rPr>
        <w:t xml:space="preserve">o ensure that </w:t>
      </w:r>
      <w:r w:rsidR="009C19D5" w:rsidRPr="00A57E40">
        <w:rPr>
          <w:rFonts w:ascii="Times New Roman" w:hAnsi="Times New Roman"/>
          <w:sz w:val="24"/>
          <w:szCs w:val="24"/>
        </w:rPr>
        <w:t>amendments recommended by the Inquiry and accepted by the Government could be implemented</w:t>
      </w:r>
      <w:r w:rsidR="00364FB1" w:rsidRPr="00A57E40">
        <w:rPr>
          <w:rFonts w:ascii="Times New Roman" w:hAnsi="Times New Roman"/>
          <w:sz w:val="24"/>
          <w:szCs w:val="24"/>
        </w:rPr>
        <w:t xml:space="preserve"> in line with the </w:t>
      </w:r>
      <w:r w:rsidR="000F2DB5" w:rsidRPr="00A57E40">
        <w:rPr>
          <w:rFonts w:ascii="Times New Roman" w:hAnsi="Times New Roman"/>
          <w:sz w:val="24"/>
          <w:szCs w:val="24"/>
        </w:rPr>
        <w:t xml:space="preserve">application </w:t>
      </w:r>
      <w:r w:rsidR="00364FB1" w:rsidRPr="00A57E40">
        <w:rPr>
          <w:rFonts w:ascii="Times New Roman" w:hAnsi="Times New Roman"/>
          <w:sz w:val="24"/>
          <w:szCs w:val="24"/>
        </w:rPr>
        <w:t>time frame</w:t>
      </w:r>
      <w:r w:rsidR="00E27D99" w:rsidRPr="00A57E40">
        <w:rPr>
          <w:rFonts w:ascii="Times New Roman" w:hAnsi="Times New Roman"/>
          <w:sz w:val="24"/>
          <w:szCs w:val="24"/>
        </w:rPr>
        <w:t>s</w:t>
      </w:r>
      <w:r w:rsidR="00364FB1" w:rsidRPr="00A57E40">
        <w:rPr>
          <w:rFonts w:ascii="Times New Roman" w:hAnsi="Times New Roman"/>
          <w:sz w:val="24"/>
          <w:szCs w:val="24"/>
        </w:rPr>
        <w:t xml:space="preserve"> recommended by the Inquiry</w:t>
      </w:r>
      <w:r w:rsidRPr="00A57E40">
        <w:rPr>
          <w:rFonts w:ascii="Times New Roman" w:hAnsi="Times New Roman"/>
          <w:sz w:val="24"/>
          <w:szCs w:val="24"/>
        </w:rPr>
        <w:t xml:space="preserve">, and to provide for the </w:t>
      </w:r>
      <w:r w:rsidR="00A57E40">
        <w:rPr>
          <w:rFonts w:ascii="Times New Roman" w:hAnsi="Times New Roman"/>
          <w:sz w:val="24"/>
          <w:szCs w:val="24"/>
        </w:rPr>
        <w:t>amendments</w:t>
      </w:r>
      <w:r w:rsidRPr="00A57E40">
        <w:rPr>
          <w:rFonts w:ascii="Times New Roman" w:hAnsi="Times New Roman"/>
          <w:sz w:val="24"/>
          <w:szCs w:val="24"/>
        </w:rPr>
        <w:t xml:space="preserve"> to be considered by select committee, this </w:t>
      </w:r>
      <w:proofErr w:type="spellStart"/>
      <w:r w:rsidRPr="00A57E40">
        <w:rPr>
          <w:rFonts w:ascii="Times New Roman" w:hAnsi="Times New Roman"/>
          <w:sz w:val="24"/>
          <w:szCs w:val="24"/>
        </w:rPr>
        <w:t>RIS</w:t>
      </w:r>
      <w:proofErr w:type="spellEnd"/>
      <w:r w:rsidRPr="00A57E40">
        <w:rPr>
          <w:rFonts w:ascii="Times New Roman" w:hAnsi="Times New Roman"/>
          <w:sz w:val="24"/>
          <w:szCs w:val="24"/>
        </w:rPr>
        <w:t xml:space="preserve"> was prepared under time constraints.  </w:t>
      </w:r>
    </w:p>
    <w:p w:rsidR="00DA211A" w:rsidRPr="00A57E40" w:rsidRDefault="00DA211A" w:rsidP="007B612D">
      <w:pPr>
        <w:pStyle w:val="Bullet-list"/>
        <w:spacing w:after="0" w:line="240" w:lineRule="auto"/>
        <w:ind w:left="0" w:right="170" w:firstLine="0"/>
        <w:jc w:val="both"/>
        <w:rPr>
          <w:rFonts w:ascii="Times New Roman" w:hAnsi="Times New Roman"/>
          <w:sz w:val="24"/>
          <w:szCs w:val="24"/>
        </w:rPr>
      </w:pPr>
    </w:p>
    <w:p w:rsidR="00385EC1" w:rsidRPr="00A57E40" w:rsidRDefault="00EC5AA1" w:rsidP="007B612D">
      <w:pPr>
        <w:pStyle w:val="Bullet-list"/>
        <w:spacing w:after="0" w:line="240" w:lineRule="auto"/>
        <w:ind w:left="0" w:right="170" w:firstLine="0"/>
        <w:jc w:val="both"/>
        <w:rPr>
          <w:rFonts w:ascii="Times New Roman" w:hAnsi="Times New Roman"/>
          <w:sz w:val="24"/>
          <w:szCs w:val="24"/>
        </w:rPr>
      </w:pPr>
      <w:r w:rsidRPr="00A57E40">
        <w:rPr>
          <w:rFonts w:ascii="Times New Roman" w:hAnsi="Times New Roman"/>
          <w:sz w:val="24"/>
          <w:szCs w:val="24"/>
        </w:rPr>
        <w:t xml:space="preserve">We have </w:t>
      </w:r>
      <w:r w:rsidR="00A83305" w:rsidRPr="00A57E40">
        <w:rPr>
          <w:rFonts w:ascii="Times New Roman" w:hAnsi="Times New Roman"/>
          <w:sz w:val="24"/>
          <w:szCs w:val="24"/>
        </w:rPr>
        <w:t xml:space="preserve">consulted </w:t>
      </w:r>
      <w:r w:rsidR="003C6505" w:rsidRPr="00A57E40">
        <w:rPr>
          <w:rFonts w:ascii="Times New Roman" w:hAnsi="Times New Roman"/>
          <w:sz w:val="24"/>
          <w:szCs w:val="24"/>
        </w:rPr>
        <w:t xml:space="preserve">with other relevant government agencies, but not more widely, </w:t>
      </w:r>
      <w:r w:rsidR="00A83305" w:rsidRPr="00A57E40">
        <w:rPr>
          <w:rFonts w:ascii="Times New Roman" w:hAnsi="Times New Roman"/>
          <w:sz w:val="24"/>
          <w:szCs w:val="24"/>
        </w:rPr>
        <w:t xml:space="preserve">on the proposals.  </w:t>
      </w:r>
      <w:r w:rsidR="009C19D5" w:rsidRPr="00A57E40">
        <w:rPr>
          <w:rFonts w:ascii="Times New Roman" w:hAnsi="Times New Roman"/>
          <w:sz w:val="24"/>
          <w:szCs w:val="24"/>
        </w:rPr>
        <w:t xml:space="preserve">However, it is noted that </w:t>
      </w:r>
      <w:r w:rsidR="00DA211A" w:rsidRPr="00A57E40">
        <w:rPr>
          <w:rFonts w:ascii="Times New Roman" w:hAnsi="Times New Roman"/>
          <w:sz w:val="24"/>
          <w:szCs w:val="24"/>
        </w:rPr>
        <w:t xml:space="preserve">as part of its review, the Inquiry </w:t>
      </w:r>
      <w:r w:rsidR="003C6505" w:rsidRPr="00A57E40">
        <w:rPr>
          <w:rFonts w:ascii="Times New Roman" w:hAnsi="Times New Roman"/>
          <w:sz w:val="24"/>
          <w:szCs w:val="24"/>
        </w:rPr>
        <w:t>invited submissions from the public and received</w:t>
      </w:r>
      <w:r w:rsidR="00DA211A" w:rsidRPr="00A57E40">
        <w:rPr>
          <w:rFonts w:ascii="Times New Roman" w:hAnsi="Times New Roman"/>
          <w:sz w:val="24"/>
          <w:szCs w:val="24"/>
        </w:rPr>
        <w:t xml:space="preserve"> 23</w:t>
      </w:r>
      <w:r w:rsidR="009C19D5" w:rsidRPr="00A57E40">
        <w:rPr>
          <w:rFonts w:ascii="Times New Roman" w:hAnsi="Times New Roman"/>
          <w:sz w:val="24"/>
          <w:szCs w:val="24"/>
        </w:rPr>
        <w:t xml:space="preserve"> submissions</w:t>
      </w:r>
      <w:r w:rsidR="003C6505" w:rsidRPr="00A57E40">
        <w:rPr>
          <w:rFonts w:ascii="Times New Roman" w:hAnsi="Times New Roman"/>
          <w:sz w:val="24"/>
          <w:szCs w:val="24"/>
        </w:rPr>
        <w:t>.</w:t>
      </w:r>
      <w:r w:rsidR="009C19D5" w:rsidRPr="00A57E40">
        <w:rPr>
          <w:rFonts w:ascii="Times New Roman" w:hAnsi="Times New Roman"/>
          <w:sz w:val="24"/>
          <w:szCs w:val="24"/>
        </w:rPr>
        <w:t xml:space="preserve"> </w:t>
      </w:r>
    </w:p>
    <w:p w:rsidR="004342F0" w:rsidRPr="00A57E40" w:rsidRDefault="004342F0" w:rsidP="007B612D">
      <w:pPr>
        <w:pStyle w:val="Text"/>
        <w:spacing w:before="0" w:after="0" w:line="240" w:lineRule="auto"/>
        <w:ind w:right="170"/>
        <w:rPr>
          <w:rFonts w:ascii="Times New Roman" w:hAnsi="Times New Roman"/>
          <w:sz w:val="24"/>
          <w:szCs w:val="24"/>
          <w:lang w:val="en-NZ"/>
        </w:rPr>
      </w:pPr>
    </w:p>
    <w:p w:rsidR="00DA211A" w:rsidRPr="00A57E40" w:rsidRDefault="00DA211A" w:rsidP="007B612D">
      <w:pPr>
        <w:pStyle w:val="Text"/>
        <w:spacing w:before="0" w:after="0" w:line="240" w:lineRule="auto"/>
        <w:ind w:right="170"/>
        <w:rPr>
          <w:rFonts w:ascii="Times New Roman" w:hAnsi="Times New Roman"/>
          <w:sz w:val="24"/>
          <w:szCs w:val="24"/>
          <w:lang w:val="en-NZ"/>
        </w:rPr>
      </w:pPr>
      <w:r w:rsidRPr="00A57E40">
        <w:rPr>
          <w:rFonts w:ascii="Times New Roman" w:hAnsi="Times New Roman"/>
          <w:sz w:val="24"/>
          <w:szCs w:val="24"/>
          <w:lang w:val="en-NZ"/>
        </w:rPr>
        <w:t xml:space="preserve">The policy option recommended would impose additional costs on </w:t>
      </w:r>
      <w:r w:rsidR="00B955D8" w:rsidRPr="00A57E40">
        <w:rPr>
          <w:rFonts w:ascii="Times New Roman" w:hAnsi="Times New Roman"/>
          <w:sz w:val="24"/>
          <w:szCs w:val="24"/>
          <w:lang w:val="en-NZ"/>
        </w:rPr>
        <w:t>New Zealand</w:t>
      </w:r>
      <w:r w:rsidR="003C6505" w:rsidRPr="00A57E40">
        <w:rPr>
          <w:rFonts w:ascii="Times New Roman" w:hAnsi="Times New Roman"/>
          <w:sz w:val="24"/>
          <w:szCs w:val="24"/>
          <w:lang w:val="en-NZ"/>
        </w:rPr>
        <w:t xml:space="preserve"> </w:t>
      </w:r>
      <w:r w:rsidR="00886783" w:rsidRPr="00A57E40">
        <w:rPr>
          <w:rFonts w:ascii="Times New Roman" w:hAnsi="Times New Roman"/>
          <w:sz w:val="24"/>
          <w:szCs w:val="24"/>
          <w:lang w:val="en-NZ"/>
        </w:rPr>
        <w:t>resident</w:t>
      </w:r>
      <w:r w:rsidR="00B955D8" w:rsidRPr="00A57E40">
        <w:rPr>
          <w:rFonts w:ascii="Times New Roman" w:hAnsi="Times New Roman"/>
          <w:sz w:val="24"/>
          <w:szCs w:val="24"/>
          <w:lang w:val="en-NZ"/>
        </w:rPr>
        <w:t xml:space="preserve"> trustees of foreign trusts</w:t>
      </w:r>
      <w:r w:rsidRPr="00A57E40">
        <w:rPr>
          <w:rFonts w:ascii="Times New Roman" w:hAnsi="Times New Roman"/>
          <w:sz w:val="24"/>
          <w:szCs w:val="24"/>
          <w:lang w:val="en-NZ"/>
        </w:rPr>
        <w:t xml:space="preserve">.  However it is considered that </w:t>
      </w:r>
      <w:r w:rsidR="00871EEB" w:rsidRPr="00A57E40">
        <w:rPr>
          <w:rFonts w:ascii="Times New Roman" w:hAnsi="Times New Roman"/>
          <w:sz w:val="24"/>
          <w:szCs w:val="24"/>
          <w:lang w:val="en-NZ"/>
        </w:rPr>
        <w:t xml:space="preserve">as they will reduce the potential for misuse of foreign trusts, </w:t>
      </w:r>
      <w:r w:rsidRPr="00A57E40">
        <w:rPr>
          <w:rFonts w:ascii="Times New Roman" w:hAnsi="Times New Roman"/>
          <w:sz w:val="24"/>
          <w:szCs w:val="24"/>
          <w:lang w:val="en-NZ"/>
        </w:rPr>
        <w:t xml:space="preserve">these additional costs are justified.  None of the policy options would impair private property rights, restrict market competition, </w:t>
      </w:r>
      <w:proofErr w:type="gramStart"/>
      <w:r w:rsidRPr="00A57E40">
        <w:rPr>
          <w:rFonts w:ascii="Times New Roman" w:hAnsi="Times New Roman"/>
          <w:sz w:val="24"/>
          <w:szCs w:val="24"/>
          <w:lang w:val="en-NZ"/>
        </w:rPr>
        <w:t>reduce</w:t>
      </w:r>
      <w:proofErr w:type="gramEnd"/>
      <w:r w:rsidRPr="00A57E40">
        <w:rPr>
          <w:rFonts w:ascii="Times New Roman" w:hAnsi="Times New Roman"/>
          <w:sz w:val="24"/>
          <w:szCs w:val="24"/>
          <w:lang w:val="en-NZ"/>
        </w:rPr>
        <w:t xml:space="preserve"> the incentives for business to innovate and invest, or override fundamental common law principles.</w:t>
      </w:r>
    </w:p>
    <w:p w:rsidR="00085660" w:rsidRPr="00A57E40" w:rsidRDefault="00085660" w:rsidP="007B612D">
      <w:pPr>
        <w:pStyle w:val="Text"/>
        <w:spacing w:before="0" w:after="0" w:line="240" w:lineRule="auto"/>
        <w:ind w:right="170"/>
        <w:rPr>
          <w:rFonts w:ascii="Times New Roman" w:hAnsi="Times New Roman"/>
          <w:sz w:val="24"/>
          <w:szCs w:val="24"/>
          <w:lang w:val="en-NZ"/>
        </w:rPr>
      </w:pPr>
    </w:p>
    <w:p w:rsidR="00085660" w:rsidRPr="00A57E40" w:rsidRDefault="00085660" w:rsidP="007B612D">
      <w:pPr>
        <w:pStyle w:val="Text"/>
        <w:spacing w:before="0" w:after="0" w:line="240" w:lineRule="auto"/>
        <w:ind w:right="170"/>
        <w:rPr>
          <w:rFonts w:ascii="Times New Roman" w:hAnsi="Times New Roman"/>
          <w:sz w:val="24"/>
          <w:szCs w:val="24"/>
          <w:lang w:val="en-NZ"/>
        </w:rPr>
      </w:pPr>
    </w:p>
    <w:p w:rsidR="0027520A" w:rsidRPr="00A57E40" w:rsidRDefault="0027520A" w:rsidP="007B612D">
      <w:pPr>
        <w:pStyle w:val="Text"/>
        <w:spacing w:before="0" w:after="0" w:line="240" w:lineRule="auto"/>
        <w:ind w:right="170"/>
        <w:rPr>
          <w:rFonts w:ascii="Times New Roman" w:hAnsi="Times New Roman"/>
          <w:sz w:val="24"/>
          <w:szCs w:val="24"/>
          <w:lang w:val="en-NZ"/>
        </w:rPr>
      </w:pPr>
    </w:p>
    <w:p w:rsidR="00385EC1" w:rsidRPr="00A57E40" w:rsidRDefault="00385EC1" w:rsidP="007B612D">
      <w:pPr>
        <w:pStyle w:val="Text"/>
        <w:spacing w:before="0" w:after="0" w:line="240" w:lineRule="auto"/>
        <w:ind w:right="170"/>
        <w:rPr>
          <w:rFonts w:ascii="Times New Roman" w:hAnsi="Times New Roman"/>
          <w:sz w:val="24"/>
          <w:szCs w:val="24"/>
          <w:lang w:val="en-NZ"/>
        </w:rPr>
      </w:pPr>
    </w:p>
    <w:p w:rsidR="00085660" w:rsidRPr="00A57E40" w:rsidRDefault="00085660" w:rsidP="007B612D">
      <w:pPr>
        <w:pStyle w:val="Text"/>
        <w:spacing w:before="0" w:after="0" w:line="240" w:lineRule="auto"/>
        <w:ind w:right="170"/>
        <w:rPr>
          <w:rFonts w:ascii="Times New Roman" w:hAnsi="Times New Roman"/>
          <w:sz w:val="24"/>
          <w:szCs w:val="24"/>
          <w:lang w:val="en-NZ"/>
        </w:rPr>
      </w:pPr>
    </w:p>
    <w:p w:rsidR="00085660" w:rsidRPr="00A57E40" w:rsidRDefault="00C95B28" w:rsidP="007B612D">
      <w:pPr>
        <w:pStyle w:val="Text"/>
        <w:tabs>
          <w:tab w:val="left" w:pos="567"/>
        </w:tabs>
        <w:spacing w:before="0" w:after="0" w:line="240" w:lineRule="auto"/>
        <w:ind w:right="170"/>
        <w:rPr>
          <w:rFonts w:ascii="Times New Roman" w:hAnsi="Times New Roman"/>
          <w:sz w:val="24"/>
          <w:szCs w:val="24"/>
          <w:lang w:val="en-NZ"/>
        </w:rPr>
      </w:pPr>
      <w:r w:rsidRPr="00A57E40">
        <w:rPr>
          <w:rFonts w:ascii="Times New Roman" w:hAnsi="Times New Roman"/>
          <w:sz w:val="24"/>
          <w:szCs w:val="24"/>
          <w:lang w:val="en-NZ"/>
        </w:rPr>
        <w:t>Carmel Peters</w:t>
      </w:r>
    </w:p>
    <w:p w:rsidR="009F7B9A" w:rsidRPr="00A57E40" w:rsidRDefault="00C95B28" w:rsidP="007B612D">
      <w:pPr>
        <w:pStyle w:val="Text"/>
        <w:tabs>
          <w:tab w:val="left" w:pos="567"/>
        </w:tabs>
        <w:spacing w:before="0" w:after="0" w:line="240" w:lineRule="auto"/>
        <w:ind w:right="170"/>
        <w:rPr>
          <w:rFonts w:ascii="Times New Roman" w:hAnsi="Times New Roman"/>
          <w:sz w:val="24"/>
          <w:szCs w:val="24"/>
          <w:lang w:val="en-NZ"/>
        </w:rPr>
      </w:pPr>
      <w:r w:rsidRPr="00A57E40">
        <w:rPr>
          <w:rFonts w:ascii="Times New Roman" w:hAnsi="Times New Roman"/>
          <w:sz w:val="24"/>
          <w:szCs w:val="24"/>
          <w:lang w:val="en-NZ"/>
        </w:rPr>
        <w:t>Policy Manager,</w:t>
      </w:r>
      <w:r w:rsidR="005A62E6" w:rsidRPr="00A57E40">
        <w:rPr>
          <w:rFonts w:ascii="Times New Roman" w:hAnsi="Times New Roman"/>
          <w:sz w:val="24"/>
          <w:szCs w:val="24"/>
          <w:lang w:val="en-NZ"/>
        </w:rPr>
        <w:t xml:space="preserve"> Policy and Strategy</w:t>
      </w:r>
    </w:p>
    <w:p w:rsidR="001C6912" w:rsidRPr="00A57E40" w:rsidRDefault="001C6912" w:rsidP="007B612D">
      <w:pPr>
        <w:pStyle w:val="Text"/>
        <w:tabs>
          <w:tab w:val="left" w:pos="567"/>
        </w:tabs>
        <w:spacing w:before="0" w:after="0" w:line="240" w:lineRule="auto"/>
        <w:ind w:right="170"/>
        <w:rPr>
          <w:rFonts w:ascii="Times New Roman" w:hAnsi="Times New Roman"/>
          <w:sz w:val="24"/>
          <w:szCs w:val="24"/>
          <w:lang w:val="en-NZ"/>
        </w:rPr>
      </w:pPr>
      <w:r w:rsidRPr="00A57E40">
        <w:rPr>
          <w:rFonts w:ascii="Times New Roman" w:hAnsi="Times New Roman"/>
          <w:sz w:val="24"/>
          <w:szCs w:val="24"/>
          <w:lang w:val="en-NZ"/>
        </w:rPr>
        <w:t>Inland Revenue</w:t>
      </w:r>
    </w:p>
    <w:p w:rsidR="000545DC" w:rsidRPr="00A57E40" w:rsidRDefault="000545DC" w:rsidP="004342F0">
      <w:pPr>
        <w:pStyle w:val="Text"/>
        <w:tabs>
          <w:tab w:val="left" w:pos="567"/>
        </w:tabs>
        <w:spacing w:before="0" w:after="0" w:line="240" w:lineRule="auto"/>
        <w:ind w:right="170"/>
        <w:rPr>
          <w:rFonts w:ascii="Times New Roman" w:hAnsi="Times New Roman"/>
          <w:sz w:val="24"/>
          <w:szCs w:val="24"/>
          <w:lang w:val="en-NZ"/>
        </w:rPr>
      </w:pPr>
    </w:p>
    <w:p w:rsidR="000545DC" w:rsidRPr="00A57E40" w:rsidRDefault="00BC1756" w:rsidP="004342F0">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5</w:t>
      </w:r>
      <w:r w:rsidR="00364FB1" w:rsidRPr="00A57E40">
        <w:rPr>
          <w:rFonts w:ascii="Times New Roman" w:hAnsi="Times New Roman"/>
          <w:sz w:val="24"/>
          <w:szCs w:val="24"/>
          <w:lang w:val="en-NZ"/>
        </w:rPr>
        <w:t xml:space="preserve"> July 2016</w:t>
      </w:r>
    </w:p>
    <w:p w:rsidR="000545DC" w:rsidRPr="00A57E40" w:rsidRDefault="001C6912" w:rsidP="004342F0">
      <w:pPr>
        <w:pStyle w:val="RISheading"/>
        <w:rPr>
          <w:spacing w:val="0"/>
          <w:w w:val="100"/>
        </w:rPr>
      </w:pPr>
      <w:bookmarkStart w:id="7" w:name="_Toc244580363"/>
      <w:bookmarkStart w:id="8" w:name="_Toc244587039"/>
      <w:bookmarkStart w:id="9" w:name="_Toc244857273"/>
      <w:bookmarkStart w:id="10" w:name="_Toc244912538"/>
      <w:bookmarkStart w:id="11" w:name="_Toc244916995"/>
      <w:r w:rsidRPr="00A57E40">
        <w:rPr>
          <w:spacing w:val="0"/>
          <w:w w:val="100"/>
        </w:rPr>
        <w:br w:type="page"/>
      </w:r>
      <w:r w:rsidRPr="00A57E40">
        <w:rPr>
          <w:spacing w:val="0"/>
          <w:w w:val="100"/>
        </w:rPr>
        <w:lastRenderedPageBreak/>
        <w:t>STATUS QUO AND PROBLEM DEFINITION</w:t>
      </w:r>
      <w:bookmarkEnd w:id="7"/>
      <w:bookmarkEnd w:id="8"/>
      <w:bookmarkEnd w:id="9"/>
      <w:bookmarkEnd w:id="10"/>
      <w:bookmarkEnd w:id="11"/>
    </w:p>
    <w:p w:rsidR="00260938" w:rsidRPr="00A57E40" w:rsidRDefault="00B955D8" w:rsidP="00B955D8">
      <w:pPr>
        <w:pStyle w:val="ListParagraph"/>
        <w:ind w:left="0"/>
        <w:rPr>
          <w:rFonts w:ascii="Times New Roman" w:hAnsi="Times New Roman"/>
          <w:b/>
          <w:sz w:val="24"/>
          <w:szCs w:val="24"/>
          <w:lang w:val="en-AU"/>
        </w:rPr>
      </w:pPr>
      <w:r w:rsidRPr="00A57E40">
        <w:rPr>
          <w:rFonts w:ascii="Times New Roman" w:hAnsi="Times New Roman"/>
          <w:b/>
          <w:sz w:val="24"/>
          <w:szCs w:val="24"/>
          <w:lang w:val="en-AU"/>
        </w:rPr>
        <w:t>Policy</w:t>
      </w:r>
      <w:r w:rsidR="00CF59C5" w:rsidRPr="00A57E40">
        <w:rPr>
          <w:rFonts w:ascii="Times New Roman" w:hAnsi="Times New Roman"/>
          <w:b/>
          <w:sz w:val="24"/>
          <w:szCs w:val="24"/>
          <w:lang w:val="en-AU"/>
        </w:rPr>
        <w:t xml:space="preserve"> and law concerning the taxation of trusts</w:t>
      </w:r>
    </w:p>
    <w:p w:rsidR="00B955D8" w:rsidRPr="00A57E40" w:rsidRDefault="00B955D8" w:rsidP="007B612D">
      <w:pPr>
        <w:pStyle w:val="Bullet-list"/>
        <w:spacing w:after="0" w:line="240" w:lineRule="auto"/>
        <w:ind w:left="0" w:firstLine="0"/>
        <w:jc w:val="both"/>
        <w:rPr>
          <w:rFonts w:ascii="Times New Roman" w:hAnsi="Times New Roman"/>
          <w:b/>
          <w:sz w:val="24"/>
          <w:szCs w:val="24"/>
        </w:rPr>
      </w:pPr>
    </w:p>
    <w:p w:rsidR="000545DC" w:rsidRPr="00A57E40" w:rsidRDefault="003439C6" w:rsidP="007B612D">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A57E40">
        <w:rPr>
          <w:rFonts w:ascii="Times New Roman" w:hAnsi="Times New Roman"/>
          <w:sz w:val="24"/>
          <w:szCs w:val="24"/>
        </w:rPr>
        <w:t xml:space="preserve">New Zealand tax law distinguishes between </w:t>
      </w:r>
      <w:r w:rsidR="00C70C03" w:rsidRPr="00A57E40">
        <w:rPr>
          <w:rFonts w:ascii="Times New Roman" w:hAnsi="Times New Roman"/>
          <w:sz w:val="24"/>
          <w:szCs w:val="24"/>
        </w:rPr>
        <w:t xml:space="preserve">different </w:t>
      </w:r>
      <w:r w:rsidRPr="00A57E40">
        <w:rPr>
          <w:rFonts w:ascii="Times New Roman" w:hAnsi="Times New Roman"/>
          <w:sz w:val="24"/>
          <w:szCs w:val="24"/>
        </w:rPr>
        <w:t xml:space="preserve">types of trusts. </w:t>
      </w:r>
      <w:r w:rsidR="00364FB1" w:rsidRPr="00A57E40">
        <w:rPr>
          <w:rFonts w:ascii="Times New Roman" w:hAnsi="Times New Roman"/>
          <w:sz w:val="24"/>
          <w:szCs w:val="24"/>
        </w:rPr>
        <w:t xml:space="preserve">Foreign </w:t>
      </w:r>
      <w:r w:rsidR="00FA6B75" w:rsidRPr="00A57E40">
        <w:rPr>
          <w:rFonts w:ascii="Times New Roman" w:hAnsi="Times New Roman"/>
          <w:sz w:val="24"/>
          <w:szCs w:val="24"/>
        </w:rPr>
        <w:t>trusts are trust</w:t>
      </w:r>
      <w:r w:rsidR="003C6505" w:rsidRPr="00A57E40">
        <w:rPr>
          <w:rFonts w:ascii="Times New Roman" w:hAnsi="Times New Roman"/>
          <w:sz w:val="24"/>
          <w:szCs w:val="24"/>
        </w:rPr>
        <w:t>s</w:t>
      </w:r>
      <w:r w:rsidR="00FA6B75" w:rsidRPr="00A57E40">
        <w:rPr>
          <w:rFonts w:ascii="Times New Roman" w:hAnsi="Times New Roman"/>
          <w:sz w:val="24"/>
          <w:szCs w:val="24"/>
        </w:rPr>
        <w:t xml:space="preserve"> with no </w:t>
      </w:r>
      <w:r w:rsidR="0016131C" w:rsidRPr="00A57E40">
        <w:rPr>
          <w:rFonts w:ascii="Times New Roman" w:hAnsi="Times New Roman"/>
          <w:sz w:val="24"/>
          <w:szCs w:val="24"/>
        </w:rPr>
        <w:t>New Zealand</w:t>
      </w:r>
      <w:r w:rsidR="00A57E40">
        <w:rPr>
          <w:rFonts w:ascii="Times New Roman" w:hAnsi="Times New Roman"/>
          <w:sz w:val="24"/>
          <w:szCs w:val="24"/>
        </w:rPr>
        <w:t xml:space="preserve"> </w:t>
      </w:r>
      <w:r w:rsidR="00FA6B75" w:rsidRPr="00A57E40">
        <w:rPr>
          <w:rFonts w:ascii="Times New Roman" w:hAnsi="Times New Roman"/>
          <w:sz w:val="24"/>
          <w:szCs w:val="24"/>
        </w:rPr>
        <w:t>resident settlor</w:t>
      </w:r>
      <w:r w:rsidR="0016131C" w:rsidRPr="00A57E40">
        <w:rPr>
          <w:rFonts w:ascii="Times New Roman" w:hAnsi="Times New Roman"/>
          <w:sz w:val="24"/>
          <w:szCs w:val="24"/>
        </w:rPr>
        <w:t xml:space="preserve"> (the person who settles assets on the trust)</w:t>
      </w:r>
    </w:p>
    <w:p w:rsidR="00033C3F" w:rsidRPr="00A57E40" w:rsidRDefault="00033C3F" w:rsidP="007B612D">
      <w:pPr>
        <w:pStyle w:val="Bullet-list"/>
        <w:spacing w:after="0" w:line="240" w:lineRule="auto"/>
        <w:ind w:left="0" w:firstLine="0"/>
        <w:jc w:val="both"/>
        <w:rPr>
          <w:rFonts w:ascii="Times New Roman" w:hAnsi="Times New Roman"/>
          <w:sz w:val="24"/>
          <w:szCs w:val="24"/>
        </w:rPr>
      </w:pPr>
    </w:p>
    <w:p w:rsidR="0016131C" w:rsidRPr="00A57E40" w:rsidRDefault="0016131C" w:rsidP="007B612D">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A57E40">
        <w:rPr>
          <w:rFonts w:ascii="Times New Roman" w:hAnsi="Times New Roman"/>
          <w:sz w:val="24"/>
          <w:szCs w:val="24"/>
        </w:rPr>
        <w:t>New Zealand’s rules for taxing</w:t>
      </w:r>
      <w:r w:rsidR="00C2407D" w:rsidRPr="00A57E40">
        <w:rPr>
          <w:rFonts w:ascii="Times New Roman" w:hAnsi="Times New Roman"/>
          <w:sz w:val="24"/>
          <w:szCs w:val="24"/>
        </w:rPr>
        <w:t xml:space="preserve"> trust</w:t>
      </w:r>
      <w:r w:rsidRPr="00A57E40">
        <w:rPr>
          <w:rFonts w:ascii="Times New Roman" w:hAnsi="Times New Roman"/>
          <w:sz w:val="24"/>
          <w:szCs w:val="24"/>
        </w:rPr>
        <w:t>s</w:t>
      </w:r>
      <w:r w:rsidR="00033C3F" w:rsidRPr="00A57E40">
        <w:rPr>
          <w:rFonts w:ascii="Times New Roman" w:hAnsi="Times New Roman"/>
          <w:sz w:val="24"/>
          <w:szCs w:val="24"/>
        </w:rPr>
        <w:t xml:space="preserve"> were introduced in 1988, as part of a wider package of international tax reforms. Most countries tax trusts on the basis of the residence of the trustee (which was New Zealand</w:t>
      </w:r>
      <w:r w:rsidR="00B70F21" w:rsidRPr="00A57E40">
        <w:rPr>
          <w:rFonts w:ascii="Times New Roman" w:hAnsi="Times New Roman"/>
          <w:sz w:val="24"/>
          <w:szCs w:val="24"/>
        </w:rPr>
        <w:t>’</w:t>
      </w:r>
      <w:r w:rsidR="00033C3F" w:rsidRPr="00A57E40">
        <w:rPr>
          <w:rFonts w:ascii="Times New Roman" w:hAnsi="Times New Roman"/>
          <w:sz w:val="24"/>
          <w:szCs w:val="24"/>
        </w:rPr>
        <w:t>s previous approach). However, from 1988, New Zealand</w:t>
      </w:r>
      <w:r w:rsidR="00B70F21" w:rsidRPr="00A57E40">
        <w:rPr>
          <w:rFonts w:ascii="Times New Roman" w:hAnsi="Times New Roman"/>
          <w:sz w:val="24"/>
          <w:szCs w:val="24"/>
        </w:rPr>
        <w:t>’</w:t>
      </w:r>
      <w:r w:rsidR="00033C3F" w:rsidRPr="00A57E40">
        <w:rPr>
          <w:rFonts w:ascii="Times New Roman" w:hAnsi="Times New Roman"/>
          <w:sz w:val="24"/>
          <w:szCs w:val="24"/>
        </w:rPr>
        <w:t xml:space="preserve">s rules for the taxation of trusts </w:t>
      </w:r>
      <w:r w:rsidRPr="00A57E40">
        <w:rPr>
          <w:rFonts w:ascii="Times New Roman" w:hAnsi="Times New Roman"/>
          <w:sz w:val="24"/>
          <w:szCs w:val="24"/>
        </w:rPr>
        <w:t xml:space="preserve">have been </w:t>
      </w:r>
      <w:r w:rsidR="00033C3F" w:rsidRPr="00A57E40">
        <w:rPr>
          <w:rFonts w:ascii="Times New Roman" w:hAnsi="Times New Roman"/>
          <w:sz w:val="24"/>
          <w:szCs w:val="24"/>
        </w:rPr>
        <w:t>based on the residence of the settlor</w:t>
      </w:r>
      <w:r w:rsidR="00AF7AFC" w:rsidRPr="00A57E40">
        <w:rPr>
          <w:rFonts w:ascii="Times New Roman" w:hAnsi="Times New Roman"/>
          <w:sz w:val="24"/>
          <w:szCs w:val="24"/>
        </w:rPr>
        <w:t>, not the residence of the trustees</w:t>
      </w:r>
      <w:r w:rsidR="00033C3F" w:rsidRPr="00A57E40">
        <w:rPr>
          <w:rFonts w:ascii="Times New Roman" w:hAnsi="Times New Roman"/>
          <w:sz w:val="24"/>
          <w:szCs w:val="24"/>
        </w:rPr>
        <w:t xml:space="preserve">. </w:t>
      </w:r>
      <w:r w:rsidRPr="00A57E40">
        <w:rPr>
          <w:rFonts w:ascii="Times New Roman" w:hAnsi="Times New Roman"/>
          <w:sz w:val="24"/>
          <w:szCs w:val="24"/>
        </w:rPr>
        <w:t xml:space="preserve">That is, </w:t>
      </w:r>
      <w:r w:rsidR="00033C3F" w:rsidRPr="00A57E40">
        <w:rPr>
          <w:rFonts w:ascii="Times New Roman" w:hAnsi="Times New Roman"/>
          <w:sz w:val="24"/>
          <w:szCs w:val="24"/>
        </w:rPr>
        <w:t>Ne</w:t>
      </w:r>
      <w:r w:rsidR="00C2407D" w:rsidRPr="00A57E40">
        <w:rPr>
          <w:rFonts w:ascii="Times New Roman" w:hAnsi="Times New Roman"/>
          <w:sz w:val="24"/>
          <w:szCs w:val="24"/>
        </w:rPr>
        <w:t>w Zealand taxes a</w:t>
      </w:r>
      <w:r w:rsidR="00033C3F" w:rsidRPr="00A57E40">
        <w:rPr>
          <w:rFonts w:ascii="Times New Roman" w:hAnsi="Times New Roman"/>
          <w:sz w:val="24"/>
          <w:szCs w:val="24"/>
        </w:rPr>
        <w:t xml:space="preserve"> trust </w:t>
      </w:r>
      <w:r w:rsidR="00B955D8" w:rsidRPr="00A57E40">
        <w:rPr>
          <w:rFonts w:ascii="Times New Roman" w:hAnsi="Times New Roman"/>
          <w:sz w:val="24"/>
          <w:szCs w:val="24"/>
        </w:rPr>
        <w:t xml:space="preserve">on its worldwide income </w:t>
      </w:r>
      <w:r w:rsidR="00033C3F" w:rsidRPr="00A57E40">
        <w:rPr>
          <w:rFonts w:ascii="Times New Roman" w:hAnsi="Times New Roman"/>
          <w:sz w:val="24"/>
          <w:szCs w:val="24"/>
        </w:rPr>
        <w:t xml:space="preserve">if the settlor is a New Zealand resident </w:t>
      </w:r>
      <w:r w:rsidR="00B70F21" w:rsidRPr="00A57E40">
        <w:rPr>
          <w:rFonts w:ascii="Times New Roman" w:hAnsi="Times New Roman"/>
          <w:sz w:val="24"/>
          <w:szCs w:val="24"/>
        </w:rPr>
        <w:t>–</w:t>
      </w:r>
      <w:r w:rsidR="00033C3F" w:rsidRPr="00A57E40">
        <w:rPr>
          <w:rFonts w:ascii="Times New Roman" w:hAnsi="Times New Roman"/>
          <w:sz w:val="24"/>
          <w:szCs w:val="24"/>
        </w:rPr>
        <w:t xml:space="preserve"> regardless of the residence of the trustees. </w:t>
      </w:r>
    </w:p>
    <w:p w:rsidR="0016131C" w:rsidRPr="00A57E40" w:rsidRDefault="0016131C" w:rsidP="00CB24D4">
      <w:pPr>
        <w:pStyle w:val="Bullet-list"/>
        <w:spacing w:after="0" w:line="240" w:lineRule="auto"/>
        <w:ind w:left="0" w:firstLine="0"/>
        <w:jc w:val="both"/>
        <w:rPr>
          <w:rFonts w:ascii="Times New Roman" w:hAnsi="Times New Roman"/>
          <w:sz w:val="24"/>
          <w:szCs w:val="24"/>
        </w:rPr>
      </w:pPr>
    </w:p>
    <w:p w:rsidR="00AF7AFC" w:rsidRPr="00A57E40" w:rsidRDefault="00033C3F" w:rsidP="007B612D">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A57E40">
        <w:rPr>
          <w:rFonts w:ascii="Times New Roman" w:hAnsi="Times New Roman"/>
          <w:sz w:val="24"/>
          <w:szCs w:val="24"/>
        </w:rPr>
        <w:t xml:space="preserve">The general idea </w:t>
      </w:r>
      <w:r w:rsidR="00C2407D" w:rsidRPr="00A57E40">
        <w:rPr>
          <w:rFonts w:ascii="Times New Roman" w:hAnsi="Times New Roman"/>
          <w:sz w:val="24"/>
          <w:szCs w:val="24"/>
        </w:rPr>
        <w:t xml:space="preserve">behind this approach </w:t>
      </w:r>
      <w:r w:rsidRPr="00A57E40">
        <w:rPr>
          <w:rFonts w:ascii="Times New Roman" w:hAnsi="Times New Roman"/>
          <w:sz w:val="24"/>
          <w:szCs w:val="24"/>
        </w:rPr>
        <w:t>is that even though the trustees have legal ownership of the assets, the settlor is really the economic</w:t>
      </w:r>
      <w:r w:rsidR="00B70F21" w:rsidRPr="00A57E40">
        <w:rPr>
          <w:rFonts w:ascii="Times New Roman" w:hAnsi="Times New Roman"/>
          <w:sz w:val="24"/>
          <w:szCs w:val="24"/>
        </w:rPr>
        <w:t xml:space="preserve"> “</w:t>
      </w:r>
      <w:r w:rsidRPr="00A57E40">
        <w:rPr>
          <w:rFonts w:ascii="Times New Roman" w:hAnsi="Times New Roman"/>
          <w:sz w:val="24"/>
          <w:szCs w:val="24"/>
        </w:rPr>
        <w:t>power behind the throne</w:t>
      </w:r>
      <w:r w:rsidR="00B70F21" w:rsidRPr="00A57E40">
        <w:rPr>
          <w:rFonts w:ascii="Times New Roman" w:hAnsi="Times New Roman"/>
          <w:sz w:val="24"/>
          <w:szCs w:val="24"/>
        </w:rPr>
        <w:t>”</w:t>
      </w:r>
      <w:r w:rsidRPr="00A57E40">
        <w:rPr>
          <w:rFonts w:ascii="Times New Roman" w:hAnsi="Times New Roman"/>
          <w:sz w:val="24"/>
          <w:szCs w:val="24"/>
        </w:rPr>
        <w:t xml:space="preserve"> because they set up the trust by transferring the assets to the trust and appointing the trustees. Taxation based on the settlor</w:t>
      </w:r>
      <w:r w:rsidR="00B70F21" w:rsidRPr="00A57E40">
        <w:rPr>
          <w:rFonts w:ascii="Times New Roman" w:hAnsi="Times New Roman"/>
          <w:sz w:val="24"/>
          <w:szCs w:val="24"/>
        </w:rPr>
        <w:t>’</w:t>
      </w:r>
      <w:r w:rsidRPr="00A57E40">
        <w:rPr>
          <w:rFonts w:ascii="Times New Roman" w:hAnsi="Times New Roman"/>
          <w:sz w:val="24"/>
          <w:szCs w:val="24"/>
        </w:rPr>
        <w:t xml:space="preserve">s residence makes it difficult for New Zealand residents to </w:t>
      </w:r>
      <w:r w:rsidR="00663331" w:rsidRPr="00A57E40">
        <w:rPr>
          <w:rFonts w:ascii="Times New Roman" w:hAnsi="Times New Roman"/>
          <w:sz w:val="24"/>
          <w:szCs w:val="24"/>
        </w:rPr>
        <w:t xml:space="preserve">avoid tax by holding </w:t>
      </w:r>
      <w:r w:rsidRPr="00A57E40">
        <w:rPr>
          <w:rFonts w:ascii="Times New Roman" w:hAnsi="Times New Roman"/>
          <w:sz w:val="24"/>
          <w:szCs w:val="24"/>
        </w:rPr>
        <w:t xml:space="preserve">their assets </w:t>
      </w:r>
      <w:r w:rsidR="00A57E40">
        <w:rPr>
          <w:rFonts w:ascii="Times New Roman" w:hAnsi="Times New Roman"/>
          <w:sz w:val="24"/>
          <w:szCs w:val="24"/>
        </w:rPr>
        <w:t>through overseas trustees</w:t>
      </w:r>
      <w:r w:rsidRPr="00A57E40">
        <w:rPr>
          <w:rFonts w:ascii="Times New Roman" w:hAnsi="Times New Roman"/>
          <w:sz w:val="24"/>
          <w:szCs w:val="24"/>
        </w:rPr>
        <w:t>.</w:t>
      </w:r>
      <w:r w:rsidR="00AF7AFC" w:rsidRPr="00A57E40">
        <w:rPr>
          <w:rFonts w:ascii="Times New Roman" w:hAnsi="Times New Roman"/>
          <w:sz w:val="24"/>
          <w:szCs w:val="24"/>
        </w:rPr>
        <w:t xml:space="preserve"> </w:t>
      </w:r>
    </w:p>
    <w:p w:rsidR="00033C3F" w:rsidRPr="00A57E40" w:rsidRDefault="00033C3F" w:rsidP="007B612D">
      <w:pPr>
        <w:pStyle w:val="Bullet-list"/>
        <w:spacing w:after="0" w:line="240" w:lineRule="auto"/>
        <w:ind w:left="0" w:firstLine="0"/>
        <w:jc w:val="both"/>
        <w:rPr>
          <w:rFonts w:ascii="Times New Roman" w:hAnsi="Times New Roman"/>
          <w:sz w:val="24"/>
          <w:szCs w:val="24"/>
        </w:rPr>
      </w:pPr>
    </w:p>
    <w:p w:rsidR="00AF7AFC" w:rsidRPr="00A57E40" w:rsidRDefault="00F35A65" w:rsidP="007B612D">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A57E40">
        <w:rPr>
          <w:rFonts w:ascii="Times New Roman" w:hAnsi="Times New Roman"/>
          <w:sz w:val="24"/>
          <w:szCs w:val="24"/>
        </w:rPr>
        <w:t>F</w:t>
      </w:r>
      <w:r w:rsidR="00033C3F" w:rsidRPr="00A57E40">
        <w:rPr>
          <w:rFonts w:ascii="Times New Roman" w:hAnsi="Times New Roman"/>
          <w:sz w:val="24"/>
          <w:szCs w:val="24"/>
        </w:rPr>
        <w:t>rom this starting point</w:t>
      </w:r>
      <w:r w:rsidR="00D166FC" w:rsidRPr="00A57E40">
        <w:rPr>
          <w:rFonts w:ascii="Times New Roman" w:hAnsi="Times New Roman"/>
          <w:sz w:val="24"/>
          <w:szCs w:val="24"/>
        </w:rPr>
        <w:t>,</w:t>
      </w:r>
      <w:r w:rsidR="00033C3F" w:rsidRPr="00A57E40">
        <w:rPr>
          <w:rFonts w:ascii="Times New Roman" w:hAnsi="Times New Roman"/>
          <w:sz w:val="24"/>
          <w:szCs w:val="24"/>
        </w:rPr>
        <w:t xml:space="preserve"> it naturally follows that a trust with a foreign settlor is a foreign trust even when the trustees are resident in New Zealand. A foreign trust that derives foreign sourced income will not be taxed in New Zealand on that income (assuming no New Zealand resident beneficiaries). </w:t>
      </w:r>
    </w:p>
    <w:p w:rsidR="00AF7AFC" w:rsidRPr="00A57E40" w:rsidRDefault="00AF7AFC" w:rsidP="0027520A">
      <w:pPr>
        <w:pStyle w:val="ListParagraph"/>
        <w:ind w:left="0"/>
        <w:rPr>
          <w:szCs w:val="24"/>
        </w:rPr>
      </w:pPr>
    </w:p>
    <w:p w:rsidR="005B738C" w:rsidRPr="00A57E40" w:rsidRDefault="00AF7AFC" w:rsidP="007B612D">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A57E40">
        <w:rPr>
          <w:rFonts w:ascii="Times New Roman" w:hAnsi="Times New Roman"/>
          <w:sz w:val="24"/>
          <w:szCs w:val="24"/>
        </w:rPr>
        <w:t>There is now a foreig</w:t>
      </w:r>
      <w:r w:rsidR="00A57E40">
        <w:rPr>
          <w:rFonts w:ascii="Times New Roman" w:hAnsi="Times New Roman"/>
          <w:sz w:val="24"/>
          <w:szCs w:val="24"/>
        </w:rPr>
        <w:t>n trust industry in New Zealand as a result of n</w:t>
      </w:r>
      <w:r w:rsidRPr="00A57E40">
        <w:rPr>
          <w:rFonts w:ascii="Times New Roman" w:hAnsi="Times New Roman"/>
          <w:sz w:val="24"/>
          <w:szCs w:val="24"/>
        </w:rPr>
        <w:t xml:space="preserve">on-resident settlors </w:t>
      </w:r>
      <w:r w:rsidR="00A57E40">
        <w:rPr>
          <w:rFonts w:ascii="Times New Roman" w:hAnsi="Times New Roman"/>
          <w:sz w:val="24"/>
          <w:szCs w:val="24"/>
        </w:rPr>
        <w:t xml:space="preserve">being able </w:t>
      </w:r>
      <w:r w:rsidRPr="00A57E40">
        <w:rPr>
          <w:rFonts w:ascii="Times New Roman" w:hAnsi="Times New Roman"/>
          <w:sz w:val="24"/>
          <w:szCs w:val="24"/>
        </w:rPr>
        <w:t xml:space="preserve">to accumulate assets and income in a foreign trust with no New Zealand tax. </w:t>
      </w:r>
      <w:r w:rsidR="000A6805" w:rsidRPr="00A57E40">
        <w:rPr>
          <w:rFonts w:ascii="Times New Roman" w:hAnsi="Times New Roman"/>
          <w:sz w:val="24"/>
          <w:szCs w:val="24"/>
        </w:rPr>
        <w:t>New Zealand a</w:t>
      </w:r>
      <w:r w:rsidRPr="00A57E40">
        <w:rPr>
          <w:rFonts w:ascii="Times New Roman" w:hAnsi="Times New Roman"/>
          <w:sz w:val="24"/>
          <w:szCs w:val="24"/>
        </w:rPr>
        <w:t>dvisors</w:t>
      </w:r>
      <w:r w:rsidR="000A6805" w:rsidRPr="00A57E40">
        <w:rPr>
          <w:rFonts w:ascii="Times New Roman" w:hAnsi="Times New Roman"/>
          <w:sz w:val="24"/>
          <w:szCs w:val="24"/>
        </w:rPr>
        <w:t xml:space="preserve"> (and their overseas agents)</w:t>
      </w:r>
      <w:r w:rsidRPr="00A57E40">
        <w:rPr>
          <w:rFonts w:ascii="Times New Roman" w:hAnsi="Times New Roman"/>
          <w:sz w:val="24"/>
          <w:szCs w:val="24"/>
        </w:rPr>
        <w:t xml:space="preserve"> help foreigners establish and manage foreign trusts for a fee. </w:t>
      </w:r>
      <w:r w:rsidR="00881C9E" w:rsidRPr="00A57E40">
        <w:rPr>
          <w:rFonts w:ascii="Times New Roman" w:hAnsi="Times New Roman"/>
          <w:sz w:val="24"/>
          <w:szCs w:val="24"/>
        </w:rPr>
        <w:t>F</w:t>
      </w:r>
      <w:r w:rsidRPr="00A57E40">
        <w:rPr>
          <w:rFonts w:ascii="Times New Roman" w:hAnsi="Times New Roman"/>
          <w:sz w:val="24"/>
          <w:szCs w:val="24"/>
        </w:rPr>
        <w:t xml:space="preserve">oreign trusts </w:t>
      </w:r>
      <w:r w:rsidR="00881C9E" w:rsidRPr="00A57E40">
        <w:rPr>
          <w:rFonts w:ascii="Times New Roman" w:hAnsi="Times New Roman"/>
          <w:sz w:val="24"/>
          <w:szCs w:val="24"/>
        </w:rPr>
        <w:t xml:space="preserve">with New Zealand trustees </w:t>
      </w:r>
      <w:r w:rsidRPr="00A57E40">
        <w:rPr>
          <w:rFonts w:ascii="Times New Roman" w:hAnsi="Times New Roman"/>
          <w:sz w:val="24"/>
          <w:szCs w:val="24"/>
        </w:rPr>
        <w:t xml:space="preserve">are marketed </w:t>
      </w:r>
      <w:r w:rsidR="00A02F41" w:rsidRPr="00A57E40">
        <w:rPr>
          <w:rFonts w:ascii="Times New Roman" w:hAnsi="Times New Roman"/>
          <w:sz w:val="24"/>
          <w:szCs w:val="24"/>
        </w:rPr>
        <w:t xml:space="preserve">on the basis of New Zealand’s settlor-based tax rules, and stable regulatory environment based on common law.  </w:t>
      </w:r>
    </w:p>
    <w:p w:rsidR="005B738C" w:rsidRPr="00A57E40" w:rsidRDefault="005B738C" w:rsidP="001C783B">
      <w:pPr>
        <w:pStyle w:val="Bullet-list"/>
        <w:spacing w:after="0" w:line="240" w:lineRule="auto"/>
        <w:ind w:left="0" w:firstLine="0"/>
        <w:rPr>
          <w:rFonts w:ascii="Times New Roman" w:hAnsi="Times New Roman"/>
          <w:sz w:val="24"/>
          <w:szCs w:val="24"/>
        </w:rPr>
      </w:pPr>
    </w:p>
    <w:p w:rsidR="00B955D8" w:rsidRPr="00A57E40" w:rsidRDefault="00B955D8" w:rsidP="00663331">
      <w:pPr>
        <w:pStyle w:val="ListParagraph"/>
        <w:ind w:left="0"/>
        <w:rPr>
          <w:rFonts w:ascii="Times New Roman" w:hAnsi="Times New Roman"/>
          <w:b/>
          <w:sz w:val="24"/>
          <w:szCs w:val="24"/>
          <w:lang w:val="en-AU"/>
        </w:rPr>
      </w:pPr>
      <w:r w:rsidRPr="00A57E40">
        <w:rPr>
          <w:rFonts w:ascii="Times New Roman" w:hAnsi="Times New Roman"/>
          <w:b/>
          <w:sz w:val="24"/>
          <w:szCs w:val="24"/>
          <w:lang w:val="en-AU"/>
        </w:rPr>
        <w:t xml:space="preserve">Current tax disclosure </w:t>
      </w:r>
      <w:r w:rsidR="0035401A" w:rsidRPr="00A57E40">
        <w:rPr>
          <w:rFonts w:ascii="Times New Roman" w:hAnsi="Times New Roman"/>
          <w:b/>
          <w:sz w:val="24"/>
          <w:szCs w:val="24"/>
          <w:lang w:val="en-AU"/>
        </w:rPr>
        <w:t>and record-keeping requirements</w:t>
      </w:r>
    </w:p>
    <w:p w:rsidR="00D506AA" w:rsidRPr="00A57E40" w:rsidRDefault="00D506AA" w:rsidP="00663331">
      <w:pPr>
        <w:pStyle w:val="ListParagraph"/>
        <w:ind w:left="0"/>
        <w:rPr>
          <w:rFonts w:ascii="Times New Roman" w:hAnsi="Times New Roman"/>
          <w:b/>
          <w:sz w:val="24"/>
          <w:szCs w:val="24"/>
        </w:rPr>
      </w:pPr>
    </w:p>
    <w:p w:rsidR="0035401A" w:rsidRPr="00A57E40" w:rsidRDefault="006F0804" w:rsidP="00663331">
      <w:pPr>
        <w:pStyle w:val="CommentText"/>
        <w:numPr>
          <w:ilvl w:val="0"/>
          <w:numId w:val="2"/>
        </w:numPr>
        <w:tabs>
          <w:tab w:val="clear" w:pos="644"/>
          <w:tab w:val="num" w:pos="0"/>
        </w:tabs>
        <w:spacing w:after="0" w:line="240" w:lineRule="auto"/>
        <w:ind w:left="0" w:firstLine="0"/>
        <w:jc w:val="both"/>
        <w:rPr>
          <w:rFonts w:ascii="Times New Roman" w:hAnsi="Times New Roman"/>
          <w:sz w:val="24"/>
          <w:szCs w:val="24"/>
        </w:rPr>
      </w:pPr>
      <w:r w:rsidRPr="00A57E40">
        <w:rPr>
          <w:rFonts w:ascii="Times New Roman" w:hAnsi="Times New Roman"/>
          <w:sz w:val="24"/>
          <w:szCs w:val="24"/>
        </w:rPr>
        <w:t>Since 2006, f</w:t>
      </w:r>
      <w:r w:rsidR="0035401A" w:rsidRPr="00A57E40">
        <w:rPr>
          <w:rFonts w:ascii="Times New Roman" w:hAnsi="Times New Roman"/>
          <w:sz w:val="24"/>
          <w:szCs w:val="24"/>
        </w:rPr>
        <w:t xml:space="preserve">oreign trusts </w:t>
      </w:r>
      <w:r w:rsidR="00364FB1" w:rsidRPr="00A57E40">
        <w:rPr>
          <w:rFonts w:ascii="Times New Roman" w:hAnsi="Times New Roman"/>
          <w:sz w:val="24"/>
          <w:szCs w:val="24"/>
        </w:rPr>
        <w:t>which have a New Zealand</w:t>
      </w:r>
      <w:r w:rsidR="00881C9E" w:rsidRPr="00A57E40">
        <w:rPr>
          <w:rFonts w:ascii="Times New Roman" w:hAnsi="Times New Roman"/>
          <w:sz w:val="24"/>
          <w:szCs w:val="24"/>
        </w:rPr>
        <w:t xml:space="preserve"> </w:t>
      </w:r>
      <w:r w:rsidR="00364FB1" w:rsidRPr="00A57E40">
        <w:rPr>
          <w:rFonts w:ascii="Times New Roman" w:hAnsi="Times New Roman"/>
          <w:sz w:val="24"/>
          <w:szCs w:val="24"/>
        </w:rPr>
        <w:t xml:space="preserve">resident trustee </w:t>
      </w:r>
      <w:r w:rsidR="00283067">
        <w:rPr>
          <w:rFonts w:ascii="Times New Roman" w:hAnsi="Times New Roman"/>
          <w:sz w:val="24"/>
          <w:szCs w:val="24"/>
        </w:rPr>
        <w:t>have been</w:t>
      </w:r>
      <w:r w:rsidR="0035401A" w:rsidRPr="00A57E40">
        <w:rPr>
          <w:rFonts w:ascii="Times New Roman" w:hAnsi="Times New Roman"/>
          <w:sz w:val="24"/>
          <w:szCs w:val="24"/>
        </w:rPr>
        <w:t xml:space="preserve"> required </w:t>
      </w:r>
      <w:r w:rsidR="0013073B" w:rsidRPr="00A57E40">
        <w:rPr>
          <w:rFonts w:ascii="Times New Roman" w:hAnsi="Times New Roman"/>
          <w:sz w:val="24"/>
          <w:szCs w:val="24"/>
        </w:rPr>
        <w:t>by the Tax Administration Act 1994 (</w:t>
      </w:r>
      <w:proofErr w:type="spellStart"/>
      <w:r w:rsidR="0013073B" w:rsidRPr="00A57E40">
        <w:rPr>
          <w:rFonts w:ascii="Times New Roman" w:hAnsi="Times New Roman"/>
          <w:sz w:val="24"/>
          <w:szCs w:val="24"/>
        </w:rPr>
        <w:t>TAA</w:t>
      </w:r>
      <w:proofErr w:type="spellEnd"/>
      <w:r w:rsidR="0013073B" w:rsidRPr="00A57E40">
        <w:rPr>
          <w:rFonts w:ascii="Times New Roman" w:hAnsi="Times New Roman"/>
          <w:sz w:val="24"/>
          <w:szCs w:val="24"/>
        </w:rPr>
        <w:t xml:space="preserve">) </w:t>
      </w:r>
      <w:r w:rsidR="0035401A" w:rsidRPr="00A57E40">
        <w:rPr>
          <w:rFonts w:ascii="Times New Roman" w:hAnsi="Times New Roman"/>
          <w:sz w:val="24"/>
          <w:szCs w:val="24"/>
        </w:rPr>
        <w:t xml:space="preserve">to </w:t>
      </w:r>
      <w:r w:rsidR="0013073B" w:rsidRPr="00A57E40">
        <w:rPr>
          <w:rFonts w:ascii="Times New Roman" w:hAnsi="Times New Roman"/>
          <w:sz w:val="24"/>
          <w:szCs w:val="24"/>
        </w:rPr>
        <w:t xml:space="preserve">disclose </w:t>
      </w:r>
      <w:r w:rsidR="0035401A" w:rsidRPr="00A57E40">
        <w:rPr>
          <w:rFonts w:ascii="Times New Roman" w:hAnsi="Times New Roman"/>
          <w:sz w:val="24"/>
          <w:szCs w:val="24"/>
        </w:rPr>
        <w:t xml:space="preserve">certain information to the Commissioner of Inland Revenue </w:t>
      </w:r>
      <w:r w:rsidR="0013073B" w:rsidRPr="00A57E40">
        <w:rPr>
          <w:rFonts w:ascii="Times New Roman" w:hAnsi="Times New Roman"/>
          <w:sz w:val="24"/>
          <w:szCs w:val="24"/>
        </w:rPr>
        <w:t>upon establishment</w:t>
      </w:r>
      <w:r w:rsidR="0035401A" w:rsidRPr="00A57E40">
        <w:rPr>
          <w:rFonts w:ascii="Times New Roman" w:hAnsi="Times New Roman"/>
          <w:sz w:val="24"/>
          <w:szCs w:val="24"/>
        </w:rPr>
        <w:t xml:space="preserve">. There is currently no formal registration process or register for foreign trusts. </w:t>
      </w:r>
    </w:p>
    <w:p w:rsidR="0035401A" w:rsidRPr="00A57E40" w:rsidRDefault="0035401A" w:rsidP="007B612D">
      <w:pPr>
        <w:pStyle w:val="CommentText"/>
        <w:spacing w:after="0" w:line="240" w:lineRule="auto"/>
        <w:jc w:val="both"/>
        <w:rPr>
          <w:rFonts w:ascii="Times New Roman" w:hAnsi="Times New Roman"/>
          <w:sz w:val="24"/>
          <w:szCs w:val="24"/>
        </w:rPr>
      </w:pPr>
    </w:p>
    <w:p w:rsidR="0035401A" w:rsidRPr="00A57E40" w:rsidRDefault="00283067" w:rsidP="007B612D">
      <w:pPr>
        <w:pStyle w:val="CommentText"/>
        <w:numPr>
          <w:ilvl w:val="0"/>
          <w:numId w:val="2"/>
        </w:numPr>
        <w:spacing w:after="0" w:line="240" w:lineRule="auto"/>
        <w:ind w:left="0" w:firstLine="0"/>
        <w:jc w:val="both"/>
        <w:rPr>
          <w:rFonts w:ascii="Times New Roman" w:hAnsi="Times New Roman"/>
          <w:sz w:val="24"/>
          <w:szCs w:val="24"/>
        </w:rPr>
      </w:pPr>
      <w:r>
        <w:rPr>
          <w:rFonts w:ascii="Times New Roman" w:hAnsi="Times New Roman"/>
          <w:sz w:val="24"/>
          <w:szCs w:val="24"/>
        </w:rPr>
        <w:t>T</w:t>
      </w:r>
      <w:r w:rsidR="0035401A" w:rsidRPr="00A57E40">
        <w:rPr>
          <w:rFonts w:ascii="Times New Roman" w:hAnsi="Times New Roman"/>
          <w:sz w:val="24"/>
          <w:szCs w:val="24"/>
        </w:rPr>
        <w:t xml:space="preserve">he information that is required to be disclosed upon </w:t>
      </w:r>
      <w:r w:rsidR="0013073B" w:rsidRPr="00A57E40">
        <w:rPr>
          <w:rFonts w:ascii="Times New Roman" w:hAnsi="Times New Roman"/>
          <w:sz w:val="24"/>
          <w:szCs w:val="24"/>
        </w:rPr>
        <w:t xml:space="preserve">establishment </w:t>
      </w:r>
      <w:r w:rsidR="0035401A" w:rsidRPr="00A57E40">
        <w:rPr>
          <w:rFonts w:ascii="Times New Roman" w:hAnsi="Times New Roman"/>
          <w:sz w:val="24"/>
          <w:szCs w:val="24"/>
        </w:rPr>
        <w:t xml:space="preserve">is the name </w:t>
      </w:r>
      <w:r w:rsidR="0013073B" w:rsidRPr="00A57E40">
        <w:rPr>
          <w:rFonts w:ascii="Times New Roman" w:hAnsi="Times New Roman"/>
          <w:sz w:val="24"/>
          <w:szCs w:val="24"/>
        </w:rPr>
        <w:t xml:space="preserve">or identifying </w:t>
      </w:r>
      <w:r w:rsidR="00CA1535" w:rsidRPr="00A57E40">
        <w:rPr>
          <w:rFonts w:ascii="Times New Roman" w:hAnsi="Times New Roman"/>
          <w:sz w:val="24"/>
          <w:szCs w:val="24"/>
        </w:rPr>
        <w:t xml:space="preserve">particulars </w:t>
      </w:r>
      <w:r w:rsidR="0035401A" w:rsidRPr="00A57E40">
        <w:rPr>
          <w:rFonts w:ascii="Times New Roman" w:hAnsi="Times New Roman"/>
          <w:sz w:val="24"/>
          <w:szCs w:val="24"/>
        </w:rPr>
        <w:t>of the foreign trust, the name of a New Zealand trustee, and whether there is an Australian settlor.</w:t>
      </w:r>
    </w:p>
    <w:p w:rsidR="0035401A" w:rsidRPr="00A57E40" w:rsidRDefault="0035401A" w:rsidP="007B612D">
      <w:pPr>
        <w:pStyle w:val="CommentText"/>
        <w:spacing w:after="0" w:line="240" w:lineRule="auto"/>
        <w:jc w:val="both"/>
        <w:rPr>
          <w:rFonts w:ascii="Times New Roman" w:hAnsi="Times New Roman"/>
          <w:sz w:val="24"/>
          <w:szCs w:val="24"/>
        </w:rPr>
      </w:pPr>
    </w:p>
    <w:p w:rsidR="0035401A" w:rsidRPr="00A57E40" w:rsidRDefault="0035401A" w:rsidP="007B612D">
      <w:pPr>
        <w:pStyle w:val="CommentText"/>
        <w:numPr>
          <w:ilvl w:val="0"/>
          <w:numId w:val="2"/>
        </w:numPr>
        <w:spacing w:after="0" w:line="240" w:lineRule="auto"/>
        <w:ind w:left="0" w:firstLine="0"/>
        <w:jc w:val="both"/>
        <w:rPr>
          <w:rFonts w:ascii="Times New Roman" w:hAnsi="Times New Roman"/>
          <w:sz w:val="24"/>
          <w:szCs w:val="24"/>
        </w:rPr>
      </w:pPr>
      <w:r w:rsidRPr="00A57E40">
        <w:rPr>
          <w:rFonts w:ascii="Times New Roman" w:hAnsi="Times New Roman"/>
          <w:sz w:val="24"/>
          <w:szCs w:val="24"/>
        </w:rPr>
        <w:t>New Zealand resident trustees of foreign trusts are also required to keep certain records in relation to the foreign trust</w:t>
      </w:r>
      <w:r w:rsidR="00871EEB" w:rsidRPr="00A57E40">
        <w:rPr>
          <w:rFonts w:ascii="Times New Roman" w:hAnsi="Times New Roman"/>
          <w:sz w:val="24"/>
          <w:szCs w:val="24"/>
        </w:rPr>
        <w:t>, including</w:t>
      </w:r>
      <w:r w:rsidRPr="00A57E40">
        <w:rPr>
          <w:rFonts w:ascii="Times New Roman" w:hAnsi="Times New Roman"/>
          <w:sz w:val="24"/>
          <w:szCs w:val="24"/>
        </w:rPr>
        <w:t xml:space="preserve"> the trust deed, and </w:t>
      </w:r>
      <w:r w:rsidR="00871EEB" w:rsidRPr="00A57E40">
        <w:rPr>
          <w:rFonts w:ascii="Times New Roman" w:hAnsi="Times New Roman"/>
          <w:sz w:val="24"/>
          <w:szCs w:val="24"/>
        </w:rPr>
        <w:t xml:space="preserve">(if they are known) the </w:t>
      </w:r>
      <w:r w:rsidRPr="00A57E40">
        <w:rPr>
          <w:rFonts w:ascii="Times New Roman" w:hAnsi="Times New Roman"/>
          <w:sz w:val="24"/>
          <w:szCs w:val="24"/>
        </w:rPr>
        <w:t xml:space="preserve">names and addresses of settlors </w:t>
      </w:r>
      <w:r w:rsidR="0013073B" w:rsidRPr="00A57E40">
        <w:rPr>
          <w:rFonts w:ascii="Times New Roman" w:hAnsi="Times New Roman"/>
          <w:sz w:val="24"/>
          <w:szCs w:val="24"/>
        </w:rPr>
        <w:t xml:space="preserve">who make a settlement on the trust </w:t>
      </w:r>
      <w:r w:rsidRPr="00A57E40">
        <w:rPr>
          <w:rFonts w:ascii="Times New Roman" w:hAnsi="Times New Roman"/>
          <w:sz w:val="24"/>
          <w:szCs w:val="24"/>
        </w:rPr>
        <w:t>and beneficiaries who receive a distribution</w:t>
      </w:r>
      <w:r w:rsidR="00871EEB" w:rsidRPr="00A57E40">
        <w:rPr>
          <w:rFonts w:ascii="Times New Roman" w:hAnsi="Times New Roman"/>
          <w:sz w:val="24"/>
          <w:szCs w:val="24"/>
        </w:rPr>
        <w:t>.</w:t>
      </w:r>
    </w:p>
    <w:p w:rsidR="0035401A" w:rsidRPr="00A57E40" w:rsidRDefault="0035401A" w:rsidP="007B612D">
      <w:pPr>
        <w:pStyle w:val="CommentText"/>
        <w:spacing w:after="0" w:line="240" w:lineRule="auto"/>
        <w:jc w:val="both"/>
        <w:rPr>
          <w:rFonts w:ascii="Times New Roman" w:hAnsi="Times New Roman"/>
          <w:sz w:val="24"/>
          <w:szCs w:val="24"/>
        </w:rPr>
      </w:pPr>
    </w:p>
    <w:p w:rsidR="00667411" w:rsidRPr="00A57E40" w:rsidRDefault="00667411" w:rsidP="00663331">
      <w:pPr>
        <w:pStyle w:val="ListParagraph"/>
        <w:numPr>
          <w:ilvl w:val="0"/>
          <w:numId w:val="2"/>
        </w:numPr>
        <w:tabs>
          <w:tab w:val="clear" w:pos="644"/>
          <w:tab w:val="num" w:pos="0"/>
        </w:tabs>
        <w:ind w:left="0" w:firstLine="0"/>
        <w:rPr>
          <w:rFonts w:ascii="Times New Roman" w:hAnsi="Times New Roman"/>
          <w:sz w:val="24"/>
          <w:szCs w:val="24"/>
          <w:lang w:val="en-GB" w:eastAsia="en-GB"/>
        </w:rPr>
      </w:pPr>
      <w:r w:rsidRPr="00A57E40">
        <w:rPr>
          <w:rFonts w:ascii="Times New Roman" w:hAnsi="Times New Roman"/>
          <w:sz w:val="24"/>
          <w:szCs w:val="24"/>
        </w:rPr>
        <w:t xml:space="preserve">These records must </w:t>
      </w:r>
      <w:r w:rsidRPr="00A57E40">
        <w:rPr>
          <w:rFonts w:ascii="Times New Roman" w:hAnsi="Times New Roman"/>
          <w:sz w:val="24"/>
          <w:szCs w:val="24"/>
          <w:lang w:val="en-GB" w:eastAsia="en-GB"/>
        </w:rPr>
        <w:t xml:space="preserve">be provided to Inland Revenue on request. </w:t>
      </w:r>
      <w:r w:rsidR="00871EEB" w:rsidRPr="00A57E40">
        <w:rPr>
          <w:rFonts w:ascii="Times New Roman" w:hAnsi="Times New Roman"/>
          <w:sz w:val="24"/>
          <w:szCs w:val="24"/>
          <w:lang w:val="en-GB" w:eastAsia="en-GB"/>
        </w:rPr>
        <w:t>If the information provided upon initial disclosure has changed, the</w:t>
      </w:r>
      <w:r w:rsidRPr="00A57E40">
        <w:rPr>
          <w:rFonts w:ascii="Times New Roman" w:hAnsi="Times New Roman"/>
          <w:sz w:val="24"/>
          <w:szCs w:val="24"/>
          <w:lang w:val="en-GB" w:eastAsia="en-GB"/>
        </w:rPr>
        <w:t xml:space="preserve"> New Zealand</w:t>
      </w:r>
      <w:r w:rsidR="00881C9E" w:rsidRPr="00A57E40">
        <w:rPr>
          <w:rFonts w:ascii="Times New Roman" w:hAnsi="Times New Roman"/>
          <w:sz w:val="24"/>
          <w:szCs w:val="24"/>
          <w:lang w:val="en-GB" w:eastAsia="en-GB"/>
        </w:rPr>
        <w:t xml:space="preserve"> </w:t>
      </w:r>
      <w:r w:rsidR="00F234C9" w:rsidRPr="00A57E40">
        <w:rPr>
          <w:rFonts w:ascii="Times New Roman" w:hAnsi="Times New Roman"/>
          <w:sz w:val="24"/>
          <w:szCs w:val="24"/>
          <w:lang w:val="en-GB" w:eastAsia="en-GB"/>
        </w:rPr>
        <w:t xml:space="preserve">resident </w:t>
      </w:r>
      <w:r w:rsidRPr="00A57E40">
        <w:rPr>
          <w:rFonts w:ascii="Times New Roman" w:hAnsi="Times New Roman"/>
          <w:sz w:val="24"/>
          <w:szCs w:val="24"/>
          <w:lang w:val="en-GB" w:eastAsia="en-GB"/>
        </w:rPr>
        <w:t>trustee</w:t>
      </w:r>
      <w:r w:rsidR="00871EEB" w:rsidRPr="00A57E40">
        <w:rPr>
          <w:rFonts w:ascii="Times New Roman" w:hAnsi="Times New Roman"/>
          <w:sz w:val="24"/>
          <w:szCs w:val="24"/>
          <w:lang w:val="en-GB" w:eastAsia="en-GB"/>
        </w:rPr>
        <w:t xml:space="preserve"> </w:t>
      </w:r>
      <w:proofErr w:type="gramStart"/>
      <w:r w:rsidR="00871EEB" w:rsidRPr="00A57E40">
        <w:rPr>
          <w:rFonts w:ascii="Times New Roman" w:hAnsi="Times New Roman"/>
          <w:sz w:val="24"/>
          <w:szCs w:val="24"/>
          <w:lang w:val="en-GB" w:eastAsia="en-GB"/>
        </w:rPr>
        <w:t xml:space="preserve">of a </w:t>
      </w:r>
      <w:r w:rsidR="00881C9E" w:rsidRPr="00A57E40">
        <w:rPr>
          <w:rFonts w:ascii="Times New Roman" w:hAnsi="Times New Roman"/>
          <w:sz w:val="24"/>
          <w:szCs w:val="24"/>
          <w:lang w:val="en-GB" w:eastAsia="en-GB"/>
        </w:rPr>
        <w:t>foreign trusts</w:t>
      </w:r>
      <w:proofErr w:type="gramEnd"/>
      <w:r w:rsidR="00881C9E" w:rsidRPr="00A57E40">
        <w:rPr>
          <w:rFonts w:ascii="Times New Roman" w:hAnsi="Times New Roman"/>
          <w:sz w:val="24"/>
          <w:szCs w:val="24"/>
          <w:lang w:val="en-GB" w:eastAsia="en-GB"/>
        </w:rPr>
        <w:t xml:space="preserve"> </w:t>
      </w:r>
      <w:r w:rsidRPr="00A57E40">
        <w:rPr>
          <w:rFonts w:ascii="Times New Roman" w:hAnsi="Times New Roman"/>
          <w:sz w:val="24"/>
          <w:szCs w:val="24"/>
          <w:lang w:val="en-GB" w:eastAsia="en-GB"/>
        </w:rPr>
        <w:t xml:space="preserve">must update the information, but annual filing </w:t>
      </w:r>
      <w:r w:rsidR="00F35A65" w:rsidRPr="00A57E40">
        <w:rPr>
          <w:rFonts w:ascii="Times New Roman" w:hAnsi="Times New Roman"/>
          <w:sz w:val="24"/>
          <w:szCs w:val="24"/>
          <w:lang w:val="en-GB" w:eastAsia="en-GB"/>
        </w:rPr>
        <w:t xml:space="preserve">with </w:t>
      </w:r>
      <w:r w:rsidRPr="00A57E40">
        <w:rPr>
          <w:rFonts w:ascii="Times New Roman" w:hAnsi="Times New Roman"/>
          <w:sz w:val="24"/>
          <w:szCs w:val="24"/>
          <w:lang w:val="en-GB" w:eastAsia="en-GB"/>
        </w:rPr>
        <w:t xml:space="preserve">Inland Revenue is not otherwise required.  </w:t>
      </w:r>
    </w:p>
    <w:p w:rsidR="00F35A65" w:rsidRPr="00A57E40" w:rsidRDefault="00F35A65" w:rsidP="00CB24D4">
      <w:pPr>
        <w:pStyle w:val="ListParagraph"/>
        <w:rPr>
          <w:rFonts w:ascii="Times New Roman" w:hAnsi="Times New Roman"/>
          <w:sz w:val="24"/>
          <w:szCs w:val="24"/>
          <w:lang w:val="en-GB" w:eastAsia="en-GB"/>
        </w:rPr>
      </w:pPr>
    </w:p>
    <w:p w:rsidR="00F35A65" w:rsidRPr="00A57E40" w:rsidRDefault="00F35A65" w:rsidP="00CB24D4">
      <w:pPr>
        <w:rPr>
          <w:rFonts w:ascii="Times New Roman" w:hAnsi="Times New Roman"/>
          <w:b/>
          <w:sz w:val="24"/>
          <w:szCs w:val="24"/>
          <w:lang w:val="en-AU"/>
        </w:rPr>
      </w:pPr>
      <w:r w:rsidRPr="00A57E40">
        <w:rPr>
          <w:rFonts w:ascii="Times New Roman" w:hAnsi="Times New Roman"/>
          <w:b/>
          <w:sz w:val="24"/>
          <w:szCs w:val="24"/>
          <w:lang w:val="en-AU"/>
        </w:rPr>
        <w:lastRenderedPageBreak/>
        <w:t>Sanctions for non-compliance</w:t>
      </w:r>
    </w:p>
    <w:p w:rsidR="00667411" w:rsidRPr="00A57E40" w:rsidRDefault="00667411" w:rsidP="007B612D">
      <w:pPr>
        <w:pStyle w:val="CommentText"/>
        <w:numPr>
          <w:ilvl w:val="0"/>
          <w:numId w:val="2"/>
        </w:numPr>
        <w:tabs>
          <w:tab w:val="num" w:pos="0"/>
        </w:tabs>
        <w:spacing w:after="0" w:line="240" w:lineRule="auto"/>
        <w:ind w:left="0" w:firstLine="0"/>
        <w:jc w:val="both"/>
        <w:rPr>
          <w:rFonts w:ascii="Times New Roman" w:hAnsi="Times New Roman"/>
          <w:sz w:val="24"/>
          <w:szCs w:val="24"/>
        </w:rPr>
      </w:pPr>
      <w:r w:rsidRPr="00A57E40">
        <w:rPr>
          <w:rFonts w:ascii="Times New Roman" w:hAnsi="Times New Roman"/>
          <w:sz w:val="24"/>
          <w:szCs w:val="24"/>
        </w:rPr>
        <w:t>Under current law, an intentional breach of a requirement to supply information to Inland Revenue can result in a fine of up to $50,000 and imprisonment for up to 5 years.</w:t>
      </w:r>
    </w:p>
    <w:p w:rsidR="00667411" w:rsidRPr="00A57E40" w:rsidRDefault="00667411" w:rsidP="00667411">
      <w:pPr>
        <w:pStyle w:val="CommentText"/>
        <w:spacing w:after="0" w:line="240" w:lineRule="auto"/>
        <w:rPr>
          <w:rFonts w:ascii="Times New Roman" w:hAnsi="Times New Roman"/>
          <w:sz w:val="24"/>
          <w:szCs w:val="24"/>
        </w:rPr>
      </w:pPr>
    </w:p>
    <w:p w:rsidR="00667411" w:rsidRPr="00A57E40" w:rsidRDefault="00667411" w:rsidP="00667411">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rPr>
        <w:t>As noted above,</w:t>
      </w:r>
      <w:r w:rsidRPr="00A57E40">
        <w:rPr>
          <w:rFonts w:ascii="Times New Roman" w:hAnsi="Times New Roman"/>
          <w:sz w:val="24"/>
          <w:szCs w:val="24"/>
          <w:lang w:val="en-GB" w:eastAsia="en-GB"/>
        </w:rPr>
        <w:t xml:space="preserve"> foreign trusts are not taxable in New Zealand if they earn no New Zealand sourced income. However, the current rules provide that if a foreign trust does not have a </w:t>
      </w:r>
      <w:r w:rsidRPr="00A57E40">
        <w:rPr>
          <w:rFonts w:ascii="Times New Roman" w:hAnsi="Times New Roman"/>
          <w:sz w:val="24"/>
          <w:szCs w:val="24"/>
          <w:u w:val="single"/>
          <w:lang w:val="en-GB" w:eastAsia="en-GB"/>
        </w:rPr>
        <w:t>qualifying</w:t>
      </w:r>
      <w:r w:rsidRPr="00A57E40">
        <w:rPr>
          <w:rFonts w:ascii="Times New Roman" w:hAnsi="Times New Roman"/>
          <w:sz w:val="24"/>
          <w:szCs w:val="24"/>
          <w:lang w:val="en-GB" w:eastAsia="en-GB"/>
        </w:rPr>
        <w:t xml:space="preserve"> resident foreign trustee for an income year and information requested by Inland Revenue is not provided, then if a conviction occurs the foreign trust will be subject to New Zealand tax on its worldwide income. A foreign trust will have a qualifying resident foreign trustee if one of its trustees is a member of a specified professional body (such as the New Zealand Law Society or Chartered Accountants Australia and New Zealand). </w:t>
      </w:r>
    </w:p>
    <w:p w:rsidR="00667411" w:rsidRPr="00A57E40" w:rsidRDefault="00667411" w:rsidP="00667411">
      <w:pPr>
        <w:pStyle w:val="ListParagraph"/>
        <w:ind w:left="0"/>
        <w:rPr>
          <w:rFonts w:ascii="Times New Roman" w:hAnsi="Times New Roman"/>
          <w:sz w:val="24"/>
          <w:szCs w:val="24"/>
          <w:lang w:val="en-GB" w:eastAsia="en-GB"/>
        </w:rPr>
      </w:pPr>
    </w:p>
    <w:p w:rsidR="00667411" w:rsidRPr="00A57E40" w:rsidRDefault="00667411" w:rsidP="00663331">
      <w:pPr>
        <w:pStyle w:val="ListParagraph"/>
        <w:numPr>
          <w:ilvl w:val="0"/>
          <w:numId w:val="2"/>
        </w:numPr>
        <w:tabs>
          <w:tab w:val="num" w:pos="0"/>
        </w:tabs>
        <w:ind w:left="0" w:firstLine="0"/>
        <w:rPr>
          <w:rFonts w:ascii="Times New Roman" w:hAnsi="Times New Roman"/>
          <w:sz w:val="24"/>
          <w:szCs w:val="24"/>
        </w:rPr>
      </w:pPr>
      <w:r w:rsidRPr="00A57E40">
        <w:rPr>
          <w:rFonts w:ascii="Times New Roman" w:hAnsi="Times New Roman"/>
          <w:sz w:val="24"/>
          <w:szCs w:val="24"/>
        </w:rPr>
        <w:t>This means that</w:t>
      </w:r>
      <w:r w:rsidRPr="00A57E40">
        <w:t xml:space="preserve"> </w:t>
      </w:r>
      <w:r w:rsidRPr="00A57E40">
        <w:rPr>
          <w:rFonts w:ascii="Times New Roman" w:hAnsi="Times New Roman"/>
          <w:sz w:val="24"/>
          <w:szCs w:val="24"/>
          <w:lang w:val="en-GB" w:eastAsia="en-GB"/>
        </w:rPr>
        <w:t xml:space="preserve">where a trustee of a foreign trust is convicted of intentionally not providing information to Inland Revenue in relation to that foreign trust, the foreign trust will not be subject to </w:t>
      </w:r>
      <w:r w:rsidR="00F35A65" w:rsidRPr="00A57E40">
        <w:rPr>
          <w:rFonts w:ascii="Times New Roman" w:hAnsi="Times New Roman"/>
          <w:sz w:val="24"/>
          <w:szCs w:val="24"/>
          <w:lang w:val="en-GB" w:eastAsia="en-GB"/>
        </w:rPr>
        <w:t xml:space="preserve">New Zealand </w:t>
      </w:r>
      <w:r w:rsidRPr="00A57E40">
        <w:rPr>
          <w:rFonts w:ascii="Times New Roman" w:hAnsi="Times New Roman"/>
          <w:sz w:val="24"/>
          <w:szCs w:val="24"/>
          <w:lang w:val="en-GB" w:eastAsia="en-GB"/>
        </w:rPr>
        <w:t xml:space="preserve">tax as long as one of its trustees is a New Zealand lawyer or chartered accountant. </w:t>
      </w:r>
    </w:p>
    <w:p w:rsidR="00667411" w:rsidRPr="00A57E40" w:rsidRDefault="00667411" w:rsidP="0035401A">
      <w:pPr>
        <w:pStyle w:val="CommentText"/>
        <w:spacing w:after="0" w:line="240" w:lineRule="auto"/>
        <w:rPr>
          <w:rFonts w:ascii="Times New Roman" w:hAnsi="Times New Roman"/>
          <w:sz w:val="24"/>
          <w:szCs w:val="24"/>
        </w:rPr>
      </w:pPr>
    </w:p>
    <w:p w:rsidR="000E01DD" w:rsidRPr="00A57E40" w:rsidRDefault="000E01DD" w:rsidP="0035401A">
      <w:pPr>
        <w:pStyle w:val="CommentText"/>
        <w:spacing w:after="0" w:line="240" w:lineRule="auto"/>
        <w:rPr>
          <w:rFonts w:ascii="Times New Roman" w:hAnsi="Times New Roman"/>
          <w:b/>
          <w:sz w:val="24"/>
          <w:szCs w:val="24"/>
        </w:rPr>
      </w:pPr>
      <w:r w:rsidRPr="00A57E40">
        <w:rPr>
          <w:rFonts w:ascii="Times New Roman" w:hAnsi="Times New Roman"/>
          <w:b/>
          <w:sz w:val="24"/>
          <w:szCs w:val="24"/>
        </w:rPr>
        <w:t>Audit activity and information sharing</w:t>
      </w:r>
    </w:p>
    <w:p w:rsidR="000E01DD" w:rsidRPr="00A57E40" w:rsidRDefault="000E01DD" w:rsidP="0035401A">
      <w:pPr>
        <w:pStyle w:val="CommentText"/>
        <w:spacing w:after="0" w:line="240" w:lineRule="auto"/>
        <w:rPr>
          <w:rFonts w:ascii="Times New Roman" w:hAnsi="Times New Roman"/>
          <w:sz w:val="24"/>
          <w:szCs w:val="24"/>
        </w:rPr>
      </w:pPr>
    </w:p>
    <w:p w:rsidR="0035401A" w:rsidRPr="00A57E40" w:rsidRDefault="0035401A" w:rsidP="0035401A">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rPr>
        <w:t xml:space="preserve">Inland Revenue </w:t>
      </w:r>
      <w:r w:rsidRPr="00A57E40">
        <w:rPr>
          <w:rFonts w:ascii="Times New Roman" w:hAnsi="Times New Roman"/>
          <w:sz w:val="24"/>
          <w:szCs w:val="24"/>
          <w:lang w:val="en-GB" w:eastAsia="en-GB"/>
        </w:rPr>
        <w:t xml:space="preserve">currently performs some audit activity in relation to foreign trusts.  A key reason for these audits is to ensure that the trusts </w:t>
      </w:r>
      <w:r w:rsidR="00D506AA" w:rsidRPr="00A57E40">
        <w:rPr>
          <w:rFonts w:ascii="Times New Roman" w:hAnsi="Times New Roman"/>
          <w:sz w:val="24"/>
          <w:szCs w:val="24"/>
          <w:lang w:val="en-GB" w:eastAsia="en-GB"/>
        </w:rPr>
        <w:t xml:space="preserve">do </w:t>
      </w:r>
      <w:r w:rsidRPr="00A57E40">
        <w:rPr>
          <w:rFonts w:ascii="Times New Roman" w:hAnsi="Times New Roman"/>
          <w:sz w:val="24"/>
          <w:szCs w:val="24"/>
          <w:lang w:val="en-GB" w:eastAsia="en-GB"/>
        </w:rPr>
        <w:t xml:space="preserve">not in fact </w:t>
      </w:r>
      <w:r w:rsidR="00D506AA" w:rsidRPr="00A57E40">
        <w:rPr>
          <w:rFonts w:ascii="Times New Roman" w:hAnsi="Times New Roman"/>
          <w:sz w:val="24"/>
          <w:szCs w:val="24"/>
          <w:lang w:val="en-GB" w:eastAsia="en-GB"/>
        </w:rPr>
        <w:t>have</w:t>
      </w:r>
      <w:r w:rsidR="00E07959" w:rsidRPr="00A57E40">
        <w:rPr>
          <w:rFonts w:ascii="Times New Roman" w:hAnsi="Times New Roman"/>
          <w:sz w:val="24"/>
          <w:szCs w:val="24"/>
          <w:lang w:val="en-GB" w:eastAsia="en-GB"/>
        </w:rPr>
        <w:t xml:space="preserve"> </w:t>
      </w:r>
      <w:r w:rsidRPr="00A57E40">
        <w:rPr>
          <w:rFonts w:ascii="Times New Roman" w:hAnsi="Times New Roman"/>
          <w:sz w:val="24"/>
          <w:szCs w:val="24"/>
          <w:lang w:val="en-GB" w:eastAsia="en-GB"/>
        </w:rPr>
        <w:t>New Zealand settlors (</w:t>
      </w:r>
      <w:r w:rsidR="00871EEB" w:rsidRPr="00A57E40">
        <w:rPr>
          <w:rFonts w:ascii="Times New Roman" w:hAnsi="Times New Roman"/>
          <w:sz w:val="24"/>
          <w:szCs w:val="24"/>
          <w:lang w:val="en-GB" w:eastAsia="en-GB"/>
        </w:rPr>
        <w:t>as if they do</w:t>
      </w:r>
      <w:r w:rsidR="00283067">
        <w:rPr>
          <w:rFonts w:ascii="Times New Roman" w:hAnsi="Times New Roman"/>
          <w:sz w:val="24"/>
          <w:szCs w:val="24"/>
          <w:lang w:val="en-GB" w:eastAsia="en-GB"/>
        </w:rPr>
        <w:t xml:space="preserve"> have a New Zealand settlor the trust is</w:t>
      </w:r>
      <w:r w:rsidRPr="00A57E40">
        <w:rPr>
          <w:rFonts w:ascii="Times New Roman" w:hAnsi="Times New Roman"/>
          <w:sz w:val="24"/>
          <w:szCs w:val="24"/>
          <w:lang w:val="en-GB" w:eastAsia="en-GB"/>
        </w:rPr>
        <w:t xml:space="preserve"> taxable in New Zealand on </w:t>
      </w:r>
      <w:r w:rsidR="00283067">
        <w:rPr>
          <w:rFonts w:ascii="Times New Roman" w:hAnsi="Times New Roman"/>
          <w:sz w:val="24"/>
          <w:szCs w:val="24"/>
          <w:lang w:val="en-GB" w:eastAsia="en-GB"/>
        </w:rPr>
        <w:t xml:space="preserve">its </w:t>
      </w:r>
      <w:r w:rsidRPr="00A57E40">
        <w:rPr>
          <w:rFonts w:ascii="Times New Roman" w:hAnsi="Times New Roman"/>
          <w:sz w:val="24"/>
          <w:szCs w:val="24"/>
          <w:lang w:val="en-GB" w:eastAsia="en-GB"/>
        </w:rPr>
        <w:t xml:space="preserve">worldwide income), and that the record-keeping requirements of the </w:t>
      </w:r>
      <w:proofErr w:type="spellStart"/>
      <w:r w:rsidRPr="00A57E40">
        <w:rPr>
          <w:rFonts w:ascii="Times New Roman" w:hAnsi="Times New Roman"/>
          <w:sz w:val="24"/>
          <w:szCs w:val="24"/>
          <w:lang w:val="en-GB" w:eastAsia="en-GB"/>
        </w:rPr>
        <w:t>TAA</w:t>
      </w:r>
      <w:proofErr w:type="spellEnd"/>
      <w:r w:rsidRPr="00A57E40">
        <w:rPr>
          <w:rFonts w:ascii="Times New Roman" w:hAnsi="Times New Roman"/>
          <w:sz w:val="24"/>
          <w:szCs w:val="24"/>
          <w:lang w:val="en-GB" w:eastAsia="en-GB"/>
        </w:rPr>
        <w:t xml:space="preserve"> are complied with. </w:t>
      </w:r>
    </w:p>
    <w:p w:rsidR="0035401A" w:rsidRPr="00A57E40" w:rsidRDefault="0035401A" w:rsidP="0027520A">
      <w:pPr>
        <w:pStyle w:val="ListParagraph"/>
        <w:ind w:left="0"/>
        <w:rPr>
          <w:rFonts w:ascii="Times New Roman" w:hAnsi="Times New Roman"/>
          <w:sz w:val="24"/>
          <w:szCs w:val="24"/>
          <w:lang w:val="en-GB" w:eastAsia="en-GB"/>
        </w:rPr>
      </w:pPr>
    </w:p>
    <w:p w:rsidR="0035401A" w:rsidRPr="00A57E40" w:rsidRDefault="0035401A" w:rsidP="0035401A">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Where Inland Revenue finds information that is of interest to other authorities (overseas tax authorities </w:t>
      </w:r>
      <w:r w:rsidR="00283067">
        <w:rPr>
          <w:rFonts w:ascii="Times New Roman" w:hAnsi="Times New Roman"/>
          <w:sz w:val="24"/>
          <w:szCs w:val="24"/>
          <w:lang w:val="en-GB" w:eastAsia="en-GB"/>
        </w:rPr>
        <w:t>or</w:t>
      </w:r>
      <w:r w:rsidRPr="00A57E40">
        <w:rPr>
          <w:rFonts w:ascii="Times New Roman" w:hAnsi="Times New Roman"/>
          <w:sz w:val="24"/>
          <w:szCs w:val="24"/>
          <w:lang w:val="en-GB" w:eastAsia="en-GB"/>
        </w:rPr>
        <w:t xml:space="preserve"> domestic law enforcement agencies) in the course of these audits, Inland Revenue will pass this information on where authorised.   </w:t>
      </w:r>
    </w:p>
    <w:p w:rsidR="0035401A" w:rsidRPr="00A57E40" w:rsidRDefault="0035401A" w:rsidP="0027520A">
      <w:pPr>
        <w:pStyle w:val="ListParagraph"/>
        <w:ind w:left="0"/>
        <w:rPr>
          <w:rFonts w:ascii="Times New Roman" w:hAnsi="Times New Roman"/>
          <w:sz w:val="24"/>
          <w:szCs w:val="24"/>
          <w:lang w:val="en-GB" w:eastAsia="en-GB"/>
        </w:rPr>
      </w:pPr>
    </w:p>
    <w:p w:rsidR="0035401A" w:rsidRPr="00A57E40" w:rsidRDefault="0035401A" w:rsidP="0035401A">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Inland Revenue shares information about foreign trusts with overseas tax authorities with whom New Zealand has a treaty which has tax information exchange provisions.  This information is shared upon request from the overseas tax authority or where Inland Revenue considers that the information may be of interest to that tax authority. </w:t>
      </w:r>
      <w:r w:rsidR="00663331" w:rsidRPr="00A57E40">
        <w:rPr>
          <w:rFonts w:ascii="Times New Roman" w:hAnsi="Times New Roman"/>
          <w:sz w:val="24"/>
          <w:szCs w:val="24"/>
          <w:lang w:val="en-GB" w:eastAsia="en-GB"/>
        </w:rPr>
        <w:t xml:space="preserve"> Where the settlor of a foreign trust is Australian, Inland Revenue provides this information automatically to the Australian Tax</w:t>
      </w:r>
      <w:r w:rsidR="00F35A65" w:rsidRPr="00A57E40">
        <w:rPr>
          <w:rFonts w:ascii="Times New Roman" w:hAnsi="Times New Roman"/>
          <w:sz w:val="24"/>
          <w:szCs w:val="24"/>
          <w:lang w:val="en-GB" w:eastAsia="en-GB"/>
        </w:rPr>
        <w:t>ation</w:t>
      </w:r>
      <w:r w:rsidR="00663331" w:rsidRPr="00A57E40">
        <w:rPr>
          <w:rFonts w:ascii="Times New Roman" w:hAnsi="Times New Roman"/>
          <w:sz w:val="24"/>
          <w:szCs w:val="24"/>
          <w:lang w:val="en-GB" w:eastAsia="en-GB"/>
        </w:rPr>
        <w:t xml:space="preserve"> Office.</w:t>
      </w:r>
      <w:r w:rsidRPr="00A57E40">
        <w:rPr>
          <w:rFonts w:ascii="Times New Roman" w:hAnsi="Times New Roman"/>
          <w:sz w:val="24"/>
          <w:szCs w:val="24"/>
          <w:lang w:val="en-GB" w:eastAsia="en-GB"/>
        </w:rPr>
        <w:t xml:space="preserve"> </w:t>
      </w:r>
    </w:p>
    <w:p w:rsidR="0035401A" w:rsidRPr="00A57E40" w:rsidRDefault="0035401A" w:rsidP="0027520A">
      <w:pPr>
        <w:pStyle w:val="ListParagraph"/>
        <w:ind w:left="0"/>
        <w:rPr>
          <w:rFonts w:ascii="Times New Roman" w:hAnsi="Times New Roman"/>
          <w:sz w:val="24"/>
          <w:szCs w:val="24"/>
          <w:lang w:val="en-GB" w:eastAsia="en-GB"/>
        </w:rPr>
      </w:pPr>
    </w:p>
    <w:p w:rsidR="005B738C" w:rsidRPr="00A57E40" w:rsidRDefault="0035401A" w:rsidP="00663331">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The circumstances in which Inland Revenue shares information about foreign trusts </w:t>
      </w:r>
      <w:r w:rsidR="00F35A65" w:rsidRPr="00A57E40">
        <w:rPr>
          <w:rFonts w:ascii="Times New Roman" w:hAnsi="Times New Roman"/>
          <w:sz w:val="24"/>
          <w:szCs w:val="24"/>
          <w:lang w:val="en-GB" w:eastAsia="en-GB"/>
        </w:rPr>
        <w:t xml:space="preserve">with </w:t>
      </w:r>
      <w:r w:rsidRPr="00A57E40">
        <w:rPr>
          <w:rFonts w:ascii="Times New Roman" w:hAnsi="Times New Roman"/>
          <w:sz w:val="24"/>
          <w:szCs w:val="24"/>
          <w:lang w:val="en-GB" w:eastAsia="en-GB"/>
        </w:rPr>
        <w:t>domestic law enforcement agencies are relatively limited (for example, information can be shared if it concerns individuals or if it is requested by Police a</w:t>
      </w:r>
      <w:r w:rsidR="000E01DD" w:rsidRPr="00A57E40">
        <w:rPr>
          <w:rFonts w:ascii="Times New Roman" w:hAnsi="Times New Roman"/>
          <w:sz w:val="24"/>
          <w:szCs w:val="24"/>
          <w:lang w:val="en-GB" w:eastAsia="en-GB"/>
        </w:rPr>
        <w:t>nd it relates to serious crime)</w:t>
      </w:r>
      <w:r w:rsidRPr="00A57E40">
        <w:rPr>
          <w:rFonts w:ascii="Times New Roman" w:hAnsi="Times New Roman"/>
          <w:sz w:val="24"/>
          <w:szCs w:val="24"/>
          <w:lang w:val="en-GB" w:eastAsia="en-GB"/>
        </w:rPr>
        <w:t xml:space="preserve">. </w:t>
      </w:r>
    </w:p>
    <w:p w:rsidR="00AF7AFC" w:rsidRPr="00A57E40" w:rsidRDefault="00AF7AFC" w:rsidP="001C783B">
      <w:pPr>
        <w:pStyle w:val="ListParagraph"/>
        <w:ind w:left="0"/>
        <w:rPr>
          <w:rFonts w:ascii="Times New Roman" w:hAnsi="Times New Roman"/>
          <w:sz w:val="24"/>
          <w:szCs w:val="24"/>
          <w:lang w:val="en-AU"/>
        </w:rPr>
      </w:pPr>
    </w:p>
    <w:p w:rsidR="000E01DD" w:rsidRPr="00A57E40" w:rsidRDefault="000E01DD" w:rsidP="001C783B">
      <w:pPr>
        <w:pStyle w:val="ListParagraph"/>
        <w:ind w:left="0"/>
        <w:rPr>
          <w:rFonts w:ascii="Times New Roman" w:hAnsi="Times New Roman"/>
          <w:b/>
          <w:sz w:val="24"/>
          <w:szCs w:val="24"/>
          <w:lang w:val="en-AU"/>
        </w:rPr>
      </w:pPr>
      <w:r w:rsidRPr="00A57E40">
        <w:rPr>
          <w:rFonts w:ascii="Times New Roman" w:hAnsi="Times New Roman"/>
          <w:b/>
          <w:sz w:val="24"/>
          <w:szCs w:val="24"/>
          <w:lang w:val="en-AU"/>
        </w:rPr>
        <w:t>Problem definition and recent developments</w:t>
      </w:r>
    </w:p>
    <w:p w:rsidR="000E01DD" w:rsidRPr="00A57E40" w:rsidRDefault="000E01DD" w:rsidP="001C783B">
      <w:pPr>
        <w:pStyle w:val="ListParagraph"/>
        <w:ind w:left="0"/>
        <w:rPr>
          <w:rFonts w:ascii="Times New Roman" w:hAnsi="Times New Roman"/>
          <w:sz w:val="24"/>
          <w:szCs w:val="24"/>
          <w:lang w:val="en-AU"/>
        </w:rPr>
      </w:pPr>
    </w:p>
    <w:p w:rsidR="00AF7AFC" w:rsidRPr="00A57E40" w:rsidRDefault="00667411" w:rsidP="007B612D">
      <w:pPr>
        <w:pStyle w:val="ListParagraph"/>
        <w:numPr>
          <w:ilvl w:val="0"/>
          <w:numId w:val="2"/>
        </w:numPr>
        <w:ind w:left="0" w:firstLine="0"/>
        <w:rPr>
          <w:rFonts w:ascii="Times New Roman" w:hAnsi="Times New Roman"/>
          <w:sz w:val="24"/>
          <w:szCs w:val="24"/>
          <w:lang w:val="en-AU"/>
        </w:rPr>
      </w:pPr>
      <w:r w:rsidRPr="00A57E40">
        <w:rPr>
          <w:rFonts w:ascii="Times New Roman" w:hAnsi="Times New Roman"/>
          <w:sz w:val="24"/>
          <w:szCs w:val="24"/>
          <w:lang w:val="en-AU"/>
        </w:rPr>
        <w:t>C</w:t>
      </w:r>
      <w:r w:rsidR="00AF7AFC" w:rsidRPr="00A57E40">
        <w:rPr>
          <w:rFonts w:ascii="Times New Roman" w:hAnsi="Times New Roman"/>
          <w:sz w:val="24"/>
          <w:szCs w:val="24"/>
          <w:lang w:val="en-AU"/>
        </w:rPr>
        <w:t xml:space="preserve">oncerns have been raised that </w:t>
      </w:r>
      <w:r w:rsidR="00A02F41" w:rsidRPr="00A57E40">
        <w:rPr>
          <w:rFonts w:ascii="Times New Roman" w:hAnsi="Times New Roman"/>
          <w:sz w:val="24"/>
          <w:szCs w:val="24"/>
          <w:lang w:val="en-AU"/>
        </w:rPr>
        <w:t>the</w:t>
      </w:r>
      <w:r w:rsidR="00AF7AFC" w:rsidRPr="00A57E40">
        <w:rPr>
          <w:rFonts w:ascii="Times New Roman" w:hAnsi="Times New Roman"/>
          <w:sz w:val="24"/>
          <w:szCs w:val="24"/>
          <w:lang w:val="en-AU"/>
        </w:rPr>
        <w:t xml:space="preserve"> </w:t>
      </w:r>
      <w:r w:rsidRPr="00A57E40">
        <w:rPr>
          <w:rFonts w:ascii="Times New Roman" w:hAnsi="Times New Roman"/>
          <w:sz w:val="24"/>
          <w:szCs w:val="24"/>
          <w:lang w:val="en-AU"/>
        </w:rPr>
        <w:t xml:space="preserve">existing </w:t>
      </w:r>
      <w:r w:rsidR="00AF7AFC" w:rsidRPr="00A57E40">
        <w:rPr>
          <w:rFonts w:ascii="Times New Roman" w:hAnsi="Times New Roman"/>
          <w:sz w:val="24"/>
          <w:szCs w:val="24"/>
          <w:lang w:val="en-AU"/>
        </w:rPr>
        <w:t xml:space="preserve">disclosure and record-keeping requirements in relation to foreign trusts are insufficient – particularly in light of expanding obligations to exchange information with our treaty partners. </w:t>
      </w:r>
      <w:r w:rsidR="000A6805" w:rsidRPr="00A57E40">
        <w:rPr>
          <w:rFonts w:ascii="Times New Roman" w:hAnsi="Times New Roman"/>
          <w:sz w:val="24"/>
          <w:szCs w:val="24"/>
          <w:lang w:val="en-AU"/>
        </w:rPr>
        <w:t xml:space="preserve">These concerns </w:t>
      </w:r>
      <w:r w:rsidR="00881C9E" w:rsidRPr="00A57E40">
        <w:rPr>
          <w:rFonts w:ascii="Times New Roman" w:hAnsi="Times New Roman"/>
          <w:sz w:val="24"/>
          <w:szCs w:val="24"/>
          <w:lang w:val="en-AU"/>
        </w:rPr>
        <w:t xml:space="preserve">may </w:t>
      </w:r>
      <w:r w:rsidR="000A6805" w:rsidRPr="00A57E40">
        <w:rPr>
          <w:rFonts w:ascii="Times New Roman" w:hAnsi="Times New Roman"/>
          <w:sz w:val="24"/>
          <w:szCs w:val="24"/>
          <w:lang w:val="en-AU"/>
        </w:rPr>
        <w:t xml:space="preserve">have the potential to impact on New Zealand’s international reputation. </w:t>
      </w:r>
    </w:p>
    <w:p w:rsidR="00CB51D6" w:rsidRPr="00A57E40" w:rsidRDefault="00CB51D6" w:rsidP="007B612D">
      <w:pPr>
        <w:pStyle w:val="Bullet-list"/>
        <w:spacing w:after="0" w:line="240" w:lineRule="auto"/>
        <w:ind w:left="0" w:firstLine="0"/>
        <w:jc w:val="both"/>
        <w:rPr>
          <w:rFonts w:ascii="Times New Roman" w:hAnsi="Times New Roman"/>
          <w:sz w:val="24"/>
          <w:szCs w:val="24"/>
        </w:rPr>
      </w:pPr>
    </w:p>
    <w:p w:rsidR="007C497D" w:rsidRPr="00A57E40" w:rsidRDefault="00CB51D6" w:rsidP="007B612D">
      <w:pPr>
        <w:pStyle w:val="ListParagraph"/>
        <w:numPr>
          <w:ilvl w:val="0"/>
          <w:numId w:val="2"/>
        </w:numPr>
        <w:ind w:left="0" w:firstLine="0"/>
        <w:rPr>
          <w:rFonts w:ascii="Times New Roman" w:hAnsi="Times New Roman"/>
          <w:sz w:val="24"/>
          <w:szCs w:val="24"/>
          <w:lang w:val="en-AU"/>
        </w:rPr>
      </w:pPr>
      <w:r w:rsidRPr="00A57E40">
        <w:rPr>
          <w:rFonts w:ascii="Times New Roman" w:hAnsi="Times New Roman"/>
          <w:sz w:val="24"/>
          <w:szCs w:val="24"/>
          <w:lang w:val="en-AU"/>
        </w:rPr>
        <w:t>In</w:t>
      </w:r>
      <w:r w:rsidR="009C19D5" w:rsidRPr="00A57E40">
        <w:rPr>
          <w:rFonts w:ascii="Times New Roman" w:hAnsi="Times New Roman"/>
          <w:sz w:val="24"/>
          <w:szCs w:val="24"/>
          <w:lang w:val="en-AU"/>
        </w:rPr>
        <w:t xml:space="preserve"> particular, in</w:t>
      </w:r>
      <w:r w:rsidRPr="00A57E40">
        <w:rPr>
          <w:rFonts w:ascii="Times New Roman" w:hAnsi="Times New Roman"/>
          <w:sz w:val="24"/>
          <w:szCs w:val="24"/>
          <w:lang w:val="en-AU"/>
        </w:rPr>
        <w:t xml:space="preserve"> April 2016, information about the “Panama Papers” was released by the International Consortium of Investigative Journalists.</w:t>
      </w:r>
      <w:r w:rsidR="00344817" w:rsidRPr="00A57E40">
        <w:rPr>
          <w:rFonts w:ascii="Times New Roman" w:hAnsi="Times New Roman"/>
          <w:sz w:val="24"/>
          <w:szCs w:val="24"/>
          <w:lang w:val="en-AU"/>
        </w:rPr>
        <w:t xml:space="preserve"> </w:t>
      </w:r>
      <w:r w:rsidR="007C497D" w:rsidRPr="00A57E40">
        <w:rPr>
          <w:rFonts w:ascii="Times New Roman" w:hAnsi="Times New Roman"/>
          <w:sz w:val="24"/>
          <w:szCs w:val="24"/>
          <w:lang w:val="en-AU"/>
        </w:rPr>
        <w:t xml:space="preserve">The Panama Papers comprise </w:t>
      </w:r>
      <w:r w:rsidR="00B955D8" w:rsidRPr="00A57E40">
        <w:rPr>
          <w:rFonts w:ascii="Times New Roman" w:hAnsi="Times New Roman"/>
          <w:sz w:val="24"/>
          <w:szCs w:val="24"/>
          <w:lang w:val="en-AU"/>
        </w:rPr>
        <w:t xml:space="preserve">approximately </w:t>
      </w:r>
      <w:r w:rsidR="007C497D" w:rsidRPr="00A57E40">
        <w:rPr>
          <w:rFonts w:ascii="Times New Roman" w:hAnsi="Times New Roman"/>
          <w:sz w:val="24"/>
          <w:szCs w:val="24"/>
          <w:lang w:val="en-AU"/>
        </w:rPr>
        <w:t xml:space="preserve">11.5 million confidential documents of a Panama based law and trust services firm, </w:t>
      </w:r>
      <w:proofErr w:type="spellStart"/>
      <w:r w:rsidR="007C497D" w:rsidRPr="00A57E40">
        <w:rPr>
          <w:rFonts w:ascii="Times New Roman" w:hAnsi="Times New Roman"/>
          <w:sz w:val="24"/>
          <w:szCs w:val="24"/>
          <w:lang w:val="en-AU"/>
        </w:rPr>
        <w:t>Mossack</w:t>
      </w:r>
      <w:proofErr w:type="spellEnd"/>
      <w:r w:rsidR="007C497D" w:rsidRPr="00A57E40">
        <w:rPr>
          <w:rFonts w:ascii="Times New Roman" w:hAnsi="Times New Roman"/>
          <w:sz w:val="24"/>
          <w:szCs w:val="24"/>
          <w:lang w:val="en-AU"/>
        </w:rPr>
        <w:t xml:space="preserve"> Fonseca. The documents, which are said to date back as far as the 1970s, were obtained in early 2015. Allegations reported in the media include tax evasion</w:t>
      </w:r>
      <w:r w:rsidR="00225924" w:rsidRPr="00A57E40">
        <w:rPr>
          <w:rFonts w:ascii="Times New Roman" w:hAnsi="Times New Roman"/>
          <w:sz w:val="24"/>
          <w:szCs w:val="24"/>
          <w:lang w:val="en-AU"/>
        </w:rPr>
        <w:t>, money laundering, and other illicit activities</w:t>
      </w:r>
      <w:r w:rsidR="007C497D" w:rsidRPr="00A57E40">
        <w:rPr>
          <w:rFonts w:ascii="Times New Roman" w:hAnsi="Times New Roman"/>
          <w:sz w:val="24"/>
          <w:szCs w:val="24"/>
          <w:lang w:val="en-AU"/>
        </w:rPr>
        <w:t>.</w:t>
      </w:r>
    </w:p>
    <w:p w:rsidR="007C497D" w:rsidRPr="00A57E40" w:rsidRDefault="007C497D" w:rsidP="007B612D">
      <w:pPr>
        <w:pStyle w:val="ListParagraph"/>
        <w:ind w:left="0"/>
        <w:rPr>
          <w:rFonts w:ascii="Times New Roman" w:hAnsi="Times New Roman"/>
          <w:sz w:val="24"/>
          <w:szCs w:val="24"/>
          <w:lang w:val="en-AU"/>
        </w:rPr>
      </w:pPr>
    </w:p>
    <w:p w:rsidR="00CB51D6" w:rsidRPr="00A57E40" w:rsidRDefault="00225924" w:rsidP="007B612D">
      <w:pPr>
        <w:pStyle w:val="ListParagraph"/>
        <w:numPr>
          <w:ilvl w:val="0"/>
          <w:numId w:val="2"/>
        </w:numPr>
        <w:tabs>
          <w:tab w:val="num" w:pos="567"/>
        </w:tabs>
        <w:ind w:left="0" w:firstLine="0"/>
        <w:rPr>
          <w:rFonts w:ascii="Times New Roman" w:hAnsi="Times New Roman"/>
          <w:sz w:val="24"/>
          <w:szCs w:val="24"/>
          <w:lang w:val="en-AU"/>
        </w:rPr>
      </w:pPr>
      <w:r w:rsidRPr="00A57E40">
        <w:rPr>
          <w:rFonts w:ascii="Times New Roman" w:hAnsi="Times New Roman"/>
          <w:sz w:val="24"/>
          <w:szCs w:val="24"/>
          <w:lang w:val="en-AU"/>
        </w:rPr>
        <w:t>R</w:t>
      </w:r>
      <w:r w:rsidR="007C497D" w:rsidRPr="00A57E40">
        <w:rPr>
          <w:rFonts w:ascii="Times New Roman" w:hAnsi="Times New Roman"/>
          <w:sz w:val="24"/>
          <w:szCs w:val="24"/>
          <w:lang w:val="en-AU"/>
        </w:rPr>
        <w:t xml:space="preserve">eferences in the Panama </w:t>
      </w:r>
      <w:r w:rsidR="00F234C9" w:rsidRPr="00A57E40">
        <w:rPr>
          <w:rFonts w:ascii="Times New Roman" w:hAnsi="Times New Roman"/>
          <w:sz w:val="24"/>
          <w:szCs w:val="24"/>
          <w:lang w:val="en-AU"/>
        </w:rPr>
        <w:t>P</w:t>
      </w:r>
      <w:r w:rsidR="007C497D" w:rsidRPr="00A57E40">
        <w:rPr>
          <w:rFonts w:ascii="Times New Roman" w:hAnsi="Times New Roman"/>
          <w:sz w:val="24"/>
          <w:szCs w:val="24"/>
          <w:lang w:val="en-AU"/>
        </w:rPr>
        <w:t>apers to New Zealand foreign trusts and</w:t>
      </w:r>
      <w:r w:rsidR="00D166FC" w:rsidRPr="00A57E40">
        <w:rPr>
          <w:rFonts w:ascii="Times New Roman" w:hAnsi="Times New Roman"/>
          <w:sz w:val="24"/>
          <w:szCs w:val="24"/>
          <w:lang w:val="en-AU"/>
        </w:rPr>
        <w:t>,</w:t>
      </w:r>
      <w:r w:rsidR="007C497D" w:rsidRPr="00A57E40">
        <w:rPr>
          <w:rFonts w:ascii="Times New Roman" w:hAnsi="Times New Roman"/>
          <w:sz w:val="24"/>
          <w:szCs w:val="24"/>
          <w:lang w:val="en-AU"/>
        </w:rPr>
        <w:t xml:space="preserve"> in particular, allegations that New Zealand foreign trusts may be used in structures which are established to hide assets and evade or avoid </w:t>
      </w:r>
      <w:r w:rsidR="00C95B28" w:rsidRPr="00A57E40">
        <w:rPr>
          <w:rFonts w:ascii="Times New Roman" w:hAnsi="Times New Roman"/>
          <w:sz w:val="24"/>
          <w:szCs w:val="24"/>
          <w:lang w:val="en-AU"/>
        </w:rPr>
        <w:t xml:space="preserve">foreign </w:t>
      </w:r>
      <w:r w:rsidR="007C497D" w:rsidRPr="00A57E40">
        <w:rPr>
          <w:rFonts w:ascii="Times New Roman" w:hAnsi="Times New Roman"/>
          <w:sz w:val="24"/>
          <w:szCs w:val="24"/>
          <w:lang w:val="en-AU"/>
        </w:rPr>
        <w:t>tax</w:t>
      </w:r>
      <w:r w:rsidRPr="00A57E40">
        <w:rPr>
          <w:rFonts w:ascii="Times New Roman" w:hAnsi="Times New Roman"/>
          <w:sz w:val="24"/>
          <w:szCs w:val="24"/>
          <w:lang w:val="en-AU"/>
        </w:rPr>
        <w:t>, added to the above concerns</w:t>
      </w:r>
      <w:r w:rsidR="007C497D" w:rsidRPr="00A57E40">
        <w:rPr>
          <w:rFonts w:ascii="Times New Roman" w:hAnsi="Times New Roman"/>
          <w:sz w:val="24"/>
          <w:szCs w:val="24"/>
          <w:lang w:val="en-AU"/>
        </w:rPr>
        <w:t xml:space="preserve">.   </w:t>
      </w:r>
    </w:p>
    <w:p w:rsidR="00073EDA" w:rsidRPr="00A57E40" w:rsidRDefault="00073EDA" w:rsidP="0027520A">
      <w:pPr>
        <w:pStyle w:val="ListParagraph"/>
        <w:ind w:left="0"/>
        <w:rPr>
          <w:rFonts w:ascii="Times New Roman" w:hAnsi="Times New Roman"/>
          <w:sz w:val="24"/>
          <w:szCs w:val="24"/>
          <w:lang w:val="en-AU"/>
        </w:rPr>
      </w:pPr>
    </w:p>
    <w:p w:rsidR="00073EDA" w:rsidRPr="00A57E40" w:rsidRDefault="00E07959" w:rsidP="007B612D">
      <w:pPr>
        <w:pStyle w:val="ListParagraph"/>
        <w:ind w:left="0"/>
        <w:rPr>
          <w:rFonts w:ascii="Times New Roman" w:hAnsi="Times New Roman"/>
          <w:b/>
          <w:sz w:val="24"/>
          <w:szCs w:val="24"/>
          <w:lang w:val="en-AU"/>
        </w:rPr>
      </w:pPr>
      <w:r w:rsidRPr="00A57E40">
        <w:rPr>
          <w:rFonts w:ascii="Times New Roman" w:hAnsi="Times New Roman"/>
          <w:b/>
          <w:sz w:val="24"/>
          <w:szCs w:val="24"/>
          <w:lang w:val="en-AU"/>
        </w:rPr>
        <w:t xml:space="preserve">Government </w:t>
      </w:r>
      <w:r w:rsidR="00073EDA" w:rsidRPr="00A57E40">
        <w:rPr>
          <w:rFonts w:ascii="Times New Roman" w:hAnsi="Times New Roman"/>
          <w:b/>
          <w:sz w:val="24"/>
          <w:szCs w:val="24"/>
          <w:lang w:val="en-AU"/>
        </w:rPr>
        <w:t>Inquiry</w:t>
      </w:r>
      <w:r w:rsidRPr="00A57E40">
        <w:rPr>
          <w:rFonts w:ascii="Times New Roman" w:hAnsi="Times New Roman"/>
          <w:b/>
          <w:sz w:val="24"/>
          <w:szCs w:val="24"/>
          <w:lang w:val="en-AU"/>
        </w:rPr>
        <w:t xml:space="preserve"> into Foreign Trust Disclosure Rules</w:t>
      </w:r>
    </w:p>
    <w:p w:rsidR="009E39BD" w:rsidRPr="00A57E40" w:rsidRDefault="009E39BD" w:rsidP="007B612D">
      <w:pPr>
        <w:pStyle w:val="Bullet-list"/>
        <w:spacing w:after="0" w:line="240" w:lineRule="auto"/>
        <w:ind w:left="0" w:firstLine="0"/>
        <w:jc w:val="both"/>
        <w:rPr>
          <w:rFonts w:ascii="Times New Roman" w:hAnsi="Times New Roman"/>
          <w:sz w:val="24"/>
          <w:szCs w:val="24"/>
        </w:rPr>
      </w:pPr>
    </w:p>
    <w:p w:rsidR="00AF7AFC" w:rsidRPr="00A57E40" w:rsidRDefault="00AF7AFC" w:rsidP="007B612D">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A57E40">
        <w:rPr>
          <w:rFonts w:ascii="Times New Roman" w:hAnsi="Times New Roman"/>
          <w:sz w:val="24"/>
          <w:szCs w:val="24"/>
        </w:rPr>
        <w:t xml:space="preserve">The Government commissioned an Inquiry </w:t>
      </w:r>
      <w:r w:rsidR="00E07959" w:rsidRPr="00A57E40">
        <w:rPr>
          <w:rFonts w:ascii="Times New Roman" w:hAnsi="Times New Roman"/>
          <w:sz w:val="24"/>
          <w:szCs w:val="24"/>
        </w:rPr>
        <w:t xml:space="preserve">(the Government Inquiry into Foreign Trust Disclosure Rules) </w:t>
      </w:r>
      <w:r w:rsidRPr="00A57E40">
        <w:rPr>
          <w:rFonts w:ascii="Times New Roman" w:hAnsi="Times New Roman"/>
          <w:sz w:val="24"/>
          <w:szCs w:val="24"/>
        </w:rPr>
        <w:t xml:space="preserve">into </w:t>
      </w:r>
      <w:r w:rsidR="00B955D8" w:rsidRPr="00A57E40">
        <w:rPr>
          <w:rFonts w:ascii="Times New Roman" w:hAnsi="Times New Roman"/>
          <w:sz w:val="24"/>
          <w:szCs w:val="24"/>
        </w:rPr>
        <w:t xml:space="preserve">whether </w:t>
      </w:r>
      <w:r w:rsidRPr="00A57E40">
        <w:rPr>
          <w:rFonts w:ascii="Times New Roman" w:hAnsi="Times New Roman"/>
          <w:sz w:val="24"/>
          <w:szCs w:val="24"/>
        </w:rPr>
        <w:t xml:space="preserve">New Zealand’s foreign trust disclosure rules and their enforcement </w:t>
      </w:r>
      <w:r w:rsidR="00881C9E" w:rsidRPr="00A57E40">
        <w:rPr>
          <w:rFonts w:ascii="Times New Roman" w:hAnsi="Times New Roman"/>
          <w:sz w:val="24"/>
          <w:szCs w:val="24"/>
        </w:rPr>
        <w:t xml:space="preserve">are </w:t>
      </w:r>
      <w:r w:rsidRPr="00A57E40">
        <w:rPr>
          <w:rFonts w:ascii="Times New Roman" w:hAnsi="Times New Roman"/>
          <w:sz w:val="24"/>
          <w:szCs w:val="24"/>
        </w:rPr>
        <w:t>sufficient to ensure New Zealand’s reputation is maintained.</w:t>
      </w:r>
      <w:r w:rsidR="00B0798B" w:rsidRPr="00A57E40">
        <w:rPr>
          <w:rFonts w:ascii="Times New Roman" w:hAnsi="Times New Roman"/>
          <w:sz w:val="24"/>
          <w:szCs w:val="24"/>
        </w:rPr>
        <w:t xml:space="preserve"> The terms of the Inquiry can be found at Appendix 1.</w:t>
      </w:r>
    </w:p>
    <w:p w:rsidR="00B0798B" w:rsidRPr="00A57E40" w:rsidRDefault="00B0798B" w:rsidP="007B612D">
      <w:pPr>
        <w:pStyle w:val="Bullet-list"/>
        <w:spacing w:after="0" w:line="240" w:lineRule="auto"/>
        <w:ind w:left="0" w:firstLine="0"/>
        <w:jc w:val="both"/>
        <w:rPr>
          <w:rFonts w:ascii="Times New Roman" w:hAnsi="Times New Roman"/>
          <w:sz w:val="24"/>
          <w:szCs w:val="24"/>
        </w:rPr>
      </w:pPr>
    </w:p>
    <w:p w:rsidR="00B0798B" w:rsidRPr="00A57E40" w:rsidRDefault="00B0798B" w:rsidP="007B612D">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A57E40">
        <w:rPr>
          <w:rFonts w:ascii="Times New Roman" w:hAnsi="Times New Roman"/>
          <w:sz w:val="24"/>
          <w:szCs w:val="24"/>
        </w:rPr>
        <w:t xml:space="preserve">The Inquiry conducted an extensive review of the disclosure rules relevant to foreign trusts.  </w:t>
      </w:r>
      <w:r w:rsidR="00C763F8" w:rsidRPr="00A57E40">
        <w:rPr>
          <w:rFonts w:ascii="Times New Roman" w:hAnsi="Times New Roman"/>
          <w:sz w:val="24"/>
          <w:szCs w:val="24"/>
        </w:rPr>
        <w:t>The Inquiry report</w:t>
      </w:r>
      <w:r w:rsidR="00C70C03" w:rsidRPr="00A57E40">
        <w:rPr>
          <w:rFonts w:ascii="Times New Roman" w:hAnsi="Times New Roman"/>
          <w:sz w:val="24"/>
          <w:szCs w:val="24"/>
        </w:rPr>
        <w:t>ed to the Ministers of Finance and Revenue on 20 June</w:t>
      </w:r>
      <w:r w:rsidR="008F3EA4" w:rsidRPr="00A57E40">
        <w:rPr>
          <w:rFonts w:ascii="Times New Roman" w:hAnsi="Times New Roman"/>
          <w:sz w:val="24"/>
          <w:szCs w:val="24"/>
        </w:rPr>
        <w:t xml:space="preserve"> 2016</w:t>
      </w:r>
      <w:r w:rsidR="00C70C03" w:rsidRPr="00A57E40">
        <w:rPr>
          <w:rFonts w:ascii="Times New Roman" w:hAnsi="Times New Roman"/>
          <w:sz w:val="24"/>
          <w:szCs w:val="24"/>
        </w:rPr>
        <w:t>.  This report</w:t>
      </w:r>
      <w:r w:rsidR="00C763F8" w:rsidRPr="00A57E40">
        <w:rPr>
          <w:rFonts w:ascii="Times New Roman" w:hAnsi="Times New Roman"/>
          <w:sz w:val="24"/>
          <w:szCs w:val="24"/>
        </w:rPr>
        <w:t xml:space="preserve"> can be found at Appendix 2. </w:t>
      </w:r>
    </w:p>
    <w:p w:rsidR="002D09A0" w:rsidRPr="00A57E40" w:rsidRDefault="002D09A0" w:rsidP="0027520A">
      <w:pPr>
        <w:pStyle w:val="ListParagraph"/>
        <w:ind w:left="0"/>
        <w:rPr>
          <w:rFonts w:ascii="Times New Roman" w:hAnsi="Times New Roman"/>
          <w:sz w:val="24"/>
          <w:szCs w:val="24"/>
        </w:rPr>
      </w:pPr>
    </w:p>
    <w:p w:rsidR="002D09A0" w:rsidRPr="00A57E40" w:rsidRDefault="002D09A0" w:rsidP="007B612D">
      <w:pPr>
        <w:pStyle w:val="CommentText"/>
        <w:numPr>
          <w:ilvl w:val="0"/>
          <w:numId w:val="2"/>
        </w:numPr>
        <w:spacing w:after="160" w:line="259" w:lineRule="auto"/>
        <w:ind w:left="0" w:firstLine="0"/>
        <w:jc w:val="both"/>
        <w:rPr>
          <w:rFonts w:ascii="Times New Roman" w:hAnsi="Times New Roman"/>
          <w:sz w:val="24"/>
          <w:szCs w:val="24"/>
        </w:rPr>
      </w:pPr>
      <w:r w:rsidRPr="00A57E40">
        <w:rPr>
          <w:rFonts w:ascii="Times New Roman" w:hAnsi="Times New Roman"/>
          <w:sz w:val="24"/>
          <w:szCs w:val="24"/>
        </w:rPr>
        <w:t>The Foreign Trust Inquiry made a number of recommendations.  These fell into three broad categories:</w:t>
      </w:r>
    </w:p>
    <w:p w:rsidR="002D09A0" w:rsidRPr="00A57E40" w:rsidRDefault="002D09A0" w:rsidP="007B612D">
      <w:pPr>
        <w:pStyle w:val="TRNormal"/>
        <w:numPr>
          <w:ilvl w:val="0"/>
          <w:numId w:val="8"/>
        </w:numPr>
      </w:pPr>
      <w:r w:rsidRPr="00A57E40">
        <w:t>Registration and increased disclosure recommendations that would be a</w:t>
      </w:r>
      <w:r w:rsidR="0027520A" w:rsidRPr="00A57E40">
        <w:t>dministered by Inland Revenue.</w:t>
      </w:r>
    </w:p>
    <w:p w:rsidR="0027520A" w:rsidRPr="00A57E40" w:rsidRDefault="0027520A" w:rsidP="0027520A">
      <w:pPr>
        <w:pStyle w:val="TRNormal"/>
        <w:ind w:left="720"/>
      </w:pPr>
    </w:p>
    <w:p w:rsidR="002D09A0" w:rsidRPr="00A57E40" w:rsidRDefault="002D09A0" w:rsidP="007B612D">
      <w:pPr>
        <w:pStyle w:val="TRNormal"/>
        <w:numPr>
          <w:ilvl w:val="0"/>
          <w:numId w:val="8"/>
        </w:numPr>
      </w:pPr>
      <w:r w:rsidRPr="00A57E40">
        <w:t xml:space="preserve">Anti-money laundering </w:t>
      </w:r>
      <w:r w:rsidR="003C6505" w:rsidRPr="00A57E40">
        <w:t xml:space="preserve">(AML) </w:t>
      </w:r>
      <w:r w:rsidRPr="00A57E40">
        <w:t xml:space="preserve">law and implementation recommendations.  </w:t>
      </w:r>
    </w:p>
    <w:p w:rsidR="0027520A" w:rsidRPr="00A57E40" w:rsidRDefault="0027520A" w:rsidP="0027520A">
      <w:pPr>
        <w:pStyle w:val="TRNormal"/>
        <w:ind w:left="720"/>
      </w:pPr>
    </w:p>
    <w:p w:rsidR="002D09A0" w:rsidRPr="00A57E40" w:rsidRDefault="002D09A0" w:rsidP="007B612D">
      <w:pPr>
        <w:pStyle w:val="TRNormal"/>
        <w:numPr>
          <w:ilvl w:val="0"/>
          <w:numId w:val="8"/>
        </w:numPr>
      </w:pPr>
      <w:r w:rsidRPr="00A57E40">
        <w:t xml:space="preserve">Increased information sharing between New Zealand </w:t>
      </w:r>
      <w:proofErr w:type="gramStart"/>
      <w:r w:rsidR="007D229A" w:rsidRPr="00A57E40">
        <w:t>g</w:t>
      </w:r>
      <w:r w:rsidRPr="00A57E40">
        <w:t>overnment</w:t>
      </w:r>
      <w:proofErr w:type="gramEnd"/>
      <w:r w:rsidR="00881C9E" w:rsidRPr="00A57E40">
        <w:t xml:space="preserve"> </w:t>
      </w:r>
      <w:r w:rsidRPr="00A57E40">
        <w:t>agencies about foreign trusts for enforcement purposes.</w:t>
      </w:r>
    </w:p>
    <w:p w:rsidR="00B955D8" w:rsidRPr="00A57E40" w:rsidRDefault="00B955D8" w:rsidP="00B41C24">
      <w:pPr>
        <w:pStyle w:val="Bullet-list"/>
        <w:spacing w:after="0" w:line="240" w:lineRule="auto"/>
        <w:ind w:left="0" w:firstLine="0"/>
        <w:rPr>
          <w:rFonts w:ascii="Times New Roman" w:hAnsi="Times New Roman"/>
          <w:sz w:val="24"/>
          <w:szCs w:val="24"/>
        </w:rPr>
      </w:pPr>
    </w:p>
    <w:p w:rsidR="007D229A" w:rsidRPr="00A57E40" w:rsidRDefault="007D229A" w:rsidP="00881C9E">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A57E40">
        <w:rPr>
          <w:rFonts w:ascii="Times New Roman" w:hAnsi="Times New Roman"/>
          <w:sz w:val="24"/>
          <w:szCs w:val="24"/>
        </w:rPr>
        <w:t xml:space="preserve">It should be noted that the Inquiry also recommended changes to the AML requirements.  These AML amendments are currently being considered by the Ministry of Justice, alongside work currently underway to bring in Phase II of the AML regime.  If these AML proposals are accepted, a </w:t>
      </w:r>
      <w:proofErr w:type="spellStart"/>
      <w:r w:rsidR="00CA1535" w:rsidRPr="00A57E40">
        <w:rPr>
          <w:rFonts w:ascii="Times New Roman" w:hAnsi="Times New Roman"/>
          <w:sz w:val="24"/>
          <w:szCs w:val="24"/>
        </w:rPr>
        <w:t>RIS</w:t>
      </w:r>
      <w:proofErr w:type="spellEnd"/>
      <w:r w:rsidRPr="00A57E40">
        <w:rPr>
          <w:rFonts w:ascii="Times New Roman" w:hAnsi="Times New Roman"/>
          <w:sz w:val="24"/>
          <w:szCs w:val="24"/>
        </w:rPr>
        <w:t xml:space="preserve"> for them will be completed as part of the Phase II policy proposals.</w:t>
      </w:r>
      <w:r w:rsidR="00881C9E" w:rsidRPr="00A57E40">
        <w:rPr>
          <w:rFonts w:ascii="Times New Roman" w:hAnsi="Times New Roman"/>
          <w:sz w:val="24"/>
          <w:szCs w:val="24"/>
        </w:rPr>
        <w:t xml:space="preserve"> </w:t>
      </w:r>
      <w:r w:rsidRPr="00A57E40">
        <w:rPr>
          <w:rFonts w:ascii="Times New Roman" w:hAnsi="Times New Roman"/>
          <w:sz w:val="24"/>
          <w:szCs w:val="24"/>
        </w:rPr>
        <w:t xml:space="preserve">For this reason the options considered in this </w:t>
      </w:r>
      <w:proofErr w:type="spellStart"/>
      <w:r w:rsidRPr="00A57E40">
        <w:rPr>
          <w:rFonts w:ascii="Times New Roman" w:hAnsi="Times New Roman"/>
          <w:sz w:val="24"/>
          <w:szCs w:val="24"/>
        </w:rPr>
        <w:t>RIS</w:t>
      </w:r>
      <w:proofErr w:type="spellEnd"/>
      <w:r w:rsidRPr="00A57E40">
        <w:rPr>
          <w:rFonts w:ascii="Times New Roman" w:hAnsi="Times New Roman"/>
          <w:sz w:val="24"/>
          <w:szCs w:val="24"/>
        </w:rPr>
        <w:t xml:space="preserve"> do not attempt to address the AML concerns raised in the Inquiry.</w:t>
      </w:r>
    </w:p>
    <w:p w:rsidR="008102AD" w:rsidRPr="00A57E40" w:rsidRDefault="008102AD" w:rsidP="00663331">
      <w:pPr>
        <w:pStyle w:val="Bullet-list"/>
        <w:spacing w:after="0" w:line="240" w:lineRule="auto"/>
        <w:ind w:left="0" w:firstLine="0"/>
        <w:jc w:val="both"/>
        <w:rPr>
          <w:rFonts w:ascii="Times New Roman" w:hAnsi="Times New Roman"/>
          <w:sz w:val="24"/>
          <w:szCs w:val="24"/>
        </w:rPr>
      </w:pPr>
    </w:p>
    <w:p w:rsidR="007D229A" w:rsidRPr="00A57E40" w:rsidRDefault="008102AD" w:rsidP="00663331">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A57E40">
        <w:rPr>
          <w:rFonts w:ascii="Times New Roman" w:hAnsi="Times New Roman"/>
          <w:sz w:val="24"/>
          <w:szCs w:val="24"/>
        </w:rPr>
        <w:t>We note that other options were considered by the Inquiry. These options included extending Automatic Exchange of Information (AEOI) obligations to foreign trusts, and having a public register for trusts.  All these options were rejected by the Inquiry. We have considered the Inquiry’s recommendations on these options and we agree with the conclusions for the reasons given by the Inquiry.</w:t>
      </w:r>
    </w:p>
    <w:p w:rsidR="008102AD" w:rsidRPr="00A57E40" w:rsidRDefault="008102AD" w:rsidP="007B612D">
      <w:pPr>
        <w:pStyle w:val="Bullet-list"/>
        <w:spacing w:after="0" w:line="240" w:lineRule="auto"/>
        <w:ind w:left="0" w:firstLine="0"/>
        <w:jc w:val="both"/>
        <w:rPr>
          <w:rFonts w:ascii="Times New Roman" w:hAnsi="Times New Roman"/>
          <w:sz w:val="24"/>
          <w:szCs w:val="24"/>
        </w:rPr>
      </w:pPr>
    </w:p>
    <w:p w:rsidR="00B955D8" w:rsidRPr="00A57E40" w:rsidRDefault="00B955D8" w:rsidP="00663331">
      <w:pPr>
        <w:pStyle w:val="ListParagraph"/>
        <w:ind w:left="0"/>
        <w:rPr>
          <w:rFonts w:ascii="Times New Roman" w:hAnsi="Times New Roman"/>
          <w:b/>
          <w:sz w:val="24"/>
          <w:szCs w:val="24"/>
        </w:rPr>
      </w:pPr>
      <w:r w:rsidRPr="00A57E40">
        <w:rPr>
          <w:rFonts w:ascii="Times New Roman" w:hAnsi="Times New Roman"/>
          <w:b/>
          <w:sz w:val="24"/>
          <w:szCs w:val="24"/>
          <w:lang w:val="en-AU"/>
        </w:rPr>
        <w:t>Scale of the problem</w:t>
      </w:r>
    </w:p>
    <w:p w:rsidR="00B955D8" w:rsidRPr="00A57E40" w:rsidRDefault="00B955D8" w:rsidP="007B612D">
      <w:pPr>
        <w:pStyle w:val="Bullet-list"/>
        <w:spacing w:after="0" w:line="240" w:lineRule="auto"/>
        <w:ind w:left="0" w:firstLine="0"/>
        <w:jc w:val="both"/>
        <w:rPr>
          <w:rFonts w:ascii="Times New Roman" w:hAnsi="Times New Roman"/>
          <w:sz w:val="24"/>
          <w:szCs w:val="24"/>
        </w:rPr>
      </w:pPr>
    </w:p>
    <w:p w:rsidR="00B955D8" w:rsidRPr="00A57E40" w:rsidRDefault="00B955D8" w:rsidP="007B612D">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A57E40">
        <w:rPr>
          <w:rFonts w:ascii="Times New Roman" w:hAnsi="Times New Roman"/>
          <w:sz w:val="24"/>
          <w:szCs w:val="24"/>
        </w:rPr>
        <w:t>There are about 12,000 foreign trusts with a New Zealand resident trustee that have been disclosed to Inland Revenue.</w:t>
      </w:r>
    </w:p>
    <w:p w:rsidR="00B955D8" w:rsidRPr="00A57E40" w:rsidRDefault="00B955D8" w:rsidP="0027520A">
      <w:pPr>
        <w:pStyle w:val="ListParagraph"/>
        <w:ind w:left="0"/>
      </w:pPr>
    </w:p>
    <w:p w:rsidR="00B955D8" w:rsidRPr="00A57E40" w:rsidRDefault="00B955D8" w:rsidP="007B612D">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A57E40">
        <w:rPr>
          <w:rFonts w:ascii="Times New Roman" w:hAnsi="Times New Roman"/>
          <w:sz w:val="24"/>
          <w:szCs w:val="24"/>
        </w:rPr>
        <w:t>In 2014</w:t>
      </w:r>
      <w:r w:rsidR="007A08D6" w:rsidRPr="00A57E40">
        <w:rPr>
          <w:rFonts w:ascii="Times New Roman" w:hAnsi="Times New Roman"/>
          <w:sz w:val="24"/>
          <w:szCs w:val="24"/>
        </w:rPr>
        <w:t>,</w:t>
      </w:r>
      <w:r w:rsidRPr="00A57E40">
        <w:rPr>
          <w:rFonts w:ascii="Times New Roman" w:hAnsi="Times New Roman"/>
          <w:sz w:val="24"/>
          <w:szCs w:val="24"/>
        </w:rPr>
        <w:t xml:space="preserve"> it was estimated that the value of the fees collected in respect of foreign trusts, plus employment income for </w:t>
      </w:r>
      <w:r w:rsidR="007A08D6" w:rsidRPr="00A57E40">
        <w:rPr>
          <w:rFonts w:ascii="Times New Roman" w:hAnsi="Times New Roman"/>
          <w:sz w:val="24"/>
          <w:szCs w:val="24"/>
        </w:rPr>
        <w:t>thi</w:t>
      </w:r>
      <w:r w:rsidRPr="00A57E40">
        <w:rPr>
          <w:rFonts w:ascii="Times New Roman" w:hAnsi="Times New Roman"/>
          <w:sz w:val="24"/>
          <w:szCs w:val="24"/>
        </w:rPr>
        <w:t>rd party employees and principals for each foreign trust provider entity, amounts to approximately $24 million per annum, on average.  This figure has been calculated from Inland Revenue data.  (Other reported estimates of fee income resulting from the industry range from $20 million</w:t>
      </w:r>
      <w:r w:rsidRPr="00A57E40">
        <w:rPr>
          <w:rFonts w:ascii="Times New Roman" w:hAnsi="Times New Roman"/>
          <w:sz w:val="24"/>
          <w:szCs w:val="24"/>
          <w:vertAlign w:val="superscript"/>
        </w:rPr>
        <w:footnoteReference w:id="1"/>
      </w:r>
      <w:r w:rsidRPr="00A57E40">
        <w:rPr>
          <w:rFonts w:ascii="Times New Roman" w:hAnsi="Times New Roman"/>
          <w:sz w:val="24"/>
          <w:szCs w:val="24"/>
        </w:rPr>
        <w:t xml:space="preserve"> to $50 million</w:t>
      </w:r>
      <w:r w:rsidRPr="00A57E40">
        <w:rPr>
          <w:rFonts w:ascii="Times New Roman" w:hAnsi="Times New Roman"/>
          <w:sz w:val="24"/>
          <w:szCs w:val="24"/>
          <w:vertAlign w:val="superscript"/>
        </w:rPr>
        <w:footnoteReference w:id="2"/>
      </w:r>
      <w:r w:rsidRPr="00A57E40">
        <w:rPr>
          <w:rFonts w:ascii="Times New Roman" w:hAnsi="Times New Roman"/>
          <w:sz w:val="24"/>
          <w:szCs w:val="24"/>
        </w:rPr>
        <w:t xml:space="preserve"> per annum.)</w:t>
      </w:r>
    </w:p>
    <w:p w:rsidR="00B955D8" w:rsidRPr="00A57E40" w:rsidRDefault="00B955D8" w:rsidP="007B612D">
      <w:pPr>
        <w:pStyle w:val="Bullet-list"/>
        <w:spacing w:after="0" w:line="240" w:lineRule="auto"/>
        <w:ind w:left="0" w:firstLine="0"/>
        <w:jc w:val="both"/>
        <w:rPr>
          <w:rFonts w:ascii="Times New Roman" w:hAnsi="Times New Roman"/>
          <w:sz w:val="24"/>
          <w:szCs w:val="24"/>
        </w:rPr>
      </w:pPr>
    </w:p>
    <w:p w:rsidR="00B955D8" w:rsidRPr="00A57E40" w:rsidRDefault="00B955D8" w:rsidP="00F35A65">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A57E40">
        <w:rPr>
          <w:rFonts w:ascii="Times New Roman" w:hAnsi="Times New Roman"/>
          <w:sz w:val="24"/>
          <w:szCs w:val="24"/>
        </w:rPr>
        <w:t>The contribution to the New Zealand tax take, in terms of income tax on fee income, goods and services tax, and PAYE paid on behalf of third party employees and principals for each foreign trust provider entity, is around $3 million per annum, on average.  This figure has been calculated from Inland Revenue data.</w:t>
      </w:r>
    </w:p>
    <w:p w:rsidR="000545DC" w:rsidRPr="00A57E40" w:rsidRDefault="000545DC" w:rsidP="00CB24D4">
      <w:pPr>
        <w:pStyle w:val="Bullet-list"/>
        <w:spacing w:after="0" w:line="240" w:lineRule="auto"/>
        <w:ind w:left="0" w:firstLine="0"/>
        <w:jc w:val="both"/>
        <w:rPr>
          <w:rFonts w:ascii="Times New Roman" w:hAnsi="Times New Roman"/>
          <w:sz w:val="24"/>
          <w:szCs w:val="24"/>
        </w:rPr>
      </w:pPr>
    </w:p>
    <w:p w:rsidR="007B612D" w:rsidRPr="00A57E40" w:rsidRDefault="007B612D" w:rsidP="007B612D">
      <w:pPr>
        <w:pStyle w:val="spacer"/>
        <w:jc w:val="both"/>
        <w:rPr>
          <w:rFonts w:ascii="Times New Roman" w:hAnsi="Times New Roman"/>
          <w:sz w:val="24"/>
          <w:szCs w:val="24"/>
          <w:lang w:val="en-AU"/>
        </w:rPr>
      </w:pPr>
    </w:p>
    <w:p w:rsidR="000545DC" w:rsidRPr="00A57E40" w:rsidRDefault="00D943DD" w:rsidP="007B612D">
      <w:pPr>
        <w:pStyle w:val="spacer"/>
        <w:jc w:val="both"/>
        <w:rPr>
          <w:rFonts w:ascii="Times New Roman" w:hAnsi="Times New Roman"/>
          <w:b/>
          <w:sz w:val="24"/>
          <w:szCs w:val="24"/>
          <w:lang w:val="en-AU"/>
        </w:rPr>
      </w:pPr>
      <w:bookmarkStart w:id="12" w:name="_Toc244580364"/>
      <w:bookmarkStart w:id="13" w:name="_Toc244587040"/>
      <w:bookmarkStart w:id="14" w:name="_Toc244857274"/>
      <w:bookmarkStart w:id="15" w:name="_Toc244912539"/>
      <w:bookmarkStart w:id="16" w:name="_Toc244916996"/>
      <w:r w:rsidRPr="00A57E40">
        <w:rPr>
          <w:rFonts w:ascii="Times New Roman" w:hAnsi="Times New Roman"/>
          <w:b/>
          <w:sz w:val="24"/>
          <w:szCs w:val="24"/>
          <w:lang w:val="en-AU"/>
        </w:rPr>
        <w:t>OBJECTIVES</w:t>
      </w:r>
      <w:bookmarkEnd w:id="12"/>
      <w:bookmarkEnd w:id="13"/>
      <w:bookmarkEnd w:id="14"/>
      <w:bookmarkEnd w:id="15"/>
      <w:bookmarkEnd w:id="16"/>
    </w:p>
    <w:p w:rsidR="00B315EB" w:rsidRPr="00A57E40" w:rsidRDefault="00B315EB" w:rsidP="00670209">
      <w:pPr>
        <w:pStyle w:val="Bullet-list"/>
        <w:spacing w:after="0" w:line="240" w:lineRule="auto"/>
        <w:ind w:left="0" w:firstLine="0"/>
        <w:jc w:val="both"/>
        <w:rPr>
          <w:rFonts w:ascii="Times New Roman" w:hAnsi="Times New Roman"/>
          <w:sz w:val="24"/>
          <w:szCs w:val="24"/>
        </w:rPr>
      </w:pPr>
    </w:p>
    <w:p w:rsidR="00B0798B" w:rsidRPr="00A57E40" w:rsidRDefault="007D229A" w:rsidP="00663331">
      <w:pPr>
        <w:pStyle w:val="ListParagraph"/>
        <w:numPr>
          <w:ilvl w:val="0"/>
          <w:numId w:val="2"/>
        </w:numPr>
        <w:tabs>
          <w:tab w:val="clear" w:pos="644"/>
        </w:tabs>
        <w:ind w:left="0" w:right="170" w:firstLine="0"/>
        <w:contextualSpacing w:val="0"/>
        <w:rPr>
          <w:rFonts w:ascii="Times New Roman" w:hAnsi="Times New Roman"/>
          <w:sz w:val="24"/>
          <w:szCs w:val="24"/>
        </w:rPr>
      </w:pPr>
      <w:r w:rsidRPr="00A57E40">
        <w:rPr>
          <w:rFonts w:ascii="Times New Roman" w:hAnsi="Times New Roman"/>
          <w:sz w:val="24"/>
          <w:szCs w:val="24"/>
        </w:rPr>
        <w:t>The</w:t>
      </w:r>
      <w:r w:rsidRPr="00A57E40">
        <w:rPr>
          <w:rFonts w:ascii="Times New Roman" w:hAnsi="Times New Roman"/>
          <w:b/>
          <w:sz w:val="24"/>
          <w:szCs w:val="24"/>
        </w:rPr>
        <w:t xml:space="preserve"> </w:t>
      </w:r>
      <w:r w:rsidR="007A08D6" w:rsidRPr="00A57E40">
        <w:rPr>
          <w:rFonts w:ascii="Times New Roman" w:hAnsi="Times New Roman"/>
          <w:b/>
          <w:sz w:val="24"/>
          <w:szCs w:val="24"/>
        </w:rPr>
        <w:t>m</w:t>
      </w:r>
      <w:r w:rsidR="00B315EB" w:rsidRPr="00A57E40">
        <w:rPr>
          <w:rFonts w:ascii="Times New Roman" w:hAnsi="Times New Roman"/>
          <w:b/>
          <w:sz w:val="24"/>
          <w:szCs w:val="24"/>
        </w:rPr>
        <w:t>ain objective</w:t>
      </w:r>
      <w:r w:rsidRPr="00A57E40">
        <w:rPr>
          <w:rFonts w:ascii="Times New Roman" w:hAnsi="Times New Roman"/>
          <w:sz w:val="24"/>
          <w:szCs w:val="24"/>
        </w:rPr>
        <w:t xml:space="preserve"> is to</w:t>
      </w:r>
      <w:r w:rsidR="00B4660A" w:rsidRPr="00A57E40">
        <w:rPr>
          <w:rFonts w:ascii="Times New Roman" w:hAnsi="Times New Roman"/>
          <w:sz w:val="24"/>
          <w:szCs w:val="24"/>
        </w:rPr>
        <w:t xml:space="preserve"> </w:t>
      </w:r>
      <w:r w:rsidR="00A02F41" w:rsidRPr="00A57E40">
        <w:rPr>
          <w:rFonts w:ascii="Times New Roman" w:hAnsi="Times New Roman"/>
          <w:sz w:val="24"/>
          <w:szCs w:val="24"/>
        </w:rPr>
        <w:t>reduce</w:t>
      </w:r>
      <w:r w:rsidR="00C51B3B" w:rsidRPr="00A57E40">
        <w:rPr>
          <w:rFonts w:ascii="Times New Roman" w:hAnsi="Times New Roman"/>
          <w:sz w:val="24"/>
          <w:szCs w:val="24"/>
        </w:rPr>
        <w:t xml:space="preserve"> the </w:t>
      </w:r>
      <w:r w:rsidR="00A02F41" w:rsidRPr="00A57E40">
        <w:rPr>
          <w:rFonts w:ascii="Times New Roman" w:hAnsi="Times New Roman"/>
          <w:sz w:val="24"/>
          <w:szCs w:val="24"/>
        </w:rPr>
        <w:t xml:space="preserve">potential for </w:t>
      </w:r>
      <w:r w:rsidR="00C51B3B" w:rsidRPr="00A57E40">
        <w:rPr>
          <w:rFonts w:ascii="Times New Roman" w:hAnsi="Times New Roman"/>
          <w:sz w:val="24"/>
          <w:szCs w:val="24"/>
        </w:rPr>
        <w:t xml:space="preserve">misuse of </w:t>
      </w:r>
      <w:r w:rsidR="00A02F41" w:rsidRPr="00A57E40">
        <w:rPr>
          <w:rFonts w:ascii="Times New Roman" w:hAnsi="Times New Roman"/>
          <w:sz w:val="24"/>
          <w:szCs w:val="24"/>
        </w:rPr>
        <w:t>foreign trusts in New Zealand</w:t>
      </w:r>
      <w:r w:rsidR="00B0798B" w:rsidRPr="00A57E40">
        <w:rPr>
          <w:rFonts w:ascii="Times New Roman" w:hAnsi="Times New Roman"/>
          <w:sz w:val="24"/>
          <w:szCs w:val="24"/>
        </w:rPr>
        <w:t xml:space="preserve"> </w:t>
      </w:r>
      <w:r w:rsidR="00C763F8" w:rsidRPr="00A57E40">
        <w:rPr>
          <w:rFonts w:ascii="Times New Roman" w:hAnsi="Times New Roman"/>
          <w:sz w:val="24"/>
          <w:szCs w:val="24"/>
        </w:rPr>
        <w:t>(both actual and perceived)</w:t>
      </w:r>
      <w:r w:rsidR="00581DC1" w:rsidRPr="00A57E40">
        <w:rPr>
          <w:rStyle w:val="FootnoteReference"/>
          <w:rFonts w:ascii="Times New Roman" w:hAnsi="Times New Roman"/>
          <w:szCs w:val="24"/>
        </w:rPr>
        <w:footnoteReference w:id="3"/>
      </w:r>
      <w:r w:rsidR="00C763F8" w:rsidRPr="00A57E40">
        <w:rPr>
          <w:rFonts w:ascii="Times New Roman" w:hAnsi="Times New Roman"/>
          <w:sz w:val="24"/>
          <w:szCs w:val="24"/>
        </w:rPr>
        <w:t xml:space="preserve"> </w:t>
      </w:r>
      <w:r w:rsidR="00B0798B" w:rsidRPr="00A57E40">
        <w:rPr>
          <w:rFonts w:ascii="Times New Roman" w:hAnsi="Times New Roman"/>
          <w:sz w:val="24"/>
          <w:szCs w:val="24"/>
        </w:rPr>
        <w:t xml:space="preserve">in respect of </w:t>
      </w:r>
      <w:r w:rsidR="00581DC1" w:rsidRPr="00A57E40">
        <w:rPr>
          <w:rFonts w:ascii="Times New Roman" w:hAnsi="Times New Roman"/>
          <w:sz w:val="24"/>
          <w:szCs w:val="24"/>
        </w:rPr>
        <w:t xml:space="preserve">foreign </w:t>
      </w:r>
      <w:r w:rsidR="00B0798B" w:rsidRPr="00A57E40">
        <w:rPr>
          <w:rFonts w:ascii="Times New Roman" w:hAnsi="Times New Roman"/>
          <w:sz w:val="24"/>
          <w:szCs w:val="24"/>
        </w:rPr>
        <w:t>tax avoidance or evasion</w:t>
      </w:r>
      <w:r w:rsidR="005F1CEC" w:rsidRPr="00A57E40">
        <w:rPr>
          <w:rFonts w:ascii="Times New Roman" w:hAnsi="Times New Roman"/>
          <w:sz w:val="24"/>
          <w:szCs w:val="24"/>
        </w:rPr>
        <w:t>.</w:t>
      </w:r>
    </w:p>
    <w:p w:rsidR="00204CC5" w:rsidRPr="00A57E40" w:rsidRDefault="00204CC5" w:rsidP="00E07959">
      <w:pPr>
        <w:pStyle w:val="ListParagraph"/>
        <w:ind w:left="0" w:right="170"/>
        <w:contextualSpacing w:val="0"/>
        <w:rPr>
          <w:rFonts w:ascii="Times New Roman" w:hAnsi="Times New Roman"/>
          <w:sz w:val="24"/>
          <w:szCs w:val="24"/>
        </w:rPr>
      </w:pPr>
    </w:p>
    <w:p w:rsidR="00204CC5" w:rsidRPr="00A57E40" w:rsidRDefault="00204CC5" w:rsidP="00663331">
      <w:pPr>
        <w:pStyle w:val="ListParagraph"/>
        <w:numPr>
          <w:ilvl w:val="0"/>
          <w:numId w:val="2"/>
        </w:numPr>
        <w:tabs>
          <w:tab w:val="clear" w:pos="644"/>
        </w:tabs>
        <w:ind w:left="0" w:right="170" w:firstLine="0"/>
        <w:contextualSpacing w:val="0"/>
        <w:rPr>
          <w:rFonts w:ascii="Times New Roman" w:hAnsi="Times New Roman"/>
          <w:sz w:val="24"/>
          <w:szCs w:val="24"/>
        </w:rPr>
      </w:pPr>
      <w:r w:rsidRPr="00A57E40">
        <w:rPr>
          <w:rFonts w:ascii="Times New Roman" w:hAnsi="Times New Roman"/>
          <w:sz w:val="24"/>
          <w:szCs w:val="24"/>
        </w:rPr>
        <w:t xml:space="preserve">The Inquiry also </w:t>
      </w:r>
      <w:r w:rsidR="005748FD" w:rsidRPr="00A57E40">
        <w:rPr>
          <w:rFonts w:ascii="Times New Roman" w:hAnsi="Times New Roman"/>
          <w:sz w:val="24"/>
          <w:szCs w:val="24"/>
        </w:rPr>
        <w:t xml:space="preserve">proposed changes to reduce the </w:t>
      </w:r>
      <w:r w:rsidRPr="00A57E40">
        <w:rPr>
          <w:rFonts w:ascii="Times New Roman" w:hAnsi="Times New Roman"/>
          <w:sz w:val="24"/>
          <w:szCs w:val="24"/>
        </w:rPr>
        <w:t xml:space="preserve">potential </w:t>
      </w:r>
      <w:r w:rsidR="005748FD" w:rsidRPr="00A57E40">
        <w:rPr>
          <w:rFonts w:ascii="Times New Roman" w:hAnsi="Times New Roman"/>
          <w:sz w:val="24"/>
          <w:szCs w:val="24"/>
        </w:rPr>
        <w:t xml:space="preserve">for </w:t>
      </w:r>
      <w:r w:rsidRPr="00A57E40">
        <w:rPr>
          <w:rFonts w:ascii="Times New Roman" w:hAnsi="Times New Roman"/>
          <w:sz w:val="24"/>
          <w:szCs w:val="24"/>
        </w:rPr>
        <w:t xml:space="preserve">foreign trusts </w:t>
      </w:r>
      <w:r w:rsidR="005748FD" w:rsidRPr="00A57E40">
        <w:rPr>
          <w:rFonts w:ascii="Times New Roman" w:hAnsi="Times New Roman"/>
          <w:sz w:val="24"/>
          <w:szCs w:val="24"/>
        </w:rPr>
        <w:t xml:space="preserve">to be used </w:t>
      </w:r>
      <w:r w:rsidRPr="00A57E40">
        <w:rPr>
          <w:rFonts w:ascii="Times New Roman" w:hAnsi="Times New Roman"/>
          <w:sz w:val="24"/>
          <w:szCs w:val="24"/>
        </w:rPr>
        <w:t xml:space="preserve">for money laundering and other illicit purposes.  </w:t>
      </w:r>
      <w:r w:rsidR="00D20075" w:rsidRPr="00A57E40">
        <w:rPr>
          <w:rFonts w:ascii="Times New Roman" w:hAnsi="Times New Roman"/>
          <w:sz w:val="24"/>
          <w:szCs w:val="24"/>
        </w:rPr>
        <w:t xml:space="preserve">Reducing the potential for foreign </w:t>
      </w:r>
      <w:r w:rsidR="00CA1535" w:rsidRPr="00A57E40">
        <w:rPr>
          <w:rFonts w:ascii="Times New Roman" w:hAnsi="Times New Roman"/>
          <w:sz w:val="24"/>
          <w:szCs w:val="24"/>
        </w:rPr>
        <w:t>trusts</w:t>
      </w:r>
      <w:r w:rsidR="00D20075" w:rsidRPr="00A57E40">
        <w:rPr>
          <w:rFonts w:ascii="Times New Roman" w:hAnsi="Times New Roman"/>
          <w:sz w:val="24"/>
          <w:szCs w:val="24"/>
        </w:rPr>
        <w:t xml:space="preserve"> to be used for money laundering and other illicit purposes is not an objective against which the options considered in this </w:t>
      </w:r>
      <w:proofErr w:type="spellStart"/>
      <w:r w:rsidR="00D20075" w:rsidRPr="00A57E40">
        <w:rPr>
          <w:rFonts w:ascii="Times New Roman" w:hAnsi="Times New Roman"/>
          <w:sz w:val="24"/>
          <w:szCs w:val="24"/>
        </w:rPr>
        <w:t>RIS</w:t>
      </w:r>
      <w:proofErr w:type="spellEnd"/>
      <w:r w:rsidR="00D20075" w:rsidRPr="00A57E40">
        <w:rPr>
          <w:rFonts w:ascii="Times New Roman" w:hAnsi="Times New Roman"/>
          <w:sz w:val="24"/>
          <w:szCs w:val="24"/>
        </w:rPr>
        <w:t xml:space="preserve"> are assessed. </w:t>
      </w:r>
      <w:r w:rsidR="005748FD" w:rsidRPr="00A57E40">
        <w:rPr>
          <w:rFonts w:ascii="Times New Roman" w:hAnsi="Times New Roman"/>
          <w:sz w:val="24"/>
          <w:szCs w:val="24"/>
        </w:rPr>
        <w:t xml:space="preserve"> However, the Inquiry considered that </w:t>
      </w:r>
      <w:r w:rsidRPr="00A57E40">
        <w:rPr>
          <w:rFonts w:ascii="Times New Roman" w:hAnsi="Times New Roman"/>
          <w:sz w:val="24"/>
          <w:szCs w:val="24"/>
        </w:rPr>
        <w:t xml:space="preserve">increased disclosure requirements </w:t>
      </w:r>
      <w:r w:rsidR="005748FD" w:rsidRPr="00A57E40">
        <w:rPr>
          <w:rFonts w:ascii="Times New Roman" w:hAnsi="Times New Roman"/>
          <w:sz w:val="24"/>
          <w:szCs w:val="24"/>
        </w:rPr>
        <w:t>would be likely to partially address this issue.</w:t>
      </w:r>
      <w:r w:rsidRPr="00A57E40">
        <w:rPr>
          <w:rFonts w:ascii="Times New Roman" w:hAnsi="Times New Roman"/>
          <w:sz w:val="24"/>
          <w:szCs w:val="24"/>
        </w:rPr>
        <w:t xml:space="preserve"> </w:t>
      </w:r>
      <w:r w:rsidR="00D20075" w:rsidRPr="00A57E40">
        <w:rPr>
          <w:rFonts w:ascii="Times New Roman" w:hAnsi="Times New Roman"/>
          <w:sz w:val="24"/>
          <w:szCs w:val="24"/>
        </w:rPr>
        <w:t>It should be noted that the Inquiry also recommended changes to the AML requirements.  These AML amendments are currently being considered by the Ministry of Justice, alongside work currently underway to bring in Phase II of the AML regime.  If these AML proposals are accepted, a regulatory impact statement for them will be completed as part of the Phase II policy proposals.</w:t>
      </w:r>
    </w:p>
    <w:p w:rsidR="00163E2F" w:rsidRPr="00A57E40" w:rsidRDefault="00163E2F" w:rsidP="0015734A">
      <w:pPr>
        <w:pStyle w:val="ListParagraph"/>
        <w:ind w:left="0"/>
        <w:rPr>
          <w:rFonts w:ascii="Times New Roman" w:hAnsi="Times New Roman"/>
          <w:sz w:val="24"/>
          <w:szCs w:val="24"/>
          <w:lang w:val="en-AU"/>
        </w:rPr>
      </w:pPr>
    </w:p>
    <w:p w:rsidR="00163E2F" w:rsidRPr="00A57E40" w:rsidRDefault="007D229A" w:rsidP="00663331">
      <w:pPr>
        <w:pStyle w:val="ListParagraph"/>
        <w:numPr>
          <w:ilvl w:val="0"/>
          <w:numId w:val="2"/>
        </w:numPr>
        <w:tabs>
          <w:tab w:val="clear" w:pos="644"/>
        </w:tabs>
        <w:ind w:left="0" w:firstLine="0"/>
        <w:rPr>
          <w:rFonts w:ascii="Times New Roman" w:hAnsi="Times New Roman"/>
          <w:sz w:val="24"/>
          <w:szCs w:val="24"/>
          <w:lang w:val="en-AU"/>
        </w:rPr>
      </w:pPr>
      <w:r w:rsidRPr="00A57E40">
        <w:rPr>
          <w:rFonts w:ascii="Times New Roman" w:hAnsi="Times New Roman"/>
          <w:sz w:val="24"/>
          <w:szCs w:val="24"/>
          <w:lang w:val="en-AU"/>
        </w:rPr>
        <w:t>All</w:t>
      </w:r>
      <w:r w:rsidR="003A6673" w:rsidRPr="00A57E40">
        <w:rPr>
          <w:rFonts w:ascii="Times New Roman" w:hAnsi="Times New Roman"/>
          <w:sz w:val="24"/>
          <w:szCs w:val="24"/>
          <w:lang w:val="en-AU"/>
        </w:rPr>
        <w:t xml:space="preserve"> the options are assessed against </w:t>
      </w:r>
      <w:r w:rsidRPr="00A57E40">
        <w:rPr>
          <w:rFonts w:ascii="Times New Roman" w:hAnsi="Times New Roman"/>
          <w:sz w:val="24"/>
          <w:szCs w:val="24"/>
          <w:lang w:val="en-AU"/>
        </w:rPr>
        <w:t xml:space="preserve">the status quo in relation to the main objective and </w:t>
      </w:r>
      <w:r w:rsidR="003A6673" w:rsidRPr="00A57E40">
        <w:rPr>
          <w:rFonts w:ascii="Times New Roman" w:hAnsi="Times New Roman"/>
          <w:sz w:val="24"/>
          <w:szCs w:val="24"/>
          <w:lang w:val="en-AU"/>
        </w:rPr>
        <w:t>the following criteria:</w:t>
      </w:r>
    </w:p>
    <w:p w:rsidR="00B315EB" w:rsidRPr="00A57E40" w:rsidRDefault="00B315EB" w:rsidP="00663331">
      <w:pPr>
        <w:pStyle w:val="Bullet-list"/>
        <w:spacing w:after="0" w:line="240" w:lineRule="auto"/>
        <w:ind w:left="0" w:firstLine="0"/>
        <w:jc w:val="both"/>
        <w:rPr>
          <w:rFonts w:ascii="Times New Roman" w:hAnsi="Times New Roman"/>
          <w:sz w:val="24"/>
          <w:szCs w:val="24"/>
        </w:rPr>
      </w:pPr>
    </w:p>
    <w:p w:rsidR="000445A0" w:rsidRPr="00A57E40" w:rsidRDefault="00B75DE8" w:rsidP="0015734A">
      <w:pPr>
        <w:pStyle w:val="ListParagraph"/>
        <w:numPr>
          <w:ilvl w:val="0"/>
          <w:numId w:val="10"/>
        </w:numPr>
        <w:spacing w:line="300" w:lineRule="atLeast"/>
        <w:ind w:left="567" w:firstLine="0"/>
        <w:rPr>
          <w:rFonts w:ascii="Times New Roman" w:hAnsi="Times New Roman"/>
          <w:sz w:val="24"/>
          <w:szCs w:val="24"/>
        </w:rPr>
      </w:pPr>
      <w:r w:rsidRPr="00A57E40">
        <w:rPr>
          <w:rFonts w:ascii="Times New Roman" w:hAnsi="Times New Roman"/>
          <w:b/>
          <w:sz w:val="24"/>
          <w:szCs w:val="24"/>
          <w:lang w:val="en-GB" w:eastAsia="en-GB"/>
        </w:rPr>
        <w:t xml:space="preserve">Maintaining New Zealand’s reputation as a leader in </w:t>
      </w:r>
      <w:r w:rsidR="005A0C3A" w:rsidRPr="00A57E40">
        <w:rPr>
          <w:rFonts w:ascii="Times New Roman" w:hAnsi="Times New Roman"/>
          <w:b/>
          <w:sz w:val="24"/>
          <w:szCs w:val="24"/>
          <w:lang w:val="en-GB" w:eastAsia="en-GB"/>
        </w:rPr>
        <w:t xml:space="preserve">best practice of </w:t>
      </w:r>
      <w:r w:rsidRPr="00A57E40">
        <w:rPr>
          <w:rFonts w:ascii="Times New Roman" w:hAnsi="Times New Roman"/>
          <w:b/>
          <w:sz w:val="24"/>
          <w:szCs w:val="24"/>
          <w:lang w:val="en-GB" w:eastAsia="en-GB"/>
        </w:rPr>
        <w:t>international exchange of information</w:t>
      </w:r>
      <w:r w:rsidR="005A0C3A" w:rsidRPr="00A57E40">
        <w:rPr>
          <w:rFonts w:ascii="Times New Roman" w:hAnsi="Times New Roman"/>
          <w:b/>
          <w:sz w:val="24"/>
          <w:szCs w:val="24"/>
          <w:lang w:val="en-GB" w:eastAsia="en-GB"/>
        </w:rPr>
        <w:t xml:space="preserve"> </w:t>
      </w:r>
      <w:r w:rsidR="00E135CB" w:rsidRPr="00A57E40">
        <w:rPr>
          <w:rFonts w:ascii="Times New Roman" w:hAnsi="Times New Roman"/>
          <w:sz w:val="24"/>
          <w:szCs w:val="24"/>
        </w:rPr>
        <w:t xml:space="preserve">– </w:t>
      </w:r>
      <w:r w:rsidR="00E07959" w:rsidRPr="00A57E40">
        <w:rPr>
          <w:rFonts w:ascii="Times New Roman" w:hAnsi="Times New Roman"/>
          <w:sz w:val="24"/>
          <w:szCs w:val="24"/>
        </w:rPr>
        <w:t xml:space="preserve">Ensuring that New Zealand is able to </w:t>
      </w:r>
      <w:r w:rsidRPr="00A57E40">
        <w:rPr>
          <w:rFonts w:ascii="Times New Roman" w:hAnsi="Times New Roman"/>
          <w:sz w:val="24"/>
          <w:szCs w:val="24"/>
        </w:rPr>
        <w:t>maintain its reputation as a leader in best practice</w:t>
      </w:r>
      <w:r w:rsidR="00E07959" w:rsidRPr="00A57E40">
        <w:rPr>
          <w:rFonts w:ascii="Times New Roman" w:hAnsi="Times New Roman"/>
          <w:sz w:val="24"/>
          <w:szCs w:val="24"/>
        </w:rPr>
        <w:t xml:space="preserve"> </w:t>
      </w:r>
      <w:r w:rsidR="005A0C3A" w:rsidRPr="00A57E40">
        <w:rPr>
          <w:rFonts w:ascii="Times New Roman" w:hAnsi="Times New Roman"/>
          <w:sz w:val="24"/>
          <w:szCs w:val="24"/>
        </w:rPr>
        <w:t xml:space="preserve">of </w:t>
      </w:r>
      <w:r w:rsidR="00CF65B1" w:rsidRPr="00A57E40">
        <w:rPr>
          <w:rFonts w:ascii="Times New Roman" w:hAnsi="Times New Roman"/>
          <w:sz w:val="24"/>
          <w:szCs w:val="24"/>
        </w:rPr>
        <w:t xml:space="preserve">international </w:t>
      </w:r>
      <w:r w:rsidRPr="00A57E40">
        <w:rPr>
          <w:rFonts w:ascii="Times New Roman" w:hAnsi="Times New Roman"/>
          <w:sz w:val="24"/>
          <w:szCs w:val="24"/>
        </w:rPr>
        <w:t>exchange of information</w:t>
      </w:r>
      <w:r w:rsidR="00E07959" w:rsidRPr="00A57E40">
        <w:rPr>
          <w:rFonts w:ascii="Times New Roman" w:hAnsi="Times New Roman"/>
          <w:sz w:val="24"/>
          <w:szCs w:val="24"/>
        </w:rPr>
        <w:t>,</w:t>
      </w:r>
      <w:r w:rsidR="00E135CB" w:rsidRPr="00A57E40">
        <w:rPr>
          <w:rFonts w:ascii="Times New Roman" w:hAnsi="Times New Roman"/>
          <w:sz w:val="24"/>
          <w:szCs w:val="24"/>
        </w:rPr>
        <w:t xml:space="preserve"> particularly in light of the recent </w:t>
      </w:r>
      <w:r w:rsidR="00E07959" w:rsidRPr="00A57E40">
        <w:rPr>
          <w:rFonts w:ascii="Times New Roman" w:hAnsi="Times New Roman"/>
          <w:sz w:val="24"/>
          <w:szCs w:val="24"/>
        </w:rPr>
        <w:t>expansion</w:t>
      </w:r>
      <w:r w:rsidR="00E135CB" w:rsidRPr="00A57E40">
        <w:rPr>
          <w:rFonts w:ascii="Times New Roman" w:hAnsi="Times New Roman"/>
          <w:sz w:val="24"/>
          <w:szCs w:val="24"/>
        </w:rPr>
        <w:t xml:space="preserve"> of international obligations </w:t>
      </w:r>
      <w:r w:rsidR="003D6B05" w:rsidRPr="00A57E40">
        <w:rPr>
          <w:rFonts w:ascii="Times New Roman" w:hAnsi="Times New Roman"/>
          <w:sz w:val="24"/>
          <w:szCs w:val="24"/>
        </w:rPr>
        <w:t>(in terms of number of treaty partners, the amount of information, and frequency of exchange)</w:t>
      </w:r>
      <w:r w:rsidR="00E135CB" w:rsidRPr="00A57E40">
        <w:rPr>
          <w:rFonts w:ascii="Times New Roman" w:hAnsi="Times New Roman"/>
          <w:sz w:val="24"/>
          <w:szCs w:val="24"/>
        </w:rPr>
        <w:t xml:space="preserve">. </w:t>
      </w:r>
      <w:r w:rsidR="00D506AA" w:rsidRPr="00A57E40">
        <w:rPr>
          <w:rFonts w:ascii="Times New Roman" w:hAnsi="Times New Roman"/>
          <w:sz w:val="24"/>
          <w:szCs w:val="24"/>
        </w:rPr>
        <w:t xml:space="preserve"> </w:t>
      </w:r>
    </w:p>
    <w:p w:rsidR="00830162" w:rsidRPr="00A57E40" w:rsidRDefault="00830162" w:rsidP="00663331">
      <w:pPr>
        <w:pStyle w:val="Bullet-list"/>
        <w:spacing w:after="0" w:line="240" w:lineRule="auto"/>
        <w:ind w:left="567" w:firstLine="0"/>
        <w:jc w:val="both"/>
        <w:rPr>
          <w:rFonts w:ascii="Times New Roman" w:hAnsi="Times New Roman"/>
          <w:sz w:val="24"/>
          <w:szCs w:val="24"/>
        </w:rPr>
      </w:pPr>
    </w:p>
    <w:p w:rsidR="00830162" w:rsidRPr="00A57E40" w:rsidRDefault="00830162" w:rsidP="00663331">
      <w:pPr>
        <w:pStyle w:val="Bullet-list"/>
        <w:numPr>
          <w:ilvl w:val="0"/>
          <w:numId w:val="10"/>
        </w:numPr>
        <w:spacing w:after="0" w:line="240" w:lineRule="auto"/>
        <w:ind w:left="567" w:firstLine="0"/>
        <w:jc w:val="both"/>
        <w:rPr>
          <w:rFonts w:ascii="Times New Roman" w:hAnsi="Times New Roman"/>
          <w:sz w:val="24"/>
          <w:szCs w:val="24"/>
        </w:rPr>
      </w:pPr>
      <w:r w:rsidRPr="00A57E40">
        <w:rPr>
          <w:rFonts w:ascii="Times New Roman" w:hAnsi="Times New Roman"/>
          <w:sz w:val="24"/>
          <w:szCs w:val="24"/>
        </w:rPr>
        <w:t xml:space="preserve"> </w:t>
      </w:r>
      <w:r w:rsidR="007D229A" w:rsidRPr="00A57E40">
        <w:rPr>
          <w:rFonts w:ascii="Times New Roman" w:hAnsi="Times New Roman"/>
          <w:b/>
          <w:sz w:val="24"/>
          <w:szCs w:val="24"/>
        </w:rPr>
        <w:t>Maintaining an o</w:t>
      </w:r>
      <w:r w:rsidRPr="00A57E40">
        <w:rPr>
          <w:rFonts w:ascii="Times New Roman" w:hAnsi="Times New Roman"/>
          <w:b/>
          <w:sz w:val="24"/>
          <w:szCs w:val="24"/>
        </w:rPr>
        <w:t xml:space="preserve">pen economy </w:t>
      </w:r>
      <w:r w:rsidR="007D229A" w:rsidRPr="00A57E40">
        <w:rPr>
          <w:rFonts w:ascii="Times New Roman" w:hAnsi="Times New Roman"/>
          <w:sz w:val="24"/>
          <w:szCs w:val="24"/>
        </w:rPr>
        <w:t>–</w:t>
      </w:r>
      <w:r w:rsidRPr="00A57E40">
        <w:rPr>
          <w:rFonts w:ascii="Times New Roman" w:hAnsi="Times New Roman"/>
          <w:sz w:val="24"/>
          <w:szCs w:val="24"/>
        </w:rPr>
        <w:t xml:space="preserve"> </w:t>
      </w:r>
      <w:r w:rsidR="007D229A" w:rsidRPr="00A57E40">
        <w:rPr>
          <w:rFonts w:ascii="Times New Roman" w:hAnsi="Times New Roman"/>
          <w:sz w:val="24"/>
          <w:szCs w:val="24"/>
        </w:rPr>
        <w:t>Th</w:t>
      </w:r>
      <w:r w:rsidR="007F1AD6" w:rsidRPr="00A57E40">
        <w:rPr>
          <w:rFonts w:ascii="Times New Roman" w:hAnsi="Times New Roman"/>
          <w:sz w:val="24"/>
          <w:szCs w:val="24"/>
        </w:rPr>
        <w:t>e</w:t>
      </w:r>
      <w:r w:rsidR="007D229A" w:rsidRPr="00A57E40">
        <w:rPr>
          <w:rFonts w:ascii="Times New Roman" w:hAnsi="Times New Roman"/>
          <w:sz w:val="24"/>
          <w:szCs w:val="24"/>
        </w:rPr>
        <w:t xml:space="preserve"> option</w:t>
      </w:r>
      <w:r w:rsidR="007F1AD6" w:rsidRPr="00A57E40">
        <w:rPr>
          <w:rFonts w:ascii="Times New Roman" w:hAnsi="Times New Roman"/>
          <w:sz w:val="24"/>
          <w:szCs w:val="24"/>
        </w:rPr>
        <w:t>s</w:t>
      </w:r>
      <w:r w:rsidR="007D229A" w:rsidRPr="00A57E40">
        <w:rPr>
          <w:rFonts w:ascii="Times New Roman" w:hAnsi="Times New Roman"/>
          <w:sz w:val="24"/>
          <w:szCs w:val="24"/>
        </w:rPr>
        <w:t xml:space="preserve"> should ensure that New Zealand </w:t>
      </w:r>
      <w:r w:rsidRPr="00A57E40">
        <w:rPr>
          <w:rFonts w:ascii="Times New Roman" w:hAnsi="Times New Roman"/>
          <w:sz w:val="24"/>
          <w:szCs w:val="24"/>
        </w:rPr>
        <w:t>maintain</w:t>
      </w:r>
      <w:r w:rsidR="007D229A" w:rsidRPr="00A57E40">
        <w:rPr>
          <w:rFonts w:ascii="Times New Roman" w:hAnsi="Times New Roman"/>
          <w:sz w:val="24"/>
          <w:szCs w:val="24"/>
        </w:rPr>
        <w:t>s</w:t>
      </w:r>
      <w:r w:rsidRPr="00A57E40">
        <w:rPr>
          <w:rFonts w:ascii="Times New Roman" w:hAnsi="Times New Roman"/>
          <w:sz w:val="24"/>
          <w:szCs w:val="24"/>
        </w:rPr>
        <w:t xml:space="preserve"> an open economy which welcomes an active financial services sector. </w:t>
      </w:r>
    </w:p>
    <w:p w:rsidR="000445A0" w:rsidRPr="00A57E40" w:rsidRDefault="000445A0" w:rsidP="00D20075">
      <w:pPr>
        <w:pStyle w:val="Bullet-list"/>
        <w:spacing w:after="0" w:line="240" w:lineRule="auto"/>
        <w:ind w:left="567" w:firstLine="0"/>
        <w:jc w:val="both"/>
        <w:rPr>
          <w:rFonts w:ascii="Times New Roman" w:hAnsi="Times New Roman"/>
          <w:sz w:val="24"/>
          <w:szCs w:val="24"/>
        </w:rPr>
      </w:pPr>
    </w:p>
    <w:p w:rsidR="000445A0" w:rsidRPr="00A57E40" w:rsidRDefault="006B516A" w:rsidP="00D20075">
      <w:pPr>
        <w:pStyle w:val="ListParagraph"/>
        <w:numPr>
          <w:ilvl w:val="0"/>
          <w:numId w:val="10"/>
        </w:numPr>
        <w:spacing w:line="300" w:lineRule="atLeast"/>
        <w:ind w:left="567" w:firstLine="0"/>
        <w:rPr>
          <w:rFonts w:ascii="Times New Roman" w:hAnsi="Times New Roman"/>
          <w:sz w:val="24"/>
          <w:szCs w:val="24"/>
        </w:rPr>
      </w:pPr>
      <w:r w:rsidRPr="00A57E40">
        <w:rPr>
          <w:rFonts w:ascii="Times New Roman" w:hAnsi="Times New Roman"/>
          <w:b/>
          <w:sz w:val="24"/>
          <w:szCs w:val="24"/>
        </w:rPr>
        <w:t>Fairness and integrity</w:t>
      </w:r>
      <w:r w:rsidR="000445A0" w:rsidRPr="00A57E40">
        <w:rPr>
          <w:rFonts w:ascii="Times New Roman" w:hAnsi="Times New Roman"/>
          <w:sz w:val="24"/>
          <w:szCs w:val="24"/>
        </w:rPr>
        <w:t xml:space="preserve"> </w:t>
      </w:r>
      <w:r w:rsidR="00954724" w:rsidRPr="00A57E40">
        <w:rPr>
          <w:rFonts w:ascii="Times New Roman" w:hAnsi="Times New Roman"/>
          <w:sz w:val="24"/>
          <w:szCs w:val="24"/>
        </w:rPr>
        <w:t xml:space="preserve">(including perceptions of fairness and integrity) </w:t>
      </w:r>
      <w:r w:rsidR="007D229A" w:rsidRPr="00A57E40">
        <w:rPr>
          <w:rFonts w:ascii="Times New Roman" w:hAnsi="Times New Roman"/>
          <w:sz w:val="24"/>
          <w:szCs w:val="24"/>
        </w:rPr>
        <w:t>– Th</w:t>
      </w:r>
      <w:r w:rsidR="007F1AD6" w:rsidRPr="00A57E40">
        <w:rPr>
          <w:rFonts w:ascii="Times New Roman" w:hAnsi="Times New Roman"/>
          <w:sz w:val="24"/>
          <w:szCs w:val="24"/>
        </w:rPr>
        <w:t>e</w:t>
      </w:r>
      <w:r w:rsidR="007D229A" w:rsidRPr="00A57E40">
        <w:rPr>
          <w:rFonts w:ascii="Times New Roman" w:hAnsi="Times New Roman"/>
          <w:sz w:val="24"/>
          <w:szCs w:val="24"/>
        </w:rPr>
        <w:t xml:space="preserve"> option</w:t>
      </w:r>
      <w:r w:rsidR="007F1AD6" w:rsidRPr="00A57E40">
        <w:rPr>
          <w:rFonts w:ascii="Times New Roman" w:hAnsi="Times New Roman"/>
          <w:sz w:val="24"/>
          <w:szCs w:val="24"/>
        </w:rPr>
        <w:t>s</w:t>
      </w:r>
      <w:r w:rsidR="007D229A" w:rsidRPr="00A57E40">
        <w:rPr>
          <w:rFonts w:ascii="Times New Roman" w:hAnsi="Times New Roman"/>
          <w:sz w:val="24"/>
          <w:szCs w:val="24"/>
        </w:rPr>
        <w:t xml:space="preserve"> should ensure that the law </w:t>
      </w:r>
      <w:r w:rsidR="00954724" w:rsidRPr="00A57E40">
        <w:rPr>
          <w:rFonts w:ascii="Times New Roman" w:hAnsi="Times New Roman"/>
          <w:sz w:val="24"/>
          <w:szCs w:val="24"/>
        </w:rPr>
        <w:t xml:space="preserve">is seen as treating </w:t>
      </w:r>
      <w:r w:rsidR="007D229A" w:rsidRPr="00A57E40">
        <w:rPr>
          <w:rFonts w:ascii="Times New Roman" w:hAnsi="Times New Roman"/>
          <w:sz w:val="24"/>
          <w:szCs w:val="24"/>
        </w:rPr>
        <w:t xml:space="preserve">people fairly and consistently and </w:t>
      </w:r>
      <w:r w:rsidR="007F1AD6" w:rsidRPr="00A57E40">
        <w:rPr>
          <w:rFonts w:ascii="Times New Roman" w:hAnsi="Times New Roman"/>
          <w:sz w:val="24"/>
          <w:szCs w:val="24"/>
        </w:rPr>
        <w:t xml:space="preserve">should </w:t>
      </w:r>
      <w:r w:rsidRPr="00A57E40">
        <w:rPr>
          <w:rFonts w:ascii="Times New Roman" w:hAnsi="Times New Roman"/>
          <w:sz w:val="24"/>
          <w:szCs w:val="24"/>
        </w:rPr>
        <w:t>not allow people to avoid their tax obligations</w:t>
      </w:r>
      <w:r w:rsidR="00C95B28" w:rsidRPr="00A57E40">
        <w:rPr>
          <w:rFonts w:ascii="Times New Roman" w:hAnsi="Times New Roman"/>
          <w:sz w:val="24"/>
          <w:szCs w:val="24"/>
        </w:rPr>
        <w:t xml:space="preserve"> (including any foreign tax obligations)</w:t>
      </w:r>
      <w:r w:rsidRPr="00A57E40">
        <w:rPr>
          <w:rFonts w:ascii="Times New Roman" w:hAnsi="Times New Roman"/>
          <w:sz w:val="24"/>
          <w:szCs w:val="24"/>
        </w:rPr>
        <w:t>.</w:t>
      </w:r>
    </w:p>
    <w:p w:rsidR="002D09A0" w:rsidRPr="00A57E40" w:rsidRDefault="002D09A0" w:rsidP="00D20075">
      <w:pPr>
        <w:pStyle w:val="ListParagraph"/>
        <w:ind w:left="567"/>
        <w:rPr>
          <w:rFonts w:ascii="Times New Roman" w:hAnsi="Times New Roman"/>
          <w:sz w:val="24"/>
          <w:szCs w:val="24"/>
        </w:rPr>
      </w:pPr>
    </w:p>
    <w:p w:rsidR="002D09A0" w:rsidRPr="00A57E40" w:rsidRDefault="002D09A0" w:rsidP="00D20075">
      <w:pPr>
        <w:pStyle w:val="ListParagraph"/>
        <w:numPr>
          <w:ilvl w:val="0"/>
          <w:numId w:val="10"/>
        </w:numPr>
        <w:spacing w:line="300" w:lineRule="atLeast"/>
        <w:ind w:left="567" w:firstLine="0"/>
        <w:rPr>
          <w:rFonts w:ascii="Times New Roman" w:hAnsi="Times New Roman"/>
          <w:sz w:val="24"/>
          <w:szCs w:val="24"/>
        </w:rPr>
      </w:pPr>
      <w:r w:rsidRPr="00A57E40">
        <w:rPr>
          <w:rFonts w:ascii="Times New Roman" w:hAnsi="Times New Roman"/>
          <w:b/>
          <w:sz w:val="24"/>
          <w:szCs w:val="24"/>
        </w:rPr>
        <w:t>Coherency of the tax system</w:t>
      </w:r>
      <w:r w:rsidRPr="00A57E40">
        <w:rPr>
          <w:rFonts w:ascii="Times New Roman" w:hAnsi="Times New Roman"/>
          <w:sz w:val="24"/>
          <w:szCs w:val="24"/>
        </w:rPr>
        <w:t xml:space="preserve"> </w:t>
      </w:r>
      <w:r w:rsidR="007D229A" w:rsidRPr="00A57E40">
        <w:rPr>
          <w:rFonts w:ascii="Times New Roman" w:hAnsi="Times New Roman"/>
          <w:sz w:val="24"/>
          <w:szCs w:val="24"/>
        </w:rPr>
        <w:t>– T</w:t>
      </w:r>
      <w:r w:rsidRPr="00A57E40">
        <w:rPr>
          <w:rFonts w:ascii="Times New Roman" w:hAnsi="Times New Roman"/>
          <w:sz w:val="24"/>
          <w:szCs w:val="24"/>
        </w:rPr>
        <w:t>he option</w:t>
      </w:r>
      <w:r w:rsidR="007D229A" w:rsidRPr="00A57E40">
        <w:rPr>
          <w:rFonts w:ascii="Times New Roman" w:hAnsi="Times New Roman"/>
          <w:sz w:val="24"/>
          <w:szCs w:val="24"/>
        </w:rPr>
        <w:t>s</w:t>
      </w:r>
      <w:r w:rsidRPr="00A57E40">
        <w:rPr>
          <w:rFonts w:ascii="Times New Roman" w:hAnsi="Times New Roman"/>
          <w:sz w:val="24"/>
          <w:szCs w:val="24"/>
        </w:rPr>
        <w:t xml:space="preserve"> should be consistent with other fundamental principles of the tax system.</w:t>
      </w:r>
    </w:p>
    <w:p w:rsidR="000445A0" w:rsidRPr="00A57E40" w:rsidRDefault="000445A0" w:rsidP="006F0804">
      <w:pPr>
        <w:pStyle w:val="Bullet-list"/>
        <w:spacing w:after="0" w:line="240" w:lineRule="auto"/>
        <w:ind w:left="567" w:firstLine="0"/>
        <w:jc w:val="both"/>
        <w:rPr>
          <w:rFonts w:ascii="Times New Roman" w:hAnsi="Times New Roman"/>
          <w:sz w:val="24"/>
          <w:szCs w:val="24"/>
        </w:rPr>
      </w:pPr>
    </w:p>
    <w:p w:rsidR="000445A0" w:rsidRPr="00A57E40" w:rsidRDefault="007D229A" w:rsidP="006F0804">
      <w:pPr>
        <w:pStyle w:val="ListParagraph"/>
        <w:numPr>
          <w:ilvl w:val="0"/>
          <w:numId w:val="10"/>
        </w:numPr>
        <w:spacing w:line="300" w:lineRule="atLeast"/>
        <w:ind w:left="567" w:firstLine="0"/>
        <w:rPr>
          <w:rFonts w:ascii="Times New Roman" w:hAnsi="Times New Roman"/>
          <w:sz w:val="24"/>
          <w:szCs w:val="24"/>
        </w:rPr>
      </w:pPr>
      <w:r w:rsidRPr="00A57E40">
        <w:rPr>
          <w:rFonts w:ascii="Times New Roman" w:hAnsi="Times New Roman"/>
          <w:b/>
          <w:sz w:val="24"/>
          <w:szCs w:val="24"/>
        </w:rPr>
        <w:t>Efficiency of c</w:t>
      </w:r>
      <w:r w:rsidR="000445A0" w:rsidRPr="00A57E40">
        <w:rPr>
          <w:rFonts w:ascii="Times New Roman" w:hAnsi="Times New Roman"/>
          <w:b/>
          <w:sz w:val="24"/>
          <w:szCs w:val="24"/>
        </w:rPr>
        <w:t xml:space="preserve">ompliance and administration </w:t>
      </w:r>
      <w:r w:rsidRPr="00A57E40">
        <w:rPr>
          <w:rFonts w:ascii="Times New Roman" w:hAnsi="Times New Roman"/>
          <w:sz w:val="24"/>
          <w:szCs w:val="24"/>
        </w:rPr>
        <w:t>–</w:t>
      </w:r>
      <w:r w:rsidRPr="00A57E40">
        <w:rPr>
          <w:rFonts w:ascii="Times New Roman" w:hAnsi="Times New Roman"/>
          <w:b/>
          <w:sz w:val="24"/>
          <w:szCs w:val="24"/>
        </w:rPr>
        <w:t xml:space="preserve"> </w:t>
      </w:r>
      <w:r w:rsidRPr="00A57E40">
        <w:rPr>
          <w:rFonts w:ascii="Times New Roman" w:hAnsi="Times New Roman"/>
          <w:sz w:val="24"/>
          <w:szCs w:val="24"/>
        </w:rPr>
        <w:t>T</w:t>
      </w:r>
      <w:r w:rsidR="000445A0" w:rsidRPr="00A57E40">
        <w:rPr>
          <w:rFonts w:ascii="Times New Roman" w:hAnsi="Times New Roman"/>
          <w:sz w:val="24"/>
          <w:szCs w:val="24"/>
        </w:rPr>
        <w:t xml:space="preserve">he </w:t>
      </w:r>
      <w:r w:rsidRPr="00A57E40">
        <w:rPr>
          <w:rFonts w:ascii="Times New Roman" w:hAnsi="Times New Roman"/>
          <w:sz w:val="24"/>
          <w:szCs w:val="24"/>
        </w:rPr>
        <w:t>options should</w:t>
      </w:r>
      <w:r w:rsidR="007F1AD6" w:rsidRPr="00A57E40">
        <w:rPr>
          <w:rFonts w:ascii="Times New Roman" w:hAnsi="Times New Roman"/>
          <w:sz w:val="24"/>
          <w:szCs w:val="24"/>
        </w:rPr>
        <w:t>, to the extent possible,</w:t>
      </w:r>
      <w:r w:rsidRPr="00A57E40">
        <w:rPr>
          <w:rFonts w:ascii="Times New Roman" w:hAnsi="Times New Roman"/>
          <w:sz w:val="24"/>
          <w:szCs w:val="24"/>
        </w:rPr>
        <w:t xml:space="preserve"> minimise </w:t>
      </w:r>
      <w:r w:rsidR="000445A0" w:rsidRPr="00A57E40">
        <w:rPr>
          <w:rFonts w:ascii="Times New Roman" w:hAnsi="Times New Roman"/>
          <w:sz w:val="24"/>
          <w:szCs w:val="24"/>
        </w:rPr>
        <w:t>compliance cost</w:t>
      </w:r>
      <w:r w:rsidR="007F1AD6" w:rsidRPr="00A57E40">
        <w:rPr>
          <w:rFonts w:ascii="Times New Roman" w:hAnsi="Times New Roman"/>
          <w:sz w:val="24"/>
          <w:szCs w:val="24"/>
        </w:rPr>
        <w:t>s</w:t>
      </w:r>
      <w:r w:rsidR="000445A0" w:rsidRPr="00A57E40">
        <w:rPr>
          <w:rFonts w:ascii="Times New Roman" w:hAnsi="Times New Roman"/>
          <w:sz w:val="24"/>
          <w:szCs w:val="24"/>
        </w:rPr>
        <w:t xml:space="preserve"> </w:t>
      </w:r>
      <w:r w:rsidR="008102AD" w:rsidRPr="00A57E40">
        <w:rPr>
          <w:rFonts w:ascii="Times New Roman" w:hAnsi="Times New Roman"/>
          <w:sz w:val="24"/>
          <w:szCs w:val="24"/>
        </w:rPr>
        <w:t xml:space="preserve">for </w:t>
      </w:r>
      <w:r w:rsidR="00D20075" w:rsidRPr="00A57E40">
        <w:rPr>
          <w:rFonts w:ascii="Times New Roman" w:hAnsi="Times New Roman"/>
          <w:sz w:val="24"/>
          <w:szCs w:val="24"/>
        </w:rPr>
        <w:t xml:space="preserve">foreign trusts </w:t>
      </w:r>
      <w:r w:rsidR="000445A0" w:rsidRPr="00A57E40">
        <w:rPr>
          <w:rFonts w:ascii="Times New Roman" w:hAnsi="Times New Roman"/>
          <w:sz w:val="24"/>
          <w:szCs w:val="24"/>
        </w:rPr>
        <w:t xml:space="preserve">and administrative costs </w:t>
      </w:r>
      <w:r w:rsidR="008102AD" w:rsidRPr="00A57E40">
        <w:rPr>
          <w:rFonts w:ascii="Times New Roman" w:hAnsi="Times New Roman"/>
          <w:sz w:val="24"/>
          <w:szCs w:val="24"/>
        </w:rPr>
        <w:t xml:space="preserve">for </w:t>
      </w:r>
      <w:r w:rsidR="000445A0" w:rsidRPr="00A57E40">
        <w:rPr>
          <w:rFonts w:ascii="Times New Roman" w:hAnsi="Times New Roman"/>
          <w:sz w:val="24"/>
          <w:szCs w:val="24"/>
        </w:rPr>
        <w:t>Inland Revenue.</w:t>
      </w:r>
    </w:p>
    <w:p w:rsidR="000445A0" w:rsidRPr="00A57E40" w:rsidRDefault="000445A0" w:rsidP="00CB24D4">
      <w:pPr>
        <w:pStyle w:val="Bullet-list"/>
        <w:spacing w:after="0" w:line="240" w:lineRule="auto"/>
        <w:ind w:left="567" w:firstLine="0"/>
        <w:jc w:val="both"/>
        <w:rPr>
          <w:rFonts w:ascii="Times New Roman" w:hAnsi="Times New Roman"/>
          <w:sz w:val="24"/>
          <w:szCs w:val="24"/>
        </w:rPr>
      </w:pPr>
    </w:p>
    <w:p w:rsidR="008102AD" w:rsidRPr="00A57E40" w:rsidRDefault="002459CB" w:rsidP="00CB24D4">
      <w:pPr>
        <w:pStyle w:val="Bullet-list"/>
        <w:numPr>
          <w:ilvl w:val="0"/>
          <w:numId w:val="2"/>
        </w:numPr>
        <w:tabs>
          <w:tab w:val="clear" w:pos="644"/>
        </w:tabs>
        <w:spacing w:after="0" w:line="240" w:lineRule="auto"/>
        <w:ind w:left="0" w:firstLine="0"/>
        <w:jc w:val="both"/>
        <w:rPr>
          <w:rFonts w:ascii="Times New Roman" w:hAnsi="Times New Roman"/>
          <w:sz w:val="24"/>
          <w:szCs w:val="24"/>
        </w:rPr>
      </w:pPr>
      <w:r w:rsidRPr="00A57E40">
        <w:rPr>
          <w:rFonts w:ascii="Times New Roman" w:hAnsi="Times New Roman"/>
          <w:sz w:val="24"/>
          <w:szCs w:val="24"/>
        </w:rPr>
        <w:t>In this context, w</w:t>
      </w:r>
      <w:r w:rsidR="00D506AA" w:rsidRPr="00A57E40">
        <w:rPr>
          <w:rFonts w:ascii="Times New Roman" w:hAnsi="Times New Roman"/>
          <w:sz w:val="24"/>
          <w:szCs w:val="24"/>
        </w:rPr>
        <w:t xml:space="preserve">e </w:t>
      </w:r>
      <w:r w:rsidR="00E07959" w:rsidRPr="00A57E40">
        <w:rPr>
          <w:rFonts w:ascii="Times New Roman" w:hAnsi="Times New Roman"/>
          <w:sz w:val="24"/>
          <w:szCs w:val="24"/>
        </w:rPr>
        <w:t xml:space="preserve">consider that </w:t>
      </w:r>
      <w:r w:rsidRPr="00A57E40">
        <w:rPr>
          <w:rFonts w:ascii="Times New Roman" w:hAnsi="Times New Roman"/>
          <w:sz w:val="24"/>
          <w:szCs w:val="24"/>
        </w:rPr>
        <w:t xml:space="preserve">more weight should be given to </w:t>
      </w:r>
      <w:r w:rsidR="00204CC5" w:rsidRPr="00A57E40">
        <w:rPr>
          <w:rFonts w:ascii="Times New Roman" w:hAnsi="Times New Roman"/>
          <w:sz w:val="24"/>
          <w:szCs w:val="24"/>
        </w:rPr>
        <w:t>criteria (a), (c) and (d)</w:t>
      </w:r>
      <w:r w:rsidRPr="00A57E40">
        <w:rPr>
          <w:rFonts w:ascii="Times New Roman" w:hAnsi="Times New Roman"/>
          <w:sz w:val="24"/>
          <w:szCs w:val="24"/>
        </w:rPr>
        <w:t>.  For example, where there is a conflict between maintaining New Zealand’s reputation and minimising compliance and administrative costs, there should be relatively more weight attached to maintaining New Zealand’s reputation.</w:t>
      </w:r>
    </w:p>
    <w:p w:rsidR="007B612D" w:rsidRPr="00A57E40" w:rsidRDefault="007B612D" w:rsidP="007B612D">
      <w:pPr>
        <w:pStyle w:val="spacer"/>
        <w:jc w:val="both"/>
        <w:rPr>
          <w:rFonts w:ascii="Times New Roman" w:hAnsi="Times New Roman"/>
          <w:b/>
          <w:sz w:val="24"/>
          <w:szCs w:val="24"/>
          <w:lang w:val="en-AU"/>
        </w:rPr>
      </w:pPr>
      <w:bookmarkStart w:id="17" w:name="_Toc244580365"/>
      <w:bookmarkStart w:id="18" w:name="_Toc244587041"/>
      <w:bookmarkStart w:id="19" w:name="_Toc244857275"/>
      <w:bookmarkStart w:id="20" w:name="_Toc244912540"/>
      <w:bookmarkStart w:id="21" w:name="_Toc244916997"/>
    </w:p>
    <w:p w:rsidR="007B612D" w:rsidRPr="00A57E40" w:rsidRDefault="007B612D" w:rsidP="007B612D">
      <w:pPr>
        <w:pStyle w:val="spacer"/>
        <w:jc w:val="both"/>
        <w:rPr>
          <w:rFonts w:ascii="Times New Roman" w:hAnsi="Times New Roman"/>
          <w:b/>
          <w:sz w:val="24"/>
          <w:szCs w:val="24"/>
          <w:lang w:val="en-AU"/>
        </w:rPr>
      </w:pPr>
    </w:p>
    <w:p w:rsidR="00320A3C" w:rsidRPr="00A57E40" w:rsidRDefault="00D943DD" w:rsidP="007B612D">
      <w:pPr>
        <w:pStyle w:val="spacer"/>
        <w:jc w:val="both"/>
        <w:rPr>
          <w:rFonts w:ascii="Times New Roman" w:hAnsi="Times New Roman"/>
          <w:b/>
          <w:sz w:val="24"/>
          <w:szCs w:val="24"/>
          <w:lang w:val="en-AU"/>
        </w:rPr>
      </w:pPr>
      <w:r w:rsidRPr="00A57E40">
        <w:rPr>
          <w:rFonts w:ascii="Times New Roman" w:hAnsi="Times New Roman"/>
          <w:b/>
          <w:sz w:val="24"/>
          <w:szCs w:val="24"/>
          <w:lang w:val="en-AU"/>
        </w:rPr>
        <w:t>REGULATORY IMPACT ANALYSIS</w:t>
      </w:r>
      <w:bookmarkEnd w:id="17"/>
      <w:bookmarkEnd w:id="18"/>
      <w:bookmarkEnd w:id="19"/>
      <w:bookmarkEnd w:id="20"/>
      <w:bookmarkEnd w:id="21"/>
    </w:p>
    <w:p w:rsidR="007B612D" w:rsidRPr="00A57E40" w:rsidRDefault="007B612D" w:rsidP="007B612D">
      <w:pPr>
        <w:pStyle w:val="spacer"/>
        <w:jc w:val="both"/>
        <w:rPr>
          <w:rFonts w:ascii="Times New Roman" w:hAnsi="Times New Roman"/>
          <w:b/>
          <w:sz w:val="24"/>
          <w:szCs w:val="24"/>
          <w:lang w:val="en-AU"/>
        </w:rPr>
      </w:pPr>
    </w:p>
    <w:p w:rsidR="009C19D5" w:rsidRPr="00A57E40" w:rsidRDefault="00F55B89" w:rsidP="00545113">
      <w:pPr>
        <w:pStyle w:val="Bullet-list"/>
        <w:numPr>
          <w:ilvl w:val="0"/>
          <w:numId w:val="2"/>
        </w:numPr>
        <w:tabs>
          <w:tab w:val="num" w:pos="567"/>
        </w:tabs>
        <w:spacing w:after="0" w:line="240" w:lineRule="auto"/>
        <w:ind w:left="0" w:firstLine="0"/>
        <w:rPr>
          <w:rFonts w:ascii="Times New Roman" w:hAnsi="Times New Roman"/>
          <w:sz w:val="24"/>
          <w:szCs w:val="24"/>
        </w:rPr>
      </w:pPr>
      <w:r w:rsidRPr="00A57E40">
        <w:rPr>
          <w:rFonts w:ascii="Times New Roman" w:hAnsi="Times New Roman"/>
          <w:sz w:val="24"/>
          <w:szCs w:val="24"/>
        </w:rPr>
        <w:t>Three</w:t>
      </w:r>
      <w:r w:rsidR="009C19D5" w:rsidRPr="00A57E40">
        <w:rPr>
          <w:rFonts w:ascii="Times New Roman" w:hAnsi="Times New Roman"/>
          <w:sz w:val="24"/>
          <w:szCs w:val="24"/>
        </w:rPr>
        <w:t xml:space="preserve"> options have been </w:t>
      </w:r>
      <w:r w:rsidR="00B0798B" w:rsidRPr="00A57E40">
        <w:rPr>
          <w:rFonts w:ascii="Times New Roman" w:hAnsi="Times New Roman"/>
          <w:sz w:val="24"/>
          <w:szCs w:val="24"/>
        </w:rPr>
        <w:t xml:space="preserve">considered in this </w:t>
      </w:r>
      <w:proofErr w:type="spellStart"/>
      <w:r w:rsidR="00B0798B" w:rsidRPr="00A57E40">
        <w:rPr>
          <w:rFonts w:ascii="Times New Roman" w:hAnsi="Times New Roman"/>
          <w:sz w:val="24"/>
          <w:szCs w:val="24"/>
        </w:rPr>
        <w:t>RIS</w:t>
      </w:r>
      <w:proofErr w:type="spellEnd"/>
      <w:r w:rsidR="009C19D5" w:rsidRPr="00A57E40">
        <w:rPr>
          <w:rFonts w:ascii="Times New Roman" w:hAnsi="Times New Roman"/>
          <w:sz w:val="24"/>
          <w:szCs w:val="24"/>
        </w:rPr>
        <w:t xml:space="preserve">: </w:t>
      </w:r>
    </w:p>
    <w:p w:rsidR="007B612D" w:rsidRPr="00A57E40" w:rsidRDefault="007B612D" w:rsidP="00663331">
      <w:pPr>
        <w:pStyle w:val="Bullet-list"/>
        <w:spacing w:after="0" w:line="240" w:lineRule="auto"/>
        <w:ind w:left="0" w:firstLine="0"/>
        <w:rPr>
          <w:rFonts w:ascii="Times New Roman" w:hAnsi="Times New Roman"/>
          <w:sz w:val="24"/>
          <w:szCs w:val="24"/>
        </w:rPr>
      </w:pPr>
    </w:p>
    <w:p w:rsidR="009C19D5" w:rsidRPr="00A57E40" w:rsidRDefault="008102AD" w:rsidP="00663331">
      <w:pPr>
        <w:pStyle w:val="Bullet-list"/>
        <w:spacing w:after="0" w:line="240" w:lineRule="auto"/>
        <w:ind w:firstLine="283"/>
        <w:jc w:val="both"/>
        <w:rPr>
          <w:rFonts w:ascii="Times New Roman" w:hAnsi="Times New Roman"/>
          <w:sz w:val="24"/>
          <w:szCs w:val="24"/>
        </w:rPr>
      </w:pPr>
      <w:r w:rsidRPr="00A57E40">
        <w:rPr>
          <w:rFonts w:ascii="Times New Roman" w:hAnsi="Times New Roman"/>
          <w:sz w:val="24"/>
          <w:szCs w:val="24"/>
        </w:rPr>
        <w:t>Option 1:</w:t>
      </w:r>
      <w:r w:rsidRPr="00A57E40">
        <w:rPr>
          <w:rFonts w:ascii="Times New Roman" w:hAnsi="Times New Roman"/>
          <w:sz w:val="24"/>
          <w:szCs w:val="24"/>
        </w:rPr>
        <w:tab/>
      </w:r>
      <w:r w:rsidR="00D20075" w:rsidRPr="00A57E40">
        <w:rPr>
          <w:rFonts w:ascii="Times New Roman" w:hAnsi="Times New Roman"/>
          <w:sz w:val="24"/>
          <w:szCs w:val="24"/>
        </w:rPr>
        <w:t xml:space="preserve">Retain </w:t>
      </w:r>
      <w:r w:rsidR="00EC66BF" w:rsidRPr="00A57E40">
        <w:rPr>
          <w:rFonts w:ascii="Times New Roman" w:hAnsi="Times New Roman"/>
          <w:sz w:val="24"/>
          <w:szCs w:val="24"/>
        </w:rPr>
        <w:t xml:space="preserve">the status quo </w:t>
      </w:r>
    </w:p>
    <w:p w:rsidR="00FC43D1" w:rsidRPr="00A57E40" w:rsidRDefault="008102AD" w:rsidP="00663331">
      <w:pPr>
        <w:pStyle w:val="Bullet-list"/>
        <w:spacing w:after="0" w:line="240" w:lineRule="auto"/>
        <w:ind w:left="1692" w:hanging="1125"/>
        <w:jc w:val="both"/>
        <w:rPr>
          <w:rFonts w:ascii="Times New Roman" w:hAnsi="Times New Roman"/>
          <w:sz w:val="24"/>
          <w:szCs w:val="24"/>
        </w:rPr>
      </w:pPr>
      <w:r w:rsidRPr="00A57E40">
        <w:rPr>
          <w:rFonts w:ascii="Times New Roman" w:hAnsi="Times New Roman"/>
          <w:sz w:val="24"/>
          <w:szCs w:val="24"/>
        </w:rPr>
        <w:t>Option 2:</w:t>
      </w:r>
      <w:r w:rsidRPr="00A57E40">
        <w:rPr>
          <w:rFonts w:ascii="Times New Roman" w:hAnsi="Times New Roman"/>
          <w:sz w:val="24"/>
          <w:szCs w:val="24"/>
        </w:rPr>
        <w:tab/>
      </w:r>
      <w:r w:rsidR="00D20075" w:rsidRPr="00A57E40">
        <w:rPr>
          <w:rFonts w:ascii="Times New Roman" w:hAnsi="Times New Roman"/>
          <w:sz w:val="24"/>
          <w:szCs w:val="24"/>
        </w:rPr>
        <w:t>I</w:t>
      </w:r>
      <w:r w:rsidR="00EC66BF" w:rsidRPr="00A57E40">
        <w:rPr>
          <w:rFonts w:ascii="Times New Roman" w:hAnsi="Times New Roman"/>
          <w:sz w:val="24"/>
          <w:szCs w:val="24"/>
        </w:rPr>
        <w:t xml:space="preserve">mplement </w:t>
      </w:r>
      <w:r w:rsidR="00F55B89" w:rsidRPr="00A57E40">
        <w:rPr>
          <w:rFonts w:ascii="Times New Roman" w:hAnsi="Times New Roman"/>
          <w:sz w:val="24"/>
          <w:szCs w:val="24"/>
        </w:rPr>
        <w:t>the</w:t>
      </w:r>
      <w:r w:rsidR="00EC66BF" w:rsidRPr="00A57E40">
        <w:rPr>
          <w:rFonts w:ascii="Times New Roman" w:hAnsi="Times New Roman"/>
          <w:sz w:val="24"/>
          <w:szCs w:val="24"/>
        </w:rPr>
        <w:t xml:space="preserve"> changes </w:t>
      </w:r>
      <w:r w:rsidR="00F55B89" w:rsidRPr="00A57E40">
        <w:rPr>
          <w:rFonts w:ascii="Times New Roman" w:hAnsi="Times New Roman"/>
          <w:sz w:val="24"/>
          <w:szCs w:val="24"/>
        </w:rPr>
        <w:t xml:space="preserve">recommended by the Inquiry that relate </w:t>
      </w:r>
      <w:r w:rsidR="00EC66BF" w:rsidRPr="00A57E40">
        <w:rPr>
          <w:rFonts w:ascii="Times New Roman" w:hAnsi="Times New Roman"/>
          <w:sz w:val="24"/>
          <w:szCs w:val="24"/>
        </w:rPr>
        <w:t xml:space="preserve">to </w:t>
      </w:r>
      <w:r w:rsidR="00751B30" w:rsidRPr="00A57E40">
        <w:rPr>
          <w:rFonts w:ascii="Times New Roman" w:hAnsi="Times New Roman"/>
          <w:sz w:val="24"/>
          <w:szCs w:val="24"/>
        </w:rPr>
        <w:t>registration</w:t>
      </w:r>
      <w:r w:rsidR="00F55B89" w:rsidRPr="00A57E40">
        <w:rPr>
          <w:rFonts w:ascii="Times New Roman" w:hAnsi="Times New Roman"/>
          <w:sz w:val="24"/>
          <w:szCs w:val="24"/>
        </w:rPr>
        <w:t xml:space="preserve">, increased </w:t>
      </w:r>
      <w:r w:rsidR="00EC66BF" w:rsidRPr="00A57E40">
        <w:rPr>
          <w:rFonts w:ascii="Times New Roman" w:hAnsi="Times New Roman"/>
          <w:sz w:val="24"/>
          <w:szCs w:val="24"/>
        </w:rPr>
        <w:t>disclosure</w:t>
      </w:r>
      <w:r w:rsidR="005B738C" w:rsidRPr="00A57E40">
        <w:rPr>
          <w:rFonts w:ascii="Times New Roman" w:hAnsi="Times New Roman"/>
          <w:sz w:val="24"/>
          <w:szCs w:val="24"/>
        </w:rPr>
        <w:t xml:space="preserve">, and </w:t>
      </w:r>
      <w:r w:rsidR="00225924" w:rsidRPr="00A57E40">
        <w:rPr>
          <w:rFonts w:ascii="Times New Roman" w:hAnsi="Times New Roman"/>
          <w:sz w:val="24"/>
          <w:szCs w:val="24"/>
        </w:rPr>
        <w:t xml:space="preserve">increased </w:t>
      </w:r>
      <w:r w:rsidR="005B738C" w:rsidRPr="00A57E40">
        <w:rPr>
          <w:rFonts w:ascii="Times New Roman" w:hAnsi="Times New Roman"/>
          <w:sz w:val="24"/>
          <w:szCs w:val="24"/>
        </w:rPr>
        <w:t xml:space="preserve">information </w:t>
      </w:r>
      <w:r w:rsidR="00F55B89" w:rsidRPr="00A57E40">
        <w:rPr>
          <w:rFonts w:ascii="Times New Roman" w:hAnsi="Times New Roman"/>
          <w:sz w:val="24"/>
          <w:szCs w:val="24"/>
        </w:rPr>
        <w:t>sharing</w:t>
      </w:r>
      <w:r w:rsidR="005B738C" w:rsidRPr="00A57E40">
        <w:rPr>
          <w:rFonts w:ascii="Times New Roman" w:hAnsi="Times New Roman"/>
          <w:sz w:val="24"/>
          <w:szCs w:val="24"/>
        </w:rPr>
        <w:t xml:space="preserve"> </w:t>
      </w:r>
      <w:r w:rsidR="00FE639C" w:rsidRPr="00A57E40">
        <w:rPr>
          <w:rFonts w:ascii="Times New Roman" w:hAnsi="Times New Roman"/>
          <w:sz w:val="24"/>
          <w:szCs w:val="24"/>
        </w:rPr>
        <w:t xml:space="preserve">with some refinements </w:t>
      </w:r>
      <w:r w:rsidR="00F55B89" w:rsidRPr="00A57E40">
        <w:rPr>
          <w:rFonts w:ascii="Times New Roman" w:hAnsi="Times New Roman"/>
          <w:i/>
          <w:sz w:val="24"/>
          <w:szCs w:val="24"/>
        </w:rPr>
        <w:t>(</w:t>
      </w:r>
      <w:r w:rsidR="000445A0" w:rsidRPr="00A57E40">
        <w:rPr>
          <w:rFonts w:ascii="Times New Roman" w:hAnsi="Times New Roman"/>
          <w:i/>
          <w:sz w:val="24"/>
          <w:szCs w:val="24"/>
        </w:rPr>
        <w:t xml:space="preserve">Inland Revenue’s </w:t>
      </w:r>
      <w:r w:rsidR="00F55B89" w:rsidRPr="00A57E40">
        <w:rPr>
          <w:rFonts w:ascii="Times New Roman" w:hAnsi="Times New Roman"/>
          <w:i/>
          <w:sz w:val="24"/>
          <w:szCs w:val="24"/>
        </w:rPr>
        <w:t>recommended option).</w:t>
      </w:r>
    </w:p>
    <w:p w:rsidR="00F55B89" w:rsidRPr="00A57E40" w:rsidRDefault="008102AD" w:rsidP="00663331">
      <w:pPr>
        <w:pStyle w:val="Bullet-list"/>
        <w:spacing w:after="0" w:line="240" w:lineRule="auto"/>
        <w:ind w:firstLine="283"/>
        <w:jc w:val="both"/>
        <w:rPr>
          <w:rFonts w:ascii="Times New Roman" w:hAnsi="Times New Roman"/>
          <w:sz w:val="24"/>
          <w:szCs w:val="24"/>
        </w:rPr>
      </w:pPr>
      <w:r w:rsidRPr="00A57E40">
        <w:rPr>
          <w:rFonts w:ascii="Times New Roman" w:hAnsi="Times New Roman"/>
          <w:sz w:val="24"/>
          <w:szCs w:val="24"/>
        </w:rPr>
        <w:t>Option 3:</w:t>
      </w:r>
      <w:r w:rsidRPr="00A57E40">
        <w:rPr>
          <w:rFonts w:ascii="Times New Roman" w:hAnsi="Times New Roman"/>
          <w:sz w:val="24"/>
          <w:szCs w:val="24"/>
        </w:rPr>
        <w:tab/>
      </w:r>
      <w:r w:rsidR="00D20075" w:rsidRPr="00A57E40">
        <w:rPr>
          <w:rFonts w:ascii="Times New Roman" w:hAnsi="Times New Roman"/>
          <w:sz w:val="24"/>
          <w:szCs w:val="24"/>
        </w:rPr>
        <w:t>R</w:t>
      </w:r>
      <w:r w:rsidR="00E27D99" w:rsidRPr="00A57E40">
        <w:rPr>
          <w:rFonts w:ascii="Times New Roman" w:hAnsi="Times New Roman"/>
          <w:sz w:val="24"/>
          <w:szCs w:val="24"/>
        </w:rPr>
        <w:t>epeal</w:t>
      </w:r>
      <w:r w:rsidR="00D20075" w:rsidRPr="00A57E40">
        <w:rPr>
          <w:rFonts w:ascii="Times New Roman" w:hAnsi="Times New Roman"/>
          <w:sz w:val="24"/>
          <w:szCs w:val="24"/>
        </w:rPr>
        <w:t xml:space="preserve"> </w:t>
      </w:r>
      <w:r w:rsidR="00F55B89" w:rsidRPr="00A57E40">
        <w:rPr>
          <w:rFonts w:ascii="Times New Roman" w:hAnsi="Times New Roman"/>
          <w:sz w:val="24"/>
          <w:szCs w:val="24"/>
        </w:rPr>
        <w:t>the tax exemption for foreign trusts.</w:t>
      </w:r>
    </w:p>
    <w:p w:rsidR="00F55B89" w:rsidRPr="00A57E40" w:rsidRDefault="00F55B89" w:rsidP="00F55B89">
      <w:pPr>
        <w:pStyle w:val="Bullet-list"/>
        <w:spacing w:after="0" w:line="240" w:lineRule="auto"/>
        <w:rPr>
          <w:rFonts w:ascii="Times New Roman" w:hAnsi="Times New Roman"/>
          <w:sz w:val="24"/>
          <w:szCs w:val="24"/>
        </w:rPr>
      </w:pPr>
    </w:p>
    <w:p w:rsidR="0035401A" w:rsidRPr="00A57E40" w:rsidRDefault="0035401A" w:rsidP="00663331">
      <w:pPr>
        <w:pStyle w:val="Bullet-list"/>
        <w:rPr>
          <w:rFonts w:ascii="Times New Roman" w:hAnsi="Times New Roman"/>
          <w:b/>
          <w:sz w:val="24"/>
          <w:szCs w:val="24"/>
        </w:rPr>
      </w:pPr>
      <w:r w:rsidRPr="00A57E40">
        <w:rPr>
          <w:rFonts w:ascii="Times New Roman" w:hAnsi="Times New Roman"/>
          <w:b/>
          <w:sz w:val="24"/>
          <w:szCs w:val="24"/>
        </w:rPr>
        <w:t>Option 1</w:t>
      </w:r>
    </w:p>
    <w:p w:rsidR="0035401A" w:rsidRPr="00A57E40" w:rsidRDefault="0035401A" w:rsidP="00663331">
      <w:pPr>
        <w:pStyle w:val="Bullet-list"/>
        <w:numPr>
          <w:ilvl w:val="0"/>
          <w:numId w:val="2"/>
        </w:numPr>
        <w:tabs>
          <w:tab w:val="num" w:pos="567"/>
        </w:tabs>
        <w:spacing w:after="0" w:line="240" w:lineRule="auto"/>
        <w:ind w:left="0" w:firstLine="0"/>
        <w:rPr>
          <w:rFonts w:ascii="Times New Roman" w:hAnsi="Times New Roman"/>
          <w:sz w:val="24"/>
          <w:szCs w:val="24"/>
        </w:rPr>
      </w:pPr>
      <w:r w:rsidRPr="00A57E40">
        <w:rPr>
          <w:rFonts w:ascii="Times New Roman" w:hAnsi="Times New Roman"/>
          <w:sz w:val="24"/>
          <w:szCs w:val="24"/>
        </w:rPr>
        <w:t>Option 1 is to retain t</w:t>
      </w:r>
      <w:r w:rsidR="00777076" w:rsidRPr="00A57E40">
        <w:rPr>
          <w:rFonts w:ascii="Times New Roman" w:hAnsi="Times New Roman"/>
          <w:sz w:val="24"/>
          <w:szCs w:val="24"/>
        </w:rPr>
        <w:t>he status quo</w:t>
      </w:r>
      <w:r w:rsidRPr="00A57E40">
        <w:rPr>
          <w:rFonts w:ascii="Times New Roman" w:hAnsi="Times New Roman"/>
          <w:sz w:val="24"/>
          <w:szCs w:val="24"/>
        </w:rPr>
        <w:t>.</w:t>
      </w:r>
    </w:p>
    <w:p w:rsidR="00344817" w:rsidRPr="00A57E40" w:rsidRDefault="00344817" w:rsidP="0027520A">
      <w:pPr>
        <w:pStyle w:val="ListParagraph"/>
        <w:ind w:left="0"/>
        <w:rPr>
          <w:rFonts w:ascii="Times New Roman" w:hAnsi="Times New Roman"/>
          <w:sz w:val="24"/>
          <w:szCs w:val="24"/>
          <w:lang w:val="en-GB" w:eastAsia="en-GB"/>
        </w:rPr>
      </w:pPr>
    </w:p>
    <w:p w:rsidR="00344817" w:rsidRPr="00A57E40" w:rsidRDefault="00344817" w:rsidP="00344817">
      <w:pPr>
        <w:pStyle w:val="ListParagraph"/>
        <w:ind w:left="0"/>
        <w:rPr>
          <w:rFonts w:ascii="Times New Roman" w:hAnsi="Times New Roman"/>
          <w:b/>
          <w:i/>
          <w:sz w:val="24"/>
          <w:szCs w:val="24"/>
          <w:lang w:val="en-GB" w:eastAsia="en-GB"/>
        </w:rPr>
      </w:pPr>
      <w:r w:rsidRPr="00A57E40">
        <w:rPr>
          <w:rFonts w:ascii="Times New Roman" w:hAnsi="Times New Roman"/>
          <w:b/>
          <w:i/>
          <w:sz w:val="24"/>
          <w:szCs w:val="24"/>
          <w:lang w:val="en-GB" w:eastAsia="en-GB"/>
        </w:rPr>
        <w:t xml:space="preserve">Assessment </w:t>
      </w:r>
      <w:r w:rsidR="008102AD" w:rsidRPr="00A57E40">
        <w:rPr>
          <w:rFonts w:ascii="Times New Roman" w:hAnsi="Times New Roman"/>
          <w:b/>
          <w:i/>
          <w:sz w:val="24"/>
          <w:szCs w:val="24"/>
          <w:lang w:val="en-GB" w:eastAsia="en-GB"/>
        </w:rPr>
        <w:t xml:space="preserve">against objective and criteria – </w:t>
      </w:r>
      <w:r w:rsidRPr="00A57E40">
        <w:rPr>
          <w:rFonts w:ascii="Times New Roman" w:hAnsi="Times New Roman"/>
          <w:b/>
          <w:i/>
          <w:sz w:val="24"/>
          <w:szCs w:val="24"/>
          <w:lang w:val="en-GB" w:eastAsia="en-GB"/>
        </w:rPr>
        <w:t>option 1</w:t>
      </w:r>
    </w:p>
    <w:p w:rsidR="00322EBD" w:rsidRPr="00A57E40" w:rsidRDefault="00322EBD" w:rsidP="00322EBD">
      <w:pPr>
        <w:pStyle w:val="ListParagraph"/>
        <w:ind w:left="0"/>
        <w:rPr>
          <w:rFonts w:ascii="Times New Roman" w:hAnsi="Times New Roman"/>
          <w:sz w:val="24"/>
          <w:szCs w:val="24"/>
          <w:lang w:val="en-GB" w:eastAsia="en-GB"/>
        </w:rPr>
      </w:pPr>
    </w:p>
    <w:p w:rsidR="0013325D" w:rsidRPr="00A57E40" w:rsidRDefault="0013325D" w:rsidP="00322EBD">
      <w:pPr>
        <w:pStyle w:val="ListParagraph"/>
        <w:ind w:left="0"/>
        <w:rPr>
          <w:rFonts w:ascii="Times New Roman" w:hAnsi="Times New Roman"/>
          <w:i/>
          <w:sz w:val="24"/>
          <w:szCs w:val="24"/>
          <w:lang w:val="en-GB" w:eastAsia="en-GB"/>
        </w:rPr>
      </w:pPr>
      <w:r w:rsidRPr="00A57E40">
        <w:rPr>
          <w:rFonts w:ascii="Times New Roman" w:hAnsi="Times New Roman"/>
          <w:i/>
          <w:sz w:val="24"/>
          <w:szCs w:val="24"/>
          <w:lang w:val="en-GB" w:eastAsia="en-GB"/>
        </w:rPr>
        <w:t>Main objective</w:t>
      </w:r>
    </w:p>
    <w:p w:rsidR="00D20075" w:rsidRPr="00A57E40" w:rsidRDefault="00D20075" w:rsidP="00322EBD">
      <w:pPr>
        <w:pStyle w:val="ListParagraph"/>
        <w:ind w:left="0"/>
        <w:rPr>
          <w:rFonts w:ascii="Times New Roman" w:hAnsi="Times New Roman"/>
          <w:i/>
          <w:sz w:val="24"/>
          <w:szCs w:val="24"/>
          <w:lang w:val="en-GB" w:eastAsia="en-GB"/>
        </w:rPr>
      </w:pPr>
    </w:p>
    <w:p w:rsidR="004056D1" w:rsidRPr="00A57E40" w:rsidRDefault="00655873" w:rsidP="00344817">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rPr>
        <w:t xml:space="preserve">The status quo does not meet the objective of </w:t>
      </w:r>
      <w:r w:rsidR="00C95B28" w:rsidRPr="00A57E40">
        <w:rPr>
          <w:rFonts w:ascii="Times New Roman" w:hAnsi="Times New Roman"/>
          <w:sz w:val="24"/>
          <w:szCs w:val="24"/>
        </w:rPr>
        <w:t>reducing the potential for perceived</w:t>
      </w:r>
      <w:r w:rsidR="00CA1535" w:rsidRPr="00A57E40">
        <w:rPr>
          <w:rFonts w:ascii="Times New Roman" w:hAnsi="Times New Roman"/>
          <w:sz w:val="24"/>
          <w:szCs w:val="24"/>
        </w:rPr>
        <w:t xml:space="preserve"> </w:t>
      </w:r>
      <w:r w:rsidR="00C95B28" w:rsidRPr="00A57E40">
        <w:rPr>
          <w:rFonts w:ascii="Times New Roman" w:hAnsi="Times New Roman"/>
          <w:sz w:val="24"/>
          <w:szCs w:val="24"/>
        </w:rPr>
        <w:t xml:space="preserve">misuse of foreign trusts in New Zealand in respect of </w:t>
      </w:r>
      <w:r w:rsidR="00581DC1" w:rsidRPr="00A57E40">
        <w:rPr>
          <w:rFonts w:ascii="Times New Roman" w:hAnsi="Times New Roman"/>
          <w:sz w:val="24"/>
          <w:szCs w:val="24"/>
        </w:rPr>
        <w:t xml:space="preserve">foreign </w:t>
      </w:r>
      <w:r w:rsidR="00C95B28" w:rsidRPr="00A57E40">
        <w:rPr>
          <w:rFonts w:ascii="Times New Roman" w:hAnsi="Times New Roman"/>
          <w:sz w:val="24"/>
          <w:szCs w:val="24"/>
        </w:rPr>
        <w:t xml:space="preserve">tax avoidance or evasion.  </w:t>
      </w:r>
    </w:p>
    <w:p w:rsidR="004056D1" w:rsidRPr="00A57E40" w:rsidRDefault="004056D1" w:rsidP="00663331">
      <w:pPr>
        <w:pStyle w:val="ListParagraph"/>
        <w:ind w:left="0"/>
        <w:rPr>
          <w:rFonts w:ascii="Times New Roman" w:hAnsi="Times New Roman"/>
          <w:sz w:val="24"/>
          <w:szCs w:val="24"/>
          <w:lang w:val="en-GB" w:eastAsia="en-GB"/>
        </w:rPr>
      </w:pPr>
    </w:p>
    <w:p w:rsidR="00D20075" w:rsidRPr="00A57E40" w:rsidRDefault="00B75DE8" w:rsidP="003D6B05">
      <w:pPr>
        <w:pStyle w:val="ListParagraph"/>
        <w:ind w:left="0"/>
        <w:rPr>
          <w:rFonts w:ascii="Times New Roman" w:hAnsi="Times New Roman"/>
          <w:i/>
          <w:sz w:val="24"/>
          <w:szCs w:val="24"/>
          <w:lang w:val="en-GB" w:eastAsia="en-GB"/>
        </w:rPr>
      </w:pPr>
      <w:r w:rsidRPr="00A57E40">
        <w:rPr>
          <w:rFonts w:ascii="Times New Roman" w:hAnsi="Times New Roman"/>
          <w:i/>
          <w:sz w:val="24"/>
          <w:szCs w:val="24"/>
          <w:lang w:val="en-GB" w:eastAsia="en-GB"/>
        </w:rPr>
        <w:t xml:space="preserve">Maintaining New Zealand’s reputation as a leader in </w:t>
      </w:r>
      <w:r w:rsidR="00E92378" w:rsidRPr="00A57E40">
        <w:rPr>
          <w:rFonts w:ascii="Times New Roman" w:hAnsi="Times New Roman"/>
          <w:i/>
          <w:sz w:val="24"/>
          <w:szCs w:val="24"/>
          <w:lang w:val="en-GB" w:eastAsia="en-GB"/>
        </w:rPr>
        <w:t xml:space="preserve">best practice of </w:t>
      </w:r>
      <w:r w:rsidRPr="00A57E40">
        <w:rPr>
          <w:rFonts w:ascii="Times New Roman" w:hAnsi="Times New Roman"/>
          <w:i/>
          <w:sz w:val="24"/>
          <w:szCs w:val="24"/>
          <w:lang w:val="en-GB" w:eastAsia="en-GB"/>
        </w:rPr>
        <w:t xml:space="preserve">international exchange of information </w:t>
      </w:r>
    </w:p>
    <w:p w:rsidR="003D6B05" w:rsidRPr="00A57E40" w:rsidRDefault="003D6B05" w:rsidP="003D6B05">
      <w:pPr>
        <w:pStyle w:val="ListParagraph"/>
        <w:ind w:left="0"/>
        <w:rPr>
          <w:rFonts w:ascii="Times New Roman" w:hAnsi="Times New Roman"/>
          <w:sz w:val="24"/>
          <w:szCs w:val="24"/>
        </w:rPr>
      </w:pPr>
    </w:p>
    <w:p w:rsidR="003D6B05" w:rsidRPr="00A57E40" w:rsidRDefault="003D6B05" w:rsidP="003C6505">
      <w:pPr>
        <w:pStyle w:val="ListParagraph"/>
        <w:numPr>
          <w:ilvl w:val="0"/>
          <w:numId w:val="2"/>
        </w:numPr>
        <w:tabs>
          <w:tab w:val="num" w:pos="0"/>
        </w:tabs>
        <w:ind w:left="0" w:firstLine="0"/>
        <w:rPr>
          <w:rFonts w:ascii="Times New Roman" w:hAnsi="Times New Roman"/>
          <w:sz w:val="24"/>
          <w:szCs w:val="24"/>
        </w:rPr>
      </w:pPr>
      <w:r w:rsidRPr="00A57E40">
        <w:rPr>
          <w:rFonts w:ascii="Times New Roman" w:hAnsi="Times New Roman"/>
          <w:sz w:val="24"/>
          <w:szCs w:val="24"/>
          <w:lang w:val="en-AU"/>
        </w:rPr>
        <w:t xml:space="preserve">Although New Zealand’s </w:t>
      </w:r>
      <w:r w:rsidRPr="00A57E40">
        <w:rPr>
          <w:rFonts w:ascii="Times New Roman" w:hAnsi="Times New Roman"/>
          <w:sz w:val="24"/>
          <w:szCs w:val="24"/>
        </w:rPr>
        <w:t>c</w:t>
      </w:r>
      <w:proofErr w:type="spellStart"/>
      <w:r w:rsidRPr="00A57E40">
        <w:rPr>
          <w:rFonts w:ascii="Times New Roman" w:hAnsi="Times New Roman"/>
          <w:sz w:val="24"/>
          <w:szCs w:val="24"/>
          <w:lang w:val="en-AU"/>
        </w:rPr>
        <w:t>urrent</w:t>
      </w:r>
      <w:proofErr w:type="spellEnd"/>
      <w:r w:rsidRPr="00A57E40">
        <w:rPr>
          <w:rFonts w:ascii="Times New Roman" w:hAnsi="Times New Roman"/>
          <w:sz w:val="24"/>
          <w:szCs w:val="24"/>
          <w:lang w:val="en-AU"/>
        </w:rPr>
        <w:t xml:space="preserve"> disclosure requirements are sufficient to meet the existing obligations for exchanging tax information under treaties, given </w:t>
      </w:r>
      <w:r w:rsidRPr="00A57E40">
        <w:rPr>
          <w:rFonts w:ascii="Times New Roman" w:hAnsi="Times New Roman"/>
          <w:sz w:val="24"/>
          <w:szCs w:val="24"/>
        </w:rPr>
        <w:t xml:space="preserve">the recent international movements towards increased information sharing between tax jurisdictions, </w:t>
      </w:r>
      <w:r w:rsidRPr="00A57E40">
        <w:rPr>
          <w:rFonts w:ascii="Times New Roman" w:hAnsi="Times New Roman"/>
          <w:sz w:val="24"/>
          <w:szCs w:val="24"/>
          <w:lang w:val="en-AU"/>
        </w:rPr>
        <w:t xml:space="preserve">in the current environment these rules may not be sufficient to maintain New Zealand’s reputation as a leader in </w:t>
      </w:r>
      <w:r w:rsidR="005A0C3A" w:rsidRPr="00A57E40">
        <w:rPr>
          <w:rFonts w:ascii="Times New Roman" w:hAnsi="Times New Roman"/>
          <w:sz w:val="24"/>
          <w:szCs w:val="24"/>
          <w:lang w:val="en-AU"/>
        </w:rPr>
        <w:t xml:space="preserve">best practice of </w:t>
      </w:r>
      <w:r w:rsidRPr="00A57E40">
        <w:rPr>
          <w:rFonts w:ascii="Times New Roman" w:hAnsi="Times New Roman"/>
          <w:sz w:val="24"/>
          <w:szCs w:val="24"/>
          <w:lang w:val="en-AU"/>
        </w:rPr>
        <w:t>international exchange of information</w:t>
      </w:r>
      <w:r w:rsidRPr="00A57E40">
        <w:rPr>
          <w:rFonts w:ascii="Times New Roman" w:hAnsi="Times New Roman"/>
          <w:sz w:val="24"/>
          <w:szCs w:val="24"/>
        </w:rPr>
        <w:t>.</w:t>
      </w:r>
    </w:p>
    <w:p w:rsidR="003D6B05" w:rsidRPr="00A57E40" w:rsidRDefault="003D6B05" w:rsidP="003D6B05">
      <w:pPr>
        <w:pStyle w:val="ListParagraph"/>
        <w:ind w:left="0"/>
        <w:rPr>
          <w:rFonts w:ascii="Times New Roman" w:hAnsi="Times New Roman"/>
          <w:sz w:val="24"/>
          <w:szCs w:val="24"/>
          <w:lang w:val="en-GB" w:eastAsia="en-GB"/>
        </w:rPr>
      </w:pPr>
    </w:p>
    <w:p w:rsidR="0013325D" w:rsidRPr="00A57E40" w:rsidRDefault="0013325D" w:rsidP="0027520A">
      <w:pPr>
        <w:pStyle w:val="ListParagraph"/>
        <w:ind w:left="0"/>
        <w:rPr>
          <w:rFonts w:ascii="Times New Roman" w:hAnsi="Times New Roman"/>
          <w:i/>
          <w:sz w:val="24"/>
          <w:szCs w:val="24"/>
          <w:lang w:val="en-GB" w:eastAsia="en-GB"/>
        </w:rPr>
      </w:pPr>
      <w:r w:rsidRPr="00A57E40">
        <w:rPr>
          <w:rFonts w:ascii="Times New Roman" w:hAnsi="Times New Roman"/>
          <w:i/>
          <w:sz w:val="24"/>
          <w:szCs w:val="24"/>
          <w:lang w:val="en-GB" w:eastAsia="en-GB"/>
        </w:rPr>
        <w:t>Maintaining an open economy</w:t>
      </w:r>
    </w:p>
    <w:p w:rsidR="00D20075" w:rsidRPr="00A57E40" w:rsidRDefault="00D20075" w:rsidP="0027520A">
      <w:pPr>
        <w:pStyle w:val="ListParagraph"/>
        <w:ind w:left="0"/>
        <w:rPr>
          <w:rFonts w:ascii="Times New Roman" w:hAnsi="Times New Roman"/>
          <w:i/>
          <w:sz w:val="24"/>
          <w:szCs w:val="24"/>
          <w:lang w:val="en-GB" w:eastAsia="en-GB"/>
        </w:rPr>
      </w:pPr>
    </w:p>
    <w:p w:rsidR="00344817" w:rsidRPr="00A57E40" w:rsidRDefault="00344817" w:rsidP="00344817">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The status quo is consistent with maintaining an open economy which welcomes an active financial services sector</w:t>
      </w:r>
      <w:r w:rsidR="00776D7C" w:rsidRPr="00A57E40">
        <w:rPr>
          <w:rFonts w:ascii="Times New Roman" w:hAnsi="Times New Roman"/>
          <w:sz w:val="24"/>
          <w:szCs w:val="24"/>
          <w:lang w:val="en-GB" w:eastAsia="en-GB"/>
        </w:rPr>
        <w:t>, where those activities are legitimate</w:t>
      </w:r>
      <w:r w:rsidRPr="00A57E40">
        <w:rPr>
          <w:rFonts w:ascii="Times New Roman" w:hAnsi="Times New Roman"/>
          <w:sz w:val="24"/>
          <w:szCs w:val="24"/>
          <w:lang w:val="en-GB" w:eastAsia="en-GB"/>
        </w:rPr>
        <w:t xml:space="preserve">.  </w:t>
      </w:r>
    </w:p>
    <w:p w:rsidR="004056D1" w:rsidRPr="00A57E40" w:rsidRDefault="004056D1" w:rsidP="00663331">
      <w:pPr>
        <w:pStyle w:val="ListParagraph"/>
        <w:ind w:left="0"/>
        <w:rPr>
          <w:rFonts w:ascii="Times New Roman" w:hAnsi="Times New Roman"/>
          <w:sz w:val="24"/>
          <w:szCs w:val="24"/>
          <w:lang w:val="en-GB" w:eastAsia="en-GB"/>
        </w:rPr>
      </w:pPr>
    </w:p>
    <w:p w:rsidR="0013325D" w:rsidRPr="00A57E40" w:rsidRDefault="0013325D" w:rsidP="00663331">
      <w:pPr>
        <w:pStyle w:val="ListParagraph"/>
        <w:ind w:left="0"/>
        <w:rPr>
          <w:rFonts w:ascii="Times New Roman" w:hAnsi="Times New Roman"/>
          <w:i/>
          <w:sz w:val="24"/>
          <w:szCs w:val="24"/>
          <w:lang w:val="en-GB" w:eastAsia="en-GB"/>
        </w:rPr>
      </w:pPr>
      <w:r w:rsidRPr="00A57E40">
        <w:rPr>
          <w:rFonts w:ascii="Times New Roman" w:hAnsi="Times New Roman"/>
          <w:i/>
          <w:sz w:val="24"/>
          <w:szCs w:val="24"/>
          <w:lang w:val="en-GB" w:eastAsia="en-GB"/>
        </w:rPr>
        <w:t>Fairness and integrity</w:t>
      </w:r>
    </w:p>
    <w:p w:rsidR="00D20075" w:rsidRPr="00A57E40" w:rsidRDefault="00D20075" w:rsidP="00663331">
      <w:pPr>
        <w:pStyle w:val="ListParagraph"/>
        <w:ind w:left="0"/>
        <w:rPr>
          <w:rFonts w:ascii="Times New Roman" w:hAnsi="Times New Roman"/>
          <w:i/>
          <w:sz w:val="24"/>
          <w:szCs w:val="24"/>
          <w:lang w:val="en-GB" w:eastAsia="en-GB"/>
        </w:rPr>
      </w:pPr>
    </w:p>
    <w:p w:rsidR="004056D1" w:rsidRPr="00A57E40" w:rsidRDefault="004056D1" w:rsidP="00344817">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Perceived </w:t>
      </w:r>
      <w:r w:rsidR="00581DC1" w:rsidRPr="00A57E40">
        <w:rPr>
          <w:rFonts w:ascii="Times New Roman" w:hAnsi="Times New Roman"/>
          <w:sz w:val="24"/>
          <w:szCs w:val="24"/>
          <w:lang w:val="en-GB" w:eastAsia="en-GB"/>
        </w:rPr>
        <w:t xml:space="preserve">or </w:t>
      </w:r>
      <w:r w:rsidRPr="00A57E40">
        <w:rPr>
          <w:rFonts w:ascii="Times New Roman" w:hAnsi="Times New Roman"/>
          <w:sz w:val="24"/>
          <w:szCs w:val="24"/>
          <w:lang w:val="en-GB" w:eastAsia="en-GB"/>
        </w:rPr>
        <w:t xml:space="preserve">actual misuse </w:t>
      </w:r>
      <w:r w:rsidR="0021607B" w:rsidRPr="00A57E40">
        <w:rPr>
          <w:rFonts w:ascii="Times New Roman" w:hAnsi="Times New Roman"/>
          <w:sz w:val="24"/>
          <w:szCs w:val="24"/>
          <w:lang w:val="en-GB" w:eastAsia="en-GB"/>
        </w:rPr>
        <w:t xml:space="preserve">of foreign trusts in New Zealand in order to avoid tax obligations in other jurisdictions </w:t>
      </w:r>
      <w:r w:rsidR="00D20075" w:rsidRPr="00A57E40">
        <w:rPr>
          <w:rFonts w:ascii="Times New Roman" w:hAnsi="Times New Roman"/>
          <w:sz w:val="24"/>
          <w:szCs w:val="24"/>
          <w:lang w:val="en-GB" w:eastAsia="en-GB"/>
        </w:rPr>
        <w:t xml:space="preserve">could </w:t>
      </w:r>
      <w:r w:rsidRPr="00A57E40">
        <w:rPr>
          <w:rFonts w:ascii="Times New Roman" w:hAnsi="Times New Roman"/>
          <w:sz w:val="24"/>
          <w:szCs w:val="24"/>
          <w:lang w:val="en-GB" w:eastAsia="en-GB"/>
        </w:rPr>
        <w:t>impact negatively on fairness and integrity.</w:t>
      </w:r>
    </w:p>
    <w:p w:rsidR="00344817" w:rsidRPr="00A57E40" w:rsidRDefault="00344817" w:rsidP="0027520A">
      <w:pPr>
        <w:pStyle w:val="ListParagraph"/>
        <w:ind w:left="0"/>
        <w:rPr>
          <w:rFonts w:ascii="Times New Roman" w:hAnsi="Times New Roman"/>
          <w:sz w:val="24"/>
          <w:szCs w:val="24"/>
          <w:lang w:val="en-GB" w:eastAsia="en-GB"/>
        </w:rPr>
      </w:pPr>
    </w:p>
    <w:p w:rsidR="0013325D" w:rsidRPr="00A57E40" w:rsidRDefault="0013325D" w:rsidP="0027520A">
      <w:pPr>
        <w:pStyle w:val="ListParagraph"/>
        <w:ind w:left="0"/>
        <w:rPr>
          <w:rFonts w:ascii="Times New Roman" w:hAnsi="Times New Roman"/>
          <w:i/>
          <w:sz w:val="24"/>
          <w:szCs w:val="24"/>
          <w:lang w:val="en-GB" w:eastAsia="en-GB"/>
        </w:rPr>
      </w:pPr>
      <w:r w:rsidRPr="00A57E40">
        <w:rPr>
          <w:rFonts w:ascii="Times New Roman" w:hAnsi="Times New Roman"/>
          <w:i/>
          <w:sz w:val="24"/>
          <w:szCs w:val="24"/>
          <w:lang w:val="en-GB" w:eastAsia="en-GB"/>
        </w:rPr>
        <w:t>Coherency of the tax system</w:t>
      </w:r>
    </w:p>
    <w:p w:rsidR="00D20075" w:rsidRPr="00A57E40" w:rsidRDefault="00D20075" w:rsidP="0027520A">
      <w:pPr>
        <w:pStyle w:val="ListParagraph"/>
        <w:ind w:left="0"/>
        <w:rPr>
          <w:rFonts w:ascii="Times New Roman" w:hAnsi="Times New Roman"/>
          <w:i/>
          <w:sz w:val="24"/>
          <w:szCs w:val="24"/>
          <w:lang w:val="en-GB" w:eastAsia="en-GB"/>
        </w:rPr>
      </w:pPr>
    </w:p>
    <w:p w:rsidR="00344817" w:rsidRPr="00A57E40" w:rsidRDefault="00344817" w:rsidP="0015734A">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The impact on coherency of the tax system is mixed.  The tax exemption for foreign trusts is consistent with New Zealand’s framework for </w:t>
      </w:r>
      <w:r w:rsidR="00626E4D" w:rsidRPr="00A57E40">
        <w:rPr>
          <w:rFonts w:ascii="Times New Roman" w:hAnsi="Times New Roman"/>
          <w:sz w:val="24"/>
          <w:szCs w:val="24"/>
          <w:lang w:val="en-GB" w:eastAsia="en-GB"/>
        </w:rPr>
        <w:t>taxing trusts.  However, the disclosure requirements for foreign trusts seem insufficient in light of recent international trends.</w:t>
      </w:r>
    </w:p>
    <w:p w:rsidR="00655873" w:rsidRPr="00A57E40" w:rsidRDefault="00655873" w:rsidP="00663331">
      <w:pPr>
        <w:pStyle w:val="ListParagraph"/>
        <w:ind w:left="0"/>
        <w:rPr>
          <w:rFonts w:ascii="Times New Roman" w:hAnsi="Times New Roman"/>
          <w:sz w:val="24"/>
          <w:szCs w:val="24"/>
        </w:rPr>
      </w:pPr>
    </w:p>
    <w:p w:rsidR="0013325D" w:rsidRPr="00A57E40" w:rsidRDefault="0013325D" w:rsidP="00663331">
      <w:pPr>
        <w:pStyle w:val="ListParagraph"/>
        <w:ind w:left="0"/>
        <w:rPr>
          <w:rFonts w:ascii="Times New Roman" w:hAnsi="Times New Roman"/>
          <w:i/>
          <w:sz w:val="24"/>
          <w:szCs w:val="24"/>
        </w:rPr>
      </w:pPr>
      <w:r w:rsidRPr="00A57E40">
        <w:rPr>
          <w:rFonts w:ascii="Times New Roman" w:hAnsi="Times New Roman"/>
          <w:i/>
          <w:sz w:val="24"/>
          <w:szCs w:val="24"/>
        </w:rPr>
        <w:t xml:space="preserve">Efficiency of </w:t>
      </w:r>
      <w:r w:rsidR="00E92378" w:rsidRPr="00A57E40">
        <w:rPr>
          <w:rFonts w:ascii="Times New Roman" w:hAnsi="Times New Roman"/>
          <w:i/>
          <w:sz w:val="24"/>
          <w:szCs w:val="24"/>
        </w:rPr>
        <w:t>compliance and administration</w:t>
      </w:r>
    </w:p>
    <w:p w:rsidR="00D20075" w:rsidRPr="00A57E40" w:rsidRDefault="00D20075" w:rsidP="00663331">
      <w:pPr>
        <w:pStyle w:val="ListParagraph"/>
        <w:ind w:left="0"/>
        <w:rPr>
          <w:rFonts w:ascii="Times New Roman" w:hAnsi="Times New Roman"/>
          <w:i/>
          <w:sz w:val="24"/>
          <w:szCs w:val="24"/>
        </w:rPr>
      </w:pPr>
    </w:p>
    <w:p w:rsidR="00D20075" w:rsidRPr="00A57E40" w:rsidRDefault="00322EBD" w:rsidP="00663331">
      <w:pPr>
        <w:pStyle w:val="CommentText"/>
        <w:numPr>
          <w:ilvl w:val="0"/>
          <w:numId w:val="2"/>
        </w:numPr>
        <w:tabs>
          <w:tab w:val="num" w:pos="0"/>
        </w:tabs>
        <w:spacing w:after="0" w:line="240" w:lineRule="auto"/>
        <w:ind w:left="0" w:firstLine="0"/>
        <w:jc w:val="both"/>
        <w:rPr>
          <w:rFonts w:ascii="Times New Roman" w:hAnsi="Times New Roman"/>
          <w:sz w:val="24"/>
          <w:szCs w:val="24"/>
        </w:rPr>
      </w:pPr>
      <w:r w:rsidRPr="00A57E40">
        <w:rPr>
          <w:rFonts w:ascii="Times New Roman" w:hAnsi="Times New Roman"/>
          <w:sz w:val="24"/>
          <w:szCs w:val="24"/>
        </w:rPr>
        <w:t xml:space="preserve">The compliance costs for foreign trusts </w:t>
      </w:r>
      <w:r w:rsidR="00B43E3D" w:rsidRPr="00A57E40">
        <w:rPr>
          <w:rFonts w:ascii="Times New Roman" w:hAnsi="Times New Roman"/>
          <w:sz w:val="24"/>
          <w:szCs w:val="24"/>
        </w:rPr>
        <w:t xml:space="preserve">under current rules </w:t>
      </w:r>
      <w:r w:rsidRPr="00A57E40">
        <w:rPr>
          <w:rFonts w:ascii="Times New Roman" w:hAnsi="Times New Roman"/>
          <w:sz w:val="24"/>
          <w:szCs w:val="24"/>
        </w:rPr>
        <w:t xml:space="preserve">are </w:t>
      </w:r>
      <w:r w:rsidR="00305F5B" w:rsidRPr="00A57E40">
        <w:rPr>
          <w:rFonts w:ascii="Times New Roman" w:hAnsi="Times New Roman"/>
          <w:sz w:val="24"/>
          <w:szCs w:val="24"/>
        </w:rPr>
        <w:t>very</w:t>
      </w:r>
      <w:r w:rsidR="00F00A78" w:rsidRPr="00A57E40">
        <w:rPr>
          <w:rFonts w:ascii="Times New Roman" w:hAnsi="Times New Roman"/>
          <w:sz w:val="24"/>
          <w:szCs w:val="24"/>
        </w:rPr>
        <w:t xml:space="preserve"> </w:t>
      </w:r>
      <w:r w:rsidRPr="00A57E40">
        <w:rPr>
          <w:rFonts w:ascii="Times New Roman" w:hAnsi="Times New Roman"/>
          <w:sz w:val="24"/>
          <w:szCs w:val="24"/>
        </w:rPr>
        <w:t>low.</w:t>
      </w:r>
      <w:r w:rsidR="00344817" w:rsidRPr="00A57E40">
        <w:rPr>
          <w:rFonts w:ascii="Times New Roman" w:hAnsi="Times New Roman"/>
          <w:sz w:val="24"/>
          <w:szCs w:val="24"/>
        </w:rPr>
        <w:t xml:space="preserve"> </w:t>
      </w:r>
    </w:p>
    <w:p w:rsidR="00D20075" w:rsidRPr="00A57E40" w:rsidRDefault="00D20075" w:rsidP="00CB24D4">
      <w:pPr>
        <w:pStyle w:val="CommentText"/>
        <w:spacing w:after="0" w:line="240" w:lineRule="auto"/>
        <w:jc w:val="both"/>
        <w:rPr>
          <w:rFonts w:ascii="Times New Roman" w:hAnsi="Times New Roman"/>
          <w:sz w:val="24"/>
          <w:szCs w:val="24"/>
        </w:rPr>
      </w:pPr>
    </w:p>
    <w:p w:rsidR="00655873" w:rsidRPr="00A57E40" w:rsidRDefault="00322EBD" w:rsidP="00663331">
      <w:pPr>
        <w:pStyle w:val="CommentText"/>
        <w:numPr>
          <w:ilvl w:val="0"/>
          <w:numId w:val="2"/>
        </w:numPr>
        <w:tabs>
          <w:tab w:val="num" w:pos="0"/>
        </w:tabs>
        <w:spacing w:after="0" w:line="240" w:lineRule="auto"/>
        <w:ind w:left="0" w:firstLine="0"/>
        <w:jc w:val="both"/>
        <w:rPr>
          <w:rFonts w:ascii="Times New Roman" w:hAnsi="Times New Roman"/>
          <w:sz w:val="24"/>
          <w:szCs w:val="24"/>
        </w:rPr>
      </w:pPr>
      <w:r w:rsidRPr="00A57E40">
        <w:rPr>
          <w:rFonts w:ascii="Times New Roman" w:hAnsi="Times New Roman"/>
          <w:sz w:val="24"/>
          <w:szCs w:val="24"/>
        </w:rPr>
        <w:t>In terms of administrative costs, there are currently some costs for data entry and the exchange of information.  Inland Revenue also runs an audit project on foreign trust providers.</w:t>
      </w:r>
    </w:p>
    <w:p w:rsidR="00C70C03" w:rsidRPr="00A57E40" w:rsidRDefault="00C70C03" w:rsidP="00777076">
      <w:pPr>
        <w:pStyle w:val="CommentText"/>
        <w:spacing w:after="0" w:line="240" w:lineRule="auto"/>
        <w:rPr>
          <w:rFonts w:ascii="Times New Roman" w:hAnsi="Times New Roman"/>
          <w:b/>
          <w:sz w:val="24"/>
          <w:szCs w:val="24"/>
        </w:rPr>
      </w:pPr>
    </w:p>
    <w:p w:rsidR="00777076" w:rsidRPr="00A57E40" w:rsidRDefault="008102AD" w:rsidP="00777076">
      <w:pPr>
        <w:pStyle w:val="CommentText"/>
        <w:spacing w:after="0" w:line="240" w:lineRule="auto"/>
        <w:rPr>
          <w:rFonts w:ascii="Times New Roman" w:hAnsi="Times New Roman"/>
          <w:b/>
          <w:sz w:val="24"/>
          <w:szCs w:val="24"/>
        </w:rPr>
      </w:pPr>
      <w:r w:rsidRPr="00A57E40">
        <w:rPr>
          <w:rFonts w:ascii="Times New Roman" w:hAnsi="Times New Roman"/>
          <w:b/>
          <w:sz w:val="24"/>
          <w:szCs w:val="24"/>
        </w:rPr>
        <w:t>O</w:t>
      </w:r>
      <w:r w:rsidR="00777076" w:rsidRPr="00A57E40">
        <w:rPr>
          <w:rFonts w:ascii="Times New Roman" w:hAnsi="Times New Roman"/>
          <w:b/>
          <w:sz w:val="24"/>
          <w:szCs w:val="24"/>
        </w:rPr>
        <w:t xml:space="preserve">ption </w:t>
      </w:r>
      <w:r w:rsidRPr="00A57E40">
        <w:rPr>
          <w:rFonts w:ascii="Times New Roman" w:hAnsi="Times New Roman"/>
          <w:b/>
          <w:sz w:val="24"/>
          <w:szCs w:val="24"/>
        </w:rPr>
        <w:t>2</w:t>
      </w:r>
    </w:p>
    <w:p w:rsidR="00777076" w:rsidRPr="00A57E40" w:rsidRDefault="00777076" w:rsidP="00663331">
      <w:pPr>
        <w:pStyle w:val="CommentText"/>
        <w:spacing w:after="0" w:line="240" w:lineRule="auto"/>
        <w:jc w:val="both"/>
        <w:rPr>
          <w:rFonts w:ascii="Times New Roman" w:hAnsi="Times New Roman"/>
          <w:sz w:val="24"/>
          <w:szCs w:val="24"/>
        </w:rPr>
      </w:pPr>
    </w:p>
    <w:p w:rsidR="004E0674" w:rsidRPr="00A57E40" w:rsidRDefault="004E0674" w:rsidP="00B43E3D">
      <w:pPr>
        <w:pStyle w:val="CommentText"/>
        <w:numPr>
          <w:ilvl w:val="0"/>
          <w:numId w:val="2"/>
        </w:numPr>
        <w:tabs>
          <w:tab w:val="num" w:pos="0"/>
        </w:tabs>
        <w:spacing w:after="0" w:line="240" w:lineRule="auto"/>
        <w:ind w:left="0" w:firstLine="0"/>
        <w:jc w:val="both"/>
        <w:rPr>
          <w:rFonts w:ascii="Times New Roman" w:hAnsi="Times New Roman"/>
          <w:sz w:val="24"/>
          <w:szCs w:val="24"/>
          <w:lang w:val="en-NZ" w:eastAsia="en-US"/>
        </w:rPr>
      </w:pPr>
      <w:r w:rsidRPr="00A57E40">
        <w:rPr>
          <w:rFonts w:ascii="Times New Roman" w:hAnsi="Times New Roman"/>
          <w:sz w:val="24"/>
          <w:szCs w:val="24"/>
          <w:lang w:val="en-NZ" w:eastAsia="en-US"/>
        </w:rPr>
        <w:t xml:space="preserve">This option would implement </w:t>
      </w:r>
      <w:r w:rsidR="00175E32" w:rsidRPr="00A57E40">
        <w:rPr>
          <w:rFonts w:ascii="Times New Roman" w:hAnsi="Times New Roman"/>
          <w:sz w:val="24"/>
          <w:szCs w:val="24"/>
          <w:lang w:val="en-NZ" w:eastAsia="en-US"/>
        </w:rPr>
        <w:t>a</w:t>
      </w:r>
      <w:r w:rsidR="002459CB" w:rsidRPr="00A57E40">
        <w:rPr>
          <w:rFonts w:ascii="Times New Roman" w:hAnsi="Times New Roman"/>
          <w:sz w:val="24"/>
          <w:szCs w:val="24"/>
          <w:lang w:val="en-NZ" w:eastAsia="en-US"/>
        </w:rPr>
        <w:t xml:space="preserve"> package of changes </w:t>
      </w:r>
      <w:r w:rsidRPr="00A57E40">
        <w:rPr>
          <w:rFonts w:ascii="Times New Roman" w:hAnsi="Times New Roman"/>
          <w:sz w:val="24"/>
          <w:szCs w:val="24"/>
          <w:lang w:val="en-NZ" w:eastAsia="en-US"/>
        </w:rPr>
        <w:t>relating to registration, increased disclosure, and information sharing</w:t>
      </w:r>
      <w:r w:rsidR="002459CB" w:rsidRPr="00A57E40">
        <w:rPr>
          <w:rFonts w:ascii="Times New Roman" w:hAnsi="Times New Roman"/>
          <w:sz w:val="24"/>
          <w:szCs w:val="24"/>
          <w:lang w:val="en-NZ" w:eastAsia="en-US"/>
        </w:rPr>
        <w:t>.  Th</w:t>
      </w:r>
      <w:r w:rsidR="00175E32" w:rsidRPr="00A57E40">
        <w:rPr>
          <w:rFonts w:ascii="Times New Roman" w:hAnsi="Times New Roman"/>
          <w:sz w:val="24"/>
          <w:szCs w:val="24"/>
          <w:lang w:val="en-NZ" w:eastAsia="en-US"/>
        </w:rPr>
        <w:t xml:space="preserve">is package </w:t>
      </w:r>
      <w:r w:rsidR="002459CB" w:rsidRPr="00A57E40">
        <w:rPr>
          <w:rFonts w:ascii="Times New Roman" w:hAnsi="Times New Roman"/>
          <w:sz w:val="24"/>
          <w:szCs w:val="24"/>
          <w:lang w:val="en-NZ" w:eastAsia="en-US"/>
        </w:rPr>
        <w:t>essentially follow</w:t>
      </w:r>
      <w:r w:rsidR="00175E32" w:rsidRPr="00A57E40">
        <w:rPr>
          <w:rFonts w:ascii="Times New Roman" w:hAnsi="Times New Roman"/>
          <w:sz w:val="24"/>
          <w:szCs w:val="24"/>
          <w:lang w:val="en-NZ" w:eastAsia="en-US"/>
        </w:rPr>
        <w:t>s</w:t>
      </w:r>
      <w:r w:rsidR="002459CB" w:rsidRPr="00A57E40">
        <w:rPr>
          <w:rFonts w:ascii="Times New Roman" w:hAnsi="Times New Roman"/>
          <w:sz w:val="24"/>
          <w:szCs w:val="24"/>
          <w:lang w:val="en-NZ" w:eastAsia="en-US"/>
        </w:rPr>
        <w:t xml:space="preserve"> the </w:t>
      </w:r>
      <w:r w:rsidR="00FE639C" w:rsidRPr="00A57E40">
        <w:rPr>
          <w:rFonts w:ascii="Times New Roman" w:hAnsi="Times New Roman"/>
          <w:sz w:val="24"/>
          <w:szCs w:val="24"/>
          <w:lang w:val="en-NZ" w:eastAsia="en-US"/>
        </w:rPr>
        <w:t>Inquiry’s recommendations</w:t>
      </w:r>
      <w:r w:rsidR="002459CB" w:rsidRPr="00A57E40">
        <w:rPr>
          <w:rFonts w:ascii="Times New Roman" w:hAnsi="Times New Roman"/>
          <w:sz w:val="24"/>
          <w:szCs w:val="24"/>
          <w:lang w:val="en-NZ" w:eastAsia="en-US"/>
        </w:rPr>
        <w:t xml:space="preserve">, with some </w:t>
      </w:r>
      <w:r w:rsidR="00175E32" w:rsidRPr="00A57E40">
        <w:rPr>
          <w:rFonts w:ascii="Times New Roman" w:hAnsi="Times New Roman"/>
          <w:sz w:val="24"/>
          <w:szCs w:val="24"/>
          <w:lang w:val="en-NZ" w:eastAsia="en-US"/>
        </w:rPr>
        <w:t xml:space="preserve">minor </w:t>
      </w:r>
      <w:r w:rsidR="002459CB" w:rsidRPr="00A57E40">
        <w:rPr>
          <w:rFonts w:ascii="Times New Roman" w:hAnsi="Times New Roman"/>
          <w:sz w:val="24"/>
          <w:szCs w:val="24"/>
          <w:lang w:val="en-NZ" w:eastAsia="en-US"/>
        </w:rPr>
        <w:t>modifications</w:t>
      </w:r>
      <w:r w:rsidR="00175E32" w:rsidRPr="00A57E40">
        <w:rPr>
          <w:rFonts w:ascii="Times New Roman" w:hAnsi="Times New Roman"/>
          <w:sz w:val="24"/>
          <w:szCs w:val="24"/>
          <w:lang w:val="en-NZ" w:eastAsia="en-US"/>
        </w:rPr>
        <w:t xml:space="preserve"> as indicated</w:t>
      </w:r>
      <w:r w:rsidR="00FE639C" w:rsidRPr="00A57E40">
        <w:rPr>
          <w:rFonts w:ascii="Times New Roman" w:hAnsi="Times New Roman"/>
          <w:sz w:val="24"/>
          <w:szCs w:val="24"/>
          <w:lang w:val="en-NZ" w:eastAsia="en-US"/>
        </w:rPr>
        <w:t xml:space="preserve">. </w:t>
      </w:r>
      <w:r w:rsidR="00B43E3D" w:rsidRPr="00A57E40">
        <w:rPr>
          <w:rFonts w:ascii="Times New Roman" w:hAnsi="Times New Roman"/>
          <w:sz w:val="24"/>
          <w:szCs w:val="24"/>
          <w:lang w:val="en-NZ" w:eastAsia="en-US"/>
        </w:rPr>
        <w:t xml:space="preserve"> The Inquiry’s recommendations </w:t>
      </w:r>
      <w:r w:rsidR="002459CB" w:rsidRPr="00A57E40">
        <w:rPr>
          <w:rFonts w:ascii="Times New Roman" w:hAnsi="Times New Roman"/>
          <w:sz w:val="24"/>
          <w:szCs w:val="24"/>
          <w:lang w:val="en-NZ" w:eastAsia="en-US"/>
        </w:rPr>
        <w:t>are contained in Appendix 1.</w:t>
      </w:r>
      <w:r w:rsidR="00B43E3D" w:rsidRPr="00A57E40">
        <w:rPr>
          <w:rFonts w:ascii="Times New Roman" w:hAnsi="Times New Roman"/>
          <w:sz w:val="24"/>
          <w:szCs w:val="24"/>
          <w:lang w:val="en-NZ" w:eastAsia="en-US"/>
        </w:rPr>
        <w:t xml:space="preserve"> </w:t>
      </w:r>
    </w:p>
    <w:p w:rsidR="004E0674" w:rsidRPr="00A57E40" w:rsidRDefault="004E0674" w:rsidP="00663331">
      <w:pPr>
        <w:pStyle w:val="Default"/>
        <w:jc w:val="both"/>
        <w:rPr>
          <w:color w:val="auto"/>
          <w:lang w:eastAsia="en-US"/>
        </w:rPr>
      </w:pPr>
    </w:p>
    <w:p w:rsidR="005D6A51" w:rsidRPr="00A57E40" w:rsidRDefault="005D6A51" w:rsidP="00663331">
      <w:pPr>
        <w:pStyle w:val="Default"/>
        <w:jc w:val="both"/>
        <w:rPr>
          <w:i/>
          <w:color w:val="auto"/>
          <w:lang w:eastAsia="en-US"/>
        </w:rPr>
      </w:pPr>
      <w:r w:rsidRPr="00A57E40">
        <w:rPr>
          <w:i/>
          <w:color w:val="auto"/>
          <w:lang w:eastAsia="en-US"/>
        </w:rPr>
        <w:t>Registration and initial disclosure</w:t>
      </w:r>
    </w:p>
    <w:p w:rsidR="005D6A51" w:rsidRPr="00A57E40" w:rsidRDefault="005D6A51" w:rsidP="00663331">
      <w:pPr>
        <w:pStyle w:val="Default"/>
        <w:jc w:val="both"/>
        <w:rPr>
          <w:color w:val="auto"/>
          <w:lang w:eastAsia="en-US"/>
        </w:rPr>
      </w:pPr>
    </w:p>
    <w:p w:rsidR="006E619B" w:rsidRPr="00A57E40" w:rsidRDefault="005F1CEC" w:rsidP="00663331">
      <w:pPr>
        <w:pStyle w:val="CommentText"/>
        <w:numPr>
          <w:ilvl w:val="0"/>
          <w:numId w:val="2"/>
        </w:numPr>
        <w:spacing w:after="160" w:line="240" w:lineRule="auto"/>
        <w:ind w:left="0" w:firstLine="0"/>
        <w:jc w:val="both"/>
        <w:rPr>
          <w:rFonts w:ascii="Times New Roman" w:hAnsi="Times New Roman"/>
          <w:sz w:val="24"/>
          <w:szCs w:val="24"/>
          <w:lang w:val="en-NZ" w:eastAsia="en-US"/>
        </w:rPr>
      </w:pPr>
      <w:r w:rsidRPr="00A57E40">
        <w:rPr>
          <w:rFonts w:ascii="Times New Roman" w:hAnsi="Times New Roman"/>
          <w:sz w:val="24"/>
          <w:szCs w:val="24"/>
          <w:lang w:val="en-NZ" w:eastAsia="en-US"/>
        </w:rPr>
        <w:t xml:space="preserve">Under </w:t>
      </w:r>
      <w:r w:rsidR="00EC1333" w:rsidRPr="00A57E40">
        <w:rPr>
          <w:rFonts w:ascii="Times New Roman" w:hAnsi="Times New Roman"/>
          <w:sz w:val="24"/>
          <w:szCs w:val="24"/>
          <w:lang w:val="en-NZ" w:eastAsia="en-US"/>
        </w:rPr>
        <w:t xml:space="preserve">option </w:t>
      </w:r>
      <w:r w:rsidR="002459CB" w:rsidRPr="00A57E40">
        <w:rPr>
          <w:rFonts w:ascii="Times New Roman" w:hAnsi="Times New Roman"/>
          <w:sz w:val="24"/>
          <w:szCs w:val="24"/>
          <w:lang w:val="en-NZ" w:eastAsia="en-US"/>
        </w:rPr>
        <w:t>2</w:t>
      </w:r>
      <w:r w:rsidR="00B43E3D" w:rsidRPr="00A57E40">
        <w:rPr>
          <w:rFonts w:ascii="Times New Roman" w:hAnsi="Times New Roman"/>
          <w:sz w:val="24"/>
          <w:szCs w:val="24"/>
          <w:lang w:val="en-NZ" w:eastAsia="en-US"/>
        </w:rPr>
        <w:t xml:space="preserve"> the </w:t>
      </w:r>
      <w:r w:rsidR="00C70C03" w:rsidRPr="00A57E40">
        <w:rPr>
          <w:rFonts w:ascii="Times New Roman" w:hAnsi="Times New Roman"/>
          <w:sz w:val="24"/>
          <w:szCs w:val="24"/>
          <w:lang w:val="en-NZ" w:eastAsia="en-US"/>
        </w:rPr>
        <w:t>current</w:t>
      </w:r>
      <w:r w:rsidR="006E619B" w:rsidRPr="00A57E40">
        <w:rPr>
          <w:rFonts w:ascii="Times New Roman" w:hAnsi="Times New Roman"/>
          <w:sz w:val="24"/>
          <w:szCs w:val="24"/>
          <w:lang w:val="en-NZ" w:eastAsia="en-US"/>
        </w:rPr>
        <w:t xml:space="preserve"> disclosure process </w:t>
      </w:r>
      <w:r w:rsidRPr="00A57E40">
        <w:rPr>
          <w:rFonts w:ascii="Times New Roman" w:hAnsi="Times New Roman"/>
          <w:sz w:val="24"/>
          <w:szCs w:val="24"/>
          <w:lang w:val="en-NZ" w:eastAsia="en-US"/>
        </w:rPr>
        <w:t xml:space="preserve">would </w:t>
      </w:r>
      <w:r w:rsidR="006E619B" w:rsidRPr="00A57E40">
        <w:rPr>
          <w:rFonts w:ascii="Times New Roman" w:hAnsi="Times New Roman"/>
          <w:sz w:val="24"/>
          <w:szCs w:val="24"/>
          <w:lang w:val="en-NZ" w:eastAsia="en-US"/>
        </w:rPr>
        <w:t>be formalised as a registration process</w:t>
      </w:r>
      <w:r w:rsidR="00EC1333" w:rsidRPr="00A57E40">
        <w:rPr>
          <w:rFonts w:ascii="Times New Roman" w:hAnsi="Times New Roman"/>
          <w:sz w:val="24"/>
          <w:szCs w:val="24"/>
          <w:lang w:val="en-NZ" w:eastAsia="en-US"/>
        </w:rPr>
        <w:t>.  T</w:t>
      </w:r>
      <w:r w:rsidR="006E619B" w:rsidRPr="00A57E40">
        <w:rPr>
          <w:rFonts w:ascii="Times New Roman" w:hAnsi="Times New Roman"/>
          <w:sz w:val="24"/>
          <w:szCs w:val="24"/>
          <w:lang w:val="en-NZ" w:eastAsia="en-US"/>
        </w:rPr>
        <w:t xml:space="preserve">he resident trustee of the trust </w:t>
      </w:r>
      <w:r w:rsidR="00F234C9" w:rsidRPr="00A57E40">
        <w:rPr>
          <w:rFonts w:ascii="Times New Roman" w:hAnsi="Times New Roman"/>
          <w:sz w:val="24"/>
          <w:szCs w:val="24"/>
          <w:lang w:val="en-NZ" w:eastAsia="en-US"/>
        </w:rPr>
        <w:t>w</w:t>
      </w:r>
      <w:r w:rsidR="006E619B" w:rsidRPr="00A57E40">
        <w:rPr>
          <w:rFonts w:ascii="Times New Roman" w:hAnsi="Times New Roman"/>
          <w:sz w:val="24"/>
          <w:szCs w:val="24"/>
          <w:lang w:val="en-NZ" w:eastAsia="en-US"/>
        </w:rPr>
        <w:t>ould be required to declare that the person establishing the foreign trust, the settlor(s) and the trustees have been advised of</w:t>
      </w:r>
      <w:r w:rsidR="008C31D9" w:rsidRPr="00A57E40">
        <w:rPr>
          <w:rFonts w:ascii="Times New Roman" w:hAnsi="Times New Roman"/>
          <w:sz w:val="24"/>
          <w:szCs w:val="24"/>
          <w:lang w:val="en-NZ" w:eastAsia="en-US"/>
        </w:rPr>
        <w:t>,</w:t>
      </w:r>
      <w:r w:rsidR="006E619B" w:rsidRPr="00A57E40">
        <w:rPr>
          <w:rFonts w:ascii="Times New Roman" w:hAnsi="Times New Roman"/>
          <w:sz w:val="24"/>
          <w:szCs w:val="24"/>
          <w:lang w:val="en-NZ" w:eastAsia="en-US"/>
        </w:rPr>
        <w:t xml:space="preserve"> and have agreed to provide the information to comply with</w:t>
      </w:r>
      <w:r w:rsidR="008C31D9" w:rsidRPr="00A57E40">
        <w:rPr>
          <w:rFonts w:ascii="Times New Roman" w:hAnsi="Times New Roman"/>
          <w:sz w:val="24"/>
          <w:szCs w:val="24"/>
          <w:lang w:val="en-NZ" w:eastAsia="en-US"/>
        </w:rPr>
        <w:t>,</w:t>
      </w:r>
      <w:r w:rsidR="006E619B" w:rsidRPr="00A57E40">
        <w:rPr>
          <w:rFonts w:ascii="Times New Roman" w:hAnsi="Times New Roman"/>
          <w:sz w:val="24"/>
          <w:szCs w:val="24"/>
          <w:lang w:val="en-NZ" w:eastAsia="en-US"/>
        </w:rPr>
        <w:t xml:space="preserve"> the applicable record</w:t>
      </w:r>
      <w:r w:rsidR="008C31D9" w:rsidRPr="00A57E40">
        <w:rPr>
          <w:rFonts w:ascii="Times New Roman" w:hAnsi="Times New Roman"/>
          <w:sz w:val="24"/>
          <w:szCs w:val="24"/>
          <w:lang w:val="en-NZ" w:eastAsia="en-US"/>
        </w:rPr>
        <w:t>-</w:t>
      </w:r>
      <w:r w:rsidR="006E619B" w:rsidRPr="00A57E40">
        <w:rPr>
          <w:rFonts w:ascii="Times New Roman" w:hAnsi="Times New Roman"/>
          <w:sz w:val="24"/>
          <w:szCs w:val="24"/>
          <w:lang w:val="en-NZ" w:eastAsia="en-US"/>
        </w:rPr>
        <w:t xml:space="preserve">keeping requirements in the </w:t>
      </w:r>
      <w:proofErr w:type="spellStart"/>
      <w:r w:rsidR="008102AD" w:rsidRPr="00A57E40">
        <w:rPr>
          <w:rFonts w:ascii="Times New Roman" w:hAnsi="Times New Roman"/>
          <w:sz w:val="24"/>
          <w:szCs w:val="24"/>
          <w:lang w:val="en-NZ" w:eastAsia="en-US"/>
        </w:rPr>
        <w:t>TAA</w:t>
      </w:r>
      <w:proofErr w:type="spellEnd"/>
      <w:r w:rsidR="006E619B" w:rsidRPr="00A57E40">
        <w:rPr>
          <w:rFonts w:ascii="Times New Roman" w:hAnsi="Times New Roman"/>
          <w:sz w:val="24"/>
          <w:szCs w:val="24"/>
          <w:lang w:val="en-NZ" w:eastAsia="en-US"/>
        </w:rPr>
        <w:t>, the Anti-Money Laundering and Countering Financing of Terrorism Act and Regulations, and the Automatic Exchange of Information</w:t>
      </w:r>
      <w:r w:rsidR="00283067">
        <w:rPr>
          <w:rFonts w:ascii="Times New Roman" w:hAnsi="Times New Roman"/>
          <w:sz w:val="24"/>
          <w:szCs w:val="24"/>
          <w:lang w:val="en-NZ" w:eastAsia="en-US"/>
        </w:rPr>
        <w:t xml:space="preserve"> (AEOI)</w:t>
      </w:r>
      <w:r w:rsidR="006E619B" w:rsidRPr="00A57E40">
        <w:rPr>
          <w:rFonts w:ascii="Times New Roman" w:hAnsi="Times New Roman"/>
          <w:sz w:val="24"/>
          <w:szCs w:val="24"/>
          <w:lang w:val="en-NZ" w:eastAsia="en-US"/>
        </w:rPr>
        <w:t xml:space="preserve"> requirements (once enacted).</w:t>
      </w:r>
    </w:p>
    <w:p w:rsidR="006E619B" w:rsidRPr="00A57E40" w:rsidRDefault="006E619B" w:rsidP="0027520A">
      <w:pPr>
        <w:pStyle w:val="ListParagraph"/>
        <w:numPr>
          <w:ilvl w:val="0"/>
          <w:numId w:val="2"/>
        </w:numPr>
        <w:tabs>
          <w:tab w:val="num" w:pos="0"/>
        </w:tabs>
        <w:ind w:left="0" w:firstLine="0"/>
        <w:rPr>
          <w:rFonts w:ascii="Times New Roman" w:hAnsi="Times New Roman"/>
          <w:sz w:val="24"/>
          <w:szCs w:val="24"/>
        </w:rPr>
      </w:pPr>
      <w:r w:rsidRPr="00A57E40">
        <w:rPr>
          <w:rFonts w:ascii="Times New Roman" w:hAnsi="Times New Roman"/>
          <w:sz w:val="24"/>
          <w:szCs w:val="24"/>
        </w:rPr>
        <w:t xml:space="preserve">To ensure that sufficient information is provided to Inland Revenue, more information </w:t>
      </w:r>
      <w:r w:rsidR="00D20075" w:rsidRPr="00A57E40">
        <w:rPr>
          <w:rFonts w:ascii="Times New Roman" w:hAnsi="Times New Roman"/>
          <w:sz w:val="24"/>
          <w:szCs w:val="24"/>
        </w:rPr>
        <w:t xml:space="preserve">would </w:t>
      </w:r>
      <w:r w:rsidRPr="00A57E40">
        <w:rPr>
          <w:rFonts w:ascii="Times New Roman" w:hAnsi="Times New Roman"/>
          <w:sz w:val="24"/>
          <w:szCs w:val="24"/>
        </w:rPr>
        <w:t xml:space="preserve">be </w:t>
      </w:r>
      <w:r w:rsidR="00D20075" w:rsidRPr="00A57E40">
        <w:rPr>
          <w:rFonts w:ascii="Times New Roman" w:hAnsi="Times New Roman"/>
          <w:sz w:val="24"/>
          <w:szCs w:val="24"/>
        </w:rPr>
        <w:t xml:space="preserve">required to be disclosed </w:t>
      </w:r>
      <w:r w:rsidRPr="00A57E40">
        <w:rPr>
          <w:rFonts w:ascii="Times New Roman" w:hAnsi="Times New Roman"/>
          <w:sz w:val="24"/>
          <w:szCs w:val="24"/>
        </w:rPr>
        <w:t>upon establishment of the trust, and in particular, the name, email address, foreign residential address, country of tax residence and Tax Identification Number of:</w:t>
      </w:r>
    </w:p>
    <w:p w:rsidR="0027520A" w:rsidRPr="00A57E40" w:rsidRDefault="0027520A" w:rsidP="0027520A">
      <w:pPr>
        <w:pStyle w:val="ListParagraph"/>
        <w:ind w:left="0"/>
        <w:rPr>
          <w:rFonts w:ascii="Times New Roman" w:hAnsi="Times New Roman"/>
          <w:sz w:val="24"/>
          <w:szCs w:val="24"/>
          <w:lang w:val="en-GB" w:eastAsia="en-GB"/>
        </w:rPr>
      </w:pPr>
    </w:p>
    <w:p w:rsidR="00E97D0B" w:rsidRPr="00A57E40" w:rsidRDefault="00E97D0B" w:rsidP="0027520A">
      <w:pPr>
        <w:pStyle w:val="TRBodyTextChar"/>
        <w:numPr>
          <w:ilvl w:val="2"/>
          <w:numId w:val="2"/>
        </w:numPr>
        <w:tabs>
          <w:tab w:val="clear" w:pos="2160"/>
          <w:tab w:val="left" w:pos="567"/>
          <w:tab w:val="num" w:pos="1701"/>
          <w:tab w:val="left" w:pos="5812"/>
        </w:tabs>
        <w:spacing w:line="240" w:lineRule="auto"/>
        <w:ind w:left="1701" w:hanging="567"/>
      </w:pPr>
      <w:r w:rsidRPr="00A57E40">
        <w:t xml:space="preserve">the settlor or settlors </w:t>
      </w:r>
    </w:p>
    <w:p w:rsidR="00E97D0B" w:rsidRPr="00A57E40" w:rsidRDefault="00E97D0B" w:rsidP="0027520A">
      <w:pPr>
        <w:pStyle w:val="TRBodyTextChar"/>
        <w:numPr>
          <w:ilvl w:val="2"/>
          <w:numId w:val="2"/>
        </w:numPr>
        <w:tabs>
          <w:tab w:val="clear" w:pos="2160"/>
          <w:tab w:val="left" w:pos="567"/>
          <w:tab w:val="num" w:pos="1701"/>
          <w:tab w:val="left" w:pos="5812"/>
        </w:tabs>
        <w:spacing w:line="240" w:lineRule="auto"/>
        <w:ind w:left="1701" w:hanging="567"/>
      </w:pPr>
      <w:r w:rsidRPr="00A57E40">
        <w:t>the protector (if there is any)</w:t>
      </w:r>
    </w:p>
    <w:p w:rsidR="00E97D0B" w:rsidRPr="00A57E40" w:rsidRDefault="00E97D0B" w:rsidP="0027520A">
      <w:pPr>
        <w:pStyle w:val="TRBodyTextChar"/>
        <w:numPr>
          <w:ilvl w:val="2"/>
          <w:numId w:val="2"/>
        </w:numPr>
        <w:tabs>
          <w:tab w:val="clear" w:pos="2160"/>
          <w:tab w:val="left" w:pos="567"/>
          <w:tab w:val="num" w:pos="1701"/>
          <w:tab w:val="left" w:pos="5812"/>
        </w:tabs>
        <w:spacing w:line="240" w:lineRule="auto"/>
        <w:ind w:left="1701" w:hanging="567"/>
      </w:pPr>
      <w:r w:rsidRPr="00A57E40">
        <w:t>non-resident trustees</w:t>
      </w:r>
    </w:p>
    <w:p w:rsidR="00E97D0B" w:rsidRPr="00A57E40" w:rsidRDefault="00E97D0B" w:rsidP="0027520A">
      <w:pPr>
        <w:pStyle w:val="TRBodyTextChar"/>
        <w:numPr>
          <w:ilvl w:val="2"/>
          <w:numId w:val="2"/>
        </w:numPr>
        <w:tabs>
          <w:tab w:val="clear" w:pos="2160"/>
          <w:tab w:val="left" w:pos="567"/>
          <w:tab w:val="num" w:pos="1701"/>
          <w:tab w:val="left" w:pos="5812"/>
        </w:tabs>
        <w:spacing w:line="240" w:lineRule="auto"/>
        <w:ind w:left="1701" w:hanging="567"/>
      </w:pPr>
      <w:r w:rsidRPr="00A57E40">
        <w:t>any other natural person who has effective control of the trust (including through a chain of control or ownership )</w:t>
      </w:r>
    </w:p>
    <w:p w:rsidR="00E97D0B" w:rsidRPr="00A57E40" w:rsidRDefault="00E97D0B" w:rsidP="0027520A">
      <w:pPr>
        <w:pStyle w:val="TRBodyTextChar"/>
        <w:numPr>
          <w:ilvl w:val="2"/>
          <w:numId w:val="2"/>
        </w:numPr>
        <w:tabs>
          <w:tab w:val="clear" w:pos="2160"/>
          <w:tab w:val="left" w:pos="567"/>
          <w:tab w:val="num" w:pos="1701"/>
          <w:tab w:val="left" w:pos="5812"/>
        </w:tabs>
        <w:spacing w:line="240" w:lineRule="auto"/>
        <w:ind w:left="1701" w:hanging="567"/>
      </w:pPr>
      <w:proofErr w:type="gramStart"/>
      <w:r w:rsidRPr="00A57E40">
        <w:t>beneficiaries</w:t>
      </w:r>
      <w:proofErr w:type="gramEnd"/>
      <w:r w:rsidRPr="00A57E40">
        <w:t xml:space="preserve"> of fixed trusts, including the underlying beneficiary where a named beneficiary is a nominee. </w:t>
      </w:r>
    </w:p>
    <w:p w:rsidR="00E97D0B" w:rsidRPr="00A57E40" w:rsidRDefault="00E97D0B" w:rsidP="0027520A">
      <w:pPr>
        <w:pStyle w:val="ListParagraph"/>
        <w:ind w:left="0"/>
        <w:rPr>
          <w:rFonts w:ascii="Times New Roman" w:hAnsi="Times New Roman"/>
          <w:sz w:val="24"/>
          <w:szCs w:val="24"/>
        </w:rPr>
      </w:pPr>
    </w:p>
    <w:p w:rsidR="006A3353" w:rsidRDefault="006A3353" w:rsidP="00CB24D4">
      <w:pPr>
        <w:pStyle w:val="CommentText"/>
        <w:numPr>
          <w:ilvl w:val="0"/>
          <w:numId w:val="2"/>
        </w:numPr>
        <w:tabs>
          <w:tab w:val="num" w:pos="0"/>
        </w:tabs>
        <w:spacing w:after="160" w:line="240" w:lineRule="auto"/>
        <w:ind w:left="0" w:firstLine="0"/>
        <w:jc w:val="both"/>
        <w:rPr>
          <w:rFonts w:ascii="Times New Roman" w:hAnsi="Times New Roman"/>
          <w:sz w:val="24"/>
          <w:szCs w:val="24"/>
          <w:lang w:val="en-NZ" w:eastAsia="en-US"/>
        </w:rPr>
      </w:pPr>
      <w:r w:rsidRPr="00A57E40">
        <w:rPr>
          <w:rFonts w:ascii="Times New Roman" w:hAnsi="Times New Roman"/>
          <w:sz w:val="24"/>
          <w:szCs w:val="24"/>
          <w:lang w:val="en-NZ" w:eastAsia="en-US"/>
        </w:rPr>
        <w:t xml:space="preserve">In addition to the above disclosure, the trust deed </w:t>
      </w:r>
      <w:r w:rsidR="006F0804" w:rsidRPr="00A57E40">
        <w:rPr>
          <w:rFonts w:ascii="Times New Roman" w:hAnsi="Times New Roman"/>
          <w:sz w:val="24"/>
          <w:szCs w:val="24"/>
          <w:lang w:val="en-NZ" w:eastAsia="en-US"/>
        </w:rPr>
        <w:t xml:space="preserve">would </w:t>
      </w:r>
      <w:r w:rsidRPr="00A57E40">
        <w:rPr>
          <w:rFonts w:ascii="Times New Roman" w:hAnsi="Times New Roman"/>
          <w:sz w:val="24"/>
          <w:szCs w:val="24"/>
          <w:lang w:val="en-NZ" w:eastAsia="en-US"/>
        </w:rPr>
        <w:t xml:space="preserve">also be </w:t>
      </w:r>
      <w:r w:rsidR="00E97D0B" w:rsidRPr="00A57E40">
        <w:rPr>
          <w:rFonts w:ascii="Times New Roman" w:hAnsi="Times New Roman"/>
          <w:sz w:val="24"/>
          <w:szCs w:val="24"/>
          <w:lang w:val="en-NZ" w:eastAsia="en-US"/>
        </w:rPr>
        <w:t>required to be filed with the registration form, and, in the case of discretionary trusts</w:t>
      </w:r>
      <w:r w:rsidR="006F0804" w:rsidRPr="00A57E40">
        <w:rPr>
          <w:rStyle w:val="FootnoteReference"/>
          <w:szCs w:val="24"/>
          <w:lang w:val="en-NZ" w:eastAsia="en-US"/>
        </w:rPr>
        <w:footnoteReference w:id="4"/>
      </w:r>
      <w:r w:rsidR="006F0804" w:rsidRPr="00A57E40">
        <w:rPr>
          <w:rFonts w:ascii="Times New Roman" w:hAnsi="Times New Roman"/>
          <w:sz w:val="24"/>
          <w:szCs w:val="24"/>
          <w:lang w:val="en-NZ" w:eastAsia="en-US"/>
        </w:rPr>
        <w:t xml:space="preserve">, </w:t>
      </w:r>
      <w:r w:rsidR="00E97D0B" w:rsidRPr="00A57E40">
        <w:rPr>
          <w:rFonts w:ascii="Times New Roman" w:hAnsi="Times New Roman"/>
          <w:sz w:val="24"/>
          <w:szCs w:val="24"/>
          <w:lang w:val="en-NZ" w:eastAsia="en-US"/>
        </w:rPr>
        <w:t xml:space="preserve">any class of beneficiary not listed in the trust deed should be </w:t>
      </w:r>
      <w:r w:rsidRPr="00A57E40">
        <w:rPr>
          <w:rFonts w:ascii="Times New Roman" w:hAnsi="Times New Roman"/>
          <w:sz w:val="24"/>
          <w:szCs w:val="24"/>
          <w:lang w:val="en-NZ" w:eastAsia="en-US"/>
        </w:rPr>
        <w:t xml:space="preserve">described </w:t>
      </w:r>
      <w:r w:rsidR="00E97D0B" w:rsidRPr="00A57E40">
        <w:rPr>
          <w:rFonts w:ascii="Times New Roman" w:hAnsi="Times New Roman"/>
          <w:sz w:val="24"/>
          <w:szCs w:val="24"/>
          <w:lang w:val="en-NZ" w:eastAsia="en-US"/>
        </w:rPr>
        <w:t>on the registration form.</w:t>
      </w:r>
    </w:p>
    <w:p w:rsidR="00283067" w:rsidRPr="00A57E40" w:rsidRDefault="00283067" w:rsidP="00283067">
      <w:pPr>
        <w:pStyle w:val="CommentText"/>
        <w:spacing w:after="160" w:line="240" w:lineRule="auto"/>
        <w:jc w:val="both"/>
        <w:rPr>
          <w:rFonts w:ascii="Times New Roman" w:hAnsi="Times New Roman"/>
          <w:sz w:val="24"/>
          <w:szCs w:val="24"/>
          <w:lang w:val="en-NZ" w:eastAsia="en-US"/>
        </w:rPr>
      </w:pPr>
    </w:p>
    <w:p w:rsidR="005D6A51" w:rsidRPr="00A57E40" w:rsidRDefault="005D6A51" w:rsidP="0013325D">
      <w:pPr>
        <w:pStyle w:val="CommentText"/>
        <w:spacing w:after="160" w:line="240" w:lineRule="auto"/>
        <w:jc w:val="both"/>
        <w:rPr>
          <w:rFonts w:ascii="Times New Roman" w:hAnsi="Times New Roman"/>
          <w:i/>
          <w:sz w:val="24"/>
          <w:szCs w:val="24"/>
          <w:lang w:val="en-NZ" w:eastAsia="en-US"/>
        </w:rPr>
      </w:pPr>
      <w:r w:rsidRPr="00A57E40">
        <w:rPr>
          <w:rFonts w:ascii="Times New Roman" w:hAnsi="Times New Roman"/>
          <w:i/>
          <w:sz w:val="24"/>
          <w:szCs w:val="24"/>
          <w:lang w:val="en-NZ" w:eastAsia="en-US"/>
        </w:rPr>
        <w:t>On-going disclosure requirements</w:t>
      </w:r>
    </w:p>
    <w:p w:rsidR="00E97D0B" w:rsidRPr="00A57E40" w:rsidRDefault="006F0804" w:rsidP="0027520A">
      <w:pPr>
        <w:pStyle w:val="CommentText"/>
        <w:numPr>
          <w:ilvl w:val="0"/>
          <w:numId w:val="2"/>
        </w:numPr>
        <w:tabs>
          <w:tab w:val="num" w:pos="0"/>
        </w:tabs>
        <w:spacing w:after="160" w:line="240" w:lineRule="auto"/>
        <w:ind w:left="0" w:firstLine="0"/>
        <w:jc w:val="both"/>
        <w:rPr>
          <w:rFonts w:ascii="Times New Roman" w:hAnsi="Times New Roman"/>
          <w:sz w:val="24"/>
          <w:szCs w:val="24"/>
          <w:lang w:val="en-NZ" w:eastAsia="en-US"/>
        </w:rPr>
      </w:pPr>
      <w:r w:rsidRPr="00A57E40">
        <w:rPr>
          <w:rFonts w:ascii="Times New Roman" w:hAnsi="Times New Roman"/>
          <w:sz w:val="24"/>
          <w:szCs w:val="24"/>
          <w:lang w:val="en-NZ" w:eastAsia="en-US"/>
        </w:rPr>
        <w:t>There would also be</w:t>
      </w:r>
      <w:r w:rsidR="006A3353" w:rsidRPr="00A57E40">
        <w:rPr>
          <w:rFonts w:ascii="Times New Roman" w:hAnsi="Times New Roman"/>
          <w:sz w:val="24"/>
          <w:szCs w:val="24"/>
          <w:lang w:val="en-NZ" w:eastAsia="en-US"/>
        </w:rPr>
        <w:t xml:space="preserve"> on-going disclosure requirements</w:t>
      </w:r>
      <w:r w:rsidRPr="00A57E40">
        <w:rPr>
          <w:rFonts w:ascii="Times New Roman" w:hAnsi="Times New Roman"/>
          <w:sz w:val="24"/>
          <w:szCs w:val="24"/>
          <w:lang w:val="en-NZ" w:eastAsia="en-US"/>
        </w:rPr>
        <w:t xml:space="preserve"> under option 2</w:t>
      </w:r>
      <w:r w:rsidR="006A3353" w:rsidRPr="00A57E40">
        <w:rPr>
          <w:rFonts w:ascii="Times New Roman" w:hAnsi="Times New Roman"/>
          <w:sz w:val="24"/>
          <w:szCs w:val="24"/>
          <w:lang w:val="en-NZ" w:eastAsia="en-US"/>
        </w:rPr>
        <w:t xml:space="preserve">. </w:t>
      </w:r>
      <w:r w:rsidR="005F1CEC" w:rsidRPr="00A57E40">
        <w:rPr>
          <w:rFonts w:ascii="Times New Roman" w:hAnsi="Times New Roman"/>
          <w:sz w:val="24"/>
          <w:szCs w:val="24"/>
          <w:lang w:val="en-NZ" w:eastAsia="en-US"/>
        </w:rPr>
        <w:t>F</w:t>
      </w:r>
      <w:r w:rsidR="00E97D0B" w:rsidRPr="00A57E40">
        <w:rPr>
          <w:rFonts w:ascii="Times New Roman" w:hAnsi="Times New Roman"/>
          <w:sz w:val="24"/>
          <w:szCs w:val="24"/>
          <w:lang w:val="en-NZ" w:eastAsia="en-US"/>
        </w:rPr>
        <w:t>oreign trusts</w:t>
      </w:r>
      <w:r w:rsidR="006A3353" w:rsidRPr="00A57E40">
        <w:rPr>
          <w:rFonts w:ascii="Times New Roman" w:hAnsi="Times New Roman"/>
          <w:sz w:val="24"/>
          <w:szCs w:val="24"/>
          <w:lang w:val="en-NZ" w:eastAsia="en-US"/>
        </w:rPr>
        <w:t xml:space="preserve"> would</w:t>
      </w:r>
      <w:r w:rsidR="00E97D0B" w:rsidRPr="00A57E40">
        <w:rPr>
          <w:rFonts w:ascii="Times New Roman" w:hAnsi="Times New Roman"/>
          <w:sz w:val="24"/>
          <w:szCs w:val="24"/>
          <w:lang w:val="en-NZ" w:eastAsia="en-US"/>
        </w:rPr>
        <w:t xml:space="preserve"> be required to file an annual return with Inland Revenue that includes any changes to the information provided at registration,  the trust’s annual financial statement, and the amount of any distributions paid or credited and the names, foreign address, Tax Identification Number and country of tax residence of the recipient beneficiaries.</w:t>
      </w:r>
      <w:r w:rsidR="0024179D" w:rsidRPr="00A57E40">
        <w:rPr>
          <w:rFonts w:ascii="Times New Roman" w:hAnsi="Times New Roman"/>
          <w:sz w:val="24"/>
          <w:szCs w:val="24"/>
          <w:lang w:val="en-NZ" w:eastAsia="en-US"/>
        </w:rPr>
        <w:t xml:space="preserve"> </w:t>
      </w:r>
    </w:p>
    <w:p w:rsidR="0024179D" w:rsidRPr="00A57E40" w:rsidRDefault="00175E32" w:rsidP="0027520A">
      <w:pPr>
        <w:pStyle w:val="CommentText"/>
        <w:numPr>
          <w:ilvl w:val="0"/>
          <w:numId w:val="2"/>
        </w:numPr>
        <w:tabs>
          <w:tab w:val="num" w:pos="0"/>
        </w:tabs>
        <w:spacing w:after="160" w:line="240" w:lineRule="auto"/>
        <w:ind w:left="0" w:firstLine="0"/>
        <w:jc w:val="both"/>
        <w:rPr>
          <w:rFonts w:ascii="Times New Roman" w:hAnsi="Times New Roman"/>
          <w:sz w:val="24"/>
          <w:szCs w:val="24"/>
          <w:lang w:val="en-NZ" w:eastAsia="en-US"/>
        </w:rPr>
      </w:pPr>
      <w:r w:rsidRPr="00A57E40">
        <w:rPr>
          <w:rFonts w:ascii="Times New Roman" w:hAnsi="Times New Roman"/>
          <w:sz w:val="24"/>
          <w:szCs w:val="24"/>
          <w:lang w:val="en-NZ" w:eastAsia="en-US"/>
        </w:rPr>
        <w:t>Inland Revenue considers that</w:t>
      </w:r>
      <w:r w:rsidR="006F0804" w:rsidRPr="00A57E40">
        <w:rPr>
          <w:rFonts w:ascii="Times New Roman" w:hAnsi="Times New Roman"/>
          <w:sz w:val="24"/>
          <w:szCs w:val="24"/>
          <w:lang w:val="en-NZ" w:eastAsia="en-US"/>
        </w:rPr>
        <w:t>, as part of option 2,</w:t>
      </w:r>
      <w:r w:rsidRPr="00A57E40">
        <w:rPr>
          <w:rFonts w:ascii="Times New Roman" w:hAnsi="Times New Roman"/>
          <w:sz w:val="24"/>
          <w:szCs w:val="24"/>
          <w:lang w:val="en-NZ" w:eastAsia="en-US"/>
        </w:rPr>
        <w:t xml:space="preserve"> t</w:t>
      </w:r>
      <w:r w:rsidR="0024179D" w:rsidRPr="00A57E40">
        <w:rPr>
          <w:rFonts w:ascii="Times New Roman" w:hAnsi="Times New Roman"/>
          <w:sz w:val="24"/>
          <w:szCs w:val="24"/>
          <w:lang w:val="en-NZ" w:eastAsia="en-US"/>
        </w:rPr>
        <w:t xml:space="preserve">he annual return should include the amount of any settlements on the trust in the relevant period and the names, foreign address, Tax Identification Number and country of tax residence of that settlor. </w:t>
      </w:r>
      <w:r w:rsidR="005B52A7" w:rsidRPr="00A57E40">
        <w:rPr>
          <w:rFonts w:ascii="Times New Roman" w:hAnsi="Times New Roman"/>
          <w:sz w:val="24"/>
          <w:szCs w:val="24"/>
          <w:lang w:val="en-NZ" w:eastAsia="en-US"/>
        </w:rPr>
        <w:t xml:space="preserve"> This information is currently required to be kept as part of the existing record keeping requirements.  It would be more useful if this information was directly provided to Inland Revenue.</w:t>
      </w:r>
    </w:p>
    <w:p w:rsidR="005D6A51" w:rsidRPr="00A57E40" w:rsidRDefault="005D6A51" w:rsidP="0013325D">
      <w:pPr>
        <w:pStyle w:val="CommentText"/>
        <w:spacing w:after="160" w:line="240" w:lineRule="auto"/>
        <w:jc w:val="both"/>
        <w:rPr>
          <w:rFonts w:ascii="Times New Roman" w:hAnsi="Times New Roman"/>
          <w:i/>
          <w:sz w:val="24"/>
          <w:szCs w:val="24"/>
          <w:lang w:val="en-NZ" w:eastAsia="en-US"/>
        </w:rPr>
      </w:pPr>
      <w:r w:rsidRPr="00A57E40">
        <w:rPr>
          <w:rFonts w:ascii="Times New Roman" w:hAnsi="Times New Roman"/>
          <w:i/>
          <w:sz w:val="24"/>
          <w:szCs w:val="24"/>
          <w:lang w:val="en-NZ" w:eastAsia="en-US"/>
        </w:rPr>
        <w:t>When a trust qualifies for the tax exemption</w:t>
      </w:r>
    </w:p>
    <w:p w:rsidR="00E97D0B" w:rsidRPr="00A57E40" w:rsidRDefault="005F1CEC" w:rsidP="0027520A">
      <w:pPr>
        <w:pStyle w:val="CommentText"/>
        <w:numPr>
          <w:ilvl w:val="0"/>
          <w:numId w:val="2"/>
        </w:numPr>
        <w:tabs>
          <w:tab w:val="num" w:pos="0"/>
        </w:tabs>
        <w:spacing w:after="160" w:line="240" w:lineRule="auto"/>
        <w:ind w:left="0" w:firstLine="0"/>
        <w:jc w:val="both"/>
        <w:rPr>
          <w:rFonts w:ascii="Times New Roman" w:hAnsi="Times New Roman"/>
          <w:sz w:val="24"/>
          <w:szCs w:val="24"/>
          <w:lang w:val="en-NZ" w:eastAsia="en-US"/>
        </w:rPr>
      </w:pPr>
      <w:r w:rsidRPr="00A57E40">
        <w:rPr>
          <w:rFonts w:ascii="Times New Roman" w:hAnsi="Times New Roman"/>
          <w:sz w:val="24"/>
          <w:szCs w:val="24"/>
          <w:lang w:val="en-NZ" w:eastAsia="en-US"/>
        </w:rPr>
        <w:t>T</w:t>
      </w:r>
      <w:r w:rsidR="00E97D0B" w:rsidRPr="00A57E40">
        <w:rPr>
          <w:rFonts w:ascii="Times New Roman" w:hAnsi="Times New Roman"/>
          <w:sz w:val="24"/>
          <w:szCs w:val="24"/>
          <w:lang w:val="en-NZ" w:eastAsia="en-US"/>
        </w:rPr>
        <w:t>he exemption from New Zealand tax on foreign</w:t>
      </w:r>
      <w:r w:rsidR="006F0804" w:rsidRPr="00A57E40">
        <w:rPr>
          <w:rFonts w:ascii="Times New Roman" w:hAnsi="Times New Roman"/>
          <w:sz w:val="24"/>
          <w:szCs w:val="24"/>
          <w:lang w:val="en-NZ" w:eastAsia="en-US"/>
        </w:rPr>
        <w:t>-</w:t>
      </w:r>
      <w:r w:rsidR="00E97D0B" w:rsidRPr="00A57E40">
        <w:rPr>
          <w:rFonts w:ascii="Times New Roman" w:hAnsi="Times New Roman"/>
          <w:sz w:val="24"/>
          <w:szCs w:val="24"/>
          <w:lang w:val="en-NZ" w:eastAsia="en-US"/>
        </w:rPr>
        <w:t>source</w:t>
      </w:r>
      <w:r w:rsidR="006F0804" w:rsidRPr="00A57E40">
        <w:rPr>
          <w:rFonts w:ascii="Times New Roman" w:hAnsi="Times New Roman"/>
          <w:sz w:val="24"/>
          <w:szCs w:val="24"/>
          <w:lang w:val="en-NZ" w:eastAsia="en-US"/>
        </w:rPr>
        <w:t>d</w:t>
      </w:r>
      <w:r w:rsidR="00E97D0B" w:rsidRPr="00A57E40">
        <w:rPr>
          <w:rFonts w:ascii="Times New Roman" w:hAnsi="Times New Roman"/>
          <w:sz w:val="24"/>
          <w:szCs w:val="24"/>
          <w:lang w:val="en-NZ" w:eastAsia="en-US"/>
        </w:rPr>
        <w:t xml:space="preserve"> income should apply only to a foreign trust with a resident trustee that has registered and fulfilled the associated disclosure obligations at that time.  </w:t>
      </w:r>
    </w:p>
    <w:p w:rsidR="00E97D0B" w:rsidRPr="00A57E40" w:rsidRDefault="00E97D0B" w:rsidP="0027520A">
      <w:pPr>
        <w:pStyle w:val="ListParagraph"/>
        <w:numPr>
          <w:ilvl w:val="0"/>
          <w:numId w:val="2"/>
        </w:numPr>
        <w:tabs>
          <w:tab w:val="num" w:pos="0"/>
        </w:tabs>
        <w:spacing w:after="160"/>
        <w:ind w:left="0" w:firstLine="0"/>
        <w:rPr>
          <w:rFonts w:ascii="Times New Roman" w:hAnsi="Times New Roman"/>
          <w:sz w:val="24"/>
          <w:szCs w:val="24"/>
        </w:rPr>
      </w:pPr>
      <w:r w:rsidRPr="00A57E40">
        <w:rPr>
          <w:rFonts w:ascii="Times New Roman" w:hAnsi="Times New Roman"/>
          <w:sz w:val="24"/>
          <w:szCs w:val="24"/>
        </w:rPr>
        <w:t xml:space="preserve">The Inquiry also recommended that the qualifying resident trustee </w:t>
      </w:r>
      <w:r w:rsidR="00EC1333" w:rsidRPr="00A57E40">
        <w:rPr>
          <w:rFonts w:ascii="Times New Roman" w:hAnsi="Times New Roman"/>
          <w:sz w:val="24"/>
          <w:szCs w:val="24"/>
        </w:rPr>
        <w:t xml:space="preserve">safe harbour </w:t>
      </w:r>
      <w:r w:rsidR="002C4D04" w:rsidRPr="00A57E40">
        <w:rPr>
          <w:rFonts w:ascii="Times New Roman" w:hAnsi="Times New Roman"/>
          <w:sz w:val="24"/>
          <w:szCs w:val="24"/>
        </w:rPr>
        <w:t xml:space="preserve">should </w:t>
      </w:r>
      <w:r w:rsidRPr="00A57E40">
        <w:rPr>
          <w:rFonts w:ascii="Times New Roman" w:hAnsi="Times New Roman"/>
          <w:sz w:val="24"/>
          <w:szCs w:val="24"/>
        </w:rPr>
        <w:t>be reviewed.</w:t>
      </w:r>
      <w:r w:rsidR="00BC0A0C" w:rsidRPr="00A57E40">
        <w:rPr>
          <w:rFonts w:ascii="Times New Roman" w:hAnsi="Times New Roman"/>
          <w:sz w:val="24"/>
          <w:szCs w:val="24"/>
        </w:rPr>
        <w:t xml:space="preserve">  Inland Revenue considers that</w:t>
      </w:r>
      <w:r w:rsidR="006F0804" w:rsidRPr="00A57E40">
        <w:rPr>
          <w:rFonts w:ascii="Times New Roman" w:hAnsi="Times New Roman"/>
          <w:sz w:val="24"/>
          <w:szCs w:val="24"/>
        </w:rPr>
        <w:t>, as part of option 2,</w:t>
      </w:r>
      <w:r w:rsidR="00BC0A0C" w:rsidRPr="00A57E40">
        <w:rPr>
          <w:rFonts w:ascii="Times New Roman" w:hAnsi="Times New Roman"/>
          <w:sz w:val="24"/>
          <w:szCs w:val="24"/>
        </w:rPr>
        <w:t xml:space="preserve"> </w:t>
      </w:r>
      <w:r w:rsidRPr="00A57E40">
        <w:rPr>
          <w:rFonts w:ascii="Times New Roman" w:hAnsi="Times New Roman"/>
          <w:sz w:val="24"/>
          <w:szCs w:val="24"/>
        </w:rPr>
        <w:t>the qualifying resident trustee safe harbour</w:t>
      </w:r>
      <w:r w:rsidR="00EC1333" w:rsidRPr="00A57E40">
        <w:rPr>
          <w:rFonts w:ascii="Times New Roman" w:hAnsi="Times New Roman"/>
          <w:sz w:val="24"/>
          <w:szCs w:val="24"/>
        </w:rPr>
        <w:t xml:space="preserve"> </w:t>
      </w:r>
      <w:r w:rsidR="006F0804" w:rsidRPr="00A57E40">
        <w:rPr>
          <w:rFonts w:ascii="Times New Roman" w:hAnsi="Times New Roman"/>
          <w:sz w:val="24"/>
          <w:szCs w:val="24"/>
        </w:rPr>
        <w:t xml:space="preserve">should </w:t>
      </w:r>
      <w:r w:rsidRPr="00A57E40">
        <w:rPr>
          <w:rFonts w:ascii="Times New Roman" w:hAnsi="Times New Roman"/>
          <w:sz w:val="24"/>
          <w:szCs w:val="24"/>
        </w:rPr>
        <w:t>be removed.</w:t>
      </w:r>
    </w:p>
    <w:p w:rsidR="00E97D0B" w:rsidRPr="00A57E40" w:rsidRDefault="00E97D0B" w:rsidP="0027520A">
      <w:pPr>
        <w:pStyle w:val="CommentText"/>
        <w:numPr>
          <w:ilvl w:val="0"/>
          <w:numId w:val="2"/>
        </w:numPr>
        <w:tabs>
          <w:tab w:val="num" w:pos="0"/>
        </w:tabs>
        <w:spacing w:after="160" w:line="240" w:lineRule="auto"/>
        <w:ind w:left="0" w:firstLine="0"/>
        <w:jc w:val="both"/>
        <w:rPr>
          <w:rFonts w:ascii="Times New Roman" w:hAnsi="Times New Roman"/>
          <w:sz w:val="24"/>
          <w:szCs w:val="24"/>
          <w:lang w:val="en-NZ" w:eastAsia="en-US"/>
        </w:rPr>
      </w:pPr>
      <w:r w:rsidRPr="00A57E40">
        <w:rPr>
          <w:rFonts w:ascii="Times New Roman" w:hAnsi="Times New Roman"/>
          <w:sz w:val="24"/>
          <w:szCs w:val="24"/>
          <w:lang w:val="en-NZ" w:eastAsia="en-US"/>
        </w:rPr>
        <w:t xml:space="preserve">The qualifying </w:t>
      </w:r>
      <w:r w:rsidR="00B946FE" w:rsidRPr="00A57E40">
        <w:rPr>
          <w:rFonts w:ascii="Times New Roman" w:hAnsi="Times New Roman"/>
          <w:sz w:val="24"/>
          <w:szCs w:val="24"/>
          <w:lang w:val="en-NZ" w:eastAsia="en-US"/>
        </w:rPr>
        <w:t>resident trustee safe harbour was introduced in 2006, as part of amendments which introduced the current disclosure requirements for foreign trusts.  We understand that, at that time, it was considered that this safe harbour would encourage foreign trusts to use a professional New Zealand accountant or lawyer as a trustee, and that having a trustee who is a professional New Zealand accountant or lawyer would be an appropriate check to prevent non-compliance. However, the current qualifying resident trustee safe harbour does not provide a clear and appropriate signal about the importance of comply</w:t>
      </w:r>
      <w:r w:rsidR="0027520A" w:rsidRPr="00A57E40">
        <w:rPr>
          <w:rFonts w:ascii="Times New Roman" w:hAnsi="Times New Roman"/>
          <w:sz w:val="24"/>
          <w:szCs w:val="24"/>
          <w:lang w:val="en-NZ" w:eastAsia="en-US"/>
        </w:rPr>
        <w:t>ing with the disclosure rules.</w:t>
      </w:r>
    </w:p>
    <w:p w:rsidR="005D6A51" w:rsidRPr="00A57E40" w:rsidRDefault="005D6A51" w:rsidP="005D33F7">
      <w:pPr>
        <w:pStyle w:val="CommentText"/>
        <w:spacing w:after="160" w:line="240" w:lineRule="auto"/>
        <w:jc w:val="both"/>
        <w:rPr>
          <w:rFonts w:ascii="Times New Roman" w:hAnsi="Times New Roman"/>
          <w:i/>
          <w:sz w:val="24"/>
          <w:szCs w:val="24"/>
          <w:lang w:val="en-NZ" w:eastAsia="en-US"/>
        </w:rPr>
      </w:pPr>
      <w:r w:rsidRPr="00A57E40">
        <w:rPr>
          <w:rFonts w:ascii="Times New Roman" w:hAnsi="Times New Roman"/>
          <w:i/>
          <w:sz w:val="24"/>
          <w:szCs w:val="24"/>
          <w:lang w:val="en-NZ" w:eastAsia="en-US"/>
        </w:rPr>
        <w:t>Registration and annual filing fees</w:t>
      </w:r>
    </w:p>
    <w:p w:rsidR="00AC00AB" w:rsidRPr="00EA25B8" w:rsidRDefault="005B52A7" w:rsidP="005D33F7">
      <w:pPr>
        <w:pStyle w:val="CommentText"/>
        <w:numPr>
          <w:ilvl w:val="0"/>
          <w:numId w:val="2"/>
        </w:numPr>
        <w:tabs>
          <w:tab w:val="num" w:pos="0"/>
        </w:tabs>
        <w:spacing w:after="160" w:line="240" w:lineRule="auto"/>
        <w:ind w:left="0" w:firstLine="0"/>
        <w:jc w:val="both"/>
        <w:rPr>
          <w:szCs w:val="24"/>
          <w:lang w:val="en-NZ" w:eastAsia="en-US"/>
        </w:rPr>
      </w:pPr>
      <w:r w:rsidRPr="00A57E40">
        <w:rPr>
          <w:rFonts w:ascii="Times New Roman" w:hAnsi="Times New Roman"/>
          <w:sz w:val="24"/>
          <w:szCs w:val="24"/>
          <w:lang w:val="en-NZ" w:eastAsia="en-US"/>
        </w:rPr>
        <w:t xml:space="preserve"> Fees for registration and annual filing would be charged. </w:t>
      </w:r>
      <w:r w:rsidR="00AC00AB" w:rsidRPr="00A57E40">
        <w:rPr>
          <w:rFonts w:ascii="Times New Roman" w:hAnsi="Times New Roman"/>
          <w:sz w:val="24"/>
          <w:szCs w:val="24"/>
          <w:lang w:val="en-NZ" w:eastAsia="en-US"/>
        </w:rPr>
        <w:t xml:space="preserve">This recognises that foreign trusts benefit from New Zealand’s regulatory environment and that there are costs involved to the Crown, both in processing registrations and returns and in enforcing the rules relating to foreign trusts. Charging fees would recompense the Crown for those costs.  </w:t>
      </w:r>
      <w:r w:rsidRPr="00A57E40">
        <w:rPr>
          <w:rFonts w:ascii="Times New Roman" w:hAnsi="Times New Roman"/>
          <w:sz w:val="24"/>
          <w:szCs w:val="24"/>
          <w:lang w:val="en-NZ" w:eastAsia="en-US"/>
        </w:rPr>
        <w:t>The Inquiry’s recommendations note that a fee of $500 for registration and then annually would be reasonable.</w:t>
      </w:r>
      <w:r w:rsidR="00954724" w:rsidRPr="00A57E40">
        <w:rPr>
          <w:rFonts w:ascii="Times New Roman" w:hAnsi="Times New Roman"/>
          <w:sz w:val="24"/>
          <w:szCs w:val="24"/>
          <w:lang w:val="en-NZ" w:eastAsia="en-US"/>
        </w:rPr>
        <w:t xml:space="preserve"> </w:t>
      </w:r>
      <w:r w:rsidR="00CA3B37" w:rsidRPr="00A57E40">
        <w:rPr>
          <w:rFonts w:ascii="Times New Roman" w:hAnsi="Times New Roman"/>
          <w:sz w:val="24"/>
          <w:szCs w:val="24"/>
          <w:lang w:val="en-NZ" w:eastAsia="en-US"/>
        </w:rPr>
        <w:t xml:space="preserve"> </w:t>
      </w:r>
      <w:r w:rsidR="00CA3B37" w:rsidRPr="00A57E40">
        <w:rPr>
          <w:rFonts w:ascii="Times New Roman" w:hAnsi="Times New Roman"/>
          <w:sz w:val="24"/>
          <w:szCs w:val="24"/>
        </w:rPr>
        <w:t>We note that the registration and filing fees recommended by the Inquiry would be higher than those for companies, limited partnerships, and charities under New Zealand law</w:t>
      </w:r>
      <w:r w:rsidR="006F0804" w:rsidRPr="00A57E40">
        <w:rPr>
          <w:rFonts w:ascii="Times New Roman" w:hAnsi="Times New Roman"/>
          <w:sz w:val="24"/>
          <w:szCs w:val="24"/>
        </w:rPr>
        <w:t>.</w:t>
      </w:r>
      <w:r w:rsidR="00CA3B37" w:rsidRPr="00A57E40">
        <w:rPr>
          <w:rStyle w:val="FootnoteReference"/>
          <w:rFonts w:ascii="Times New Roman" w:hAnsi="Times New Roman"/>
          <w:szCs w:val="24"/>
          <w:lang w:val="en-NZ" w:eastAsia="en-US"/>
        </w:rPr>
        <w:footnoteReference w:id="5"/>
      </w:r>
      <w:r w:rsidR="00CA3B37" w:rsidRPr="00A57E40">
        <w:rPr>
          <w:rFonts w:ascii="Times New Roman" w:hAnsi="Times New Roman"/>
          <w:sz w:val="22"/>
          <w:szCs w:val="24"/>
        </w:rPr>
        <w:t xml:space="preserve">  </w:t>
      </w:r>
      <w:r w:rsidR="00175E32" w:rsidRPr="00A57E40">
        <w:rPr>
          <w:rFonts w:ascii="Times New Roman" w:hAnsi="Times New Roman"/>
          <w:sz w:val="24"/>
          <w:szCs w:val="24"/>
          <w:lang w:val="en-NZ" w:eastAsia="en-US"/>
        </w:rPr>
        <w:t>Inland Revenue considers</w:t>
      </w:r>
      <w:r w:rsidR="00954724" w:rsidRPr="00A57E40">
        <w:rPr>
          <w:rFonts w:ascii="Times New Roman" w:hAnsi="Times New Roman"/>
          <w:sz w:val="24"/>
          <w:szCs w:val="24"/>
          <w:lang w:val="en-NZ" w:eastAsia="en-US"/>
        </w:rPr>
        <w:t xml:space="preserve"> that further analysi</w:t>
      </w:r>
      <w:r w:rsidR="00AC00AB" w:rsidRPr="00A57E40">
        <w:rPr>
          <w:rFonts w:ascii="Times New Roman" w:hAnsi="Times New Roman"/>
          <w:sz w:val="24"/>
          <w:szCs w:val="24"/>
          <w:lang w:val="en-NZ" w:eastAsia="en-US"/>
        </w:rPr>
        <w:t xml:space="preserve">s is </w:t>
      </w:r>
      <w:r w:rsidR="00CA3B37" w:rsidRPr="00A57E40">
        <w:rPr>
          <w:rFonts w:ascii="Times New Roman" w:hAnsi="Times New Roman"/>
          <w:sz w:val="24"/>
          <w:szCs w:val="24"/>
          <w:lang w:val="en-NZ" w:eastAsia="en-US"/>
        </w:rPr>
        <w:t>required</w:t>
      </w:r>
      <w:r w:rsidR="00AC00AB" w:rsidRPr="00A57E40">
        <w:rPr>
          <w:rFonts w:ascii="Times New Roman" w:hAnsi="Times New Roman"/>
          <w:sz w:val="24"/>
          <w:szCs w:val="24"/>
          <w:lang w:val="en-NZ" w:eastAsia="en-US"/>
        </w:rPr>
        <w:t xml:space="preserve"> to determine the quantum</w:t>
      </w:r>
      <w:r w:rsidR="00175E32" w:rsidRPr="00A57E40">
        <w:rPr>
          <w:rFonts w:ascii="Times New Roman" w:hAnsi="Times New Roman"/>
          <w:sz w:val="24"/>
          <w:szCs w:val="24"/>
          <w:lang w:val="en-NZ" w:eastAsia="en-US"/>
        </w:rPr>
        <w:t>.</w:t>
      </w:r>
      <w:r w:rsidR="00AC00AB" w:rsidRPr="00A57E40">
        <w:rPr>
          <w:rFonts w:ascii="Times New Roman" w:hAnsi="Times New Roman"/>
          <w:sz w:val="24"/>
          <w:szCs w:val="24"/>
          <w:lang w:val="en-NZ" w:eastAsia="en-US"/>
        </w:rPr>
        <w:t xml:space="preserve"> </w:t>
      </w:r>
      <w:r w:rsidR="00AC00AB" w:rsidRPr="00A57E40">
        <w:rPr>
          <w:rFonts w:ascii="Times New Roman" w:hAnsi="Times New Roman"/>
          <w:sz w:val="24"/>
          <w:szCs w:val="24"/>
        </w:rPr>
        <w:t>Further, we consider that</w:t>
      </w:r>
      <w:r w:rsidR="006F0804" w:rsidRPr="00A57E40">
        <w:rPr>
          <w:rFonts w:ascii="Times New Roman" w:hAnsi="Times New Roman"/>
          <w:sz w:val="24"/>
          <w:szCs w:val="24"/>
          <w:lang w:val="en-NZ" w:eastAsia="en-US"/>
        </w:rPr>
        <w:t xml:space="preserve">, as part of option 2, </w:t>
      </w:r>
      <w:r w:rsidR="00AC00AB" w:rsidRPr="00A57E40">
        <w:rPr>
          <w:rFonts w:ascii="Times New Roman" w:hAnsi="Times New Roman"/>
          <w:sz w:val="24"/>
          <w:szCs w:val="24"/>
        </w:rPr>
        <w:t xml:space="preserve">it </w:t>
      </w:r>
      <w:r w:rsidR="00D66665">
        <w:rPr>
          <w:rFonts w:ascii="Times New Roman" w:hAnsi="Times New Roman"/>
          <w:sz w:val="24"/>
          <w:szCs w:val="24"/>
        </w:rPr>
        <w:t>may be a</w:t>
      </w:r>
      <w:r w:rsidR="00AC00AB" w:rsidRPr="00A57E40">
        <w:rPr>
          <w:rFonts w:ascii="Times New Roman" w:hAnsi="Times New Roman"/>
          <w:sz w:val="24"/>
          <w:szCs w:val="24"/>
        </w:rPr>
        <w:t xml:space="preserve">ppropriate for the level of fees to be </w:t>
      </w:r>
      <w:r w:rsidR="00283067">
        <w:rPr>
          <w:rFonts w:ascii="Times New Roman" w:hAnsi="Times New Roman"/>
          <w:sz w:val="24"/>
          <w:szCs w:val="24"/>
        </w:rPr>
        <w:t>modified</w:t>
      </w:r>
      <w:r w:rsidR="00AC00AB" w:rsidRPr="00A57E40">
        <w:rPr>
          <w:rFonts w:ascii="Times New Roman" w:hAnsi="Times New Roman"/>
          <w:sz w:val="24"/>
          <w:szCs w:val="24"/>
        </w:rPr>
        <w:t xml:space="preserve"> </w:t>
      </w:r>
      <w:r w:rsidR="00EA25B8">
        <w:rPr>
          <w:rFonts w:ascii="Times New Roman" w:hAnsi="Times New Roman"/>
          <w:sz w:val="24"/>
          <w:szCs w:val="24"/>
        </w:rPr>
        <w:t xml:space="preserve">in future </w:t>
      </w:r>
      <w:r w:rsidR="00AC00AB" w:rsidRPr="00A57E40">
        <w:rPr>
          <w:rFonts w:ascii="Times New Roman" w:hAnsi="Times New Roman"/>
          <w:sz w:val="24"/>
          <w:szCs w:val="24"/>
        </w:rPr>
        <w:t xml:space="preserve">by Order in Council.  This would allow those fees to be relatively easily changed if necessary to recognise the costs involved in administering foreign trusts, and is consistent with the approach taken in relation to setting registration and filing fees for companies.  </w:t>
      </w:r>
    </w:p>
    <w:p w:rsidR="00EA25B8" w:rsidRDefault="00EA25B8" w:rsidP="00EA25B8">
      <w:pPr>
        <w:pStyle w:val="CommentText"/>
        <w:spacing w:after="160" w:line="240" w:lineRule="auto"/>
        <w:jc w:val="both"/>
        <w:rPr>
          <w:szCs w:val="24"/>
          <w:lang w:val="en-NZ" w:eastAsia="en-US"/>
        </w:rPr>
      </w:pPr>
    </w:p>
    <w:p w:rsidR="00240AEF" w:rsidRPr="00A57E40" w:rsidRDefault="00240AEF" w:rsidP="00EA25B8">
      <w:pPr>
        <w:pStyle w:val="CommentText"/>
        <w:spacing w:after="160" w:line="240" w:lineRule="auto"/>
        <w:jc w:val="both"/>
        <w:rPr>
          <w:szCs w:val="24"/>
          <w:lang w:val="en-NZ" w:eastAsia="en-US"/>
        </w:rPr>
      </w:pPr>
    </w:p>
    <w:p w:rsidR="005D6A51" w:rsidRPr="00A57E40" w:rsidRDefault="005D6A51" w:rsidP="005D33F7">
      <w:pPr>
        <w:pStyle w:val="CommentText"/>
        <w:spacing w:after="160" w:line="240" w:lineRule="auto"/>
        <w:jc w:val="both"/>
        <w:rPr>
          <w:rFonts w:ascii="Times New Roman" w:hAnsi="Times New Roman"/>
          <w:i/>
          <w:sz w:val="24"/>
          <w:szCs w:val="24"/>
          <w:lang w:val="en-NZ" w:eastAsia="en-US"/>
        </w:rPr>
      </w:pPr>
      <w:r w:rsidRPr="00A57E40">
        <w:rPr>
          <w:rFonts w:ascii="Times New Roman" w:hAnsi="Times New Roman"/>
          <w:i/>
          <w:sz w:val="24"/>
          <w:szCs w:val="24"/>
          <w:lang w:val="en-NZ" w:eastAsia="en-US"/>
        </w:rPr>
        <w:t>Information sharing with relevant agencies</w:t>
      </w:r>
    </w:p>
    <w:p w:rsidR="00BC0A0C" w:rsidRPr="00A57E40" w:rsidRDefault="006F0804" w:rsidP="00CB24D4">
      <w:pPr>
        <w:pStyle w:val="ListParagraph"/>
        <w:numPr>
          <w:ilvl w:val="0"/>
          <w:numId w:val="2"/>
        </w:numPr>
        <w:tabs>
          <w:tab w:val="clear" w:pos="644"/>
          <w:tab w:val="num" w:pos="0"/>
        </w:tabs>
        <w:spacing w:after="160"/>
        <w:ind w:left="0" w:firstLine="0"/>
        <w:rPr>
          <w:rFonts w:ascii="Times New Roman" w:hAnsi="Times New Roman"/>
          <w:sz w:val="24"/>
          <w:szCs w:val="24"/>
          <w:lang w:val="en-GB" w:eastAsia="en-GB"/>
        </w:rPr>
      </w:pPr>
      <w:r w:rsidRPr="00A57E40">
        <w:rPr>
          <w:rFonts w:ascii="Times New Roman" w:hAnsi="Times New Roman"/>
          <w:sz w:val="24"/>
          <w:szCs w:val="24"/>
        </w:rPr>
        <w:t xml:space="preserve">Under option 2 </w:t>
      </w:r>
      <w:r w:rsidRPr="00A57E40">
        <w:rPr>
          <w:rFonts w:ascii="Times New Roman" w:hAnsi="Times New Roman"/>
          <w:sz w:val="24"/>
          <w:szCs w:val="24"/>
          <w:lang w:val="en-GB" w:eastAsia="en-GB"/>
        </w:rPr>
        <w:t xml:space="preserve">the </w:t>
      </w:r>
      <w:r w:rsidR="00BC0A0C" w:rsidRPr="00A57E40">
        <w:rPr>
          <w:rFonts w:ascii="Times New Roman" w:hAnsi="Times New Roman"/>
          <w:sz w:val="24"/>
          <w:szCs w:val="24"/>
          <w:lang w:val="en-GB" w:eastAsia="en-GB"/>
        </w:rPr>
        <w:t xml:space="preserve">Department of Internal Affairs and the </w:t>
      </w:r>
      <w:r w:rsidR="00D85E11" w:rsidRPr="00A57E40">
        <w:rPr>
          <w:rFonts w:ascii="Times New Roman" w:hAnsi="Times New Roman"/>
          <w:sz w:val="24"/>
          <w:szCs w:val="24"/>
          <w:lang w:val="en-GB" w:eastAsia="en-GB"/>
        </w:rPr>
        <w:t xml:space="preserve">New Zealand </w:t>
      </w:r>
      <w:r w:rsidR="00BC0A0C" w:rsidRPr="00A57E40">
        <w:rPr>
          <w:rFonts w:ascii="Times New Roman" w:hAnsi="Times New Roman"/>
          <w:sz w:val="24"/>
          <w:szCs w:val="24"/>
          <w:lang w:val="en-GB" w:eastAsia="en-GB"/>
        </w:rPr>
        <w:t>Police</w:t>
      </w:r>
      <w:r w:rsidR="009C3E98" w:rsidRPr="00A57E40">
        <w:rPr>
          <w:rFonts w:ascii="Times New Roman" w:hAnsi="Times New Roman"/>
          <w:sz w:val="24"/>
          <w:szCs w:val="24"/>
          <w:lang w:val="en-GB" w:eastAsia="en-GB"/>
        </w:rPr>
        <w:t xml:space="preserve"> </w:t>
      </w:r>
      <w:r w:rsidRPr="00A57E40">
        <w:rPr>
          <w:rFonts w:ascii="Times New Roman" w:hAnsi="Times New Roman"/>
          <w:sz w:val="24"/>
          <w:szCs w:val="24"/>
          <w:lang w:val="en-GB" w:eastAsia="en-GB"/>
        </w:rPr>
        <w:t xml:space="preserve">would be able to search </w:t>
      </w:r>
      <w:r w:rsidR="009C3E98" w:rsidRPr="00A57E40">
        <w:rPr>
          <w:rFonts w:ascii="Times New Roman" w:hAnsi="Times New Roman"/>
          <w:sz w:val="24"/>
          <w:szCs w:val="24"/>
          <w:lang w:val="en-GB" w:eastAsia="en-GB"/>
        </w:rPr>
        <w:t>the register</w:t>
      </w:r>
      <w:r w:rsidRPr="00A57E40">
        <w:rPr>
          <w:rFonts w:ascii="Times New Roman" w:hAnsi="Times New Roman"/>
          <w:sz w:val="24"/>
          <w:szCs w:val="24"/>
          <w:lang w:val="en-GB" w:eastAsia="en-GB"/>
        </w:rPr>
        <w:t xml:space="preserve"> of foreign trusts</w:t>
      </w:r>
      <w:r w:rsidR="00BC0A0C" w:rsidRPr="00A57E40">
        <w:rPr>
          <w:rFonts w:ascii="Times New Roman" w:hAnsi="Times New Roman"/>
          <w:sz w:val="24"/>
          <w:szCs w:val="24"/>
          <w:lang w:val="en-GB" w:eastAsia="en-GB"/>
        </w:rPr>
        <w:t>.  These agencies may need the information contained on the register for law enforcement purposes.</w:t>
      </w:r>
      <w:r w:rsidR="005D33F7" w:rsidRPr="00A57E40">
        <w:rPr>
          <w:rFonts w:ascii="Times New Roman" w:hAnsi="Times New Roman"/>
          <w:sz w:val="24"/>
          <w:szCs w:val="24"/>
          <w:lang w:val="en-GB" w:eastAsia="en-GB"/>
        </w:rPr>
        <w:t xml:space="preserve">  The list of agencies with access to the register could be expanded in the future if there is good cause for it.</w:t>
      </w:r>
      <w:r w:rsidR="00BC0A0C" w:rsidRPr="00A57E40">
        <w:rPr>
          <w:rFonts w:ascii="Times New Roman" w:hAnsi="Times New Roman"/>
          <w:sz w:val="24"/>
          <w:szCs w:val="24"/>
          <w:lang w:val="en-GB" w:eastAsia="en-GB"/>
        </w:rPr>
        <w:t xml:space="preserve"> </w:t>
      </w:r>
    </w:p>
    <w:p w:rsidR="00015B10" w:rsidRPr="00A57E40" w:rsidRDefault="00015B10" w:rsidP="00015B10">
      <w:pPr>
        <w:pStyle w:val="CommentText"/>
        <w:spacing w:after="160" w:line="259" w:lineRule="auto"/>
        <w:rPr>
          <w:rFonts w:ascii="Times New Roman" w:hAnsi="Times New Roman"/>
          <w:b/>
          <w:i/>
          <w:sz w:val="24"/>
          <w:szCs w:val="24"/>
        </w:rPr>
      </w:pPr>
      <w:r w:rsidRPr="00A57E40">
        <w:rPr>
          <w:rFonts w:ascii="Times New Roman" w:hAnsi="Times New Roman"/>
          <w:b/>
          <w:i/>
          <w:sz w:val="24"/>
          <w:szCs w:val="24"/>
        </w:rPr>
        <w:t xml:space="preserve">Assessment </w:t>
      </w:r>
      <w:r w:rsidR="00C96C93" w:rsidRPr="00A57E40">
        <w:rPr>
          <w:rFonts w:ascii="Times New Roman" w:hAnsi="Times New Roman"/>
          <w:b/>
          <w:i/>
          <w:sz w:val="24"/>
          <w:szCs w:val="24"/>
        </w:rPr>
        <w:t>against objective and criteria –</w:t>
      </w:r>
      <w:r w:rsidR="006B516A" w:rsidRPr="00A57E40">
        <w:rPr>
          <w:rFonts w:ascii="Times New Roman" w:hAnsi="Times New Roman"/>
          <w:b/>
          <w:i/>
          <w:sz w:val="24"/>
          <w:szCs w:val="24"/>
        </w:rPr>
        <w:t xml:space="preserve"> option 2</w:t>
      </w:r>
    </w:p>
    <w:p w:rsidR="00626E4D" w:rsidRPr="00A57E40" w:rsidRDefault="00610EAA" w:rsidP="00626E4D">
      <w:pPr>
        <w:pStyle w:val="ListParagraph"/>
        <w:ind w:left="0"/>
        <w:rPr>
          <w:rFonts w:ascii="Times New Roman" w:hAnsi="Times New Roman"/>
          <w:i/>
          <w:sz w:val="24"/>
          <w:szCs w:val="24"/>
          <w:lang w:val="en-GB" w:eastAsia="en-GB"/>
        </w:rPr>
      </w:pPr>
      <w:r w:rsidRPr="00A57E40">
        <w:rPr>
          <w:rFonts w:ascii="Times New Roman" w:hAnsi="Times New Roman"/>
          <w:i/>
          <w:sz w:val="24"/>
          <w:szCs w:val="24"/>
          <w:lang w:val="en-GB" w:eastAsia="en-GB"/>
        </w:rPr>
        <w:t>Main objective</w:t>
      </w:r>
    </w:p>
    <w:p w:rsidR="006F0804" w:rsidRPr="00A57E40" w:rsidRDefault="006F0804" w:rsidP="00626E4D">
      <w:pPr>
        <w:pStyle w:val="ListParagraph"/>
        <w:ind w:left="0"/>
        <w:rPr>
          <w:rFonts w:ascii="Times New Roman" w:hAnsi="Times New Roman"/>
          <w:i/>
          <w:sz w:val="24"/>
          <w:szCs w:val="24"/>
          <w:lang w:val="en-GB" w:eastAsia="en-GB"/>
        </w:rPr>
      </w:pPr>
    </w:p>
    <w:p w:rsidR="00A12A9D" w:rsidRPr="00A57E40" w:rsidRDefault="00015B10" w:rsidP="0027520A">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rPr>
        <w:t xml:space="preserve">Obtaining </w:t>
      </w:r>
      <w:r w:rsidRPr="00A57E40">
        <w:rPr>
          <w:rFonts w:ascii="Times New Roman" w:hAnsi="Times New Roman"/>
          <w:sz w:val="24"/>
          <w:szCs w:val="24"/>
          <w:lang w:val="en-GB" w:eastAsia="en-GB"/>
        </w:rPr>
        <w:t>more information about the settlor and beneficiaries and providing it to other authorities (overseas tax authorities and domestic enforcement agencies) w</w:t>
      </w:r>
      <w:r w:rsidR="00344817" w:rsidRPr="00A57E40">
        <w:rPr>
          <w:rFonts w:ascii="Times New Roman" w:hAnsi="Times New Roman"/>
          <w:sz w:val="24"/>
          <w:szCs w:val="24"/>
          <w:lang w:val="en-GB" w:eastAsia="en-GB"/>
        </w:rPr>
        <w:t xml:space="preserve">ould </w:t>
      </w:r>
      <w:r w:rsidRPr="00A57E40">
        <w:rPr>
          <w:rFonts w:ascii="Times New Roman" w:hAnsi="Times New Roman"/>
          <w:sz w:val="24"/>
          <w:szCs w:val="24"/>
          <w:lang w:val="en-GB" w:eastAsia="en-GB"/>
        </w:rPr>
        <w:t xml:space="preserve">help ensure that foreign trusts are not misused.  </w:t>
      </w:r>
      <w:r w:rsidR="00D52896" w:rsidRPr="00A57E40">
        <w:rPr>
          <w:rFonts w:ascii="Times New Roman" w:hAnsi="Times New Roman"/>
          <w:sz w:val="24"/>
          <w:szCs w:val="24"/>
          <w:lang w:val="en-GB" w:eastAsia="en-GB"/>
        </w:rPr>
        <w:t xml:space="preserve">More disclosure in relation to foreign trusts and access to the information by relevant agencies </w:t>
      </w:r>
      <w:r w:rsidR="00175E32" w:rsidRPr="00A57E40">
        <w:rPr>
          <w:rFonts w:ascii="Times New Roman" w:hAnsi="Times New Roman"/>
          <w:sz w:val="24"/>
          <w:szCs w:val="24"/>
          <w:lang w:val="en-GB" w:eastAsia="en-GB"/>
        </w:rPr>
        <w:t xml:space="preserve">would </w:t>
      </w:r>
      <w:r w:rsidR="00D52896" w:rsidRPr="00A57E40">
        <w:rPr>
          <w:rFonts w:ascii="Times New Roman" w:hAnsi="Times New Roman"/>
          <w:sz w:val="24"/>
          <w:szCs w:val="24"/>
          <w:lang w:val="en-GB" w:eastAsia="en-GB"/>
        </w:rPr>
        <w:t xml:space="preserve">make it difficult for these vehicles to be used to </w:t>
      </w:r>
      <w:r w:rsidR="00175E32" w:rsidRPr="00A57E40">
        <w:rPr>
          <w:rFonts w:ascii="Times New Roman" w:hAnsi="Times New Roman"/>
          <w:sz w:val="24"/>
          <w:szCs w:val="24"/>
          <w:lang w:val="en-GB" w:eastAsia="en-GB"/>
        </w:rPr>
        <w:t>avoid foreign tax</w:t>
      </w:r>
      <w:r w:rsidR="00D52896" w:rsidRPr="00A57E40">
        <w:rPr>
          <w:rFonts w:ascii="Times New Roman" w:hAnsi="Times New Roman"/>
          <w:sz w:val="24"/>
          <w:szCs w:val="24"/>
          <w:lang w:val="en-GB" w:eastAsia="en-GB"/>
        </w:rPr>
        <w:t xml:space="preserve">. </w:t>
      </w:r>
      <w:r w:rsidR="006F0804" w:rsidRPr="00A57E40">
        <w:rPr>
          <w:rFonts w:ascii="Times New Roman" w:hAnsi="Times New Roman"/>
          <w:sz w:val="24"/>
          <w:szCs w:val="24"/>
          <w:lang w:val="en-GB" w:eastAsia="en-GB"/>
        </w:rPr>
        <w:t>This option meets the main criteria.</w:t>
      </w:r>
    </w:p>
    <w:p w:rsidR="00A12A9D" w:rsidRPr="00A57E40" w:rsidRDefault="00A12A9D" w:rsidP="00E039AC">
      <w:pPr>
        <w:pStyle w:val="ListParagraph"/>
        <w:ind w:left="0"/>
        <w:rPr>
          <w:rFonts w:ascii="Times New Roman" w:hAnsi="Times New Roman"/>
          <w:sz w:val="24"/>
          <w:szCs w:val="24"/>
          <w:lang w:val="en-GB" w:eastAsia="en-GB"/>
        </w:rPr>
      </w:pPr>
    </w:p>
    <w:p w:rsidR="00610EAA" w:rsidRPr="00A57E40" w:rsidRDefault="00E92378" w:rsidP="00E039AC">
      <w:pPr>
        <w:pStyle w:val="ListParagraph"/>
        <w:ind w:left="0"/>
        <w:rPr>
          <w:rFonts w:ascii="Times New Roman" w:hAnsi="Times New Roman"/>
          <w:i/>
          <w:sz w:val="24"/>
          <w:szCs w:val="24"/>
          <w:lang w:val="en-GB" w:eastAsia="en-GB"/>
        </w:rPr>
      </w:pPr>
      <w:r w:rsidRPr="00A57E40">
        <w:rPr>
          <w:rFonts w:ascii="Times New Roman" w:hAnsi="Times New Roman"/>
          <w:i/>
          <w:sz w:val="24"/>
          <w:szCs w:val="24"/>
          <w:lang w:val="en-GB" w:eastAsia="en-GB"/>
        </w:rPr>
        <w:t xml:space="preserve">Maintaining </w:t>
      </w:r>
      <w:r w:rsidR="00610EAA" w:rsidRPr="00A57E40">
        <w:rPr>
          <w:rFonts w:ascii="Times New Roman" w:hAnsi="Times New Roman"/>
          <w:i/>
          <w:sz w:val="24"/>
          <w:szCs w:val="24"/>
          <w:lang w:val="en-GB" w:eastAsia="en-GB"/>
        </w:rPr>
        <w:t>New Zealand’s reputation</w:t>
      </w:r>
      <w:r w:rsidRPr="00A57E40">
        <w:rPr>
          <w:rFonts w:ascii="Times New Roman" w:hAnsi="Times New Roman"/>
          <w:i/>
          <w:sz w:val="24"/>
          <w:szCs w:val="24"/>
          <w:lang w:val="en-GB" w:eastAsia="en-GB"/>
        </w:rPr>
        <w:t xml:space="preserve"> as a leader in best practice of international exchange of information</w:t>
      </w:r>
    </w:p>
    <w:p w:rsidR="003D6B05" w:rsidRPr="00A57E40" w:rsidRDefault="003D6B05" w:rsidP="00E039AC">
      <w:pPr>
        <w:pStyle w:val="ListParagraph"/>
        <w:ind w:left="0"/>
        <w:rPr>
          <w:rFonts w:ascii="Times New Roman" w:hAnsi="Times New Roman"/>
          <w:i/>
          <w:sz w:val="24"/>
          <w:szCs w:val="24"/>
          <w:lang w:val="en-GB" w:eastAsia="en-GB"/>
        </w:rPr>
      </w:pPr>
    </w:p>
    <w:p w:rsidR="003D6B05" w:rsidRPr="00A57E40" w:rsidRDefault="003D6B05" w:rsidP="005A0C3A">
      <w:pPr>
        <w:pStyle w:val="ListParagraph"/>
        <w:numPr>
          <w:ilvl w:val="0"/>
          <w:numId w:val="2"/>
        </w:numPr>
        <w:tabs>
          <w:tab w:val="num" w:pos="0"/>
        </w:tabs>
        <w:ind w:left="0" w:firstLine="0"/>
        <w:rPr>
          <w:rFonts w:ascii="Times New Roman" w:hAnsi="Times New Roman"/>
          <w:sz w:val="24"/>
          <w:szCs w:val="24"/>
        </w:rPr>
      </w:pPr>
      <w:r w:rsidRPr="00A57E40">
        <w:rPr>
          <w:rFonts w:ascii="Times New Roman" w:hAnsi="Times New Roman"/>
          <w:sz w:val="24"/>
          <w:szCs w:val="24"/>
          <w:lang w:val="en-GB" w:eastAsia="en-GB"/>
        </w:rPr>
        <w:t xml:space="preserve">By increasing the information available to Inland Revenue that can be shared with New Zealand’s treaty partners, </w:t>
      </w:r>
      <w:r w:rsidR="00776D7C" w:rsidRPr="00A57E40">
        <w:rPr>
          <w:rFonts w:ascii="Times New Roman" w:hAnsi="Times New Roman"/>
          <w:sz w:val="24"/>
          <w:szCs w:val="24"/>
          <w:lang w:val="en-GB" w:eastAsia="en-GB"/>
        </w:rPr>
        <w:t xml:space="preserve">option </w:t>
      </w:r>
      <w:r w:rsidRPr="00A57E40">
        <w:rPr>
          <w:rFonts w:ascii="Times New Roman" w:hAnsi="Times New Roman"/>
          <w:sz w:val="24"/>
          <w:szCs w:val="24"/>
          <w:lang w:val="en-GB" w:eastAsia="en-GB"/>
        </w:rPr>
        <w:t xml:space="preserve">2 would maintain New Zealand’s reputation as a leader in </w:t>
      </w:r>
      <w:r w:rsidR="005A0C3A" w:rsidRPr="00A57E40">
        <w:rPr>
          <w:rFonts w:ascii="Times New Roman" w:hAnsi="Times New Roman"/>
          <w:sz w:val="24"/>
          <w:szCs w:val="24"/>
          <w:lang w:val="en-GB" w:eastAsia="en-GB"/>
        </w:rPr>
        <w:t xml:space="preserve">best practice of </w:t>
      </w:r>
      <w:r w:rsidRPr="00A57E40">
        <w:rPr>
          <w:rFonts w:ascii="Times New Roman" w:hAnsi="Times New Roman"/>
          <w:sz w:val="24"/>
          <w:szCs w:val="24"/>
          <w:lang w:val="en-GB" w:eastAsia="en-GB"/>
        </w:rPr>
        <w:t>international exchange of information</w:t>
      </w:r>
      <w:r w:rsidRPr="00A57E40">
        <w:rPr>
          <w:rFonts w:ascii="Times New Roman" w:hAnsi="Times New Roman"/>
          <w:sz w:val="24"/>
          <w:szCs w:val="24"/>
        </w:rPr>
        <w:t xml:space="preserve">. </w:t>
      </w:r>
      <w:r w:rsidR="006F0804" w:rsidRPr="00A57E40">
        <w:rPr>
          <w:rFonts w:ascii="Times New Roman" w:hAnsi="Times New Roman"/>
          <w:sz w:val="24"/>
          <w:szCs w:val="24"/>
        </w:rPr>
        <w:t>T</w:t>
      </w:r>
      <w:r w:rsidRPr="00A57E40">
        <w:rPr>
          <w:rFonts w:ascii="Times New Roman" w:hAnsi="Times New Roman"/>
          <w:sz w:val="24"/>
          <w:szCs w:val="24"/>
        </w:rPr>
        <w:t xml:space="preserve">his would be </w:t>
      </w:r>
      <w:r w:rsidR="00776D7C" w:rsidRPr="00A57E40">
        <w:rPr>
          <w:rFonts w:ascii="Times New Roman" w:hAnsi="Times New Roman"/>
          <w:sz w:val="24"/>
          <w:szCs w:val="24"/>
        </w:rPr>
        <w:t xml:space="preserve">an improvement on </w:t>
      </w:r>
      <w:r w:rsidRPr="00A57E40">
        <w:rPr>
          <w:rFonts w:ascii="Times New Roman" w:hAnsi="Times New Roman"/>
          <w:sz w:val="24"/>
          <w:szCs w:val="24"/>
        </w:rPr>
        <w:t>the status quo.</w:t>
      </w:r>
    </w:p>
    <w:p w:rsidR="00D52896" w:rsidRPr="00A57E40" w:rsidRDefault="00D52896" w:rsidP="00104C7A">
      <w:pPr>
        <w:pStyle w:val="ListParagraph"/>
        <w:rPr>
          <w:rFonts w:ascii="Times New Roman" w:hAnsi="Times New Roman"/>
          <w:sz w:val="24"/>
          <w:szCs w:val="24"/>
          <w:lang w:val="en-GB" w:eastAsia="en-GB"/>
        </w:rPr>
      </w:pPr>
    </w:p>
    <w:p w:rsidR="00776D7C" w:rsidRPr="00A57E40" w:rsidRDefault="00776D7C" w:rsidP="00776D7C">
      <w:pPr>
        <w:pStyle w:val="ListParagraph"/>
        <w:ind w:left="0"/>
        <w:rPr>
          <w:rFonts w:ascii="Times New Roman" w:hAnsi="Times New Roman"/>
          <w:i/>
          <w:sz w:val="24"/>
          <w:szCs w:val="24"/>
          <w:lang w:val="en-GB" w:eastAsia="en-GB"/>
        </w:rPr>
      </w:pPr>
      <w:r w:rsidRPr="00A57E40">
        <w:rPr>
          <w:rFonts w:ascii="Times New Roman" w:hAnsi="Times New Roman"/>
          <w:i/>
          <w:sz w:val="24"/>
          <w:szCs w:val="24"/>
          <w:lang w:val="en-GB" w:eastAsia="en-GB"/>
        </w:rPr>
        <w:t>Maintaining an open economy</w:t>
      </w:r>
    </w:p>
    <w:p w:rsidR="00776D7C" w:rsidRPr="00A57E40" w:rsidRDefault="00776D7C" w:rsidP="00776D7C">
      <w:pPr>
        <w:pStyle w:val="ListParagraph"/>
        <w:ind w:left="0"/>
        <w:rPr>
          <w:rFonts w:ascii="Times New Roman" w:hAnsi="Times New Roman"/>
          <w:sz w:val="24"/>
          <w:szCs w:val="24"/>
          <w:lang w:val="en-GB" w:eastAsia="en-GB"/>
        </w:rPr>
      </w:pPr>
    </w:p>
    <w:p w:rsidR="00776D7C" w:rsidRPr="00A57E40" w:rsidRDefault="00776D7C" w:rsidP="00776D7C">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We consider this option is consistent with maintaining an open economy which welcomes an active financial services sector, where activities are legitimate.  While there would be some increase in compliance costs for this industry, as noted below, these are not significant given the current record-keeping requirements and in some cases, the similar requirements for AEOI and AML legislation. </w:t>
      </w:r>
    </w:p>
    <w:p w:rsidR="00776D7C" w:rsidRPr="00A57E40" w:rsidRDefault="00776D7C" w:rsidP="00776D7C">
      <w:pPr>
        <w:pStyle w:val="ListParagraph"/>
        <w:ind w:left="0"/>
        <w:rPr>
          <w:rFonts w:ascii="Times New Roman" w:hAnsi="Times New Roman"/>
          <w:sz w:val="24"/>
          <w:szCs w:val="24"/>
          <w:lang w:val="en-GB" w:eastAsia="en-GB"/>
        </w:rPr>
      </w:pPr>
    </w:p>
    <w:p w:rsidR="00776D7C" w:rsidRPr="00A57E40" w:rsidRDefault="00776D7C" w:rsidP="00776D7C">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In terms of maintaining an open economy, we consider that option 2 is no better or worse than the status quo. </w:t>
      </w:r>
    </w:p>
    <w:p w:rsidR="00B30162" w:rsidRPr="00A57E40" w:rsidRDefault="00B30162" w:rsidP="00776D7C">
      <w:pPr>
        <w:pStyle w:val="ListParagraph"/>
        <w:ind w:left="0"/>
        <w:rPr>
          <w:rFonts w:ascii="Times New Roman" w:hAnsi="Times New Roman"/>
          <w:i/>
          <w:sz w:val="24"/>
          <w:szCs w:val="24"/>
          <w:lang w:val="en-GB" w:eastAsia="en-GB"/>
        </w:rPr>
      </w:pPr>
    </w:p>
    <w:p w:rsidR="00776D7C" w:rsidRPr="00A57E40" w:rsidRDefault="00776D7C" w:rsidP="00776D7C">
      <w:pPr>
        <w:pStyle w:val="ListParagraph"/>
        <w:ind w:left="0"/>
        <w:rPr>
          <w:rFonts w:ascii="Times New Roman" w:hAnsi="Times New Roman"/>
          <w:i/>
          <w:sz w:val="24"/>
          <w:szCs w:val="24"/>
          <w:lang w:val="en-GB" w:eastAsia="en-GB"/>
        </w:rPr>
      </w:pPr>
      <w:r w:rsidRPr="00A57E40">
        <w:rPr>
          <w:rFonts w:ascii="Times New Roman" w:hAnsi="Times New Roman"/>
          <w:i/>
          <w:sz w:val="24"/>
          <w:szCs w:val="24"/>
          <w:lang w:val="en-GB" w:eastAsia="en-GB"/>
        </w:rPr>
        <w:t>Fairness and integrity</w:t>
      </w:r>
    </w:p>
    <w:p w:rsidR="00776D7C" w:rsidRPr="00A57E40" w:rsidRDefault="00776D7C" w:rsidP="00776D7C">
      <w:pPr>
        <w:pStyle w:val="ListParagraph"/>
        <w:ind w:left="0"/>
        <w:rPr>
          <w:rFonts w:ascii="Times New Roman" w:hAnsi="Times New Roman"/>
          <w:i/>
          <w:sz w:val="24"/>
          <w:szCs w:val="24"/>
          <w:lang w:val="en-GB" w:eastAsia="en-GB"/>
        </w:rPr>
      </w:pPr>
    </w:p>
    <w:p w:rsidR="00776D7C" w:rsidRPr="00A57E40" w:rsidRDefault="00776D7C" w:rsidP="00776D7C">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The impact on fairness and integrity (including on perceptions of fairness and integrity) is expected to be positive.  The requirements are likely to provide increased integrity, and the registration requirements will signal the increased disclosure requirements. This would be an improvement on the status quo.</w:t>
      </w:r>
    </w:p>
    <w:p w:rsidR="00776D7C" w:rsidRPr="00A57E40" w:rsidRDefault="00776D7C" w:rsidP="00B150CD">
      <w:pPr>
        <w:pStyle w:val="ListParagraph"/>
        <w:ind w:left="0"/>
        <w:rPr>
          <w:rFonts w:ascii="Times New Roman" w:hAnsi="Times New Roman"/>
          <w:i/>
          <w:sz w:val="24"/>
          <w:szCs w:val="24"/>
          <w:lang w:val="en-GB" w:eastAsia="en-GB"/>
        </w:rPr>
      </w:pPr>
    </w:p>
    <w:p w:rsidR="00D52896" w:rsidRPr="00A57E40" w:rsidRDefault="00D52896" w:rsidP="00B150CD">
      <w:pPr>
        <w:pStyle w:val="ListParagraph"/>
        <w:ind w:left="0"/>
        <w:rPr>
          <w:rFonts w:ascii="Times New Roman" w:hAnsi="Times New Roman"/>
          <w:i/>
          <w:sz w:val="24"/>
          <w:szCs w:val="24"/>
          <w:lang w:val="en-GB" w:eastAsia="en-GB"/>
        </w:rPr>
      </w:pPr>
      <w:r w:rsidRPr="00A57E40">
        <w:rPr>
          <w:rFonts w:ascii="Times New Roman" w:hAnsi="Times New Roman"/>
          <w:i/>
          <w:sz w:val="24"/>
          <w:szCs w:val="24"/>
          <w:lang w:val="en-GB" w:eastAsia="en-GB"/>
        </w:rPr>
        <w:t>Coherency of the tax system</w:t>
      </w:r>
    </w:p>
    <w:p w:rsidR="006F0804" w:rsidRPr="00A57E40" w:rsidRDefault="006F0804" w:rsidP="00B150CD">
      <w:pPr>
        <w:pStyle w:val="ListParagraph"/>
        <w:ind w:left="0"/>
        <w:rPr>
          <w:rFonts w:ascii="Times New Roman" w:hAnsi="Times New Roman"/>
          <w:i/>
          <w:sz w:val="24"/>
          <w:szCs w:val="24"/>
          <w:lang w:val="en-GB" w:eastAsia="en-GB"/>
        </w:rPr>
      </w:pPr>
    </w:p>
    <w:p w:rsidR="005748FD" w:rsidRPr="00A57E40" w:rsidRDefault="00104C7A" w:rsidP="00104C7A">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The impact on coherency of the </w:t>
      </w:r>
      <w:r w:rsidR="005748FD" w:rsidRPr="00A57E40">
        <w:rPr>
          <w:rFonts w:ascii="Times New Roman" w:hAnsi="Times New Roman"/>
          <w:sz w:val="24"/>
          <w:szCs w:val="24"/>
          <w:lang w:val="en-GB" w:eastAsia="en-GB"/>
        </w:rPr>
        <w:t xml:space="preserve">tax </w:t>
      </w:r>
      <w:r w:rsidR="00EC1333" w:rsidRPr="00A57E40">
        <w:rPr>
          <w:rFonts w:ascii="Times New Roman" w:hAnsi="Times New Roman"/>
          <w:sz w:val="24"/>
          <w:szCs w:val="24"/>
          <w:lang w:val="en-GB" w:eastAsia="en-GB"/>
        </w:rPr>
        <w:t xml:space="preserve">policy framework </w:t>
      </w:r>
      <w:r w:rsidR="005748FD" w:rsidRPr="00A57E40">
        <w:rPr>
          <w:rFonts w:ascii="Times New Roman" w:hAnsi="Times New Roman"/>
          <w:sz w:val="24"/>
          <w:szCs w:val="24"/>
          <w:lang w:val="en-GB" w:eastAsia="en-GB"/>
        </w:rPr>
        <w:t xml:space="preserve">and disclosure </w:t>
      </w:r>
      <w:r w:rsidR="00EC1333" w:rsidRPr="00A57E40">
        <w:rPr>
          <w:rFonts w:ascii="Times New Roman" w:hAnsi="Times New Roman"/>
          <w:sz w:val="24"/>
          <w:szCs w:val="24"/>
          <w:lang w:val="en-GB" w:eastAsia="en-GB"/>
        </w:rPr>
        <w:t xml:space="preserve">rules </w:t>
      </w:r>
      <w:r w:rsidR="00776D7C" w:rsidRPr="00A57E40">
        <w:rPr>
          <w:rFonts w:ascii="Times New Roman" w:hAnsi="Times New Roman"/>
          <w:sz w:val="24"/>
          <w:szCs w:val="24"/>
          <w:lang w:val="en-GB" w:eastAsia="en-GB"/>
        </w:rPr>
        <w:t>would be an improvement on the status quo</w:t>
      </w:r>
      <w:r w:rsidRPr="00A57E40">
        <w:rPr>
          <w:rFonts w:ascii="Times New Roman" w:hAnsi="Times New Roman"/>
          <w:sz w:val="24"/>
          <w:szCs w:val="24"/>
          <w:lang w:val="en-GB" w:eastAsia="en-GB"/>
        </w:rPr>
        <w:t xml:space="preserve">.  </w:t>
      </w:r>
    </w:p>
    <w:p w:rsidR="005748FD" w:rsidRPr="00A57E40" w:rsidRDefault="005748FD" w:rsidP="005748FD">
      <w:pPr>
        <w:pStyle w:val="ListParagraph"/>
        <w:ind w:left="0"/>
        <w:rPr>
          <w:rFonts w:ascii="Times New Roman" w:hAnsi="Times New Roman"/>
          <w:sz w:val="24"/>
          <w:szCs w:val="24"/>
          <w:lang w:val="en-GB" w:eastAsia="en-GB"/>
        </w:rPr>
      </w:pPr>
    </w:p>
    <w:p w:rsidR="005748FD" w:rsidRPr="00A57E40" w:rsidRDefault="00B24798" w:rsidP="00104C7A">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This option would retain the </w:t>
      </w:r>
      <w:r w:rsidR="00104C7A" w:rsidRPr="00A57E40">
        <w:rPr>
          <w:rFonts w:ascii="Times New Roman" w:hAnsi="Times New Roman"/>
          <w:sz w:val="24"/>
          <w:szCs w:val="24"/>
          <w:lang w:val="en-GB" w:eastAsia="en-GB"/>
        </w:rPr>
        <w:t>tax exemption for foreign trusts</w:t>
      </w:r>
      <w:r w:rsidRPr="00A57E40">
        <w:rPr>
          <w:rFonts w:ascii="Times New Roman" w:hAnsi="Times New Roman"/>
          <w:sz w:val="24"/>
          <w:szCs w:val="24"/>
          <w:lang w:val="en-GB" w:eastAsia="en-GB"/>
        </w:rPr>
        <w:t>, which</w:t>
      </w:r>
      <w:r w:rsidR="00104C7A" w:rsidRPr="00A57E40">
        <w:rPr>
          <w:rFonts w:ascii="Times New Roman" w:hAnsi="Times New Roman"/>
          <w:sz w:val="24"/>
          <w:szCs w:val="24"/>
          <w:lang w:val="en-GB" w:eastAsia="en-GB"/>
        </w:rPr>
        <w:t xml:space="preserve"> is consistent with New Zealand’s framework for taxing trusts.  </w:t>
      </w:r>
    </w:p>
    <w:p w:rsidR="005748FD" w:rsidRPr="00A57E40" w:rsidRDefault="005748FD" w:rsidP="005748FD">
      <w:pPr>
        <w:pStyle w:val="ListParagraph"/>
        <w:ind w:left="0"/>
        <w:rPr>
          <w:rFonts w:ascii="Times New Roman" w:hAnsi="Times New Roman"/>
          <w:sz w:val="24"/>
          <w:szCs w:val="24"/>
          <w:lang w:val="en-GB" w:eastAsia="en-GB"/>
        </w:rPr>
      </w:pPr>
    </w:p>
    <w:p w:rsidR="00104C7A" w:rsidRPr="00A57E40" w:rsidRDefault="00B24798" w:rsidP="008746F3">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I</w:t>
      </w:r>
      <w:r w:rsidR="00104C7A" w:rsidRPr="00A57E40">
        <w:rPr>
          <w:rFonts w:ascii="Times New Roman" w:hAnsi="Times New Roman"/>
          <w:sz w:val="24"/>
          <w:szCs w:val="24"/>
          <w:lang w:val="en-GB" w:eastAsia="en-GB"/>
        </w:rPr>
        <w:t xml:space="preserve">ncreasing the disclosure requirements for foreign trusts would be consistent </w:t>
      </w:r>
      <w:r w:rsidR="008F0885" w:rsidRPr="00A57E40">
        <w:rPr>
          <w:rFonts w:ascii="Times New Roman" w:hAnsi="Times New Roman"/>
          <w:sz w:val="24"/>
          <w:szCs w:val="24"/>
          <w:lang w:val="en-GB" w:eastAsia="en-GB"/>
        </w:rPr>
        <w:t xml:space="preserve">with </w:t>
      </w:r>
      <w:r w:rsidRPr="00A57E40">
        <w:rPr>
          <w:rFonts w:ascii="Times New Roman" w:hAnsi="Times New Roman"/>
          <w:sz w:val="24"/>
          <w:szCs w:val="24"/>
          <w:lang w:val="en-GB" w:eastAsia="en-GB"/>
        </w:rPr>
        <w:t>recent trends for increased disclosures</w:t>
      </w:r>
      <w:r w:rsidR="00104C7A" w:rsidRPr="00A57E40">
        <w:rPr>
          <w:rFonts w:ascii="Times New Roman" w:hAnsi="Times New Roman"/>
          <w:sz w:val="24"/>
          <w:szCs w:val="24"/>
          <w:lang w:val="en-GB" w:eastAsia="en-GB"/>
        </w:rPr>
        <w:t xml:space="preserve"> to tax authorities for the purposes of detecting tax avoidance and evasion.</w:t>
      </w:r>
    </w:p>
    <w:p w:rsidR="005748FD" w:rsidRPr="00A57E40" w:rsidRDefault="005748FD" w:rsidP="008746F3">
      <w:pPr>
        <w:pStyle w:val="ListParagraph"/>
        <w:ind w:left="0"/>
        <w:rPr>
          <w:rFonts w:ascii="Times New Roman" w:hAnsi="Times New Roman"/>
          <w:sz w:val="24"/>
          <w:szCs w:val="24"/>
          <w:lang w:val="en-GB" w:eastAsia="en-GB"/>
        </w:rPr>
      </w:pPr>
    </w:p>
    <w:p w:rsidR="00D52896" w:rsidRPr="00A57E40" w:rsidRDefault="00B150CD" w:rsidP="008746F3">
      <w:pPr>
        <w:pStyle w:val="CommentText"/>
        <w:spacing w:after="160" w:line="259" w:lineRule="auto"/>
        <w:jc w:val="both"/>
        <w:rPr>
          <w:rFonts w:ascii="Times New Roman" w:hAnsi="Times New Roman"/>
          <w:i/>
          <w:sz w:val="24"/>
          <w:szCs w:val="24"/>
        </w:rPr>
      </w:pPr>
      <w:r w:rsidRPr="00A57E40">
        <w:rPr>
          <w:rFonts w:ascii="Times New Roman" w:hAnsi="Times New Roman"/>
          <w:i/>
          <w:sz w:val="24"/>
          <w:szCs w:val="24"/>
        </w:rPr>
        <w:t>Efficiency of compliance and administration</w:t>
      </w:r>
    </w:p>
    <w:p w:rsidR="00344817" w:rsidRPr="00A57E40" w:rsidRDefault="00B75DE8" w:rsidP="008746F3">
      <w:pPr>
        <w:pStyle w:val="CommentText"/>
        <w:numPr>
          <w:ilvl w:val="0"/>
          <w:numId w:val="2"/>
        </w:numPr>
        <w:tabs>
          <w:tab w:val="num" w:pos="0"/>
        </w:tabs>
        <w:spacing w:after="160" w:line="259" w:lineRule="auto"/>
        <w:ind w:left="0" w:firstLine="0"/>
        <w:jc w:val="both"/>
        <w:rPr>
          <w:rFonts w:ascii="Times New Roman" w:hAnsi="Times New Roman"/>
          <w:sz w:val="24"/>
          <w:szCs w:val="24"/>
        </w:rPr>
      </w:pPr>
      <w:r w:rsidRPr="00A57E40">
        <w:rPr>
          <w:rFonts w:ascii="Times New Roman" w:hAnsi="Times New Roman"/>
          <w:sz w:val="24"/>
          <w:szCs w:val="24"/>
        </w:rPr>
        <w:t>T</w:t>
      </w:r>
      <w:r w:rsidR="00BC6DD5" w:rsidRPr="00A57E40">
        <w:rPr>
          <w:rFonts w:ascii="Times New Roman" w:hAnsi="Times New Roman"/>
          <w:sz w:val="24"/>
          <w:szCs w:val="24"/>
        </w:rPr>
        <w:t>here may be additional compliance costs for foreign trusts</w:t>
      </w:r>
      <w:r w:rsidRPr="00A57E40">
        <w:rPr>
          <w:rFonts w:ascii="Times New Roman" w:hAnsi="Times New Roman"/>
          <w:sz w:val="24"/>
          <w:szCs w:val="24"/>
        </w:rPr>
        <w:t>.  However</w:t>
      </w:r>
      <w:r w:rsidR="00BC6DD5" w:rsidRPr="00A57E40">
        <w:rPr>
          <w:rFonts w:ascii="Times New Roman" w:hAnsi="Times New Roman"/>
          <w:sz w:val="24"/>
          <w:szCs w:val="24"/>
        </w:rPr>
        <w:t xml:space="preserve"> we do not consider that these will be significant.</w:t>
      </w:r>
      <w:r w:rsidR="00626E4D" w:rsidRPr="00A57E40">
        <w:rPr>
          <w:rFonts w:ascii="Times New Roman" w:hAnsi="Times New Roman"/>
          <w:sz w:val="24"/>
          <w:szCs w:val="24"/>
        </w:rPr>
        <w:t xml:space="preserve">  </w:t>
      </w:r>
    </w:p>
    <w:p w:rsidR="00597F6D" w:rsidRPr="00A57E40" w:rsidRDefault="00597F6D" w:rsidP="008746F3">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M</w:t>
      </w:r>
      <w:r w:rsidR="00C12588" w:rsidRPr="00A57E40">
        <w:rPr>
          <w:rFonts w:ascii="Times New Roman" w:hAnsi="Times New Roman"/>
          <w:sz w:val="24"/>
          <w:szCs w:val="24"/>
          <w:lang w:val="en-GB" w:eastAsia="en-GB"/>
        </w:rPr>
        <w:t>uch</w:t>
      </w:r>
      <w:r w:rsidRPr="00A57E40">
        <w:rPr>
          <w:rFonts w:ascii="Times New Roman" w:hAnsi="Times New Roman"/>
          <w:sz w:val="24"/>
          <w:szCs w:val="24"/>
          <w:lang w:val="en-GB" w:eastAsia="en-GB"/>
        </w:rPr>
        <w:t xml:space="preserve"> of the information that </w:t>
      </w:r>
      <w:r w:rsidR="00A12A9D" w:rsidRPr="00A57E40">
        <w:rPr>
          <w:rFonts w:ascii="Times New Roman" w:hAnsi="Times New Roman"/>
          <w:sz w:val="24"/>
          <w:szCs w:val="24"/>
          <w:lang w:val="en-GB" w:eastAsia="en-GB"/>
        </w:rPr>
        <w:t xml:space="preserve">would be </w:t>
      </w:r>
      <w:r w:rsidRPr="00A57E40">
        <w:rPr>
          <w:rFonts w:ascii="Times New Roman" w:hAnsi="Times New Roman"/>
          <w:sz w:val="24"/>
          <w:szCs w:val="24"/>
          <w:lang w:val="en-GB" w:eastAsia="en-GB"/>
        </w:rPr>
        <w:t xml:space="preserve">required to be provided is already </w:t>
      </w:r>
      <w:r w:rsidR="00C12588" w:rsidRPr="00A57E40">
        <w:rPr>
          <w:rFonts w:ascii="Times New Roman" w:hAnsi="Times New Roman"/>
          <w:sz w:val="24"/>
          <w:szCs w:val="24"/>
          <w:lang w:val="en-GB" w:eastAsia="en-GB"/>
        </w:rPr>
        <w:t>required to be</w:t>
      </w:r>
      <w:r w:rsidRPr="00A57E40">
        <w:rPr>
          <w:rFonts w:ascii="Times New Roman" w:hAnsi="Times New Roman"/>
          <w:sz w:val="24"/>
          <w:szCs w:val="24"/>
          <w:lang w:val="en-GB" w:eastAsia="en-GB"/>
        </w:rPr>
        <w:t xml:space="preserve"> collected </w:t>
      </w:r>
      <w:r w:rsidR="00A12A9D" w:rsidRPr="00A57E40">
        <w:rPr>
          <w:rFonts w:ascii="Times New Roman" w:hAnsi="Times New Roman"/>
          <w:sz w:val="24"/>
          <w:szCs w:val="24"/>
          <w:lang w:val="en-GB" w:eastAsia="en-GB"/>
        </w:rPr>
        <w:t>by the New Zealand</w:t>
      </w:r>
      <w:r w:rsidR="00AC550C" w:rsidRPr="00A57E40">
        <w:rPr>
          <w:rFonts w:ascii="Times New Roman" w:hAnsi="Times New Roman"/>
          <w:sz w:val="24"/>
          <w:szCs w:val="24"/>
          <w:lang w:val="en-GB" w:eastAsia="en-GB"/>
        </w:rPr>
        <w:t>-</w:t>
      </w:r>
      <w:r w:rsidR="00A12A9D" w:rsidRPr="00A57E40">
        <w:rPr>
          <w:rFonts w:ascii="Times New Roman" w:hAnsi="Times New Roman"/>
          <w:sz w:val="24"/>
          <w:szCs w:val="24"/>
          <w:lang w:val="en-GB" w:eastAsia="en-GB"/>
        </w:rPr>
        <w:t xml:space="preserve">resident trustee </w:t>
      </w:r>
      <w:r w:rsidRPr="00A57E40">
        <w:rPr>
          <w:rFonts w:ascii="Times New Roman" w:hAnsi="Times New Roman"/>
          <w:sz w:val="24"/>
          <w:szCs w:val="24"/>
          <w:lang w:val="en-GB" w:eastAsia="en-GB"/>
        </w:rPr>
        <w:t>in accordance with existing record-keeping requirements.</w:t>
      </w:r>
    </w:p>
    <w:p w:rsidR="00597F6D" w:rsidRPr="00A57E40" w:rsidRDefault="00597F6D" w:rsidP="008746F3">
      <w:pPr>
        <w:pStyle w:val="ListParagraph"/>
        <w:ind w:left="0"/>
        <w:rPr>
          <w:rFonts w:ascii="Times New Roman" w:hAnsi="Times New Roman"/>
          <w:sz w:val="24"/>
          <w:szCs w:val="24"/>
          <w:lang w:val="en-GB" w:eastAsia="en-GB"/>
        </w:rPr>
      </w:pPr>
    </w:p>
    <w:p w:rsidR="00672C6E" w:rsidRPr="00A57E40" w:rsidRDefault="00597F6D" w:rsidP="00597F6D">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At the moment, identity and address information of settlors and beneficiaries </w:t>
      </w:r>
      <w:r w:rsidR="00C12588" w:rsidRPr="00A57E40">
        <w:rPr>
          <w:rFonts w:ascii="Times New Roman" w:hAnsi="Times New Roman"/>
          <w:sz w:val="24"/>
          <w:szCs w:val="24"/>
          <w:lang w:val="en-GB" w:eastAsia="en-GB"/>
        </w:rPr>
        <w:t>is required to be collected</w:t>
      </w:r>
      <w:r w:rsidR="00104C7A" w:rsidRPr="00A57E40">
        <w:rPr>
          <w:rFonts w:ascii="Times New Roman" w:hAnsi="Times New Roman"/>
          <w:sz w:val="24"/>
          <w:szCs w:val="24"/>
          <w:lang w:val="en-GB" w:eastAsia="en-GB"/>
        </w:rPr>
        <w:t xml:space="preserve">, although only </w:t>
      </w:r>
      <w:r w:rsidRPr="00A57E40">
        <w:rPr>
          <w:rFonts w:ascii="Times New Roman" w:hAnsi="Times New Roman"/>
          <w:sz w:val="24"/>
          <w:szCs w:val="24"/>
          <w:lang w:val="en-GB" w:eastAsia="en-GB"/>
        </w:rPr>
        <w:t xml:space="preserve">“if known”. </w:t>
      </w:r>
      <w:r w:rsidR="00BC6DD5" w:rsidRPr="00A57E40">
        <w:rPr>
          <w:rFonts w:ascii="Times New Roman" w:hAnsi="Times New Roman"/>
          <w:sz w:val="24"/>
          <w:szCs w:val="24"/>
          <w:lang w:val="en-GB" w:eastAsia="en-GB"/>
        </w:rPr>
        <w:t>The new information that foreign trusts will be required to collect mainly relate</w:t>
      </w:r>
      <w:r w:rsidR="008F0885" w:rsidRPr="00A57E40">
        <w:rPr>
          <w:rFonts w:ascii="Times New Roman" w:hAnsi="Times New Roman"/>
          <w:sz w:val="24"/>
          <w:szCs w:val="24"/>
          <w:lang w:val="en-GB" w:eastAsia="en-GB"/>
        </w:rPr>
        <w:t>s</w:t>
      </w:r>
      <w:r w:rsidR="00BC6DD5" w:rsidRPr="00A57E40">
        <w:rPr>
          <w:rFonts w:ascii="Times New Roman" w:hAnsi="Times New Roman"/>
          <w:sz w:val="24"/>
          <w:szCs w:val="24"/>
          <w:lang w:val="en-GB" w:eastAsia="en-GB"/>
        </w:rPr>
        <w:t xml:space="preserve"> to identity and address information about the settlor and beneficiary (including the Taxpayer Identification Number for those persons).  </w:t>
      </w:r>
      <w:r w:rsidR="00C12588" w:rsidRPr="00A57E40">
        <w:rPr>
          <w:rFonts w:ascii="Times New Roman" w:hAnsi="Times New Roman"/>
          <w:sz w:val="24"/>
          <w:szCs w:val="24"/>
          <w:lang w:val="en-GB" w:eastAsia="en-GB"/>
        </w:rPr>
        <w:t>W</w:t>
      </w:r>
      <w:r w:rsidRPr="00A57E40">
        <w:rPr>
          <w:rFonts w:ascii="Times New Roman" w:hAnsi="Times New Roman"/>
          <w:sz w:val="24"/>
          <w:szCs w:val="24"/>
          <w:lang w:val="en-GB" w:eastAsia="en-GB"/>
        </w:rPr>
        <w:t>e note that the</w:t>
      </w:r>
      <w:r w:rsidR="00BC6DD5" w:rsidRPr="00A57E40">
        <w:rPr>
          <w:rFonts w:ascii="Times New Roman" w:hAnsi="Times New Roman"/>
          <w:sz w:val="24"/>
          <w:szCs w:val="24"/>
          <w:lang w:val="en-GB" w:eastAsia="en-GB"/>
        </w:rPr>
        <w:t>se</w:t>
      </w:r>
      <w:r w:rsidRPr="00A57E40">
        <w:rPr>
          <w:rFonts w:ascii="Times New Roman" w:hAnsi="Times New Roman"/>
          <w:sz w:val="24"/>
          <w:szCs w:val="24"/>
          <w:lang w:val="en-GB" w:eastAsia="en-GB"/>
        </w:rPr>
        <w:t xml:space="preserve"> information requirements would be broadly </w:t>
      </w:r>
      <w:r w:rsidR="00C12588" w:rsidRPr="00A57E40">
        <w:rPr>
          <w:rFonts w:ascii="Times New Roman" w:hAnsi="Times New Roman"/>
          <w:sz w:val="24"/>
          <w:szCs w:val="24"/>
          <w:lang w:val="en-GB" w:eastAsia="en-GB"/>
        </w:rPr>
        <w:t>in line</w:t>
      </w:r>
      <w:r w:rsidRPr="00A57E40">
        <w:rPr>
          <w:rFonts w:ascii="Times New Roman" w:hAnsi="Times New Roman"/>
          <w:sz w:val="24"/>
          <w:szCs w:val="24"/>
          <w:lang w:val="en-GB" w:eastAsia="en-GB"/>
        </w:rPr>
        <w:t xml:space="preserve"> with the type of information</w:t>
      </w:r>
      <w:r w:rsidR="00655873" w:rsidRPr="00A57E40">
        <w:rPr>
          <w:rFonts w:ascii="Times New Roman" w:hAnsi="Times New Roman"/>
          <w:sz w:val="24"/>
          <w:szCs w:val="24"/>
          <w:lang w:val="en-GB" w:eastAsia="en-GB"/>
        </w:rPr>
        <w:t xml:space="preserve"> disclosure</w:t>
      </w:r>
      <w:r w:rsidRPr="00A57E40">
        <w:rPr>
          <w:rFonts w:ascii="Times New Roman" w:hAnsi="Times New Roman"/>
          <w:sz w:val="24"/>
          <w:szCs w:val="24"/>
          <w:lang w:val="en-GB" w:eastAsia="en-GB"/>
        </w:rPr>
        <w:t xml:space="preserve"> </w:t>
      </w:r>
      <w:r w:rsidR="00655873" w:rsidRPr="00A57E40">
        <w:rPr>
          <w:rFonts w:ascii="Times New Roman" w:hAnsi="Times New Roman"/>
          <w:sz w:val="24"/>
          <w:szCs w:val="24"/>
          <w:lang w:val="en-GB" w:eastAsia="en-GB"/>
        </w:rPr>
        <w:t xml:space="preserve">standards </w:t>
      </w:r>
      <w:r w:rsidRPr="00A57E40">
        <w:rPr>
          <w:rFonts w:ascii="Times New Roman" w:hAnsi="Times New Roman"/>
          <w:sz w:val="24"/>
          <w:szCs w:val="24"/>
          <w:lang w:val="en-GB" w:eastAsia="en-GB"/>
        </w:rPr>
        <w:t>that will be required under the proposed AEOI requirements</w:t>
      </w:r>
      <w:r w:rsidR="00C12588" w:rsidRPr="00A57E40">
        <w:rPr>
          <w:rFonts w:ascii="Times New Roman" w:hAnsi="Times New Roman"/>
          <w:sz w:val="24"/>
          <w:szCs w:val="24"/>
          <w:lang w:val="en-GB" w:eastAsia="en-GB"/>
        </w:rPr>
        <w:t xml:space="preserve">.  </w:t>
      </w:r>
    </w:p>
    <w:p w:rsidR="00672C6E" w:rsidRPr="00A57E40" w:rsidRDefault="00672C6E" w:rsidP="00672C6E">
      <w:pPr>
        <w:pStyle w:val="ListParagraph"/>
        <w:rPr>
          <w:rFonts w:ascii="Times New Roman" w:hAnsi="Times New Roman"/>
          <w:sz w:val="24"/>
          <w:szCs w:val="24"/>
          <w:lang w:val="en-GB" w:eastAsia="en-GB"/>
        </w:rPr>
      </w:pPr>
    </w:p>
    <w:p w:rsidR="00597F6D" w:rsidRPr="00A57E40" w:rsidRDefault="00597F6D" w:rsidP="00597F6D">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The foreign trust </w:t>
      </w:r>
      <w:r w:rsidR="00776D7C" w:rsidRPr="00A57E40">
        <w:rPr>
          <w:rFonts w:ascii="Times New Roman" w:hAnsi="Times New Roman"/>
          <w:sz w:val="24"/>
          <w:szCs w:val="24"/>
          <w:lang w:val="en-GB" w:eastAsia="en-GB"/>
        </w:rPr>
        <w:t xml:space="preserve">would </w:t>
      </w:r>
      <w:r w:rsidRPr="00A57E40">
        <w:rPr>
          <w:rFonts w:ascii="Times New Roman" w:hAnsi="Times New Roman"/>
          <w:sz w:val="24"/>
          <w:szCs w:val="24"/>
          <w:lang w:val="en-GB" w:eastAsia="en-GB"/>
        </w:rPr>
        <w:t>also need to do a</w:t>
      </w:r>
      <w:r w:rsidR="003D06D8" w:rsidRPr="00A57E40">
        <w:rPr>
          <w:rFonts w:ascii="Times New Roman" w:hAnsi="Times New Roman"/>
          <w:sz w:val="24"/>
          <w:szCs w:val="24"/>
          <w:lang w:val="en-GB" w:eastAsia="en-GB"/>
        </w:rPr>
        <w:t xml:space="preserve"> new</w:t>
      </w:r>
      <w:r w:rsidRPr="00A57E40">
        <w:rPr>
          <w:rFonts w:ascii="Times New Roman" w:hAnsi="Times New Roman"/>
          <w:sz w:val="24"/>
          <w:szCs w:val="24"/>
          <w:lang w:val="en-GB" w:eastAsia="en-GB"/>
        </w:rPr>
        <w:t xml:space="preserve"> annual return to Inland Revenue rather than simply keeping records. </w:t>
      </w:r>
    </w:p>
    <w:p w:rsidR="00597F6D" w:rsidRPr="00A57E40" w:rsidRDefault="00597F6D" w:rsidP="00597F6D">
      <w:pPr>
        <w:pStyle w:val="ListParagraph"/>
        <w:ind w:left="0"/>
        <w:rPr>
          <w:rFonts w:ascii="Times New Roman" w:hAnsi="Times New Roman"/>
          <w:sz w:val="24"/>
          <w:szCs w:val="24"/>
          <w:lang w:val="en-GB" w:eastAsia="en-GB"/>
        </w:rPr>
      </w:pPr>
    </w:p>
    <w:p w:rsidR="00B150CD" w:rsidRPr="00A57E40" w:rsidRDefault="0053381A" w:rsidP="00B150CD">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In some (but probably not most) cases, this information may be required to be provided under AEOI or AML legislation.  </w:t>
      </w:r>
      <w:r w:rsidR="003F3C50" w:rsidRPr="00A57E40">
        <w:rPr>
          <w:rFonts w:ascii="Times New Roman" w:hAnsi="Times New Roman"/>
          <w:sz w:val="24"/>
          <w:szCs w:val="24"/>
          <w:lang w:val="en-GB" w:eastAsia="en-GB"/>
        </w:rPr>
        <w:t xml:space="preserve">However, we anticipate that entities will be able to use the same information collected for multiple regulatory regimes. </w:t>
      </w:r>
      <w:r w:rsidRPr="00A57E40">
        <w:rPr>
          <w:rFonts w:ascii="Times New Roman" w:hAnsi="Times New Roman"/>
          <w:sz w:val="24"/>
          <w:szCs w:val="24"/>
          <w:lang w:val="en-GB" w:eastAsia="en-GB"/>
        </w:rPr>
        <w:t>Accordingly</w:t>
      </w:r>
      <w:r w:rsidR="00CC5D2F" w:rsidRPr="00A57E40">
        <w:rPr>
          <w:rFonts w:ascii="Times New Roman" w:hAnsi="Times New Roman"/>
          <w:sz w:val="24"/>
          <w:szCs w:val="24"/>
          <w:lang w:val="en-GB" w:eastAsia="en-GB"/>
        </w:rPr>
        <w:t>,</w:t>
      </w:r>
      <w:r w:rsidRPr="00A57E40">
        <w:rPr>
          <w:rFonts w:ascii="Times New Roman" w:hAnsi="Times New Roman"/>
          <w:sz w:val="24"/>
          <w:szCs w:val="24"/>
          <w:lang w:val="en-GB" w:eastAsia="en-GB"/>
        </w:rPr>
        <w:t xml:space="preserve"> </w:t>
      </w:r>
      <w:r w:rsidR="003F3C50" w:rsidRPr="00A57E40">
        <w:rPr>
          <w:rFonts w:ascii="Times New Roman" w:hAnsi="Times New Roman"/>
          <w:sz w:val="24"/>
          <w:szCs w:val="24"/>
          <w:lang w:val="en-GB" w:eastAsia="en-GB"/>
        </w:rPr>
        <w:t>w</w:t>
      </w:r>
      <w:r w:rsidRPr="00A57E40">
        <w:rPr>
          <w:rFonts w:ascii="Times New Roman" w:hAnsi="Times New Roman"/>
          <w:sz w:val="24"/>
          <w:szCs w:val="24"/>
          <w:lang w:val="en-GB" w:eastAsia="en-GB"/>
        </w:rPr>
        <w:t xml:space="preserve">hile we acknowledge duplication in those cases </w:t>
      </w:r>
      <w:r w:rsidR="00655873" w:rsidRPr="00A57E40">
        <w:rPr>
          <w:rFonts w:ascii="Times New Roman" w:hAnsi="Times New Roman"/>
          <w:sz w:val="24"/>
          <w:szCs w:val="24"/>
          <w:lang w:val="en-GB" w:eastAsia="en-GB"/>
        </w:rPr>
        <w:t>might</w:t>
      </w:r>
      <w:r w:rsidRPr="00A57E40">
        <w:rPr>
          <w:rFonts w:ascii="Times New Roman" w:hAnsi="Times New Roman"/>
          <w:sz w:val="24"/>
          <w:szCs w:val="24"/>
          <w:lang w:val="en-GB" w:eastAsia="en-GB"/>
        </w:rPr>
        <w:t xml:space="preserve"> potentially increase compliance costs, we consider that compliance costs arising from duplication are relatively minimal.</w:t>
      </w:r>
    </w:p>
    <w:p w:rsidR="00B150CD" w:rsidRPr="00A57E40" w:rsidRDefault="00B150CD" w:rsidP="00B150CD">
      <w:pPr>
        <w:pStyle w:val="ListParagraph"/>
        <w:ind w:left="0"/>
        <w:rPr>
          <w:rFonts w:ascii="Times New Roman" w:hAnsi="Times New Roman"/>
          <w:sz w:val="24"/>
          <w:szCs w:val="24"/>
          <w:lang w:val="en-GB" w:eastAsia="en-GB"/>
        </w:rPr>
      </w:pPr>
    </w:p>
    <w:p w:rsidR="00B150CD" w:rsidRPr="00A57E40" w:rsidRDefault="00B150CD" w:rsidP="00B150CD">
      <w:pPr>
        <w:pStyle w:val="ListParagraph"/>
        <w:numPr>
          <w:ilvl w:val="0"/>
          <w:numId w:val="2"/>
        </w:numPr>
        <w:tabs>
          <w:tab w:val="num" w:pos="0"/>
        </w:tabs>
        <w:ind w:left="0" w:firstLine="0"/>
        <w:rPr>
          <w:rFonts w:ascii="Times New Roman" w:hAnsi="Times New Roman"/>
          <w:sz w:val="24"/>
          <w:szCs w:val="24"/>
        </w:rPr>
      </w:pPr>
      <w:r w:rsidRPr="00A57E40">
        <w:rPr>
          <w:rFonts w:ascii="Times New Roman" w:hAnsi="Times New Roman"/>
          <w:sz w:val="24"/>
          <w:szCs w:val="24"/>
          <w:lang w:val="en-GB" w:eastAsia="en-GB"/>
        </w:rPr>
        <w:t xml:space="preserve">Under option 2, there will be some increased administrative costs </w:t>
      </w:r>
      <w:r w:rsidR="00776D7C" w:rsidRPr="00A57E40">
        <w:rPr>
          <w:rFonts w:ascii="Times New Roman" w:hAnsi="Times New Roman"/>
          <w:sz w:val="24"/>
          <w:szCs w:val="24"/>
          <w:lang w:val="en-GB" w:eastAsia="en-GB"/>
        </w:rPr>
        <w:t xml:space="preserve">for </w:t>
      </w:r>
      <w:r w:rsidRPr="00A57E40">
        <w:rPr>
          <w:rFonts w:ascii="Times New Roman" w:hAnsi="Times New Roman"/>
          <w:sz w:val="24"/>
          <w:szCs w:val="24"/>
          <w:lang w:val="en-GB" w:eastAsia="en-GB"/>
        </w:rPr>
        <w:t xml:space="preserve">Inland Revenue as a result of redesigning the current disclosure statement, a new annual return, and additional data entry.  These costs are likely to be under $1 million. There may also be some additional resources required for increased exchange of information with domestic law enforcement agencies and overseas treaty partners.  The costs relating to additional data entry and enforcement could depend on the numbers of foreign trusts.  </w:t>
      </w:r>
    </w:p>
    <w:p w:rsidR="00776D7C" w:rsidRPr="00A57E40" w:rsidRDefault="00776D7C" w:rsidP="00CB24D4">
      <w:pPr>
        <w:pStyle w:val="ListParagraph"/>
        <w:rPr>
          <w:rFonts w:ascii="Times New Roman" w:hAnsi="Times New Roman"/>
          <w:sz w:val="24"/>
          <w:szCs w:val="24"/>
        </w:rPr>
      </w:pPr>
    </w:p>
    <w:p w:rsidR="00776D7C" w:rsidRPr="00A57E40" w:rsidRDefault="00776D7C" w:rsidP="00B150CD">
      <w:pPr>
        <w:pStyle w:val="ListParagraph"/>
        <w:numPr>
          <w:ilvl w:val="0"/>
          <w:numId w:val="2"/>
        </w:numPr>
        <w:tabs>
          <w:tab w:val="num" w:pos="0"/>
        </w:tabs>
        <w:ind w:left="0" w:firstLine="0"/>
        <w:rPr>
          <w:rFonts w:ascii="Times New Roman" w:hAnsi="Times New Roman"/>
          <w:sz w:val="24"/>
          <w:szCs w:val="24"/>
        </w:rPr>
      </w:pPr>
      <w:r w:rsidRPr="00A57E40">
        <w:rPr>
          <w:rFonts w:ascii="Times New Roman" w:hAnsi="Times New Roman"/>
          <w:sz w:val="24"/>
          <w:szCs w:val="24"/>
        </w:rPr>
        <w:t>Overall, in terms of efficiency of compliance and administration, option 2 would be slightly worse than the status quo.</w:t>
      </w:r>
    </w:p>
    <w:p w:rsidR="00B150CD" w:rsidRPr="00A57E40" w:rsidRDefault="00B150CD" w:rsidP="00B75DE8">
      <w:pPr>
        <w:pStyle w:val="ListParagraph"/>
        <w:ind w:left="0"/>
        <w:rPr>
          <w:rFonts w:ascii="Times New Roman" w:hAnsi="Times New Roman"/>
          <w:sz w:val="24"/>
          <w:szCs w:val="24"/>
          <w:lang w:val="en-GB" w:eastAsia="en-GB"/>
        </w:rPr>
      </w:pPr>
    </w:p>
    <w:p w:rsidR="00272014" w:rsidRPr="00A57E40" w:rsidRDefault="00272014">
      <w:pPr>
        <w:spacing w:after="0" w:line="240" w:lineRule="auto"/>
        <w:rPr>
          <w:rFonts w:ascii="Times New Roman" w:hAnsi="Times New Roman"/>
          <w:b/>
          <w:sz w:val="24"/>
          <w:szCs w:val="24"/>
        </w:rPr>
      </w:pPr>
      <w:bookmarkStart w:id="22" w:name="_Toc244580366"/>
      <w:bookmarkStart w:id="23" w:name="_Toc244587042"/>
      <w:bookmarkStart w:id="24" w:name="_Toc244857276"/>
      <w:bookmarkStart w:id="25" w:name="_Toc244912541"/>
      <w:bookmarkStart w:id="26" w:name="_Toc244916998"/>
    </w:p>
    <w:p w:rsidR="006B516A" w:rsidRPr="00A57E40" w:rsidRDefault="00C96C93" w:rsidP="006B516A">
      <w:pPr>
        <w:pStyle w:val="CommentText"/>
        <w:spacing w:after="0" w:line="240" w:lineRule="auto"/>
        <w:rPr>
          <w:rFonts w:ascii="Times New Roman" w:hAnsi="Times New Roman"/>
          <w:b/>
          <w:sz w:val="24"/>
          <w:szCs w:val="24"/>
        </w:rPr>
      </w:pPr>
      <w:r w:rsidRPr="00A57E40">
        <w:rPr>
          <w:rFonts w:ascii="Times New Roman" w:hAnsi="Times New Roman"/>
          <w:b/>
          <w:sz w:val="24"/>
          <w:szCs w:val="24"/>
        </w:rPr>
        <w:t>O</w:t>
      </w:r>
      <w:r w:rsidR="006B516A" w:rsidRPr="00A57E40">
        <w:rPr>
          <w:rFonts w:ascii="Times New Roman" w:hAnsi="Times New Roman"/>
          <w:b/>
          <w:sz w:val="24"/>
          <w:szCs w:val="24"/>
        </w:rPr>
        <w:t xml:space="preserve">ption </w:t>
      </w:r>
      <w:r w:rsidRPr="00A57E40">
        <w:rPr>
          <w:rFonts w:ascii="Times New Roman" w:hAnsi="Times New Roman"/>
          <w:b/>
          <w:sz w:val="24"/>
          <w:szCs w:val="24"/>
        </w:rPr>
        <w:t>3</w:t>
      </w:r>
    </w:p>
    <w:p w:rsidR="00272014" w:rsidRPr="00A57E40" w:rsidRDefault="00272014" w:rsidP="006B516A">
      <w:pPr>
        <w:pStyle w:val="CommentText"/>
        <w:spacing w:after="0" w:line="240" w:lineRule="auto"/>
        <w:rPr>
          <w:rFonts w:ascii="Times New Roman" w:hAnsi="Times New Roman"/>
          <w:b/>
          <w:sz w:val="24"/>
          <w:szCs w:val="24"/>
        </w:rPr>
      </w:pPr>
    </w:p>
    <w:p w:rsidR="00366A44" w:rsidRPr="00A57E40" w:rsidRDefault="00C96C93" w:rsidP="00366A44">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This option would </w:t>
      </w:r>
      <w:r w:rsidR="005F1CEC" w:rsidRPr="00A57E40">
        <w:rPr>
          <w:rFonts w:ascii="Times New Roman" w:hAnsi="Times New Roman"/>
          <w:sz w:val="24"/>
          <w:szCs w:val="24"/>
          <w:lang w:val="en-GB" w:eastAsia="en-GB"/>
        </w:rPr>
        <w:t>repeal the tax exemption for foreign trusts</w:t>
      </w:r>
      <w:r w:rsidRPr="00A57E40">
        <w:rPr>
          <w:rFonts w:ascii="Times New Roman" w:hAnsi="Times New Roman"/>
          <w:sz w:val="24"/>
          <w:szCs w:val="24"/>
          <w:lang w:val="en-GB" w:eastAsia="en-GB"/>
        </w:rPr>
        <w:t xml:space="preserve">.  </w:t>
      </w:r>
      <w:r w:rsidR="00247265" w:rsidRPr="00A57E40">
        <w:rPr>
          <w:rFonts w:ascii="Times New Roman" w:hAnsi="Times New Roman"/>
          <w:sz w:val="24"/>
          <w:szCs w:val="24"/>
          <w:lang w:val="en-GB" w:eastAsia="en-GB"/>
        </w:rPr>
        <w:t xml:space="preserve">This option was suggested by some submitters to the Inquiry.  </w:t>
      </w:r>
      <w:r w:rsidR="006B516A" w:rsidRPr="00A57E40">
        <w:rPr>
          <w:rFonts w:ascii="Times New Roman" w:hAnsi="Times New Roman"/>
          <w:sz w:val="24"/>
          <w:szCs w:val="24"/>
          <w:lang w:val="en-GB" w:eastAsia="en-GB"/>
        </w:rPr>
        <w:t xml:space="preserve">The Inquiry did not recommend this option. </w:t>
      </w:r>
    </w:p>
    <w:p w:rsidR="00366A44" w:rsidRPr="00A57E40" w:rsidRDefault="00366A44" w:rsidP="00366A44">
      <w:pPr>
        <w:pStyle w:val="ListParagraph"/>
        <w:ind w:left="0"/>
        <w:rPr>
          <w:rFonts w:ascii="Times New Roman" w:hAnsi="Times New Roman"/>
          <w:sz w:val="24"/>
          <w:szCs w:val="24"/>
          <w:lang w:val="en-GB" w:eastAsia="en-GB"/>
        </w:rPr>
      </w:pPr>
    </w:p>
    <w:p w:rsidR="00366A44" w:rsidRPr="00A57E40" w:rsidRDefault="00366A44" w:rsidP="00366A44">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We note that it is possible for foreign trusts to be established in New Zealand for legitimate purposes that do not include </w:t>
      </w:r>
      <w:r w:rsidR="00B75DE8" w:rsidRPr="00A57E40">
        <w:rPr>
          <w:rFonts w:ascii="Times New Roman" w:hAnsi="Times New Roman"/>
          <w:sz w:val="24"/>
          <w:szCs w:val="24"/>
          <w:lang w:val="en-GB" w:eastAsia="en-GB"/>
        </w:rPr>
        <w:t xml:space="preserve">foreign </w:t>
      </w:r>
      <w:r w:rsidRPr="00A57E40">
        <w:rPr>
          <w:rFonts w:ascii="Times New Roman" w:hAnsi="Times New Roman"/>
          <w:sz w:val="24"/>
          <w:szCs w:val="24"/>
          <w:lang w:val="en-GB" w:eastAsia="en-GB"/>
        </w:rPr>
        <w:t xml:space="preserve">tax abuse or illicit activity.  However, taxing foreign trusts </w:t>
      </w:r>
      <w:r w:rsidR="00C96C93" w:rsidRPr="00A57E40">
        <w:rPr>
          <w:rFonts w:ascii="Times New Roman" w:hAnsi="Times New Roman"/>
          <w:sz w:val="24"/>
          <w:szCs w:val="24"/>
          <w:lang w:val="en-GB" w:eastAsia="en-GB"/>
        </w:rPr>
        <w:t xml:space="preserve">on their worldwide income </w:t>
      </w:r>
      <w:r w:rsidRPr="00A57E40">
        <w:rPr>
          <w:rFonts w:ascii="Times New Roman" w:hAnsi="Times New Roman"/>
          <w:sz w:val="24"/>
          <w:szCs w:val="24"/>
          <w:lang w:val="en-GB" w:eastAsia="en-GB"/>
        </w:rPr>
        <w:t>would deter the use of trusts even if they are used only for legitimate reasons.</w:t>
      </w:r>
    </w:p>
    <w:p w:rsidR="00C96C93" w:rsidRPr="00A57E40" w:rsidRDefault="00C96C93" w:rsidP="005F1CEC">
      <w:pPr>
        <w:pStyle w:val="ListParagraph"/>
        <w:ind w:left="0"/>
        <w:rPr>
          <w:rFonts w:ascii="Times New Roman" w:hAnsi="Times New Roman"/>
          <w:sz w:val="24"/>
          <w:szCs w:val="24"/>
        </w:rPr>
      </w:pPr>
    </w:p>
    <w:p w:rsidR="00240AEF" w:rsidRDefault="00240AEF" w:rsidP="005F1CEC">
      <w:pPr>
        <w:pStyle w:val="CommentText"/>
        <w:spacing w:after="160" w:line="259" w:lineRule="auto"/>
        <w:rPr>
          <w:rFonts w:ascii="Times New Roman" w:hAnsi="Times New Roman"/>
          <w:b/>
          <w:i/>
          <w:sz w:val="24"/>
          <w:szCs w:val="24"/>
        </w:rPr>
      </w:pPr>
    </w:p>
    <w:p w:rsidR="00240AEF" w:rsidRDefault="00240AEF" w:rsidP="005F1CEC">
      <w:pPr>
        <w:pStyle w:val="CommentText"/>
        <w:spacing w:after="160" w:line="259" w:lineRule="auto"/>
        <w:rPr>
          <w:rFonts w:ascii="Times New Roman" w:hAnsi="Times New Roman"/>
          <w:b/>
          <w:i/>
          <w:sz w:val="24"/>
          <w:szCs w:val="24"/>
        </w:rPr>
      </w:pPr>
    </w:p>
    <w:p w:rsidR="00C96C93" w:rsidRPr="00A57E40" w:rsidRDefault="00C96C93" w:rsidP="005F1CEC">
      <w:pPr>
        <w:pStyle w:val="CommentText"/>
        <w:spacing w:after="160" w:line="259" w:lineRule="auto"/>
        <w:rPr>
          <w:rFonts w:ascii="Times New Roman" w:hAnsi="Times New Roman"/>
          <w:b/>
          <w:i/>
          <w:sz w:val="24"/>
          <w:szCs w:val="24"/>
        </w:rPr>
      </w:pPr>
      <w:r w:rsidRPr="00A57E40">
        <w:rPr>
          <w:rFonts w:ascii="Times New Roman" w:hAnsi="Times New Roman"/>
          <w:b/>
          <w:i/>
          <w:sz w:val="24"/>
          <w:szCs w:val="24"/>
        </w:rPr>
        <w:t>Assessment against objective and criteria – option 3</w:t>
      </w:r>
    </w:p>
    <w:p w:rsidR="003575DB" w:rsidRPr="00A57E40" w:rsidRDefault="003575DB" w:rsidP="003575DB">
      <w:pPr>
        <w:pStyle w:val="ListParagraph"/>
        <w:ind w:left="0"/>
        <w:rPr>
          <w:rFonts w:ascii="Times New Roman" w:hAnsi="Times New Roman"/>
          <w:i/>
          <w:sz w:val="24"/>
          <w:szCs w:val="24"/>
          <w:lang w:val="en-GB" w:eastAsia="en-GB"/>
        </w:rPr>
      </w:pPr>
      <w:r w:rsidRPr="00A57E40">
        <w:rPr>
          <w:rFonts w:ascii="Times New Roman" w:hAnsi="Times New Roman"/>
          <w:i/>
          <w:sz w:val="24"/>
          <w:szCs w:val="24"/>
          <w:lang w:val="en-GB" w:eastAsia="en-GB"/>
        </w:rPr>
        <w:t>Main objective</w:t>
      </w:r>
    </w:p>
    <w:p w:rsidR="00776D7C" w:rsidRPr="00A57E40" w:rsidRDefault="00776D7C" w:rsidP="003575DB">
      <w:pPr>
        <w:pStyle w:val="ListParagraph"/>
        <w:ind w:left="0"/>
        <w:rPr>
          <w:rFonts w:ascii="Times New Roman" w:hAnsi="Times New Roman"/>
          <w:i/>
          <w:sz w:val="24"/>
          <w:szCs w:val="24"/>
          <w:lang w:val="en-GB" w:eastAsia="en-GB"/>
        </w:rPr>
      </w:pPr>
    </w:p>
    <w:p w:rsidR="00366A44" w:rsidRPr="00A57E40" w:rsidRDefault="00272014" w:rsidP="00366A44">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This option would meet the main objective to r</w:t>
      </w:r>
      <w:proofErr w:type="spellStart"/>
      <w:r w:rsidRPr="00A57E40">
        <w:rPr>
          <w:rFonts w:ascii="Times New Roman" w:hAnsi="Times New Roman"/>
          <w:sz w:val="24"/>
          <w:szCs w:val="24"/>
        </w:rPr>
        <w:t>educe</w:t>
      </w:r>
      <w:proofErr w:type="spellEnd"/>
      <w:r w:rsidRPr="00A57E40">
        <w:rPr>
          <w:rFonts w:ascii="Times New Roman" w:hAnsi="Times New Roman"/>
          <w:sz w:val="24"/>
          <w:szCs w:val="24"/>
        </w:rPr>
        <w:t xml:space="preserve"> the potential for misuse of foreign trusts in New Zealand (both actual and perceived) in respect of </w:t>
      </w:r>
      <w:r w:rsidR="00C95B28" w:rsidRPr="00A57E40">
        <w:rPr>
          <w:rFonts w:ascii="Times New Roman" w:hAnsi="Times New Roman"/>
          <w:sz w:val="24"/>
          <w:szCs w:val="24"/>
        </w:rPr>
        <w:t xml:space="preserve">foreign </w:t>
      </w:r>
      <w:r w:rsidRPr="00A57E40">
        <w:rPr>
          <w:rFonts w:ascii="Times New Roman" w:hAnsi="Times New Roman"/>
          <w:sz w:val="24"/>
          <w:szCs w:val="24"/>
        </w:rPr>
        <w:t>tax avoidance or evasion</w:t>
      </w:r>
      <w:r w:rsidR="003575DB" w:rsidRPr="00A57E40">
        <w:rPr>
          <w:rFonts w:ascii="Times New Roman" w:hAnsi="Times New Roman"/>
          <w:sz w:val="24"/>
          <w:szCs w:val="24"/>
        </w:rPr>
        <w:t>.</w:t>
      </w:r>
    </w:p>
    <w:p w:rsidR="003575DB" w:rsidRPr="00A57E40" w:rsidRDefault="003575DB" w:rsidP="003575DB">
      <w:pPr>
        <w:pStyle w:val="ListParagraph"/>
        <w:ind w:left="0"/>
        <w:rPr>
          <w:rFonts w:ascii="Times New Roman" w:hAnsi="Times New Roman"/>
          <w:sz w:val="24"/>
          <w:szCs w:val="24"/>
          <w:lang w:val="en-GB" w:eastAsia="en-GB"/>
        </w:rPr>
      </w:pPr>
    </w:p>
    <w:p w:rsidR="003575DB" w:rsidRPr="00A57E40" w:rsidRDefault="000207B4" w:rsidP="003575DB">
      <w:pPr>
        <w:pStyle w:val="ListParagraph"/>
        <w:ind w:left="0"/>
        <w:rPr>
          <w:rFonts w:ascii="Times New Roman" w:hAnsi="Times New Roman"/>
          <w:i/>
          <w:sz w:val="24"/>
          <w:szCs w:val="24"/>
          <w:lang w:val="en-GB" w:eastAsia="en-GB"/>
        </w:rPr>
      </w:pPr>
      <w:r w:rsidRPr="00A57E40">
        <w:rPr>
          <w:rFonts w:ascii="Times New Roman" w:hAnsi="Times New Roman"/>
          <w:i/>
          <w:sz w:val="24"/>
          <w:szCs w:val="24"/>
          <w:lang w:val="en-GB" w:eastAsia="en-GB"/>
        </w:rPr>
        <w:t xml:space="preserve">Maintaining </w:t>
      </w:r>
      <w:r w:rsidR="003575DB" w:rsidRPr="00A57E40">
        <w:rPr>
          <w:rFonts w:ascii="Times New Roman" w:hAnsi="Times New Roman"/>
          <w:i/>
          <w:sz w:val="24"/>
          <w:szCs w:val="24"/>
          <w:lang w:val="en-GB" w:eastAsia="en-GB"/>
        </w:rPr>
        <w:t>New Zealand’s reputation</w:t>
      </w:r>
      <w:r w:rsidRPr="00A57E40">
        <w:rPr>
          <w:rFonts w:ascii="Times New Roman" w:hAnsi="Times New Roman"/>
          <w:i/>
          <w:sz w:val="24"/>
          <w:szCs w:val="24"/>
          <w:lang w:val="en-GB" w:eastAsia="en-GB"/>
        </w:rPr>
        <w:t xml:space="preserve"> as a leader in best practice of international exchange of information</w:t>
      </w:r>
    </w:p>
    <w:p w:rsidR="00CA1535" w:rsidRPr="00A57E40" w:rsidRDefault="00CA1535" w:rsidP="003575DB">
      <w:pPr>
        <w:pStyle w:val="ListParagraph"/>
        <w:ind w:left="0"/>
        <w:rPr>
          <w:rFonts w:ascii="Times New Roman" w:hAnsi="Times New Roman"/>
          <w:i/>
          <w:sz w:val="24"/>
          <w:szCs w:val="24"/>
          <w:lang w:val="en-GB" w:eastAsia="en-GB"/>
        </w:rPr>
      </w:pPr>
    </w:p>
    <w:p w:rsidR="003D6B05" w:rsidRPr="00A57E40" w:rsidRDefault="005E5A2E" w:rsidP="003C6505">
      <w:pPr>
        <w:pStyle w:val="ListParagraph"/>
        <w:numPr>
          <w:ilvl w:val="0"/>
          <w:numId w:val="2"/>
        </w:numPr>
        <w:tabs>
          <w:tab w:val="num" w:pos="0"/>
        </w:tabs>
        <w:ind w:left="0" w:firstLine="0"/>
        <w:rPr>
          <w:rFonts w:ascii="Times New Roman" w:hAnsi="Times New Roman"/>
          <w:sz w:val="24"/>
          <w:szCs w:val="24"/>
        </w:rPr>
      </w:pPr>
      <w:r w:rsidRPr="00A57E40">
        <w:rPr>
          <w:rFonts w:ascii="Times New Roman" w:hAnsi="Times New Roman"/>
          <w:sz w:val="24"/>
          <w:szCs w:val="24"/>
          <w:lang w:val="en-GB" w:eastAsia="en-GB"/>
        </w:rPr>
        <w:t>To the extent that this option deters the use of foreign trusts, there would be no relevant activity and therefore no impact on New Zealand’s reputation</w:t>
      </w:r>
      <w:r w:rsidR="00776D7C" w:rsidRPr="00A57E40">
        <w:rPr>
          <w:rFonts w:ascii="Times New Roman" w:hAnsi="Times New Roman"/>
          <w:sz w:val="24"/>
          <w:szCs w:val="24"/>
          <w:lang w:val="en-GB" w:eastAsia="en-GB"/>
        </w:rPr>
        <w:t xml:space="preserve"> as a leader in best practice of international exchange of information.</w:t>
      </w:r>
      <w:r w:rsidR="003C6505" w:rsidRPr="00A57E40">
        <w:rPr>
          <w:rFonts w:ascii="Times New Roman" w:hAnsi="Times New Roman"/>
          <w:sz w:val="24"/>
          <w:szCs w:val="24"/>
        </w:rPr>
        <w:t xml:space="preserve"> This is an improvement on </w:t>
      </w:r>
      <w:r w:rsidR="003C6505" w:rsidRPr="00A57E40">
        <w:rPr>
          <w:rFonts w:ascii="Times New Roman" w:hAnsi="Times New Roman"/>
          <w:sz w:val="24"/>
          <w:szCs w:val="24"/>
          <w:lang w:val="en-GB" w:eastAsia="en-GB"/>
        </w:rPr>
        <w:t xml:space="preserve">the status quo.  </w:t>
      </w:r>
    </w:p>
    <w:p w:rsidR="003C6505" w:rsidRPr="00A57E40" w:rsidRDefault="003C6505" w:rsidP="003C6505">
      <w:pPr>
        <w:pStyle w:val="ListParagraph"/>
        <w:ind w:left="0"/>
        <w:rPr>
          <w:rFonts w:ascii="Times New Roman" w:hAnsi="Times New Roman"/>
          <w:sz w:val="24"/>
          <w:szCs w:val="24"/>
        </w:rPr>
      </w:pPr>
    </w:p>
    <w:p w:rsidR="003575DB" w:rsidRPr="00A57E40" w:rsidRDefault="003575DB" w:rsidP="003575DB">
      <w:pPr>
        <w:rPr>
          <w:rFonts w:ascii="Times New Roman" w:hAnsi="Times New Roman"/>
          <w:i/>
          <w:sz w:val="24"/>
          <w:szCs w:val="24"/>
          <w:lang w:val="en-AU"/>
        </w:rPr>
      </w:pPr>
      <w:r w:rsidRPr="00A57E40">
        <w:rPr>
          <w:rFonts w:ascii="Times New Roman" w:hAnsi="Times New Roman"/>
          <w:i/>
          <w:sz w:val="24"/>
          <w:szCs w:val="24"/>
          <w:lang w:val="en-AU"/>
        </w:rPr>
        <w:t>Maintaining an open economy</w:t>
      </w:r>
    </w:p>
    <w:p w:rsidR="003575DB" w:rsidRPr="00A57E40" w:rsidRDefault="00655873" w:rsidP="00B75DE8">
      <w:pPr>
        <w:pStyle w:val="ListParagraph"/>
        <w:numPr>
          <w:ilvl w:val="0"/>
          <w:numId w:val="2"/>
        </w:numPr>
        <w:tabs>
          <w:tab w:val="num" w:pos="0"/>
        </w:tabs>
        <w:ind w:left="0" w:firstLine="0"/>
        <w:rPr>
          <w:rFonts w:ascii="Times New Roman" w:hAnsi="Times New Roman"/>
          <w:sz w:val="24"/>
          <w:szCs w:val="24"/>
        </w:rPr>
      </w:pPr>
      <w:r w:rsidRPr="00A57E40">
        <w:rPr>
          <w:rFonts w:ascii="Times New Roman" w:hAnsi="Times New Roman"/>
          <w:sz w:val="24"/>
          <w:szCs w:val="24"/>
        </w:rPr>
        <w:t>This option</w:t>
      </w:r>
      <w:r w:rsidR="00366A44" w:rsidRPr="00A57E40">
        <w:rPr>
          <w:rFonts w:ascii="Times New Roman" w:hAnsi="Times New Roman"/>
          <w:sz w:val="24"/>
          <w:szCs w:val="24"/>
        </w:rPr>
        <w:t xml:space="preserve"> would not be consistent with </w:t>
      </w:r>
      <w:r w:rsidR="00272014" w:rsidRPr="00A57E40">
        <w:rPr>
          <w:rFonts w:ascii="Times New Roman" w:hAnsi="Times New Roman"/>
          <w:sz w:val="24"/>
          <w:szCs w:val="24"/>
        </w:rPr>
        <w:t>maintaining an open economy which welcomes an active financial services sector</w:t>
      </w:r>
      <w:r w:rsidR="00776D7C" w:rsidRPr="00A57E40">
        <w:rPr>
          <w:rFonts w:ascii="Times New Roman" w:hAnsi="Times New Roman"/>
          <w:sz w:val="24"/>
          <w:szCs w:val="24"/>
        </w:rPr>
        <w:t>, as this would deter the use of foreign trusts in New Zealand in situations where they are used for legitimate reasons</w:t>
      </w:r>
      <w:r w:rsidR="00E27D99" w:rsidRPr="00A57E40">
        <w:rPr>
          <w:rFonts w:ascii="Times New Roman" w:hAnsi="Times New Roman"/>
          <w:sz w:val="24"/>
          <w:szCs w:val="24"/>
        </w:rPr>
        <w:t>.  This may adversely impact New Zealand’s financial services sector.  This would be worse than the status quo.</w:t>
      </w:r>
      <w:r w:rsidR="00272014" w:rsidRPr="00A57E40">
        <w:rPr>
          <w:rFonts w:ascii="Times New Roman" w:hAnsi="Times New Roman"/>
          <w:sz w:val="24"/>
          <w:szCs w:val="24"/>
        </w:rPr>
        <w:t xml:space="preserve"> </w:t>
      </w:r>
    </w:p>
    <w:p w:rsidR="00B75DE8" w:rsidRPr="00A57E40" w:rsidRDefault="00B75DE8" w:rsidP="005E5A2E">
      <w:pPr>
        <w:pStyle w:val="ListParagraph"/>
        <w:ind w:left="0"/>
        <w:rPr>
          <w:rFonts w:ascii="Times New Roman" w:hAnsi="Times New Roman"/>
          <w:sz w:val="24"/>
          <w:szCs w:val="24"/>
        </w:rPr>
      </w:pPr>
    </w:p>
    <w:p w:rsidR="003575DB" w:rsidRPr="00A57E40" w:rsidRDefault="003575DB" w:rsidP="003575DB">
      <w:pPr>
        <w:rPr>
          <w:rFonts w:ascii="Times New Roman" w:hAnsi="Times New Roman"/>
          <w:i/>
          <w:sz w:val="24"/>
          <w:szCs w:val="24"/>
        </w:rPr>
      </w:pPr>
      <w:r w:rsidRPr="00A57E40">
        <w:rPr>
          <w:rFonts w:ascii="Times New Roman" w:hAnsi="Times New Roman"/>
          <w:i/>
          <w:sz w:val="24"/>
          <w:szCs w:val="24"/>
        </w:rPr>
        <w:t>Coherency of the tax system</w:t>
      </w:r>
    </w:p>
    <w:p w:rsidR="003575DB" w:rsidRPr="00A57E40" w:rsidRDefault="003575DB" w:rsidP="003575DB">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rPr>
        <w:t>This option is not consistent with other fundamental principles of the tax system, which does not tax foreign</w:t>
      </w:r>
      <w:r w:rsidR="00E27D99" w:rsidRPr="00A57E40">
        <w:rPr>
          <w:rFonts w:ascii="Times New Roman" w:hAnsi="Times New Roman"/>
          <w:sz w:val="24"/>
          <w:szCs w:val="24"/>
        </w:rPr>
        <w:t>-sourced</w:t>
      </w:r>
      <w:r w:rsidRPr="00A57E40">
        <w:rPr>
          <w:rFonts w:ascii="Times New Roman" w:hAnsi="Times New Roman"/>
          <w:sz w:val="24"/>
          <w:szCs w:val="24"/>
        </w:rPr>
        <w:t xml:space="preserve"> income of </w:t>
      </w:r>
      <w:r w:rsidR="00E27D99" w:rsidRPr="00A57E40">
        <w:rPr>
          <w:rFonts w:ascii="Times New Roman" w:hAnsi="Times New Roman"/>
          <w:sz w:val="24"/>
          <w:szCs w:val="24"/>
        </w:rPr>
        <w:t>non-</w:t>
      </w:r>
      <w:r w:rsidRPr="00A57E40">
        <w:rPr>
          <w:rFonts w:ascii="Times New Roman" w:hAnsi="Times New Roman"/>
          <w:sz w:val="24"/>
          <w:szCs w:val="24"/>
        </w:rPr>
        <w:t>residents and therefore lacks coherence.</w:t>
      </w:r>
      <w:r w:rsidR="00E27D99" w:rsidRPr="00A57E40">
        <w:rPr>
          <w:rFonts w:ascii="Times New Roman" w:hAnsi="Times New Roman"/>
          <w:sz w:val="24"/>
          <w:szCs w:val="24"/>
        </w:rPr>
        <w:t xml:space="preserve"> Accordingly, this would be worse than the status quo.</w:t>
      </w:r>
    </w:p>
    <w:p w:rsidR="003575DB" w:rsidRPr="00A57E40" w:rsidRDefault="003575DB" w:rsidP="00B75DE8">
      <w:pPr>
        <w:pStyle w:val="ListParagraph"/>
        <w:ind w:left="0"/>
        <w:rPr>
          <w:rFonts w:ascii="Times New Roman" w:hAnsi="Times New Roman"/>
          <w:sz w:val="24"/>
          <w:szCs w:val="24"/>
          <w:lang w:val="en-GB" w:eastAsia="en-GB"/>
        </w:rPr>
      </w:pPr>
    </w:p>
    <w:p w:rsidR="003575DB" w:rsidRPr="00A57E40" w:rsidRDefault="003575DB" w:rsidP="003575DB">
      <w:pPr>
        <w:pStyle w:val="ListParagraph"/>
        <w:ind w:left="0"/>
        <w:rPr>
          <w:rFonts w:ascii="Times New Roman" w:hAnsi="Times New Roman"/>
          <w:i/>
          <w:sz w:val="24"/>
          <w:szCs w:val="24"/>
        </w:rPr>
      </w:pPr>
      <w:r w:rsidRPr="00A57E40">
        <w:rPr>
          <w:rFonts w:ascii="Times New Roman" w:hAnsi="Times New Roman"/>
          <w:i/>
          <w:sz w:val="24"/>
          <w:szCs w:val="24"/>
        </w:rPr>
        <w:t xml:space="preserve">Fairness and </w:t>
      </w:r>
      <w:r w:rsidR="005E5A2E" w:rsidRPr="00A57E40">
        <w:rPr>
          <w:rFonts w:ascii="Times New Roman" w:hAnsi="Times New Roman"/>
          <w:i/>
          <w:sz w:val="24"/>
          <w:szCs w:val="24"/>
        </w:rPr>
        <w:t>integrity</w:t>
      </w:r>
    </w:p>
    <w:p w:rsidR="00776D7C" w:rsidRPr="00A57E40" w:rsidRDefault="00776D7C" w:rsidP="003575DB">
      <w:pPr>
        <w:pStyle w:val="ListParagraph"/>
        <w:ind w:left="0"/>
        <w:rPr>
          <w:rFonts w:ascii="Times New Roman" w:hAnsi="Times New Roman"/>
          <w:i/>
          <w:sz w:val="24"/>
          <w:szCs w:val="24"/>
          <w:lang w:val="en-GB" w:eastAsia="en-GB"/>
        </w:rPr>
      </w:pPr>
    </w:p>
    <w:p w:rsidR="00B75DE8" w:rsidRPr="00A57E40" w:rsidRDefault="003575DB" w:rsidP="00B75DE8">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rPr>
        <w:t xml:space="preserve"> </w:t>
      </w:r>
      <w:r w:rsidR="00B75DE8" w:rsidRPr="00A57E40">
        <w:rPr>
          <w:rFonts w:ascii="Times New Roman" w:hAnsi="Times New Roman"/>
          <w:sz w:val="24"/>
          <w:szCs w:val="24"/>
          <w:lang w:val="en-GB" w:eastAsia="en-GB"/>
        </w:rPr>
        <w:t xml:space="preserve">The impact of this option on New Zealand’s on fairness and integrity is likely to be mixed. Overall, to the extent that foreign trusts are (or are perceived to be) misused for foreign tax avoidance or illicit purposes, this would have a positive impact.  On the other hand, to the extent that foreign trusts are used for legitimate purposes, this option may have a negative impact as, in the context of New Zealand’s other rules, this approach may be perceived as </w:t>
      </w:r>
      <w:r w:rsidR="008746F3" w:rsidRPr="00A57E40">
        <w:rPr>
          <w:rFonts w:ascii="Times New Roman" w:hAnsi="Times New Roman"/>
          <w:sz w:val="24"/>
          <w:szCs w:val="24"/>
          <w:lang w:val="en-GB" w:eastAsia="en-GB"/>
        </w:rPr>
        <w:t>inconsistent</w:t>
      </w:r>
      <w:r w:rsidR="00B75DE8" w:rsidRPr="00A57E40">
        <w:rPr>
          <w:rFonts w:ascii="Times New Roman" w:hAnsi="Times New Roman"/>
          <w:sz w:val="24"/>
          <w:szCs w:val="24"/>
          <w:lang w:val="en-GB" w:eastAsia="en-GB"/>
        </w:rPr>
        <w:t xml:space="preserve">. </w:t>
      </w:r>
      <w:r w:rsidR="008746F3" w:rsidRPr="00A57E40">
        <w:rPr>
          <w:rFonts w:ascii="Times New Roman" w:hAnsi="Times New Roman"/>
          <w:sz w:val="24"/>
          <w:szCs w:val="24"/>
          <w:lang w:val="en-GB" w:eastAsia="en-GB"/>
        </w:rPr>
        <w:t>I</w:t>
      </w:r>
      <w:r w:rsidR="00E27D99" w:rsidRPr="00A57E40">
        <w:rPr>
          <w:rFonts w:ascii="Times New Roman" w:hAnsi="Times New Roman"/>
          <w:sz w:val="24"/>
          <w:szCs w:val="24"/>
          <w:lang w:val="en-GB" w:eastAsia="en-GB"/>
        </w:rPr>
        <w:t xml:space="preserve">t is not clear that option 3 is better or worse than the status quo.  </w:t>
      </w:r>
    </w:p>
    <w:p w:rsidR="00C93993" w:rsidRPr="00A57E40" w:rsidRDefault="00C93993" w:rsidP="00C93993">
      <w:pPr>
        <w:pStyle w:val="ListParagraph"/>
        <w:rPr>
          <w:rFonts w:ascii="Times New Roman" w:hAnsi="Times New Roman"/>
          <w:sz w:val="24"/>
          <w:szCs w:val="24"/>
          <w:lang w:val="en-GB" w:eastAsia="en-GB"/>
        </w:rPr>
      </w:pPr>
    </w:p>
    <w:p w:rsidR="00C96C93" w:rsidRPr="00A57E40" w:rsidRDefault="009761DA" w:rsidP="00B75DE8">
      <w:pPr>
        <w:rPr>
          <w:rFonts w:ascii="Times New Roman" w:hAnsi="Times New Roman"/>
          <w:i/>
          <w:sz w:val="24"/>
          <w:szCs w:val="24"/>
        </w:rPr>
      </w:pPr>
      <w:r w:rsidRPr="00A57E40">
        <w:rPr>
          <w:rFonts w:ascii="Times New Roman" w:hAnsi="Times New Roman"/>
          <w:i/>
          <w:sz w:val="24"/>
          <w:szCs w:val="24"/>
        </w:rPr>
        <w:t xml:space="preserve">Efficiency of compliance and administration </w:t>
      </w:r>
    </w:p>
    <w:p w:rsidR="00B24798" w:rsidRPr="00A57E40" w:rsidRDefault="00B24798" w:rsidP="00B24798">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AU"/>
        </w:rPr>
        <w:t>If</w:t>
      </w:r>
      <w:r w:rsidR="005E5A2E" w:rsidRPr="00A57E40">
        <w:rPr>
          <w:rFonts w:ascii="Times New Roman" w:hAnsi="Times New Roman"/>
          <w:sz w:val="24"/>
          <w:szCs w:val="24"/>
          <w:lang w:val="en-AU"/>
        </w:rPr>
        <w:t xml:space="preserve"> </w:t>
      </w:r>
      <w:r w:rsidRPr="00A57E40">
        <w:rPr>
          <w:rFonts w:ascii="Times New Roman" w:hAnsi="Times New Roman"/>
          <w:sz w:val="24"/>
          <w:szCs w:val="24"/>
          <w:lang w:val="en-AU"/>
        </w:rPr>
        <w:t xml:space="preserve">this option significantly </w:t>
      </w:r>
      <w:r w:rsidRPr="00A57E40">
        <w:rPr>
          <w:rFonts w:ascii="Times New Roman" w:hAnsi="Times New Roman"/>
          <w:sz w:val="24"/>
          <w:szCs w:val="24"/>
          <w:lang w:val="en-GB" w:eastAsia="en-GB"/>
        </w:rPr>
        <w:t>reduce</w:t>
      </w:r>
      <w:r w:rsidR="00CA1535" w:rsidRPr="00A57E40">
        <w:rPr>
          <w:rFonts w:ascii="Times New Roman" w:hAnsi="Times New Roman"/>
          <w:sz w:val="24"/>
          <w:szCs w:val="24"/>
          <w:lang w:val="en-GB" w:eastAsia="en-GB"/>
        </w:rPr>
        <w:t>s</w:t>
      </w:r>
      <w:r w:rsidRPr="00A57E40">
        <w:rPr>
          <w:rFonts w:ascii="Times New Roman" w:hAnsi="Times New Roman"/>
          <w:sz w:val="24"/>
          <w:szCs w:val="24"/>
          <w:lang w:val="en-GB" w:eastAsia="en-GB"/>
        </w:rPr>
        <w:t xml:space="preserve"> the likelihood of foreign trusts operating in New Zealand</w:t>
      </w:r>
      <w:r w:rsidR="00E27D99" w:rsidRPr="00A57E40">
        <w:rPr>
          <w:rFonts w:ascii="Times New Roman" w:hAnsi="Times New Roman"/>
          <w:sz w:val="24"/>
          <w:szCs w:val="24"/>
          <w:lang w:val="en-GB" w:eastAsia="en-GB"/>
        </w:rPr>
        <w:t>, which we would expect to happen</w:t>
      </w:r>
      <w:r w:rsidRPr="00A57E40">
        <w:rPr>
          <w:rFonts w:ascii="Times New Roman" w:hAnsi="Times New Roman"/>
          <w:sz w:val="24"/>
          <w:szCs w:val="24"/>
          <w:lang w:val="en-GB" w:eastAsia="en-GB"/>
        </w:rPr>
        <w:t xml:space="preserve">, this would reduce </w:t>
      </w:r>
      <w:r w:rsidRPr="00A57E40">
        <w:rPr>
          <w:rFonts w:ascii="Times New Roman" w:hAnsi="Times New Roman"/>
          <w:sz w:val="24"/>
          <w:szCs w:val="24"/>
        </w:rPr>
        <w:t xml:space="preserve">administrative costs to Inland Revenue, and compliance costs </w:t>
      </w:r>
      <w:r w:rsidR="00CA1535" w:rsidRPr="00A57E40">
        <w:rPr>
          <w:rFonts w:ascii="Times New Roman" w:hAnsi="Times New Roman"/>
          <w:sz w:val="24"/>
          <w:szCs w:val="24"/>
        </w:rPr>
        <w:t xml:space="preserve">for </w:t>
      </w:r>
      <w:r w:rsidR="00E27D99" w:rsidRPr="00A57E40">
        <w:rPr>
          <w:rFonts w:ascii="Times New Roman" w:hAnsi="Times New Roman"/>
          <w:sz w:val="24"/>
          <w:szCs w:val="24"/>
        </w:rPr>
        <w:t>foreign</w:t>
      </w:r>
      <w:r w:rsidR="00CA1535" w:rsidRPr="00A57E40">
        <w:rPr>
          <w:rFonts w:ascii="Times New Roman" w:hAnsi="Times New Roman"/>
          <w:sz w:val="24"/>
          <w:szCs w:val="24"/>
        </w:rPr>
        <w:t xml:space="preserve"> trusts</w:t>
      </w:r>
      <w:r w:rsidRPr="00A57E40">
        <w:rPr>
          <w:rFonts w:ascii="Times New Roman" w:hAnsi="Times New Roman"/>
          <w:sz w:val="24"/>
          <w:szCs w:val="24"/>
        </w:rPr>
        <w:t xml:space="preserve">. </w:t>
      </w:r>
      <w:r w:rsidR="00E27D99" w:rsidRPr="00A57E40">
        <w:rPr>
          <w:rFonts w:ascii="Times New Roman" w:hAnsi="Times New Roman"/>
          <w:sz w:val="24"/>
          <w:szCs w:val="24"/>
        </w:rPr>
        <w:t xml:space="preserve">In this respect it would be an improvement on the status quo. </w:t>
      </w:r>
    </w:p>
    <w:p w:rsidR="00C93993" w:rsidRPr="00A57E40" w:rsidRDefault="00C93993" w:rsidP="00C93993">
      <w:pPr>
        <w:pStyle w:val="ListParagraph"/>
        <w:rPr>
          <w:rFonts w:ascii="Times New Roman" w:hAnsi="Times New Roman"/>
          <w:sz w:val="24"/>
          <w:szCs w:val="24"/>
          <w:lang w:val="en-GB" w:eastAsia="en-GB"/>
        </w:rPr>
      </w:pPr>
    </w:p>
    <w:p w:rsidR="00DD0315" w:rsidRPr="00A57E40" w:rsidRDefault="00DD0315" w:rsidP="004342F0">
      <w:pPr>
        <w:pStyle w:val="spacer"/>
        <w:rPr>
          <w:rFonts w:ascii="Times New Roman" w:hAnsi="Times New Roman"/>
          <w:sz w:val="24"/>
          <w:szCs w:val="24"/>
          <w:lang w:val="en-AU"/>
        </w:rPr>
      </w:pPr>
    </w:p>
    <w:p w:rsidR="000545DC" w:rsidRPr="00A57E40" w:rsidRDefault="00D943DD" w:rsidP="00DD0315">
      <w:pPr>
        <w:spacing w:after="0" w:line="240" w:lineRule="auto"/>
        <w:rPr>
          <w:rFonts w:ascii="Times New Roman" w:hAnsi="Times New Roman"/>
          <w:b/>
          <w:sz w:val="24"/>
          <w:szCs w:val="24"/>
        </w:rPr>
      </w:pPr>
      <w:r w:rsidRPr="00A57E40">
        <w:rPr>
          <w:rFonts w:ascii="Times New Roman" w:hAnsi="Times New Roman"/>
          <w:b/>
          <w:sz w:val="24"/>
          <w:szCs w:val="24"/>
        </w:rPr>
        <w:t>CONSULTATION</w:t>
      </w:r>
      <w:bookmarkEnd w:id="22"/>
      <w:bookmarkEnd w:id="23"/>
      <w:bookmarkEnd w:id="24"/>
      <w:bookmarkEnd w:id="25"/>
      <w:bookmarkEnd w:id="26"/>
    </w:p>
    <w:p w:rsidR="00DD0315" w:rsidRPr="00A57E40" w:rsidRDefault="00DD0315" w:rsidP="00DD0315">
      <w:pPr>
        <w:spacing w:after="0" w:line="240" w:lineRule="auto"/>
        <w:rPr>
          <w:rFonts w:ascii="Times New Roman" w:hAnsi="Times New Roman"/>
          <w:b/>
          <w:sz w:val="24"/>
          <w:szCs w:val="24"/>
        </w:rPr>
      </w:pPr>
    </w:p>
    <w:p w:rsidR="00CB0708" w:rsidRPr="00A57E40" w:rsidRDefault="00CB0708" w:rsidP="00177B46">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Inland Revenue has consulted with The Treasury, the Ministry of Justice, the Department of Internal Affairs, and the </w:t>
      </w:r>
      <w:r w:rsidR="00C96C93" w:rsidRPr="00A57E40">
        <w:rPr>
          <w:rFonts w:ascii="Times New Roman" w:hAnsi="Times New Roman"/>
          <w:sz w:val="24"/>
          <w:szCs w:val="24"/>
          <w:lang w:val="en-GB" w:eastAsia="en-GB"/>
        </w:rPr>
        <w:t xml:space="preserve">New Zealand </w:t>
      </w:r>
      <w:r w:rsidRPr="00A57E40">
        <w:rPr>
          <w:rFonts w:ascii="Times New Roman" w:hAnsi="Times New Roman"/>
          <w:sz w:val="24"/>
          <w:szCs w:val="24"/>
          <w:lang w:val="en-GB" w:eastAsia="en-GB"/>
        </w:rPr>
        <w:t xml:space="preserve">Police.  </w:t>
      </w:r>
      <w:r w:rsidR="00ED2BFA" w:rsidRPr="00A57E40">
        <w:rPr>
          <w:rFonts w:ascii="Times New Roman" w:hAnsi="Times New Roman"/>
          <w:sz w:val="24"/>
          <w:szCs w:val="24"/>
          <w:lang w:val="en-GB" w:eastAsia="en-GB"/>
        </w:rPr>
        <w:t>They have raised no concerns with the proposals in the preferred option (option 2).</w:t>
      </w:r>
    </w:p>
    <w:p w:rsidR="00CB0708" w:rsidRPr="00A57E40" w:rsidRDefault="00CB0708" w:rsidP="00177B46">
      <w:pPr>
        <w:pStyle w:val="ListParagraph"/>
        <w:ind w:left="0"/>
        <w:rPr>
          <w:rFonts w:ascii="Times New Roman" w:hAnsi="Times New Roman"/>
          <w:sz w:val="24"/>
          <w:szCs w:val="24"/>
          <w:lang w:val="en-GB" w:eastAsia="en-GB"/>
        </w:rPr>
      </w:pPr>
    </w:p>
    <w:p w:rsidR="00CB0708" w:rsidRPr="00A57E40" w:rsidRDefault="00CB0708" w:rsidP="00177B46">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 </w:t>
      </w:r>
      <w:r w:rsidR="00545D86" w:rsidRPr="00A57E40">
        <w:rPr>
          <w:rFonts w:ascii="Times New Roman" w:hAnsi="Times New Roman"/>
          <w:sz w:val="24"/>
          <w:szCs w:val="24"/>
          <w:lang w:val="en-GB" w:eastAsia="en-GB"/>
        </w:rPr>
        <w:t>T</w:t>
      </w:r>
      <w:r w:rsidRPr="00A57E40">
        <w:rPr>
          <w:rFonts w:ascii="Times New Roman" w:hAnsi="Times New Roman"/>
          <w:sz w:val="24"/>
          <w:szCs w:val="24"/>
          <w:lang w:val="en-GB" w:eastAsia="en-GB"/>
        </w:rPr>
        <w:t xml:space="preserve">o ensure that amendments recommended by the Inquiry and accepted by the Government could be implemented </w:t>
      </w:r>
      <w:r w:rsidR="005E5A2E" w:rsidRPr="00A57E40">
        <w:rPr>
          <w:rFonts w:ascii="Times New Roman" w:hAnsi="Times New Roman"/>
          <w:sz w:val="24"/>
          <w:szCs w:val="24"/>
          <w:lang w:val="en-GB" w:eastAsia="en-GB"/>
        </w:rPr>
        <w:t xml:space="preserve">in line with the </w:t>
      </w:r>
      <w:r w:rsidR="00ED2BFA" w:rsidRPr="00A57E40">
        <w:rPr>
          <w:rFonts w:ascii="Times New Roman" w:hAnsi="Times New Roman"/>
          <w:sz w:val="24"/>
          <w:szCs w:val="24"/>
          <w:lang w:val="en-GB" w:eastAsia="en-GB"/>
        </w:rPr>
        <w:t>application timeframes recommended by the Inquiry</w:t>
      </w:r>
      <w:r w:rsidR="005E5A2E" w:rsidRPr="00A57E40">
        <w:rPr>
          <w:rFonts w:ascii="Times New Roman" w:hAnsi="Times New Roman"/>
          <w:sz w:val="24"/>
          <w:szCs w:val="24"/>
          <w:lang w:val="en-GB" w:eastAsia="en-GB"/>
        </w:rPr>
        <w:t>,</w:t>
      </w:r>
      <w:r w:rsidR="00680141" w:rsidRPr="00A57E40">
        <w:rPr>
          <w:rFonts w:ascii="Times New Roman" w:hAnsi="Times New Roman"/>
          <w:sz w:val="24"/>
          <w:szCs w:val="24"/>
          <w:lang w:val="en-GB" w:eastAsia="en-GB"/>
        </w:rPr>
        <w:t xml:space="preserve"> </w:t>
      </w:r>
      <w:r w:rsidRPr="00A57E40">
        <w:rPr>
          <w:rFonts w:ascii="Times New Roman" w:hAnsi="Times New Roman"/>
          <w:sz w:val="24"/>
          <w:szCs w:val="24"/>
          <w:lang w:val="en-GB" w:eastAsia="en-GB"/>
        </w:rPr>
        <w:t>while still being subject to select committee scrutiny</w:t>
      </w:r>
      <w:r w:rsidR="00545D86" w:rsidRPr="00A57E40">
        <w:rPr>
          <w:rFonts w:ascii="Times New Roman" w:hAnsi="Times New Roman"/>
          <w:sz w:val="24"/>
          <w:szCs w:val="24"/>
          <w:lang w:val="en-GB" w:eastAsia="en-GB"/>
        </w:rPr>
        <w:t xml:space="preserve">, the time period for preparing this </w:t>
      </w:r>
      <w:proofErr w:type="spellStart"/>
      <w:r w:rsidR="00545D86" w:rsidRPr="00A57E40">
        <w:rPr>
          <w:rFonts w:ascii="Times New Roman" w:hAnsi="Times New Roman"/>
          <w:sz w:val="24"/>
          <w:szCs w:val="24"/>
          <w:lang w:val="en-GB" w:eastAsia="en-GB"/>
        </w:rPr>
        <w:t>RIS</w:t>
      </w:r>
      <w:proofErr w:type="spellEnd"/>
      <w:r w:rsidR="00545D86" w:rsidRPr="00A57E40">
        <w:rPr>
          <w:rFonts w:ascii="Times New Roman" w:hAnsi="Times New Roman"/>
          <w:sz w:val="24"/>
          <w:szCs w:val="24"/>
          <w:lang w:val="en-GB" w:eastAsia="en-GB"/>
        </w:rPr>
        <w:t xml:space="preserve"> has been shortened.  Accordingly, Inland Revenue has not consulted </w:t>
      </w:r>
      <w:r w:rsidR="008746F3" w:rsidRPr="00A57E40">
        <w:rPr>
          <w:rFonts w:ascii="Times New Roman" w:hAnsi="Times New Roman"/>
          <w:sz w:val="24"/>
          <w:szCs w:val="24"/>
          <w:lang w:val="en-GB" w:eastAsia="en-GB"/>
        </w:rPr>
        <w:t>more widely</w:t>
      </w:r>
      <w:r w:rsidR="00545D86" w:rsidRPr="00A57E40">
        <w:rPr>
          <w:rFonts w:ascii="Times New Roman" w:hAnsi="Times New Roman"/>
          <w:sz w:val="24"/>
          <w:szCs w:val="24"/>
          <w:lang w:val="en-GB" w:eastAsia="en-GB"/>
        </w:rPr>
        <w:t xml:space="preserve"> on the proposals.</w:t>
      </w:r>
    </w:p>
    <w:p w:rsidR="00CB0708" w:rsidRPr="00A57E40" w:rsidRDefault="00CB0708" w:rsidP="00DD0315">
      <w:pPr>
        <w:pStyle w:val="ListParagraph"/>
        <w:ind w:left="2410"/>
        <w:rPr>
          <w:rFonts w:ascii="Times New Roman" w:hAnsi="Times New Roman"/>
          <w:sz w:val="24"/>
          <w:szCs w:val="24"/>
          <w:lang w:val="en-GB" w:eastAsia="en-GB"/>
        </w:rPr>
      </w:pPr>
    </w:p>
    <w:p w:rsidR="00CB0708" w:rsidRPr="00A57E40" w:rsidRDefault="00CB0708" w:rsidP="00177B46">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However, in forming its recommendations, the Inquiry </w:t>
      </w:r>
      <w:r w:rsidR="00297194" w:rsidRPr="00A57E40">
        <w:rPr>
          <w:rFonts w:ascii="Times New Roman" w:hAnsi="Times New Roman"/>
          <w:sz w:val="24"/>
          <w:szCs w:val="24"/>
          <w:lang w:val="en-GB" w:eastAsia="en-GB"/>
        </w:rPr>
        <w:t xml:space="preserve">invited public submissions, and received </w:t>
      </w:r>
      <w:r w:rsidRPr="00A57E40">
        <w:rPr>
          <w:rFonts w:ascii="Times New Roman" w:hAnsi="Times New Roman"/>
          <w:sz w:val="24"/>
          <w:szCs w:val="24"/>
          <w:lang w:val="en-GB" w:eastAsia="en-GB"/>
        </w:rPr>
        <w:t xml:space="preserve">23 submissions, including from Chartered Accountants Australia New Zealand, the New Zealand Law Society, Transparency International, the New Zealand Council of Trade Unions, accounting firms, trust and company services providers, and individuals. The Inquiry </w:t>
      </w:r>
      <w:r w:rsidR="00504024" w:rsidRPr="00A57E40">
        <w:rPr>
          <w:rFonts w:ascii="Times New Roman" w:hAnsi="Times New Roman"/>
          <w:sz w:val="24"/>
          <w:szCs w:val="24"/>
          <w:lang w:val="en-GB" w:eastAsia="en-GB"/>
        </w:rPr>
        <w:t xml:space="preserve">also </w:t>
      </w:r>
      <w:r w:rsidRPr="00A57E40">
        <w:rPr>
          <w:rFonts w:ascii="Times New Roman" w:hAnsi="Times New Roman"/>
          <w:sz w:val="24"/>
          <w:szCs w:val="24"/>
          <w:lang w:val="en-GB" w:eastAsia="en-GB"/>
        </w:rPr>
        <w:t>consulted with the Privacy Commissioner.</w:t>
      </w:r>
    </w:p>
    <w:p w:rsidR="00C96C93" w:rsidRPr="00A57E40" w:rsidRDefault="00C96C93" w:rsidP="00E135CB">
      <w:pPr>
        <w:pStyle w:val="ListParagraph"/>
        <w:ind w:left="0"/>
        <w:rPr>
          <w:rFonts w:ascii="Times New Roman" w:hAnsi="Times New Roman"/>
          <w:sz w:val="24"/>
          <w:szCs w:val="24"/>
          <w:lang w:val="en-GB" w:eastAsia="en-GB"/>
        </w:rPr>
      </w:pPr>
    </w:p>
    <w:p w:rsidR="00F264E8" w:rsidRPr="00A57E40" w:rsidRDefault="00297194" w:rsidP="00F264E8">
      <w:pPr>
        <w:pStyle w:val="ListParagraph"/>
        <w:numPr>
          <w:ilvl w:val="0"/>
          <w:numId w:val="2"/>
        </w:numPr>
        <w:tabs>
          <w:tab w:val="num" w:pos="0"/>
        </w:tabs>
        <w:ind w:left="0" w:right="170" w:firstLine="0"/>
        <w:rPr>
          <w:rFonts w:ascii="Times New Roman" w:hAnsi="Times New Roman"/>
          <w:sz w:val="24"/>
          <w:szCs w:val="24"/>
        </w:rPr>
      </w:pPr>
      <w:r w:rsidRPr="00A57E40">
        <w:rPr>
          <w:rFonts w:ascii="Times New Roman" w:hAnsi="Times New Roman"/>
          <w:sz w:val="24"/>
          <w:szCs w:val="24"/>
          <w:lang w:val="en-GB" w:eastAsia="en-GB"/>
        </w:rPr>
        <w:t>Part 11 of the Inquiry’s report summarised the submissions</w:t>
      </w:r>
      <w:r w:rsidR="00545D86" w:rsidRPr="00A57E40">
        <w:rPr>
          <w:rFonts w:ascii="Times New Roman" w:hAnsi="Times New Roman"/>
          <w:sz w:val="24"/>
          <w:szCs w:val="24"/>
          <w:lang w:val="en-GB" w:eastAsia="en-GB"/>
        </w:rPr>
        <w:t xml:space="preserve"> made to it.  </w:t>
      </w:r>
    </w:p>
    <w:p w:rsidR="00F264E8" w:rsidRPr="00A57E40" w:rsidRDefault="00F264E8" w:rsidP="00F517F0">
      <w:pPr>
        <w:pStyle w:val="ListParagraph"/>
        <w:ind w:left="0" w:right="170"/>
        <w:rPr>
          <w:rFonts w:ascii="Times New Roman" w:hAnsi="Times New Roman"/>
          <w:sz w:val="24"/>
          <w:szCs w:val="24"/>
        </w:rPr>
      </w:pPr>
    </w:p>
    <w:p w:rsidR="00545D86" w:rsidRPr="00A57E40" w:rsidRDefault="00F264E8" w:rsidP="00F264E8">
      <w:pPr>
        <w:pStyle w:val="ListParagraph"/>
        <w:numPr>
          <w:ilvl w:val="0"/>
          <w:numId w:val="2"/>
        </w:numPr>
        <w:tabs>
          <w:tab w:val="num" w:pos="0"/>
        </w:tabs>
        <w:ind w:left="0" w:right="170" w:firstLine="0"/>
        <w:rPr>
          <w:rFonts w:ascii="Times New Roman" w:hAnsi="Times New Roman"/>
          <w:sz w:val="24"/>
          <w:szCs w:val="24"/>
        </w:rPr>
      </w:pPr>
      <w:r w:rsidRPr="00A57E40">
        <w:rPr>
          <w:rFonts w:ascii="Times New Roman" w:hAnsi="Times New Roman"/>
          <w:sz w:val="24"/>
          <w:szCs w:val="24"/>
          <w:lang w:val="en-GB" w:eastAsia="en-GB"/>
        </w:rPr>
        <w:t xml:space="preserve"> Most </w:t>
      </w:r>
      <w:r w:rsidR="00545D86" w:rsidRPr="00A57E40">
        <w:rPr>
          <w:rFonts w:ascii="Times New Roman" w:hAnsi="Times New Roman"/>
          <w:sz w:val="24"/>
          <w:szCs w:val="24"/>
          <w:lang w:val="en-GB" w:eastAsia="en-GB"/>
        </w:rPr>
        <w:t xml:space="preserve">of the </w:t>
      </w:r>
      <w:r w:rsidRPr="00A57E40">
        <w:rPr>
          <w:rFonts w:ascii="Times New Roman" w:hAnsi="Times New Roman"/>
          <w:sz w:val="24"/>
          <w:szCs w:val="24"/>
          <w:lang w:val="en-GB" w:eastAsia="en-GB"/>
        </w:rPr>
        <w:t xml:space="preserve">submitters who commented on </w:t>
      </w:r>
      <w:r w:rsidR="00545D86" w:rsidRPr="00A57E40">
        <w:rPr>
          <w:rFonts w:ascii="Times New Roman" w:hAnsi="Times New Roman"/>
          <w:sz w:val="24"/>
          <w:szCs w:val="24"/>
          <w:lang w:val="en-GB" w:eastAsia="en-GB"/>
        </w:rPr>
        <w:t xml:space="preserve">the taxation of foreign trusts considered that settlor-based approach for taxing trusts (which results in the tax exemption for foreign trusts) should continue, but that there should </w:t>
      </w:r>
      <w:r w:rsidR="00B73150" w:rsidRPr="00A57E40">
        <w:rPr>
          <w:rFonts w:ascii="Times New Roman" w:hAnsi="Times New Roman"/>
          <w:sz w:val="24"/>
          <w:szCs w:val="24"/>
          <w:lang w:val="en-GB" w:eastAsia="en-GB"/>
        </w:rPr>
        <w:t xml:space="preserve">be </w:t>
      </w:r>
      <w:r w:rsidR="00F517F0" w:rsidRPr="00A57E40">
        <w:rPr>
          <w:rFonts w:ascii="Times New Roman" w:hAnsi="Times New Roman"/>
          <w:sz w:val="24"/>
          <w:szCs w:val="24"/>
          <w:lang w:val="en-GB" w:eastAsia="en-GB"/>
        </w:rPr>
        <w:t>some changes to disclosure requirements</w:t>
      </w:r>
      <w:r w:rsidRPr="00A57E40">
        <w:rPr>
          <w:rFonts w:ascii="Times New Roman" w:hAnsi="Times New Roman"/>
          <w:sz w:val="24"/>
          <w:szCs w:val="24"/>
          <w:lang w:val="en-GB" w:eastAsia="en-GB"/>
        </w:rPr>
        <w:t>.</w:t>
      </w:r>
      <w:r w:rsidR="00F517F0" w:rsidRPr="00A57E40">
        <w:rPr>
          <w:rFonts w:ascii="Times New Roman" w:hAnsi="Times New Roman"/>
          <w:sz w:val="24"/>
          <w:szCs w:val="24"/>
          <w:lang w:val="en-GB" w:eastAsia="en-GB"/>
        </w:rPr>
        <w:t xml:space="preserve"> </w:t>
      </w:r>
      <w:r w:rsidR="00797751" w:rsidRPr="00A57E40">
        <w:rPr>
          <w:rFonts w:ascii="Times New Roman" w:hAnsi="Times New Roman"/>
          <w:sz w:val="24"/>
          <w:szCs w:val="24"/>
          <w:lang w:val="en-GB" w:eastAsia="en-GB"/>
        </w:rPr>
        <w:t xml:space="preserve"> Two submitters considered that the trust should be </w:t>
      </w:r>
      <w:r w:rsidR="00545D86" w:rsidRPr="00A57E40">
        <w:rPr>
          <w:rFonts w:ascii="Times New Roman" w:hAnsi="Times New Roman"/>
          <w:sz w:val="24"/>
          <w:szCs w:val="24"/>
          <w:lang w:val="en-GB" w:eastAsia="en-GB"/>
        </w:rPr>
        <w:t xml:space="preserve">taxed on </w:t>
      </w:r>
      <w:r w:rsidR="00797751" w:rsidRPr="00A57E40">
        <w:rPr>
          <w:rFonts w:ascii="Times New Roman" w:hAnsi="Times New Roman"/>
          <w:sz w:val="24"/>
          <w:szCs w:val="24"/>
          <w:lang w:val="en-GB" w:eastAsia="en-GB"/>
        </w:rPr>
        <w:t xml:space="preserve">its worldwide income if there is a resident trustee. </w:t>
      </w:r>
      <w:r w:rsidR="00545D86" w:rsidRPr="00A57E40">
        <w:rPr>
          <w:rFonts w:ascii="Times New Roman" w:hAnsi="Times New Roman"/>
          <w:sz w:val="24"/>
          <w:szCs w:val="24"/>
          <w:lang w:val="en-GB" w:eastAsia="en-GB"/>
        </w:rPr>
        <w:t xml:space="preserve">One submitter suggested abolishing foreign trusts.  </w:t>
      </w:r>
    </w:p>
    <w:p w:rsidR="00545D86" w:rsidRPr="00A57E40" w:rsidRDefault="00545D86" w:rsidP="00CB24D4">
      <w:pPr>
        <w:pStyle w:val="ListParagraph"/>
        <w:rPr>
          <w:rFonts w:ascii="Times New Roman" w:hAnsi="Times New Roman"/>
          <w:sz w:val="24"/>
          <w:szCs w:val="24"/>
          <w:lang w:val="en-GB" w:eastAsia="en-GB"/>
        </w:rPr>
      </w:pPr>
    </w:p>
    <w:p w:rsidR="00CB0708" w:rsidRPr="00A57E40" w:rsidRDefault="00F517F0" w:rsidP="00F264E8">
      <w:pPr>
        <w:pStyle w:val="ListParagraph"/>
        <w:numPr>
          <w:ilvl w:val="0"/>
          <w:numId w:val="2"/>
        </w:numPr>
        <w:tabs>
          <w:tab w:val="num" w:pos="0"/>
        </w:tabs>
        <w:ind w:left="0" w:right="170" w:firstLine="0"/>
        <w:rPr>
          <w:rFonts w:ascii="Times New Roman" w:hAnsi="Times New Roman"/>
          <w:sz w:val="24"/>
          <w:szCs w:val="24"/>
        </w:rPr>
      </w:pPr>
      <w:r w:rsidRPr="00A57E40">
        <w:rPr>
          <w:rFonts w:ascii="Times New Roman" w:hAnsi="Times New Roman"/>
          <w:sz w:val="24"/>
          <w:szCs w:val="24"/>
          <w:lang w:val="en-GB" w:eastAsia="en-GB"/>
        </w:rPr>
        <w:t xml:space="preserve">Most </w:t>
      </w:r>
      <w:r w:rsidR="00CA1535" w:rsidRPr="00A57E40">
        <w:rPr>
          <w:rFonts w:ascii="Times New Roman" w:hAnsi="Times New Roman"/>
          <w:sz w:val="24"/>
          <w:szCs w:val="24"/>
          <w:lang w:val="en-GB" w:eastAsia="en-GB"/>
        </w:rPr>
        <w:t xml:space="preserve">submitters who commented on </w:t>
      </w:r>
      <w:r w:rsidRPr="00A57E40">
        <w:rPr>
          <w:rFonts w:ascii="Times New Roman" w:hAnsi="Times New Roman"/>
          <w:sz w:val="24"/>
          <w:szCs w:val="24"/>
          <w:lang w:val="en-GB" w:eastAsia="en-GB"/>
        </w:rPr>
        <w:t xml:space="preserve">the current disclosure rules considered the current disclosure regime to be inadequate.  </w:t>
      </w:r>
      <w:r w:rsidR="00504024" w:rsidRPr="00A57E40">
        <w:rPr>
          <w:rFonts w:ascii="Times New Roman" w:hAnsi="Times New Roman"/>
          <w:sz w:val="24"/>
          <w:szCs w:val="24"/>
          <w:lang w:val="en-GB" w:eastAsia="en-GB"/>
        </w:rPr>
        <w:t xml:space="preserve">The Inquiry </w:t>
      </w:r>
      <w:r w:rsidR="00B73150" w:rsidRPr="00A57E40">
        <w:rPr>
          <w:rFonts w:ascii="Times New Roman" w:hAnsi="Times New Roman"/>
          <w:sz w:val="24"/>
          <w:szCs w:val="24"/>
          <w:lang w:val="en-GB" w:eastAsia="en-GB"/>
        </w:rPr>
        <w:t xml:space="preserve">noted </w:t>
      </w:r>
      <w:r w:rsidR="00504024" w:rsidRPr="00A57E40">
        <w:rPr>
          <w:rFonts w:ascii="Times New Roman" w:hAnsi="Times New Roman"/>
          <w:sz w:val="24"/>
          <w:szCs w:val="24"/>
          <w:lang w:val="en-GB" w:eastAsia="en-GB"/>
        </w:rPr>
        <w:t xml:space="preserve">that not all submissions were explicit about what disclosure obligations should be changed.  One </w:t>
      </w:r>
      <w:r w:rsidR="00B73150" w:rsidRPr="00A57E40">
        <w:rPr>
          <w:rFonts w:ascii="Times New Roman" w:hAnsi="Times New Roman"/>
          <w:sz w:val="24"/>
          <w:szCs w:val="24"/>
          <w:lang w:val="en-GB" w:eastAsia="en-GB"/>
        </w:rPr>
        <w:t xml:space="preserve">submitter </w:t>
      </w:r>
      <w:r w:rsidR="00504024" w:rsidRPr="00A57E40">
        <w:rPr>
          <w:rFonts w:ascii="Times New Roman" w:hAnsi="Times New Roman"/>
          <w:sz w:val="24"/>
          <w:szCs w:val="24"/>
          <w:lang w:val="en-GB" w:eastAsia="en-GB"/>
        </w:rPr>
        <w:t>thought that providing the extra information that is obtained for Australian settlors would be sufficient, while others wanted more extensive disclosure</w:t>
      </w:r>
      <w:r w:rsidR="008746F3" w:rsidRPr="00A57E40">
        <w:rPr>
          <w:rFonts w:ascii="Times New Roman" w:hAnsi="Times New Roman"/>
          <w:sz w:val="24"/>
          <w:szCs w:val="24"/>
          <w:lang w:val="en-GB" w:eastAsia="en-GB"/>
        </w:rPr>
        <w:t>,</w:t>
      </w:r>
      <w:r w:rsidR="00504024" w:rsidRPr="00A57E40">
        <w:rPr>
          <w:rFonts w:ascii="Times New Roman" w:hAnsi="Times New Roman"/>
          <w:sz w:val="24"/>
          <w:szCs w:val="24"/>
          <w:lang w:val="en-GB" w:eastAsia="en-GB"/>
        </w:rPr>
        <w:t xml:space="preserve"> including details of settlor</w:t>
      </w:r>
      <w:r w:rsidR="008746F3" w:rsidRPr="00A57E40">
        <w:rPr>
          <w:rFonts w:ascii="Times New Roman" w:hAnsi="Times New Roman"/>
          <w:sz w:val="24"/>
          <w:szCs w:val="24"/>
          <w:lang w:val="en-GB" w:eastAsia="en-GB"/>
        </w:rPr>
        <w:t>s</w:t>
      </w:r>
      <w:r w:rsidR="00504024" w:rsidRPr="00A57E40">
        <w:rPr>
          <w:rFonts w:ascii="Times New Roman" w:hAnsi="Times New Roman"/>
          <w:sz w:val="24"/>
          <w:szCs w:val="24"/>
          <w:lang w:val="en-GB" w:eastAsia="en-GB"/>
        </w:rPr>
        <w:t xml:space="preserve"> and beneficiaries and annual income statements and distribution information.</w:t>
      </w:r>
    </w:p>
    <w:p w:rsidR="00504024" w:rsidRPr="00A57E40" w:rsidRDefault="00504024" w:rsidP="00CB24D4">
      <w:pPr>
        <w:pStyle w:val="ListParagraph"/>
        <w:rPr>
          <w:rFonts w:ascii="Times New Roman" w:hAnsi="Times New Roman"/>
          <w:sz w:val="24"/>
          <w:szCs w:val="24"/>
        </w:rPr>
      </w:pPr>
    </w:p>
    <w:p w:rsidR="00504024" w:rsidRPr="00A57E40" w:rsidRDefault="00504024" w:rsidP="00504024">
      <w:pPr>
        <w:pStyle w:val="ListParagraph"/>
        <w:numPr>
          <w:ilvl w:val="0"/>
          <w:numId w:val="2"/>
        </w:numPr>
        <w:tabs>
          <w:tab w:val="num" w:pos="0"/>
        </w:tabs>
        <w:ind w:left="0" w:right="170" w:firstLine="0"/>
        <w:rPr>
          <w:rFonts w:ascii="Times New Roman" w:hAnsi="Times New Roman"/>
          <w:sz w:val="24"/>
          <w:szCs w:val="24"/>
        </w:rPr>
      </w:pPr>
      <w:r w:rsidRPr="00A57E40">
        <w:rPr>
          <w:rFonts w:ascii="Times New Roman" w:hAnsi="Times New Roman"/>
          <w:sz w:val="24"/>
          <w:szCs w:val="24"/>
        </w:rPr>
        <w:t>The Inquiry noted that a number of submissions considered that the upcoming requirements to provide information under AEOI should help address shortfalls in disclosure, and that some thought that AEOI would be a complete solution.  However, the Inquiry concluded in Part 6 that</w:t>
      </w:r>
      <w:r w:rsidR="000F3359" w:rsidRPr="00A57E40">
        <w:rPr>
          <w:rFonts w:ascii="Times New Roman" w:hAnsi="Times New Roman"/>
          <w:sz w:val="24"/>
          <w:szCs w:val="24"/>
        </w:rPr>
        <w:t>,</w:t>
      </w:r>
      <w:r w:rsidRPr="00A57E40">
        <w:rPr>
          <w:rFonts w:ascii="Times New Roman" w:hAnsi="Times New Roman"/>
          <w:sz w:val="24"/>
          <w:szCs w:val="24"/>
        </w:rPr>
        <w:t xml:space="preserve"> for a significant number of foreign trusts</w:t>
      </w:r>
      <w:r w:rsidR="000F3359" w:rsidRPr="00A57E40">
        <w:rPr>
          <w:rFonts w:ascii="Times New Roman" w:hAnsi="Times New Roman"/>
          <w:sz w:val="24"/>
          <w:szCs w:val="24"/>
        </w:rPr>
        <w:t>,</w:t>
      </w:r>
      <w:r w:rsidRPr="00A57E40">
        <w:rPr>
          <w:rFonts w:ascii="Times New Roman" w:hAnsi="Times New Roman"/>
          <w:sz w:val="24"/>
          <w:szCs w:val="24"/>
        </w:rPr>
        <w:t xml:space="preserve"> AEOI will not result in any material increase in the amount of information required to be disclosed to Inland Revenue.  Inland Revenue agrees that the AEOI due diligence and reporting requirements seem likely to have only limited application to foreign trusts. </w:t>
      </w:r>
    </w:p>
    <w:p w:rsidR="00DD0315" w:rsidRPr="00A57E40" w:rsidRDefault="00DD0315" w:rsidP="00CB0708">
      <w:pPr>
        <w:pStyle w:val="Bullet-list"/>
        <w:spacing w:after="0" w:line="240" w:lineRule="auto"/>
        <w:ind w:left="0" w:right="170" w:firstLine="0"/>
        <w:rPr>
          <w:rFonts w:ascii="Times New Roman" w:hAnsi="Times New Roman"/>
          <w:sz w:val="24"/>
          <w:szCs w:val="24"/>
        </w:rPr>
      </w:pPr>
    </w:p>
    <w:p w:rsidR="000545DC" w:rsidRPr="00A57E40" w:rsidRDefault="00D943DD" w:rsidP="00DD0315">
      <w:pPr>
        <w:spacing w:after="0" w:line="240" w:lineRule="auto"/>
        <w:rPr>
          <w:rFonts w:ascii="Times New Roman" w:hAnsi="Times New Roman"/>
          <w:b/>
          <w:sz w:val="24"/>
          <w:szCs w:val="24"/>
        </w:rPr>
      </w:pPr>
      <w:bookmarkStart w:id="27" w:name="_Preferred_option_[optional]"/>
      <w:bookmarkStart w:id="28" w:name="_Toc244580367"/>
      <w:bookmarkStart w:id="29" w:name="_Toc244587043"/>
      <w:bookmarkStart w:id="30" w:name="_Toc244857277"/>
      <w:bookmarkStart w:id="31" w:name="_Toc244912542"/>
      <w:bookmarkStart w:id="32" w:name="_Toc244916999"/>
      <w:bookmarkEnd w:id="27"/>
      <w:r w:rsidRPr="00A57E40">
        <w:rPr>
          <w:rFonts w:ascii="Times New Roman" w:hAnsi="Times New Roman"/>
          <w:b/>
          <w:sz w:val="24"/>
          <w:szCs w:val="24"/>
        </w:rPr>
        <w:t>CONCLUSIONS AND RECOMMENDATIONS</w:t>
      </w:r>
      <w:bookmarkEnd w:id="28"/>
      <w:bookmarkEnd w:id="29"/>
      <w:bookmarkEnd w:id="30"/>
      <w:bookmarkEnd w:id="31"/>
      <w:bookmarkEnd w:id="32"/>
    </w:p>
    <w:p w:rsidR="00DD0315" w:rsidRPr="00A57E40" w:rsidRDefault="00DD0315" w:rsidP="00DD0315">
      <w:pPr>
        <w:spacing w:after="0" w:line="240" w:lineRule="auto"/>
        <w:rPr>
          <w:rFonts w:ascii="Times New Roman" w:hAnsi="Times New Roman"/>
          <w:b/>
          <w:sz w:val="24"/>
          <w:szCs w:val="24"/>
        </w:rPr>
      </w:pPr>
    </w:p>
    <w:p w:rsidR="00C52008" w:rsidRPr="00A57E40" w:rsidRDefault="00C52008" w:rsidP="005E0C05">
      <w:pPr>
        <w:pStyle w:val="ListParagraph"/>
        <w:numPr>
          <w:ilvl w:val="0"/>
          <w:numId w:val="2"/>
        </w:numPr>
        <w:tabs>
          <w:tab w:val="num" w:pos="0"/>
        </w:tabs>
        <w:ind w:left="0" w:firstLine="0"/>
        <w:rPr>
          <w:rFonts w:ascii="Times New Roman" w:hAnsi="Times New Roman"/>
          <w:sz w:val="24"/>
          <w:szCs w:val="24"/>
          <w:lang w:val="en-GB" w:eastAsia="en-GB"/>
        </w:rPr>
      </w:pPr>
      <w:bookmarkStart w:id="33" w:name="_Toc244580368"/>
      <w:bookmarkStart w:id="34" w:name="_Toc244587044"/>
      <w:bookmarkStart w:id="35" w:name="_Toc244857278"/>
      <w:bookmarkStart w:id="36" w:name="_Toc244912543"/>
      <w:bookmarkStart w:id="37" w:name="_Toc244917000"/>
      <w:r w:rsidRPr="00A57E40">
        <w:rPr>
          <w:rFonts w:ascii="Times New Roman" w:hAnsi="Times New Roman"/>
          <w:sz w:val="24"/>
          <w:szCs w:val="24"/>
          <w:lang w:val="en-GB" w:eastAsia="en-GB"/>
        </w:rPr>
        <w:t>The following table summarises the consideration of the options from the re</w:t>
      </w:r>
      <w:r w:rsidR="00047EC6" w:rsidRPr="00A57E40">
        <w:rPr>
          <w:rFonts w:ascii="Times New Roman" w:hAnsi="Times New Roman"/>
          <w:sz w:val="24"/>
          <w:szCs w:val="24"/>
          <w:lang w:val="en-GB" w:eastAsia="en-GB"/>
        </w:rPr>
        <w:t>gulatory analysis section above.  W</w:t>
      </w:r>
      <w:r w:rsidRPr="00A57E40">
        <w:rPr>
          <w:rFonts w:ascii="Times New Roman" w:hAnsi="Times New Roman"/>
          <w:sz w:val="24"/>
          <w:szCs w:val="24"/>
          <w:lang w:val="en-GB" w:eastAsia="en-GB"/>
        </w:rPr>
        <w:t>ithin the overview table the following symbols are used:</w:t>
      </w:r>
    </w:p>
    <w:p w:rsidR="00C52008" w:rsidRPr="00A57E40" w:rsidRDefault="00C52008" w:rsidP="00C52008">
      <w:pPr>
        <w:spacing w:after="0" w:line="240" w:lineRule="auto"/>
        <w:ind w:left="720"/>
        <w:contextualSpacing/>
        <w:jc w:val="both"/>
        <w:rPr>
          <w:rFonts w:ascii="Wingdings 2" w:eastAsiaTheme="minorHAnsi" w:hAnsi="Wingdings 2"/>
          <w:sz w:val="24"/>
          <w:szCs w:val="24"/>
          <w:lang w:val="en-NZ" w:eastAsia="en-US"/>
        </w:rPr>
      </w:pPr>
    </w:p>
    <w:p w:rsidR="00DD0315" w:rsidRPr="00A57E40" w:rsidRDefault="00DD0315" w:rsidP="00C52008">
      <w:pPr>
        <w:spacing w:after="0" w:line="240" w:lineRule="auto"/>
        <w:ind w:left="720"/>
        <w:contextualSpacing/>
        <w:jc w:val="both"/>
        <w:rPr>
          <w:rFonts w:ascii="Wingdings 2" w:eastAsiaTheme="minorHAnsi" w:hAnsi="Wingdings 2"/>
          <w:sz w:val="24"/>
          <w:szCs w:val="24"/>
          <w:lang w:val="en-NZ" w:eastAsia="en-US"/>
        </w:rPr>
      </w:pPr>
    </w:p>
    <w:p w:rsidR="00C52008" w:rsidRPr="00A57E40" w:rsidRDefault="00C52008" w:rsidP="00680141">
      <w:pPr>
        <w:pStyle w:val="ListParagraph"/>
        <w:numPr>
          <w:ilvl w:val="0"/>
          <w:numId w:val="16"/>
        </w:numPr>
        <w:ind w:left="2268" w:firstLine="0"/>
        <w:rPr>
          <w:rFonts w:ascii="Times New Roman" w:eastAsiaTheme="minorHAnsi" w:hAnsi="Times New Roman"/>
          <w:sz w:val="24"/>
          <w:szCs w:val="24"/>
        </w:rPr>
      </w:pPr>
      <w:r w:rsidRPr="00A57E40">
        <w:rPr>
          <w:rFonts w:ascii="Times New Roman" w:eastAsiaTheme="minorHAnsi" w:hAnsi="Times New Roman"/>
          <w:sz w:val="24"/>
          <w:szCs w:val="24"/>
        </w:rPr>
        <w:t xml:space="preserve">Better than the status quo  </w:t>
      </w:r>
    </w:p>
    <w:p w:rsidR="00C52008" w:rsidRPr="00A57E40" w:rsidRDefault="00C52008" w:rsidP="00680141">
      <w:pPr>
        <w:pStyle w:val="ListParagraph"/>
        <w:numPr>
          <w:ilvl w:val="0"/>
          <w:numId w:val="15"/>
        </w:numPr>
        <w:ind w:left="2268" w:firstLine="0"/>
        <w:rPr>
          <w:rFonts w:ascii="Times New Roman" w:eastAsiaTheme="minorHAnsi" w:hAnsi="Times New Roman"/>
          <w:sz w:val="24"/>
          <w:szCs w:val="24"/>
        </w:rPr>
      </w:pPr>
      <w:r w:rsidRPr="00A57E40">
        <w:rPr>
          <w:rFonts w:ascii="Times New Roman" w:eastAsiaTheme="minorHAnsi" w:hAnsi="Times New Roman"/>
          <w:sz w:val="24"/>
          <w:szCs w:val="24"/>
        </w:rPr>
        <w:t xml:space="preserve">No better than the status quo </w:t>
      </w:r>
    </w:p>
    <w:p w:rsidR="00C52008" w:rsidRPr="00A57E40" w:rsidRDefault="00C52008" w:rsidP="00DD0315">
      <w:pPr>
        <w:spacing w:after="0" w:line="240" w:lineRule="auto"/>
        <w:ind w:left="2268"/>
        <w:contextualSpacing/>
        <w:jc w:val="both"/>
        <w:rPr>
          <w:rFonts w:ascii="Times New Roman" w:eastAsiaTheme="minorHAnsi" w:hAnsi="Times New Roman"/>
          <w:sz w:val="24"/>
          <w:szCs w:val="24"/>
          <w:lang w:val="en-NZ" w:eastAsia="en-US"/>
        </w:rPr>
      </w:pPr>
      <w:r w:rsidRPr="00A57E40">
        <w:rPr>
          <w:rFonts w:ascii="Wingdings 2" w:eastAsiaTheme="minorHAnsi" w:hAnsi="Wingdings 2"/>
          <w:sz w:val="24"/>
          <w:szCs w:val="24"/>
          <w:lang w:val="en-NZ" w:eastAsia="en-US"/>
        </w:rPr>
        <w:t></w:t>
      </w:r>
      <w:r w:rsidRPr="00A57E40">
        <w:rPr>
          <w:rFonts w:ascii="Wingdings 2" w:eastAsiaTheme="minorHAnsi" w:hAnsi="Wingdings 2"/>
          <w:sz w:val="24"/>
          <w:szCs w:val="24"/>
          <w:lang w:val="en-NZ" w:eastAsia="en-US"/>
        </w:rPr>
        <w:t></w:t>
      </w:r>
      <w:r w:rsidR="00C96C93" w:rsidRPr="00A57E40">
        <w:rPr>
          <w:rFonts w:ascii="Wingdings 2" w:eastAsiaTheme="minorHAnsi" w:hAnsi="Wingdings 2"/>
          <w:sz w:val="24"/>
          <w:szCs w:val="24"/>
          <w:lang w:val="en-NZ" w:eastAsia="en-US"/>
        </w:rPr>
        <w:tab/>
      </w:r>
      <w:r w:rsidRPr="00A57E40">
        <w:rPr>
          <w:rFonts w:ascii="Times New Roman" w:eastAsiaTheme="minorHAnsi" w:hAnsi="Times New Roman"/>
          <w:sz w:val="24"/>
          <w:szCs w:val="24"/>
          <w:lang w:val="en-NZ" w:eastAsia="en-US"/>
        </w:rPr>
        <w:t xml:space="preserve">Worse than the status quo </w:t>
      </w:r>
    </w:p>
    <w:p w:rsidR="00E27D99" w:rsidRPr="00A57E40" w:rsidRDefault="00E27D99" w:rsidP="00DD0315">
      <w:pPr>
        <w:spacing w:after="0" w:line="240" w:lineRule="auto"/>
        <w:ind w:left="2268"/>
        <w:contextualSpacing/>
        <w:jc w:val="both"/>
        <w:rPr>
          <w:rFonts w:ascii="Times New Roman" w:eastAsiaTheme="minorHAnsi" w:hAnsi="Times New Roman"/>
          <w:sz w:val="24"/>
          <w:szCs w:val="24"/>
          <w:lang w:val="en-NZ" w:eastAsia="en-US"/>
        </w:rPr>
      </w:pPr>
      <w:r w:rsidRPr="00A57E40">
        <w:rPr>
          <w:rFonts w:ascii="Times New Roman" w:eastAsiaTheme="minorHAnsi" w:hAnsi="Times New Roman"/>
          <w:sz w:val="24"/>
          <w:szCs w:val="24"/>
          <w:lang w:val="en-NZ" w:eastAsia="en-US"/>
        </w:rPr>
        <w:t xml:space="preserve">? </w:t>
      </w:r>
      <w:r w:rsidRPr="00A57E40">
        <w:rPr>
          <w:rFonts w:ascii="Times New Roman" w:eastAsiaTheme="minorHAnsi" w:hAnsi="Times New Roman"/>
          <w:sz w:val="24"/>
          <w:szCs w:val="24"/>
          <w:lang w:val="en-NZ" w:eastAsia="en-US"/>
        </w:rPr>
        <w:tab/>
        <w:t>Unclear</w:t>
      </w:r>
    </w:p>
    <w:p w:rsidR="00C52008" w:rsidRPr="00A57E40" w:rsidRDefault="00C52008" w:rsidP="00C52008">
      <w:pPr>
        <w:pStyle w:val="TRNormal"/>
        <w:tabs>
          <w:tab w:val="left" w:pos="567"/>
        </w:tabs>
        <w:rPr>
          <w:i/>
          <w:szCs w:val="24"/>
        </w:rPr>
      </w:pPr>
    </w:p>
    <w:p w:rsidR="00DD0315" w:rsidRPr="00A57E40" w:rsidRDefault="00DD0315" w:rsidP="00C52008">
      <w:pPr>
        <w:pStyle w:val="TRNormal"/>
        <w:tabs>
          <w:tab w:val="left" w:pos="567"/>
        </w:tabs>
        <w:rPr>
          <w:i/>
          <w:szCs w:val="24"/>
        </w:rPr>
      </w:pPr>
    </w:p>
    <w:tbl>
      <w:tblPr>
        <w:tblStyle w:val="TableGrid"/>
        <w:tblW w:w="0" w:type="auto"/>
        <w:tblCellMar>
          <w:top w:w="85" w:type="dxa"/>
          <w:bottom w:w="85" w:type="dxa"/>
        </w:tblCellMar>
        <w:tblLook w:val="04A0" w:firstRow="1" w:lastRow="0" w:firstColumn="1" w:lastColumn="0" w:noHBand="0" w:noVBand="1"/>
      </w:tblPr>
      <w:tblGrid>
        <w:gridCol w:w="4643"/>
        <w:gridCol w:w="4644"/>
      </w:tblGrid>
      <w:tr w:rsidR="00C52008" w:rsidRPr="00A57E40" w:rsidTr="00225924">
        <w:tc>
          <w:tcPr>
            <w:tcW w:w="4643" w:type="dxa"/>
          </w:tcPr>
          <w:p w:rsidR="00C52008" w:rsidRPr="00A57E40" w:rsidRDefault="00C52008" w:rsidP="00225924">
            <w:pPr>
              <w:pStyle w:val="TRNormal"/>
              <w:tabs>
                <w:tab w:val="left" w:pos="567"/>
              </w:tabs>
              <w:spacing w:line="240" w:lineRule="auto"/>
              <w:rPr>
                <w:b/>
                <w:sz w:val="22"/>
              </w:rPr>
            </w:pPr>
            <w:r w:rsidRPr="00A57E40">
              <w:rPr>
                <w:b/>
                <w:sz w:val="22"/>
              </w:rPr>
              <w:t>Options</w:t>
            </w:r>
          </w:p>
        </w:tc>
        <w:tc>
          <w:tcPr>
            <w:tcW w:w="4644" w:type="dxa"/>
          </w:tcPr>
          <w:p w:rsidR="00C52008" w:rsidRPr="00A57E40" w:rsidRDefault="00C52008" w:rsidP="00225924">
            <w:pPr>
              <w:pStyle w:val="TRNormal"/>
              <w:tabs>
                <w:tab w:val="left" w:pos="567"/>
              </w:tabs>
              <w:spacing w:line="240" w:lineRule="auto"/>
              <w:rPr>
                <w:b/>
                <w:sz w:val="22"/>
              </w:rPr>
            </w:pPr>
            <w:r w:rsidRPr="00A57E40">
              <w:rPr>
                <w:b/>
                <w:sz w:val="22"/>
              </w:rPr>
              <w:t>Analysis against the objective and criteria</w:t>
            </w:r>
          </w:p>
        </w:tc>
      </w:tr>
      <w:tr w:rsidR="00C52008" w:rsidRPr="00A57E40" w:rsidTr="00225924">
        <w:tc>
          <w:tcPr>
            <w:tcW w:w="4643" w:type="dxa"/>
          </w:tcPr>
          <w:p w:rsidR="00C52008" w:rsidRPr="00A57E40" w:rsidRDefault="00C52008" w:rsidP="00225924">
            <w:pPr>
              <w:pStyle w:val="TRNormal"/>
              <w:tabs>
                <w:tab w:val="left" w:pos="567"/>
              </w:tabs>
              <w:spacing w:line="240" w:lineRule="auto"/>
              <w:rPr>
                <w:sz w:val="22"/>
              </w:rPr>
            </w:pPr>
            <w:r w:rsidRPr="00A57E40">
              <w:rPr>
                <w:sz w:val="22"/>
              </w:rPr>
              <w:t>Option 1 – Status quo</w:t>
            </w:r>
          </w:p>
        </w:tc>
        <w:tc>
          <w:tcPr>
            <w:tcW w:w="4644" w:type="dxa"/>
          </w:tcPr>
          <w:p w:rsidR="00C52008" w:rsidRPr="00A57E40" w:rsidRDefault="00C52008" w:rsidP="0070586A">
            <w:pPr>
              <w:pStyle w:val="TRNormal"/>
              <w:tabs>
                <w:tab w:val="left" w:pos="567"/>
              </w:tabs>
              <w:spacing w:line="240" w:lineRule="auto"/>
              <w:rPr>
                <w:sz w:val="22"/>
              </w:rPr>
            </w:pPr>
            <w:r w:rsidRPr="00A57E40">
              <w:rPr>
                <w:sz w:val="22"/>
              </w:rPr>
              <w:t>Does not meet the main objective</w:t>
            </w:r>
          </w:p>
        </w:tc>
      </w:tr>
      <w:tr w:rsidR="00C52008" w:rsidRPr="00A57E40" w:rsidTr="00225924">
        <w:tc>
          <w:tcPr>
            <w:tcW w:w="4643" w:type="dxa"/>
          </w:tcPr>
          <w:p w:rsidR="00C52008" w:rsidRPr="00A57E40" w:rsidRDefault="00C52008" w:rsidP="00225924">
            <w:pPr>
              <w:pStyle w:val="TRNormal"/>
              <w:tabs>
                <w:tab w:val="left" w:pos="567"/>
              </w:tabs>
              <w:spacing w:line="240" w:lineRule="auto"/>
              <w:rPr>
                <w:sz w:val="22"/>
              </w:rPr>
            </w:pPr>
            <w:r w:rsidRPr="00A57E40">
              <w:rPr>
                <w:sz w:val="22"/>
              </w:rPr>
              <w:t xml:space="preserve">Option 2 – Increased disclosure, largely following the Inquiry’s recommendations </w:t>
            </w:r>
            <w:r w:rsidRPr="00A57E40">
              <w:rPr>
                <w:i/>
                <w:sz w:val="22"/>
              </w:rPr>
              <w:t>(Inland Revenue’s recommended option)</w:t>
            </w:r>
          </w:p>
        </w:tc>
        <w:tc>
          <w:tcPr>
            <w:tcW w:w="4644" w:type="dxa"/>
          </w:tcPr>
          <w:p w:rsidR="00C52008" w:rsidRPr="00A57E40" w:rsidRDefault="005E5A2E" w:rsidP="00225924">
            <w:pPr>
              <w:pStyle w:val="TRNormal"/>
              <w:tabs>
                <w:tab w:val="left" w:pos="567"/>
              </w:tabs>
              <w:spacing w:line="240" w:lineRule="auto"/>
              <w:rPr>
                <w:sz w:val="22"/>
              </w:rPr>
            </w:pPr>
            <w:r w:rsidRPr="00A57E40">
              <w:rPr>
                <w:sz w:val="22"/>
              </w:rPr>
              <w:t>M</w:t>
            </w:r>
            <w:r w:rsidR="002E667E" w:rsidRPr="00A57E40">
              <w:rPr>
                <w:sz w:val="22"/>
              </w:rPr>
              <w:t xml:space="preserve">eets the main objective </w:t>
            </w:r>
          </w:p>
          <w:p w:rsidR="00C52008" w:rsidRPr="00A57E40" w:rsidRDefault="00C52008" w:rsidP="00225924">
            <w:pPr>
              <w:pStyle w:val="TRNormal"/>
              <w:tabs>
                <w:tab w:val="left" w:pos="567"/>
              </w:tabs>
              <w:spacing w:line="240" w:lineRule="auto"/>
              <w:rPr>
                <w:sz w:val="22"/>
              </w:rPr>
            </w:pPr>
          </w:p>
          <w:p w:rsidR="002E667E" w:rsidRPr="00A57E40" w:rsidRDefault="002E667E" w:rsidP="002E667E">
            <w:pPr>
              <w:pStyle w:val="TRNormal"/>
              <w:tabs>
                <w:tab w:val="left" w:pos="567"/>
              </w:tabs>
              <w:spacing w:line="240" w:lineRule="auto"/>
              <w:rPr>
                <w:sz w:val="22"/>
              </w:rPr>
            </w:pPr>
            <w:r w:rsidRPr="00A57E40">
              <w:rPr>
                <w:sz w:val="22"/>
              </w:rPr>
              <w:t xml:space="preserve">New Zealand’s reputation </w:t>
            </w:r>
            <w:r w:rsidRPr="00A57E40">
              <w:rPr>
                <w:rFonts w:ascii="Wingdings 2" w:eastAsiaTheme="minorHAnsi" w:hAnsi="Wingdings 2"/>
                <w:szCs w:val="24"/>
                <w:lang w:eastAsia="en-US"/>
              </w:rPr>
              <w:t></w:t>
            </w:r>
          </w:p>
          <w:p w:rsidR="002E667E" w:rsidRPr="00A57E40" w:rsidRDefault="002E667E" w:rsidP="002E667E">
            <w:pPr>
              <w:pStyle w:val="TRNormal"/>
              <w:tabs>
                <w:tab w:val="left" w:pos="567"/>
              </w:tabs>
              <w:spacing w:line="240" w:lineRule="auto"/>
              <w:rPr>
                <w:rFonts w:ascii="Wingdings 2" w:eastAsiaTheme="minorHAnsi" w:hAnsi="Wingdings 2"/>
                <w:szCs w:val="24"/>
                <w:lang w:eastAsia="en-US"/>
              </w:rPr>
            </w:pPr>
            <w:r w:rsidRPr="00A57E40">
              <w:rPr>
                <w:sz w:val="22"/>
              </w:rPr>
              <w:t xml:space="preserve">Open economy </w:t>
            </w:r>
            <w:r w:rsidRPr="00A57E40">
              <w:rPr>
                <w:rFonts w:ascii="Wingdings 2" w:eastAsiaTheme="minorHAnsi" w:hAnsi="Wingdings 2"/>
                <w:szCs w:val="24"/>
                <w:lang w:eastAsia="en-US"/>
              </w:rPr>
              <w:t></w:t>
            </w:r>
          </w:p>
          <w:p w:rsidR="006B516A" w:rsidRPr="00A57E40" w:rsidRDefault="006B516A" w:rsidP="002E667E">
            <w:pPr>
              <w:pStyle w:val="TRNormal"/>
              <w:tabs>
                <w:tab w:val="left" w:pos="567"/>
              </w:tabs>
              <w:spacing w:line="240" w:lineRule="auto"/>
              <w:rPr>
                <w:rFonts w:ascii="Wingdings 2" w:eastAsiaTheme="minorHAnsi" w:hAnsi="Wingdings 2"/>
                <w:szCs w:val="24"/>
                <w:lang w:eastAsia="en-US"/>
              </w:rPr>
            </w:pPr>
            <w:r w:rsidRPr="00A57E40">
              <w:rPr>
                <w:sz w:val="22"/>
              </w:rPr>
              <w:t xml:space="preserve">Fairness and integrity </w:t>
            </w:r>
            <w:r w:rsidRPr="00A57E40">
              <w:rPr>
                <w:rFonts w:ascii="Wingdings 2" w:eastAsiaTheme="minorHAnsi" w:hAnsi="Wingdings 2"/>
                <w:szCs w:val="24"/>
                <w:lang w:eastAsia="en-US"/>
              </w:rPr>
              <w:t></w:t>
            </w:r>
          </w:p>
          <w:p w:rsidR="002E667E" w:rsidRPr="00A57E40" w:rsidRDefault="002E667E" w:rsidP="002E667E">
            <w:pPr>
              <w:pStyle w:val="TRNormal"/>
              <w:tabs>
                <w:tab w:val="left" w:pos="567"/>
              </w:tabs>
              <w:spacing w:line="240" w:lineRule="auto"/>
              <w:rPr>
                <w:sz w:val="22"/>
              </w:rPr>
            </w:pPr>
            <w:r w:rsidRPr="00A57E40">
              <w:rPr>
                <w:sz w:val="22"/>
              </w:rPr>
              <w:t xml:space="preserve">Coherency of tax system </w:t>
            </w:r>
            <w:r w:rsidRPr="00A57E40">
              <w:rPr>
                <w:rFonts w:ascii="Wingdings 2" w:eastAsiaTheme="minorHAnsi" w:hAnsi="Wingdings 2"/>
                <w:szCs w:val="24"/>
                <w:lang w:eastAsia="en-US"/>
              </w:rPr>
              <w:t></w:t>
            </w:r>
          </w:p>
          <w:p w:rsidR="006B516A" w:rsidRPr="00A57E40" w:rsidRDefault="002E667E" w:rsidP="00225924">
            <w:pPr>
              <w:pStyle w:val="TRNormal"/>
              <w:tabs>
                <w:tab w:val="left" w:pos="567"/>
              </w:tabs>
              <w:spacing w:line="240" w:lineRule="auto"/>
              <w:rPr>
                <w:rFonts w:ascii="Wingdings 2" w:hAnsi="Wingdings 2"/>
                <w:sz w:val="22"/>
                <w:szCs w:val="24"/>
              </w:rPr>
            </w:pPr>
            <w:r w:rsidRPr="00A57E40">
              <w:rPr>
                <w:sz w:val="22"/>
              </w:rPr>
              <w:t xml:space="preserve">Compliance and administration: </w:t>
            </w:r>
            <w:r w:rsidRPr="00A57E40">
              <w:rPr>
                <w:rFonts w:ascii="Wingdings 2" w:eastAsiaTheme="minorHAnsi" w:hAnsi="Wingdings 2"/>
                <w:szCs w:val="24"/>
                <w:lang w:eastAsia="en-US"/>
              </w:rPr>
              <w:t></w:t>
            </w:r>
            <w:r w:rsidRPr="00A57E40">
              <w:rPr>
                <w:rFonts w:ascii="Wingdings 2" w:eastAsiaTheme="minorHAnsi" w:hAnsi="Wingdings 2"/>
                <w:szCs w:val="24"/>
                <w:lang w:eastAsia="en-US"/>
              </w:rPr>
              <w:t></w:t>
            </w:r>
          </w:p>
        </w:tc>
      </w:tr>
      <w:tr w:rsidR="00C52008" w:rsidRPr="00A57E40" w:rsidTr="00225924">
        <w:tc>
          <w:tcPr>
            <w:tcW w:w="4643" w:type="dxa"/>
          </w:tcPr>
          <w:p w:rsidR="00C52008" w:rsidRPr="00A57E40" w:rsidRDefault="00C52008" w:rsidP="00C52008">
            <w:pPr>
              <w:pStyle w:val="TRNormal"/>
              <w:tabs>
                <w:tab w:val="left" w:pos="567"/>
              </w:tabs>
              <w:spacing w:line="240" w:lineRule="auto"/>
              <w:rPr>
                <w:sz w:val="22"/>
              </w:rPr>
            </w:pPr>
            <w:r w:rsidRPr="00A57E40">
              <w:rPr>
                <w:sz w:val="22"/>
              </w:rPr>
              <w:t>Option 3 – Repeal the tax exemption for foreign trusts</w:t>
            </w:r>
          </w:p>
        </w:tc>
        <w:tc>
          <w:tcPr>
            <w:tcW w:w="4644" w:type="dxa"/>
          </w:tcPr>
          <w:p w:rsidR="00C52008" w:rsidRPr="00A57E40" w:rsidRDefault="00C52008" w:rsidP="00225924">
            <w:pPr>
              <w:pStyle w:val="TRNormal"/>
              <w:tabs>
                <w:tab w:val="left" w:pos="567"/>
              </w:tabs>
              <w:spacing w:line="240" w:lineRule="auto"/>
              <w:rPr>
                <w:sz w:val="22"/>
              </w:rPr>
            </w:pPr>
            <w:r w:rsidRPr="00A57E40">
              <w:rPr>
                <w:sz w:val="22"/>
              </w:rPr>
              <w:t>Meets the main objective</w:t>
            </w:r>
          </w:p>
          <w:p w:rsidR="00C52008" w:rsidRPr="00A57E40" w:rsidRDefault="00C52008" w:rsidP="00225924">
            <w:pPr>
              <w:pStyle w:val="TRNormal"/>
              <w:tabs>
                <w:tab w:val="left" w:pos="567"/>
              </w:tabs>
              <w:spacing w:line="240" w:lineRule="auto"/>
              <w:rPr>
                <w:sz w:val="22"/>
              </w:rPr>
            </w:pPr>
          </w:p>
          <w:p w:rsidR="002E667E" w:rsidRPr="00A57E40" w:rsidRDefault="002E667E" w:rsidP="002E667E">
            <w:pPr>
              <w:pStyle w:val="TRNormal"/>
              <w:tabs>
                <w:tab w:val="left" w:pos="567"/>
              </w:tabs>
              <w:spacing w:line="240" w:lineRule="auto"/>
              <w:rPr>
                <w:sz w:val="22"/>
              </w:rPr>
            </w:pPr>
            <w:r w:rsidRPr="00A57E40">
              <w:rPr>
                <w:sz w:val="22"/>
              </w:rPr>
              <w:t>New Zealand’s reputation</w:t>
            </w:r>
            <w:r w:rsidR="00E27D99" w:rsidRPr="00A57E40">
              <w:rPr>
                <w:sz w:val="22"/>
              </w:rPr>
              <w:t xml:space="preserve"> </w:t>
            </w:r>
            <w:r w:rsidR="003C6505" w:rsidRPr="00A57E40">
              <w:rPr>
                <w:rFonts w:ascii="Wingdings 2" w:eastAsiaTheme="minorHAnsi" w:hAnsi="Wingdings 2"/>
                <w:szCs w:val="24"/>
                <w:lang w:eastAsia="en-US"/>
              </w:rPr>
              <w:t></w:t>
            </w:r>
          </w:p>
          <w:p w:rsidR="002E667E" w:rsidRPr="00A57E40" w:rsidRDefault="002E667E" w:rsidP="002E667E">
            <w:pPr>
              <w:pStyle w:val="TRNormal"/>
              <w:tabs>
                <w:tab w:val="left" w:pos="567"/>
              </w:tabs>
              <w:spacing w:line="240" w:lineRule="auto"/>
              <w:rPr>
                <w:rFonts w:ascii="Wingdings 2" w:eastAsiaTheme="minorHAnsi" w:hAnsi="Wingdings 2"/>
                <w:szCs w:val="24"/>
                <w:lang w:eastAsia="en-US"/>
              </w:rPr>
            </w:pPr>
            <w:r w:rsidRPr="00A57E40">
              <w:rPr>
                <w:sz w:val="22"/>
              </w:rPr>
              <w:t xml:space="preserve">Open economy </w:t>
            </w:r>
            <w:r w:rsidRPr="00A57E40">
              <w:rPr>
                <w:rFonts w:ascii="Wingdings 2" w:eastAsiaTheme="minorHAnsi" w:hAnsi="Wingdings 2"/>
                <w:szCs w:val="24"/>
                <w:lang w:eastAsia="en-US"/>
              </w:rPr>
              <w:t></w:t>
            </w:r>
            <w:r w:rsidRPr="00A57E40">
              <w:rPr>
                <w:rFonts w:ascii="Wingdings 2" w:eastAsiaTheme="minorHAnsi" w:hAnsi="Wingdings 2"/>
                <w:szCs w:val="24"/>
                <w:lang w:eastAsia="en-US"/>
              </w:rPr>
              <w:t></w:t>
            </w:r>
          </w:p>
          <w:p w:rsidR="006B516A" w:rsidRPr="00A57E40" w:rsidRDefault="006B516A" w:rsidP="006B516A">
            <w:pPr>
              <w:pStyle w:val="TRNormal"/>
              <w:tabs>
                <w:tab w:val="left" w:pos="567"/>
              </w:tabs>
              <w:spacing w:line="240" w:lineRule="auto"/>
              <w:rPr>
                <w:rFonts w:ascii="Wingdings 2" w:eastAsiaTheme="minorHAnsi" w:hAnsi="Wingdings 2"/>
                <w:szCs w:val="24"/>
                <w:lang w:eastAsia="en-US"/>
              </w:rPr>
            </w:pPr>
            <w:r w:rsidRPr="00A57E40">
              <w:rPr>
                <w:sz w:val="22"/>
              </w:rPr>
              <w:t xml:space="preserve">Fairness and </w:t>
            </w:r>
            <w:proofErr w:type="gramStart"/>
            <w:r w:rsidRPr="00A57E40">
              <w:rPr>
                <w:sz w:val="22"/>
              </w:rPr>
              <w:t xml:space="preserve">integrity </w:t>
            </w:r>
            <w:r w:rsidR="00E27D99" w:rsidRPr="00A57E40">
              <w:rPr>
                <w:rFonts w:eastAsiaTheme="minorHAnsi"/>
                <w:szCs w:val="24"/>
                <w:lang w:eastAsia="en-US"/>
              </w:rPr>
              <w:t>?</w:t>
            </w:r>
            <w:proofErr w:type="gramEnd"/>
          </w:p>
          <w:p w:rsidR="002E667E" w:rsidRPr="00A57E40" w:rsidRDefault="002E667E" w:rsidP="002E667E">
            <w:pPr>
              <w:pStyle w:val="TRNormal"/>
              <w:tabs>
                <w:tab w:val="left" w:pos="567"/>
              </w:tabs>
              <w:spacing w:line="240" w:lineRule="auto"/>
              <w:rPr>
                <w:sz w:val="22"/>
              </w:rPr>
            </w:pPr>
            <w:r w:rsidRPr="00A57E40">
              <w:rPr>
                <w:sz w:val="22"/>
              </w:rPr>
              <w:t xml:space="preserve">Coherency of tax system </w:t>
            </w:r>
            <w:r w:rsidRPr="00A57E40">
              <w:rPr>
                <w:rFonts w:ascii="Wingdings 2" w:eastAsiaTheme="minorHAnsi" w:hAnsi="Wingdings 2"/>
                <w:szCs w:val="24"/>
                <w:lang w:eastAsia="en-US"/>
              </w:rPr>
              <w:t></w:t>
            </w:r>
            <w:r w:rsidRPr="00A57E40">
              <w:rPr>
                <w:rFonts w:ascii="Wingdings 2" w:eastAsiaTheme="minorHAnsi" w:hAnsi="Wingdings 2"/>
                <w:szCs w:val="24"/>
                <w:lang w:eastAsia="en-US"/>
              </w:rPr>
              <w:t></w:t>
            </w:r>
          </w:p>
          <w:p w:rsidR="00C52008" w:rsidRPr="00A57E40" w:rsidRDefault="002E667E" w:rsidP="00225924">
            <w:pPr>
              <w:pStyle w:val="TRNormal"/>
              <w:tabs>
                <w:tab w:val="left" w:pos="567"/>
              </w:tabs>
              <w:spacing w:line="240" w:lineRule="auto"/>
              <w:rPr>
                <w:rFonts w:ascii="Wingdings 2" w:hAnsi="Wingdings 2"/>
                <w:sz w:val="22"/>
                <w:szCs w:val="24"/>
              </w:rPr>
            </w:pPr>
            <w:r w:rsidRPr="00A57E40">
              <w:rPr>
                <w:sz w:val="22"/>
              </w:rPr>
              <w:t xml:space="preserve">Compliance and administration: </w:t>
            </w:r>
            <w:r w:rsidR="00177B46" w:rsidRPr="00A57E40">
              <w:rPr>
                <w:rFonts w:ascii="Wingdings 2" w:eastAsiaTheme="minorHAnsi" w:hAnsi="Wingdings 2"/>
                <w:szCs w:val="24"/>
                <w:lang w:eastAsia="en-US"/>
              </w:rPr>
              <w:t></w:t>
            </w:r>
          </w:p>
        </w:tc>
      </w:tr>
    </w:tbl>
    <w:p w:rsidR="00C52008" w:rsidRPr="00A57E40" w:rsidRDefault="00C52008" w:rsidP="00DD0315">
      <w:pPr>
        <w:pStyle w:val="TRNormal"/>
        <w:tabs>
          <w:tab w:val="left" w:pos="567"/>
        </w:tabs>
        <w:rPr>
          <w:i/>
          <w:szCs w:val="24"/>
        </w:rPr>
      </w:pPr>
    </w:p>
    <w:p w:rsidR="00047EC6" w:rsidRPr="00A57E40" w:rsidRDefault="00047EC6" w:rsidP="00177B46">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We do not recommend option 1 (the status quo) as that does not meet the stated objective to reduce the potential for misuse of foreign trusts in New Zealand (both actual and perceived) in respect of </w:t>
      </w:r>
      <w:r w:rsidR="00E27D99" w:rsidRPr="00A57E40">
        <w:rPr>
          <w:rFonts w:ascii="Times New Roman" w:hAnsi="Times New Roman"/>
          <w:sz w:val="24"/>
          <w:szCs w:val="24"/>
          <w:lang w:val="en-GB" w:eastAsia="en-GB"/>
        </w:rPr>
        <w:t xml:space="preserve">foreign </w:t>
      </w:r>
      <w:r w:rsidRPr="00A57E40">
        <w:rPr>
          <w:rFonts w:ascii="Times New Roman" w:hAnsi="Times New Roman"/>
          <w:sz w:val="24"/>
          <w:szCs w:val="24"/>
          <w:lang w:val="en-GB" w:eastAsia="en-GB"/>
        </w:rPr>
        <w:t>tax avoidance or evasion and money</w:t>
      </w:r>
      <w:r w:rsidR="00E27D99" w:rsidRPr="00A57E40">
        <w:rPr>
          <w:rFonts w:ascii="Times New Roman" w:hAnsi="Times New Roman"/>
          <w:sz w:val="24"/>
          <w:szCs w:val="24"/>
          <w:lang w:val="en-GB" w:eastAsia="en-GB"/>
        </w:rPr>
        <w:t xml:space="preserve"> </w:t>
      </w:r>
      <w:r w:rsidRPr="00A57E40">
        <w:rPr>
          <w:rFonts w:ascii="Times New Roman" w:hAnsi="Times New Roman"/>
          <w:sz w:val="24"/>
          <w:szCs w:val="24"/>
          <w:lang w:val="en-GB" w:eastAsia="en-GB"/>
        </w:rPr>
        <w:t>laundering and other illicit purposes.</w:t>
      </w:r>
    </w:p>
    <w:p w:rsidR="00047EC6" w:rsidRPr="00A57E40" w:rsidRDefault="00047EC6" w:rsidP="00177B46">
      <w:pPr>
        <w:pStyle w:val="ListParagraph"/>
        <w:ind w:left="0"/>
        <w:rPr>
          <w:rFonts w:ascii="Times New Roman" w:hAnsi="Times New Roman"/>
          <w:sz w:val="24"/>
          <w:szCs w:val="24"/>
          <w:lang w:val="en-GB" w:eastAsia="en-GB"/>
        </w:rPr>
      </w:pPr>
    </w:p>
    <w:p w:rsidR="00047EC6" w:rsidRPr="00A57E40" w:rsidRDefault="00047EC6" w:rsidP="00177B46">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We consider that option 2 </w:t>
      </w:r>
      <w:r w:rsidR="00E27D99" w:rsidRPr="00A57E40">
        <w:rPr>
          <w:rFonts w:ascii="Times New Roman" w:hAnsi="Times New Roman"/>
          <w:sz w:val="24"/>
          <w:szCs w:val="24"/>
          <w:lang w:val="en-GB" w:eastAsia="en-GB"/>
        </w:rPr>
        <w:t xml:space="preserve">would </w:t>
      </w:r>
      <w:r w:rsidRPr="00A57E40">
        <w:rPr>
          <w:rFonts w:ascii="Times New Roman" w:hAnsi="Times New Roman"/>
          <w:sz w:val="24"/>
          <w:szCs w:val="24"/>
          <w:lang w:val="en-GB" w:eastAsia="en-GB"/>
        </w:rPr>
        <w:t xml:space="preserve">address the concerns relating to </w:t>
      </w:r>
      <w:r w:rsidR="00C95B28" w:rsidRPr="00A57E40">
        <w:rPr>
          <w:rFonts w:ascii="Times New Roman" w:hAnsi="Times New Roman"/>
          <w:sz w:val="24"/>
          <w:szCs w:val="24"/>
          <w:lang w:val="en-GB" w:eastAsia="en-GB"/>
        </w:rPr>
        <w:t xml:space="preserve">foreign </w:t>
      </w:r>
      <w:r w:rsidRPr="00A57E40">
        <w:rPr>
          <w:rFonts w:ascii="Times New Roman" w:hAnsi="Times New Roman"/>
          <w:sz w:val="24"/>
          <w:szCs w:val="24"/>
          <w:lang w:val="en-GB" w:eastAsia="en-GB"/>
        </w:rPr>
        <w:t>tax avoidance or evasion</w:t>
      </w:r>
      <w:r w:rsidR="00976857" w:rsidRPr="00A57E40">
        <w:rPr>
          <w:rFonts w:ascii="Times New Roman" w:hAnsi="Times New Roman"/>
          <w:sz w:val="24"/>
          <w:szCs w:val="24"/>
          <w:lang w:val="en-GB" w:eastAsia="en-GB"/>
        </w:rPr>
        <w:t xml:space="preserve">.  It may </w:t>
      </w:r>
      <w:r w:rsidRPr="00A57E40">
        <w:rPr>
          <w:rFonts w:ascii="Times New Roman" w:hAnsi="Times New Roman"/>
          <w:sz w:val="24"/>
          <w:szCs w:val="24"/>
          <w:lang w:val="en-GB" w:eastAsia="en-GB"/>
        </w:rPr>
        <w:t xml:space="preserve">partially address the concerns relating to money-laundering and other illicit purposes.  Accordingly, the recommended option in this </w:t>
      </w:r>
      <w:proofErr w:type="spellStart"/>
      <w:r w:rsidRPr="00A57E40">
        <w:rPr>
          <w:rFonts w:ascii="Times New Roman" w:hAnsi="Times New Roman"/>
          <w:sz w:val="24"/>
          <w:szCs w:val="24"/>
          <w:lang w:val="en-GB" w:eastAsia="en-GB"/>
        </w:rPr>
        <w:t>RIS</w:t>
      </w:r>
      <w:proofErr w:type="spellEnd"/>
      <w:r w:rsidRPr="00A57E40">
        <w:rPr>
          <w:rFonts w:ascii="Times New Roman" w:hAnsi="Times New Roman"/>
          <w:sz w:val="24"/>
          <w:szCs w:val="24"/>
          <w:lang w:val="en-GB" w:eastAsia="en-GB"/>
        </w:rPr>
        <w:t xml:space="preserve"> will meet the objective to reduce the potential for misuse of foreign trusts in New Zealand (both actual and perceived) in respect of </w:t>
      </w:r>
      <w:r w:rsidR="00C95B28" w:rsidRPr="00A57E40">
        <w:rPr>
          <w:rFonts w:ascii="Times New Roman" w:hAnsi="Times New Roman"/>
          <w:sz w:val="24"/>
          <w:szCs w:val="24"/>
          <w:lang w:val="en-GB" w:eastAsia="en-GB"/>
        </w:rPr>
        <w:t xml:space="preserve">foreign </w:t>
      </w:r>
      <w:r w:rsidRPr="00A57E40">
        <w:rPr>
          <w:rFonts w:ascii="Times New Roman" w:hAnsi="Times New Roman"/>
          <w:sz w:val="24"/>
          <w:szCs w:val="24"/>
          <w:lang w:val="en-GB" w:eastAsia="en-GB"/>
        </w:rPr>
        <w:t>tax avoidance or evasion.</w:t>
      </w:r>
    </w:p>
    <w:p w:rsidR="00047EC6" w:rsidRPr="00A57E40" w:rsidRDefault="00047EC6" w:rsidP="00177B46">
      <w:pPr>
        <w:pStyle w:val="ListParagraph"/>
        <w:ind w:left="0"/>
        <w:rPr>
          <w:rFonts w:ascii="Times New Roman" w:hAnsi="Times New Roman"/>
          <w:sz w:val="24"/>
          <w:szCs w:val="24"/>
          <w:lang w:val="en-GB" w:eastAsia="en-GB"/>
        </w:rPr>
      </w:pPr>
    </w:p>
    <w:p w:rsidR="00047EC6" w:rsidRPr="00A57E40" w:rsidRDefault="00047EC6" w:rsidP="00BC6DD5">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We recommend option 2 (increased disclosure, largely following the Inquiry’s recommendations) over option 3 (repeal of the tax exemption for foreign trusts)</w:t>
      </w:r>
      <w:r w:rsidR="008746F3" w:rsidRPr="00A57E40">
        <w:rPr>
          <w:rFonts w:ascii="Times New Roman" w:hAnsi="Times New Roman"/>
          <w:sz w:val="24"/>
          <w:szCs w:val="24"/>
          <w:lang w:val="en-GB" w:eastAsia="en-GB"/>
        </w:rPr>
        <w:t xml:space="preserve">, on the basis that option 2 will address the concerns regarding misuse of trusts without imposing excessive administrative costs. </w:t>
      </w:r>
      <w:r w:rsidRPr="00A57E40">
        <w:rPr>
          <w:rFonts w:ascii="Times New Roman" w:hAnsi="Times New Roman"/>
          <w:sz w:val="24"/>
          <w:szCs w:val="24"/>
          <w:lang w:val="en-GB" w:eastAsia="en-GB"/>
        </w:rPr>
        <w:t xml:space="preserve">While option 3 would also meet the stated objective, it does not satisfactorily meet the criteria in relation to an open economy and the coherency of the tax system. </w:t>
      </w:r>
      <w:r w:rsidR="0089308D" w:rsidRPr="00A57E40">
        <w:rPr>
          <w:rFonts w:ascii="Times New Roman" w:hAnsi="Times New Roman"/>
          <w:sz w:val="24"/>
          <w:szCs w:val="24"/>
          <w:lang w:val="en-GB" w:eastAsia="en-GB"/>
        </w:rPr>
        <w:t xml:space="preserve">Option 2 will increase administrative costs for Inland Revenue and compliance costs for trust and company service providers.  However, </w:t>
      </w:r>
      <w:r w:rsidR="008746F3" w:rsidRPr="00A57E40">
        <w:rPr>
          <w:rFonts w:ascii="Times New Roman" w:hAnsi="Times New Roman"/>
          <w:sz w:val="24"/>
          <w:szCs w:val="24"/>
          <w:lang w:val="en-GB" w:eastAsia="en-GB"/>
        </w:rPr>
        <w:t xml:space="preserve">at this stage we consider that </w:t>
      </w:r>
      <w:r w:rsidR="0089308D" w:rsidRPr="00A57E40">
        <w:rPr>
          <w:rFonts w:ascii="Times New Roman" w:hAnsi="Times New Roman"/>
          <w:sz w:val="24"/>
          <w:szCs w:val="24"/>
          <w:lang w:val="en-GB" w:eastAsia="en-GB"/>
        </w:rPr>
        <w:t>the administrative costs are relatively minimal</w:t>
      </w:r>
      <w:r w:rsidR="00D3405C" w:rsidRPr="00A57E40">
        <w:rPr>
          <w:rFonts w:ascii="Times New Roman" w:hAnsi="Times New Roman"/>
          <w:sz w:val="24"/>
          <w:szCs w:val="24"/>
          <w:lang w:val="en-GB" w:eastAsia="en-GB"/>
        </w:rPr>
        <w:t xml:space="preserve">.  </w:t>
      </w:r>
      <w:r w:rsidR="00BC6DD5" w:rsidRPr="00A57E40">
        <w:rPr>
          <w:rFonts w:ascii="Times New Roman" w:hAnsi="Times New Roman"/>
          <w:sz w:val="24"/>
          <w:szCs w:val="24"/>
          <w:lang w:val="en-GB" w:eastAsia="en-GB"/>
        </w:rPr>
        <w:t xml:space="preserve">We do not consider that the </w:t>
      </w:r>
      <w:r w:rsidR="0089308D" w:rsidRPr="00A57E40">
        <w:rPr>
          <w:rFonts w:ascii="Times New Roman" w:hAnsi="Times New Roman"/>
          <w:sz w:val="24"/>
          <w:szCs w:val="24"/>
          <w:lang w:val="en-GB" w:eastAsia="en-GB"/>
        </w:rPr>
        <w:t>increased compliance costs</w:t>
      </w:r>
      <w:r w:rsidR="00BC6DD5" w:rsidRPr="00A57E40">
        <w:rPr>
          <w:rFonts w:ascii="Times New Roman" w:hAnsi="Times New Roman"/>
          <w:sz w:val="24"/>
          <w:szCs w:val="24"/>
          <w:lang w:val="en-GB" w:eastAsia="en-GB"/>
        </w:rPr>
        <w:t xml:space="preserve">, which </w:t>
      </w:r>
      <w:r w:rsidR="00D3405C" w:rsidRPr="00A57E40">
        <w:rPr>
          <w:rFonts w:ascii="Times New Roman" w:hAnsi="Times New Roman"/>
          <w:sz w:val="24"/>
          <w:szCs w:val="24"/>
          <w:lang w:val="en-GB" w:eastAsia="en-GB"/>
        </w:rPr>
        <w:t xml:space="preserve">relate to </w:t>
      </w:r>
      <w:r w:rsidR="005A7945" w:rsidRPr="00A57E40">
        <w:rPr>
          <w:rFonts w:ascii="Times New Roman" w:hAnsi="Times New Roman"/>
          <w:sz w:val="24"/>
          <w:szCs w:val="24"/>
          <w:lang w:val="en-GB" w:eastAsia="en-GB"/>
        </w:rPr>
        <w:t xml:space="preserve">additional information </w:t>
      </w:r>
      <w:r w:rsidR="00BC6DD5" w:rsidRPr="00A57E40">
        <w:rPr>
          <w:rFonts w:ascii="Times New Roman" w:hAnsi="Times New Roman"/>
          <w:sz w:val="24"/>
          <w:szCs w:val="24"/>
          <w:lang w:val="en-GB" w:eastAsia="en-GB"/>
        </w:rPr>
        <w:t>and the obligation to file annual returns, are likely to be significant</w:t>
      </w:r>
      <w:r w:rsidR="005A7945" w:rsidRPr="00A57E40">
        <w:rPr>
          <w:rFonts w:ascii="Times New Roman" w:hAnsi="Times New Roman"/>
          <w:sz w:val="24"/>
          <w:szCs w:val="24"/>
          <w:lang w:val="en-GB" w:eastAsia="en-GB"/>
        </w:rPr>
        <w:t xml:space="preserve">.  This increased information is broadly similar to the type of information that </w:t>
      </w:r>
      <w:proofErr w:type="gramStart"/>
      <w:r w:rsidR="002E749F" w:rsidRPr="00A57E40">
        <w:rPr>
          <w:rFonts w:ascii="Times New Roman" w:hAnsi="Times New Roman"/>
          <w:sz w:val="24"/>
          <w:szCs w:val="24"/>
          <w:lang w:val="en-GB" w:eastAsia="en-GB"/>
        </w:rPr>
        <w:t>trust</w:t>
      </w:r>
      <w:proofErr w:type="gramEnd"/>
      <w:r w:rsidR="002E749F" w:rsidRPr="00A57E40">
        <w:rPr>
          <w:rFonts w:ascii="Times New Roman" w:hAnsi="Times New Roman"/>
          <w:sz w:val="24"/>
          <w:szCs w:val="24"/>
          <w:lang w:val="en-GB" w:eastAsia="en-GB"/>
        </w:rPr>
        <w:t xml:space="preserve"> and company service providers</w:t>
      </w:r>
      <w:r w:rsidR="00DB0D23" w:rsidRPr="00A57E40">
        <w:rPr>
          <w:rFonts w:ascii="Times New Roman" w:hAnsi="Times New Roman"/>
          <w:sz w:val="24"/>
          <w:szCs w:val="24"/>
          <w:lang w:val="en-GB" w:eastAsia="en-GB"/>
        </w:rPr>
        <w:t xml:space="preserve"> (</w:t>
      </w:r>
      <w:proofErr w:type="spellStart"/>
      <w:r w:rsidR="00DB0D23" w:rsidRPr="00A57E40">
        <w:rPr>
          <w:rFonts w:ascii="Times New Roman" w:hAnsi="Times New Roman"/>
          <w:sz w:val="24"/>
          <w:szCs w:val="24"/>
          <w:lang w:val="en-GB" w:eastAsia="en-GB"/>
        </w:rPr>
        <w:t>TCSPs</w:t>
      </w:r>
      <w:proofErr w:type="spellEnd"/>
      <w:r w:rsidR="00DB0D23" w:rsidRPr="00A57E40">
        <w:rPr>
          <w:rFonts w:ascii="Times New Roman" w:hAnsi="Times New Roman"/>
          <w:sz w:val="24"/>
          <w:szCs w:val="24"/>
          <w:lang w:val="en-GB" w:eastAsia="en-GB"/>
        </w:rPr>
        <w:t>)</w:t>
      </w:r>
      <w:r w:rsidR="005A7945" w:rsidRPr="00A57E40">
        <w:rPr>
          <w:rFonts w:ascii="Times New Roman" w:hAnsi="Times New Roman"/>
          <w:sz w:val="24"/>
          <w:szCs w:val="24"/>
          <w:lang w:val="en-GB" w:eastAsia="en-GB"/>
        </w:rPr>
        <w:t xml:space="preserve"> would be expected to provide where AEOI and AML obligations apply.  Accordingly, requiring this information does not seem unreasonable.  </w:t>
      </w:r>
    </w:p>
    <w:p w:rsidR="00D943DD" w:rsidRPr="00A57E40" w:rsidRDefault="00D943DD" w:rsidP="004342F0">
      <w:pPr>
        <w:pStyle w:val="spacer"/>
        <w:rPr>
          <w:rFonts w:ascii="Times New Roman" w:hAnsi="Times New Roman"/>
          <w:sz w:val="24"/>
          <w:szCs w:val="24"/>
          <w:lang w:val="en-AU"/>
        </w:rPr>
      </w:pPr>
    </w:p>
    <w:p w:rsidR="00DD0315" w:rsidRPr="00A57E40" w:rsidRDefault="00DD0315" w:rsidP="004342F0">
      <w:pPr>
        <w:pStyle w:val="spacer"/>
        <w:rPr>
          <w:rFonts w:ascii="Times New Roman" w:hAnsi="Times New Roman"/>
          <w:sz w:val="24"/>
          <w:szCs w:val="24"/>
          <w:lang w:val="en-AU"/>
        </w:rPr>
      </w:pPr>
    </w:p>
    <w:p w:rsidR="000545DC" w:rsidRPr="00A57E40" w:rsidRDefault="00D943DD" w:rsidP="00DD0315">
      <w:pPr>
        <w:spacing w:after="0" w:line="240" w:lineRule="auto"/>
        <w:rPr>
          <w:rFonts w:ascii="Times New Roman" w:hAnsi="Times New Roman"/>
          <w:b/>
          <w:sz w:val="24"/>
          <w:szCs w:val="24"/>
        </w:rPr>
      </w:pPr>
      <w:r w:rsidRPr="00A57E40">
        <w:rPr>
          <w:rFonts w:ascii="Times New Roman" w:hAnsi="Times New Roman"/>
          <w:b/>
          <w:sz w:val="24"/>
          <w:szCs w:val="24"/>
        </w:rPr>
        <w:t>IMPLEMENTATION</w:t>
      </w:r>
      <w:bookmarkEnd w:id="33"/>
      <w:bookmarkEnd w:id="34"/>
      <w:bookmarkEnd w:id="35"/>
      <w:bookmarkEnd w:id="36"/>
      <w:bookmarkEnd w:id="37"/>
      <w:r w:rsidRPr="00A57E40">
        <w:rPr>
          <w:rFonts w:ascii="Times New Roman" w:hAnsi="Times New Roman"/>
          <w:b/>
          <w:sz w:val="24"/>
          <w:szCs w:val="24"/>
        </w:rPr>
        <w:t xml:space="preserve"> </w:t>
      </w:r>
    </w:p>
    <w:p w:rsidR="009E39BD" w:rsidRPr="00A57E40" w:rsidRDefault="009E39BD" w:rsidP="00A706AF">
      <w:pPr>
        <w:pStyle w:val="ListParagraph"/>
        <w:ind w:left="0"/>
        <w:rPr>
          <w:rFonts w:ascii="Times New Roman" w:hAnsi="Times New Roman"/>
          <w:sz w:val="24"/>
          <w:szCs w:val="24"/>
          <w:lang w:val="en-GB" w:eastAsia="en-GB"/>
        </w:rPr>
      </w:pPr>
    </w:p>
    <w:p w:rsidR="00866267" w:rsidRPr="00A57E40" w:rsidRDefault="00866267" w:rsidP="00A706AF">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Legislative change would be required to implement option 2.  Legislative amendments required to implement option 2 could be included in a bill to be introduced in August </w:t>
      </w:r>
      <w:r w:rsidR="005E0C05" w:rsidRPr="00A57E40">
        <w:rPr>
          <w:rFonts w:ascii="Times New Roman" w:hAnsi="Times New Roman"/>
          <w:sz w:val="24"/>
          <w:szCs w:val="24"/>
          <w:lang w:val="en-GB" w:eastAsia="en-GB"/>
        </w:rPr>
        <w:t xml:space="preserve">2016.  This bill is expected to </w:t>
      </w:r>
      <w:r w:rsidR="00884ECC" w:rsidRPr="00A57E40">
        <w:rPr>
          <w:rFonts w:ascii="Times New Roman" w:hAnsi="Times New Roman"/>
          <w:sz w:val="24"/>
          <w:szCs w:val="24"/>
          <w:lang w:val="en-GB" w:eastAsia="en-GB"/>
        </w:rPr>
        <w:t xml:space="preserve">be enacted </w:t>
      </w:r>
      <w:r w:rsidR="00A706AF" w:rsidRPr="00A57E40">
        <w:rPr>
          <w:rFonts w:ascii="Times New Roman" w:hAnsi="Times New Roman"/>
          <w:sz w:val="24"/>
          <w:szCs w:val="24"/>
          <w:lang w:val="en-GB" w:eastAsia="en-GB"/>
        </w:rPr>
        <w:t xml:space="preserve">by the end of 2016. </w:t>
      </w:r>
    </w:p>
    <w:p w:rsidR="005E0C05" w:rsidRPr="00A57E40" w:rsidRDefault="005E0C05" w:rsidP="00A706AF">
      <w:pPr>
        <w:pStyle w:val="ListParagraph"/>
        <w:ind w:left="0"/>
        <w:rPr>
          <w:rFonts w:ascii="Times New Roman" w:hAnsi="Times New Roman"/>
          <w:sz w:val="24"/>
          <w:szCs w:val="24"/>
          <w:lang w:val="en-GB" w:eastAsia="en-GB"/>
        </w:rPr>
      </w:pPr>
    </w:p>
    <w:p w:rsidR="005E0C05" w:rsidRPr="00A57E40" w:rsidRDefault="00A706AF" w:rsidP="00A706AF">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Transitional provisions for existing foreign trusts are planned to provide them with enough time to comply with the </w:t>
      </w:r>
      <w:r w:rsidR="00E27D99" w:rsidRPr="00A57E40">
        <w:rPr>
          <w:rFonts w:ascii="Times New Roman" w:hAnsi="Times New Roman"/>
          <w:sz w:val="24"/>
          <w:szCs w:val="24"/>
          <w:lang w:val="en-GB" w:eastAsia="en-GB"/>
        </w:rPr>
        <w:t xml:space="preserve">proposed </w:t>
      </w:r>
      <w:r w:rsidRPr="00A57E40">
        <w:rPr>
          <w:rFonts w:ascii="Times New Roman" w:hAnsi="Times New Roman"/>
          <w:sz w:val="24"/>
          <w:szCs w:val="24"/>
          <w:lang w:val="en-GB" w:eastAsia="en-GB"/>
        </w:rPr>
        <w:t xml:space="preserve">requirements.  </w:t>
      </w:r>
      <w:r w:rsidR="005E0C05" w:rsidRPr="00A57E40">
        <w:rPr>
          <w:rFonts w:ascii="Times New Roman" w:hAnsi="Times New Roman"/>
          <w:sz w:val="24"/>
          <w:szCs w:val="24"/>
          <w:lang w:val="en-GB" w:eastAsia="en-GB"/>
        </w:rPr>
        <w:t xml:space="preserve">It is proposed that new foreign trusts </w:t>
      </w:r>
      <w:r w:rsidR="00590DE3" w:rsidRPr="00A57E40">
        <w:rPr>
          <w:rFonts w:ascii="Times New Roman" w:hAnsi="Times New Roman"/>
          <w:sz w:val="24"/>
          <w:szCs w:val="24"/>
          <w:lang w:val="en-GB" w:eastAsia="en-GB"/>
        </w:rPr>
        <w:t xml:space="preserve">would </w:t>
      </w:r>
      <w:r w:rsidR="005E0C05" w:rsidRPr="00A57E40">
        <w:rPr>
          <w:rFonts w:ascii="Times New Roman" w:hAnsi="Times New Roman"/>
          <w:sz w:val="24"/>
          <w:szCs w:val="24"/>
          <w:lang w:val="en-GB" w:eastAsia="en-GB"/>
        </w:rPr>
        <w:t xml:space="preserve">need to comply with the amended rules from the date of enactment, and that existing foreign trusts </w:t>
      </w:r>
      <w:r w:rsidR="00590DE3" w:rsidRPr="00A57E40">
        <w:rPr>
          <w:rFonts w:ascii="Times New Roman" w:hAnsi="Times New Roman"/>
          <w:sz w:val="24"/>
          <w:szCs w:val="24"/>
          <w:lang w:val="en-GB" w:eastAsia="en-GB"/>
        </w:rPr>
        <w:t xml:space="preserve">would </w:t>
      </w:r>
      <w:r w:rsidR="005E0C05" w:rsidRPr="00A57E40">
        <w:rPr>
          <w:rFonts w:ascii="Times New Roman" w:hAnsi="Times New Roman"/>
          <w:sz w:val="24"/>
          <w:szCs w:val="24"/>
          <w:lang w:val="en-GB" w:eastAsia="en-GB"/>
        </w:rPr>
        <w:t xml:space="preserve">have until 30 June 2017 to comply with the registration requirements.  This transitional provision </w:t>
      </w:r>
      <w:r w:rsidR="00590DE3" w:rsidRPr="00A57E40">
        <w:rPr>
          <w:rFonts w:ascii="Times New Roman" w:hAnsi="Times New Roman"/>
          <w:sz w:val="24"/>
          <w:szCs w:val="24"/>
          <w:lang w:val="en-GB" w:eastAsia="en-GB"/>
        </w:rPr>
        <w:t xml:space="preserve">would </w:t>
      </w:r>
      <w:r w:rsidR="005E0C05" w:rsidRPr="00A57E40">
        <w:rPr>
          <w:rFonts w:ascii="Times New Roman" w:hAnsi="Times New Roman"/>
          <w:sz w:val="24"/>
          <w:szCs w:val="24"/>
          <w:lang w:val="en-GB" w:eastAsia="en-GB"/>
        </w:rPr>
        <w:t xml:space="preserve">allow existing trusts </w:t>
      </w:r>
      <w:r w:rsidRPr="00A57E40">
        <w:rPr>
          <w:rFonts w:ascii="Times New Roman" w:hAnsi="Times New Roman"/>
          <w:sz w:val="24"/>
          <w:szCs w:val="24"/>
          <w:lang w:val="en-GB" w:eastAsia="en-GB"/>
        </w:rPr>
        <w:t xml:space="preserve">approximately </w:t>
      </w:r>
      <w:r w:rsidR="00884ECC" w:rsidRPr="00A57E40">
        <w:rPr>
          <w:rFonts w:ascii="Times New Roman" w:hAnsi="Times New Roman"/>
          <w:sz w:val="24"/>
          <w:szCs w:val="24"/>
          <w:lang w:val="en-GB" w:eastAsia="en-GB"/>
        </w:rPr>
        <w:t>six</w:t>
      </w:r>
      <w:r w:rsidR="005E0C05" w:rsidRPr="00A57E40">
        <w:rPr>
          <w:rFonts w:ascii="Times New Roman" w:hAnsi="Times New Roman"/>
          <w:sz w:val="24"/>
          <w:szCs w:val="24"/>
          <w:lang w:val="en-GB" w:eastAsia="en-GB"/>
        </w:rPr>
        <w:t xml:space="preserve"> months to either collect the </w:t>
      </w:r>
      <w:r w:rsidRPr="00A57E40">
        <w:rPr>
          <w:rFonts w:ascii="Times New Roman" w:hAnsi="Times New Roman"/>
          <w:sz w:val="24"/>
          <w:szCs w:val="24"/>
          <w:lang w:val="en-GB" w:eastAsia="en-GB"/>
        </w:rPr>
        <w:t xml:space="preserve">information </w:t>
      </w:r>
      <w:r w:rsidR="00AC550C" w:rsidRPr="00A57E40">
        <w:rPr>
          <w:rFonts w:ascii="Times New Roman" w:hAnsi="Times New Roman"/>
          <w:sz w:val="24"/>
          <w:szCs w:val="24"/>
          <w:lang w:val="en-GB" w:eastAsia="en-GB"/>
        </w:rPr>
        <w:t xml:space="preserve">required </w:t>
      </w:r>
      <w:r w:rsidRPr="00A57E40">
        <w:rPr>
          <w:rFonts w:ascii="Times New Roman" w:hAnsi="Times New Roman"/>
          <w:sz w:val="24"/>
          <w:szCs w:val="24"/>
          <w:lang w:val="en-GB" w:eastAsia="en-GB"/>
        </w:rPr>
        <w:t xml:space="preserve">or to </w:t>
      </w:r>
      <w:r w:rsidR="00C86CC7" w:rsidRPr="00A57E40">
        <w:rPr>
          <w:rFonts w:ascii="Times New Roman" w:hAnsi="Times New Roman"/>
          <w:sz w:val="24"/>
          <w:szCs w:val="24"/>
          <w:lang w:val="en-GB" w:eastAsia="en-GB"/>
        </w:rPr>
        <w:t>wind-up</w:t>
      </w:r>
      <w:r w:rsidRPr="00A57E40">
        <w:rPr>
          <w:rFonts w:ascii="Times New Roman" w:hAnsi="Times New Roman"/>
          <w:sz w:val="24"/>
          <w:szCs w:val="24"/>
          <w:lang w:val="en-GB" w:eastAsia="en-GB"/>
        </w:rPr>
        <w:t xml:space="preserve">. New foreign trusts </w:t>
      </w:r>
      <w:r w:rsidR="00590DE3" w:rsidRPr="00A57E40">
        <w:rPr>
          <w:rFonts w:ascii="Times New Roman" w:hAnsi="Times New Roman"/>
          <w:sz w:val="24"/>
          <w:szCs w:val="24"/>
          <w:lang w:val="en-GB" w:eastAsia="en-GB"/>
        </w:rPr>
        <w:t xml:space="preserve">would </w:t>
      </w:r>
      <w:r w:rsidRPr="00A57E40">
        <w:rPr>
          <w:rFonts w:ascii="Times New Roman" w:hAnsi="Times New Roman"/>
          <w:sz w:val="24"/>
          <w:szCs w:val="24"/>
          <w:lang w:val="en-GB" w:eastAsia="en-GB"/>
        </w:rPr>
        <w:t xml:space="preserve">need to comply with the annual filing obligation from date of enactment.  Existing foreign trusts </w:t>
      </w:r>
      <w:r w:rsidR="00590DE3" w:rsidRPr="00A57E40">
        <w:rPr>
          <w:rFonts w:ascii="Times New Roman" w:hAnsi="Times New Roman"/>
          <w:sz w:val="24"/>
          <w:szCs w:val="24"/>
          <w:lang w:val="en-GB" w:eastAsia="en-GB"/>
        </w:rPr>
        <w:t xml:space="preserve">would </w:t>
      </w:r>
      <w:r w:rsidRPr="00A57E40">
        <w:rPr>
          <w:rFonts w:ascii="Times New Roman" w:hAnsi="Times New Roman"/>
          <w:sz w:val="24"/>
          <w:szCs w:val="24"/>
          <w:lang w:val="en-GB" w:eastAsia="en-GB"/>
        </w:rPr>
        <w:t xml:space="preserve">need to comply with the annual filing obligation in relation to income years beginning </w:t>
      </w:r>
      <w:r w:rsidR="00884ECC" w:rsidRPr="00A57E40">
        <w:rPr>
          <w:rFonts w:ascii="Times New Roman" w:hAnsi="Times New Roman"/>
          <w:sz w:val="24"/>
          <w:szCs w:val="24"/>
          <w:lang w:val="en-GB" w:eastAsia="en-GB"/>
        </w:rPr>
        <w:t xml:space="preserve">on or after </w:t>
      </w:r>
      <w:r w:rsidRPr="00A57E40">
        <w:rPr>
          <w:rFonts w:ascii="Times New Roman" w:hAnsi="Times New Roman"/>
          <w:sz w:val="24"/>
          <w:szCs w:val="24"/>
          <w:lang w:val="en-GB" w:eastAsia="en-GB"/>
        </w:rPr>
        <w:t>1 April 2017.</w:t>
      </w:r>
      <w:r w:rsidR="00884ECC" w:rsidRPr="00A57E40">
        <w:rPr>
          <w:rFonts w:ascii="Times New Roman" w:hAnsi="Times New Roman"/>
          <w:sz w:val="24"/>
          <w:szCs w:val="24"/>
          <w:lang w:val="en-GB" w:eastAsia="en-GB"/>
        </w:rPr>
        <w:t xml:space="preserve">  </w:t>
      </w:r>
    </w:p>
    <w:p w:rsidR="00866267" w:rsidRPr="00A57E40" w:rsidRDefault="00866267" w:rsidP="00A706AF">
      <w:pPr>
        <w:pStyle w:val="ListParagraph"/>
        <w:ind w:left="0"/>
        <w:rPr>
          <w:rFonts w:ascii="Times New Roman" w:hAnsi="Times New Roman"/>
          <w:sz w:val="24"/>
          <w:szCs w:val="24"/>
          <w:lang w:val="en-GB" w:eastAsia="en-GB"/>
        </w:rPr>
      </w:pPr>
    </w:p>
    <w:p w:rsidR="00866267" w:rsidRPr="00A57E40" w:rsidRDefault="00590DE3" w:rsidP="00A706AF">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Inland Revenue would administer the proposed changes.  </w:t>
      </w:r>
      <w:r w:rsidR="00866267" w:rsidRPr="00A57E40">
        <w:rPr>
          <w:rFonts w:ascii="Times New Roman" w:hAnsi="Times New Roman"/>
          <w:sz w:val="24"/>
          <w:szCs w:val="24"/>
          <w:lang w:val="en-GB" w:eastAsia="en-GB"/>
        </w:rPr>
        <w:t xml:space="preserve">Some systems changes would be required to implement option 2. </w:t>
      </w:r>
      <w:r w:rsidR="00C86CC7" w:rsidRPr="00A57E40">
        <w:rPr>
          <w:rFonts w:ascii="Times New Roman" w:hAnsi="Times New Roman"/>
          <w:sz w:val="24"/>
          <w:szCs w:val="24"/>
          <w:lang w:val="en-GB" w:eastAsia="en-GB"/>
        </w:rPr>
        <w:t xml:space="preserve"> No changes to FIRST </w:t>
      </w:r>
      <w:r w:rsidRPr="00A57E40">
        <w:rPr>
          <w:rFonts w:ascii="Times New Roman" w:hAnsi="Times New Roman"/>
          <w:sz w:val="24"/>
          <w:szCs w:val="24"/>
          <w:lang w:val="en-GB" w:eastAsia="en-GB"/>
        </w:rPr>
        <w:t xml:space="preserve">(Inland Revenue’s mainframe IT system) </w:t>
      </w:r>
      <w:r w:rsidR="00C86CC7" w:rsidRPr="00A57E40">
        <w:rPr>
          <w:rFonts w:ascii="Times New Roman" w:hAnsi="Times New Roman"/>
          <w:sz w:val="24"/>
          <w:szCs w:val="24"/>
          <w:lang w:val="en-GB" w:eastAsia="en-GB"/>
        </w:rPr>
        <w:t xml:space="preserve">would be required. </w:t>
      </w:r>
      <w:r w:rsidR="005E0C05" w:rsidRPr="00A57E40">
        <w:rPr>
          <w:rFonts w:ascii="Times New Roman" w:hAnsi="Times New Roman"/>
          <w:sz w:val="24"/>
          <w:szCs w:val="24"/>
          <w:lang w:val="en-GB" w:eastAsia="en-GB"/>
        </w:rPr>
        <w:t xml:space="preserve"> </w:t>
      </w:r>
      <w:r w:rsidR="00183BDA" w:rsidRPr="00A57E40">
        <w:rPr>
          <w:rFonts w:ascii="Times New Roman" w:hAnsi="Times New Roman"/>
          <w:sz w:val="24"/>
          <w:szCs w:val="24"/>
          <w:lang w:val="en-GB" w:eastAsia="en-GB"/>
        </w:rPr>
        <w:t xml:space="preserve">A </w:t>
      </w:r>
      <w:r w:rsidR="005E0C05" w:rsidRPr="00A57E40">
        <w:rPr>
          <w:rFonts w:ascii="Times New Roman" w:hAnsi="Times New Roman"/>
          <w:sz w:val="24"/>
          <w:szCs w:val="24"/>
          <w:lang w:val="en-GB" w:eastAsia="en-GB"/>
        </w:rPr>
        <w:t>r</w:t>
      </w:r>
      <w:r w:rsidR="00866267" w:rsidRPr="00A57E40">
        <w:rPr>
          <w:rFonts w:ascii="Times New Roman" w:hAnsi="Times New Roman"/>
          <w:sz w:val="24"/>
          <w:szCs w:val="24"/>
          <w:lang w:val="en-GB" w:eastAsia="en-GB"/>
        </w:rPr>
        <w:t xml:space="preserve">evised form upon </w:t>
      </w:r>
      <w:r w:rsidR="00BC6DD5" w:rsidRPr="00A57E40">
        <w:rPr>
          <w:rFonts w:ascii="Times New Roman" w:hAnsi="Times New Roman"/>
          <w:sz w:val="24"/>
          <w:szCs w:val="24"/>
          <w:lang w:val="en-GB" w:eastAsia="en-GB"/>
        </w:rPr>
        <w:t>registration</w:t>
      </w:r>
      <w:r w:rsidR="005E0C05" w:rsidRPr="00A57E40">
        <w:rPr>
          <w:rFonts w:ascii="Times New Roman" w:hAnsi="Times New Roman"/>
          <w:sz w:val="24"/>
          <w:szCs w:val="24"/>
          <w:lang w:val="en-GB" w:eastAsia="en-GB"/>
        </w:rPr>
        <w:t xml:space="preserve"> and</w:t>
      </w:r>
      <w:r w:rsidR="00866267" w:rsidRPr="00A57E40">
        <w:rPr>
          <w:rFonts w:ascii="Times New Roman" w:hAnsi="Times New Roman"/>
          <w:sz w:val="24"/>
          <w:szCs w:val="24"/>
          <w:lang w:val="en-GB" w:eastAsia="en-GB"/>
        </w:rPr>
        <w:t xml:space="preserve"> a new annual disclosure form</w:t>
      </w:r>
      <w:r w:rsidR="00183BDA" w:rsidRPr="00A57E40">
        <w:rPr>
          <w:rFonts w:ascii="Times New Roman" w:hAnsi="Times New Roman"/>
          <w:sz w:val="24"/>
          <w:szCs w:val="24"/>
          <w:lang w:val="en-GB" w:eastAsia="en-GB"/>
        </w:rPr>
        <w:t xml:space="preserve"> would also be required</w:t>
      </w:r>
      <w:r w:rsidR="005E0C05" w:rsidRPr="00A57E40">
        <w:rPr>
          <w:rFonts w:ascii="Times New Roman" w:hAnsi="Times New Roman"/>
          <w:sz w:val="24"/>
          <w:szCs w:val="24"/>
          <w:lang w:val="en-GB" w:eastAsia="en-GB"/>
        </w:rPr>
        <w:t xml:space="preserve">.  </w:t>
      </w:r>
    </w:p>
    <w:p w:rsidR="00866267" w:rsidRPr="00A57E40" w:rsidRDefault="00866267" w:rsidP="00A706AF">
      <w:pPr>
        <w:pStyle w:val="ListParagraph"/>
        <w:ind w:left="0"/>
        <w:rPr>
          <w:rFonts w:ascii="Times New Roman" w:hAnsi="Times New Roman"/>
          <w:sz w:val="24"/>
          <w:szCs w:val="24"/>
          <w:lang w:val="en-GB" w:eastAsia="en-GB"/>
        </w:rPr>
      </w:pPr>
    </w:p>
    <w:p w:rsidR="00A706AF" w:rsidRPr="00A57E40" w:rsidRDefault="00866267" w:rsidP="00A706AF">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In implementing option 2, Inland Revenue would work with </w:t>
      </w:r>
      <w:proofErr w:type="spellStart"/>
      <w:r w:rsidR="00590DE3" w:rsidRPr="00A57E40">
        <w:rPr>
          <w:rFonts w:ascii="Times New Roman" w:hAnsi="Times New Roman"/>
          <w:sz w:val="24"/>
          <w:szCs w:val="24"/>
          <w:lang w:val="en-GB" w:eastAsia="en-GB"/>
        </w:rPr>
        <w:t>TCSPs</w:t>
      </w:r>
      <w:proofErr w:type="spellEnd"/>
      <w:r w:rsidRPr="00A57E40">
        <w:rPr>
          <w:rFonts w:ascii="Times New Roman" w:hAnsi="Times New Roman"/>
          <w:sz w:val="24"/>
          <w:szCs w:val="24"/>
          <w:lang w:val="en-GB" w:eastAsia="en-GB"/>
        </w:rPr>
        <w:t xml:space="preserve"> to ensure that they a</w:t>
      </w:r>
      <w:r w:rsidR="004F3C27" w:rsidRPr="00A57E40">
        <w:rPr>
          <w:rFonts w:ascii="Times New Roman" w:hAnsi="Times New Roman"/>
          <w:sz w:val="24"/>
          <w:szCs w:val="24"/>
          <w:lang w:val="en-GB" w:eastAsia="en-GB"/>
        </w:rPr>
        <w:t>nd their clients understand the changes</w:t>
      </w:r>
      <w:r w:rsidR="00AC550C" w:rsidRPr="00A57E40">
        <w:rPr>
          <w:rFonts w:ascii="Times New Roman" w:hAnsi="Times New Roman"/>
          <w:sz w:val="24"/>
          <w:szCs w:val="24"/>
          <w:lang w:val="en-GB" w:eastAsia="en-GB"/>
        </w:rPr>
        <w:t xml:space="preserve"> and their new obligations</w:t>
      </w:r>
      <w:r w:rsidR="004F3C27" w:rsidRPr="00A57E40">
        <w:rPr>
          <w:rFonts w:ascii="Times New Roman" w:hAnsi="Times New Roman"/>
          <w:sz w:val="24"/>
          <w:szCs w:val="24"/>
          <w:lang w:val="en-GB" w:eastAsia="en-GB"/>
        </w:rPr>
        <w:t>.  As the industry is reasonably small, we consider that this is achievable.</w:t>
      </w:r>
    </w:p>
    <w:p w:rsidR="00A706AF" w:rsidRPr="00A57E40" w:rsidRDefault="00A706AF" w:rsidP="00A706AF">
      <w:pPr>
        <w:pStyle w:val="ListParagraph"/>
        <w:ind w:left="0"/>
        <w:rPr>
          <w:rFonts w:ascii="Times New Roman" w:hAnsi="Times New Roman"/>
          <w:sz w:val="24"/>
          <w:szCs w:val="24"/>
          <w:lang w:val="en-GB" w:eastAsia="en-GB"/>
        </w:rPr>
      </w:pPr>
    </w:p>
    <w:p w:rsidR="00A706AF" w:rsidRPr="00A57E40" w:rsidRDefault="00A706AF" w:rsidP="00A706AF">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Inland Revenue will continue with its current audit and education programme in relation to </w:t>
      </w:r>
      <w:proofErr w:type="spellStart"/>
      <w:r w:rsidRPr="00A57E40">
        <w:rPr>
          <w:rFonts w:ascii="Times New Roman" w:hAnsi="Times New Roman"/>
          <w:sz w:val="24"/>
          <w:szCs w:val="24"/>
          <w:lang w:val="en-GB" w:eastAsia="en-GB"/>
        </w:rPr>
        <w:t>TCSPs</w:t>
      </w:r>
      <w:proofErr w:type="spellEnd"/>
      <w:r w:rsidRPr="00A57E40">
        <w:rPr>
          <w:rFonts w:ascii="Times New Roman" w:hAnsi="Times New Roman"/>
          <w:sz w:val="24"/>
          <w:szCs w:val="24"/>
          <w:lang w:val="en-GB" w:eastAsia="en-GB"/>
        </w:rPr>
        <w:t xml:space="preserve">. </w:t>
      </w:r>
    </w:p>
    <w:p w:rsidR="00A706AF" w:rsidRPr="00A57E40" w:rsidRDefault="00A706AF" w:rsidP="00A706AF">
      <w:pPr>
        <w:pStyle w:val="ListParagraph"/>
        <w:ind w:left="0"/>
        <w:rPr>
          <w:rFonts w:ascii="Times New Roman" w:hAnsi="Times New Roman"/>
          <w:sz w:val="24"/>
          <w:szCs w:val="24"/>
          <w:lang w:val="en-GB" w:eastAsia="en-GB"/>
        </w:rPr>
      </w:pPr>
    </w:p>
    <w:p w:rsidR="00884ECC" w:rsidRPr="00A57E40" w:rsidRDefault="00884ECC" w:rsidP="00A706AF">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Implementation of a searchable register of foreign </w:t>
      </w:r>
      <w:r w:rsidR="003074BA" w:rsidRPr="00A57E40">
        <w:rPr>
          <w:rFonts w:ascii="Times New Roman" w:hAnsi="Times New Roman"/>
          <w:sz w:val="24"/>
          <w:szCs w:val="24"/>
          <w:lang w:val="en-GB" w:eastAsia="en-GB"/>
        </w:rPr>
        <w:t>t</w:t>
      </w:r>
      <w:r w:rsidRPr="00A57E40">
        <w:rPr>
          <w:rFonts w:ascii="Times New Roman" w:hAnsi="Times New Roman"/>
          <w:sz w:val="24"/>
          <w:szCs w:val="24"/>
          <w:lang w:val="en-GB" w:eastAsia="en-GB"/>
        </w:rPr>
        <w:t xml:space="preserve">rust registrations </w:t>
      </w:r>
      <w:r w:rsidR="00590DE3" w:rsidRPr="00A57E40">
        <w:rPr>
          <w:rFonts w:ascii="Times New Roman" w:hAnsi="Times New Roman"/>
          <w:sz w:val="24"/>
          <w:szCs w:val="24"/>
          <w:lang w:val="en-GB" w:eastAsia="en-GB"/>
        </w:rPr>
        <w:t xml:space="preserve">would </w:t>
      </w:r>
      <w:r w:rsidRPr="00A57E40">
        <w:rPr>
          <w:rFonts w:ascii="Times New Roman" w:hAnsi="Times New Roman"/>
          <w:sz w:val="24"/>
          <w:szCs w:val="24"/>
          <w:lang w:val="en-GB" w:eastAsia="en-GB"/>
        </w:rPr>
        <w:t>require Inland Revenue to operate a manual spread</w:t>
      </w:r>
      <w:r w:rsidR="003074BA" w:rsidRPr="00A57E40">
        <w:rPr>
          <w:rFonts w:ascii="Times New Roman" w:hAnsi="Times New Roman"/>
          <w:sz w:val="24"/>
          <w:szCs w:val="24"/>
          <w:lang w:val="en-GB" w:eastAsia="en-GB"/>
        </w:rPr>
        <w:t>-</w:t>
      </w:r>
      <w:r w:rsidRPr="00A57E40">
        <w:rPr>
          <w:rFonts w:ascii="Times New Roman" w:hAnsi="Times New Roman"/>
          <w:sz w:val="24"/>
          <w:szCs w:val="24"/>
          <w:lang w:val="en-GB" w:eastAsia="en-GB"/>
        </w:rPr>
        <w:t>sheet</w:t>
      </w:r>
      <w:r w:rsidR="003074BA" w:rsidRPr="00A57E40">
        <w:rPr>
          <w:rFonts w:ascii="Times New Roman" w:hAnsi="Times New Roman"/>
          <w:sz w:val="24"/>
          <w:szCs w:val="24"/>
          <w:lang w:val="en-GB" w:eastAsia="en-GB"/>
        </w:rPr>
        <w:t xml:space="preserve"> database</w:t>
      </w:r>
      <w:r w:rsidR="00976857" w:rsidRPr="00A57E40">
        <w:rPr>
          <w:rFonts w:ascii="Times New Roman" w:hAnsi="Times New Roman"/>
          <w:sz w:val="24"/>
          <w:szCs w:val="24"/>
          <w:lang w:val="en-GB" w:eastAsia="en-GB"/>
        </w:rPr>
        <w:t xml:space="preserve">, which will be shared with other </w:t>
      </w:r>
      <w:r w:rsidRPr="00A57E40">
        <w:rPr>
          <w:rFonts w:ascii="Times New Roman" w:hAnsi="Times New Roman"/>
          <w:sz w:val="24"/>
          <w:szCs w:val="24"/>
          <w:lang w:val="en-GB" w:eastAsia="en-GB"/>
        </w:rPr>
        <w:t>government agencies</w:t>
      </w:r>
      <w:r w:rsidR="00976857" w:rsidRPr="00A57E40">
        <w:rPr>
          <w:rFonts w:ascii="Times New Roman" w:hAnsi="Times New Roman"/>
          <w:sz w:val="24"/>
          <w:szCs w:val="24"/>
          <w:lang w:val="en-GB" w:eastAsia="en-GB"/>
        </w:rPr>
        <w:t xml:space="preserve"> authorised by legislation</w:t>
      </w:r>
      <w:r w:rsidRPr="00A57E40">
        <w:rPr>
          <w:rFonts w:ascii="Times New Roman" w:hAnsi="Times New Roman"/>
          <w:sz w:val="24"/>
          <w:szCs w:val="24"/>
          <w:lang w:val="en-GB" w:eastAsia="en-GB"/>
        </w:rPr>
        <w:t>.</w:t>
      </w:r>
    </w:p>
    <w:p w:rsidR="00681160" w:rsidRPr="00A57E40" w:rsidRDefault="00681160" w:rsidP="00DC099A">
      <w:pPr>
        <w:pStyle w:val="ListParagraph"/>
        <w:ind w:left="0"/>
        <w:rPr>
          <w:rFonts w:ascii="Times New Roman" w:hAnsi="Times New Roman"/>
          <w:sz w:val="24"/>
          <w:szCs w:val="24"/>
          <w:lang w:val="en-GB" w:eastAsia="en-GB"/>
        </w:rPr>
      </w:pPr>
    </w:p>
    <w:p w:rsidR="00681160" w:rsidRPr="00A57E40" w:rsidRDefault="00590DE3" w:rsidP="00A706AF">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Commentary on the proposed</w:t>
      </w:r>
      <w:r w:rsidR="00681160" w:rsidRPr="00A57E40">
        <w:rPr>
          <w:rFonts w:ascii="Times New Roman" w:hAnsi="Times New Roman"/>
          <w:sz w:val="24"/>
          <w:szCs w:val="24"/>
          <w:lang w:val="en-GB" w:eastAsia="en-GB"/>
        </w:rPr>
        <w:t xml:space="preserve"> legislative changes </w:t>
      </w:r>
      <w:r w:rsidR="00297194" w:rsidRPr="00A57E40">
        <w:rPr>
          <w:rFonts w:ascii="Times New Roman" w:hAnsi="Times New Roman"/>
          <w:sz w:val="24"/>
          <w:szCs w:val="24"/>
          <w:lang w:val="en-GB" w:eastAsia="en-GB"/>
        </w:rPr>
        <w:t>would</w:t>
      </w:r>
      <w:r w:rsidRPr="00A57E40">
        <w:rPr>
          <w:rFonts w:ascii="Times New Roman" w:hAnsi="Times New Roman"/>
          <w:sz w:val="24"/>
          <w:szCs w:val="24"/>
          <w:lang w:val="en-GB" w:eastAsia="en-GB"/>
        </w:rPr>
        <w:t xml:space="preserve"> be released when the Bill is introduced.  </w:t>
      </w:r>
      <w:r w:rsidR="00681160" w:rsidRPr="00A57E40">
        <w:rPr>
          <w:rFonts w:ascii="Times New Roman" w:hAnsi="Times New Roman"/>
          <w:sz w:val="24"/>
          <w:szCs w:val="24"/>
          <w:lang w:val="en-GB" w:eastAsia="en-GB"/>
        </w:rPr>
        <w:t xml:space="preserve">In addition, </w:t>
      </w:r>
      <w:r w:rsidR="005A298D" w:rsidRPr="00A57E40">
        <w:rPr>
          <w:rFonts w:ascii="Times New Roman" w:hAnsi="Times New Roman"/>
          <w:sz w:val="24"/>
          <w:szCs w:val="24"/>
          <w:lang w:val="en-GB" w:eastAsia="en-GB"/>
        </w:rPr>
        <w:t xml:space="preserve">a </w:t>
      </w:r>
      <w:r w:rsidRPr="00A57E40">
        <w:rPr>
          <w:rFonts w:ascii="Times New Roman" w:hAnsi="Times New Roman"/>
          <w:sz w:val="24"/>
          <w:szCs w:val="24"/>
          <w:lang w:val="en-GB" w:eastAsia="en-GB"/>
        </w:rPr>
        <w:t xml:space="preserve">special report and a </w:t>
      </w:r>
      <w:r w:rsidR="005A298D" w:rsidRPr="00A57E40">
        <w:rPr>
          <w:rFonts w:ascii="Times New Roman" w:hAnsi="Times New Roman"/>
          <w:i/>
          <w:sz w:val="24"/>
          <w:szCs w:val="24"/>
          <w:lang w:val="en-GB" w:eastAsia="en-GB"/>
        </w:rPr>
        <w:t>Tax Information Bulletin</w:t>
      </w:r>
      <w:r w:rsidR="005A298D" w:rsidRPr="00A57E40">
        <w:rPr>
          <w:rFonts w:ascii="Times New Roman" w:hAnsi="Times New Roman"/>
          <w:sz w:val="24"/>
          <w:szCs w:val="24"/>
          <w:lang w:val="en-GB" w:eastAsia="en-GB"/>
        </w:rPr>
        <w:t xml:space="preserve"> </w:t>
      </w:r>
      <w:r w:rsidR="00297194" w:rsidRPr="00A57E40">
        <w:rPr>
          <w:rFonts w:ascii="Times New Roman" w:hAnsi="Times New Roman"/>
          <w:sz w:val="24"/>
          <w:szCs w:val="24"/>
          <w:lang w:val="en-GB" w:eastAsia="en-GB"/>
        </w:rPr>
        <w:t xml:space="preserve">containing further explanation of the amendments would </w:t>
      </w:r>
      <w:r w:rsidR="005A298D" w:rsidRPr="00A57E40">
        <w:rPr>
          <w:rFonts w:ascii="Times New Roman" w:hAnsi="Times New Roman"/>
          <w:sz w:val="24"/>
          <w:szCs w:val="24"/>
          <w:lang w:val="en-GB" w:eastAsia="en-GB"/>
        </w:rPr>
        <w:t xml:space="preserve">be published once the </w:t>
      </w:r>
      <w:r w:rsidRPr="00A57E40">
        <w:rPr>
          <w:rFonts w:ascii="Times New Roman" w:hAnsi="Times New Roman"/>
          <w:sz w:val="24"/>
          <w:szCs w:val="24"/>
          <w:lang w:val="en-GB" w:eastAsia="en-GB"/>
        </w:rPr>
        <w:t xml:space="preserve">Bill </w:t>
      </w:r>
      <w:r w:rsidR="005A298D" w:rsidRPr="00A57E40">
        <w:rPr>
          <w:rFonts w:ascii="Times New Roman" w:hAnsi="Times New Roman"/>
          <w:sz w:val="24"/>
          <w:szCs w:val="24"/>
          <w:lang w:val="en-GB" w:eastAsia="en-GB"/>
        </w:rPr>
        <w:t xml:space="preserve">is enacted. </w:t>
      </w:r>
    </w:p>
    <w:p w:rsidR="00702B84" w:rsidRPr="00A57E40" w:rsidRDefault="00702B84" w:rsidP="00A706AF">
      <w:pPr>
        <w:pStyle w:val="ListParagraph"/>
        <w:ind w:left="0"/>
        <w:rPr>
          <w:rFonts w:ascii="Times New Roman" w:hAnsi="Times New Roman"/>
          <w:sz w:val="24"/>
          <w:szCs w:val="24"/>
          <w:lang w:val="en-GB" w:eastAsia="en-GB"/>
        </w:rPr>
      </w:pPr>
    </w:p>
    <w:p w:rsidR="00DD0315" w:rsidRPr="00A57E40" w:rsidRDefault="00DD0315" w:rsidP="00A706AF">
      <w:pPr>
        <w:pStyle w:val="ListParagraph"/>
        <w:ind w:left="0"/>
        <w:rPr>
          <w:rFonts w:ascii="Times New Roman" w:hAnsi="Times New Roman"/>
          <w:sz w:val="24"/>
          <w:szCs w:val="24"/>
          <w:lang w:val="en-GB" w:eastAsia="en-GB"/>
        </w:rPr>
      </w:pPr>
    </w:p>
    <w:p w:rsidR="00651CF8" w:rsidRPr="00A57E40" w:rsidRDefault="00651CF8" w:rsidP="00DD0315">
      <w:pPr>
        <w:spacing w:after="0" w:line="240" w:lineRule="auto"/>
        <w:rPr>
          <w:rFonts w:ascii="Times New Roman" w:hAnsi="Times New Roman"/>
          <w:b/>
          <w:sz w:val="24"/>
          <w:szCs w:val="24"/>
        </w:rPr>
      </w:pPr>
      <w:r w:rsidRPr="00A57E40">
        <w:rPr>
          <w:rFonts w:ascii="Times New Roman" w:hAnsi="Times New Roman"/>
          <w:b/>
          <w:sz w:val="24"/>
          <w:szCs w:val="24"/>
        </w:rPr>
        <w:t>MONITORING, EVALUATION AND REVIEW</w:t>
      </w:r>
    </w:p>
    <w:p w:rsidR="00651CF8" w:rsidRPr="00A57E40" w:rsidRDefault="00651CF8" w:rsidP="00651CF8">
      <w:pPr>
        <w:pStyle w:val="Bullet-list"/>
        <w:spacing w:after="0" w:line="240" w:lineRule="auto"/>
        <w:ind w:left="0" w:firstLine="0"/>
        <w:rPr>
          <w:rFonts w:ascii="Times New Roman" w:hAnsi="Times New Roman"/>
          <w:sz w:val="24"/>
          <w:szCs w:val="24"/>
        </w:rPr>
      </w:pPr>
    </w:p>
    <w:p w:rsidR="00954724" w:rsidRPr="00A57E40" w:rsidRDefault="00651CF8" w:rsidP="00954724">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In general, Inland Revenue's monitoring, </w:t>
      </w:r>
      <w:r w:rsidR="00590DE3" w:rsidRPr="00A57E40">
        <w:rPr>
          <w:rFonts w:ascii="Times New Roman" w:hAnsi="Times New Roman"/>
          <w:sz w:val="24"/>
          <w:szCs w:val="24"/>
          <w:lang w:val="en-GB" w:eastAsia="en-GB"/>
        </w:rPr>
        <w:t xml:space="preserve">evaluation </w:t>
      </w:r>
      <w:r w:rsidRPr="00A57E40">
        <w:rPr>
          <w:rFonts w:ascii="Times New Roman" w:hAnsi="Times New Roman"/>
          <w:sz w:val="24"/>
          <w:szCs w:val="24"/>
          <w:lang w:val="en-GB" w:eastAsia="en-GB"/>
        </w:rPr>
        <w:t>and review of new legislation takes place takes under the</w:t>
      </w:r>
      <w:r w:rsidR="0008454A" w:rsidRPr="00A57E40">
        <w:rPr>
          <w:rFonts w:ascii="Times New Roman" w:hAnsi="Times New Roman"/>
          <w:sz w:val="24"/>
          <w:szCs w:val="24"/>
          <w:lang w:val="en-GB" w:eastAsia="en-GB"/>
        </w:rPr>
        <w:t xml:space="preserve"> generic tax policy process (</w:t>
      </w:r>
      <w:proofErr w:type="spellStart"/>
      <w:r w:rsidRPr="00A57E40">
        <w:rPr>
          <w:rFonts w:ascii="Times New Roman" w:hAnsi="Times New Roman"/>
          <w:sz w:val="24"/>
          <w:szCs w:val="24"/>
          <w:lang w:val="en-GB" w:eastAsia="en-GB"/>
        </w:rPr>
        <w:t>GTPP</w:t>
      </w:r>
      <w:proofErr w:type="spellEnd"/>
      <w:r w:rsidR="0008454A" w:rsidRPr="00A57E40">
        <w:rPr>
          <w:rFonts w:ascii="Times New Roman" w:hAnsi="Times New Roman"/>
          <w:sz w:val="24"/>
          <w:szCs w:val="24"/>
          <w:lang w:val="en-GB" w:eastAsia="en-GB"/>
        </w:rPr>
        <w:t>)</w:t>
      </w:r>
      <w:r w:rsidRPr="00A57E40">
        <w:rPr>
          <w:rFonts w:ascii="Times New Roman" w:hAnsi="Times New Roman"/>
          <w:sz w:val="24"/>
          <w:szCs w:val="24"/>
          <w:lang w:val="en-GB" w:eastAsia="en-GB"/>
        </w:rPr>
        <w:t xml:space="preserve">. The </w:t>
      </w:r>
      <w:proofErr w:type="spellStart"/>
      <w:r w:rsidRPr="00A57E40">
        <w:rPr>
          <w:rFonts w:ascii="Times New Roman" w:hAnsi="Times New Roman"/>
          <w:sz w:val="24"/>
          <w:szCs w:val="24"/>
          <w:lang w:val="en-GB" w:eastAsia="en-GB"/>
        </w:rPr>
        <w:t>GTPP</w:t>
      </w:r>
      <w:proofErr w:type="spellEnd"/>
      <w:r w:rsidRPr="00A57E40">
        <w:rPr>
          <w:rFonts w:ascii="Times New Roman" w:hAnsi="Times New Roman"/>
          <w:sz w:val="24"/>
          <w:szCs w:val="24"/>
          <w:lang w:val="en-GB" w:eastAsia="en-GB"/>
        </w:rPr>
        <w:t xml:space="preserve"> is a multi-stage tax policy process that has been used to design tax policy in New Zealand since 1995. The final stage in the </w:t>
      </w:r>
      <w:proofErr w:type="spellStart"/>
      <w:r w:rsidRPr="00A57E40">
        <w:rPr>
          <w:rFonts w:ascii="Times New Roman" w:hAnsi="Times New Roman"/>
          <w:sz w:val="24"/>
          <w:szCs w:val="24"/>
          <w:lang w:val="en-GB" w:eastAsia="en-GB"/>
        </w:rPr>
        <w:t>GTPP</w:t>
      </w:r>
      <w:proofErr w:type="spellEnd"/>
      <w:r w:rsidRPr="00A57E40">
        <w:rPr>
          <w:rFonts w:ascii="Times New Roman" w:hAnsi="Times New Roman"/>
          <w:sz w:val="24"/>
          <w:szCs w:val="24"/>
          <w:lang w:val="en-GB" w:eastAsia="en-GB"/>
        </w:rPr>
        <w:t xml:space="preserve"> is the implementation and review stage, which involves post-implementation review of the legislation, and the identification of any remedial issues. Opportunities for external consultation are also built into this stage. In practice, any changes identified as necessary for the new legislation to have its intended effect would be prioritised in the context of the current Tax Policy Work Programme, and any proposals would go through the </w:t>
      </w:r>
      <w:proofErr w:type="spellStart"/>
      <w:r w:rsidRPr="00A57E40">
        <w:rPr>
          <w:rFonts w:ascii="Times New Roman" w:hAnsi="Times New Roman"/>
          <w:sz w:val="24"/>
          <w:szCs w:val="24"/>
          <w:lang w:val="en-GB" w:eastAsia="en-GB"/>
        </w:rPr>
        <w:t>GTPP</w:t>
      </w:r>
      <w:proofErr w:type="spellEnd"/>
      <w:r w:rsidRPr="00A57E40">
        <w:rPr>
          <w:rFonts w:ascii="Times New Roman" w:hAnsi="Times New Roman"/>
          <w:sz w:val="24"/>
          <w:szCs w:val="24"/>
          <w:lang w:val="en-GB" w:eastAsia="en-GB"/>
        </w:rPr>
        <w:t>.</w:t>
      </w:r>
    </w:p>
    <w:p w:rsidR="00954724" w:rsidRPr="00A57E40" w:rsidRDefault="00954724" w:rsidP="00954724">
      <w:pPr>
        <w:pStyle w:val="Bullet-list"/>
        <w:spacing w:after="0" w:line="240" w:lineRule="auto"/>
        <w:ind w:left="0" w:firstLine="0"/>
        <w:rPr>
          <w:rFonts w:ascii="Times New Roman" w:hAnsi="Times New Roman"/>
          <w:sz w:val="24"/>
          <w:szCs w:val="24"/>
        </w:rPr>
      </w:pPr>
    </w:p>
    <w:p w:rsidR="00590DE3" w:rsidRPr="00A57E40" w:rsidRDefault="00954724" w:rsidP="00590DE3">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A57E40">
        <w:rPr>
          <w:rFonts w:ascii="Times New Roman" w:hAnsi="Times New Roman"/>
          <w:sz w:val="24"/>
          <w:szCs w:val="24"/>
        </w:rPr>
        <w:t>The Inquiry recommended that the registration requirement be the responsibility of Inland Revenue initially, but the Government may want to consider if another department, such as the Companies Office, may be a more appropriate department at a later time.</w:t>
      </w:r>
    </w:p>
    <w:p w:rsidR="00590DE3" w:rsidRPr="00A57E40" w:rsidRDefault="00590DE3" w:rsidP="00590DE3">
      <w:pPr>
        <w:pStyle w:val="Bullet-list"/>
        <w:spacing w:after="0" w:line="240" w:lineRule="auto"/>
        <w:ind w:left="0" w:firstLine="0"/>
        <w:jc w:val="both"/>
        <w:rPr>
          <w:rFonts w:ascii="Times New Roman" w:hAnsi="Times New Roman"/>
          <w:sz w:val="24"/>
          <w:szCs w:val="24"/>
        </w:rPr>
      </w:pPr>
    </w:p>
    <w:p w:rsidR="00954724" w:rsidRPr="00A57E40" w:rsidRDefault="00954724" w:rsidP="00CB24D4">
      <w:pPr>
        <w:pStyle w:val="Bullet-list"/>
        <w:numPr>
          <w:ilvl w:val="0"/>
          <w:numId w:val="2"/>
        </w:numPr>
        <w:tabs>
          <w:tab w:val="num" w:pos="567"/>
        </w:tabs>
        <w:spacing w:after="0" w:line="240" w:lineRule="auto"/>
        <w:ind w:left="0" w:firstLine="0"/>
        <w:jc w:val="both"/>
        <w:rPr>
          <w:rFonts w:ascii="Times New Roman" w:hAnsi="Times New Roman"/>
          <w:sz w:val="24"/>
          <w:szCs w:val="24"/>
        </w:rPr>
      </w:pPr>
      <w:r w:rsidRPr="00A57E40">
        <w:rPr>
          <w:rFonts w:ascii="Times New Roman" w:hAnsi="Times New Roman"/>
          <w:sz w:val="24"/>
          <w:szCs w:val="24"/>
        </w:rPr>
        <w:t>Inland Revenue agrees with the Inquiry’s recommendation to review the position in future (after the existing rules have bedded in).  It is possible that there may be efficiencies from another department other than Inland Revenue administering the registration of foreign trusts.  This review would need to include consideration of:</w:t>
      </w:r>
    </w:p>
    <w:p w:rsidR="00954724" w:rsidRPr="00A57E40" w:rsidRDefault="00954724" w:rsidP="00EA0D4A">
      <w:pPr>
        <w:pStyle w:val="ListParagraph"/>
        <w:rPr>
          <w:rFonts w:ascii="Times New Roman" w:hAnsi="Times New Roman"/>
          <w:sz w:val="24"/>
          <w:szCs w:val="24"/>
        </w:rPr>
      </w:pPr>
    </w:p>
    <w:p w:rsidR="00954724" w:rsidRPr="00A57E40" w:rsidRDefault="00954724" w:rsidP="00EA0D4A">
      <w:pPr>
        <w:pStyle w:val="ListParagraph"/>
        <w:numPr>
          <w:ilvl w:val="0"/>
          <w:numId w:val="18"/>
        </w:numPr>
        <w:spacing w:after="160"/>
        <w:rPr>
          <w:rFonts w:ascii="Times New Roman" w:hAnsi="Times New Roman"/>
          <w:sz w:val="24"/>
          <w:szCs w:val="24"/>
        </w:rPr>
      </w:pPr>
      <w:r w:rsidRPr="00A57E40">
        <w:rPr>
          <w:rFonts w:ascii="Times New Roman" w:hAnsi="Times New Roman"/>
          <w:sz w:val="24"/>
          <w:szCs w:val="24"/>
        </w:rPr>
        <w:t xml:space="preserve">ensuring that information sharing between the other department and Inland Revenue is adequate (given that Inland Revenue may need to share information with its overseas counterparts, and to enforce the sanction of taxing the foreign trust’s income); and </w:t>
      </w:r>
    </w:p>
    <w:p w:rsidR="00954724" w:rsidRPr="00A57E40" w:rsidRDefault="00954724" w:rsidP="00EA0D4A">
      <w:pPr>
        <w:pStyle w:val="ListParagraph"/>
        <w:spacing w:after="160"/>
        <w:ind w:left="1440"/>
        <w:rPr>
          <w:rFonts w:ascii="Times New Roman" w:hAnsi="Times New Roman"/>
          <w:sz w:val="24"/>
          <w:szCs w:val="24"/>
        </w:rPr>
      </w:pPr>
    </w:p>
    <w:p w:rsidR="00954724" w:rsidRPr="00A57E40" w:rsidRDefault="00954724" w:rsidP="00EA0D4A">
      <w:pPr>
        <w:pStyle w:val="ListParagraph"/>
        <w:numPr>
          <w:ilvl w:val="0"/>
          <w:numId w:val="18"/>
        </w:numPr>
        <w:spacing w:after="160"/>
        <w:rPr>
          <w:rFonts w:ascii="Times New Roman" w:hAnsi="Times New Roman"/>
          <w:sz w:val="24"/>
          <w:szCs w:val="24"/>
        </w:rPr>
      </w:pPr>
      <w:proofErr w:type="gramStart"/>
      <w:r w:rsidRPr="00A57E40">
        <w:rPr>
          <w:rFonts w:ascii="Times New Roman" w:hAnsi="Times New Roman"/>
          <w:sz w:val="24"/>
          <w:szCs w:val="24"/>
        </w:rPr>
        <w:t>ensuring</w:t>
      </w:r>
      <w:proofErr w:type="gramEnd"/>
      <w:r w:rsidRPr="00A57E40">
        <w:rPr>
          <w:rFonts w:ascii="Times New Roman" w:hAnsi="Times New Roman"/>
          <w:sz w:val="24"/>
          <w:szCs w:val="24"/>
        </w:rPr>
        <w:t xml:space="preserve"> that the other department has the appropriate ability to investigate foreign trusts (both under legislation and operationally).</w:t>
      </w:r>
    </w:p>
    <w:p w:rsidR="00954724" w:rsidRPr="00A57E40" w:rsidRDefault="00954724" w:rsidP="00AC550C">
      <w:pPr>
        <w:pStyle w:val="ListParagraph"/>
        <w:ind w:left="0"/>
        <w:rPr>
          <w:rFonts w:ascii="Times New Roman" w:hAnsi="Times New Roman"/>
          <w:sz w:val="24"/>
          <w:szCs w:val="24"/>
          <w:lang w:val="en-GB" w:eastAsia="en-GB"/>
        </w:rPr>
      </w:pPr>
    </w:p>
    <w:p w:rsidR="00297194" w:rsidRPr="00A57E40" w:rsidRDefault="00297194" w:rsidP="00297194">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As part of this future review, Inland Revenue would report back to Ministers on the operation of the new disclosure rules. </w:t>
      </w:r>
    </w:p>
    <w:p w:rsidR="000F3359" w:rsidRPr="00A57E40" w:rsidRDefault="000F3359" w:rsidP="000F3359">
      <w:pPr>
        <w:pStyle w:val="ListParagraph"/>
        <w:ind w:left="0"/>
        <w:rPr>
          <w:rFonts w:ascii="Times New Roman" w:hAnsi="Times New Roman"/>
          <w:sz w:val="24"/>
          <w:szCs w:val="24"/>
          <w:lang w:val="en-GB" w:eastAsia="en-GB"/>
        </w:rPr>
      </w:pPr>
    </w:p>
    <w:p w:rsidR="00590DE3" w:rsidRPr="00A57E40" w:rsidRDefault="00954724" w:rsidP="00AC550C">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The Inquiry also recommended that a review be undertaken of the current legislative arrangements for the sharing of information between three agencies (Inland Revenue, </w:t>
      </w:r>
      <w:r w:rsidR="00590DE3" w:rsidRPr="00A57E40">
        <w:rPr>
          <w:rFonts w:ascii="Times New Roman" w:hAnsi="Times New Roman"/>
          <w:sz w:val="24"/>
          <w:szCs w:val="24"/>
          <w:lang w:val="en-GB" w:eastAsia="en-GB"/>
        </w:rPr>
        <w:t xml:space="preserve">the </w:t>
      </w:r>
      <w:r w:rsidRPr="00A57E40">
        <w:rPr>
          <w:rFonts w:ascii="Times New Roman" w:hAnsi="Times New Roman"/>
          <w:sz w:val="24"/>
          <w:szCs w:val="24"/>
          <w:lang w:val="en-GB" w:eastAsia="en-GB"/>
        </w:rPr>
        <w:t xml:space="preserve">Financial Intelligence Unit of the New Zealand Police and the Department of Internal Affairs) to determine the financial and efficiency gains and other implications (including secrecy considerations) of sharing strategic intelligence and other information between agencies. </w:t>
      </w:r>
    </w:p>
    <w:p w:rsidR="00590DE3" w:rsidRPr="00A57E40" w:rsidRDefault="00590DE3" w:rsidP="00CB24D4">
      <w:pPr>
        <w:pStyle w:val="ListParagraph"/>
        <w:ind w:left="0"/>
        <w:rPr>
          <w:rFonts w:ascii="Times New Roman" w:hAnsi="Times New Roman"/>
          <w:sz w:val="24"/>
          <w:szCs w:val="24"/>
          <w:lang w:val="en-GB" w:eastAsia="en-GB"/>
        </w:rPr>
      </w:pPr>
    </w:p>
    <w:p w:rsidR="00954724" w:rsidRPr="00A57E40" w:rsidRDefault="00590DE3" w:rsidP="00AC550C">
      <w:pPr>
        <w:pStyle w:val="ListParagraph"/>
        <w:numPr>
          <w:ilvl w:val="0"/>
          <w:numId w:val="2"/>
        </w:numPr>
        <w:tabs>
          <w:tab w:val="num" w:pos="0"/>
        </w:tabs>
        <w:ind w:left="0" w:firstLine="0"/>
        <w:rPr>
          <w:rFonts w:ascii="Times New Roman" w:hAnsi="Times New Roman"/>
          <w:sz w:val="24"/>
          <w:szCs w:val="24"/>
          <w:lang w:val="en-GB" w:eastAsia="en-GB"/>
        </w:rPr>
      </w:pPr>
      <w:r w:rsidRPr="00A57E40">
        <w:rPr>
          <w:rFonts w:ascii="Times New Roman" w:hAnsi="Times New Roman"/>
          <w:sz w:val="24"/>
          <w:szCs w:val="24"/>
          <w:lang w:val="en-GB" w:eastAsia="en-GB"/>
        </w:rPr>
        <w:t xml:space="preserve">Inland Revenue </w:t>
      </w:r>
      <w:r w:rsidR="00954724" w:rsidRPr="00A57E40">
        <w:rPr>
          <w:rFonts w:ascii="Times New Roman" w:hAnsi="Times New Roman"/>
          <w:sz w:val="24"/>
          <w:szCs w:val="24"/>
          <w:lang w:val="en-GB" w:eastAsia="en-GB"/>
        </w:rPr>
        <w:t>agree</w:t>
      </w:r>
      <w:r w:rsidRPr="00A57E40">
        <w:rPr>
          <w:rFonts w:ascii="Times New Roman" w:hAnsi="Times New Roman"/>
          <w:sz w:val="24"/>
          <w:szCs w:val="24"/>
          <w:lang w:val="en-GB" w:eastAsia="en-GB"/>
        </w:rPr>
        <w:t>s</w:t>
      </w:r>
      <w:r w:rsidR="00954724" w:rsidRPr="00A57E40">
        <w:rPr>
          <w:rFonts w:ascii="Times New Roman" w:hAnsi="Times New Roman"/>
          <w:sz w:val="24"/>
          <w:szCs w:val="24"/>
          <w:lang w:val="en-GB" w:eastAsia="en-GB"/>
        </w:rPr>
        <w:t xml:space="preserve"> in principle that there should be a review.  It may be appropriate to include other regulatory agencies as well. In terms of timing, we </w:t>
      </w:r>
      <w:r w:rsidRPr="00A57E40">
        <w:rPr>
          <w:rFonts w:ascii="Times New Roman" w:hAnsi="Times New Roman"/>
          <w:sz w:val="24"/>
          <w:szCs w:val="24"/>
          <w:lang w:val="en-GB" w:eastAsia="en-GB"/>
        </w:rPr>
        <w:t xml:space="preserve">consider </w:t>
      </w:r>
      <w:r w:rsidR="00954724" w:rsidRPr="00A57E40">
        <w:rPr>
          <w:rFonts w:ascii="Times New Roman" w:hAnsi="Times New Roman"/>
          <w:sz w:val="24"/>
          <w:szCs w:val="24"/>
          <w:lang w:val="en-GB" w:eastAsia="en-GB"/>
        </w:rPr>
        <w:t xml:space="preserve">that this </w:t>
      </w:r>
      <w:r w:rsidRPr="00A57E40">
        <w:rPr>
          <w:rFonts w:ascii="Times New Roman" w:hAnsi="Times New Roman"/>
          <w:sz w:val="24"/>
          <w:szCs w:val="24"/>
          <w:lang w:val="en-GB" w:eastAsia="en-GB"/>
        </w:rPr>
        <w:t xml:space="preserve">should </w:t>
      </w:r>
      <w:r w:rsidR="00954724" w:rsidRPr="00A57E40">
        <w:rPr>
          <w:rFonts w:ascii="Times New Roman" w:hAnsi="Times New Roman"/>
          <w:sz w:val="24"/>
          <w:szCs w:val="24"/>
          <w:lang w:val="en-GB" w:eastAsia="en-GB"/>
        </w:rPr>
        <w:t>be considered in light of:</w:t>
      </w:r>
    </w:p>
    <w:p w:rsidR="00954724" w:rsidRPr="00A57E40" w:rsidRDefault="00954724">
      <w:pPr>
        <w:pStyle w:val="ListParagraph"/>
        <w:rPr>
          <w:rFonts w:ascii="Times New Roman" w:hAnsi="Times New Roman"/>
          <w:sz w:val="24"/>
          <w:szCs w:val="24"/>
        </w:rPr>
      </w:pPr>
    </w:p>
    <w:p w:rsidR="00954724" w:rsidRPr="00A57E40" w:rsidRDefault="00833DF9" w:rsidP="00EA0D4A">
      <w:pPr>
        <w:pStyle w:val="ListParagraph"/>
        <w:numPr>
          <w:ilvl w:val="1"/>
          <w:numId w:val="7"/>
        </w:numPr>
        <w:spacing w:after="160" w:line="259" w:lineRule="auto"/>
        <w:rPr>
          <w:rFonts w:ascii="Times New Roman" w:hAnsi="Times New Roman"/>
          <w:sz w:val="24"/>
          <w:szCs w:val="24"/>
        </w:rPr>
      </w:pPr>
      <w:r>
        <w:rPr>
          <w:rFonts w:ascii="Times New Roman" w:hAnsi="Times New Roman"/>
          <w:sz w:val="24"/>
          <w:szCs w:val="24"/>
        </w:rPr>
        <w:t>c</w:t>
      </w:r>
      <w:r w:rsidR="00954724" w:rsidRPr="00A57E40">
        <w:rPr>
          <w:rFonts w:ascii="Times New Roman" w:hAnsi="Times New Roman"/>
          <w:sz w:val="24"/>
          <w:szCs w:val="24"/>
        </w:rPr>
        <w:t xml:space="preserve">urrent work on reforming the secrecy provisions in the </w:t>
      </w:r>
      <w:proofErr w:type="spellStart"/>
      <w:r w:rsidR="00590DE3" w:rsidRPr="00A57E40">
        <w:rPr>
          <w:rFonts w:ascii="Times New Roman" w:hAnsi="Times New Roman"/>
          <w:sz w:val="24"/>
          <w:szCs w:val="24"/>
        </w:rPr>
        <w:t>TAA</w:t>
      </w:r>
      <w:proofErr w:type="spellEnd"/>
      <w:r w:rsidR="00954724" w:rsidRPr="00A57E40">
        <w:rPr>
          <w:rFonts w:ascii="Times New Roman" w:hAnsi="Times New Roman"/>
          <w:sz w:val="24"/>
          <w:szCs w:val="24"/>
        </w:rPr>
        <w:t>; and</w:t>
      </w:r>
    </w:p>
    <w:p w:rsidR="00954724" w:rsidRPr="00A57E40" w:rsidRDefault="00954724" w:rsidP="00EA0D4A">
      <w:pPr>
        <w:pStyle w:val="ListParagraph"/>
        <w:numPr>
          <w:ilvl w:val="1"/>
          <w:numId w:val="7"/>
        </w:numPr>
        <w:spacing w:after="160" w:line="259" w:lineRule="auto"/>
        <w:rPr>
          <w:rFonts w:ascii="Times New Roman" w:hAnsi="Times New Roman"/>
          <w:sz w:val="24"/>
          <w:szCs w:val="24"/>
        </w:rPr>
      </w:pPr>
      <w:proofErr w:type="gramStart"/>
      <w:r w:rsidRPr="00A57E40">
        <w:rPr>
          <w:rFonts w:ascii="Times New Roman" w:hAnsi="Times New Roman"/>
          <w:sz w:val="24"/>
          <w:szCs w:val="24"/>
        </w:rPr>
        <w:t>the</w:t>
      </w:r>
      <w:proofErr w:type="gramEnd"/>
      <w:r w:rsidRPr="00A57E40">
        <w:rPr>
          <w:rFonts w:ascii="Times New Roman" w:hAnsi="Times New Roman"/>
          <w:sz w:val="24"/>
          <w:szCs w:val="24"/>
        </w:rPr>
        <w:t xml:space="preserve"> timing of Phase II of AML/</w:t>
      </w:r>
      <w:proofErr w:type="spellStart"/>
      <w:r w:rsidRPr="00A57E40">
        <w:rPr>
          <w:rFonts w:ascii="Times New Roman" w:hAnsi="Times New Roman"/>
          <w:sz w:val="24"/>
          <w:szCs w:val="24"/>
        </w:rPr>
        <w:t>CFT</w:t>
      </w:r>
      <w:proofErr w:type="spellEnd"/>
      <w:r w:rsidRPr="00A57E40">
        <w:rPr>
          <w:rFonts w:ascii="Times New Roman" w:hAnsi="Times New Roman"/>
          <w:sz w:val="24"/>
          <w:szCs w:val="24"/>
        </w:rPr>
        <w:t xml:space="preserve"> and other priorities.</w:t>
      </w:r>
    </w:p>
    <w:p w:rsidR="00C70C03" w:rsidRPr="00A17CE6" w:rsidRDefault="00C70C03" w:rsidP="00C70C03">
      <w:pPr>
        <w:pStyle w:val="ListParagraph"/>
        <w:ind w:left="0"/>
        <w:rPr>
          <w:rFonts w:ascii="Times New Roman" w:hAnsi="Times New Roman"/>
          <w:sz w:val="24"/>
          <w:szCs w:val="24"/>
          <w:lang w:val="en-GB" w:eastAsia="en-GB"/>
        </w:rPr>
      </w:pPr>
    </w:p>
    <w:sectPr w:rsidR="00C70C03" w:rsidRPr="00A17CE6" w:rsidSect="006474EE">
      <w:footerReference w:type="even" r:id="rId9"/>
      <w:footerReference w:type="default" r:id="rId10"/>
      <w:pgSz w:w="11907" w:h="16840"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CFE" w:rsidRDefault="007E4CFE" w:rsidP="00F72085">
      <w:r>
        <w:separator/>
      </w:r>
    </w:p>
  </w:endnote>
  <w:endnote w:type="continuationSeparator" w:id="0">
    <w:p w:rsidR="007E4CFE" w:rsidRDefault="007E4CFE"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67" w:rsidRDefault="00283067" w:rsidP="005948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83067" w:rsidRPr="00281580" w:rsidRDefault="00283067" w:rsidP="00594805">
    <w:pPr>
      <w:pStyle w:val="EvenFooter"/>
      <w:rPr>
        <w:caps/>
      </w:rPr>
    </w:pPr>
    <w:r w:rsidRPr="00281580">
      <w:t xml:space="preserve">   |   </w:t>
    </w:r>
    <w:r>
      <w:t>Regulatory Impact Statement -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067" w:rsidRPr="00594805" w:rsidRDefault="00283067" w:rsidP="00594805">
    <w:pPr>
      <w:pStyle w:val="Footer"/>
      <w:rPr>
        <w:rStyle w:val="PageNumber"/>
        <w:rFonts w:ascii="Times New Roman" w:hAnsi="Times New Roman"/>
        <w:color w:val="auto"/>
        <w:sz w:val="20"/>
        <w:szCs w:val="20"/>
      </w:rPr>
    </w:pPr>
    <w:r w:rsidRPr="00594805">
      <w:rPr>
        <w:rStyle w:val="PageNumber"/>
        <w:rFonts w:ascii="Times New Roman" w:hAnsi="Times New Roman"/>
        <w:color w:val="auto"/>
        <w:sz w:val="20"/>
        <w:szCs w:val="20"/>
      </w:rPr>
      <w:fldChar w:fldCharType="begin"/>
    </w:r>
    <w:r w:rsidRPr="00594805">
      <w:rPr>
        <w:rStyle w:val="PageNumber"/>
        <w:rFonts w:ascii="Times New Roman" w:hAnsi="Times New Roman"/>
        <w:color w:val="auto"/>
        <w:sz w:val="20"/>
        <w:szCs w:val="20"/>
      </w:rPr>
      <w:instrText xml:space="preserve">PAGE  </w:instrText>
    </w:r>
    <w:r w:rsidRPr="00594805">
      <w:rPr>
        <w:rStyle w:val="PageNumber"/>
        <w:rFonts w:ascii="Times New Roman" w:hAnsi="Times New Roman"/>
        <w:color w:val="auto"/>
        <w:sz w:val="20"/>
        <w:szCs w:val="20"/>
      </w:rPr>
      <w:fldChar w:fldCharType="separate"/>
    </w:r>
    <w:r w:rsidR="006B72C1">
      <w:rPr>
        <w:rStyle w:val="PageNumber"/>
        <w:rFonts w:ascii="Times New Roman" w:hAnsi="Times New Roman"/>
        <w:color w:val="auto"/>
        <w:sz w:val="20"/>
        <w:szCs w:val="20"/>
      </w:rPr>
      <w:t>13</w:t>
    </w:r>
    <w:r w:rsidRPr="00594805">
      <w:rPr>
        <w:rStyle w:val="PageNumber"/>
        <w:rFonts w:ascii="Times New Roman" w:hAnsi="Times New Roman"/>
        <w:color w:val="auto"/>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CFE" w:rsidRDefault="007E4CFE" w:rsidP="00F72085">
      <w:r>
        <w:separator/>
      </w:r>
    </w:p>
  </w:footnote>
  <w:footnote w:type="continuationSeparator" w:id="0">
    <w:p w:rsidR="007E4CFE" w:rsidRDefault="007E4CFE" w:rsidP="00F72085">
      <w:r>
        <w:continuationSeparator/>
      </w:r>
    </w:p>
  </w:footnote>
  <w:footnote w:id="1">
    <w:p w:rsidR="00283067" w:rsidRPr="00B30162" w:rsidRDefault="00283067" w:rsidP="00B30162">
      <w:pPr>
        <w:pStyle w:val="FootnoteText"/>
        <w:rPr>
          <w:rFonts w:ascii="Times New Roman" w:hAnsi="Times New Roman"/>
          <w:sz w:val="20"/>
        </w:rPr>
      </w:pPr>
      <w:r w:rsidRPr="001C783B">
        <w:rPr>
          <w:rStyle w:val="FootnoteReference"/>
          <w:rFonts w:ascii="Times New Roman" w:hAnsi="Times New Roman"/>
        </w:rPr>
        <w:footnoteRef/>
      </w:r>
      <w:r w:rsidRPr="001C783B">
        <w:rPr>
          <w:rFonts w:ascii="Times New Roman" w:hAnsi="Times New Roman"/>
        </w:rPr>
        <w:t xml:space="preserve"> </w:t>
      </w:r>
      <w:r w:rsidRPr="001C783B">
        <w:rPr>
          <w:rFonts w:ascii="Times New Roman" w:hAnsi="Times New Roman"/>
        </w:rPr>
        <w:tab/>
      </w:r>
      <w:proofErr w:type="spellStart"/>
      <w:r w:rsidRPr="00B30162">
        <w:rPr>
          <w:rFonts w:ascii="Times New Roman" w:hAnsi="Times New Roman"/>
          <w:sz w:val="20"/>
        </w:rPr>
        <w:t>IFSDG</w:t>
      </w:r>
      <w:proofErr w:type="spellEnd"/>
      <w:r w:rsidRPr="00B30162">
        <w:rPr>
          <w:rFonts w:ascii="Times New Roman" w:hAnsi="Times New Roman"/>
          <w:sz w:val="20"/>
        </w:rPr>
        <w:t>, “Exporting Financial Services: A Report from the International Funds Services Development Group” (</w:t>
      </w:r>
      <w:proofErr w:type="spellStart"/>
      <w:r w:rsidRPr="00B30162">
        <w:rPr>
          <w:rFonts w:ascii="Times New Roman" w:hAnsi="Times New Roman"/>
          <w:sz w:val="20"/>
        </w:rPr>
        <w:t>IFSDG</w:t>
      </w:r>
      <w:proofErr w:type="spellEnd"/>
      <w:r w:rsidRPr="00B30162">
        <w:rPr>
          <w:rFonts w:ascii="Times New Roman" w:hAnsi="Times New Roman"/>
          <w:sz w:val="20"/>
        </w:rPr>
        <w:t xml:space="preserve">, 2011) at 47.  Cabinet established the </w:t>
      </w:r>
      <w:proofErr w:type="spellStart"/>
      <w:r w:rsidRPr="00B30162">
        <w:rPr>
          <w:rFonts w:ascii="Times New Roman" w:hAnsi="Times New Roman"/>
          <w:sz w:val="20"/>
        </w:rPr>
        <w:t>IFSDG</w:t>
      </w:r>
      <w:proofErr w:type="spellEnd"/>
      <w:r w:rsidRPr="00B30162">
        <w:rPr>
          <w:rFonts w:ascii="Times New Roman" w:hAnsi="Times New Roman"/>
          <w:sz w:val="20"/>
        </w:rPr>
        <w:t xml:space="preserve"> in March 2010 to look at financial services opportunities for New Zealand.  The estimate is said to be from industry sources in 2009.</w:t>
      </w:r>
    </w:p>
  </w:footnote>
  <w:footnote w:id="2">
    <w:p w:rsidR="00283067" w:rsidRPr="00B30162" w:rsidRDefault="00283067" w:rsidP="00B30162">
      <w:pPr>
        <w:pStyle w:val="FootnoteText"/>
        <w:rPr>
          <w:sz w:val="20"/>
        </w:rPr>
      </w:pPr>
      <w:r w:rsidRPr="00B30162">
        <w:rPr>
          <w:rStyle w:val="FootnoteReference"/>
          <w:rFonts w:ascii="Times New Roman" w:hAnsi="Times New Roman"/>
          <w:sz w:val="20"/>
        </w:rPr>
        <w:footnoteRef/>
      </w:r>
      <w:r w:rsidRPr="00B30162">
        <w:rPr>
          <w:rFonts w:ascii="Times New Roman" w:hAnsi="Times New Roman"/>
          <w:sz w:val="20"/>
        </w:rPr>
        <w:t xml:space="preserve"> </w:t>
      </w:r>
      <w:r w:rsidRPr="00B30162">
        <w:rPr>
          <w:rFonts w:ascii="Times New Roman" w:hAnsi="Times New Roman"/>
          <w:sz w:val="20"/>
        </w:rPr>
        <w:tab/>
        <w:t>Refer to www.nzherald.co.nz/business/news/article.cfm?c_id=3&amp;objectid=10844389.</w:t>
      </w:r>
      <w:r w:rsidRPr="00B30162">
        <w:rPr>
          <w:sz w:val="20"/>
        </w:rPr>
        <w:t xml:space="preserve">  </w:t>
      </w:r>
    </w:p>
  </w:footnote>
  <w:footnote w:id="3">
    <w:p w:rsidR="00283067" w:rsidRPr="00B30162" w:rsidRDefault="00283067" w:rsidP="00B30162">
      <w:pPr>
        <w:pStyle w:val="FootnoteText"/>
        <w:tabs>
          <w:tab w:val="clear" w:pos="425"/>
          <w:tab w:val="left" w:pos="567"/>
        </w:tabs>
        <w:rPr>
          <w:sz w:val="20"/>
          <w:lang w:val="en-NZ"/>
        </w:rPr>
      </w:pPr>
      <w:r w:rsidRPr="00B30162">
        <w:rPr>
          <w:rStyle w:val="FootnoteReference"/>
          <w:rFonts w:ascii="Times New Roman" w:hAnsi="Times New Roman"/>
          <w:sz w:val="20"/>
        </w:rPr>
        <w:footnoteRef/>
      </w:r>
      <w:r w:rsidRPr="00B30162">
        <w:rPr>
          <w:rFonts w:ascii="Times New Roman" w:hAnsi="Times New Roman"/>
          <w:sz w:val="20"/>
        </w:rPr>
        <w:t xml:space="preserve"> </w:t>
      </w:r>
      <w:r>
        <w:rPr>
          <w:rFonts w:ascii="Times New Roman" w:hAnsi="Times New Roman"/>
          <w:sz w:val="20"/>
        </w:rPr>
        <w:tab/>
      </w:r>
      <w:r w:rsidRPr="00CA1535">
        <w:rPr>
          <w:rFonts w:ascii="Times New Roman" w:hAnsi="Times New Roman"/>
          <w:sz w:val="20"/>
        </w:rPr>
        <w:t>The Inquiry noted that while it did not find any direct evidence of misuse, it</w:t>
      </w:r>
      <w:r w:rsidRPr="00B73150">
        <w:rPr>
          <w:rFonts w:ascii="Times New Roman" w:hAnsi="Times New Roman"/>
          <w:sz w:val="20"/>
        </w:rPr>
        <w:t xml:space="preserve"> is reasonable to conclude that the</w:t>
      </w:r>
      <w:r w:rsidRPr="00B30162">
        <w:rPr>
          <w:rFonts w:ascii="Times New Roman" w:hAnsi="Times New Roman"/>
          <w:sz w:val="20"/>
        </w:rPr>
        <w:t>re are cases where foreign trusts are being used in this way.</w:t>
      </w:r>
    </w:p>
  </w:footnote>
  <w:footnote w:id="4">
    <w:p w:rsidR="00283067" w:rsidRPr="00B30162" w:rsidRDefault="00283067">
      <w:pPr>
        <w:pStyle w:val="FootnoteText"/>
        <w:rPr>
          <w:rFonts w:ascii="Times New Roman" w:hAnsi="Times New Roman"/>
          <w:sz w:val="20"/>
          <w:lang w:val="en-NZ"/>
        </w:rPr>
      </w:pPr>
      <w:r w:rsidRPr="00B30162">
        <w:rPr>
          <w:rStyle w:val="FootnoteReference"/>
          <w:rFonts w:ascii="Times New Roman" w:hAnsi="Times New Roman"/>
          <w:sz w:val="20"/>
        </w:rPr>
        <w:footnoteRef/>
      </w:r>
      <w:r w:rsidRPr="00B30162">
        <w:rPr>
          <w:rFonts w:ascii="Times New Roman" w:hAnsi="Times New Roman"/>
          <w:sz w:val="20"/>
        </w:rPr>
        <w:t xml:space="preserve"> </w:t>
      </w:r>
      <w:r w:rsidRPr="00B30162">
        <w:rPr>
          <w:rFonts w:ascii="Times New Roman" w:hAnsi="Times New Roman"/>
          <w:sz w:val="20"/>
          <w:lang w:val="en-NZ"/>
        </w:rPr>
        <w:t xml:space="preserve">A discretionary trust is a trust where the beneficiaries have no fixed entitlement to distributions from the trust.  </w:t>
      </w:r>
    </w:p>
  </w:footnote>
  <w:footnote w:id="5">
    <w:p w:rsidR="00283067" w:rsidRPr="006848FD" w:rsidRDefault="00283067" w:rsidP="006F0804">
      <w:pPr>
        <w:pStyle w:val="FootnoteText"/>
        <w:tabs>
          <w:tab w:val="clear" w:pos="425"/>
          <w:tab w:val="left" w:pos="0"/>
        </w:tabs>
        <w:ind w:left="142" w:hanging="142"/>
        <w:rPr>
          <w:lang w:val="en-NZ"/>
        </w:rPr>
      </w:pPr>
      <w:r w:rsidRPr="00B30162">
        <w:rPr>
          <w:rStyle w:val="FootnoteReference"/>
          <w:rFonts w:ascii="Times New Roman" w:hAnsi="Times New Roman"/>
          <w:sz w:val="20"/>
        </w:rPr>
        <w:footnoteRef/>
      </w:r>
      <w:r w:rsidRPr="00B30162">
        <w:rPr>
          <w:rFonts w:ascii="Times New Roman" w:hAnsi="Times New Roman"/>
          <w:sz w:val="20"/>
        </w:rPr>
        <w:t xml:space="preserve"> </w:t>
      </w:r>
      <w:r w:rsidRPr="00CA1535">
        <w:rPr>
          <w:rFonts w:ascii="Times New Roman" w:hAnsi="Times New Roman"/>
          <w:sz w:val="20"/>
        </w:rPr>
        <w:t>The fee for registering a company is $150, and the fee for registering a limited partnership is $270.  The annual filing fee for</w:t>
      </w:r>
      <w:r w:rsidRPr="006848FD">
        <w:rPr>
          <w:rFonts w:ascii="Times New Roman" w:hAnsi="Times New Roman"/>
          <w:sz w:val="20"/>
          <w:szCs w:val="24"/>
        </w:rPr>
        <w:t xml:space="preserve"> companies and charities is approximately $50, and the annual levy for limited partnerships is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555"/>
    <w:multiLevelType w:val="hybridMultilevel"/>
    <w:tmpl w:val="7D7A40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D506FF0"/>
    <w:multiLevelType w:val="hybridMultilevel"/>
    <w:tmpl w:val="21C00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670033C"/>
    <w:multiLevelType w:val="hybridMultilevel"/>
    <w:tmpl w:val="1032C228"/>
    <w:lvl w:ilvl="0" w:tplc="2A2641A4">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14090019">
      <w:start w:val="1"/>
      <w:numFmt w:val="lowerLetter"/>
      <w:lvlText w:val="%2."/>
      <w:lvlJc w:val="left"/>
      <w:pPr>
        <w:tabs>
          <w:tab w:val="num" w:pos="1440"/>
        </w:tabs>
        <w:ind w:left="1440" w:hanging="360"/>
      </w:pPr>
      <w:rPr>
        <w:b w:val="0"/>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EEC785F"/>
    <w:multiLevelType w:val="hybridMultilevel"/>
    <w:tmpl w:val="5F465DEC"/>
    <w:lvl w:ilvl="0" w:tplc="B4A6DDAC">
      <w:start w:val="1"/>
      <w:numFmt w:val="lowerLetter"/>
      <w:lvlText w:val="(%1)"/>
      <w:lvlJc w:val="left"/>
      <w:pPr>
        <w:ind w:left="927" w:hanging="360"/>
      </w:pPr>
      <w:rPr>
        <w:rFonts w:hint="default"/>
        <w:b w:val="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
    <w:nsid w:val="26FC48F2"/>
    <w:multiLevelType w:val="hybridMultilevel"/>
    <w:tmpl w:val="3332852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EDD0B93"/>
    <w:multiLevelType w:val="hybridMultilevel"/>
    <w:tmpl w:val="3F5C1D56"/>
    <w:lvl w:ilvl="0" w:tplc="D7EC0DF2">
      <w:start w:val="2"/>
      <w:numFmt w:val="decimal"/>
      <w:lvlText w:val="%1."/>
      <w:lvlJc w:val="left"/>
      <w:pPr>
        <w:ind w:left="1364" w:hanging="360"/>
      </w:pPr>
      <w:rPr>
        <w:rFonts w:hint="default"/>
        <w:b w:val="0"/>
      </w:rPr>
    </w:lvl>
    <w:lvl w:ilvl="1" w:tplc="14090019">
      <w:start w:val="1"/>
      <w:numFmt w:val="lowerLetter"/>
      <w:lvlText w:val="%2."/>
      <w:lvlJc w:val="left"/>
      <w:pPr>
        <w:ind w:left="2084" w:hanging="360"/>
      </w:pPr>
    </w:lvl>
    <w:lvl w:ilvl="2" w:tplc="1409001B">
      <w:start w:val="1"/>
      <w:numFmt w:val="lowerRoman"/>
      <w:lvlText w:val="%3."/>
      <w:lvlJc w:val="right"/>
      <w:pPr>
        <w:ind w:left="2804" w:hanging="180"/>
      </w:pPr>
    </w:lvl>
    <w:lvl w:ilvl="3" w:tplc="1409000F" w:tentative="1">
      <w:start w:val="1"/>
      <w:numFmt w:val="decimal"/>
      <w:lvlText w:val="%4."/>
      <w:lvlJc w:val="left"/>
      <w:pPr>
        <w:ind w:left="3524" w:hanging="360"/>
      </w:pPr>
    </w:lvl>
    <w:lvl w:ilvl="4" w:tplc="14090019" w:tentative="1">
      <w:start w:val="1"/>
      <w:numFmt w:val="lowerLetter"/>
      <w:lvlText w:val="%5."/>
      <w:lvlJc w:val="left"/>
      <w:pPr>
        <w:ind w:left="4244" w:hanging="360"/>
      </w:pPr>
    </w:lvl>
    <w:lvl w:ilvl="5" w:tplc="1409001B" w:tentative="1">
      <w:start w:val="1"/>
      <w:numFmt w:val="lowerRoman"/>
      <w:lvlText w:val="%6."/>
      <w:lvlJc w:val="right"/>
      <w:pPr>
        <w:ind w:left="4964" w:hanging="180"/>
      </w:pPr>
    </w:lvl>
    <w:lvl w:ilvl="6" w:tplc="1409000F" w:tentative="1">
      <w:start w:val="1"/>
      <w:numFmt w:val="decimal"/>
      <w:lvlText w:val="%7."/>
      <w:lvlJc w:val="left"/>
      <w:pPr>
        <w:ind w:left="5684" w:hanging="360"/>
      </w:pPr>
    </w:lvl>
    <w:lvl w:ilvl="7" w:tplc="14090019" w:tentative="1">
      <w:start w:val="1"/>
      <w:numFmt w:val="lowerLetter"/>
      <w:lvlText w:val="%8."/>
      <w:lvlJc w:val="left"/>
      <w:pPr>
        <w:ind w:left="6404" w:hanging="360"/>
      </w:pPr>
    </w:lvl>
    <w:lvl w:ilvl="8" w:tplc="1409001B" w:tentative="1">
      <w:start w:val="1"/>
      <w:numFmt w:val="lowerRoman"/>
      <w:lvlText w:val="%9."/>
      <w:lvlJc w:val="right"/>
      <w:pPr>
        <w:ind w:left="7124" w:hanging="180"/>
      </w:pPr>
    </w:lvl>
  </w:abstractNum>
  <w:abstractNum w:abstractNumId="6">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7">
    <w:nsid w:val="371B5391"/>
    <w:multiLevelType w:val="hybridMultilevel"/>
    <w:tmpl w:val="59C65626"/>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nsid w:val="412277B7"/>
    <w:multiLevelType w:val="hybridMultilevel"/>
    <w:tmpl w:val="115E8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5E808C9"/>
    <w:multiLevelType w:val="hybridMultilevel"/>
    <w:tmpl w:val="B958E150"/>
    <w:lvl w:ilvl="0" w:tplc="D1DC7024">
      <w:start w:val="20"/>
      <w:numFmt w:val="bullet"/>
      <w:lvlText w:val=""/>
      <w:lvlJc w:val="left"/>
      <w:pPr>
        <w:ind w:left="927" w:hanging="360"/>
      </w:pPr>
      <w:rPr>
        <w:rFonts w:ascii="Wingdings 2" w:eastAsiaTheme="minorHAnsi" w:hAnsi="Wingdings 2"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0">
    <w:nsid w:val="462F4703"/>
    <w:multiLevelType w:val="hybridMultilevel"/>
    <w:tmpl w:val="3622010A"/>
    <w:lvl w:ilvl="0" w:tplc="8E14043E">
      <w:start w:val="20"/>
      <w:numFmt w:val="bullet"/>
      <w:lvlText w:val=""/>
      <w:lvlJc w:val="left"/>
      <w:pPr>
        <w:ind w:left="927" w:hanging="360"/>
      </w:pPr>
      <w:rPr>
        <w:rFonts w:ascii="Wingdings 2" w:eastAsiaTheme="minorHAnsi" w:hAnsi="Wingdings 2"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9B4355A"/>
    <w:multiLevelType w:val="hybridMultilevel"/>
    <w:tmpl w:val="EF60E76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nsid w:val="4ACC3EBF"/>
    <w:multiLevelType w:val="hybridMultilevel"/>
    <w:tmpl w:val="E9A27C92"/>
    <w:lvl w:ilvl="0" w:tplc="F6A6D756">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14090001">
      <w:start w:val="1"/>
      <w:numFmt w:val="bullet"/>
      <w:lvlText w:val=""/>
      <w:lvlJc w:val="left"/>
      <w:pPr>
        <w:ind w:left="2160" w:hanging="180"/>
      </w:pPr>
      <w:rPr>
        <w:rFonts w:ascii="Symbol" w:hAnsi="Symbo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BC46AC7"/>
    <w:multiLevelType w:val="hybridMultilevel"/>
    <w:tmpl w:val="4E6AB6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71D426C"/>
    <w:multiLevelType w:val="hybridMultilevel"/>
    <w:tmpl w:val="28BE767A"/>
    <w:lvl w:ilvl="0" w:tplc="C658CCA4">
      <w:start w:val="1"/>
      <w:numFmt w:val="decimal"/>
      <w:lvlText w:val="%1."/>
      <w:lvlJc w:val="left"/>
      <w:pPr>
        <w:ind w:left="720" w:hanging="360"/>
      </w:pPr>
      <w:rPr>
        <w:rFonts w:ascii="Times New Roman" w:hAnsi="Times New Roman" w:cs="Times New Roman" w:hint="default"/>
        <w:b w:val="0"/>
        <w:sz w:val="24"/>
        <w:szCs w:val="24"/>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6">
    <w:nsid w:val="6A4C325A"/>
    <w:multiLevelType w:val="hybridMultilevel"/>
    <w:tmpl w:val="DEFC1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4DC6420"/>
    <w:multiLevelType w:val="hybridMultilevel"/>
    <w:tmpl w:val="D4D69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FFE0EE6"/>
    <w:multiLevelType w:val="hybridMultilevel"/>
    <w:tmpl w:val="4C70BCDA"/>
    <w:lvl w:ilvl="0" w:tplc="2A2641A4">
      <w:start w:val="1"/>
      <w:numFmt w:val="decimal"/>
      <w:lvlText w:val="%1."/>
      <w:lvlJc w:val="left"/>
      <w:pPr>
        <w:tabs>
          <w:tab w:val="num" w:pos="644"/>
        </w:tabs>
        <w:ind w:left="644" w:hanging="360"/>
      </w:pPr>
      <w:rPr>
        <w:rFonts w:ascii="Times New Roman" w:hAnsi="Times New Roman" w:cs="Times New Roman" w:hint="default"/>
        <w:b w:val="0"/>
        <w:sz w:val="24"/>
        <w:szCs w:val="24"/>
      </w:rPr>
    </w:lvl>
    <w:lvl w:ilvl="1" w:tplc="14090019">
      <w:start w:val="1"/>
      <w:numFmt w:val="lowerLetter"/>
      <w:lvlText w:val="%2."/>
      <w:lvlJc w:val="left"/>
      <w:pPr>
        <w:tabs>
          <w:tab w:val="num" w:pos="1440"/>
        </w:tabs>
        <w:ind w:left="1440" w:hanging="360"/>
      </w:pPr>
      <w:rPr>
        <w:b w:val="0"/>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16"/>
  </w:num>
  <w:num w:numId="5">
    <w:abstractNumId w:val="11"/>
  </w:num>
  <w:num w:numId="6">
    <w:abstractNumId w:val="13"/>
  </w:num>
  <w:num w:numId="7">
    <w:abstractNumId w:val="4"/>
  </w:num>
  <w:num w:numId="8">
    <w:abstractNumId w:val="14"/>
  </w:num>
  <w:num w:numId="9">
    <w:abstractNumId w:val="7"/>
  </w:num>
  <w:num w:numId="10">
    <w:abstractNumId w:val="3"/>
  </w:num>
  <w:num w:numId="11">
    <w:abstractNumId w:val="17"/>
  </w:num>
  <w:num w:numId="12">
    <w:abstractNumId w:val="15"/>
  </w:num>
  <w:num w:numId="13">
    <w:abstractNumId w:val="1"/>
  </w:num>
  <w:num w:numId="14">
    <w:abstractNumId w:val="6"/>
  </w:num>
  <w:num w:numId="15">
    <w:abstractNumId w:val="10"/>
  </w:num>
  <w:num w:numId="16">
    <w:abstractNumId w:val="9"/>
  </w:num>
  <w:num w:numId="17">
    <w:abstractNumId w:val="18"/>
  </w:num>
  <w:num w:numId="18">
    <w:abstractNumId w:val="12"/>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F1"/>
    <w:rsid w:val="00001539"/>
    <w:rsid w:val="00002433"/>
    <w:rsid w:val="000037F4"/>
    <w:rsid w:val="00004A8A"/>
    <w:rsid w:val="00005DC9"/>
    <w:rsid w:val="00010986"/>
    <w:rsid w:val="00010F7D"/>
    <w:rsid w:val="00012338"/>
    <w:rsid w:val="00013A18"/>
    <w:rsid w:val="00014196"/>
    <w:rsid w:val="000147DC"/>
    <w:rsid w:val="00015072"/>
    <w:rsid w:val="00015B10"/>
    <w:rsid w:val="00016722"/>
    <w:rsid w:val="0002068B"/>
    <w:rsid w:val="000207B4"/>
    <w:rsid w:val="000232EB"/>
    <w:rsid w:val="00023BAB"/>
    <w:rsid w:val="00023EA6"/>
    <w:rsid w:val="0002418D"/>
    <w:rsid w:val="00024B22"/>
    <w:rsid w:val="0002568E"/>
    <w:rsid w:val="00025954"/>
    <w:rsid w:val="00030890"/>
    <w:rsid w:val="00030DEA"/>
    <w:rsid w:val="00033950"/>
    <w:rsid w:val="00033C3F"/>
    <w:rsid w:val="000343E7"/>
    <w:rsid w:val="00035185"/>
    <w:rsid w:val="00036A3D"/>
    <w:rsid w:val="00036EE4"/>
    <w:rsid w:val="00040726"/>
    <w:rsid w:val="00041469"/>
    <w:rsid w:val="00041CD1"/>
    <w:rsid w:val="0004221C"/>
    <w:rsid w:val="000431FE"/>
    <w:rsid w:val="000435AD"/>
    <w:rsid w:val="000445A0"/>
    <w:rsid w:val="00045AFC"/>
    <w:rsid w:val="00046F46"/>
    <w:rsid w:val="00047559"/>
    <w:rsid w:val="00047EC6"/>
    <w:rsid w:val="000523FC"/>
    <w:rsid w:val="000526E4"/>
    <w:rsid w:val="0005434D"/>
    <w:rsid w:val="000545DC"/>
    <w:rsid w:val="0005503E"/>
    <w:rsid w:val="00055373"/>
    <w:rsid w:val="00055D70"/>
    <w:rsid w:val="00056263"/>
    <w:rsid w:val="00056E3D"/>
    <w:rsid w:val="00056F77"/>
    <w:rsid w:val="0005761E"/>
    <w:rsid w:val="00057AC4"/>
    <w:rsid w:val="000606D4"/>
    <w:rsid w:val="00060712"/>
    <w:rsid w:val="00060AAB"/>
    <w:rsid w:val="00060CD3"/>
    <w:rsid w:val="000655B2"/>
    <w:rsid w:val="00070193"/>
    <w:rsid w:val="00073902"/>
    <w:rsid w:val="00073A19"/>
    <w:rsid w:val="00073EDA"/>
    <w:rsid w:val="00073F31"/>
    <w:rsid w:val="000745D3"/>
    <w:rsid w:val="00074B13"/>
    <w:rsid w:val="00074D02"/>
    <w:rsid w:val="0007562B"/>
    <w:rsid w:val="00080191"/>
    <w:rsid w:val="00080CE0"/>
    <w:rsid w:val="00080DE3"/>
    <w:rsid w:val="00082653"/>
    <w:rsid w:val="00082959"/>
    <w:rsid w:val="00082ABC"/>
    <w:rsid w:val="00083ADB"/>
    <w:rsid w:val="0008454A"/>
    <w:rsid w:val="00085660"/>
    <w:rsid w:val="00086007"/>
    <w:rsid w:val="000863E2"/>
    <w:rsid w:val="00086898"/>
    <w:rsid w:val="00086A30"/>
    <w:rsid w:val="0008712F"/>
    <w:rsid w:val="00087C41"/>
    <w:rsid w:val="00095446"/>
    <w:rsid w:val="00096BFA"/>
    <w:rsid w:val="000A073E"/>
    <w:rsid w:val="000A20D1"/>
    <w:rsid w:val="000A39F4"/>
    <w:rsid w:val="000A43F8"/>
    <w:rsid w:val="000A4419"/>
    <w:rsid w:val="000A4BBC"/>
    <w:rsid w:val="000A6805"/>
    <w:rsid w:val="000B005C"/>
    <w:rsid w:val="000B01CC"/>
    <w:rsid w:val="000B0480"/>
    <w:rsid w:val="000B0615"/>
    <w:rsid w:val="000B0C12"/>
    <w:rsid w:val="000B0D42"/>
    <w:rsid w:val="000B16BF"/>
    <w:rsid w:val="000B2052"/>
    <w:rsid w:val="000B5B1E"/>
    <w:rsid w:val="000C0912"/>
    <w:rsid w:val="000C2669"/>
    <w:rsid w:val="000C26E9"/>
    <w:rsid w:val="000C3199"/>
    <w:rsid w:val="000C3EB5"/>
    <w:rsid w:val="000C43B6"/>
    <w:rsid w:val="000C684B"/>
    <w:rsid w:val="000C6EED"/>
    <w:rsid w:val="000C79FD"/>
    <w:rsid w:val="000D012A"/>
    <w:rsid w:val="000D0FA0"/>
    <w:rsid w:val="000D2A6B"/>
    <w:rsid w:val="000D31FE"/>
    <w:rsid w:val="000D5E01"/>
    <w:rsid w:val="000D6393"/>
    <w:rsid w:val="000D670A"/>
    <w:rsid w:val="000D77C0"/>
    <w:rsid w:val="000D7C12"/>
    <w:rsid w:val="000E0036"/>
    <w:rsid w:val="000E01DD"/>
    <w:rsid w:val="000E310A"/>
    <w:rsid w:val="000E3979"/>
    <w:rsid w:val="000E3CE1"/>
    <w:rsid w:val="000E73FF"/>
    <w:rsid w:val="000E7C1C"/>
    <w:rsid w:val="000F03B0"/>
    <w:rsid w:val="000F162C"/>
    <w:rsid w:val="000F2DB5"/>
    <w:rsid w:val="000F3333"/>
    <w:rsid w:val="000F3359"/>
    <w:rsid w:val="000F6F99"/>
    <w:rsid w:val="000F7020"/>
    <w:rsid w:val="00101A24"/>
    <w:rsid w:val="00104C7A"/>
    <w:rsid w:val="0011193A"/>
    <w:rsid w:val="00113146"/>
    <w:rsid w:val="00113743"/>
    <w:rsid w:val="00114F56"/>
    <w:rsid w:val="001158BA"/>
    <w:rsid w:val="00116006"/>
    <w:rsid w:val="00116B51"/>
    <w:rsid w:val="00121EF6"/>
    <w:rsid w:val="0012410B"/>
    <w:rsid w:val="00125812"/>
    <w:rsid w:val="00125ADD"/>
    <w:rsid w:val="00126CD1"/>
    <w:rsid w:val="00127757"/>
    <w:rsid w:val="0013073B"/>
    <w:rsid w:val="00130E8F"/>
    <w:rsid w:val="0013325D"/>
    <w:rsid w:val="001336E3"/>
    <w:rsid w:val="001339BB"/>
    <w:rsid w:val="00136EED"/>
    <w:rsid w:val="00137454"/>
    <w:rsid w:val="00141B20"/>
    <w:rsid w:val="00141D39"/>
    <w:rsid w:val="00142051"/>
    <w:rsid w:val="00143437"/>
    <w:rsid w:val="00144369"/>
    <w:rsid w:val="00144ADC"/>
    <w:rsid w:val="00144BBB"/>
    <w:rsid w:val="00146FC1"/>
    <w:rsid w:val="00150932"/>
    <w:rsid w:val="00152D49"/>
    <w:rsid w:val="0015734A"/>
    <w:rsid w:val="00157E18"/>
    <w:rsid w:val="00161022"/>
    <w:rsid w:val="0016131C"/>
    <w:rsid w:val="00161358"/>
    <w:rsid w:val="001618A4"/>
    <w:rsid w:val="001620EB"/>
    <w:rsid w:val="00163E2F"/>
    <w:rsid w:val="0016538E"/>
    <w:rsid w:val="00165A5F"/>
    <w:rsid w:val="00166A7A"/>
    <w:rsid w:val="00166C49"/>
    <w:rsid w:val="001674EB"/>
    <w:rsid w:val="00167EE1"/>
    <w:rsid w:val="001705C4"/>
    <w:rsid w:val="00171281"/>
    <w:rsid w:val="001712D6"/>
    <w:rsid w:val="001726B0"/>
    <w:rsid w:val="00175644"/>
    <w:rsid w:val="00175E32"/>
    <w:rsid w:val="001767C7"/>
    <w:rsid w:val="00177B46"/>
    <w:rsid w:val="001800AF"/>
    <w:rsid w:val="00180A3B"/>
    <w:rsid w:val="00180BD5"/>
    <w:rsid w:val="00180D17"/>
    <w:rsid w:val="00183BDA"/>
    <w:rsid w:val="00183D99"/>
    <w:rsid w:val="00183EB1"/>
    <w:rsid w:val="00184219"/>
    <w:rsid w:val="00185884"/>
    <w:rsid w:val="001901C1"/>
    <w:rsid w:val="00190331"/>
    <w:rsid w:val="0019141D"/>
    <w:rsid w:val="00191B67"/>
    <w:rsid w:val="00191EEC"/>
    <w:rsid w:val="00194873"/>
    <w:rsid w:val="00194B8A"/>
    <w:rsid w:val="00194CF9"/>
    <w:rsid w:val="00197273"/>
    <w:rsid w:val="001A13C8"/>
    <w:rsid w:val="001A1C61"/>
    <w:rsid w:val="001A1DFB"/>
    <w:rsid w:val="001A5694"/>
    <w:rsid w:val="001A5BEE"/>
    <w:rsid w:val="001B03AF"/>
    <w:rsid w:val="001B0726"/>
    <w:rsid w:val="001B0A7A"/>
    <w:rsid w:val="001B0DF0"/>
    <w:rsid w:val="001B1A87"/>
    <w:rsid w:val="001B1BDF"/>
    <w:rsid w:val="001B24D5"/>
    <w:rsid w:val="001B2869"/>
    <w:rsid w:val="001B3F6D"/>
    <w:rsid w:val="001B3F81"/>
    <w:rsid w:val="001B4E6C"/>
    <w:rsid w:val="001B54FC"/>
    <w:rsid w:val="001B7122"/>
    <w:rsid w:val="001C0CF6"/>
    <w:rsid w:val="001C2214"/>
    <w:rsid w:val="001C2524"/>
    <w:rsid w:val="001C41C2"/>
    <w:rsid w:val="001C6912"/>
    <w:rsid w:val="001C783B"/>
    <w:rsid w:val="001D0A46"/>
    <w:rsid w:val="001D22ED"/>
    <w:rsid w:val="001D3440"/>
    <w:rsid w:val="001D37FB"/>
    <w:rsid w:val="001D4D62"/>
    <w:rsid w:val="001D53A8"/>
    <w:rsid w:val="001D624B"/>
    <w:rsid w:val="001D7325"/>
    <w:rsid w:val="001E12C8"/>
    <w:rsid w:val="001E1A8F"/>
    <w:rsid w:val="001E6AFE"/>
    <w:rsid w:val="001F0773"/>
    <w:rsid w:val="001F0DD3"/>
    <w:rsid w:val="001F1711"/>
    <w:rsid w:val="001F1A2D"/>
    <w:rsid w:val="001F21CB"/>
    <w:rsid w:val="001F4228"/>
    <w:rsid w:val="001F6750"/>
    <w:rsid w:val="00200311"/>
    <w:rsid w:val="002008D1"/>
    <w:rsid w:val="00202E20"/>
    <w:rsid w:val="002036AA"/>
    <w:rsid w:val="00203789"/>
    <w:rsid w:val="00204A66"/>
    <w:rsid w:val="00204C1E"/>
    <w:rsid w:val="00204CC5"/>
    <w:rsid w:val="00205334"/>
    <w:rsid w:val="00213B41"/>
    <w:rsid w:val="0021607B"/>
    <w:rsid w:val="00216DB5"/>
    <w:rsid w:val="00216F08"/>
    <w:rsid w:val="00217A19"/>
    <w:rsid w:val="00222CA5"/>
    <w:rsid w:val="00223298"/>
    <w:rsid w:val="00224A1F"/>
    <w:rsid w:val="00224BD6"/>
    <w:rsid w:val="002253E9"/>
    <w:rsid w:val="002258FC"/>
    <w:rsid w:val="00225924"/>
    <w:rsid w:val="00226226"/>
    <w:rsid w:val="00227D78"/>
    <w:rsid w:val="00227FE4"/>
    <w:rsid w:val="002317B4"/>
    <w:rsid w:val="002331A0"/>
    <w:rsid w:val="00233DC9"/>
    <w:rsid w:val="0023447D"/>
    <w:rsid w:val="0023708B"/>
    <w:rsid w:val="00237318"/>
    <w:rsid w:val="00237FE9"/>
    <w:rsid w:val="00240AEF"/>
    <w:rsid w:val="0024128C"/>
    <w:rsid w:val="0024179D"/>
    <w:rsid w:val="002459CB"/>
    <w:rsid w:val="00245C7A"/>
    <w:rsid w:val="00245DA0"/>
    <w:rsid w:val="00247265"/>
    <w:rsid w:val="00247ADA"/>
    <w:rsid w:val="00247DAB"/>
    <w:rsid w:val="00251406"/>
    <w:rsid w:val="00255495"/>
    <w:rsid w:val="00257836"/>
    <w:rsid w:val="00260938"/>
    <w:rsid w:val="00264EEE"/>
    <w:rsid w:val="0026530E"/>
    <w:rsid w:val="00265DED"/>
    <w:rsid w:val="00265E6C"/>
    <w:rsid w:val="00266A30"/>
    <w:rsid w:val="0026794D"/>
    <w:rsid w:val="00267FAB"/>
    <w:rsid w:val="00270CAF"/>
    <w:rsid w:val="002712C8"/>
    <w:rsid w:val="002719ED"/>
    <w:rsid w:val="00271EB7"/>
    <w:rsid w:val="00272014"/>
    <w:rsid w:val="0027239E"/>
    <w:rsid w:val="00272E82"/>
    <w:rsid w:val="00273D5C"/>
    <w:rsid w:val="00273ECF"/>
    <w:rsid w:val="00275209"/>
    <w:rsid w:val="0027520A"/>
    <w:rsid w:val="0027527B"/>
    <w:rsid w:val="00275B26"/>
    <w:rsid w:val="0027706F"/>
    <w:rsid w:val="00281580"/>
    <w:rsid w:val="00282DD1"/>
    <w:rsid w:val="00283067"/>
    <w:rsid w:val="00283259"/>
    <w:rsid w:val="00283AFA"/>
    <w:rsid w:val="00283D22"/>
    <w:rsid w:val="00287942"/>
    <w:rsid w:val="00292783"/>
    <w:rsid w:val="0029399F"/>
    <w:rsid w:val="00293E21"/>
    <w:rsid w:val="00294C12"/>
    <w:rsid w:val="00295264"/>
    <w:rsid w:val="0029540C"/>
    <w:rsid w:val="00295DFA"/>
    <w:rsid w:val="00296404"/>
    <w:rsid w:val="0029649F"/>
    <w:rsid w:val="00297194"/>
    <w:rsid w:val="00297A39"/>
    <w:rsid w:val="002A05D3"/>
    <w:rsid w:val="002A06C6"/>
    <w:rsid w:val="002A107A"/>
    <w:rsid w:val="002A535E"/>
    <w:rsid w:val="002A5881"/>
    <w:rsid w:val="002A5E7A"/>
    <w:rsid w:val="002B0025"/>
    <w:rsid w:val="002B0801"/>
    <w:rsid w:val="002B0A3F"/>
    <w:rsid w:val="002B20A5"/>
    <w:rsid w:val="002B5324"/>
    <w:rsid w:val="002B56E7"/>
    <w:rsid w:val="002B5823"/>
    <w:rsid w:val="002B733A"/>
    <w:rsid w:val="002B7F4A"/>
    <w:rsid w:val="002C0074"/>
    <w:rsid w:val="002C097E"/>
    <w:rsid w:val="002C2315"/>
    <w:rsid w:val="002C301D"/>
    <w:rsid w:val="002C4A38"/>
    <w:rsid w:val="002C4D04"/>
    <w:rsid w:val="002C65B8"/>
    <w:rsid w:val="002C734D"/>
    <w:rsid w:val="002C744C"/>
    <w:rsid w:val="002D01BF"/>
    <w:rsid w:val="002D09A0"/>
    <w:rsid w:val="002D0FAA"/>
    <w:rsid w:val="002D3E81"/>
    <w:rsid w:val="002D4AC3"/>
    <w:rsid w:val="002D52A0"/>
    <w:rsid w:val="002D61BB"/>
    <w:rsid w:val="002D6691"/>
    <w:rsid w:val="002E0169"/>
    <w:rsid w:val="002E062E"/>
    <w:rsid w:val="002E1226"/>
    <w:rsid w:val="002E1D30"/>
    <w:rsid w:val="002E2678"/>
    <w:rsid w:val="002E28C6"/>
    <w:rsid w:val="002E3767"/>
    <w:rsid w:val="002E4DB3"/>
    <w:rsid w:val="002E667E"/>
    <w:rsid w:val="002E6D37"/>
    <w:rsid w:val="002E749F"/>
    <w:rsid w:val="002E79A6"/>
    <w:rsid w:val="002F10BF"/>
    <w:rsid w:val="002F110D"/>
    <w:rsid w:val="002F32BD"/>
    <w:rsid w:val="002F4407"/>
    <w:rsid w:val="002F5A1A"/>
    <w:rsid w:val="002F6E67"/>
    <w:rsid w:val="002F71F1"/>
    <w:rsid w:val="002F7C03"/>
    <w:rsid w:val="0030111A"/>
    <w:rsid w:val="003020F3"/>
    <w:rsid w:val="003022D4"/>
    <w:rsid w:val="003038AC"/>
    <w:rsid w:val="003042CA"/>
    <w:rsid w:val="00305726"/>
    <w:rsid w:val="00305F5B"/>
    <w:rsid w:val="00306E9B"/>
    <w:rsid w:val="003074BA"/>
    <w:rsid w:val="003076FA"/>
    <w:rsid w:val="00310D70"/>
    <w:rsid w:val="0031214B"/>
    <w:rsid w:val="00313F3E"/>
    <w:rsid w:val="00314A19"/>
    <w:rsid w:val="00315307"/>
    <w:rsid w:val="00315D17"/>
    <w:rsid w:val="00316B54"/>
    <w:rsid w:val="003176BB"/>
    <w:rsid w:val="00317E1A"/>
    <w:rsid w:val="00320A3C"/>
    <w:rsid w:val="00322EBD"/>
    <w:rsid w:val="003232C2"/>
    <w:rsid w:val="003237B0"/>
    <w:rsid w:val="0032503F"/>
    <w:rsid w:val="003262CE"/>
    <w:rsid w:val="003264ED"/>
    <w:rsid w:val="003308B4"/>
    <w:rsid w:val="0033312D"/>
    <w:rsid w:val="00333209"/>
    <w:rsid w:val="00334A4E"/>
    <w:rsid w:val="003352EF"/>
    <w:rsid w:val="003418C0"/>
    <w:rsid w:val="003424A8"/>
    <w:rsid w:val="003425F7"/>
    <w:rsid w:val="00343012"/>
    <w:rsid w:val="00343233"/>
    <w:rsid w:val="003439C6"/>
    <w:rsid w:val="00343B25"/>
    <w:rsid w:val="003441E3"/>
    <w:rsid w:val="003445EA"/>
    <w:rsid w:val="00344817"/>
    <w:rsid w:val="00346516"/>
    <w:rsid w:val="00350175"/>
    <w:rsid w:val="00351EC0"/>
    <w:rsid w:val="003528BD"/>
    <w:rsid w:val="00352990"/>
    <w:rsid w:val="00353113"/>
    <w:rsid w:val="00353518"/>
    <w:rsid w:val="0035401A"/>
    <w:rsid w:val="00355DAA"/>
    <w:rsid w:val="003575DB"/>
    <w:rsid w:val="003613F4"/>
    <w:rsid w:val="00361819"/>
    <w:rsid w:val="00361F3D"/>
    <w:rsid w:val="00362E2F"/>
    <w:rsid w:val="00362FE1"/>
    <w:rsid w:val="00363DCE"/>
    <w:rsid w:val="00364FB1"/>
    <w:rsid w:val="00365680"/>
    <w:rsid w:val="00366A1A"/>
    <w:rsid w:val="00366A44"/>
    <w:rsid w:val="00367B6E"/>
    <w:rsid w:val="00370B2E"/>
    <w:rsid w:val="00371FE7"/>
    <w:rsid w:val="00372D68"/>
    <w:rsid w:val="0037447C"/>
    <w:rsid w:val="0037458C"/>
    <w:rsid w:val="00374E9A"/>
    <w:rsid w:val="00375E7C"/>
    <w:rsid w:val="00375FFD"/>
    <w:rsid w:val="00381DB8"/>
    <w:rsid w:val="003826A0"/>
    <w:rsid w:val="00383462"/>
    <w:rsid w:val="00384B58"/>
    <w:rsid w:val="00385683"/>
    <w:rsid w:val="00385EC1"/>
    <w:rsid w:val="00386DD1"/>
    <w:rsid w:val="00387CA4"/>
    <w:rsid w:val="00391389"/>
    <w:rsid w:val="00391637"/>
    <w:rsid w:val="00391E64"/>
    <w:rsid w:val="0039263B"/>
    <w:rsid w:val="00395750"/>
    <w:rsid w:val="0039581F"/>
    <w:rsid w:val="00396861"/>
    <w:rsid w:val="0039783E"/>
    <w:rsid w:val="003A0009"/>
    <w:rsid w:val="003A0E47"/>
    <w:rsid w:val="003A1131"/>
    <w:rsid w:val="003A4360"/>
    <w:rsid w:val="003A6673"/>
    <w:rsid w:val="003A68AA"/>
    <w:rsid w:val="003A7561"/>
    <w:rsid w:val="003A76E4"/>
    <w:rsid w:val="003B09F2"/>
    <w:rsid w:val="003B1384"/>
    <w:rsid w:val="003B35B8"/>
    <w:rsid w:val="003B4A9D"/>
    <w:rsid w:val="003B4B13"/>
    <w:rsid w:val="003B4D2C"/>
    <w:rsid w:val="003B53A6"/>
    <w:rsid w:val="003C0785"/>
    <w:rsid w:val="003C1764"/>
    <w:rsid w:val="003C3AD0"/>
    <w:rsid w:val="003C4FE8"/>
    <w:rsid w:val="003C6505"/>
    <w:rsid w:val="003C722C"/>
    <w:rsid w:val="003C7985"/>
    <w:rsid w:val="003C7CAC"/>
    <w:rsid w:val="003C7E67"/>
    <w:rsid w:val="003D06D8"/>
    <w:rsid w:val="003D20ED"/>
    <w:rsid w:val="003D3392"/>
    <w:rsid w:val="003D4ED7"/>
    <w:rsid w:val="003D58D1"/>
    <w:rsid w:val="003D6531"/>
    <w:rsid w:val="003D6B05"/>
    <w:rsid w:val="003D6C84"/>
    <w:rsid w:val="003E017A"/>
    <w:rsid w:val="003E1FAF"/>
    <w:rsid w:val="003E20B9"/>
    <w:rsid w:val="003E3836"/>
    <w:rsid w:val="003E39B9"/>
    <w:rsid w:val="003E4AC8"/>
    <w:rsid w:val="003E4BB4"/>
    <w:rsid w:val="003E68B5"/>
    <w:rsid w:val="003F1203"/>
    <w:rsid w:val="003F14AC"/>
    <w:rsid w:val="003F27A7"/>
    <w:rsid w:val="003F2D09"/>
    <w:rsid w:val="003F34BF"/>
    <w:rsid w:val="003F37EA"/>
    <w:rsid w:val="003F3C50"/>
    <w:rsid w:val="003F47F5"/>
    <w:rsid w:val="003F59CC"/>
    <w:rsid w:val="003F5E57"/>
    <w:rsid w:val="003F5F9D"/>
    <w:rsid w:val="003F7652"/>
    <w:rsid w:val="003F7EDA"/>
    <w:rsid w:val="00401D87"/>
    <w:rsid w:val="00402BF8"/>
    <w:rsid w:val="00403755"/>
    <w:rsid w:val="0040387F"/>
    <w:rsid w:val="004056D1"/>
    <w:rsid w:val="00406227"/>
    <w:rsid w:val="00407D3B"/>
    <w:rsid w:val="0041363C"/>
    <w:rsid w:val="00414E9A"/>
    <w:rsid w:val="004152FF"/>
    <w:rsid w:val="00415A4C"/>
    <w:rsid w:val="00415CC4"/>
    <w:rsid w:val="00415FD6"/>
    <w:rsid w:val="0041696F"/>
    <w:rsid w:val="00420D4C"/>
    <w:rsid w:val="00423B79"/>
    <w:rsid w:val="004240D2"/>
    <w:rsid w:val="00424ADF"/>
    <w:rsid w:val="004303B8"/>
    <w:rsid w:val="00431677"/>
    <w:rsid w:val="00433183"/>
    <w:rsid w:val="00433AED"/>
    <w:rsid w:val="00433FD8"/>
    <w:rsid w:val="004342F0"/>
    <w:rsid w:val="004353DD"/>
    <w:rsid w:val="00435F4A"/>
    <w:rsid w:val="00437C49"/>
    <w:rsid w:val="0044117C"/>
    <w:rsid w:val="004418F2"/>
    <w:rsid w:val="00443662"/>
    <w:rsid w:val="00443DF2"/>
    <w:rsid w:val="00444E78"/>
    <w:rsid w:val="004455A5"/>
    <w:rsid w:val="00445911"/>
    <w:rsid w:val="00445F4D"/>
    <w:rsid w:val="00446050"/>
    <w:rsid w:val="00446FC1"/>
    <w:rsid w:val="00447C26"/>
    <w:rsid w:val="00447F1A"/>
    <w:rsid w:val="0045085A"/>
    <w:rsid w:val="00450CBA"/>
    <w:rsid w:val="00450E27"/>
    <w:rsid w:val="0045110A"/>
    <w:rsid w:val="00452DA2"/>
    <w:rsid w:val="004532A3"/>
    <w:rsid w:val="00455363"/>
    <w:rsid w:val="00456B8F"/>
    <w:rsid w:val="00457045"/>
    <w:rsid w:val="004574C4"/>
    <w:rsid w:val="00457A91"/>
    <w:rsid w:val="004604E9"/>
    <w:rsid w:val="00460A55"/>
    <w:rsid w:val="004610FB"/>
    <w:rsid w:val="0046180A"/>
    <w:rsid w:val="00462BC6"/>
    <w:rsid w:val="00463FEB"/>
    <w:rsid w:val="004660F2"/>
    <w:rsid w:val="00470C11"/>
    <w:rsid w:val="00471759"/>
    <w:rsid w:val="0047175C"/>
    <w:rsid w:val="00471C79"/>
    <w:rsid w:val="004721E0"/>
    <w:rsid w:val="00472F9C"/>
    <w:rsid w:val="00473803"/>
    <w:rsid w:val="004755FE"/>
    <w:rsid w:val="004759BF"/>
    <w:rsid w:val="00476857"/>
    <w:rsid w:val="00476B4E"/>
    <w:rsid w:val="0047782F"/>
    <w:rsid w:val="004828C6"/>
    <w:rsid w:val="00484675"/>
    <w:rsid w:val="00484F33"/>
    <w:rsid w:val="004854FA"/>
    <w:rsid w:val="004869CF"/>
    <w:rsid w:val="00487545"/>
    <w:rsid w:val="00490239"/>
    <w:rsid w:val="00490B1D"/>
    <w:rsid w:val="00491DC5"/>
    <w:rsid w:val="004929EC"/>
    <w:rsid w:val="004935F6"/>
    <w:rsid w:val="00493B10"/>
    <w:rsid w:val="00493F24"/>
    <w:rsid w:val="00495017"/>
    <w:rsid w:val="0049615F"/>
    <w:rsid w:val="004971EF"/>
    <w:rsid w:val="004A2043"/>
    <w:rsid w:val="004A2FD9"/>
    <w:rsid w:val="004A51CB"/>
    <w:rsid w:val="004A5D55"/>
    <w:rsid w:val="004A6D51"/>
    <w:rsid w:val="004B03BE"/>
    <w:rsid w:val="004B0A80"/>
    <w:rsid w:val="004B1950"/>
    <w:rsid w:val="004B2839"/>
    <w:rsid w:val="004B300A"/>
    <w:rsid w:val="004B4E7B"/>
    <w:rsid w:val="004B7418"/>
    <w:rsid w:val="004B7488"/>
    <w:rsid w:val="004B78FA"/>
    <w:rsid w:val="004C0FBA"/>
    <w:rsid w:val="004C1080"/>
    <w:rsid w:val="004C2B29"/>
    <w:rsid w:val="004C3F7B"/>
    <w:rsid w:val="004C3FD4"/>
    <w:rsid w:val="004C4916"/>
    <w:rsid w:val="004C6A1A"/>
    <w:rsid w:val="004C78C4"/>
    <w:rsid w:val="004C7C5C"/>
    <w:rsid w:val="004D2B88"/>
    <w:rsid w:val="004D2EB8"/>
    <w:rsid w:val="004D3A3F"/>
    <w:rsid w:val="004D512D"/>
    <w:rsid w:val="004D58A1"/>
    <w:rsid w:val="004D5D38"/>
    <w:rsid w:val="004D5F74"/>
    <w:rsid w:val="004D69F9"/>
    <w:rsid w:val="004D6ED4"/>
    <w:rsid w:val="004E0674"/>
    <w:rsid w:val="004E10E0"/>
    <w:rsid w:val="004E198A"/>
    <w:rsid w:val="004E2A32"/>
    <w:rsid w:val="004E3061"/>
    <w:rsid w:val="004E3F7E"/>
    <w:rsid w:val="004E67E6"/>
    <w:rsid w:val="004F098B"/>
    <w:rsid w:val="004F0E40"/>
    <w:rsid w:val="004F19CD"/>
    <w:rsid w:val="004F1F6E"/>
    <w:rsid w:val="004F245D"/>
    <w:rsid w:val="004F3C27"/>
    <w:rsid w:val="004F4453"/>
    <w:rsid w:val="004F5E93"/>
    <w:rsid w:val="004F603D"/>
    <w:rsid w:val="004F6545"/>
    <w:rsid w:val="004F6D32"/>
    <w:rsid w:val="004F6FC8"/>
    <w:rsid w:val="0050046F"/>
    <w:rsid w:val="00500EEF"/>
    <w:rsid w:val="005015CE"/>
    <w:rsid w:val="00501BD9"/>
    <w:rsid w:val="00504024"/>
    <w:rsid w:val="005041A7"/>
    <w:rsid w:val="00504E3C"/>
    <w:rsid w:val="00506456"/>
    <w:rsid w:val="00506825"/>
    <w:rsid w:val="00506FA2"/>
    <w:rsid w:val="00507196"/>
    <w:rsid w:val="005103B1"/>
    <w:rsid w:val="0051068B"/>
    <w:rsid w:val="00515680"/>
    <w:rsid w:val="005156F7"/>
    <w:rsid w:val="005173F5"/>
    <w:rsid w:val="00517D7F"/>
    <w:rsid w:val="00517E7D"/>
    <w:rsid w:val="00520779"/>
    <w:rsid w:val="00521E8C"/>
    <w:rsid w:val="00523AAC"/>
    <w:rsid w:val="00523CF5"/>
    <w:rsid w:val="005246FD"/>
    <w:rsid w:val="00525A4C"/>
    <w:rsid w:val="00525C51"/>
    <w:rsid w:val="00530417"/>
    <w:rsid w:val="00530B0F"/>
    <w:rsid w:val="00532095"/>
    <w:rsid w:val="005321B7"/>
    <w:rsid w:val="005328C3"/>
    <w:rsid w:val="0053379A"/>
    <w:rsid w:val="005337D5"/>
    <w:rsid w:val="0053381A"/>
    <w:rsid w:val="0053679A"/>
    <w:rsid w:val="00536C66"/>
    <w:rsid w:val="0054067C"/>
    <w:rsid w:val="00541C62"/>
    <w:rsid w:val="005437B7"/>
    <w:rsid w:val="00543E03"/>
    <w:rsid w:val="00545113"/>
    <w:rsid w:val="00545D86"/>
    <w:rsid w:val="00545F4F"/>
    <w:rsid w:val="00545F60"/>
    <w:rsid w:val="00547754"/>
    <w:rsid w:val="0054782B"/>
    <w:rsid w:val="0055051C"/>
    <w:rsid w:val="00550BD7"/>
    <w:rsid w:val="005520E3"/>
    <w:rsid w:val="005523EA"/>
    <w:rsid w:val="005536BC"/>
    <w:rsid w:val="005544E5"/>
    <w:rsid w:val="005549F8"/>
    <w:rsid w:val="00554B2A"/>
    <w:rsid w:val="00554B2F"/>
    <w:rsid w:val="00557118"/>
    <w:rsid w:val="00560EB6"/>
    <w:rsid w:val="005612C1"/>
    <w:rsid w:val="00562BC9"/>
    <w:rsid w:val="0056357E"/>
    <w:rsid w:val="00563B07"/>
    <w:rsid w:val="00564874"/>
    <w:rsid w:val="00566834"/>
    <w:rsid w:val="005668F0"/>
    <w:rsid w:val="005677E2"/>
    <w:rsid w:val="0056783D"/>
    <w:rsid w:val="0057019F"/>
    <w:rsid w:val="005704E5"/>
    <w:rsid w:val="00570549"/>
    <w:rsid w:val="00570A8B"/>
    <w:rsid w:val="0057101F"/>
    <w:rsid w:val="00571A9D"/>
    <w:rsid w:val="00571BA5"/>
    <w:rsid w:val="00573B85"/>
    <w:rsid w:val="00574342"/>
    <w:rsid w:val="005748FD"/>
    <w:rsid w:val="005754DE"/>
    <w:rsid w:val="00576798"/>
    <w:rsid w:val="00580450"/>
    <w:rsid w:val="00580CDE"/>
    <w:rsid w:val="00581009"/>
    <w:rsid w:val="005819B2"/>
    <w:rsid w:val="00581DC1"/>
    <w:rsid w:val="00582409"/>
    <w:rsid w:val="00582DC6"/>
    <w:rsid w:val="00583F9C"/>
    <w:rsid w:val="00585F5E"/>
    <w:rsid w:val="00586DC7"/>
    <w:rsid w:val="00590BD9"/>
    <w:rsid w:val="00590D92"/>
    <w:rsid w:val="00590DE3"/>
    <w:rsid w:val="00591D83"/>
    <w:rsid w:val="00591D93"/>
    <w:rsid w:val="00593561"/>
    <w:rsid w:val="00594805"/>
    <w:rsid w:val="00596392"/>
    <w:rsid w:val="00596EAD"/>
    <w:rsid w:val="00597DFE"/>
    <w:rsid w:val="00597F6D"/>
    <w:rsid w:val="00597FAF"/>
    <w:rsid w:val="005A0C3A"/>
    <w:rsid w:val="005A13E7"/>
    <w:rsid w:val="005A196E"/>
    <w:rsid w:val="005A298D"/>
    <w:rsid w:val="005A34B5"/>
    <w:rsid w:val="005A3D06"/>
    <w:rsid w:val="005A3DA9"/>
    <w:rsid w:val="005A62E6"/>
    <w:rsid w:val="005A6CC1"/>
    <w:rsid w:val="005A6CCD"/>
    <w:rsid w:val="005A7107"/>
    <w:rsid w:val="005A7945"/>
    <w:rsid w:val="005B174D"/>
    <w:rsid w:val="005B1762"/>
    <w:rsid w:val="005B29AF"/>
    <w:rsid w:val="005B39D2"/>
    <w:rsid w:val="005B3B36"/>
    <w:rsid w:val="005B4D83"/>
    <w:rsid w:val="005B52A7"/>
    <w:rsid w:val="005B545C"/>
    <w:rsid w:val="005B55F8"/>
    <w:rsid w:val="005B5924"/>
    <w:rsid w:val="005B6561"/>
    <w:rsid w:val="005B738C"/>
    <w:rsid w:val="005C0312"/>
    <w:rsid w:val="005C0453"/>
    <w:rsid w:val="005C21D1"/>
    <w:rsid w:val="005C24B6"/>
    <w:rsid w:val="005C29FA"/>
    <w:rsid w:val="005C363D"/>
    <w:rsid w:val="005C3E40"/>
    <w:rsid w:val="005C5F92"/>
    <w:rsid w:val="005C6EDB"/>
    <w:rsid w:val="005D0763"/>
    <w:rsid w:val="005D0FD8"/>
    <w:rsid w:val="005D33F7"/>
    <w:rsid w:val="005D3DE0"/>
    <w:rsid w:val="005D4C84"/>
    <w:rsid w:val="005D57F3"/>
    <w:rsid w:val="005D67EA"/>
    <w:rsid w:val="005D6A51"/>
    <w:rsid w:val="005E0B96"/>
    <w:rsid w:val="005E0C05"/>
    <w:rsid w:val="005E4156"/>
    <w:rsid w:val="005E4275"/>
    <w:rsid w:val="005E5A2E"/>
    <w:rsid w:val="005E6DB6"/>
    <w:rsid w:val="005E7559"/>
    <w:rsid w:val="005F1CEC"/>
    <w:rsid w:val="005F2C40"/>
    <w:rsid w:val="005F4DCE"/>
    <w:rsid w:val="005F5FC9"/>
    <w:rsid w:val="0060184B"/>
    <w:rsid w:val="00601A52"/>
    <w:rsid w:val="00602E73"/>
    <w:rsid w:val="00603627"/>
    <w:rsid w:val="006036A6"/>
    <w:rsid w:val="00603E2B"/>
    <w:rsid w:val="00603FA8"/>
    <w:rsid w:val="006050DD"/>
    <w:rsid w:val="006062EF"/>
    <w:rsid w:val="0061025C"/>
    <w:rsid w:val="00610DB8"/>
    <w:rsid w:val="00610EAA"/>
    <w:rsid w:val="006121E5"/>
    <w:rsid w:val="00612D19"/>
    <w:rsid w:val="0061317B"/>
    <w:rsid w:val="00613972"/>
    <w:rsid w:val="00614066"/>
    <w:rsid w:val="006159F2"/>
    <w:rsid w:val="00615E70"/>
    <w:rsid w:val="00616932"/>
    <w:rsid w:val="006170F2"/>
    <w:rsid w:val="00617398"/>
    <w:rsid w:val="0061761D"/>
    <w:rsid w:val="006207E9"/>
    <w:rsid w:val="00621E70"/>
    <w:rsid w:val="0062212F"/>
    <w:rsid w:val="00626B7E"/>
    <w:rsid w:val="00626E4D"/>
    <w:rsid w:val="00632BA7"/>
    <w:rsid w:val="00632C89"/>
    <w:rsid w:val="00632E8C"/>
    <w:rsid w:val="00634F11"/>
    <w:rsid w:val="006359F5"/>
    <w:rsid w:val="00635A18"/>
    <w:rsid w:val="006371BF"/>
    <w:rsid w:val="006377D3"/>
    <w:rsid w:val="00637BB7"/>
    <w:rsid w:val="0064192D"/>
    <w:rsid w:val="00642ADD"/>
    <w:rsid w:val="00643396"/>
    <w:rsid w:val="00643788"/>
    <w:rsid w:val="0064402C"/>
    <w:rsid w:val="006445A2"/>
    <w:rsid w:val="00645C45"/>
    <w:rsid w:val="00646179"/>
    <w:rsid w:val="006464FD"/>
    <w:rsid w:val="006474EE"/>
    <w:rsid w:val="0064763A"/>
    <w:rsid w:val="00651CF8"/>
    <w:rsid w:val="006544DB"/>
    <w:rsid w:val="00655873"/>
    <w:rsid w:val="00656647"/>
    <w:rsid w:val="0065713B"/>
    <w:rsid w:val="0065713C"/>
    <w:rsid w:val="0065773E"/>
    <w:rsid w:val="00660196"/>
    <w:rsid w:val="00660B1F"/>
    <w:rsid w:val="00662194"/>
    <w:rsid w:val="00663331"/>
    <w:rsid w:val="006637FA"/>
    <w:rsid w:val="00663B17"/>
    <w:rsid w:val="00666A40"/>
    <w:rsid w:val="00667411"/>
    <w:rsid w:val="00670209"/>
    <w:rsid w:val="00670AF5"/>
    <w:rsid w:val="00671424"/>
    <w:rsid w:val="00672C6E"/>
    <w:rsid w:val="006755C1"/>
    <w:rsid w:val="00675A28"/>
    <w:rsid w:val="00676159"/>
    <w:rsid w:val="006772A7"/>
    <w:rsid w:val="006772CA"/>
    <w:rsid w:val="00677EE9"/>
    <w:rsid w:val="00680141"/>
    <w:rsid w:val="006804CF"/>
    <w:rsid w:val="00681160"/>
    <w:rsid w:val="006822DA"/>
    <w:rsid w:val="00682473"/>
    <w:rsid w:val="006829A8"/>
    <w:rsid w:val="00682FBC"/>
    <w:rsid w:val="0068368B"/>
    <w:rsid w:val="00683A57"/>
    <w:rsid w:val="0068449E"/>
    <w:rsid w:val="00684864"/>
    <w:rsid w:val="00684A4C"/>
    <w:rsid w:val="006873EA"/>
    <w:rsid w:val="00690756"/>
    <w:rsid w:val="00692162"/>
    <w:rsid w:val="00693024"/>
    <w:rsid w:val="00694ABE"/>
    <w:rsid w:val="00694E49"/>
    <w:rsid w:val="006A0E74"/>
    <w:rsid w:val="006A0FE1"/>
    <w:rsid w:val="006A218F"/>
    <w:rsid w:val="006A3353"/>
    <w:rsid w:val="006A3F76"/>
    <w:rsid w:val="006A4054"/>
    <w:rsid w:val="006A40A1"/>
    <w:rsid w:val="006A5C00"/>
    <w:rsid w:val="006A6165"/>
    <w:rsid w:val="006A6392"/>
    <w:rsid w:val="006A7E28"/>
    <w:rsid w:val="006B2116"/>
    <w:rsid w:val="006B2982"/>
    <w:rsid w:val="006B35BE"/>
    <w:rsid w:val="006B516A"/>
    <w:rsid w:val="006B72C1"/>
    <w:rsid w:val="006C017F"/>
    <w:rsid w:val="006C0A4C"/>
    <w:rsid w:val="006C1B43"/>
    <w:rsid w:val="006C1D7C"/>
    <w:rsid w:val="006C3765"/>
    <w:rsid w:val="006C39BF"/>
    <w:rsid w:val="006C4775"/>
    <w:rsid w:val="006C6FA2"/>
    <w:rsid w:val="006C7000"/>
    <w:rsid w:val="006C7763"/>
    <w:rsid w:val="006D012B"/>
    <w:rsid w:val="006D12A7"/>
    <w:rsid w:val="006D2BD5"/>
    <w:rsid w:val="006D3ECE"/>
    <w:rsid w:val="006D4E45"/>
    <w:rsid w:val="006D5350"/>
    <w:rsid w:val="006E0317"/>
    <w:rsid w:val="006E0511"/>
    <w:rsid w:val="006E12C1"/>
    <w:rsid w:val="006E2FF5"/>
    <w:rsid w:val="006E5580"/>
    <w:rsid w:val="006E5C2C"/>
    <w:rsid w:val="006E607F"/>
    <w:rsid w:val="006E619B"/>
    <w:rsid w:val="006E7DC2"/>
    <w:rsid w:val="006F0804"/>
    <w:rsid w:val="006F0D73"/>
    <w:rsid w:val="006F1342"/>
    <w:rsid w:val="006F2EC6"/>
    <w:rsid w:val="006F3D80"/>
    <w:rsid w:val="006F3EF5"/>
    <w:rsid w:val="006F49F0"/>
    <w:rsid w:val="0070184A"/>
    <w:rsid w:val="00702B84"/>
    <w:rsid w:val="00702E8D"/>
    <w:rsid w:val="0070360B"/>
    <w:rsid w:val="00704726"/>
    <w:rsid w:val="007053E7"/>
    <w:rsid w:val="0070569D"/>
    <w:rsid w:val="0070586A"/>
    <w:rsid w:val="00705884"/>
    <w:rsid w:val="00705BD1"/>
    <w:rsid w:val="007063F2"/>
    <w:rsid w:val="00706E77"/>
    <w:rsid w:val="007075B8"/>
    <w:rsid w:val="00707B2E"/>
    <w:rsid w:val="00710B00"/>
    <w:rsid w:val="00711471"/>
    <w:rsid w:val="00712398"/>
    <w:rsid w:val="00716DEA"/>
    <w:rsid w:val="00720426"/>
    <w:rsid w:val="0072105B"/>
    <w:rsid w:val="0072284E"/>
    <w:rsid w:val="00723508"/>
    <w:rsid w:val="0073286C"/>
    <w:rsid w:val="007328CC"/>
    <w:rsid w:val="007330DF"/>
    <w:rsid w:val="00733260"/>
    <w:rsid w:val="00735070"/>
    <w:rsid w:val="00735AD3"/>
    <w:rsid w:val="007364DA"/>
    <w:rsid w:val="007409D2"/>
    <w:rsid w:val="00742222"/>
    <w:rsid w:val="00743EA9"/>
    <w:rsid w:val="0074529C"/>
    <w:rsid w:val="00747ECC"/>
    <w:rsid w:val="00750BF8"/>
    <w:rsid w:val="00750E2F"/>
    <w:rsid w:val="007515BC"/>
    <w:rsid w:val="00751B30"/>
    <w:rsid w:val="00753328"/>
    <w:rsid w:val="00753433"/>
    <w:rsid w:val="00754E11"/>
    <w:rsid w:val="00756097"/>
    <w:rsid w:val="007570B3"/>
    <w:rsid w:val="00761BE7"/>
    <w:rsid w:val="00764F3A"/>
    <w:rsid w:val="00765CC1"/>
    <w:rsid w:val="007669BA"/>
    <w:rsid w:val="00770261"/>
    <w:rsid w:val="007712EA"/>
    <w:rsid w:val="00772439"/>
    <w:rsid w:val="00773639"/>
    <w:rsid w:val="00773ACD"/>
    <w:rsid w:val="007768C5"/>
    <w:rsid w:val="00776D7C"/>
    <w:rsid w:val="00777076"/>
    <w:rsid w:val="0077715B"/>
    <w:rsid w:val="007773BD"/>
    <w:rsid w:val="00777B72"/>
    <w:rsid w:val="00777EEE"/>
    <w:rsid w:val="007811C0"/>
    <w:rsid w:val="007819CF"/>
    <w:rsid w:val="0078263F"/>
    <w:rsid w:val="007830CA"/>
    <w:rsid w:val="00783657"/>
    <w:rsid w:val="00786840"/>
    <w:rsid w:val="00790852"/>
    <w:rsid w:val="00790EEE"/>
    <w:rsid w:val="00791304"/>
    <w:rsid w:val="00791677"/>
    <w:rsid w:val="00791D0E"/>
    <w:rsid w:val="00791E8E"/>
    <w:rsid w:val="007931A9"/>
    <w:rsid w:val="00794E52"/>
    <w:rsid w:val="00794E6C"/>
    <w:rsid w:val="007952A7"/>
    <w:rsid w:val="00796982"/>
    <w:rsid w:val="00797751"/>
    <w:rsid w:val="0079785D"/>
    <w:rsid w:val="007A02C7"/>
    <w:rsid w:val="007A05C6"/>
    <w:rsid w:val="007A08D6"/>
    <w:rsid w:val="007A2C70"/>
    <w:rsid w:val="007A375D"/>
    <w:rsid w:val="007A4344"/>
    <w:rsid w:val="007A5826"/>
    <w:rsid w:val="007A657A"/>
    <w:rsid w:val="007B249F"/>
    <w:rsid w:val="007B4330"/>
    <w:rsid w:val="007B435A"/>
    <w:rsid w:val="007B4834"/>
    <w:rsid w:val="007B499A"/>
    <w:rsid w:val="007B5D7E"/>
    <w:rsid w:val="007B612D"/>
    <w:rsid w:val="007B77FD"/>
    <w:rsid w:val="007B788E"/>
    <w:rsid w:val="007C17B1"/>
    <w:rsid w:val="007C3851"/>
    <w:rsid w:val="007C43BB"/>
    <w:rsid w:val="007C497D"/>
    <w:rsid w:val="007C6ED9"/>
    <w:rsid w:val="007C737B"/>
    <w:rsid w:val="007C7BDD"/>
    <w:rsid w:val="007D0571"/>
    <w:rsid w:val="007D1D13"/>
    <w:rsid w:val="007D20FF"/>
    <w:rsid w:val="007D229A"/>
    <w:rsid w:val="007D36F2"/>
    <w:rsid w:val="007D3B6C"/>
    <w:rsid w:val="007D57DC"/>
    <w:rsid w:val="007E00A1"/>
    <w:rsid w:val="007E2BB1"/>
    <w:rsid w:val="007E2F2D"/>
    <w:rsid w:val="007E3A3A"/>
    <w:rsid w:val="007E3C1B"/>
    <w:rsid w:val="007E4CFE"/>
    <w:rsid w:val="007E6D47"/>
    <w:rsid w:val="007E71C7"/>
    <w:rsid w:val="007F0096"/>
    <w:rsid w:val="007F1AD6"/>
    <w:rsid w:val="007F2BB3"/>
    <w:rsid w:val="007F35FA"/>
    <w:rsid w:val="007F3724"/>
    <w:rsid w:val="007F4330"/>
    <w:rsid w:val="007F45A7"/>
    <w:rsid w:val="007F4C1B"/>
    <w:rsid w:val="007F62A9"/>
    <w:rsid w:val="008022F1"/>
    <w:rsid w:val="0080288A"/>
    <w:rsid w:val="00802E2A"/>
    <w:rsid w:val="00803569"/>
    <w:rsid w:val="008049CE"/>
    <w:rsid w:val="0080611F"/>
    <w:rsid w:val="00807058"/>
    <w:rsid w:val="0080739F"/>
    <w:rsid w:val="0080758E"/>
    <w:rsid w:val="0081025E"/>
    <w:rsid w:val="008102AD"/>
    <w:rsid w:val="00812261"/>
    <w:rsid w:val="008124E6"/>
    <w:rsid w:val="00812B72"/>
    <w:rsid w:val="00813360"/>
    <w:rsid w:val="00813620"/>
    <w:rsid w:val="00816F3A"/>
    <w:rsid w:val="008171ED"/>
    <w:rsid w:val="00820A94"/>
    <w:rsid w:val="00822DB3"/>
    <w:rsid w:val="00823B52"/>
    <w:rsid w:val="00823B90"/>
    <w:rsid w:val="00830162"/>
    <w:rsid w:val="008304E8"/>
    <w:rsid w:val="00831ACA"/>
    <w:rsid w:val="00831AD5"/>
    <w:rsid w:val="00831BAA"/>
    <w:rsid w:val="00831E32"/>
    <w:rsid w:val="00833DF9"/>
    <w:rsid w:val="00834C7B"/>
    <w:rsid w:val="00836367"/>
    <w:rsid w:val="00836735"/>
    <w:rsid w:val="008375CF"/>
    <w:rsid w:val="008425D5"/>
    <w:rsid w:val="00843D20"/>
    <w:rsid w:val="00844454"/>
    <w:rsid w:val="00847192"/>
    <w:rsid w:val="0084731D"/>
    <w:rsid w:val="00850142"/>
    <w:rsid w:val="008511D0"/>
    <w:rsid w:val="00857420"/>
    <w:rsid w:val="0085773A"/>
    <w:rsid w:val="008603F1"/>
    <w:rsid w:val="00860CCE"/>
    <w:rsid w:val="00860D1C"/>
    <w:rsid w:val="00862540"/>
    <w:rsid w:val="00862551"/>
    <w:rsid w:val="0086294E"/>
    <w:rsid w:val="00863459"/>
    <w:rsid w:val="008637E1"/>
    <w:rsid w:val="0086467A"/>
    <w:rsid w:val="00866267"/>
    <w:rsid w:val="008669BF"/>
    <w:rsid w:val="00867E68"/>
    <w:rsid w:val="00871EEB"/>
    <w:rsid w:val="00872CDA"/>
    <w:rsid w:val="0087340F"/>
    <w:rsid w:val="00873D37"/>
    <w:rsid w:val="00874188"/>
    <w:rsid w:val="008746F3"/>
    <w:rsid w:val="00876879"/>
    <w:rsid w:val="00881C9E"/>
    <w:rsid w:val="0088302D"/>
    <w:rsid w:val="008830FE"/>
    <w:rsid w:val="00883A51"/>
    <w:rsid w:val="008841C7"/>
    <w:rsid w:val="00884ECC"/>
    <w:rsid w:val="00885271"/>
    <w:rsid w:val="00885C28"/>
    <w:rsid w:val="00885F6B"/>
    <w:rsid w:val="008866E0"/>
    <w:rsid w:val="00886783"/>
    <w:rsid w:val="00887803"/>
    <w:rsid w:val="00887ABA"/>
    <w:rsid w:val="00891481"/>
    <w:rsid w:val="0089308D"/>
    <w:rsid w:val="00893A34"/>
    <w:rsid w:val="00893F1F"/>
    <w:rsid w:val="00897964"/>
    <w:rsid w:val="008A2903"/>
    <w:rsid w:val="008A2ECB"/>
    <w:rsid w:val="008A41D1"/>
    <w:rsid w:val="008A6B32"/>
    <w:rsid w:val="008A6D57"/>
    <w:rsid w:val="008A7DEB"/>
    <w:rsid w:val="008B39F2"/>
    <w:rsid w:val="008B7CC7"/>
    <w:rsid w:val="008C0BAD"/>
    <w:rsid w:val="008C1654"/>
    <w:rsid w:val="008C2E66"/>
    <w:rsid w:val="008C31D9"/>
    <w:rsid w:val="008C3CF3"/>
    <w:rsid w:val="008C4059"/>
    <w:rsid w:val="008C5061"/>
    <w:rsid w:val="008C66BB"/>
    <w:rsid w:val="008D321E"/>
    <w:rsid w:val="008D4069"/>
    <w:rsid w:val="008D4C74"/>
    <w:rsid w:val="008D578D"/>
    <w:rsid w:val="008D6F8D"/>
    <w:rsid w:val="008E0799"/>
    <w:rsid w:val="008E144C"/>
    <w:rsid w:val="008E1524"/>
    <w:rsid w:val="008E1751"/>
    <w:rsid w:val="008E35D5"/>
    <w:rsid w:val="008E499D"/>
    <w:rsid w:val="008F0885"/>
    <w:rsid w:val="008F1742"/>
    <w:rsid w:val="008F3401"/>
    <w:rsid w:val="008F3EA4"/>
    <w:rsid w:val="008F45DD"/>
    <w:rsid w:val="008F524F"/>
    <w:rsid w:val="008F546B"/>
    <w:rsid w:val="008F7F16"/>
    <w:rsid w:val="009011FA"/>
    <w:rsid w:val="00903A46"/>
    <w:rsid w:val="00907EF1"/>
    <w:rsid w:val="009112D6"/>
    <w:rsid w:val="00911779"/>
    <w:rsid w:val="00912583"/>
    <w:rsid w:val="00912FE6"/>
    <w:rsid w:val="00914E6B"/>
    <w:rsid w:val="0091537A"/>
    <w:rsid w:val="0091613C"/>
    <w:rsid w:val="00916AA9"/>
    <w:rsid w:val="00917703"/>
    <w:rsid w:val="00921613"/>
    <w:rsid w:val="00921AD9"/>
    <w:rsid w:val="00922DFB"/>
    <w:rsid w:val="00924DAD"/>
    <w:rsid w:val="00924EF9"/>
    <w:rsid w:val="00926B17"/>
    <w:rsid w:val="00931139"/>
    <w:rsid w:val="00931186"/>
    <w:rsid w:val="00931C60"/>
    <w:rsid w:val="00932330"/>
    <w:rsid w:val="009366A0"/>
    <w:rsid w:val="00940605"/>
    <w:rsid w:val="009407EE"/>
    <w:rsid w:val="00943B26"/>
    <w:rsid w:val="00950357"/>
    <w:rsid w:val="0095200D"/>
    <w:rsid w:val="009542D3"/>
    <w:rsid w:val="00954339"/>
    <w:rsid w:val="00954724"/>
    <w:rsid w:val="00956DA6"/>
    <w:rsid w:val="00957428"/>
    <w:rsid w:val="009575E3"/>
    <w:rsid w:val="00957F52"/>
    <w:rsid w:val="00960387"/>
    <w:rsid w:val="00961C3D"/>
    <w:rsid w:val="00961DC0"/>
    <w:rsid w:val="00962143"/>
    <w:rsid w:val="00962484"/>
    <w:rsid w:val="0096278C"/>
    <w:rsid w:val="009643C4"/>
    <w:rsid w:val="0096606B"/>
    <w:rsid w:val="00967BAA"/>
    <w:rsid w:val="00970DF3"/>
    <w:rsid w:val="00975870"/>
    <w:rsid w:val="00975CDC"/>
    <w:rsid w:val="009761DA"/>
    <w:rsid w:val="00976857"/>
    <w:rsid w:val="009768F2"/>
    <w:rsid w:val="00981A56"/>
    <w:rsid w:val="00983242"/>
    <w:rsid w:val="00983700"/>
    <w:rsid w:val="00983CFC"/>
    <w:rsid w:val="00984467"/>
    <w:rsid w:val="00984D2B"/>
    <w:rsid w:val="0098563C"/>
    <w:rsid w:val="0098603E"/>
    <w:rsid w:val="00986F53"/>
    <w:rsid w:val="0099053A"/>
    <w:rsid w:val="009918E8"/>
    <w:rsid w:val="00991ACC"/>
    <w:rsid w:val="00992345"/>
    <w:rsid w:val="00993572"/>
    <w:rsid w:val="00995D58"/>
    <w:rsid w:val="0099604A"/>
    <w:rsid w:val="009962FE"/>
    <w:rsid w:val="00997E46"/>
    <w:rsid w:val="009A0E5A"/>
    <w:rsid w:val="009A12DB"/>
    <w:rsid w:val="009A1F84"/>
    <w:rsid w:val="009A237B"/>
    <w:rsid w:val="009A23EE"/>
    <w:rsid w:val="009A2C24"/>
    <w:rsid w:val="009A4293"/>
    <w:rsid w:val="009A6068"/>
    <w:rsid w:val="009B0464"/>
    <w:rsid w:val="009B1209"/>
    <w:rsid w:val="009B3F9B"/>
    <w:rsid w:val="009B4464"/>
    <w:rsid w:val="009B5ED9"/>
    <w:rsid w:val="009B639A"/>
    <w:rsid w:val="009B687E"/>
    <w:rsid w:val="009B78C5"/>
    <w:rsid w:val="009C19D5"/>
    <w:rsid w:val="009C3E98"/>
    <w:rsid w:val="009C4DC5"/>
    <w:rsid w:val="009C4F2E"/>
    <w:rsid w:val="009C5262"/>
    <w:rsid w:val="009C64C0"/>
    <w:rsid w:val="009C6B0A"/>
    <w:rsid w:val="009D07A9"/>
    <w:rsid w:val="009D176F"/>
    <w:rsid w:val="009D48DD"/>
    <w:rsid w:val="009D5865"/>
    <w:rsid w:val="009D5E4C"/>
    <w:rsid w:val="009D6D25"/>
    <w:rsid w:val="009E03FB"/>
    <w:rsid w:val="009E17B9"/>
    <w:rsid w:val="009E39BD"/>
    <w:rsid w:val="009E403F"/>
    <w:rsid w:val="009E56D2"/>
    <w:rsid w:val="009F06E5"/>
    <w:rsid w:val="009F09E6"/>
    <w:rsid w:val="009F1151"/>
    <w:rsid w:val="009F1D82"/>
    <w:rsid w:val="009F39B2"/>
    <w:rsid w:val="009F630C"/>
    <w:rsid w:val="009F7B9A"/>
    <w:rsid w:val="009F7F75"/>
    <w:rsid w:val="00A01B48"/>
    <w:rsid w:val="00A02F41"/>
    <w:rsid w:val="00A0358C"/>
    <w:rsid w:val="00A03704"/>
    <w:rsid w:val="00A04702"/>
    <w:rsid w:val="00A05AD3"/>
    <w:rsid w:val="00A067D6"/>
    <w:rsid w:val="00A06AC7"/>
    <w:rsid w:val="00A11347"/>
    <w:rsid w:val="00A11C67"/>
    <w:rsid w:val="00A12961"/>
    <w:rsid w:val="00A12A9D"/>
    <w:rsid w:val="00A136AC"/>
    <w:rsid w:val="00A13885"/>
    <w:rsid w:val="00A144CF"/>
    <w:rsid w:val="00A169B4"/>
    <w:rsid w:val="00A16CD8"/>
    <w:rsid w:val="00A178DF"/>
    <w:rsid w:val="00A17CE6"/>
    <w:rsid w:val="00A201F1"/>
    <w:rsid w:val="00A20C92"/>
    <w:rsid w:val="00A214BF"/>
    <w:rsid w:val="00A227F2"/>
    <w:rsid w:val="00A240B1"/>
    <w:rsid w:val="00A241BD"/>
    <w:rsid w:val="00A260E7"/>
    <w:rsid w:val="00A26168"/>
    <w:rsid w:val="00A2777E"/>
    <w:rsid w:val="00A3103A"/>
    <w:rsid w:val="00A31268"/>
    <w:rsid w:val="00A31E8F"/>
    <w:rsid w:val="00A33E96"/>
    <w:rsid w:val="00A3580A"/>
    <w:rsid w:val="00A40AF3"/>
    <w:rsid w:val="00A41E37"/>
    <w:rsid w:val="00A41FC7"/>
    <w:rsid w:val="00A44EB9"/>
    <w:rsid w:val="00A458F0"/>
    <w:rsid w:val="00A46A67"/>
    <w:rsid w:val="00A474F8"/>
    <w:rsid w:val="00A51CC9"/>
    <w:rsid w:val="00A51EF6"/>
    <w:rsid w:val="00A52763"/>
    <w:rsid w:val="00A52964"/>
    <w:rsid w:val="00A5299E"/>
    <w:rsid w:val="00A541BB"/>
    <w:rsid w:val="00A55F86"/>
    <w:rsid w:val="00A57E40"/>
    <w:rsid w:val="00A637DD"/>
    <w:rsid w:val="00A65EA6"/>
    <w:rsid w:val="00A706AF"/>
    <w:rsid w:val="00A72439"/>
    <w:rsid w:val="00A72D91"/>
    <w:rsid w:val="00A73D4B"/>
    <w:rsid w:val="00A745A1"/>
    <w:rsid w:val="00A748A3"/>
    <w:rsid w:val="00A761FA"/>
    <w:rsid w:val="00A771C0"/>
    <w:rsid w:val="00A77698"/>
    <w:rsid w:val="00A80CA4"/>
    <w:rsid w:val="00A81192"/>
    <w:rsid w:val="00A81297"/>
    <w:rsid w:val="00A82A72"/>
    <w:rsid w:val="00A83305"/>
    <w:rsid w:val="00A84393"/>
    <w:rsid w:val="00A85A08"/>
    <w:rsid w:val="00A86724"/>
    <w:rsid w:val="00A8672D"/>
    <w:rsid w:val="00A86892"/>
    <w:rsid w:val="00A90B0E"/>
    <w:rsid w:val="00A90B93"/>
    <w:rsid w:val="00A92E1D"/>
    <w:rsid w:val="00A94F1D"/>
    <w:rsid w:val="00A95810"/>
    <w:rsid w:val="00A95DA6"/>
    <w:rsid w:val="00A97006"/>
    <w:rsid w:val="00A97DC2"/>
    <w:rsid w:val="00AA0305"/>
    <w:rsid w:val="00AA1E55"/>
    <w:rsid w:val="00AA2A15"/>
    <w:rsid w:val="00AA2A96"/>
    <w:rsid w:val="00AA2B71"/>
    <w:rsid w:val="00AA42A7"/>
    <w:rsid w:val="00AA50D5"/>
    <w:rsid w:val="00AA714E"/>
    <w:rsid w:val="00AB1C8B"/>
    <w:rsid w:val="00AB4B80"/>
    <w:rsid w:val="00AB7678"/>
    <w:rsid w:val="00AC00AB"/>
    <w:rsid w:val="00AC014E"/>
    <w:rsid w:val="00AC238D"/>
    <w:rsid w:val="00AC4B7F"/>
    <w:rsid w:val="00AC550C"/>
    <w:rsid w:val="00AC7238"/>
    <w:rsid w:val="00AC7BEB"/>
    <w:rsid w:val="00AC7C05"/>
    <w:rsid w:val="00AD003A"/>
    <w:rsid w:val="00AD162D"/>
    <w:rsid w:val="00AD16E4"/>
    <w:rsid w:val="00AD1C16"/>
    <w:rsid w:val="00AD2189"/>
    <w:rsid w:val="00AD2C02"/>
    <w:rsid w:val="00AD31A9"/>
    <w:rsid w:val="00AD3E05"/>
    <w:rsid w:val="00AD5287"/>
    <w:rsid w:val="00AD6CF5"/>
    <w:rsid w:val="00AD782F"/>
    <w:rsid w:val="00AD7847"/>
    <w:rsid w:val="00AE097A"/>
    <w:rsid w:val="00AE1B5A"/>
    <w:rsid w:val="00AE2151"/>
    <w:rsid w:val="00AE249D"/>
    <w:rsid w:val="00AE31B0"/>
    <w:rsid w:val="00AE3EC0"/>
    <w:rsid w:val="00AE6FC4"/>
    <w:rsid w:val="00AF0479"/>
    <w:rsid w:val="00AF239A"/>
    <w:rsid w:val="00AF26A2"/>
    <w:rsid w:val="00AF3DFB"/>
    <w:rsid w:val="00AF411C"/>
    <w:rsid w:val="00AF4B64"/>
    <w:rsid w:val="00AF7AFC"/>
    <w:rsid w:val="00AF7EC6"/>
    <w:rsid w:val="00B01B51"/>
    <w:rsid w:val="00B03333"/>
    <w:rsid w:val="00B033B6"/>
    <w:rsid w:val="00B0379D"/>
    <w:rsid w:val="00B0406A"/>
    <w:rsid w:val="00B06841"/>
    <w:rsid w:val="00B06B03"/>
    <w:rsid w:val="00B0798B"/>
    <w:rsid w:val="00B07DB6"/>
    <w:rsid w:val="00B113E5"/>
    <w:rsid w:val="00B1162D"/>
    <w:rsid w:val="00B1239D"/>
    <w:rsid w:val="00B14C06"/>
    <w:rsid w:val="00B150CD"/>
    <w:rsid w:val="00B153F0"/>
    <w:rsid w:val="00B162A3"/>
    <w:rsid w:val="00B17ECC"/>
    <w:rsid w:val="00B23398"/>
    <w:rsid w:val="00B245B0"/>
    <w:rsid w:val="00B24798"/>
    <w:rsid w:val="00B26E56"/>
    <w:rsid w:val="00B30162"/>
    <w:rsid w:val="00B315EB"/>
    <w:rsid w:val="00B31879"/>
    <w:rsid w:val="00B3311C"/>
    <w:rsid w:val="00B33125"/>
    <w:rsid w:val="00B34A3B"/>
    <w:rsid w:val="00B355C5"/>
    <w:rsid w:val="00B3673D"/>
    <w:rsid w:val="00B41C24"/>
    <w:rsid w:val="00B43E3D"/>
    <w:rsid w:val="00B44C6C"/>
    <w:rsid w:val="00B4660A"/>
    <w:rsid w:val="00B4757F"/>
    <w:rsid w:val="00B5187A"/>
    <w:rsid w:val="00B5229A"/>
    <w:rsid w:val="00B52E33"/>
    <w:rsid w:val="00B55CD1"/>
    <w:rsid w:val="00B605F9"/>
    <w:rsid w:val="00B6094D"/>
    <w:rsid w:val="00B61C67"/>
    <w:rsid w:val="00B6314D"/>
    <w:rsid w:val="00B64BD8"/>
    <w:rsid w:val="00B70EFF"/>
    <w:rsid w:val="00B70F21"/>
    <w:rsid w:val="00B713DA"/>
    <w:rsid w:val="00B71654"/>
    <w:rsid w:val="00B727C2"/>
    <w:rsid w:val="00B73150"/>
    <w:rsid w:val="00B738C7"/>
    <w:rsid w:val="00B747AC"/>
    <w:rsid w:val="00B75DE8"/>
    <w:rsid w:val="00B75E1D"/>
    <w:rsid w:val="00B77124"/>
    <w:rsid w:val="00B8023E"/>
    <w:rsid w:val="00B82106"/>
    <w:rsid w:val="00B82526"/>
    <w:rsid w:val="00B82809"/>
    <w:rsid w:val="00B830C7"/>
    <w:rsid w:val="00B87915"/>
    <w:rsid w:val="00B9084D"/>
    <w:rsid w:val="00B91224"/>
    <w:rsid w:val="00B91420"/>
    <w:rsid w:val="00B92DEC"/>
    <w:rsid w:val="00B946FE"/>
    <w:rsid w:val="00B9525A"/>
    <w:rsid w:val="00B955D8"/>
    <w:rsid w:val="00BA015D"/>
    <w:rsid w:val="00BA064C"/>
    <w:rsid w:val="00BA08F9"/>
    <w:rsid w:val="00BA0C85"/>
    <w:rsid w:val="00BA1B22"/>
    <w:rsid w:val="00BA4091"/>
    <w:rsid w:val="00BA4735"/>
    <w:rsid w:val="00BA54D5"/>
    <w:rsid w:val="00BA6791"/>
    <w:rsid w:val="00BB269E"/>
    <w:rsid w:val="00BB2DB8"/>
    <w:rsid w:val="00BB3A50"/>
    <w:rsid w:val="00BB4D9B"/>
    <w:rsid w:val="00BB647C"/>
    <w:rsid w:val="00BC0A0C"/>
    <w:rsid w:val="00BC0C83"/>
    <w:rsid w:val="00BC1756"/>
    <w:rsid w:val="00BC2CAE"/>
    <w:rsid w:val="00BC33E7"/>
    <w:rsid w:val="00BC5A0A"/>
    <w:rsid w:val="00BC61B1"/>
    <w:rsid w:val="00BC6DD5"/>
    <w:rsid w:val="00BC74B2"/>
    <w:rsid w:val="00BD193F"/>
    <w:rsid w:val="00BD1F16"/>
    <w:rsid w:val="00BD201F"/>
    <w:rsid w:val="00BD27A9"/>
    <w:rsid w:val="00BD2CC5"/>
    <w:rsid w:val="00BD55D3"/>
    <w:rsid w:val="00BD787F"/>
    <w:rsid w:val="00BD7E26"/>
    <w:rsid w:val="00BE00F2"/>
    <w:rsid w:val="00BE209A"/>
    <w:rsid w:val="00BE2293"/>
    <w:rsid w:val="00BE2455"/>
    <w:rsid w:val="00BE24AF"/>
    <w:rsid w:val="00BE37DF"/>
    <w:rsid w:val="00BE37E1"/>
    <w:rsid w:val="00BE4B28"/>
    <w:rsid w:val="00BE4ED0"/>
    <w:rsid w:val="00BE57F6"/>
    <w:rsid w:val="00BE6E5D"/>
    <w:rsid w:val="00BE7220"/>
    <w:rsid w:val="00BF021D"/>
    <w:rsid w:val="00BF2D80"/>
    <w:rsid w:val="00BF2DF2"/>
    <w:rsid w:val="00BF32A0"/>
    <w:rsid w:val="00BF34A5"/>
    <w:rsid w:val="00BF3828"/>
    <w:rsid w:val="00BF4F4D"/>
    <w:rsid w:val="00BF5144"/>
    <w:rsid w:val="00BF5E9D"/>
    <w:rsid w:val="00BF78F1"/>
    <w:rsid w:val="00C00747"/>
    <w:rsid w:val="00C01116"/>
    <w:rsid w:val="00C02336"/>
    <w:rsid w:val="00C04254"/>
    <w:rsid w:val="00C043A7"/>
    <w:rsid w:val="00C044F1"/>
    <w:rsid w:val="00C050D3"/>
    <w:rsid w:val="00C10374"/>
    <w:rsid w:val="00C12588"/>
    <w:rsid w:val="00C12840"/>
    <w:rsid w:val="00C13480"/>
    <w:rsid w:val="00C1593D"/>
    <w:rsid w:val="00C1675D"/>
    <w:rsid w:val="00C172E3"/>
    <w:rsid w:val="00C217D7"/>
    <w:rsid w:val="00C21910"/>
    <w:rsid w:val="00C22372"/>
    <w:rsid w:val="00C22791"/>
    <w:rsid w:val="00C2407D"/>
    <w:rsid w:val="00C244FF"/>
    <w:rsid w:val="00C268EB"/>
    <w:rsid w:val="00C27FC3"/>
    <w:rsid w:val="00C329AA"/>
    <w:rsid w:val="00C33D51"/>
    <w:rsid w:val="00C34065"/>
    <w:rsid w:val="00C35BF3"/>
    <w:rsid w:val="00C3670D"/>
    <w:rsid w:val="00C40980"/>
    <w:rsid w:val="00C41370"/>
    <w:rsid w:val="00C41EED"/>
    <w:rsid w:val="00C442B6"/>
    <w:rsid w:val="00C459A1"/>
    <w:rsid w:val="00C47A2B"/>
    <w:rsid w:val="00C5096F"/>
    <w:rsid w:val="00C50CC6"/>
    <w:rsid w:val="00C51B3B"/>
    <w:rsid w:val="00C52008"/>
    <w:rsid w:val="00C5302D"/>
    <w:rsid w:val="00C5403F"/>
    <w:rsid w:val="00C55956"/>
    <w:rsid w:val="00C55CDD"/>
    <w:rsid w:val="00C5787F"/>
    <w:rsid w:val="00C57E44"/>
    <w:rsid w:val="00C60E71"/>
    <w:rsid w:val="00C61A6F"/>
    <w:rsid w:val="00C62F4A"/>
    <w:rsid w:val="00C6318D"/>
    <w:rsid w:val="00C634DB"/>
    <w:rsid w:val="00C63883"/>
    <w:rsid w:val="00C66506"/>
    <w:rsid w:val="00C70641"/>
    <w:rsid w:val="00C70C03"/>
    <w:rsid w:val="00C72AD8"/>
    <w:rsid w:val="00C72EF0"/>
    <w:rsid w:val="00C7318D"/>
    <w:rsid w:val="00C74CC2"/>
    <w:rsid w:val="00C754D2"/>
    <w:rsid w:val="00C763F8"/>
    <w:rsid w:val="00C76487"/>
    <w:rsid w:val="00C77322"/>
    <w:rsid w:val="00C77ACD"/>
    <w:rsid w:val="00C81584"/>
    <w:rsid w:val="00C82FC1"/>
    <w:rsid w:val="00C83726"/>
    <w:rsid w:val="00C84497"/>
    <w:rsid w:val="00C85536"/>
    <w:rsid w:val="00C86CC7"/>
    <w:rsid w:val="00C9240D"/>
    <w:rsid w:val="00C93993"/>
    <w:rsid w:val="00C95B28"/>
    <w:rsid w:val="00C96565"/>
    <w:rsid w:val="00C96C93"/>
    <w:rsid w:val="00C975F3"/>
    <w:rsid w:val="00C9766A"/>
    <w:rsid w:val="00C9795B"/>
    <w:rsid w:val="00CA1310"/>
    <w:rsid w:val="00CA1535"/>
    <w:rsid w:val="00CA27D5"/>
    <w:rsid w:val="00CA3336"/>
    <w:rsid w:val="00CA3630"/>
    <w:rsid w:val="00CA3B37"/>
    <w:rsid w:val="00CA49A2"/>
    <w:rsid w:val="00CA4D80"/>
    <w:rsid w:val="00CA552A"/>
    <w:rsid w:val="00CA55AC"/>
    <w:rsid w:val="00CA5DA4"/>
    <w:rsid w:val="00CA6831"/>
    <w:rsid w:val="00CA683E"/>
    <w:rsid w:val="00CB0179"/>
    <w:rsid w:val="00CB0708"/>
    <w:rsid w:val="00CB0C87"/>
    <w:rsid w:val="00CB2278"/>
    <w:rsid w:val="00CB24D4"/>
    <w:rsid w:val="00CB354D"/>
    <w:rsid w:val="00CB51D6"/>
    <w:rsid w:val="00CB6BD8"/>
    <w:rsid w:val="00CB74C1"/>
    <w:rsid w:val="00CC0031"/>
    <w:rsid w:val="00CC1B2D"/>
    <w:rsid w:val="00CC2C4F"/>
    <w:rsid w:val="00CC3FDF"/>
    <w:rsid w:val="00CC5D2F"/>
    <w:rsid w:val="00CC60B9"/>
    <w:rsid w:val="00CD1628"/>
    <w:rsid w:val="00CD1B25"/>
    <w:rsid w:val="00CD2712"/>
    <w:rsid w:val="00CD35A0"/>
    <w:rsid w:val="00CD41EE"/>
    <w:rsid w:val="00CD476F"/>
    <w:rsid w:val="00CD664F"/>
    <w:rsid w:val="00CD7C95"/>
    <w:rsid w:val="00CE3D5E"/>
    <w:rsid w:val="00CE49E7"/>
    <w:rsid w:val="00CE642E"/>
    <w:rsid w:val="00CF034B"/>
    <w:rsid w:val="00CF0AC6"/>
    <w:rsid w:val="00CF157A"/>
    <w:rsid w:val="00CF32E9"/>
    <w:rsid w:val="00CF345C"/>
    <w:rsid w:val="00CF4E94"/>
    <w:rsid w:val="00CF56C1"/>
    <w:rsid w:val="00CF59C5"/>
    <w:rsid w:val="00CF65B1"/>
    <w:rsid w:val="00CF75BA"/>
    <w:rsid w:val="00D0100E"/>
    <w:rsid w:val="00D010E3"/>
    <w:rsid w:val="00D01A19"/>
    <w:rsid w:val="00D02E90"/>
    <w:rsid w:val="00D0482D"/>
    <w:rsid w:val="00D05810"/>
    <w:rsid w:val="00D10925"/>
    <w:rsid w:val="00D15ADE"/>
    <w:rsid w:val="00D15EBE"/>
    <w:rsid w:val="00D166FC"/>
    <w:rsid w:val="00D20075"/>
    <w:rsid w:val="00D20416"/>
    <w:rsid w:val="00D20CCF"/>
    <w:rsid w:val="00D21942"/>
    <w:rsid w:val="00D22B65"/>
    <w:rsid w:val="00D23682"/>
    <w:rsid w:val="00D30BD9"/>
    <w:rsid w:val="00D30C9F"/>
    <w:rsid w:val="00D31275"/>
    <w:rsid w:val="00D3196B"/>
    <w:rsid w:val="00D324FC"/>
    <w:rsid w:val="00D3405C"/>
    <w:rsid w:val="00D35F36"/>
    <w:rsid w:val="00D378DF"/>
    <w:rsid w:val="00D41322"/>
    <w:rsid w:val="00D42B0C"/>
    <w:rsid w:val="00D47AC5"/>
    <w:rsid w:val="00D506AA"/>
    <w:rsid w:val="00D5090D"/>
    <w:rsid w:val="00D5113F"/>
    <w:rsid w:val="00D52351"/>
    <w:rsid w:val="00D52896"/>
    <w:rsid w:val="00D56336"/>
    <w:rsid w:val="00D56BA7"/>
    <w:rsid w:val="00D576E9"/>
    <w:rsid w:val="00D5781D"/>
    <w:rsid w:val="00D617EF"/>
    <w:rsid w:val="00D62ECD"/>
    <w:rsid w:val="00D6444D"/>
    <w:rsid w:val="00D65CF2"/>
    <w:rsid w:val="00D66665"/>
    <w:rsid w:val="00D6682C"/>
    <w:rsid w:val="00D66CF8"/>
    <w:rsid w:val="00D66DB5"/>
    <w:rsid w:val="00D67F9B"/>
    <w:rsid w:val="00D7008D"/>
    <w:rsid w:val="00D7086E"/>
    <w:rsid w:val="00D70C49"/>
    <w:rsid w:val="00D70F3A"/>
    <w:rsid w:val="00D71EDD"/>
    <w:rsid w:val="00D72BEF"/>
    <w:rsid w:val="00D72C62"/>
    <w:rsid w:val="00D73886"/>
    <w:rsid w:val="00D747DC"/>
    <w:rsid w:val="00D76AB8"/>
    <w:rsid w:val="00D772B3"/>
    <w:rsid w:val="00D77A52"/>
    <w:rsid w:val="00D81B58"/>
    <w:rsid w:val="00D81C14"/>
    <w:rsid w:val="00D832D5"/>
    <w:rsid w:val="00D83376"/>
    <w:rsid w:val="00D84B5D"/>
    <w:rsid w:val="00D853FF"/>
    <w:rsid w:val="00D85E11"/>
    <w:rsid w:val="00D8705F"/>
    <w:rsid w:val="00D87A07"/>
    <w:rsid w:val="00D92A15"/>
    <w:rsid w:val="00D934FF"/>
    <w:rsid w:val="00D943DD"/>
    <w:rsid w:val="00D956B3"/>
    <w:rsid w:val="00D957C0"/>
    <w:rsid w:val="00D965FE"/>
    <w:rsid w:val="00DA0546"/>
    <w:rsid w:val="00DA1332"/>
    <w:rsid w:val="00DA211A"/>
    <w:rsid w:val="00DA245A"/>
    <w:rsid w:val="00DA377B"/>
    <w:rsid w:val="00DA48F6"/>
    <w:rsid w:val="00DA5238"/>
    <w:rsid w:val="00DA53C1"/>
    <w:rsid w:val="00DA5621"/>
    <w:rsid w:val="00DA5B67"/>
    <w:rsid w:val="00DA6C3F"/>
    <w:rsid w:val="00DA7ECD"/>
    <w:rsid w:val="00DB09E4"/>
    <w:rsid w:val="00DB0D23"/>
    <w:rsid w:val="00DB2D17"/>
    <w:rsid w:val="00DB5A4F"/>
    <w:rsid w:val="00DB5E4D"/>
    <w:rsid w:val="00DB5F9F"/>
    <w:rsid w:val="00DB6AA5"/>
    <w:rsid w:val="00DB6D1F"/>
    <w:rsid w:val="00DC099A"/>
    <w:rsid w:val="00DC11CB"/>
    <w:rsid w:val="00DC13EA"/>
    <w:rsid w:val="00DC1BB7"/>
    <w:rsid w:val="00DC3ADA"/>
    <w:rsid w:val="00DC4A0B"/>
    <w:rsid w:val="00DC4D66"/>
    <w:rsid w:val="00DC73B8"/>
    <w:rsid w:val="00DC78F4"/>
    <w:rsid w:val="00DD026E"/>
    <w:rsid w:val="00DD0315"/>
    <w:rsid w:val="00DD1715"/>
    <w:rsid w:val="00DD2C4D"/>
    <w:rsid w:val="00DD35FE"/>
    <w:rsid w:val="00DD37BF"/>
    <w:rsid w:val="00DD4340"/>
    <w:rsid w:val="00DD44AD"/>
    <w:rsid w:val="00DD45F6"/>
    <w:rsid w:val="00DD5596"/>
    <w:rsid w:val="00DD5A7F"/>
    <w:rsid w:val="00DD6B23"/>
    <w:rsid w:val="00DE1E06"/>
    <w:rsid w:val="00DE27B7"/>
    <w:rsid w:val="00DE342A"/>
    <w:rsid w:val="00DE48C3"/>
    <w:rsid w:val="00DE493A"/>
    <w:rsid w:val="00DE5099"/>
    <w:rsid w:val="00DE58AE"/>
    <w:rsid w:val="00DE7190"/>
    <w:rsid w:val="00DF1070"/>
    <w:rsid w:val="00DF1157"/>
    <w:rsid w:val="00DF178D"/>
    <w:rsid w:val="00DF2711"/>
    <w:rsid w:val="00DF2E2D"/>
    <w:rsid w:val="00DF38C7"/>
    <w:rsid w:val="00DF4392"/>
    <w:rsid w:val="00DF4E1F"/>
    <w:rsid w:val="00DF69A1"/>
    <w:rsid w:val="00DF6DE1"/>
    <w:rsid w:val="00DF752E"/>
    <w:rsid w:val="00E0035B"/>
    <w:rsid w:val="00E00956"/>
    <w:rsid w:val="00E011B3"/>
    <w:rsid w:val="00E01A14"/>
    <w:rsid w:val="00E01A51"/>
    <w:rsid w:val="00E0254C"/>
    <w:rsid w:val="00E02EE2"/>
    <w:rsid w:val="00E039AC"/>
    <w:rsid w:val="00E04B3B"/>
    <w:rsid w:val="00E04D61"/>
    <w:rsid w:val="00E05109"/>
    <w:rsid w:val="00E05894"/>
    <w:rsid w:val="00E0642C"/>
    <w:rsid w:val="00E06BD0"/>
    <w:rsid w:val="00E07959"/>
    <w:rsid w:val="00E109E0"/>
    <w:rsid w:val="00E135CB"/>
    <w:rsid w:val="00E1364D"/>
    <w:rsid w:val="00E14FA3"/>
    <w:rsid w:val="00E151B6"/>
    <w:rsid w:val="00E153CF"/>
    <w:rsid w:val="00E1543D"/>
    <w:rsid w:val="00E15D9B"/>
    <w:rsid w:val="00E169B1"/>
    <w:rsid w:val="00E17572"/>
    <w:rsid w:val="00E176F6"/>
    <w:rsid w:val="00E177EE"/>
    <w:rsid w:val="00E204AA"/>
    <w:rsid w:val="00E245F0"/>
    <w:rsid w:val="00E2566D"/>
    <w:rsid w:val="00E27820"/>
    <w:rsid w:val="00E27D99"/>
    <w:rsid w:val="00E304B3"/>
    <w:rsid w:val="00E323CC"/>
    <w:rsid w:val="00E32827"/>
    <w:rsid w:val="00E329AF"/>
    <w:rsid w:val="00E342B0"/>
    <w:rsid w:val="00E350B7"/>
    <w:rsid w:val="00E356BA"/>
    <w:rsid w:val="00E37832"/>
    <w:rsid w:val="00E37D1E"/>
    <w:rsid w:val="00E40914"/>
    <w:rsid w:val="00E40979"/>
    <w:rsid w:val="00E435B7"/>
    <w:rsid w:val="00E43A26"/>
    <w:rsid w:val="00E466D8"/>
    <w:rsid w:val="00E46AF2"/>
    <w:rsid w:val="00E47557"/>
    <w:rsid w:val="00E503F7"/>
    <w:rsid w:val="00E5543F"/>
    <w:rsid w:val="00E56124"/>
    <w:rsid w:val="00E6140D"/>
    <w:rsid w:val="00E61F52"/>
    <w:rsid w:val="00E6414B"/>
    <w:rsid w:val="00E64851"/>
    <w:rsid w:val="00E67C51"/>
    <w:rsid w:val="00E70BD3"/>
    <w:rsid w:val="00E71783"/>
    <w:rsid w:val="00E71967"/>
    <w:rsid w:val="00E7237E"/>
    <w:rsid w:val="00E723FB"/>
    <w:rsid w:val="00E72A5A"/>
    <w:rsid w:val="00E72D5C"/>
    <w:rsid w:val="00E735B1"/>
    <w:rsid w:val="00E73BE0"/>
    <w:rsid w:val="00E741ED"/>
    <w:rsid w:val="00E770AD"/>
    <w:rsid w:val="00E77FD2"/>
    <w:rsid w:val="00E81DCB"/>
    <w:rsid w:val="00E85206"/>
    <w:rsid w:val="00E90B31"/>
    <w:rsid w:val="00E90BDF"/>
    <w:rsid w:val="00E92378"/>
    <w:rsid w:val="00E929ED"/>
    <w:rsid w:val="00E940AC"/>
    <w:rsid w:val="00E94F36"/>
    <w:rsid w:val="00E95883"/>
    <w:rsid w:val="00E97D0B"/>
    <w:rsid w:val="00EA0D4A"/>
    <w:rsid w:val="00EA18F9"/>
    <w:rsid w:val="00EA258A"/>
    <w:rsid w:val="00EA25B8"/>
    <w:rsid w:val="00EA447E"/>
    <w:rsid w:val="00EA4DBC"/>
    <w:rsid w:val="00EA50AB"/>
    <w:rsid w:val="00EB037F"/>
    <w:rsid w:val="00EB10EA"/>
    <w:rsid w:val="00EB1595"/>
    <w:rsid w:val="00EB31AB"/>
    <w:rsid w:val="00EB4EFE"/>
    <w:rsid w:val="00EB5751"/>
    <w:rsid w:val="00EC1333"/>
    <w:rsid w:val="00EC175E"/>
    <w:rsid w:val="00EC22D7"/>
    <w:rsid w:val="00EC245A"/>
    <w:rsid w:val="00EC4BAE"/>
    <w:rsid w:val="00EC5AA1"/>
    <w:rsid w:val="00EC5B7C"/>
    <w:rsid w:val="00EC5D37"/>
    <w:rsid w:val="00EC66BF"/>
    <w:rsid w:val="00EC6A3F"/>
    <w:rsid w:val="00ED2391"/>
    <w:rsid w:val="00ED2BFA"/>
    <w:rsid w:val="00ED3DA3"/>
    <w:rsid w:val="00ED47BE"/>
    <w:rsid w:val="00EE6411"/>
    <w:rsid w:val="00EE66C7"/>
    <w:rsid w:val="00EE6B2F"/>
    <w:rsid w:val="00EE70C3"/>
    <w:rsid w:val="00EF02F8"/>
    <w:rsid w:val="00EF0400"/>
    <w:rsid w:val="00EF371D"/>
    <w:rsid w:val="00EF5730"/>
    <w:rsid w:val="00EF5C83"/>
    <w:rsid w:val="00EF7D7A"/>
    <w:rsid w:val="00F002B2"/>
    <w:rsid w:val="00F00A78"/>
    <w:rsid w:val="00F00AC2"/>
    <w:rsid w:val="00F01C27"/>
    <w:rsid w:val="00F0204B"/>
    <w:rsid w:val="00F03B3D"/>
    <w:rsid w:val="00F05177"/>
    <w:rsid w:val="00F0601A"/>
    <w:rsid w:val="00F0724E"/>
    <w:rsid w:val="00F12FA2"/>
    <w:rsid w:val="00F14C67"/>
    <w:rsid w:val="00F15518"/>
    <w:rsid w:val="00F17616"/>
    <w:rsid w:val="00F22E5F"/>
    <w:rsid w:val="00F233B0"/>
    <w:rsid w:val="00F234C9"/>
    <w:rsid w:val="00F24E5E"/>
    <w:rsid w:val="00F25D76"/>
    <w:rsid w:val="00F264E8"/>
    <w:rsid w:val="00F26DA9"/>
    <w:rsid w:val="00F31D64"/>
    <w:rsid w:val="00F32A28"/>
    <w:rsid w:val="00F33537"/>
    <w:rsid w:val="00F33736"/>
    <w:rsid w:val="00F33B09"/>
    <w:rsid w:val="00F3434E"/>
    <w:rsid w:val="00F358FC"/>
    <w:rsid w:val="00F35A65"/>
    <w:rsid w:val="00F36D4A"/>
    <w:rsid w:val="00F376EB"/>
    <w:rsid w:val="00F37FE5"/>
    <w:rsid w:val="00F40EC2"/>
    <w:rsid w:val="00F40EFA"/>
    <w:rsid w:val="00F41545"/>
    <w:rsid w:val="00F41EEA"/>
    <w:rsid w:val="00F4341D"/>
    <w:rsid w:val="00F4545C"/>
    <w:rsid w:val="00F45E80"/>
    <w:rsid w:val="00F50177"/>
    <w:rsid w:val="00F51132"/>
    <w:rsid w:val="00F517F0"/>
    <w:rsid w:val="00F51CC5"/>
    <w:rsid w:val="00F51F90"/>
    <w:rsid w:val="00F55B89"/>
    <w:rsid w:val="00F55D8D"/>
    <w:rsid w:val="00F567BF"/>
    <w:rsid w:val="00F56AC0"/>
    <w:rsid w:val="00F56F0E"/>
    <w:rsid w:val="00F56F47"/>
    <w:rsid w:val="00F57335"/>
    <w:rsid w:val="00F57A39"/>
    <w:rsid w:val="00F61F72"/>
    <w:rsid w:val="00F62680"/>
    <w:rsid w:val="00F63723"/>
    <w:rsid w:val="00F63BA4"/>
    <w:rsid w:val="00F65E9E"/>
    <w:rsid w:val="00F7025D"/>
    <w:rsid w:val="00F72085"/>
    <w:rsid w:val="00F73FF5"/>
    <w:rsid w:val="00F74EFB"/>
    <w:rsid w:val="00F76F54"/>
    <w:rsid w:val="00F7712A"/>
    <w:rsid w:val="00F777BC"/>
    <w:rsid w:val="00F77955"/>
    <w:rsid w:val="00F803F8"/>
    <w:rsid w:val="00F8144D"/>
    <w:rsid w:val="00F82B0E"/>
    <w:rsid w:val="00F8415B"/>
    <w:rsid w:val="00F84424"/>
    <w:rsid w:val="00F869F8"/>
    <w:rsid w:val="00F86B46"/>
    <w:rsid w:val="00F86BE3"/>
    <w:rsid w:val="00F90EFD"/>
    <w:rsid w:val="00F9124A"/>
    <w:rsid w:val="00F926D8"/>
    <w:rsid w:val="00F93F4C"/>
    <w:rsid w:val="00F9535B"/>
    <w:rsid w:val="00F95DE8"/>
    <w:rsid w:val="00F962C7"/>
    <w:rsid w:val="00F96FD2"/>
    <w:rsid w:val="00F9780A"/>
    <w:rsid w:val="00FA06AC"/>
    <w:rsid w:val="00FA0E40"/>
    <w:rsid w:val="00FA13F8"/>
    <w:rsid w:val="00FA1906"/>
    <w:rsid w:val="00FA2EC0"/>
    <w:rsid w:val="00FA31AD"/>
    <w:rsid w:val="00FA3F1F"/>
    <w:rsid w:val="00FA47E1"/>
    <w:rsid w:val="00FA4EA3"/>
    <w:rsid w:val="00FA6B75"/>
    <w:rsid w:val="00FB0933"/>
    <w:rsid w:val="00FB13E0"/>
    <w:rsid w:val="00FB3072"/>
    <w:rsid w:val="00FB38D6"/>
    <w:rsid w:val="00FB4CA8"/>
    <w:rsid w:val="00FB5EBA"/>
    <w:rsid w:val="00FB6B34"/>
    <w:rsid w:val="00FC07C4"/>
    <w:rsid w:val="00FC1619"/>
    <w:rsid w:val="00FC19E8"/>
    <w:rsid w:val="00FC22CF"/>
    <w:rsid w:val="00FC3B31"/>
    <w:rsid w:val="00FC43D1"/>
    <w:rsid w:val="00FC4541"/>
    <w:rsid w:val="00FC5866"/>
    <w:rsid w:val="00FC5B63"/>
    <w:rsid w:val="00FC5E53"/>
    <w:rsid w:val="00FC7E91"/>
    <w:rsid w:val="00FD0BDA"/>
    <w:rsid w:val="00FD0F7E"/>
    <w:rsid w:val="00FD196C"/>
    <w:rsid w:val="00FD3EB9"/>
    <w:rsid w:val="00FD4975"/>
    <w:rsid w:val="00FD4992"/>
    <w:rsid w:val="00FD79FF"/>
    <w:rsid w:val="00FE1386"/>
    <w:rsid w:val="00FE297B"/>
    <w:rsid w:val="00FE2CEC"/>
    <w:rsid w:val="00FE3880"/>
    <w:rsid w:val="00FE47DF"/>
    <w:rsid w:val="00FE639C"/>
    <w:rsid w:val="00FE7555"/>
    <w:rsid w:val="00FE75DD"/>
    <w:rsid w:val="00FF0C5F"/>
    <w:rsid w:val="00FF0CC1"/>
    <w:rsid w:val="00FF253E"/>
    <w:rsid w:val="00FF274C"/>
    <w:rsid w:val="00FF2B67"/>
    <w:rsid w:val="00FF354D"/>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uiPriority w:val="99"/>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1D82"/>
    <w:pPr>
      <w:autoSpaceDE w:val="0"/>
      <w:autoSpaceDN w:val="0"/>
      <w:adjustRightInd w:val="0"/>
    </w:pPr>
    <w:rPr>
      <w:color w:val="000000"/>
      <w:sz w:val="24"/>
      <w:szCs w:val="24"/>
    </w:rPr>
  </w:style>
  <w:style w:type="paragraph" w:styleId="Revision">
    <w:name w:val="Revision"/>
    <w:hidden/>
    <w:uiPriority w:val="99"/>
    <w:semiHidden/>
    <w:rsid w:val="00113743"/>
    <w:rPr>
      <w:rFonts w:ascii="Arial" w:hAnsi="Arial"/>
      <w:sz w:val="22"/>
      <w:lang w:val="en-GB" w:eastAsia="en-GB"/>
    </w:rPr>
  </w:style>
  <w:style w:type="paragraph" w:customStyle="1" w:styleId="TRNormal">
    <w:name w:val="_TRNormal"/>
    <w:rsid w:val="00AF7AFC"/>
    <w:pPr>
      <w:spacing w:line="300" w:lineRule="atLeast"/>
      <w:jc w:val="both"/>
    </w:pPr>
    <w:rPr>
      <w:sz w:val="24"/>
      <w:lang w:eastAsia="en-AU"/>
    </w:rPr>
  </w:style>
  <w:style w:type="paragraph" w:customStyle="1" w:styleId="TRBodyTextChar">
    <w:name w:val="_TRBody Text Char"/>
    <w:link w:val="TRBodyTextCharChar"/>
    <w:rsid w:val="00371FE7"/>
    <w:pPr>
      <w:spacing w:line="300" w:lineRule="atLeast"/>
      <w:jc w:val="both"/>
    </w:pPr>
    <w:rPr>
      <w:sz w:val="24"/>
      <w:lang w:eastAsia="en-AU"/>
    </w:rPr>
  </w:style>
  <w:style w:type="character" w:customStyle="1" w:styleId="TRBodyTextCharChar">
    <w:name w:val="_TRBody Text Char Char"/>
    <w:basedOn w:val="DefaultParagraphFont"/>
    <w:link w:val="TRBodyTextChar"/>
    <w:rsid w:val="00371FE7"/>
    <w:rPr>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uiPriority w:val="99"/>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1D82"/>
    <w:pPr>
      <w:autoSpaceDE w:val="0"/>
      <w:autoSpaceDN w:val="0"/>
      <w:adjustRightInd w:val="0"/>
    </w:pPr>
    <w:rPr>
      <w:color w:val="000000"/>
      <w:sz w:val="24"/>
      <w:szCs w:val="24"/>
    </w:rPr>
  </w:style>
  <w:style w:type="paragraph" w:styleId="Revision">
    <w:name w:val="Revision"/>
    <w:hidden/>
    <w:uiPriority w:val="99"/>
    <w:semiHidden/>
    <w:rsid w:val="00113743"/>
    <w:rPr>
      <w:rFonts w:ascii="Arial" w:hAnsi="Arial"/>
      <w:sz w:val="22"/>
      <w:lang w:val="en-GB" w:eastAsia="en-GB"/>
    </w:rPr>
  </w:style>
  <w:style w:type="paragraph" w:customStyle="1" w:styleId="TRNormal">
    <w:name w:val="_TRNormal"/>
    <w:rsid w:val="00AF7AFC"/>
    <w:pPr>
      <w:spacing w:line="300" w:lineRule="atLeast"/>
      <w:jc w:val="both"/>
    </w:pPr>
    <w:rPr>
      <w:sz w:val="24"/>
      <w:lang w:eastAsia="en-AU"/>
    </w:rPr>
  </w:style>
  <w:style w:type="paragraph" w:customStyle="1" w:styleId="TRBodyTextChar">
    <w:name w:val="_TRBody Text Char"/>
    <w:link w:val="TRBodyTextCharChar"/>
    <w:rsid w:val="00371FE7"/>
    <w:pPr>
      <w:spacing w:line="300" w:lineRule="atLeast"/>
      <w:jc w:val="both"/>
    </w:pPr>
    <w:rPr>
      <w:sz w:val="24"/>
      <w:lang w:eastAsia="en-AU"/>
    </w:rPr>
  </w:style>
  <w:style w:type="character" w:customStyle="1" w:styleId="TRBodyTextCharChar">
    <w:name w:val="_TRBody Text Char Char"/>
    <w:basedOn w:val="DefaultParagraphFont"/>
    <w:link w:val="TRBodyTextChar"/>
    <w:rsid w:val="00371FE7"/>
    <w:rPr>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551304">
      <w:bodyDiv w:val="1"/>
      <w:marLeft w:val="0"/>
      <w:marRight w:val="0"/>
      <w:marTop w:val="0"/>
      <w:marBottom w:val="0"/>
      <w:divBdr>
        <w:top w:val="none" w:sz="0" w:space="0" w:color="auto"/>
        <w:left w:val="none" w:sz="0" w:space="0" w:color="auto"/>
        <w:bottom w:val="none" w:sz="0" w:space="0" w:color="auto"/>
        <w:right w:val="none" w:sz="0" w:space="0" w:color="auto"/>
      </w:divBdr>
      <w:divsChild>
        <w:div w:id="1033581987">
          <w:marLeft w:val="0"/>
          <w:marRight w:val="0"/>
          <w:marTop w:val="0"/>
          <w:marBottom w:val="0"/>
          <w:divBdr>
            <w:top w:val="none" w:sz="0" w:space="0" w:color="auto"/>
            <w:left w:val="none" w:sz="0" w:space="0" w:color="auto"/>
            <w:bottom w:val="none" w:sz="0" w:space="0" w:color="auto"/>
            <w:right w:val="none" w:sz="0" w:space="0" w:color="auto"/>
          </w:divBdr>
          <w:divsChild>
            <w:div w:id="118687229">
              <w:marLeft w:val="0"/>
              <w:marRight w:val="0"/>
              <w:marTop w:val="0"/>
              <w:marBottom w:val="0"/>
              <w:divBdr>
                <w:top w:val="none" w:sz="0" w:space="0" w:color="auto"/>
                <w:left w:val="none" w:sz="0" w:space="0" w:color="auto"/>
                <w:bottom w:val="none" w:sz="0" w:space="0" w:color="auto"/>
                <w:right w:val="none" w:sz="0" w:space="0" w:color="auto"/>
              </w:divBdr>
            </w:div>
          </w:divsChild>
        </w:div>
        <w:div w:id="2000956937">
          <w:marLeft w:val="0"/>
          <w:marRight w:val="0"/>
          <w:marTop w:val="0"/>
          <w:marBottom w:val="0"/>
          <w:divBdr>
            <w:top w:val="none" w:sz="0" w:space="0" w:color="auto"/>
            <w:left w:val="none" w:sz="0" w:space="0" w:color="auto"/>
            <w:bottom w:val="none" w:sz="0" w:space="0" w:color="auto"/>
            <w:right w:val="none" w:sz="0" w:space="0" w:color="auto"/>
          </w:divBdr>
          <w:divsChild>
            <w:div w:id="1983268068">
              <w:marLeft w:val="0"/>
              <w:marRight w:val="0"/>
              <w:marTop w:val="0"/>
              <w:marBottom w:val="0"/>
              <w:divBdr>
                <w:top w:val="none" w:sz="0" w:space="0" w:color="auto"/>
                <w:left w:val="none" w:sz="0" w:space="0" w:color="auto"/>
                <w:bottom w:val="none" w:sz="0" w:space="0" w:color="auto"/>
                <w:right w:val="none" w:sz="0" w:space="0" w:color="auto"/>
              </w:divBdr>
              <w:divsChild>
                <w:div w:id="1002589933">
                  <w:marLeft w:val="0"/>
                  <w:marRight w:val="0"/>
                  <w:marTop w:val="0"/>
                  <w:marBottom w:val="0"/>
                  <w:divBdr>
                    <w:top w:val="none" w:sz="0" w:space="0" w:color="auto"/>
                    <w:left w:val="none" w:sz="0" w:space="0" w:color="auto"/>
                    <w:bottom w:val="none" w:sz="0" w:space="0" w:color="auto"/>
                    <w:right w:val="none" w:sz="0" w:space="0" w:color="auto"/>
                  </w:divBdr>
                  <w:divsChild>
                    <w:div w:id="959992352">
                      <w:marLeft w:val="0"/>
                      <w:marRight w:val="0"/>
                      <w:marTop w:val="0"/>
                      <w:marBottom w:val="0"/>
                      <w:divBdr>
                        <w:top w:val="none" w:sz="0" w:space="0" w:color="auto"/>
                        <w:left w:val="none" w:sz="0" w:space="0" w:color="auto"/>
                        <w:bottom w:val="none" w:sz="0" w:space="0" w:color="auto"/>
                        <w:right w:val="none" w:sz="0" w:space="0" w:color="auto"/>
                      </w:divBdr>
                    </w:div>
                  </w:divsChild>
                </w:div>
                <w:div w:id="310140270">
                  <w:marLeft w:val="0"/>
                  <w:marRight w:val="0"/>
                  <w:marTop w:val="0"/>
                  <w:marBottom w:val="0"/>
                  <w:divBdr>
                    <w:top w:val="none" w:sz="0" w:space="0" w:color="auto"/>
                    <w:left w:val="none" w:sz="0" w:space="0" w:color="auto"/>
                    <w:bottom w:val="none" w:sz="0" w:space="0" w:color="auto"/>
                    <w:right w:val="none" w:sz="0" w:space="0" w:color="auto"/>
                  </w:divBdr>
                  <w:divsChild>
                    <w:div w:id="20115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7602F-D16C-47D4-BA86-566018A9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6024</Words>
  <Characters>32603</Characters>
  <Application>Microsoft Office Word</Application>
  <DocSecurity>0</DocSecurity>
  <Lines>708</Lines>
  <Paragraphs>232</Paragraphs>
  <ScaleCrop>false</ScaleCrop>
  <HeadingPairs>
    <vt:vector size="2" baseType="variant">
      <vt:variant>
        <vt:lpstr>Title</vt:lpstr>
      </vt:variant>
      <vt:variant>
        <vt:i4>1</vt:i4>
      </vt:variant>
    </vt:vector>
  </HeadingPairs>
  <TitlesOfParts>
    <vt:vector size="1" baseType="lpstr">
      <vt:lpstr>Regulatory impact statement - Amendments to tax disclosure rules for New Zealand foreign trusts (July 2016)</vt:lpstr>
    </vt:vector>
  </TitlesOfParts>
  <Company>Inland Revenue</Company>
  <LinksUpToDate>false</LinksUpToDate>
  <CharactersWithSpaces>38395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Amendments to tax disclosure rules for New Zealand foreign trusts (July 2016)</dc:title>
  <dc:subject/>
  <dc:creator>Policy and Strategy</dc:creator>
  <cp:keywords/>
  <dc:description>Published August 2016.</dc:description>
  <cp:lastModifiedBy>David Nind</cp:lastModifiedBy>
  <cp:revision>2</cp:revision>
  <dcterms:created xsi:type="dcterms:W3CDTF">2016-08-07T05:13:00Z</dcterms:created>
  <dcterms:modified xsi:type="dcterms:W3CDTF">2016-08-07T05:14:00Z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