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953E08" w:rsidRDefault="007C737B" w:rsidP="007C737B">
      <w:pPr>
        <w:pStyle w:val="RISheading"/>
        <w:jc w:val="center"/>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953E08">
        <w:rPr>
          <w:w w:val="100"/>
          <w:sz w:val="32"/>
          <w:szCs w:val="32"/>
        </w:rPr>
        <w:t>Regulatory Impact Statement</w:t>
      </w:r>
      <w:bookmarkEnd w:id="1"/>
      <w:bookmarkEnd w:id="2"/>
      <w:bookmarkEnd w:id="3"/>
      <w:bookmarkEnd w:id="4"/>
      <w:bookmarkEnd w:id="5"/>
    </w:p>
    <w:p w:rsidR="002108FB" w:rsidRPr="00C548C6" w:rsidRDefault="002108FB" w:rsidP="002108FB">
      <w:pPr>
        <w:pStyle w:val="RISheading"/>
        <w:jc w:val="both"/>
        <w:rPr>
          <w:spacing w:val="0"/>
          <w:w w:val="100"/>
          <w:sz w:val="28"/>
        </w:rPr>
      </w:pPr>
      <w:r w:rsidRPr="00C548C6">
        <w:rPr>
          <w:spacing w:val="0"/>
          <w:w w:val="100"/>
          <w:sz w:val="28"/>
        </w:rPr>
        <w:t>Review of closely held company taxation</w:t>
      </w:r>
    </w:p>
    <w:p w:rsidR="002108FB" w:rsidRDefault="002108FB" w:rsidP="002108FB">
      <w:pPr>
        <w:pStyle w:val="RISheading"/>
        <w:rPr>
          <w:spacing w:val="0"/>
          <w:w w:val="100"/>
        </w:rPr>
      </w:pPr>
      <w:r>
        <w:rPr>
          <w:spacing w:val="0"/>
          <w:w w:val="100"/>
        </w:rPr>
        <w:t xml:space="preserve">Agency Disclosure Statement </w:t>
      </w:r>
    </w:p>
    <w:p w:rsidR="002108FB" w:rsidRDefault="002108FB" w:rsidP="002108FB">
      <w:pPr>
        <w:pStyle w:val="ListParagraph"/>
        <w:ind w:left="0" w:right="170"/>
        <w:rPr>
          <w:rFonts w:ascii="Times New Roman" w:hAnsi="Times New Roman"/>
          <w:sz w:val="24"/>
          <w:szCs w:val="24"/>
        </w:rPr>
      </w:pPr>
      <w:r>
        <w:rPr>
          <w:rFonts w:ascii="Times New Roman" w:hAnsi="Times New Roman"/>
          <w:sz w:val="24"/>
          <w:szCs w:val="24"/>
        </w:rPr>
        <w:t>This Regulatory Impact Statement has been prepared by Inland Revenue.</w:t>
      </w:r>
    </w:p>
    <w:p w:rsidR="002108FB" w:rsidRDefault="002108FB" w:rsidP="002108FB">
      <w:pPr>
        <w:pStyle w:val="ListParagraph"/>
        <w:ind w:left="0" w:right="170"/>
        <w:rPr>
          <w:rFonts w:ascii="Times New Roman" w:hAnsi="Times New Roman"/>
          <w:sz w:val="24"/>
          <w:szCs w:val="24"/>
        </w:rPr>
      </w:pPr>
    </w:p>
    <w:p w:rsidR="00CA079F" w:rsidRDefault="002108FB" w:rsidP="00F12DAA">
      <w:pPr>
        <w:pStyle w:val="Text"/>
        <w:spacing w:before="0" w:after="0" w:line="240" w:lineRule="auto"/>
        <w:ind w:right="-1"/>
        <w:rPr>
          <w:rFonts w:ascii="Times New Roman" w:hAnsi="Times New Roman"/>
          <w:sz w:val="24"/>
          <w:szCs w:val="24"/>
        </w:rPr>
      </w:pPr>
      <w:r>
        <w:rPr>
          <w:rFonts w:ascii="Times New Roman" w:hAnsi="Times New Roman"/>
          <w:sz w:val="24"/>
          <w:szCs w:val="24"/>
        </w:rPr>
        <w:t xml:space="preserve">It provides an analysis of options to address the key concerns with the look-through company (LTC) rules and the dividend rules as they apply to closely held companies more generally.  These key concerns can be grouped into three themes: rules which impose unnecessary compliance costs, rules which restrict legitimate commercial practice and rules which fail to achieve their intended policy objectives. </w:t>
      </w:r>
    </w:p>
    <w:p w:rsidR="00CA079F" w:rsidRDefault="00CA079F" w:rsidP="002108FB">
      <w:pPr>
        <w:pStyle w:val="Text"/>
        <w:spacing w:before="0" w:after="0" w:line="240" w:lineRule="auto"/>
        <w:ind w:right="170"/>
        <w:rPr>
          <w:rFonts w:ascii="Times New Roman" w:hAnsi="Times New Roman"/>
          <w:sz w:val="24"/>
          <w:szCs w:val="24"/>
        </w:rPr>
      </w:pPr>
    </w:p>
    <w:p w:rsidR="002108FB" w:rsidRDefault="00CA079F" w:rsidP="00F12DAA">
      <w:pPr>
        <w:pStyle w:val="Text"/>
        <w:spacing w:before="0" w:after="0" w:line="240" w:lineRule="auto"/>
        <w:ind w:right="-1"/>
        <w:rPr>
          <w:rFonts w:ascii="Times New Roman" w:hAnsi="Times New Roman"/>
          <w:sz w:val="24"/>
          <w:szCs w:val="24"/>
        </w:rPr>
      </w:pPr>
      <w:r>
        <w:rPr>
          <w:rFonts w:ascii="Times New Roman" w:hAnsi="Times New Roman"/>
          <w:sz w:val="24"/>
          <w:szCs w:val="24"/>
        </w:rPr>
        <w:t xml:space="preserve">A range of policy options are considered </w:t>
      </w:r>
      <w:r w:rsidR="003F503B">
        <w:rPr>
          <w:rFonts w:ascii="Times New Roman" w:hAnsi="Times New Roman"/>
          <w:sz w:val="24"/>
          <w:szCs w:val="24"/>
        </w:rPr>
        <w:t>to address</w:t>
      </w:r>
      <w:r>
        <w:rPr>
          <w:rFonts w:ascii="Times New Roman" w:hAnsi="Times New Roman"/>
          <w:sz w:val="24"/>
          <w:szCs w:val="24"/>
        </w:rPr>
        <w:t xml:space="preserve"> the key concerns.  </w:t>
      </w:r>
      <w:r w:rsidR="002108FB">
        <w:rPr>
          <w:rFonts w:ascii="Times New Roman" w:hAnsi="Times New Roman"/>
          <w:sz w:val="24"/>
          <w:szCs w:val="24"/>
        </w:rPr>
        <w:t xml:space="preserve">The </w:t>
      </w:r>
      <w:r>
        <w:rPr>
          <w:rFonts w:ascii="Times New Roman" w:hAnsi="Times New Roman"/>
          <w:sz w:val="24"/>
          <w:szCs w:val="24"/>
        </w:rPr>
        <w:t xml:space="preserve">options </w:t>
      </w:r>
      <w:r w:rsidR="002108FB">
        <w:rPr>
          <w:rFonts w:ascii="Times New Roman" w:hAnsi="Times New Roman"/>
          <w:sz w:val="24"/>
          <w:szCs w:val="24"/>
        </w:rPr>
        <w:t xml:space="preserve">are intended to simplify the rules and reduce compliance costs for closely held companies, while </w:t>
      </w:r>
      <w:r>
        <w:rPr>
          <w:rFonts w:ascii="Times New Roman" w:hAnsi="Times New Roman"/>
          <w:sz w:val="24"/>
          <w:szCs w:val="24"/>
        </w:rPr>
        <w:t>ensuring</w:t>
      </w:r>
      <w:r w:rsidR="002108FB">
        <w:rPr>
          <w:rFonts w:ascii="Times New Roman" w:hAnsi="Times New Roman"/>
          <w:sz w:val="24"/>
          <w:szCs w:val="24"/>
        </w:rPr>
        <w:t xml:space="preserve"> </w:t>
      </w:r>
      <w:r>
        <w:rPr>
          <w:rFonts w:ascii="Times New Roman" w:hAnsi="Times New Roman"/>
          <w:sz w:val="24"/>
          <w:szCs w:val="24"/>
        </w:rPr>
        <w:t xml:space="preserve">the rules </w:t>
      </w:r>
      <w:r w:rsidR="002108FB">
        <w:rPr>
          <w:rFonts w:ascii="Times New Roman" w:hAnsi="Times New Roman"/>
          <w:sz w:val="24"/>
          <w:szCs w:val="24"/>
        </w:rPr>
        <w:t xml:space="preserve">are robust and in line with stated policy. </w:t>
      </w:r>
      <w:r w:rsidR="00D54F2C">
        <w:rPr>
          <w:rFonts w:ascii="Times New Roman" w:hAnsi="Times New Roman"/>
          <w:sz w:val="24"/>
          <w:szCs w:val="24"/>
        </w:rPr>
        <w:t xml:space="preserve">  </w:t>
      </w:r>
    </w:p>
    <w:p w:rsidR="002108FB" w:rsidRDefault="002108FB" w:rsidP="002108FB">
      <w:pPr>
        <w:pStyle w:val="TRBodyText"/>
      </w:pPr>
    </w:p>
    <w:p w:rsidR="002108FB" w:rsidRPr="00F14415" w:rsidRDefault="002108FB" w:rsidP="002108FB">
      <w:pPr>
        <w:pStyle w:val="TRBodyText"/>
        <w:rPr>
          <w:szCs w:val="24"/>
        </w:rPr>
      </w:pPr>
      <w:r w:rsidRPr="00F14415">
        <w:rPr>
          <w:szCs w:val="24"/>
        </w:rPr>
        <w:t>The proposals discussed were developed in the context of the wider tax policy framework for closely held company taxation</w:t>
      </w:r>
      <w:r>
        <w:rPr>
          <w:szCs w:val="24"/>
        </w:rPr>
        <w:t xml:space="preserve"> to ensure they were consistent with the framework</w:t>
      </w:r>
      <w:r w:rsidRPr="00F14415">
        <w:rPr>
          <w:szCs w:val="24"/>
        </w:rPr>
        <w:t xml:space="preserve">.  However, questions as to the wider policy settings such as whether </w:t>
      </w:r>
      <w:r w:rsidR="000B3690">
        <w:rPr>
          <w:szCs w:val="24"/>
        </w:rPr>
        <w:t xml:space="preserve">closely held </w:t>
      </w:r>
      <w:r w:rsidRPr="00F14415">
        <w:rPr>
          <w:szCs w:val="24"/>
        </w:rPr>
        <w:t xml:space="preserve">companies in general should be able to distribute capital gains tax-free during the course of business, not just on liquidation (some closely held companies are already able to do this), were considered too complex and better handled through the standard tax work programme process at a future date.  </w:t>
      </w:r>
    </w:p>
    <w:p w:rsidR="002108FB" w:rsidRDefault="002108FB" w:rsidP="002108FB">
      <w:pPr>
        <w:pStyle w:val="Text"/>
        <w:spacing w:before="0" w:after="0" w:line="240" w:lineRule="auto"/>
        <w:ind w:right="170"/>
        <w:rPr>
          <w:rFonts w:ascii="Times New Roman" w:hAnsi="Times New Roman"/>
          <w:sz w:val="24"/>
          <w:szCs w:val="24"/>
          <w:lang w:val="en-NZ"/>
        </w:rPr>
      </w:pPr>
    </w:p>
    <w:p w:rsidR="008761E6" w:rsidRDefault="00CA079F" w:rsidP="008761E6">
      <w:pPr>
        <w:pStyle w:val="Bullet-list"/>
        <w:tabs>
          <w:tab w:val="num" w:pos="567"/>
        </w:tabs>
        <w:spacing w:after="0" w:line="240" w:lineRule="auto"/>
        <w:ind w:left="0" w:firstLine="0"/>
        <w:jc w:val="both"/>
        <w:rPr>
          <w:rFonts w:ascii="Times New Roman" w:hAnsi="Times New Roman"/>
          <w:sz w:val="24"/>
          <w:szCs w:val="24"/>
        </w:rPr>
      </w:pPr>
      <w:r w:rsidRPr="008761E6">
        <w:rPr>
          <w:rFonts w:ascii="Times New Roman" w:hAnsi="Times New Roman"/>
          <w:sz w:val="24"/>
          <w:szCs w:val="24"/>
        </w:rPr>
        <w:t xml:space="preserve">Because of data limitations it is not possible to accurately forecast </w:t>
      </w:r>
      <w:r w:rsidR="008761E6" w:rsidRPr="008761E6">
        <w:rPr>
          <w:rFonts w:ascii="Times New Roman" w:hAnsi="Times New Roman"/>
          <w:sz w:val="24"/>
          <w:szCs w:val="24"/>
        </w:rPr>
        <w:t xml:space="preserve">some of </w:t>
      </w:r>
      <w:r w:rsidRPr="008761E6">
        <w:rPr>
          <w:rFonts w:ascii="Times New Roman" w:hAnsi="Times New Roman"/>
          <w:sz w:val="24"/>
          <w:szCs w:val="24"/>
        </w:rPr>
        <w:t xml:space="preserve">the </w:t>
      </w:r>
      <w:r w:rsidR="008761E6" w:rsidRPr="008761E6">
        <w:rPr>
          <w:rFonts w:ascii="Times New Roman" w:hAnsi="Times New Roman"/>
          <w:sz w:val="24"/>
          <w:szCs w:val="24"/>
        </w:rPr>
        <w:t xml:space="preserve">costs (including compliance, administrative and fiscal costs) which may result from some </w:t>
      </w:r>
      <w:r w:rsidRPr="008761E6">
        <w:rPr>
          <w:rFonts w:ascii="Times New Roman" w:hAnsi="Times New Roman"/>
          <w:sz w:val="24"/>
          <w:szCs w:val="24"/>
        </w:rPr>
        <w:t>of the proposals</w:t>
      </w:r>
      <w:r w:rsidR="008761E6" w:rsidRPr="008761E6">
        <w:rPr>
          <w:rFonts w:ascii="Times New Roman" w:hAnsi="Times New Roman"/>
          <w:sz w:val="24"/>
          <w:szCs w:val="24"/>
        </w:rPr>
        <w:t xml:space="preserve"> due to difficulty in estimating likely behavioural changes</w:t>
      </w:r>
      <w:r w:rsidRPr="008761E6">
        <w:rPr>
          <w:rFonts w:ascii="Times New Roman" w:hAnsi="Times New Roman"/>
          <w:sz w:val="24"/>
          <w:szCs w:val="24"/>
        </w:rPr>
        <w:t>.</w:t>
      </w:r>
      <w:r>
        <w:rPr>
          <w:rFonts w:ascii="Times New Roman" w:hAnsi="Times New Roman"/>
          <w:sz w:val="24"/>
          <w:szCs w:val="24"/>
        </w:rPr>
        <w:t xml:space="preserve"> </w:t>
      </w:r>
      <w:r w:rsidR="008761E6">
        <w:rPr>
          <w:rFonts w:ascii="Times New Roman" w:hAnsi="Times New Roman"/>
          <w:sz w:val="24"/>
          <w:szCs w:val="24"/>
        </w:rPr>
        <w:t xml:space="preserve"> For example</w:t>
      </w:r>
      <w:r w:rsidR="000B3690">
        <w:rPr>
          <w:rFonts w:ascii="Times New Roman" w:hAnsi="Times New Roman"/>
          <w:sz w:val="24"/>
          <w:szCs w:val="24"/>
        </w:rPr>
        <w:t>,</w:t>
      </w:r>
      <w:r w:rsidR="008761E6">
        <w:rPr>
          <w:rFonts w:ascii="Times New Roman" w:hAnsi="Times New Roman"/>
          <w:sz w:val="24"/>
          <w:szCs w:val="24"/>
        </w:rPr>
        <w:t xml:space="preserve"> with regard to the proposed liberalisation of the tainted capital gains rule, it is difficult to reasonably estimate the number of companies </w:t>
      </w:r>
      <w:r w:rsidR="000B3690">
        <w:rPr>
          <w:rFonts w:ascii="Times New Roman" w:hAnsi="Times New Roman"/>
          <w:sz w:val="24"/>
          <w:szCs w:val="24"/>
        </w:rPr>
        <w:t xml:space="preserve">with </w:t>
      </w:r>
      <w:r w:rsidR="008761E6">
        <w:rPr>
          <w:rFonts w:ascii="Times New Roman" w:hAnsi="Times New Roman"/>
          <w:sz w:val="24"/>
          <w:szCs w:val="24"/>
        </w:rPr>
        <w:t xml:space="preserve">tainted gains which are choosing not to liquidate as a result of the tax impost </w:t>
      </w:r>
      <w:r w:rsidR="000B3690">
        <w:rPr>
          <w:rFonts w:ascii="Times New Roman" w:hAnsi="Times New Roman"/>
          <w:sz w:val="24"/>
          <w:szCs w:val="24"/>
        </w:rPr>
        <w:t xml:space="preserve">that </w:t>
      </w:r>
      <w:r w:rsidR="008761E6">
        <w:rPr>
          <w:rFonts w:ascii="Times New Roman" w:hAnsi="Times New Roman"/>
          <w:sz w:val="24"/>
          <w:szCs w:val="24"/>
        </w:rPr>
        <w:t>would arise.  Wherever possible, the analysis provides fiscal implications arising from the proposals as forecasted.</w:t>
      </w:r>
    </w:p>
    <w:p w:rsidR="008761E6" w:rsidRDefault="008761E6" w:rsidP="008761E6">
      <w:pPr>
        <w:pStyle w:val="ListParagraph"/>
        <w:rPr>
          <w:rFonts w:ascii="Times New Roman" w:hAnsi="Times New Roman"/>
          <w:sz w:val="24"/>
          <w:szCs w:val="24"/>
        </w:rPr>
      </w:pPr>
    </w:p>
    <w:p w:rsidR="00D26114" w:rsidRDefault="008761E6" w:rsidP="008761E6">
      <w:pPr>
        <w:pStyle w:val="Bullet-list"/>
        <w:tabs>
          <w:tab w:val="num" w:pos="567"/>
        </w:tabs>
        <w:spacing w:after="0" w:line="240" w:lineRule="auto"/>
        <w:ind w:left="0" w:firstLine="0"/>
        <w:jc w:val="both"/>
        <w:rPr>
          <w:rFonts w:ascii="Times New Roman" w:hAnsi="Times New Roman"/>
          <w:sz w:val="24"/>
          <w:szCs w:val="24"/>
        </w:rPr>
      </w:pPr>
      <w:r w:rsidRPr="008761E6">
        <w:rPr>
          <w:rFonts w:ascii="Times New Roman" w:hAnsi="Times New Roman"/>
          <w:sz w:val="24"/>
          <w:szCs w:val="24"/>
        </w:rPr>
        <w:t>Some of the recommended options will give rise to some additional compliance and administrative costs (as noted in the detailed options analysis</w:t>
      </w:r>
      <w:r>
        <w:rPr>
          <w:rFonts w:ascii="Times New Roman" w:hAnsi="Times New Roman"/>
          <w:sz w:val="24"/>
          <w:szCs w:val="24"/>
        </w:rPr>
        <w:t xml:space="preserve">) but it is difficult to provide precise estimates.  </w:t>
      </w:r>
      <w:r w:rsidRPr="006A732D">
        <w:rPr>
          <w:rFonts w:ascii="Times New Roman" w:hAnsi="Times New Roman"/>
          <w:sz w:val="24"/>
          <w:szCs w:val="24"/>
        </w:rPr>
        <w:t>The precise cost for c</w:t>
      </w:r>
      <w:r w:rsidR="000B3690">
        <w:rPr>
          <w:rFonts w:ascii="Times New Roman" w:hAnsi="Times New Roman"/>
          <w:sz w:val="24"/>
          <w:szCs w:val="24"/>
        </w:rPr>
        <w:t>ompanies and their shareholders</w:t>
      </w:r>
      <w:r w:rsidRPr="006A732D">
        <w:rPr>
          <w:rFonts w:ascii="Times New Roman" w:hAnsi="Times New Roman"/>
          <w:sz w:val="24"/>
          <w:szCs w:val="24"/>
        </w:rPr>
        <w:t xml:space="preserve"> </w:t>
      </w:r>
      <w:r>
        <w:rPr>
          <w:rFonts w:ascii="Times New Roman" w:hAnsi="Times New Roman"/>
          <w:sz w:val="24"/>
          <w:szCs w:val="24"/>
        </w:rPr>
        <w:t>resulting from</w:t>
      </w:r>
      <w:r w:rsidR="00E4651A">
        <w:rPr>
          <w:rFonts w:ascii="Times New Roman" w:hAnsi="Times New Roman"/>
          <w:sz w:val="24"/>
          <w:szCs w:val="24"/>
        </w:rPr>
        <w:t>,</w:t>
      </w:r>
      <w:r>
        <w:rPr>
          <w:rFonts w:ascii="Times New Roman" w:hAnsi="Times New Roman"/>
          <w:sz w:val="24"/>
          <w:szCs w:val="24"/>
        </w:rPr>
        <w:t xml:space="preserve"> for example</w:t>
      </w:r>
      <w:r w:rsidR="00E4651A">
        <w:rPr>
          <w:rFonts w:ascii="Times New Roman" w:hAnsi="Times New Roman"/>
          <w:sz w:val="24"/>
          <w:szCs w:val="24"/>
        </w:rPr>
        <w:t>,</w:t>
      </w:r>
      <w:r>
        <w:rPr>
          <w:rFonts w:ascii="Times New Roman" w:hAnsi="Times New Roman"/>
          <w:sz w:val="24"/>
          <w:szCs w:val="24"/>
        </w:rPr>
        <w:t xml:space="preserve"> </w:t>
      </w:r>
      <w:r w:rsidRPr="006A732D">
        <w:rPr>
          <w:rFonts w:ascii="Times New Roman" w:hAnsi="Times New Roman"/>
          <w:sz w:val="24"/>
          <w:szCs w:val="24"/>
        </w:rPr>
        <w:t xml:space="preserve">the </w:t>
      </w:r>
      <w:r>
        <w:rPr>
          <w:rFonts w:ascii="Times New Roman" w:hAnsi="Times New Roman"/>
          <w:sz w:val="24"/>
          <w:szCs w:val="24"/>
        </w:rPr>
        <w:t xml:space="preserve">recommended changes to the LTC </w:t>
      </w:r>
      <w:r w:rsidR="00EB3036">
        <w:rPr>
          <w:rFonts w:ascii="Times New Roman" w:hAnsi="Times New Roman"/>
          <w:sz w:val="24"/>
          <w:szCs w:val="24"/>
        </w:rPr>
        <w:t>eligibility</w:t>
      </w:r>
      <w:r>
        <w:rPr>
          <w:rFonts w:ascii="Times New Roman" w:hAnsi="Times New Roman"/>
          <w:sz w:val="24"/>
          <w:szCs w:val="24"/>
        </w:rPr>
        <w:t xml:space="preserve"> criteria or, alternatively, as a result of a choice </w:t>
      </w:r>
      <w:r w:rsidRPr="006A732D">
        <w:rPr>
          <w:rFonts w:ascii="Times New Roman" w:hAnsi="Times New Roman"/>
          <w:sz w:val="24"/>
          <w:szCs w:val="24"/>
        </w:rPr>
        <w:t>to trans</w:t>
      </w:r>
      <w:r>
        <w:rPr>
          <w:rFonts w:ascii="Times New Roman" w:hAnsi="Times New Roman"/>
          <w:sz w:val="24"/>
          <w:szCs w:val="24"/>
        </w:rPr>
        <w:t>ition to another business model, will depend on the</w:t>
      </w:r>
      <w:r w:rsidRPr="006A732D">
        <w:rPr>
          <w:rFonts w:ascii="Times New Roman" w:hAnsi="Times New Roman"/>
          <w:sz w:val="24"/>
          <w:szCs w:val="24"/>
        </w:rPr>
        <w:t xml:space="preserve"> chosen model</w:t>
      </w:r>
      <w:r>
        <w:rPr>
          <w:rFonts w:ascii="Times New Roman" w:hAnsi="Times New Roman"/>
          <w:sz w:val="24"/>
          <w:szCs w:val="24"/>
        </w:rPr>
        <w:t xml:space="preserve">.  </w:t>
      </w:r>
    </w:p>
    <w:p w:rsidR="003F503B" w:rsidRDefault="003F503B" w:rsidP="00D26114">
      <w:pPr>
        <w:pStyle w:val="Bullet-list"/>
        <w:tabs>
          <w:tab w:val="num" w:pos="567"/>
        </w:tabs>
        <w:spacing w:after="0" w:line="240" w:lineRule="auto"/>
        <w:ind w:left="0" w:firstLine="0"/>
        <w:jc w:val="both"/>
        <w:rPr>
          <w:rFonts w:ascii="Times New Roman" w:hAnsi="Times New Roman"/>
          <w:sz w:val="24"/>
          <w:szCs w:val="24"/>
        </w:rPr>
      </w:pPr>
    </w:p>
    <w:p w:rsidR="00D26114" w:rsidRDefault="00D26114" w:rsidP="00D26114">
      <w:pPr>
        <w:pStyle w:val="Bullet-list"/>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We note that </w:t>
      </w:r>
      <w:r w:rsidRPr="006A732D">
        <w:rPr>
          <w:rFonts w:ascii="Times New Roman" w:hAnsi="Times New Roman"/>
          <w:sz w:val="24"/>
          <w:szCs w:val="24"/>
        </w:rPr>
        <w:t xml:space="preserve">the </w:t>
      </w:r>
      <w:r>
        <w:rPr>
          <w:rFonts w:ascii="Times New Roman" w:hAnsi="Times New Roman"/>
          <w:sz w:val="24"/>
          <w:szCs w:val="24"/>
        </w:rPr>
        <w:t xml:space="preserve">LTC </w:t>
      </w:r>
      <w:r w:rsidRPr="006A732D">
        <w:rPr>
          <w:rFonts w:ascii="Times New Roman" w:hAnsi="Times New Roman"/>
          <w:sz w:val="24"/>
          <w:szCs w:val="24"/>
        </w:rPr>
        <w:t>regime is elective, so business owners have a choice to move into a</w:t>
      </w:r>
      <w:r w:rsidR="003F503B">
        <w:rPr>
          <w:rFonts w:ascii="Times New Roman" w:hAnsi="Times New Roman"/>
          <w:sz w:val="24"/>
          <w:szCs w:val="24"/>
        </w:rPr>
        <w:t>n alternative</w:t>
      </w:r>
      <w:r w:rsidRPr="006A732D">
        <w:rPr>
          <w:rFonts w:ascii="Times New Roman" w:hAnsi="Times New Roman"/>
          <w:sz w:val="24"/>
          <w:szCs w:val="24"/>
        </w:rPr>
        <w:t xml:space="preserve"> business form which does not have </w:t>
      </w:r>
      <w:r>
        <w:rPr>
          <w:rFonts w:ascii="Times New Roman" w:hAnsi="Times New Roman"/>
          <w:sz w:val="24"/>
          <w:szCs w:val="24"/>
        </w:rPr>
        <w:t>the same tax features and limitations</w:t>
      </w:r>
      <w:r w:rsidRPr="006A732D">
        <w:rPr>
          <w:rFonts w:ascii="Times New Roman" w:hAnsi="Times New Roman"/>
          <w:sz w:val="24"/>
          <w:szCs w:val="24"/>
        </w:rPr>
        <w:t xml:space="preserve">. Various factors </w:t>
      </w:r>
      <w:r>
        <w:rPr>
          <w:rFonts w:ascii="Times New Roman" w:hAnsi="Times New Roman"/>
          <w:sz w:val="24"/>
          <w:szCs w:val="24"/>
        </w:rPr>
        <w:t xml:space="preserve">may </w:t>
      </w:r>
      <w:r w:rsidRPr="006A732D">
        <w:rPr>
          <w:rFonts w:ascii="Times New Roman" w:hAnsi="Times New Roman"/>
          <w:sz w:val="24"/>
          <w:szCs w:val="24"/>
        </w:rPr>
        <w:t xml:space="preserve">influence </w:t>
      </w:r>
      <w:r>
        <w:rPr>
          <w:rFonts w:ascii="Times New Roman" w:hAnsi="Times New Roman"/>
          <w:sz w:val="24"/>
          <w:szCs w:val="24"/>
        </w:rPr>
        <w:t xml:space="preserve">this </w:t>
      </w:r>
      <w:r w:rsidRPr="006A732D">
        <w:rPr>
          <w:rFonts w:ascii="Times New Roman" w:hAnsi="Times New Roman"/>
          <w:sz w:val="24"/>
          <w:szCs w:val="24"/>
        </w:rPr>
        <w:t>decision, such as the desi</w:t>
      </w:r>
      <w:r>
        <w:rPr>
          <w:rFonts w:ascii="Times New Roman" w:hAnsi="Times New Roman"/>
          <w:sz w:val="24"/>
          <w:szCs w:val="24"/>
        </w:rPr>
        <w:t>re to use tax losses personally versus the</w:t>
      </w:r>
      <w:r w:rsidRPr="006A732D">
        <w:rPr>
          <w:rFonts w:ascii="Times New Roman" w:hAnsi="Times New Roman"/>
          <w:sz w:val="24"/>
          <w:szCs w:val="24"/>
        </w:rPr>
        <w:t xml:space="preserve"> familiarity with the corporate structure and the </w:t>
      </w:r>
      <w:r>
        <w:rPr>
          <w:rFonts w:ascii="Times New Roman" w:hAnsi="Times New Roman"/>
          <w:sz w:val="24"/>
          <w:szCs w:val="24"/>
        </w:rPr>
        <w:t>advantages of limited liability, which make full and accurate analysis of behavioural changes impossible.</w:t>
      </w:r>
    </w:p>
    <w:p w:rsidR="00D26114" w:rsidRDefault="00D26114" w:rsidP="00D26114">
      <w:pPr>
        <w:pStyle w:val="Bullet-list"/>
        <w:tabs>
          <w:tab w:val="num" w:pos="567"/>
        </w:tabs>
        <w:spacing w:after="0" w:line="240" w:lineRule="auto"/>
        <w:ind w:left="0" w:firstLine="0"/>
        <w:jc w:val="both"/>
        <w:rPr>
          <w:rFonts w:ascii="Times New Roman" w:hAnsi="Times New Roman"/>
          <w:sz w:val="24"/>
          <w:szCs w:val="24"/>
        </w:rPr>
      </w:pPr>
    </w:p>
    <w:p w:rsidR="008761E6" w:rsidRDefault="008761E6" w:rsidP="008761E6">
      <w:pPr>
        <w:pStyle w:val="Bullet-list"/>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Equally it is difficult to estimate the likely administrative costs to Inland Revenue as a result of on-going enforcement or monitoring activity required where the integrity of the rules is not strengthened.  For example, if the </w:t>
      </w:r>
      <w:r w:rsidR="00D26114">
        <w:rPr>
          <w:rFonts w:ascii="Times New Roman" w:hAnsi="Times New Roman"/>
          <w:sz w:val="24"/>
          <w:szCs w:val="24"/>
        </w:rPr>
        <w:t xml:space="preserve">proposed changes to the LTC entry tax are not progressed there is a potential risk of this rule being taken advantage of as part of tax avoidance </w:t>
      </w:r>
      <w:r w:rsidR="00724006">
        <w:rPr>
          <w:rFonts w:ascii="Times New Roman" w:hAnsi="Times New Roman"/>
          <w:sz w:val="24"/>
          <w:szCs w:val="24"/>
        </w:rPr>
        <w:lastRenderedPageBreak/>
        <w:t>arrangements;</w:t>
      </w:r>
      <w:r w:rsidR="00D26114">
        <w:rPr>
          <w:rFonts w:ascii="Times New Roman" w:hAnsi="Times New Roman"/>
          <w:sz w:val="24"/>
          <w:szCs w:val="24"/>
        </w:rPr>
        <w:t xml:space="preserve"> this would result in additional administrative costs in both detection and enforcement activities.</w:t>
      </w:r>
    </w:p>
    <w:p w:rsidR="00CA079F" w:rsidRPr="00F14415" w:rsidRDefault="00CA079F" w:rsidP="002108FB">
      <w:pPr>
        <w:pStyle w:val="Text"/>
        <w:spacing w:before="0" w:after="0" w:line="240" w:lineRule="auto"/>
        <w:ind w:right="170"/>
        <w:rPr>
          <w:rFonts w:ascii="Times New Roman" w:hAnsi="Times New Roman"/>
          <w:sz w:val="24"/>
          <w:szCs w:val="24"/>
          <w:lang w:val="en-NZ"/>
        </w:rPr>
      </w:pPr>
    </w:p>
    <w:p w:rsidR="002108FB" w:rsidRPr="00F14415" w:rsidRDefault="002108FB" w:rsidP="00F12DAA">
      <w:pPr>
        <w:pStyle w:val="Text"/>
        <w:spacing w:before="0" w:after="0" w:line="240" w:lineRule="auto"/>
        <w:ind w:right="-1"/>
        <w:rPr>
          <w:rFonts w:ascii="Times New Roman" w:hAnsi="Times New Roman"/>
          <w:sz w:val="24"/>
          <w:szCs w:val="24"/>
          <w:lang w:val="en-NZ"/>
        </w:rPr>
      </w:pPr>
      <w:r w:rsidRPr="00F14415">
        <w:rPr>
          <w:rFonts w:ascii="Times New Roman" w:hAnsi="Times New Roman"/>
          <w:sz w:val="24"/>
          <w:szCs w:val="24"/>
          <w:lang w:val="en-NZ"/>
        </w:rPr>
        <w:t>There are no other significant constraints, caveats or uncertainties concerning the analysis undertaken.</w:t>
      </w:r>
    </w:p>
    <w:p w:rsidR="002108FB" w:rsidRDefault="002108FB" w:rsidP="002108FB">
      <w:pPr>
        <w:pStyle w:val="ListParagraph"/>
        <w:ind w:left="0" w:right="170"/>
        <w:rPr>
          <w:rFonts w:ascii="Times New Roman" w:hAnsi="Times New Roman"/>
          <w:sz w:val="24"/>
          <w:szCs w:val="24"/>
        </w:rPr>
      </w:pPr>
    </w:p>
    <w:p w:rsidR="003F503B" w:rsidRPr="00F14415" w:rsidRDefault="003F503B" w:rsidP="003F503B">
      <w:pPr>
        <w:pStyle w:val="CommentText"/>
        <w:jc w:val="both"/>
        <w:rPr>
          <w:rFonts w:ascii="Times New Roman" w:hAnsi="Times New Roman"/>
          <w:sz w:val="24"/>
          <w:szCs w:val="24"/>
        </w:rPr>
      </w:pPr>
      <w:r w:rsidRPr="00F14415">
        <w:rPr>
          <w:rFonts w:ascii="Times New Roman" w:hAnsi="Times New Roman"/>
          <w:sz w:val="24"/>
          <w:szCs w:val="24"/>
        </w:rPr>
        <w:t xml:space="preserve">None of the policy options restrict market competition, impair property rights, </w:t>
      </w:r>
      <w:proofErr w:type="gramStart"/>
      <w:r w:rsidRPr="00F14415">
        <w:rPr>
          <w:rFonts w:ascii="Times New Roman" w:hAnsi="Times New Roman"/>
          <w:sz w:val="24"/>
          <w:szCs w:val="24"/>
        </w:rPr>
        <w:t>reduce</w:t>
      </w:r>
      <w:proofErr w:type="gramEnd"/>
      <w:r w:rsidRPr="00F14415">
        <w:rPr>
          <w:rFonts w:ascii="Times New Roman" w:hAnsi="Times New Roman"/>
          <w:sz w:val="24"/>
          <w:szCs w:val="24"/>
        </w:rPr>
        <w:t xml:space="preserve"> incentives for small businesses to operate, or override fundamental common law principles.  </w:t>
      </w:r>
    </w:p>
    <w:p w:rsidR="00E4651A" w:rsidRPr="00F14415" w:rsidRDefault="00E4651A" w:rsidP="002108FB">
      <w:pPr>
        <w:pStyle w:val="ListParagraph"/>
        <w:ind w:left="0" w:right="170"/>
        <w:rPr>
          <w:rFonts w:ascii="Times New Roman" w:hAnsi="Times New Roman"/>
          <w:sz w:val="24"/>
          <w:szCs w:val="24"/>
        </w:rPr>
      </w:pPr>
    </w:p>
    <w:p w:rsidR="00717D63" w:rsidRPr="00953E08" w:rsidRDefault="00717D63" w:rsidP="00F05F3F">
      <w:pPr>
        <w:pStyle w:val="ListParagraph"/>
        <w:ind w:left="0" w:right="170"/>
        <w:contextualSpacing w:val="0"/>
        <w:rPr>
          <w:rFonts w:ascii="Times New Roman" w:hAnsi="Times New Roman"/>
          <w:sz w:val="24"/>
          <w:szCs w:val="24"/>
        </w:rPr>
      </w:pPr>
    </w:p>
    <w:p w:rsidR="00DA7A2A" w:rsidRPr="00953E08" w:rsidRDefault="00DA7A2A" w:rsidP="009A23EE">
      <w:pPr>
        <w:pStyle w:val="Text"/>
        <w:spacing w:before="0" w:after="0" w:line="240" w:lineRule="auto"/>
        <w:ind w:right="170"/>
        <w:rPr>
          <w:rFonts w:ascii="Times New Roman" w:hAnsi="Times New Roman"/>
          <w:sz w:val="24"/>
          <w:szCs w:val="24"/>
          <w:lang w:val="en-NZ"/>
        </w:rPr>
      </w:pPr>
    </w:p>
    <w:p w:rsidR="00085660" w:rsidRPr="00953E08" w:rsidRDefault="00085660" w:rsidP="009A23EE">
      <w:pPr>
        <w:pStyle w:val="Text"/>
        <w:spacing w:before="0" w:after="0" w:line="240" w:lineRule="auto"/>
        <w:ind w:right="170"/>
        <w:rPr>
          <w:rFonts w:ascii="Times New Roman" w:hAnsi="Times New Roman"/>
          <w:sz w:val="24"/>
          <w:szCs w:val="24"/>
          <w:lang w:val="en-NZ"/>
        </w:rPr>
      </w:pPr>
    </w:p>
    <w:p w:rsidR="00085660" w:rsidRPr="00953E08" w:rsidRDefault="00F05F3F" w:rsidP="004342F0">
      <w:pPr>
        <w:pStyle w:val="Text"/>
        <w:tabs>
          <w:tab w:val="left" w:pos="567"/>
        </w:tabs>
        <w:spacing w:before="0" w:after="0" w:line="240" w:lineRule="auto"/>
        <w:ind w:right="170"/>
        <w:rPr>
          <w:rFonts w:ascii="Times New Roman" w:hAnsi="Times New Roman"/>
          <w:sz w:val="24"/>
          <w:szCs w:val="24"/>
          <w:lang w:val="en-NZ"/>
        </w:rPr>
      </w:pPr>
      <w:r w:rsidRPr="00953E08">
        <w:rPr>
          <w:rFonts w:ascii="Times New Roman" w:hAnsi="Times New Roman"/>
          <w:sz w:val="24"/>
          <w:szCs w:val="24"/>
          <w:lang w:val="en-NZ"/>
        </w:rPr>
        <w:t>Geoff Leggett</w:t>
      </w:r>
    </w:p>
    <w:p w:rsidR="009F7B9A" w:rsidRPr="00953E08" w:rsidRDefault="00F05F3F" w:rsidP="004342F0">
      <w:pPr>
        <w:pStyle w:val="Text"/>
        <w:tabs>
          <w:tab w:val="left" w:pos="567"/>
        </w:tabs>
        <w:spacing w:before="0" w:after="0" w:line="240" w:lineRule="auto"/>
        <w:ind w:right="170"/>
        <w:rPr>
          <w:rFonts w:ascii="Times New Roman" w:hAnsi="Times New Roman"/>
          <w:sz w:val="24"/>
          <w:szCs w:val="24"/>
          <w:lang w:val="en-NZ"/>
        </w:rPr>
      </w:pPr>
      <w:r w:rsidRPr="00953E08">
        <w:rPr>
          <w:rFonts w:ascii="Times New Roman" w:hAnsi="Times New Roman"/>
          <w:sz w:val="24"/>
          <w:szCs w:val="24"/>
          <w:lang w:val="en-NZ"/>
        </w:rPr>
        <w:t>Senior Policy Advisor</w:t>
      </w:r>
      <w:r w:rsidR="005A62E6" w:rsidRPr="00953E08">
        <w:rPr>
          <w:rFonts w:ascii="Times New Roman" w:hAnsi="Times New Roman"/>
          <w:sz w:val="24"/>
          <w:szCs w:val="24"/>
          <w:lang w:val="en-NZ"/>
        </w:rPr>
        <w:t>, Policy and Strategy</w:t>
      </w:r>
    </w:p>
    <w:p w:rsidR="001C6912" w:rsidRPr="00953E08" w:rsidRDefault="001C6912" w:rsidP="004342F0">
      <w:pPr>
        <w:pStyle w:val="Text"/>
        <w:tabs>
          <w:tab w:val="left" w:pos="567"/>
        </w:tabs>
        <w:spacing w:before="0" w:after="0" w:line="240" w:lineRule="auto"/>
        <w:ind w:right="170"/>
        <w:rPr>
          <w:rFonts w:ascii="Times New Roman" w:hAnsi="Times New Roman"/>
          <w:sz w:val="24"/>
          <w:szCs w:val="24"/>
          <w:lang w:val="en-NZ"/>
        </w:rPr>
      </w:pPr>
      <w:r w:rsidRPr="00953E08">
        <w:rPr>
          <w:rFonts w:ascii="Times New Roman" w:hAnsi="Times New Roman"/>
          <w:sz w:val="24"/>
          <w:szCs w:val="24"/>
          <w:lang w:val="en-NZ"/>
        </w:rPr>
        <w:t>Inland Revenue</w:t>
      </w:r>
    </w:p>
    <w:p w:rsidR="000545DC" w:rsidRPr="00953E08" w:rsidRDefault="000545DC" w:rsidP="004342F0">
      <w:pPr>
        <w:pStyle w:val="Text"/>
        <w:tabs>
          <w:tab w:val="left" w:pos="567"/>
        </w:tabs>
        <w:spacing w:before="0" w:after="0" w:line="240" w:lineRule="auto"/>
        <w:ind w:right="170"/>
        <w:rPr>
          <w:rFonts w:ascii="Times New Roman" w:hAnsi="Times New Roman"/>
          <w:sz w:val="24"/>
          <w:szCs w:val="24"/>
          <w:lang w:val="en-NZ"/>
        </w:rPr>
      </w:pPr>
    </w:p>
    <w:p w:rsidR="000545DC" w:rsidRPr="00953E08" w:rsidRDefault="003F503B"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2</w:t>
      </w:r>
      <w:r w:rsidR="00F05F3F" w:rsidRPr="00953E08">
        <w:rPr>
          <w:rFonts w:ascii="Times New Roman" w:hAnsi="Times New Roman"/>
          <w:sz w:val="24"/>
          <w:szCs w:val="24"/>
          <w:lang w:val="en-NZ"/>
        </w:rPr>
        <w:t xml:space="preserve"> </w:t>
      </w:r>
      <w:r>
        <w:rPr>
          <w:rFonts w:ascii="Times New Roman" w:hAnsi="Times New Roman"/>
          <w:sz w:val="24"/>
          <w:szCs w:val="24"/>
          <w:lang w:val="en-NZ"/>
        </w:rPr>
        <w:t>December</w:t>
      </w:r>
      <w:r w:rsidR="00F05F3F" w:rsidRPr="00953E08">
        <w:rPr>
          <w:rFonts w:ascii="Times New Roman" w:hAnsi="Times New Roman"/>
          <w:sz w:val="24"/>
          <w:szCs w:val="24"/>
          <w:lang w:val="en-NZ"/>
        </w:rPr>
        <w:t xml:space="preserve"> 2015</w:t>
      </w:r>
    </w:p>
    <w:p w:rsidR="00115425" w:rsidRPr="00953E08" w:rsidRDefault="001C6912" w:rsidP="002108FB">
      <w:pPr>
        <w:pStyle w:val="RISheading"/>
        <w:rPr>
          <w:lang w:eastAsia="en-AU"/>
        </w:rPr>
      </w:pPr>
      <w:bookmarkStart w:id="7" w:name="_Toc244580363"/>
      <w:bookmarkStart w:id="8" w:name="_Toc244587039"/>
      <w:bookmarkStart w:id="9" w:name="_Toc244857273"/>
      <w:bookmarkStart w:id="10" w:name="_Toc244912538"/>
      <w:bookmarkStart w:id="11" w:name="_Toc244916995"/>
      <w:r w:rsidRPr="00953E08">
        <w:rPr>
          <w:spacing w:val="0"/>
          <w:w w:val="100"/>
        </w:rPr>
        <w:br w:type="page"/>
      </w:r>
      <w:bookmarkEnd w:id="7"/>
      <w:bookmarkEnd w:id="8"/>
      <w:bookmarkEnd w:id="9"/>
      <w:bookmarkEnd w:id="10"/>
      <w:bookmarkEnd w:id="11"/>
    </w:p>
    <w:p w:rsidR="00533D1F" w:rsidRPr="003F503B" w:rsidRDefault="00533D1F" w:rsidP="00A01FCD">
      <w:pPr>
        <w:pStyle w:val="RISheading"/>
        <w:tabs>
          <w:tab w:val="clear" w:pos="567"/>
          <w:tab w:val="left" w:pos="0"/>
        </w:tabs>
        <w:rPr>
          <w:caps/>
          <w:spacing w:val="0"/>
          <w:w w:val="100"/>
          <w:lang w:val="en-AU" w:eastAsia="en-US"/>
        </w:rPr>
      </w:pPr>
      <w:r w:rsidRPr="003F503B">
        <w:rPr>
          <w:caps/>
          <w:spacing w:val="0"/>
          <w:w w:val="100"/>
          <w:lang w:val="en-AU" w:eastAsia="en-US"/>
        </w:rPr>
        <w:lastRenderedPageBreak/>
        <w:t>Executive summary</w:t>
      </w:r>
    </w:p>
    <w:p w:rsidR="00717D63" w:rsidRPr="00F14415" w:rsidRDefault="00717D63" w:rsidP="00166E95">
      <w:pPr>
        <w:pStyle w:val="TRNormal"/>
        <w:numPr>
          <w:ilvl w:val="0"/>
          <w:numId w:val="2"/>
        </w:numPr>
        <w:tabs>
          <w:tab w:val="clear" w:pos="360"/>
          <w:tab w:val="num" w:pos="0"/>
          <w:tab w:val="left" w:pos="567"/>
        </w:tabs>
        <w:ind w:left="0" w:firstLine="0"/>
        <w:rPr>
          <w:szCs w:val="24"/>
        </w:rPr>
      </w:pPr>
      <w:r w:rsidRPr="00F14415">
        <w:rPr>
          <w:szCs w:val="24"/>
        </w:rPr>
        <w:t>Small closely held companies represent a significant proportio</w:t>
      </w:r>
      <w:r>
        <w:rPr>
          <w:szCs w:val="24"/>
        </w:rPr>
        <w:t xml:space="preserve">n of New Zealand’s </w:t>
      </w:r>
      <w:r w:rsidR="003F503B">
        <w:rPr>
          <w:szCs w:val="24"/>
        </w:rPr>
        <w:t xml:space="preserve">400,000 </w:t>
      </w:r>
      <w:r>
        <w:rPr>
          <w:szCs w:val="24"/>
        </w:rPr>
        <w:t xml:space="preserve">companies.  </w:t>
      </w:r>
      <w:r w:rsidRPr="00F14415">
        <w:rPr>
          <w:szCs w:val="24"/>
        </w:rPr>
        <w:t>The tax treatment of companies is generally different than that applied to individuals, including sole traders.  Certain types of closely held companies are able to apply specific tax rules to help bridge the boundary between the two tax approaches.  The</w:t>
      </w:r>
      <w:r w:rsidR="00CA079F">
        <w:rPr>
          <w:szCs w:val="24"/>
        </w:rPr>
        <w:t>refore, the</w:t>
      </w:r>
      <w:r w:rsidRPr="00F14415">
        <w:rPr>
          <w:szCs w:val="24"/>
        </w:rPr>
        <w:t xml:space="preserve"> policy intent of these specific rules is to ensure that tax consequences do not discourage incorporation of businesses.  </w:t>
      </w:r>
    </w:p>
    <w:p w:rsidR="00717D63" w:rsidRPr="00F14415" w:rsidRDefault="00717D63" w:rsidP="00A01FCD">
      <w:pPr>
        <w:pStyle w:val="TRNormal"/>
        <w:tabs>
          <w:tab w:val="num" w:pos="0"/>
          <w:tab w:val="left" w:pos="567"/>
        </w:tabs>
        <w:rPr>
          <w:szCs w:val="24"/>
        </w:rPr>
      </w:pPr>
    </w:p>
    <w:p w:rsidR="00717D63" w:rsidRPr="00F14415" w:rsidRDefault="00717D63" w:rsidP="00166E95">
      <w:pPr>
        <w:pStyle w:val="TRNormal"/>
        <w:numPr>
          <w:ilvl w:val="0"/>
          <w:numId w:val="2"/>
        </w:numPr>
        <w:tabs>
          <w:tab w:val="clear" w:pos="360"/>
          <w:tab w:val="left" w:pos="0"/>
        </w:tabs>
        <w:ind w:left="0" w:firstLine="0"/>
        <w:rPr>
          <w:szCs w:val="24"/>
        </w:rPr>
      </w:pPr>
      <w:r w:rsidRPr="00F14415">
        <w:rPr>
          <w:szCs w:val="24"/>
        </w:rPr>
        <w:t xml:space="preserve">In 2010 the Government made </w:t>
      </w:r>
      <w:r>
        <w:rPr>
          <w:szCs w:val="24"/>
        </w:rPr>
        <w:t>major</w:t>
      </w:r>
      <w:r w:rsidRPr="00F14415">
        <w:rPr>
          <w:szCs w:val="24"/>
        </w:rPr>
        <w:t xml:space="preserve"> changes to the </w:t>
      </w:r>
      <w:r>
        <w:rPr>
          <w:szCs w:val="24"/>
        </w:rPr>
        <w:t>rules used by many closely held companies</w:t>
      </w:r>
      <w:r w:rsidRPr="00F14415">
        <w:rPr>
          <w:szCs w:val="24"/>
        </w:rPr>
        <w:t>, including the introduc</w:t>
      </w:r>
      <w:r>
        <w:rPr>
          <w:szCs w:val="24"/>
        </w:rPr>
        <w:t xml:space="preserve">tion of </w:t>
      </w:r>
      <w:r w:rsidR="00EB3036">
        <w:rPr>
          <w:szCs w:val="24"/>
        </w:rPr>
        <w:t xml:space="preserve">a full </w:t>
      </w:r>
      <w:r>
        <w:rPr>
          <w:szCs w:val="24"/>
        </w:rPr>
        <w:t xml:space="preserve">flow-through vehicle, </w:t>
      </w:r>
      <w:r w:rsidRPr="00F14415">
        <w:rPr>
          <w:szCs w:val="24"/>
        </w:rPr>
        <w:t xml:space="preserve">LTCs.  </w:t>
      </w:r>
      <w:r>
        <w:rPr>
          <w:szCs w:val="24"/>
        </w:rPr>
        <w:t xml:space="preserve">Subsequently, in response to concerns, the </w:t>
      </w:r>
      <w:r w:rsidRPr="00F14415">
        <w:rPr>
          <w:szCs w:val="24"/>
        </w:rPr>
        <w:t xml:space="preserve">Government </w:t>
      </w:r>
      <w:r>
        <w:rPr>
          <w:szCs w:val="24"/>
        </w:rPr>
        <w:t>undertook to</w:t>
      </w:r>
      <w:r w:rsidRPr="00F14415">
        <w:rPr>
          <w:szCs w:val="24"/>
        </w:rPr>
        <w:t xml:space="preserve"> review </w:t>
      </w:r>
      <w:r>
        <w:rPr>
          <w:szCs w:val="24"/>
        </w:rPr>
        <w:t>the</w:t>
      </w:r>
      <w:r w:rsidR="00EB3036">
        <w:rPr>
          <w:szCs w:val="24"/>
        </w:rPr>
        <w:t xml:space="preserve"> LTC</w:t>
      </w:r>
      <w:r>
        <w:rPr>
          <w:szCs w:val="24"/>
        </w:rPr>
        <w:t xml:space="preserve"> rules</w:t>
      </w:r>
      <w:r w:rsidR="00EB3036">
        <w:rPr>
          <w:szCs w:val="24"/>
        </w:rPr>
        <w:t xml:space="preserve"> alongside aspects of the dividend rules applying to closely held companies more generally</w:t>
      </w:r>
      <w:r>
        <w:rPr>
          <w:szCs w:val="24"/>
        </w:rPr>
        <w:t>.  I</w:t>
      </w:r>
      <w:r w:rsidRPr="00F14415">
        <w:rPr>
          <w:szCs w:val="24"/>
        </w:rPr>
        <w:t>n September 2015</w:t>
      </w:r>
      <w:r>
        <w:rPr>
          <w:szCs w:val="24"/>
        </w:rPr>
        <w:t>,</w:t>
      </w:r>
      <w:r w:rsidRPr="00F14415">
        <w:rPr>
          <w:szCs w:val="24"/>
        </w:rPr>
        <w:t xml:space="preserve"> Inland Revenue released an issues paper titled </w:t>
      </w:r>
      <w:proofErr w:type="gramStart"/>
      <w:r w:rsidRPr="00F14415">
        <w:rPr>
          <w:i/>
          <w:szCs w:val="24"/>
        </w:rPr>
        <w:t>Cl</w:t>
      </w:r>
      <w:r>
        <w:rPr>
          <w:i/>
          <w:szCs w:val="24"/>
        </w:rPr>
        <w:t>osely</w:t>
      </w:r>
      <w:proofErr w:type="gramEnd"/>
      <w:r>
        <w:rPr>
          <w:i/>
          <w:szCs w:val="24"/>
        </w:rPr>
        <w:t xml:space="preserve"> </w:t>
      </w:r>
      <w:r w:rsidRPr="00F14415">
        <w:rPr>
          <w:i/>
          <w:szCs w:val="24"/>
        </w:rPr>
        <w:t>held company taxation issues</w:t>
      </w:r>
      <w:r w:rsidRPr="00F14415">
        <w:rPr>
          <w:szCs w:val="24"/>
        </w:rPr>
        <w:t xml:space="preserve"> </w:t>
      </w:r>
      <w:r>
        <w:rPr>
          <w:szCs w:val="24"/>
        </w:rPr>
        <w:t xml:space="preserve">which </w:t>
      </w:r>
      <w:r w:rsidRPr="00F14415">
        <w:rPr>
          <w:szCs w:val="24"/>
        </w:rPr>
        <w:t>suggest</w:t>
      </w:r>
      <w:r>
        <w:rPr>
          <w:szCs w:val="24"/>
        </w:rPr>
        <w:t>ed a package of proposed changes</w:t>
      </w:r>
      <w:r w:rsidRPr="00F14415">
        <w:rPr>
          <w:szCs w:val="24"/>
        </w:rPr>
        <w:t xml:space="preserve">.  </w:t>
      </w:r>
    </w:p>
    <w:p w:rsidR="00717D63" w:rsidRPr="00F14415" w:rsidRDefault="00717D63" w:rsidP="00717D63">
      <w:pPr>
        <w:pStyle w:val="TRNormal"/>
        <w:tabs>
          <w:tab w:val="left" w:pos="567"/>
        </w:tabs>
        <w:ind w:left="360"/>
        <w:rPr>
          <w:szCs w:val="24"/>
        </w:rPr>
      </w:pPr>
    </w:p>
    <w:p w:rsidR="003F503B" w:rsidRPr="003F503B" w:rsidRDefault="003F503B" w:rsidP="00166E95">
      <w:pPr>
        <w:pStyle w:val="Text"/>
        <w:numPr>
          <w:ilvl w:val="0"/>
          <w:numId w:val="2"/>
        </w:numPr>
        <w:tabs>
          <w:tab w:val="clear" w:pos="360"/>
          <w:tab w:val="num" w:pos="0"/>
        </w:tabs>
        <w:spacing w:before="0" w:after="0" w:line="240" w:lineRule="auto"/>
        <w:ind w:left="0" w:right="-1" w:firstLine="0"/>
        <w:rPr>
          <w:rFonts w:ascii="Times New Roman" w:hAnsi="Times New Roman"/>
          <w:sz w:val="24"/>
          <w:szCs w:val="24"/>
        </w:rPr>
      </w:pPr>
      <w:r>
        <w:rPr>
          <w:rFonts w:ascii="Times New Roman" w:hAnsi="Times New Roman"/>
          <w:sz w:val="24"/>
          <w:szCs w:val="24"/>
          <w:lang w:val="en-NZ"/>
        </w:rPr>
        <w:t xml:space="preserve">The policy development of the various options has been informed by both targeted consultation, </w:t>
      </w:r>
      <w:r w:rsidRPr="00F14415">
        <w:rPr>
          <w:rFonts w:ascii="Times New Roman" w:hAnsi="Times New Roman"/>
          <w:sz w:val="24"/>
          <w:szCs w:val="24"/>
          <w:lang w:val="en-NZ"/>
        </w:rPr>
        <w:t xml:space="preserve">over several years with </w:t>
      </w:r>
      <w:r>
        <w:rPr>
          <w:rFonts w:ascii="Times New Roman" w:hAnsi="Times New Roman"/>
          <w:sz w:val="24"/>
          <w:szCs w:val="24"/>
          <w:lang w:val="en-NZ"/>
        </w:rPr>
        <w:t xml:space="preserve">representatives of the </w:t>
      </w:r>
      <w:r w:rsidRPr="00F14415">
        <w:rPr>
          <w:rFonts w:ascii="Times New Roman" w:hAnsi="Times New Roman"/>
          <w:sz w:val="24"/>
          <w:szCs w:val="24"/>
          <w:lang w:val="en-NZ"/>
        </w:rPr>
        <w:t>Chartered Accountants</w:t>
      </w:r>
      <w:r>
        <w:rPr>
          <w:rFonts w:ascii="Times New Roman" w:hAnsi="Times New Roman"/>
          <w:sz w:val="24"/>
          <w:szCs w:val="24"/>
          <w:lang w:val="en-NZ"/>
        </w:rPr>
        <w:t xml:space="preserve"> of</w:t>
      </w:r>
      <w:r w:rsidRPr="00F14415">
        <w:rPr>
          <w:rFonts w:ascii="Times New Roman" w:hAnsi="Times New Roman"/>
          <w:sz w:val="24"/>
          <w:szCs w:val="24"/>
          <w:lang w:val="en-NZ"/>
        </w:rPr>
        <w:t xml:space="preserve"> Australia and New Zealand (CAANZ)</w:t>
      </w:r>
      <w:r>
        <w:rPr>
          <w:rFonts w:ascii="Times New Roman" w:hAnsi="Times New Roman"/>
          <w:sz w:val="24"/>
          <w:szCs w:val="24"/>
          <w:lang w:val="en-NZ"/>
        </w:rPr>
        <w:t xml:space="preserve"> tax advisory group.</w:t>
      </w:r>
      <w:r>
        <w:rPr>
          <w:rFonts w:ascii="Times New Roman" w:hAnsi="Times New Roman"/>
          <w:sz w:val="24"/>
          <w:szCs w:val="24"/>
        </w:rPr>
        <w:t xml:space="preserve">  </w:t>
      </w:r>
      <w:r w:rsidRPr="003F503B">
        <w:rPr>
          <w:rFonts w:ascii="Times New Roman" w:hAnsi="Times New Roman"/>
          <w:sz w:val="24"/>
          <w:szCs w:val="24"/>
          <w:lang w:val="en-NZ"/>
        </w:rPr>
        <w:t xml:space="preserve">The Treasury were also involved in the policy development of the recommended proposals and agree with the conclusions.  </w:t>
      </w:r>
    </w:p>
    <w:p w:rsidR="003F503B" w:rsidRPr="003F503B" w:rsidRDefault="003F503B" w:rsidP="003F503B">
      <w:pPr>
        <w:pStyle w:val="Text"/>
        <w:tabs>
          <w:tab w:val="num" w:pos="0"/>
        </w:tabs>
        <w:spacing w:before="0" w:after="0" w:line="240" w:lineRule="auto"/>
        <w:ind w:right="170"/>
        <w:rPr>
          <w:rFonts w:ascii="Times New Roman" w:hAnsi="Times New Roman"/>
          <w:sz w:val="24"/>
          <w:szCs w:val="24"/>
        </w:rPr>
      </w:pPr>
    </w:p>
    <w:p w:rsidR="00717D63" w:rsidRDefault="00717D63" w:rsidP="00166E95">
      <w:pPr>
        <w:pStyle w:val="TRNormal"/>
        <w:numPr>
          <w:ilvl w:val="0"/>
          <w:numId w:val="2"/>
        </w:numPr>
        <w:tabs>
          <w:tab w:val="clear" w:pos="360"/>
          <w:tab w:val="left" w:pos="0"/>
        </w:tabs>
        <w:ind w:left="0" w:firstLine="0"/>
        <w:rPr>
          <w:szCs w:val="24"/>
        </w:rPr>
      </w:pPr>
      <w:r w:rsidRPr="00F14415">
        <w:rPr>
          <w:szCs w:val="24"/>
        </w:rPr>
        <w:t>The issues paper acknowledged that a number of problems exist with the</w:t>
      </w:r>
      <w:r w:rsidR="00EB3036">
        <w:rPr>
          <w:szCs w:val="24"/>
        </w:rPr>
        <w:t xml:space="preserve"> way that the LTC rules operate</w:t>
      </w:r>
      <w:r w:rsidRPr="00F14415">
        <w:rPr>
          <w:szCs w:val="24"/>
        </w:rPr>
        <w:t xml:space="preserve"> and feedback </w:t>
      </w:r>
      <w:r w:rsidR="00EB3036">
        <w:rPr>
          <w:szCs w:val="24"/>
        </w:rPr>
        <w:t xml:space="preserve">was </w:t>
      </w:r>
      <w:r w:rsidR="00EB3036" w:rsidRPr="00F14415">
        <w:rPr>
          <w:szCs w:val="24"/>
        </w:rPr>
        <w:t xml:space="preserve">sought </w:t>
      </w:r>
      <w:r w:rsidRPr="00F14415">
        <w:rPr>
          <w:szCs w:val="24"/>
        </w:rPr>
        <w:t>on var</w:t>
      </w:r>
      <w:r w:rsidR="00EB3036">
        <w:rPr>
          <w:szCs w:val="24"/>
        </w:rPr>
        <w:t>ious amendments to address them</w:t>
      </w:r>
      <w:r w:rsidRPr="00F14415">
        <w:rPr>
          <w:szCs w:val="24"/>
        </w:rPr>
        <w:t xml:space="preserve">, </w:t>
      </w:r>
      <w:r w:rsidR="00EB3036">
        <w:rPr>
          <w:szCs w:val="24"/>
        </w:rPr>
        <w:t xml:space="preserve">the problems included </w:t>
      </w:r>
      <w:r w:rsidRPr="00F14415">
        <w:rPr>
          <w:szCs w:val="24"/>
        </w:rPr>
        <w:t xml:space="preserve">in relation to the </w:t>
      </w:r>
      <w:r>
        <w:rPr>
          <w:szCs w:val="24"/>
        </w:rPr>
        <w:t xml:space="preserve">rule that limits an owner’s deductions to the amount that they have at risk (the deduction </w:t>
      </w:r>
      <w:r w:rsidRPr="00F14415">
        <w:rPr>
          <w:szCs w:val="24"/>
        </w:rPr>
        <w:t>limitation rule</w:t>
      </w:r>
      <w:r>
        <w:rPr>
          <w:szCs w:val="24"/>
        </w:rPr>
        <w:t>)</w:t>
      </w:r>
      <w:r w:rsidRPr="00F14415">
        <w:rPr>
          <w:szCs w:val="24"/>
        </w:rPr>
        <w:t xml:space="preserve"> and</w:t>
      </w:r>
      <w:r>
        <w:rPr>
          <w:szCs w:val="24"/>
        </w:rPr>
        <w:t xml:space="preserve"> how debt remission is treated under a LTC or partnership</w:t>
      </w:r>
      <w:r w:rsidRPr="00F14415">
        <w:rPr>
          <w:szCs w:val="24"/>
        </w:rPr>
        <w:t xml:space="preserve">.  Officials also sought feedback on several proposals aimed at better targeting the LTC rules to ensure their use remained in line with the underlying policy intent, </w:t>
      </w:r>
      <w:r>
        <w:rPr>
          <w:szCs w:val="24"/>
        </w:rPr>
        <w:t xml:space="preserve">through </w:t>
      </w:r>
      <w:r w:rsidRPr="00F14415">
        <w:rPr>
          <w:szCs w:val="24"/>
        </w:rPr>
        <w:t xml:space="preserve">tightening up some of the eligibility criteria.  </w:t>
      </w:r>
    </w:p>
    <w:p w:rsidR="00717D63" w:rsidRDefault="00717D63" w:rsidP="00717D63">
      <w:pPr>
        <w:pStyle w:val="TRNormal"/>
        <w:tabs>
          <w:tab w:val="left" w:pos="567"/>
        </w:tabs>
        <w:ind w:left="360"/>
        <w:rPr>
          <w:szCs w:val="24"/>
        </w:rPr>
      </w:pPr>
    </w:p>
    <w:p w:rsidR="00717D63" w:rsidRDefault="00717D63" w:rsidP="00166E95">
      <w:pPr>
        <w:pStyle w:val="TRNormal"/>
        <w:numPr>
          <w:ilvl w:val="0"/>
          <w:numId w:val="2"/>
        </w:numPr>
        <w:tabs>
          <w:tab w:val="clear" w:pos="360"/>
          <w:tab w:val="left" w:pos="0"/>
        </w:tabs>
        <w:ind w:left="0" w:firstLine="0"/>
        <w:rPr>
          <w:szCs w:val="24"/>
        </w:rPr>
      </w:pPr>
      <w:r>
        <w:rPr>
          <w:szCs w:val="24"/>
        </w:rPr>
        <w:t xml:space="preserve">Outside of LTCs, </w:t>
      </w:r>
      <w:r w:rsidRPr="00F14415">
        <w:rPr>
          <w:szCs w:val="24"/>
        </w:rPr>
        <w:t xml:space="preserve">the issues paper outlined proposals in response to concerns raised regarding the dividend rules </w:t>
      </w:r>
      <w:r>
        <w:rPr>
          <w:szCs w:val="24"/>
        </w:rPr>
        <w:t>that apply to other closely held companies, primarily in relation to r</w:t>
      </w:r>
      <w:r w:rsidRPr="00F14415">
        <w:rPr>
          <w:szCs w:val="24"/>
        </w:rPr>
        <w:t xml:space="preserve">esident withholding tax obligations and the treatment of capital profits arising from transactions with associated parties. </w:t>
      </w:r>
    </w:p>
    <w:p w:rsidR="00CA079F" w:rsidRDefault="00CA079F" w:rsidP="00CA079F">
      <w:pPr>
        <w:pStyle w:val="ListParagraph"/>
        <w:rPr>
          <w:szCs w:val="24"/>
        </w:rPr>
      </w:pPr>
    </w:p>
    <w:p w:rsidR="00CA079F" w:rsidRPr="00F14415" w:rsidRDefault="00CA079F" w:rsidP="00166E95">
      <w:pPr>
        <w:pStyle w:val="TRBodyText"/>
        <w:numPr>
          <w:ilvl w:val="0"/>
          <w:numId w:val="2"/>
        </w:numPr>
        <w:tabs>
          <w:tab w:val="clear" w:pos="360"/>
          <w:tab w:val="left" w:pos="0"/>
        </w:tabs>
        <w:ind w:left="0" w:firstLine="0"/>
        <w:rPr>
          <w:szCs w:val="24"/>
        </w:rPr>
      </w:pPr>
      <w:r>
        <w:rPr>
          <w:szCs w:val="24"/>
        </w:rPr>
        <w:t>A</w:t>
      </w:r>
      <w:r w:rsidRPr="00F14415">
        <w:rPr>
          <w:szCs w:val="24"/>
        </w:rPr>
        <w:t xml:space="preserve"> total of seventeen submissions were received</w:t>
      </w:r>
      <w:r>
        <w:rPr>
          <w:szCs w:val="24"/>
        </w:rPr>
        <w:t xml:space="preserve"> in response.   S</w:t>
      </w:r>
      <w:r w:rsidRPr="00F14415">
        <w:rPr>
          <w:szCs w:val="24"/>
        </w:rPr>
        <w:t>ome focussed on particular proposals or technical detail</w:t>
      </w:r>
      <w:r>
        <w:rPr>
          <w:szCs w:val="24"/>
        </w:rPr>
        <w:t>ed</w:t>
      </w:r>
      <w:r w:rsidRPr="00F14415">
        <w:rPr>
          <w:szCs w:val="24"/>
        </w:rPr>
        <w:t xml:space="preserve"> queries</w:t>
      </w:r>
      <w:r>
        <w:rPr>
          <w:szCs w:val="24"/>
        </w:rPr>
        <w:t>,</w:t>
      </w:r>
      <w:r w:rsidRPr="00F14415">
        <w:rPr>
          <w:szCs w:val="24"/>
        </w:rPr>
        <w:t xml:space="preserve"> while others provided commen</w:t>
      </w:r>
      <w:r>
        <w:rPr>
          <w:szCs w:val="24"/>
        </w:rPr>
        <w:t xml:space="preserve">t on the package more broadly.  </w:t>
      </w:r>
      <w:r w:rsidRPr="00F14415">
        <w:rPr>
          <w:szCs w:val="24"/>
        </w:rPr>
        <w:t>Submitters were generally supp</w:t>
      </w:r>
      <w:r>
        <w:rPr>
          <w:szCs w:val="24"/>
        </w:rPr>
        <w:t>ortive of the proposals which addressed</w:t>
      </w:r>
      <w:r w:rsidRPr="00F14415">
        <w:rPr>
          <w:szCs w:val="24"/>
        </w:rPr>
        <w:t xml:space="preserve"> technical errors and amended or removed rules.  On the other hand</w:t>
      </w:r>
      <w:r w:rsidR="00EB3036">
        <w:rPr>
          <w:szCs w:val="24"/>
        </w:rPr>
        <w:t>,</w:t>
      </w:r>
      <w:r w:rsidRPr="00F14415">
        <w:rPr>
          <w:szCs w:val="24"/>
        </w:rPr>
        <w:t xml:space="preserve"> the proposals designed to ensure that the use of LTCs is better targeted at t</w:t>
      </w:r>
      <w:r w:rsidR="00EB3036">
        <w:rPr>
          <w:szCs w:val="24"/>
        </w:rPr>
        <w:t>he originally intended audience</w:t>
      </w:r>
      <w:r w:rsidRPr="00F14415">
        <w:rPr>
          <w:szCs w:val="24"/>
        </w:rPr>
        <w:t xml:space="preserve"> </w:t>
      </w:r>
      <w:r>
        <w:rPr>
          <w:szCs w:val="24"/>
        </w:rPr>
        <w:t>w</w:t>
      </w:r>
      <w:r w:rsidRPr="00F14415">
        <w:rPr>
          <w:szCs w:val="24"/>
        </w:rPr>
        <w:t xml:space="preserve">ere generally perceived as unnecessary or overly restrictive.  </w:t>
      </w:r>
    </w:p>
    <w:p w:rsidR="00CA079F" w:rsidRPr="00F14415" w:rsidRDefault="00CA079F" w:rsidP="00CA079F">
      <w:pPr>
        <w:pStyle w:val="TRNormal"/>
        <w:ind w:left="360"/>
        <w:rPr>
          <w:szCs w:val="24"/>
        </w:rPr>
      </w:pPr>
    </w:p>
    <w:p w:rsidR="00CA079F" w:rsidRDefault="00CA079F" w:rsidP="00166E95">
      <w:pPr>
        <w:pStyle w:val="ListParagraph"/>
        <w:numPr>
          <w:ilvl w:val="0"/>
          <w:numId w:val="2"/>
        </w:numPr>
        <w:tabs>
          <w:tab w:val="clear" w:pos="360"/>
          <w:tab w:val="num" w:pos="0"/>
        </w:tabs>
        <w:spacing w:line="300" w:lineRule="atLeast"/>
        <w:ind w:left="0" w:firstLine="0"/>
        <w:rPr>
          <w:rFonts w:ascii="Times New Roman" w:hAnsi="Times New Roman"/>
          <w:sz w:val="24"/>
          <w:szCs w:val="24"/>
          <w:lang w:eastAsia="en-AU"/>
        </w:rPr>
      </w:pPr>
      <w:r w:rsidRPr="00CA079F">
        <w:rPr>
          <w:rFonts w:ascii="Times New Roman" w:hAnsi="Times New Roman"/>
          <w:sz w:val="24"/>
          <w:szCs w:val="24"/>
          <w:lang w:eastAsia="en-AU"/>
        </w:rPr>
        <w:t xml:space="preserve">The proposals and alternative options have been reconsidered in light of submissions and a number of amendments are now recommended, all of which are expected to be positively received.  For example, </w:t>
      </w:r>
      <w:r w:rsidRPr="00CA079F">
        <w:rPr>
          <w:rFonts w:ascii="Times New Roman" w:hAnsi="Times New Roman"/>
          <w:sz w:val="24"/>
          <w:szCs w:val="24"/>
        </w:rPr>
        <w:t xml:space="preserve">transitional and grand parenting arrangements are recommended to assist those affected by the proposed tightening of the LTC qualifying criteria.  Also the proposal to limit the rule that taxes capital gains on asset sales to associated persons has been significantly expanded. </w:t>
      </w:r>
    </w:p>
    <w:p w:rsidR="00CA079F" w:rsidRPr="00CA079F" w:rsidRDefault="00CA079F" w:rsidP="00CA079F">
      <w:pPr>
        <w:pStyle w:val="ListParagraph"/>
        <w:spacing w:line="300" w:lineRule="atLeast"/>
        <w:ind w:left="0"/>
        <w:rPr>
          <w:rFonts w:ascii="Times New Roman" w:hAnsi="Times New Roman"/>
          <w:sz w:val="24"/>
          <w:szCs w:val="24"/>
          <w:lang w:eastAsia="en-AU"/>
        </w:rPr>
      </w:pPr>
    </w:p>
    <w:p w:rsidR="00CA079F" w:rsidRPr="00F14415" w:rsidRDefault="00CA079F" w:rsidP="00166E95">
      <w:pPr>
        <w:pStyle w:val="TRBodyText"/>
        <w:numPr>
          <w:ilvl w:val="0"/>
          <w:numId w:val="2"/>
        </w:numPr>
        <w:tabs>
          <w:tab w:val="clear" w:pos="360"/>
          <w:tab w:val="left" w:pos="0"/>
        </w:tabs>
        <w:ind w:left="0" w:firstLine="0"/>
        <w:rPr>
          <w:szCs w:val="24"/>
        </w:rPr>
      </w:pPr>
      <w:r w:rsidRPr="00F14415">
        <w:rPr>
          <w:szCs w:val="24"/>
        </w:rPr>
        <w:t>Our preferred options, and the details of the various proposals, are outlined further below.  Given the wide ranging and technical nature of the proposals this RIS is, of necessity, detailed.</w:t>
      </w:r>
      <w:r>
        <w:rPr>
          <w:szCs w:val="24"/>
        </w:rPr>
        <w:t xml:space="preserve">  </w:t>
      </w:r>
      <w:r w:rsidRPr="00F14415">
        <w:rPr>
          <w:szCs w:val="24"/>
        </w:rPr>
        <w:t>As noted above, the concerns with the current settings can be grouped into three themes</w:t>
      </w:r>
      <w:r>
        <w:rPr>
          <w:szCs w:val="24"/>
        </w:rPr>
        <w:t xml:space="preserve">.  To assist readers, </w:t>
      </w:r>
      <w:r w:rsidRPr="00F14415">
        <w:rPr>
          <w:szCs w:val="24"/>
        </w:rPr>
        <w:t>the proposals, analysis and recommendat</w:t>
      </w:r>
      <w:r>
        <w:rPr>
          <w:szCs w:val="24"/>
        </w:rPr>
        <w:t>ions have been grouped under tho</w:t>
      </w:r>
      <w:r w:rsidRPr="00F14415">
        <w:rPr>
          <w:szCs w:val="24"/>
        </w:rPr>
        <w:t xml:space="preserve">se themes. </w:t>
      </w:r>
    </w:p>
    <w:p w:rsidR="00CA079F" w:rsidRPr="00F14415" w:rsidRDefault="00CA079F" w:rsidP="00D54F2C">
      <w:pPr>
        <w:pStyle w:val="Text"/>
        <w:spacing w:before="0" w:after="0" w:line="240" w:lineRule="auto"/>
        <w:ind w:right="170"/>
        <w:rPr>
          <w:rFonts w:ascii="Times New Roman" w:hAnsi="Times New Roman"/>
          <w:sz w:val="24"/>
          <w:szCs w:val="24"/>
          <w:lang w:val="en-NZ"/>
        </w:rPr>
      </w:pPr>
    </w:p>
    <w:p w:rsidR="00B544F2" w:rsidRPr="00B544F2" w:rsidRDefault="00CA079F" w:rsidP="00166E95">
      <w:pPr>
        <w:pStyle w:val="CommentText"/>
        <w:numPr>
          <w:ilvl w:val="0"/>
          <w:numId w:val="2"/>
        </w:numPr>
        <w:tabs>
          <w:tab w:val="clear" w:pos="360"/>
          <w:tab w:val="num" w:pos="0"/>
        </w:tabs>
        <w:ind w:left="0" w:firstLine="0"/>
        <w:jc w:val="both"/>
        <w:rPr>
          <w:rFonts w:ascii="Times New Roman" w:hAnsi="Times New Roman"/>
          <w:sz w:val="24"/>
          <w:szCs w:val="24"/>
          <w:lang w:val="en-NZ" w:eastAsia="en-AU"/>
        </w:rPr>
      </w:pPr>
      <w:r w:rsidRPr="00F14415">
        <w:rPr>
          <w:rFonts w:ascii="Times New Roman" w:hAnsi="Times New Roman"/>
          <w:sz w:val="24"/>
          <w:szCs w:val="24"/>
        </w:rPr>
        <w:t xml:space="preserve">If approved, the preferred options will require legislative changes to the Income Tax Act 2007.  </w:t>
      </w:r>
      <w:r w:rsidRPr="00F14415">
        <w:rPr>
          <w:rFonts w:ascii="Times New Roman" w:hAnsi="Times New Roman"/>
          <w:sz w:val="24"/>
          <w:szCs w:val="24"/>
          <w:lang w:val="en-NZ" w:eastAsia="en-AU"/>
        </w:rPr>
        <w:t xml:space="preserve">We recommend any legislative changes be included in the </w:t>
      </w:r>
      <w:r>
        <w:rPr>
          <w:rFonts w:ascii="Times New Roman" w:hAnsi="Times New Roman"/>
          <w:sz w:val="24"/>
          <w:szCs w:val="24"/>
          <w:lang w:val="en-NZ" w:eastAsia="en-AU"/>
        </w:rPr>
        <w:t xml:space="preserve">omnibus </w:t>
      </w:r>
      <w:r w:rsidRPr="00F14415">
        <w:rPr>
          <w:rFonts w:ascii="Times New Roman" w:hAnsi="Times New Roman"/>
          <w:sz w:val="24"/>
          <w:szCs w:val="24"/>
          <w:lang w:val="en-NZ" w:eastAsia="en-AU"/>
        </w:rPr>
        <w:t xml:space="preserve">taxation bill scheduled </w:t>
      </w:r>
      <w:r>
        <w:rPr>
          <w:rFonts w:ascii="Times New Roman" w:hAnsi="Times New Roman"/>
          <w:sz w:val="24"/>
          <w:szCs w:val="24"/>
          <w:lang w:val="en-NZ" w:eastAsia="en-AU"/>
        </w:rPr>
        <w:t xml:space="preserve">for introduction in March 2016.  </w:t>
      </w:r>
      <w:r w:rsidRPr="00F14415">
        <w:rPr>
          <w:rFonts w:ascii="Times New Roman" w:hAnsi="Times New Roman"/>
          <w:sz w:val="24"/>
          <w:szCs w:val="24"/>
          <w:lang w:val="en-NZ" w:eastAsia="en-AU"/>
        </w:rPr>
        <w:t xml:space="preserve">Most changes would apply from the </w:t>
      </w:r>
      <w:r w:rsidR="00EB3036">
        <w:rPr>
          <w:rFonts w:ascii="Times New Roman" w:hAnsi="Times New Roman"/>
          <w:sz w:val="24"/>
          <w:szCs w:val="24"/>
          <w:lang w:val="en-NZ" w:eastAsia="en-AU"/>
        </w:rPr>
        <w:t>start of the 2017-</w:t>
      </w:r>
      <w:r w:rsidRPr="00F14415">
        <w:rPr>
          <w:rFonts w:ascii="Times New Roman" w:hAnsi="Times New Roman"/>
          <w:sz w:val="24"/>
          <w:szCs w:val="24"/>
          <w:lang w:val="en-NZ" w:eastAsia="en-AU"/>
        </w:rPr>
        <w:t xml:space="preserve">18 income </w:t>
      </w:r>
      <w:proofErr w:type="gramStart"/>
      <w:r w:rsidRPr="00F14415">
        <w:rPr>
          <w:rFonts w:ascii="Times New Roman" w:hAnsi="Times New Roman"/>
          <w:sz w:val="24"/>
          <w:szCs w:val="24"/>
          <w:lang w:val="en-NZ" w:eastAsia="en-AU"/>
        </w:rPr>
        <w:t>year</w:t>
      </w:r>
      <w:proofErr w:type="gramEnd"/>
      <w:r w:rsidRPr="00F14415">
        <w:rPr>
          <w:rFonts w:ascii="Times New Roman" w:hAnsi="Times New Roman"/>
          <w:sz w:val="24"/>
          <w:szCs w:val="24"/>
          <w:lang w:val="en-NZ" w:eastAsia="en-AU"/>
        </w:rPr>
        <w:t xml:space="preserve">, although some would be back dated.  </w:t>
      </w:r>
      <w:r w:rsidRPr="00F14415">
        <w:rPr>
          <w:rFonts w:ascii="Times New Roman" w:hAnsi="Times New Roman"/>
          <w:sz w:val="24"/>
          <w:szCs w:val="24"/>
        </w:rPr>
        <w:t xml:space="preserve">We note that the bill will be subject to a further public consultation process as part of </w:t>
      </w:r>
      <w:r>
        <w:rPr>
          <w:rFonts w:ascii="Times New Roman" w:hAnsi="Times New Roman"/>
          <w:sz w:val="24"/>
          <w:szCs w:val="24"/>
        </w:rPr>
        <w:t>the select committee process</w:t>
      </w:r>
      <w:r w:rsidRPr="00F14415">
        <w:rPr>
          <w:rFonts w:ascii="Times New Roman" w:hAnsi="Times New Roman"/>
          <w:sz w:val="24"/>
          <w:szCs w:val="24"/>
        </w:rPr>
        <w:t>.</w:t>
      </w:r>
    </w:p>
    <w:p w:rsidR="00B544F2" w:rsidRDefault="00B544F2" w:rsidP="00166E95">
      <w:pPr>
        <w:numPr>
          <w:ilvl w:val="0"/>
          <w:numId w:val="2"/>
        </w:numPr>
        <w:tabs>
          <w:tab w:val="clear" w:pos="360"/>
          <w:tab w:val="num" w:pos="0"/>
        </w:tabs>
        <w:ind w:left="0" w:firstLine="0"/>
        <w:jc w:val="both"/>
        <w:rPr>
          <w:rFonts w:ascii="Times New Roman" w:hAnsi="Times New Roman"/>
          <w:sz w:val="24"/>
          <w:szCs w:val="24"/>
        </w:rPr>
      </w:pPr>
      <w:r>
        <w:rPr>
          <w:rFonts w:ascii="Times New Roman" w:hAnsi="Times New Roman"/>
          <w:sz w:val="24"/>
          <w:szCs w:val="24"/>
        </w:rPr>
        <w:t xml:space="preserve">Several </w:t>
      </w:r>
      <w:r w:rsidR="00C15E38">
        <w:rPr>
          <w:rFonts w:ascii="Times New Roman" w:hAnsi="Times New Roman"/>
          <w:sz w:val="24"/>
          <w:szCs w:val="24"/>
        </w:rPr>
        <w:t>options</w:t>
      </w:r>
      <w:r>
        <w:rPr>
          <w:rFonts w:ascii="Times New Roman" w:hAnsi="Times New Roman"/>
          <w:sz w:val="24"/>
          <w:szCs w:val="24"/>
        </w:rPr>
        <w:t xml:space="preserve"> are recommended to address these problems, and a</w:t>
      </w:r>
      <w:r w:rsidRPr="00B8239E">
        <w:rPr>
          <w:rFonts w:ascii="Times New Roman" w:hAnsi="Times New Roman"/>
          <w:sz w:val="24"/>
          <w:szCs w:val="24"/>
        </w:rPr>
        <w:t>nalysis of the</w:t>
      </w:r>
      <w:r w:rsidR="00C15E38">
        <w:rPr>
          <w:rFonts w:ascii="Times New Roman" w:hAnsi="Times New Roman"/>
          <w:sz w:val="24"/>
          <w:szCs w:val="24"/>
        </w:rPr>
        <w:t>se</w:t>
      </w:r>
      <w:r w:rsidRPr="00B8239E">
        <w:rPr>
          <w:rFonts w:ascii="Times New Roman" w:hAnsi="Times New Roman"/>
          <w:sz w:val="24"/>
          <w:szCs w:val="24"/>
        </w:rPr>
        <w:t xml:space="preserve"> options is summarised </w:t>
      </w:r>
      <w:r w:rsidR="00C15E38">
        <w:rPr>
          <w:rFonts w:ascii="Times New Roman" w:hAnsi="Times New Roman"/>
          <w:sz w:val="24"/>
          <w:szCs w:val="24"/>
        </w:rPr>
        <w:t>below</w:t>
      </w:r>
      <w:r w:rsidRPr="00B8239E">
        <w:rPr>
          <w:rFonts w:ascii="Times New Roman" w:hAnsi="Times New Roman"/>
          <w:sz w:val="24"/>
          <w:szCs w:val="24"/>
        </w:rPr>
        <w:t xml:space="preserve">.  </w:t>
      </w:r>
    </w:p>
    <w:p w:rsidR="00B544F2" w:rsidRDefault="00B544F2" w:rsidP="00166E95">
      <w:pPr>
        <w:numPr>
          <w:ilvl w:val="0"/>
          <w:numId w:val="2"/>
        </w:numPr>
        <w:tabs>
          <w:tab w:val="clear" w:pos="360"/>
          <w:tab w:val="num" w:pos="0"/>
        </w:tabs>
        <w:ind w:left="0" w:firstLine="0"/>
        <w:jc w:val="both"/>
        <w:rPr>
          <w:rFonts w:ascii="Times New Roman" w:hAnsi="Times New Roman"/>
          <w:sz w:val="24"/>
          <w:szCs w:val="24"/>
        </w:rPr>
      </w:pPr>
      <w:r>
        <w:rPr>
          <w:rFonts w:ascii="Times New Roman" w:hAnsi="Times New Roman"/>
          <w:sz w:val="24"/>
          <w:szCs w:val="24"/>
        </w:rPr>
        <w:t xml:space="preserve">We note that there are some minor proposals, primarily remedial or technical in nature, which have been identified during the review.  These proposals are listed in </w:t>
      </w:r>
      <w:r w:rsidRPr="005B0E9F">
        <w:rPr>
          <w:rFonts w:ascii="Times New Roman" w:hAnsi="Times New Roman"/>
          <w:sz w:val="24"/>
          <w:szCs w:val="24"/>
        </w:rPr>
        <w:t>appendix 2,</w:t>
      </w:r>
      <w:r>
        <w:rPr>
          <w:rFonts w:ascii="Times New Roman" w:hAnsi="Times New Roman"/>
          <w:sz w:val="24"/>
          <w:szCs w:val="24"/>
        </w:rPr>
        <w:t xml:space="preserve"> but due to their minor or remedial nature no further options analysis has been provided in this RIS.</w:t>
      </w:r>
    </w:p>
    <w:p w:rsidR="00B544F2" w:rsidRPr="00B544F2" w:rsidRDefault="00B544F2" w:rsidP="00166E95">
      <w:pPr>
        <w:numPr>
          <w:ilvl w:val="0"/>
          <w:numId w:val="2"/>
        </w:numPr>
        <w:tabs>
          <w:tab w:val="clear" w:pos="360"/>
          <w:tab w:val="num" w:pos="0"/>
        </w:tabs>
        <w:ind w:left="0" w:firstLine="0"/>
        <w:jc w:val="both"/>
        <w:rPr>
          <w:rFonts w:ascii="Times New Roman" w:hAnsi="Times New Roman"/>
          <w:sz w:val="24"/>
          <w:szCs w:val="24"/>
        </w:rPr>
      </w:pPr>
      <w:r>
        <w:rPr>
          <w:rFonts w:ascii="Times New Roman" w:hAnsi="Times New Roman"/>
          <w:sz w:val="24"/>
          <w:szCs w:val="24"/>
        </w:rPr>
        <w:t xml:space="preserve">There are also a number of amendments which were either considered at the time of the review but subsequently not progressed, or raised by submitters in response to the issues paper; which are not discussed in this RIS.  Officials have recommended that these amendments either be declined or progressed as a separate project on the basis that the issues are </w:t>
      </w:r>
      <w:r w:rsidRPr="00143398">
        <w:rPr>
          <w:rFonts w:ascii="Times New Roman" w:hAnsi="Times New Roman"/>
          <w:sz w:val="24"/>
          <w:szCs w:val="24"/>
        </w:rPr>
        <w:t xml:space="preserve">considered too complex and </w:t>
      </w:r>
      <w:r>
        <w:rPr>
          <w:rFonts w:ascii="Times New Roman" w:hAnsi="Times New Roman"/>
          <w:sz w:val="24"/>
          <w:szCs w:val="24"/>
        </w:rPr>
        <w:t xml:space="preserve">are </w:t>
      </w:r>
      <w:r w:rsidRPr="00143398">
        <w:rPr>
          <w:rFonts w:ascii="Times New Roman" w:hAnsi="Times New Roman"/>
          <w:sz w:val="24"/>
          <w:szCs w:val="24"/>
        </w:rPr>
        <w:t xml:space="preserve">better handled through the standard tax </w:t>
      </w:r>
      <w:r>
        <w:rPr>
          <w:rFonts w:ascii="Times New Roman" w:hAnsi="Times New Roman"/>
          <w:sz w:val="24"/>
          <w:szCs w:val="24"/>
        </w:rPr>
        <w:t xml:space="preserve">policy </w:t>
      </w:r>
      <w:r w:rsidRPr="00143398">
        <w:rPr>
          <w:rFonts w:ascii="Times New Roman" w:hAnsi="Times New Roman"/>
          <w:sz w:val="24"/>
          <w:szCs w:val="24"/>
        </w:rPr>
        <w:t>work programme process at some future date.</w:t>
      </w:r>
      <w:r>
        <w:rPr>
          <w:rFonts w:ascii="Times New Roman" w:hAnsi="Times New Roman"/>
          <w:sz w:val="24"/>
          <w:szCs w:val="24"/>
        </w:rPr>
        <w:t xml:space="preserve">  A list of these issues, and a brief summary of official’s decisions </w:t>
      </w:r>
      <w:r w:rsidRPr="005B0E9F">
        <w:rPr>
          <w:rFonts w:ascii="Times New Roman" w:hAnsi="Times New Roman"/>
          <w:sz w:val="24"/>
          <w:szCs w:val="24"/>
        </w:rPr>
        <w:t>on them, is contained in appendix 3.</w:t>
      </w:r>
    </w:p>
    <w:p w:rsidR="005B0E9F" w:rsidRPr="005B0E9F" w:rsidRDefault="00E4651A" w:rsidP="00A01FCD">
      <w:pPr>
        <w:pStyle w:val="RISheading"/>
        <w:tabs>
          <w:tab w:val="clear" w:pos="567"/>
          <w:tab w:val="left" w:pos="0"/>
        </w:tabs>
        <w:rPr>
          <w:caps/>
          <w:spacing w:val="0"/>
          <w:w w:val="100"/>
          <w:lang w:val="en-AU" w:eastAsia="en-US"/>
        </w:rPr>
      </w:pPr>
      <w:r w:rsidRPr="00EB3036">
        <w:rPr>
          <w:caps/>
          <w:spacing w:val="0"/>
          <w:w w:val="100"/>
          <w:lang w:val="en-AU" w:eastAsia="en-US"/>
        </w:rPr>
        <w:t>Status quo and problem definition</w:t>
      </w:r>
    </w:p>
    <w:p w:rsidR="00533D1F" w:rsidRPr="00533D1F" w:rsidRDefault="00C15E38" w:rsidP="00A01FCD">
      <w:pPr>
        <w:pStyle w:val="RISheading"/>
        <w:tabs>
          <w:tab w:val="clear" w:pos="567"/>
          <w:tab w:val="left" w:pos="0"/>
        </w:tabs>
        <w:rPr>
          <w:spacing w:val="0"/>
          <w:w w:val="100"/>
          <w:lang w:val="en-AU" w:eastAsia="en-US"/>
        </w:rPr>
      </w:pPr>
      <w:r>
        <w:rPr>
          <w:spacing w:val="0"/>
          <w:w w:val="100"/>
          <w:lang w:val="en-AU" w:eastAsia="en-US"/>
        </w:rPr>
        <w:t>Summary of current settings</w:t>
      </w:r>
    </w:p>
    <w:p w:rsidR="00381E12" w:rsidRDefault="00381E12" w:rsidP="00166E95">
      <w:pPr>
        <w:numPr>
          <w:ilvl w:val="0"/>
          <w:numId w:val="2"/>
        </w:numPr>
        <w:tabs>
          <w:tab w:val="clear" w:pos="360"/>
          <w:tab w:val="num" w:pos="0"/>
        </w:tabs>
        <w:ind w:left="0" w:firstLine="0"/>
        <w:jc w:val="both"/>
        <w:rPr>
          <w:rFonts w:ascii="Times New Roman" w:hAnsi="Times New Roman"/>
          <w:sz w:val="24"/>
          <w:szCs w:val="24"/>
        </w:rPr>
      </w:pPr>
      <w:r w:rsidRPr="00C56701">
        <w:rPr>
          <w:rFonts w:ascii="Times New Roman" w:hAnsi="Times New Roman"/>
          <w:sz w:val="24"/>
          <w:szCs w:val="24"/>
          <w:lang w:val="en-AU" w:eastAsia="en-US"/>
        </w:rPr>
        <w:t>The</w:t>
      </w:r>
      <w:r>
        <w:rPr>
          <w:rFonts w:ascii="Times New Roman" w:hAnsi="Times New Roman"/>
          <w:sz w:val="24"/>
          <w:szCs w:val="24"/>
        </w:rPr>
        <w:t xml:space="preserve"> review of the taxation issue</w:t>
      </w:r>
      <w:r w:rsidR="002108FB">
        <w:rPr>
          <w:rFonts w:ascii="Times New Roman" w:hAnsi="Times New Roman"/>
          <w:sz w:val="24"/>
          <w:szCs w:val="24"/>
        </w:rPr>
        <w:t>s facing closely held companies</w:t>
      </w:r>
      <w:r>
        <w:rPr>
          <w:rFonts w:ascii="Times New Roman" w:hAnsi="Times New Roman"/>
          <w:sz w:val="24"/>
          <w:szCs w:val="24"/>
        </w:rPr>
        <w:t xml:space="preserve"> </w:t>
      </w:r>
      <w:r w:rsidR="00E4651A">
        <w:rPr>
          <w:rFonts w:ascii="Times New Roman" w:hAnsi="Times New Roman"/>
          <w:sz w:val="24"/>
          <w:szCs w:val="24"/>
        </w:rPr>
        <w:t xml:space="preserve">has </w:t>
      </w:r>
      <w:r>
        <w:rPr>
          <w:rFonts w:ascii="Times New Roman" w:hAnsi="Times New Roman"/>
          <w:sz w:val="24"/>
          <w:szCs w:val="24"/>
        </w:rPr>
        <w:t>focussed primarily on the following rules:</w:t>
      </w:r>
    </w:p>
    <w:p w:rsidR="00381E12" w:rsidRDefault="00381E12" w:rsidP="00166E95">
      <w:pPr>
        <w:numPr>
          <w:ilvl w:val="1"/>
          <w:numId w:val="2"/>
        </w:numPr>
        <w:jc w:val="both"/>
        <w:rPr>
          <w:rFonts w:ascii="Times New Roman" w:hAnsi="Times New Roman"/>
          <w:sz w:val="24"/>
          <w:szCs w:val="24"/>
        </w:rPr>
      </w:pPr>
      <w:r>
        <w:rPr>
          <w:rFonts w:ascii="Times New Roman" w:hAnsi="Times New Roman"/>
          <w:sz w:val="24"/>
          <w:szCs w:val="24"/>
        </w:rPr>
        <w:t xml:space="preserve">the </w:t>
      </w:r>
      <w:r w:rsidR="002108FB">
        <w:rPr>
          <w:rFonts w:ascii="Times New Roman" w:hAnsi="Times New Roman"/>
          <w:sz w:val="24"/>
          <w:szCs w:val="24"/>
        </w:rPr>
        <w:t xml:space="preserve">LTC </w:t>
      </w:r>
      <w:r>
        <w:rPr>
          <w:rFonts w:ascii="Times New Roman" w:hAnsi="Times New Roman"/>
          <w:sz w:val="24"/>
          <w:szCs w:val="24"/>
        </w:rPr>
        <w:t xml:space="preserve">rules – including the rules governing the LTC </w:t>
      </w:r>
      <w:r w:rsidR="00EB3036">
        <w:rPr>
          <w:rFonts w:ascii="Times New Roman" w:hAnsi="Times New Roman"/>
          <w:sz w:val="24"/>
          <w:szCs w:val="24"/>
        </w:rPr>
        <w:t xml:space="preserve">eligibility </w:t>
      </w:r>
      <w:r>
        <w:rPr>
          <w:rFonts w:ascii="Times New Roman" w:hAnsi="Times New Roman"/>
          <w:sz w:val="24"/>
          <w:szCs w:val="24"/>
        </w:rPr>
        <w:t xml:space="preserve">criteria, transitions into the LTC regime, the </w:t>
      </w:r>
      <w:r w:rsidR="002108FB">
        <w:rPr>
          <w:rFonts w:ascii="Times New Roman" w:hAnsi="Times New Roman"/>
          <w:sz w:val="24"/>
          <w:szCs w:val="24"/>
        </w:rPr>
        <w:t>deduction</w:t>
      </w:r>
      <w:r>
        <w:rPr>
          <w:rFonts w:ascii="Times New Roman" w:hAnsi="Times New Roman"/>
          <w:sz w:val="24"/>
          <w:szCs w:val="24"/>
        </w:rPr>
        <w:t xml:space="preserve"> limitation rule and the debt remission rule as it applies to LTCs; </w:t>
      </w:r>
    </w:p>
    <w:p w:rsidR="00381E12" w:rsidRDefault="00381E12" w:rsidP="00166E95">
      <w:pPr>
        <w:numPr>
          <w:ilvl w:val="1"/>
          <w:numId w:val="2"/>
        </w:numPr>
        <w:jc w:val="both"/>
        <w:rPr>
          <w:rFonts w:ascii="Times New Roman" w:hAnsi="Times New Roman"/>
          <w:sz w:val="24"/>
          <w:szCs w:val="24"/>
        </w:rPr>
      </w:pPr>
      <w:r>
        <w:rPr>
          <w:rFonts w:ascii="Times New Roman" w:hAnsi="Times New Roman"/>
          <w:sz w:val="24"/>
          <w:szCs w:val="24"/>
        </w:rPr>
        <w:t>the qualifying company rules – in particular whether QCs should be retained or repealed;</w:t>
      </w:r>
    </w:p>
    <w:p w:rsidR="00381E12" w:rsidRDefault="00381E12" w:rsidP="00166E95">
      <w:pPr>
        <w:numPr>
          <w:ilvl w:val="1"/>
          <w:numId w:val="2"/>
        </w:numPr>
        <w:jc w:val="both"/>
        <w:rPr>
          <w:rFonts w:ascii="Times New Roman" w:hAnsi="Times New Roman"/>
          <w:sz w:val="24"/>
          <w:szCs w:val="24"/>
        </w:rPr>
      </w:pPr>
      <w:r>
        <w:rPr>
          <w:rFonts w:ascii="Times New Roman" w:hAnsi="Times New Roman"/>
          <w:sz w:val="24"/>
          <w:szCs w:val="24"/>
        </w:rPr>
        <w:t xml:space="preserve">the wider dividend rules including the resident withholding tax obligations for closely held and ordinary companies, the tax treatment of cash and non-cash dividends and shareholder salaries; </w:t>
      </w:r>
    </w:p>
    <w:p w:rsidR="00381E12" w:rsidRPr="00600FAB" w:rsidRDefault="00381E12" w:rsidP="00166E95">
      <w:pPr>
        <w:numPr>
          <w:ilvl w:val="1"/>
          <w:numId w:val="2"/>
        </w:numPr>
        <w:jc w:val="both"/>
        <w:rPr>
          <w:rFonts w:ascii="Times New Roman" w:hAnsi="Times New Roman"/>
          <w:sz w:val="24"/>
          <w:szCs w:val="24"/>
        </w:rPr>
      </w:pPr>
      <w:r>
        <w:rPr>
          <w:rFonts w:ascii="Times New Roman" w:hAnsi="Times New Roman"/>
          <w:sz w:val="24"/>
          <w:szCs w:val="24"/>
        </w:rPr>
        <w:t>and the operation of the rule which treats capital gains made on transfers of property between associated persons as taxable upon liquidation, referred to as the ‘tainted capital gains rule’.</w:t>
      </w:r>
    </w:p>
    <w:p w:rsidR="00503A35" w:rsidRPr="00B8239E" w:rsidRDefault="000A67DC"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T</w:t>
      </w:r>
      <w:r w:rsidR="006D79EE">
        <w:rPr>
          <w:rFonts w:ascii="Times New Roman" w:hAnsi="Times New Roman"/>
          <w:sz w:val="24"/>
          <w:szCs w:val="24"/>
        </w:rPr>
        <w:t>he QC and LTC rules</w:t>
      </w:r>
      <w:r>
        <w:rPr>
          <w:rFonts w:ascii="Times New Roman" w:hAnsi="Times New Roman"/>
          <w:sz w:val="24"/>
          <w:szCs w:val="24"/>
        </w:rPr>
        <w:t xml:space="preserve"> were </w:t>
      </w:r>
      <w:r w:rsidR="006D79EE" w:rsidRPr="006D79EE">
        <w:rPr>
          <w:rFonts w:ascii="Times New Roman" w:hAnsi="Times New Roman"/>
          <w:sz w:val="24"/>
          <w:szCs w:val="24"/>
        </w:rPr>
        <w:t xml:space="preserve">designed to alleviate </w:t>
      </w:r>
      <w:r>
        <w:rPr>
          <w:rFonts w:ascii="Times New Roman" w:hAnsi="Times New Roman"/>
          <w:sz w:val="24"/>
          <w:szCs w:val="24"/>
        </w:rPr>
        <w:t xml:space="preserve">some of the </w:t>
      </w:r>
      <w:r w:rsidR="006D79EE" w:rsidRPr="006D79EE">
        <w:rPr>
          <w:rFonts w:ascii="Times New Roman" w:hAnsi="Times New Roman"/>
          <w:sz w:val="24"/>
          <w:szCs w:val="24"/>
        </w:rPr>
        <w:t>tax disadvantages that can arise from incorporation</w:t>
      </w:r>
      <w:r w:rsidR="00772FC6">
        <w:rPr>
          <w:rFonts w:ascii="Times New Roman" w:hAnsi="Times New Roman"/>
          <w:sz w:val="24"/>
          <w:szCs w:val="24"/>
        </w:rPr>
        <w:t xml:space="preserve"> for closely held businesses</w:t>
      </w:r>
      <w:r w:rsidR="00041EA6" w:rsidRPr="00953E08">
        <w:rPr>
          <w:rFonts w:ascii="Times New Roman" w:hAnsi="Times New Roman"/>
          <w:sz w:val="24"/>
          <w:szCs w:val="24"/>
        </w:rPr>
        <w:t xml:space="preserve">.  </w:t>
      </w:r>
      <w:r w:rsidR="00503A35">
        <w:rPr>
          <w:rFonts w:ascii="Times New Roman" w:hAnsi="Times New Roman"/>
          <w:sz w:val="24"/>
          <w:szCs w:val="24"/>
        </w:rPr>
        <w:t xml:space="preserve">The broad </w:t>
      </w:r>
      <w:r w:rsidR="00503A35" w:rsidRPr="00503A35">
        <w:rPr>
          <w:rFonts w:ascii="Times New Roman" w:hAnsi="Times New Roman"/>
          <w:sz w:val="24"/>
          <w:szCs w:val="24"/>
        </w:rPr>
        <w:t xml:space="preserve">objective </w:t>
      </w:r>
      <w:r w:rsidR="00600FAB">
        <w:rPr>
          <w:rFonts w:ascii="Times New Roman" w:hAnsi="Times New Roman"/>
          <w:sz w:val="24"/>
          <w:szCs w:val="24"/>
        </w:rPr>
        <w:t>o</w:t>
      </w:r>
      <w:r w:rsidR="00503A35">
        <w:rPr>
          <w:rFonts w:ascii="Times New Roman" w:hAnsi="Times New Roman"/>
          <w:sz w:val="24"/>
          <w:szCs w:val="24"/>
        </w:rPr>
        <w:t xml:space="preserve">f these rules </w:t>
      </w:r>
      <w:r w:rsidR="00503A35" w:rsidRPr="00503A35">
        <w:rPr>
          <w:rFonts w:ascii="Times New Roman" w:hAnsi="Times New Roman"/>
          <w:sz w:val="24"/>
          <w:szCs w:val="24"/>
        </w:rPr>
        <w:t xml:space="preserve">is that operators should face </w:t>
      </w:r>
      <w:r w:rsidR="00EB3036">
        <w:rPr>
          <w:rFonts w:ascii="Times New Roman" w:hAnsi="Times New Roman"/>
          <w:sz w:val="24"/>
          <w:szCs w:val="24"/>
        </w:rPr>
        <w:t>similar</w:t>
      </w:r>
      <w:r w:rsidR="00503A35" w:rsidRPr="00503A35">
        <w:rPr>
          <w:rFonts w:ascii="Times New Roman" w:hAnsi="Times New Roman"/>
          <w:sz w:val="24"/>
          <w:szCs w:val="24"/>
        </w:rPr>
        <w:t xml:space="preserve"> taxation </w:t>
      </w:r>
      <w:r w:rsidR="00503A35">
        <w:rPr>
          <w:rFonts w:ascii="Times New Roman" w:hAnsi="Times New Roman"/>
          <w:sz w:val="24"/>
          <w:szCs w:val="24"/>
        </w:rPr>
        <w:t xml:space="preserve">consequences </w:t>
      </w:r>
      <w:r w:rsidR="00503A35" w:rsidRPr="00503A35">
        <w:rPr>
          <w:rFonts w:ascii="Times New Roman" w:hAnsi="Times New Roman"/>
          <w:sz w:val="24"/>
          <w:szCs w:val="24"/>
        </w:rPr>
        <w:t>regardless of the business structure through which they chose to operate</w:t>
      </w:r>
      <w:r w:rsidR="002108FB">
        <w:rPr>
          <w:rFonts w:ascii="Times New Roman" w:hAnsi="Times New Roman"/>
          <w:sz w:val="24"/>
          <w:szCs w:val="24"/>
        </w:rPr>
        <w:t>;</w:t>
      </w:r>
      <w:r w:rsidR="00503A35">
        <w:rPr>
          <w:rFonts w:ascii="Times New Roman" w:hAnsi="Times New Roman"/>
          <w:sz w:val="24"/>
          <w:szCs w:val="24"/>
        </w:rPr>
        <w:t xml:space="preserve"> for example a </w:t>
      </w:r>
      <w:r w:rsidR="001F772B">
        <w:rPr>
          <w:rFonts w:ascii="Times New Roman" w:hAnsi="Times New Roman"/>
          <w:sz w:val="24"/>
          <w:szCs w:val="24"/>
        </w:rPr>
        <w:t xml:space="preserve">builder </w:t>
      </w:r>
      <w:r w:rsidR="00503A35">
        <w:rPr>
          <w:rFonts w:ascii="Times New Roman" w:hAnsi="Times New Roman"/>
          <w:sz w:val="24"/>
          <w:szCs w:val="24"/>
        </w:rPr>
        <w:t>operating in their own name or as an incorporated business.</w:t>
      </w:r>
    </w:p>
    <w:p w:rsidR="00600FAB" w:rsidRPr="00600FAB" w:rsidRDefault="00600FAB" w:rsidP="0028142B">
      <w:pPr>
        <w:pStyle w:val="Bullet-list"/>
        <w:tabs>
          <w:tab w:val="num" w:pos="567"/>
        </w:tabs>
        <w:spacing w:after="0" w:line="240" w:lineRule="auto"/>
        <w:ind w:left="0" w:firstLine="0"/>
        <w:jc w:val="both"/>
        <w:rPr>
          <w:rFonts w:ascii="Times New Roman" w:hAnsi="Times New Roman"/>
          <w:i/>
          <w:sz w:val="24"/>
          <w:szCs w:val="24"/>
        </w:rPr>
      </w:pPr>
    </w:p>
    <w:p w:rsidR="000E2BC4" w:rsidRDefault="000E2BC4"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The QC rules, which date b</w:t>
      </w:r>
      <w:r w:rsidR="002108FB">
        <w:rPr>
          <w:rFonts w:ascii="Times New Roman" w:hAnsi="Times New Roman"/>
          <w:sz w:val="24"/>
          <w:szCs w:val="24"/>
        </w:rPr>
        <w:t>ack to the early 1990’s, allow</w:t>
      </w:r>
      <w:r>
        <w:rPr>
          <w:rFonts w:ascii="Times New Roman" w:hAnsi="Times New Roman"/>
          <w:sz w:val="24"/>
          <w:szCs w:val="24"/>
        </w:rPr>
        <w:t xml:space="preserve"> for ordinary</w:t>
      </w:r>
      <w:r w:rsidRPr="000E2BC4">
        <w:rPr>
          <w:rFonts w:ascii="Times New Roman" w:hAnsi="Times New Roman"/>
          <w:sz w:val="24"/>
          <w:szCs w:val="24"/>
        </w:rPr>
        <w:t xml:space="preserve"> company </w:t>
      </w:r>
      <w:r>
        <w:rPr>
          <w:rFonts w:ascii="Times New Roman" w:hAnsi="Times New Roman"/>
          <w:sz w:val="24"/>
          <w:szCs w:val="24"/>
        </w:rPr>
        <w:t xml:space="preserve">taxation of </w:t>
      </w:r>
      <w:r w:rsidRPr="000E2BC4">
        <w:rPr>
          <w:rFonts w:ascii="Times New Roman" w:hAnsi="Times New Roman"/>
          <w:sz w:val="24"/>
          <w:szCs w:val="24"/>
        </w:rPr>
        <w:t xml:space="preserve">profits </w:t>
      </w:r>
      <w:r w:rsidR="002108FB">
        <w:rPr>
          <w:rFonts w:ascii="Times New Roman" w:hAnsi="Times New Roman"/>
          <w:sz w:val="24"/>
          <w:szCs w:val="24"/>
        </w:rPr>
        <w:t>(that is, profits are</w:t>
      </w:r>
      <w:r>
        <w:rPr>
          <w:rFonts w:ascii="Times New Roman" w:hAnsi="Times New Roman"/>
          <w:sz w:val="24"/>
          <w:szCs w:val="24"/>
        </w:rPr>
        <w:t xml:space="preserve"> </w:t>
      </w:r>
      <w:r w:rsidRPr="000E2BC4">
        <w:rPr>
          <w:rFonts w:ascii="Times New Roman" w:hAnsi="Times New Roman"/>
          <w:sz w:val="24"/>
          <w:szCs w:val="24"/>
        </w:rPr>
        <w:t>taxed at the standard company tax rate with subsequent distributions</w:t>
      </w:r>
      <w:r w:rsidR="002108FB">
        <w:rPr>
          <w:rFonts w:ascii="Times New Roman" w:hAnsi="Times New Roman"/>
          <w:sz w:val="24"/>
          <w:szCs w:val="24"/>
        </w:rPr>
        <w:t xml:space="preserve"> being</w:t>
      </w:r>
      <w:r w:rsidRPr="000E2BC4">
        <w:rPr>
          <w:rFonts w:ascii="Times New Roman" w:hAnsi="Times New Roman"/>
          <w:sz w:val="24"/>
          <w:szCs w:val="24"/>
        </w:rPr>
        <w:t xml:space="preserve"> taxed at shareholders’ </w:t>
      </w:r>
      <w:r>
        <w:rPr>
          <w:rFonts w:ascii="Times New Roman" w:hAnsi="Times New Roman"/>
          <w:sz w:val="24"/>
          <w:szCs w:val="24"/>
        </w:rPr>
        <w:t xml:space="preserve">personal </w:t>
      </w:r>
      <w:r w:rsidRPr="000E2BC4">
        <w:rPr>
          <w:rFonts w:ascii="Times New Roman" w:hAnsi="Times New Roman"/>
          <w:sz w:val="24"/>
          <w:szCs w:val="24"/>
        </w:rPr>
        <w:t>tax rates with imputation credits a</w:t>
      </w:r>
      <w:r>
        <w:rPr>
          <w:rFonts w:ascii="Times New Roman" w:hAnsi="Times New Roman"/>
          <w:sz w:val="24"/>
          <w:szCs w:val="24"/>
        </w:rPr>
        <w:t>ttached)</w:t>
      </w:r>
      <w:r w:rsidRPr="000E2BC4">
        <w:rPr>
          <w:rFonts w:ascii="Times New Roman" w:hAnsi="Times New Roman"/>
          <w:sz w:val="24"/>
          <w:szCs w:val="24"/>
        </w:rPr>
        <w:t xml:space="preserve"> but with tax-free flow through of capital gains.  </w:t>
      </w:r>
      <w:r w:rsidR="00B544F2">
        <w:rPr>
          <w:rFonts w:ascii="Times New Roman" w:hAnsi="Times New Roman"/>
          <w:sz w:val="24"/>
          <w:szCs w:val="24"/>
        </w:rPr>
        <w:t>Before</w:t>
      </w:r>
      <w:r w:rsidR="002108FB">
        <w:rPr>
          <w:rFonts w:ascii="Times New Roman" w:hAnsi="Times New Roman"/>
          <w:sz w:val="24"/>
          <w:szCs w:val="24"/>
        </w:rPr>
        <w:t xml:space="preserve"> 2011 </w:t>
      </w:r>
      <w:r>
        <w:rPr>
          <w:rFonts w:ascii="Times New Roman" w:hAnsi="Times New Roman"/>
          <w:sz w:val="24"/>
          <w:szCs w:val="24"/>
        </w:rPr>
        <w:t>QCs</w:t>
      </w:r>
      <w:r w:rsidRPr="000E2BC4">
        <w:rPr>
          <w:rFonts w:ascii="Times New Roman" w:hAnsi="Times New Roman"/>
          <w:sz w:val="24"/>
          <w:szCs w:val="24"/>
        </w:rPr>
        <w:t xml:space="preserve"> could also elect to be loss-attributing qualifying companies (LAQCs) for tax purposes which allowed </w:t>
      </w:r>
      <w:r>
        <w:rPr>
          <w:rFonts w:ascii="Times New Roman" w:hAnsi="Times New Roman"/>
          <w:sz w:val="24"/>
          <w:szCs w:val="24"/>
        </w:rPr>
        <w:t xml:space="preserve">the </w:t>
      </w:r>
      <w:r w:rsidRPr="000E2BC4">
        <w:rPr>
          <w:rFonts w:ascii="Times New Roman" w:hAnsi="Times New Roman"/>
          <w:sz w:val="24"/>
          <w:szCs w:val="24"/>
        </w:rPr>
        <w:t>company’s losses to flow through to shareholders for offset against their other income.</w:t>
      </w:r>
    </w:p>
    <w:p w:rsidR="000E2BC4" w:rsidRDefault="000E2BC4" w:rsidP="000E2BC4">
      <w:pPr>
        <w:pStyle w:val="Bullet-list"/>
        <w:tabs>
          <w:tab w:val="num" w:pos="567"/>
        </w:tabs>
        <w:spacing w:after="0" w:line="240" w:lineRule="auto"/>
        <w:ind w:left="0" w:firstLine="0"/>
        <w:rPr>
          <w:rFonts w:ascii="Times New Roman" w:hAnsi="Times New Roman"/>
          <w:sz w:val="24"/>
          <w:szCs w:val="24"/>
        </w:rPr>
      </w:pPr>
    </w:p>
    <w:p w:rsidR="000E2BC4" w:rsidRPr="009B3886" w:rsidRDefault="00772FC6" w:rsidP="00166E95">
      <w:pPr>
        <w:pStyle w:val="ListParagraph"/>
        <w:numPr>
          <w:ilvl w:val="0"/>
          <w:numId w:val="2"/>
        </w:numPr>
        <w:tabs>
          <w:tab w:val="clear" w:pos="360"/>
          <w:tab w:val="num" w:pos="0"/>
        </w:tabs>
        <w:ind w:left="0" w:firstLine="0"/>
        <w:rPr>
          <w:rFonts w:ascii="Times New Roman" w:hAnsi="Times New Roman"/>
          <w:sz w:val="24"/>
          <w:szCs w:val="24"/>
          <w:lang w:val="en-AU"/>
        </w:rPr>
      </w:pPr>
      <w:r>
        <w:rPr>
          <w:rFonts w:ascii="Times New Roman" w:hAnsi="Times New Roman"/>
          <w:sz w:val="24"/>
          <w:szCs w:val="24"/>
          <w:lang w:val="en-AU"/>
        </w:rPr>
        <w:t xml:space="preserve">Once the top personal rate was no longer aligned with the company rate there was </w:t>
      </w:r>
      <w:r w:rsidR="009B3886">
        <w:rPr>
          <w:rFonts w:ascii="Times New Roman" w:hAnsi="Times New Roman"/>
          <w:sz w:val="24"/>
          <w:szCs w:val="24"/>
          <w:lang w:val="en-AU"/>
        </w:rPr>
        <w:t xml:space="preserve">a concern </w:t>
      </w:r>
      <w:r w:rsidR="009B3886" w:rsidRPr="000E2BC4">
        <w:rPr>
          <w:rFonts w:ascii="Times New Roman" w:hAnsi="Times New Roman"/>
          <w:sz w:val="24"/>
          <w:szCs w:val="24"/>
          <w:lang w:val="en-AU"/>
        </w:rPr>
        <w:t xml:space="preserve">that the QC regime went beyond </w:t>
      </w:r>
      <w:r w:rsidR="009B3886">
        <w:rPr>
          <w:rFonts w:ascii="Times New Roman" w:hAnsi="Times New Roman"/>
          <w:sz w:val="24"/>
          <w:szCs w:val="24"/>
          <w:lang w:val="en-AU"/>
        </w:rPr>
        <w:t xml:space="preserve">the </w:t>
      </w:r>
      <w:r w:rsidR="009B3886" w:rsidRPr="000E2BC4">
        <w:rPr>
          <w:rFonts w:ascii="Times New Roman" w:hAnsi="Times New Roman"/>
          <w:sz w:val="24"/>
          <w:szCs w:val="24"/>
          <w:lang w:val="en-AU"/>
        </w:rPr>
        <w:t>objective of removing the tax disadvantages from incorporation, and in fact provided a</w:t>
      </w:r>
      <w:r>
        <w:rPr>
          <w:rFonts w:ascii="Times New Roman" w:hAnsi="Times New Roman"/>
          <w:sz w:val="24"/>
          <w:szCs w:val="24"/>
          <w:lang w:val="en-AU"/>
        </w:rPr>
        <w:t xml:space="preserve"> potential</w:t>
      </w:r>
      <w:r w:rsidR="009B3886" w:rsidRPr="000E2BC4">
        <w:rPr>
          <w:rFonts w:ascii="Times New Roman" w:hAnsi="Times New Roman"/>
          <w:sz w:val="24"/>
          <w:szCs w:val="24"/>
          <w:lang w:val="en-AU"/>
        </w:rPr>
        <w:t xml:space="preserve"> tax advantage</w:t>
      </w:r>
      <w:r>
        <w:rPr>
          <w:rFonts w:ascii="Times New Roman" w:hAnsi="Times New Roman"/>
          <w:sz w:val="24"/>
          <w:szCs w:val="24"/>
          <w:lang w:val="en-AU"/>
        </w:rPr>
        <w:t>.</w:t>
      </w:r>
      <w:r w:rsidR="009B3886">
        <w:rPr>
          <w:rFonts w:ascii="Times New Roman" w:hAnsi="Times New Roman"/>
          <w:sz w:val="24"/>
          <w:szCs w:val="24"/>
          <w:lang w:val="en-AU"/>
        </w:rPr>
        <w:t xml:space="preserve"> </w:t>
      </w:r>
      <w:r>
        <w:rPr>
          <w:rFonts w:ascii="Times New Roman" w:hAnsi="Times New Roman"/>
          <w:sz w:val="24"/>
          <w:szCs w:val="24"/>
          <w:lang w:val="en-AU"/>
        </w:rPr>
        <w:t xml:space="preserve"> Consequentially, </w:t>
      </w:r>
      <w:r w:rsidR="009B3886">
        <w:rPr>
          <w:rFonts w:ascii="Times New Roman" w:hAnsi="Times New Roman"/>
          <w:sz w:val="24"/>
          <w:szCs w:val="24"/>
          <w:lang w:val="en-AU"/>
        </w:rPr>
        <w:t>in</w:t>
      </w:r>
      <w:r w:rsidR="009B3886" w:rsidRPr="000E2BC4">
        <w:rPr>
          <w:rFonts w:ascii="Times New Roman" w:hAnsi="Times New Roman"/>
          <w:sz w:val="24"/>
          <w:szCs w:val="24"/>
          <w:lang w:val="en-AU"/>
        </w:rPr>
        <w:t xml:space="preserve"> </w:t>
      </w:r>
      <w:r w:rsidR="000E2BC4" w:rsidRPr="000E2BC4">
        <w:rPr>
          <w:rFonts w:ascii="Times New Roman" w:hAnsi="Times New Roman"/>
          <w:sz w:val="24"/>
          <w:szCs w:val="24"/>
          <w:lang w:val="en-AU"/>
        </w:rPr>
        <w:t>Budget 2010 the Government announced its intention to abolish QCs and LAQCs</w:t>
      </w:r>
      <w:r w:rsidR="000E2BC4">
        <w:rPr>
          <w:rFonts w:ascii="Times New Roman" w:hAnsi="Times New Roman"/>
          <w:sz w:val="24"/>
          <w:szCs w:val="24"/>
          <w:lang w:val="en-AU"/>
        </w:rPr>
        <w:t xml:space="preserve">.  </w:t>
      </w:r>
      <w:r w:rsidR="009B3886">
        <w:rPr>
          <w:rFonts w:ascii="Times New Roman" w:hAnsi="Times New Roman"/>
          <w:sz w:val="24"/>
          <w:szCs w:val="24"/>
          <w:lang w:val="en-AU"/>
        </w:rPr>
        <w:t>Due to stakeholder concerns raised at the time</w:t>
      </w:r>
      <w:r>
        <w:rPr>
          <w:rFonts w:ascii="Times New Roman" w:hAnsi="Times New Roman"/>
          <w:sz w:val="24"/>
          <w:szCs w:val="24"/>
          <w:lang w:val="en-AU"/>
        </w:rPr>
        <w:t>,</w:t>
      </w:r>
      <w:r w:rsidR="009B3886">
        <w:rPr>
          <w:rFonts w:ascii="Times New Roman" w:hAnsi="Times New Roman"/>
          <w:sz w:val="24"/>
          <w:szCs w:val="24"/>
          <w:lang w:val="en-AU"/>
        </w:rPr>
        <w:t xml:space="preserve"> the decision was made to </w:t>
      </w:r>
      <w:r w:rsidR="000E2BC4" w:rsidRPr="009B3886">
        <w:rPr>
          <w:rFonts w:ascii="Times New Roman" w:hAnsi="Times New Roman"/>
          <w:sz w:val="24"/>
          <w:szCs w:val="24"/>
        </w:rPr>
        <w:t xml:space="preserve">only </w:t>
      </w:r>
      <w:r w:rsidR="009B3886">
        <w:rPr>
          <w:rFonts w:ascii="Times New Roman" w:hAnsi="Times New Roman"/>
          <w:sz w:val="24"/>
          <w:szCs w:val="24"/>
        </w:rPr>
        <w:t xml:space="preserve">abolish </w:t>
      </w:r>
      <w:r w:rsidR="000E2BC4" w:rsidRPr="009B3886">
        <w:rPr>
          <w:rFonts w:ascii="Times New Roman" w:hAnsi="Times New Roman"/>
          <w:sz w:val="24"/>
          <w:szCs w:val="24"/>
        </w:rPr>
        <w:t>LAQCs</w:t>
      </w:r>
      <w:r>
        <w:rPr>
          <w:rFonts w:ascii="Times New Roman" w:hAnsi="Times New Roman"/>
          <w:sz w:val="24"/>
          <w:szCs w:val="24"/>
        </w:rPr>
        <w:t>.  E</w:t>
      </w:r>
      <w:r w:rsidR="009B3886">
        <w:rPr>
          <w:rFonts w:ascii="Times New Roman" w:hAnsi="Times New Roman"/>
          <w:sz w:val="24"/>
          <w:szCs w:val="24"/>
        </w:rPr>
        <w:t xml:space="preserve">xisting QCs </w:t>
      </w:r>
      <w:r>
        <w:rPr>
          <w:rFonts w:ascii="Times New Roman" w:hAnsi="Times New Roman"/>
          <w:sz w:val="24"/>
          <w:szCs w:val="24"/>
        </w:rPr>
        <w:t>were</w:t>
      </w:r>
      <w:r w:rsidR="009B3886">
        <w:rPr>
          <w:rFonts w:ascii="Times New Roman" w:hAnsi="Times New Roman"/>
          <w:sz w:val="24"/>
          <w:szCs w:val="24"/>
        </w:rPr>
        <w:t xml:space="preserve"> grandparented</w:t>
      </w:r>
      <w:r w:rsidR="000E2BC4" w:rsidRPr="009B3886">
        <w:rPr>
          <w:rFonts w:ascii="Times New Roman" w:hAnsi="Times New Roman"/>
          <w:sz w:val="24"/>
          <w:szCs w:val="24"/>
        </w:rPr>
        <w:t xml:space="preserve"> </w:t>
      </w:r>
      <w:r w:rsidR="009B3886">
        <w:rPr>
          <w:rFonts w:ascii="Times New Roman" w:hAnsi="Times New Roman"/>
          <w:sz w:val="24"/>
          <w:szCs w:val="24"/>
        </w:rPr>
        <w:t xml:space="preserve">for the time being until </w:t>
      </w:r>
      <w:r w:rsidR="000E2BC4" w:rsidRPr="009B3886">
        <w:rPr>
          <w:rFonts w:ascii="Times New Roman" w:hAnsi="Times New Roman"/>
          <w:sz w:val="24"/>
          <w:szCs w:val="24"/>
        </w:rPr>
        <w:t xml:space="preserve">a </w:t>
      </w:r>
      <w:r w:rsidR="009B3886">
        <w:rPr>
          <w:rFonts w:ascii="Times New Roman" w:hAnsi="Times New Roman"/>
          <w:sz w:val="24"/>
          <w:szCs w:val="24"/>
        </w:rPr>
        <w:t xml:space="preserve">wider </w:t>
      </w:r>
      <w:r w:rsidR="000E2BC4" w:rsidRPr="009B3886">
        <w:rPr>
          <w:rFonts w:ascii="Times New Roman" w:hAnsi="Times New Roman"/>
          <w:sz w:val="24"/>
          <w:szCs w:val="24"/>
        </w:rPr>
        <w:t>review of the dividend rules applying to closely held companies</w:t>
      </w:r>
      <w:r w:rsidR="009B3886">
        <w:rPr>
          <w:rFonts w:ascii="Times New Roman" w:hAnsi="Times New Roman"/>
          <w:sz w:val="24"/>
          <w:szCs w:val="24"/>
        </w:rPr>
        <w:t xml:space="preserve"> could be completed</w:t>
      </w:r>
      <w:r w:rsidR="000E2BC4" w:rsidRPr="009B3886">
        <w:rPr>
          <w:rFonts w:ascii="Times New Roman" w:hAnsi="Times New Roman"/>
          <w:sz w:val="24"/>
          <w:szCs w:val="24"/>
        </w:rPr>
        <w:t>.</w:t>
      </w:r>
      <w:r w:rsidR="00E94A46" w:rsidRPr="00E94A46">
        <w:t xml:space="preserve"> </w:t>
      </w:r>
      <w:r w:rsidR="00E94A46">
        <w:t xml:space="preserve"> </w:t>
      </w:r>
      <w:r w:rsidR="00E94A46" w:rsidRPr="00E94A46">
        <w:rPr>
          <w:rFonts w:ascii="Times New Roman" w:hAnsi="Times New Roman"/>
          <w:sz w:val="24"/>
          <w:szCs w:val="24"/>
        </w:rPr>
        <w:t>At the end of the 2014</w:t>
      </w:r>
      <w:r w:rsidR="00E94A46">
        <w:rPr>
          <w:rFonts w:ascii="Times New Roman" w:hAnsi="Times New Roman"/>
          <w:sz w:val="24"/>
          <w:szCs w:val="24"/>
        </w:rPr>
        <w:t xml:space="preserve"> income year</w:t>
      </w:r>
      <w:r w:rsidR="00E94A46" w:rsidRPr="00E94A46">
        <w:rPr>
          <w:rFonts w:ascii="Times New Roman" w:hAnsi="Times New Roman"/>
          <w:sz w:val="24"/>
          <w:szCs w:val="24"/>
        </w:rPr>
        <w:t xml:space="preserve"> there were still </w:t>
      </w:r>
      <w:r w:rsidR="002108FB">
        <w:rPr>
          <w:rFonts w:ascii="Times New Roman" w:hAnsi="Times New Roman"/>
          <w:sz w:val="24"/>
          <w:szCs w:val="24"/>
        </w:rPr>
        <w:t>around</w:t>
      </w:r>
      <w:r w:rsidR="00E94A46" w:rsidRPr="00E94A46">
        <w:rPr>
          <w:rFonts w:ascii="Times New Roman" w:hAnsi="Times New Roman"/>
          <w:sz w:val="24"/>
          <w:szCs w:val="24"/>
        </w:rPr>
        <w:t xml:space="preserve"> 70,000 QCs</w:t>
      </w:r>
      <w:r w:rsidR="00E94A46">
        <w:rPr>
          <w:rFonts w:ascii="Times New Roman" w:hAnsi="Times New Roman"/>
          <w:sz w:val="24"/>
          <w:szCs w:val="24"/>
        </w:rPr>
        <w:t xml:space="preserve">.  </w:t>
      </w:r>
    </w:p>
    <w:p w:rsidR="00600FAB" w:rsidRPr="00600FAB" w:rsidRDefault="00600FAB" w:rsidP="009B3886">
      <w:pPr>
        <w:pStyle w:val="ListParagraph"/>
        <w:ind w:left="0"/>
        <w:rPr>
          <w:rFonts w:ascii="Times New Roman" w:hAnsi="Times New Roman"/>
          <w:i/>
          <w:sz w:val="24"/>
          <w:szCs w:val="24"/>
          <w:lang w:val="en-AU"/>
        </w:rPr>
      </w:pPr>
    </w:p>
    <w:p w:rsidR="00ED507C" w:rsidRDefault="009B3886"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A</w:t>
      </w:r>
      <w:r w:rsidR="002108FB">
        <w:rPr>
          <w:rFonts w:ascii="Times New Roman" w:hAnsi="Times New Roman"/>
          <w:sz w:val="24"/>
          <w:szCs w:val="24"/>
        </w:rPr>
        <w:t xml:space="preserve">s part of the 2010 changes, </w:t>
      </w:r>
      <w:r>
        <w:rPr>
          <w:rFonts w:ascii="Times New Roman" w:hAnsi="Times New Roman"/>
          <w:sz w:val="24"/>
          <w:szCs w:val="24"/>
        </w:rPr>
        <w:t xml:space="preserve">the LTC rules were introduced as an alternative </w:t>
      </w:r>
      <w:r w:rsidR="002108FB">
        <w:rPr>
          <w:rFonts w:ascii="Times New Roman" w:hAnsi="Times New Roman"/>
          <w:sz w:val="24"/>
          <w:szCs w:val="24"/>
        </w:rPr>
        <w:t xml:space="preserve">tax </w:t>
      </w:r>
      <w:r>
        <w:rPr>
          <w:rFonts w:ascii="Times New Roman" w:hAnsi="Times New Roman"/>
          <w:sz w:val="24"/>
          <w:szCs w:val="24"/>
        </w:rPr>
        <w:t xml:space="preserve">vehicle for closely held companies.  </w:t>
      </w:r>
      <w:r w:rsidR="0028142B">
        <w:rPr>
          <w:rFonts w:ascii="Times New Roman" w:hAnsi="Times New Roman"/>
          <w:sz w:val="24"/>
          <w:szCs w:val="24"/>
        </w:rPr>
        <w:t>They</w:t>
      </w:r>
      <w:r w:rsidR="00EB3036">
        <w:rPr>
          <w:rFonts w:ascii="Times New Roman" w:hAnsi="Times New Roman"/>
          <w:sz w:val="24"/>
          <w:szCs w:val="24"/>
        </w:rPr>
        <w:t xml:space="preserve"> enable</w:t>
      </w:r>
      <w:r w:rsidR="002108FB">
        <w:rPr>
          <w:rFonts w:ascii="Times New Roman" w:hAnsi="Times New Roman"/>
          <w:sz w:val="24"/>
          <w:szCs w:val="24"/>
        </w:rPr>
        <w:t xml:space="preserve"> the LTC to be treated as a company for legal purposes but treated like an individual, sole trader or partnership for tax purposes.  It </w:t>
      </w:r>
      <w:r w:rsidR="00503A35" w:rsidRPr="00953E08">
        <w:rPr>
          <w:rFonts w:ascii="Times New Roman" w:hAnsi="Times New Roman"/>
          <w:sz w:val="24"/>
          <w:szCs w:val="24"/>
        </w:rPr>
        <w:t xml:space="preserve">is </w:t>
      </w:r>
      <w:r w:rsidR="00503A35">
        <w:rPr>
          <w:rFonts w:ascii="Times New Roman" w:hAnsi="Times New Roman"/>
          <w:sz w:val="24"/>
          <w:szCs w:val="24"/>
        </w:rPr>
        <w:t xml:space="preserve">therefore </w:t>
      </w:r>
      <w:r w:rsidR="00503A35" w:rsidRPr="00953E08">
        <w:rPr>
          <w:rFonts w:ascii="Times New Roman" w:hAnsi="Times New Roman"/>
          <w:sz w:val="24"/>
          <w:szCs w:val="24"/>
        </w:rPr>
        <w:t>“looked through” for tax purposes, with its income and expenditure being attributed back to shareholders and taxed at their personal tax rates</w:t>
      </w:r>
      <w:r w:rsidR="00503A35">
        <w:rPr>
          <w:rFonts w:ascii="Times New Roman" w:hAnsi="Times New Roman"/>
          <w:sz w:val="24"/>
          <w:szCs w:val="24"/>
        </w:rPr>
        <w:t>.</w:t>
      </w:r>
      <w:r w:rsidR="001F772B">
        <w:rPr>
          <w:rFonts w:ascii="Times New Roman" w:hAnsi="Times New Roman"/>
          <w:sz w:val="24"/>
          <w:szCs w:val="24"/>
        </w:rPr>
        <w:t xml:space="preserve">  </w:t>
      </w:r>
      <w:r w:rsidR="00EB3036">
        <w:rPr>
          <w:rFonts w:ascii="Times New Roman" w:hAnsi="Times New Roman"/>
          <w:sz w:val="24"/>
          <w:szCs w:val="24"/>
        </w:rPr>
        <w:t>Untaxed gains, such as c</w:t>
      </w:r>
      <w:r w:rsidR="001F772B">
        <w:rPr>
          <w:rFonts w:ascii="Times New Roman" w:hAnsi="Times New Roman"/>
          <w:sz w:val="24"/>
          <w:szCs w:val="24"/>
        </w:rPr>
        <w:t>apital gains</w:t>
      </w:r>
      <w:r w:rsidR="00EB3036">
        <w:rPr>
          <w:rFonts w:ascii="Times New Roman" w:hAnsi="Times New Roman"/>
          <w:sz w:val="24"/>
          <w:szCs w:val="24"/>
        </w:rPr>
        <w:t>,</w:t>
      </w:r>
      <w:r w:rsidR="001F772B">
        <w:rPr>
          <w:rFonts w:ascii="Times New Roman" w:hAnsi="Times New Roman"/>
          <w:sz w:val="24"/>
          <w:szCs w:val="24"/>
        </w:rPr>
        <w:t xml:space="preserve"> earned at the company level </w:t>
      </w:r>
      <w:r w:rsidR="002108FB">
        <w:rPr>
          <w:rFonts w:ascii="Times New Roman" w:hAnsi="Times New Roman"/>
          <w:sz w:val="24"/>
          <w:szCs w:val="24"/>
        </w:rPr>
        <w:t xml:space="preserve">are able to flow through </w:t>
      </w:r>
      <w:r w:rsidR="001F772B">
        <w:rPr>
          <w:rFonts w:ascii="Times New Roman" w:hAnsi="Times New Roman"/>
          <w:sz w:val="24"/>
          <w:szCs w:val="24"/>
        </w:rPr>
        <w:t xml:space="preserve">tax free </w:t>
      </w:r>
      <w:r w:rsidR="002108FB">
        <w:rPr>
          <w:rFonts w:ascii="Times New Roman" w:hAnsi="Times New Roman"/>
          <w:sz w:val="24"/>
          <w:szCs w:val="24"/>
        </w:rPr>
        <w:t xml:space="preserve">to </w:t>
      </w:r>
      <w:r w:rsidR="001F772B">
        <w:rPr>
          <w:rFonts w:ascii="Times New Roman" w:hAnsi="Times New Roman"/>
          <w:sz w:val="24"/>
          <w:szCs w:val="24"/>
        </w:rPr>
        <w:t xml:space="preserve">the owners and </w:t>
      </w:r>
      <w:r w:rsidR="002108FB">
        <w:rPr>
          <w:rFonts w:ascii="Times New Roman" w:hAnsi="Times New Roman"/>
          <w:sz w:val="24"/>
          <w:szCs w:val="24"/>
        </w:rPr>
        <w:t xml:space="preserve">likewise </w:t>
      </w:r>
      <w:r w:rsidR="001F772B">
        <w:rPr>
          <w:rFonts w:ascii="Times New Roman" w:hAnsi="Times New Roman"/>
          <w:sz w:val="24"/>
          <w:szCs w:val="24"/>
        </w:rPr>
        <w:t xml:space="preserve">company losses </w:t>
      </w:r>
      <w:r w:rsidR="002108FB">
        <w:rPr>
          <w:rFonts w:ascii="Times New Roman" w:hAnsi="Times New Roman"/>
          <w:sz w:val="24"/>
          <w:szCs w:val="24"/>
        </w:rPr>
        <w:t xml:space="preserve">can </w:t>
      </w:r>
      <w:r w:rsidR="001F772B">
        <w:rPr>
          <w:rFonts w:ascii="Times New Roman" w:hAnsi="Times New Roman"/>
          <w:sz w:val="24"/>
          <w:szCs w:val="24"/>
        </w:rPr>
        <w:t xml:space="preserve">be utilised by the owners against their other income.  </w:t>
      </w:r>
    </w:p>
    <w:p w:rsidR="00B8239E" w:rsidRDefault="00B8239E" w:rsidP="0028142B">
      <w:pPr>
        <w:pStyle w:val="Bullet-list"/>
        <w:tabs>
          <w:tab w:val="num" w:pos="567"/>
        </w:tabs>
        <w:spacing w:after="0" w:line="240" w:lineRule="auto"/>
        <w:ind w:left="0" w:firstLine="0"/>
        <w:jc w:val="both"/>
        <w:rPr>
          <w:rFonts w:ascii="Times New Roman" w:hAnsi="Times New Roman"/>
          <w:sz w:val="24"/>
          <w:szCs w:val="24"/>
        </w:rPr>
      </w:pPr>
    </w:p>
    <w:p w:rsidR="00B8239E" w:rsidRDefault="00B8239E"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For closely held companies that are neither LTCs nor QCs, standard company tax rules apply.</w:t>
      </w:r>
    </w:p>
    <w:p w:rsidR="003C10E5" w:rsidRDefault="003C10E5" w:rsidP="002108FB">
      <w:pPr>
        <w:pStyle w:val="ListParagraph"/>
        <w:rPr>
          <w:lang w:val="en-AU"/>
        </w:rPr>
      </w:pPr>
    </w:p>
    <w:p w:rsidR="003C10E5" w:rsidRDefault="00B544F2" w:rsidP="002108FB">
      <w:pPr>
        <w:pStyle w:val="RISheading"/>
        <w:rPr>
          <w:spacing w:val="0"/>
          <w:w w:val="100"/>
          <w:lang w:val="en-AU" w:eastAsia="en-US"/>
        </w:rPr>
      </w:pPr>
      <w:r>
        <w:rPr>
          <w:spacing w:val="0"/>
          <w:w w:val="100"/>
          <w:lang w:val="en-AU" w:eastAsia="en-US"/>
        </w:rPr>
        <w:t>Problems</w:t>
      </w:r>
      <w:r w:rsidR="003C10E5">
        <w:rPr>
          <w:spacing w:val="0"/>
          <w:w w:val="100"/>
          <w:lang w:val="en-AU" w:eastAsia="en-US"/>
        </w:rPr>
        <w:t xml:space="preserve"> with t</w:t>
      </w:r>
      <w:r w:rsidR="003C10E5" w:rsidRPr="00600FAB">
        <w:rPr>
          <w:spacing w:val="0"/>
          <w:w w:val="100"/>
          <w:lang w:val="en-AU" w:eastAsia="en-US"/>
        </w:rPr>
        <w:t>he current tax settings</w:t>
      </w:r>
    </w:p>
    <w:p w:rsidR="003C10E5" w:rsidRDefault="003C10E5" w:rsidP="00166E95">
      <w:pPr>
        <w:numPr>
          <w:ilvl w:val="0"/>
          <w:numId w:val="2"/>
        </w:numPr>
        <w:tabs>
          <w:tab w:val="clear" w:pos="360"/>
          <w:tab w:val="num" w:pos="0"/>
        </w:tabs>
        <w:ind w:left="0" w:firstLine="0"/>
        <w:jc w:val="both"/>
        <w:rPr>
          <w:rFonts w:ascii="Times New Roman" w:hAnsi="Times New Roman"/>
          <w:sz w:val="24"/>
          <w:szCs w:val="24"/>
        </w:rPr>
      </w:pPr>
      <w:r>
        <w:rPr>
          <w:rFonts w:ascii="Times New Roman" w:hAnsi="Times New Roman"/>
          <w:sz w:val="24"/>
          <w:szCs w:val="24"/>
        </w:rPr>
        <w:t xml:space="preserve">Several issues were </w:t>
      </w:r>
      <w:r w:rsidR="00EB3036">
        <w:rPr>
          <w:rFonts w:ascii="Times New Roman" w:hAnsi="Times New Roman"/>
          <w:sz w:val="24"/>
          <w:szCs w:val="24"/>
        </w:rPr>
        <w:t>noted</w:t>
      </w:r>
      <w:r>
        <w:rPr>
          <w:rFonts w:ascii="Times New Roman" w:hAnsi="Times New Roman"/>
          <w:sz w:val="24"/>
          <w:szCs w:val="24"/>
        </w:rPr>
        <w:t xml:space="preserve"> during the review of the rules referred to above</w:t>
      </w:r>
      <w:r w:rsidR="00B544F2">
        <w:rPr>
          <w:rFonts w:ascii="Times New Roman" w:hAnsi="Times New Roman"/>
          <w:sz w:val="24"/>
          <w:szCs w:val="24"/>
        </w:rPr>
        <w:t>.  These issues can be grouped</w:t>
      </w:r>
      <w:r>
        <w:rPr>
          <w:rFonts w:ascii="Times New Roman" w:hAnsi="Times New Roman"/>
          <w:sz w:val="24"/>
          <w:szCs w:val="24"/>
        </w:rPr>
        <w:t xml:space="preserve"> as follows:</w:t>
      </w:r>
    </w:p>
    <w:p w:rsidR="003C10E5" w:rsidRDefault="003C10E5" w:rsidP="00166E95">
      <w:pPr>
        <w:numPr>
          <w:ilvl w:val="1"/>
          <w:numId w:val="2"/>
        </w:numPr>
        <w:jc w:val="both"/>
        <w:rPr>
          <w:rFonts w:ascii="Times New Roman" w:hAnsi="Times New Roman"/>
          <w:sz w:val="24"/>
          <w:szCs w:val="24"/>
        </w:rPr>
      </w:pPr>
      <w:r w:rsidRPr="002108FB">
        <w:rPr>
          <w:rFonts w:ascii="Times New Roman" w:hAnsi="Times New Roman"/>
          <w:b/>
          <w:sz w:val="24"/>
          <w:szCs w:val="24"/>
        </w:rPr>
        <w:t xml:space="preserve">Rules which impose </w:t>
      </w:r>
      <w:r w:rsidR="002108FB">
        <w:rPr>
          <w:rFonts w:ascii="Times New Roman" w:hAnsi="Times New Roman"/>
          <w:b/>
          <w:sz w:val="24"/>
          <w:szCs w:val="24"/>
        </w:rPr>
        <w:t>unnecessary</w:t>
      </w:r>
      <w:r w:rsidR="002108FB">
        <w:rPr>
          <w:rStyle w:val="CommentReference"/>
        </w:rPr>
        <w:t xml:space="preserve"> </w:t>
      </w:r>
      <w:r w:rsidRPr="002108FB">
        <w:rPr>
          <w:rFonts w:ascii="Times New Roman" w:hAnsi="Times New Roman"/>
          <w:b/>
          <w:sz w:val="24"/>
          <w:szCs w:val="24"/>
        </w:rPr>
        <w:t>compliance costs</w:t>
      </w:r>
      <w:r>
        <w:rPr>
          <w:rFonts w:ascii="Times New Roman" w:hAnsi="Times New Roman"/>
          <w:sz w:val="24"/>
          <w:szCs w:val="24"/>
        </w:rPr>
        <w:t xml:space="preserve"> – this includes some of the LTC rules which are overly complex to apply (for example the deduction limitation rule);</w:t>
      </w:r>
    </w:p>
    <w:p w:rsidR="003C10E5" w:rsidRDefault="003C10E5" w:rsidP="00166E95">
      <w:pPr>
        <w:numPr>
          <w:ilvl w:val="1"/>
          <w:numId w:val="2"/>
        </w:numPr>
        <w:jc w:val="both"/>
        <w:rPr>
          <w:rFonts w:ascii="Times New Roman" w:hAnsi="Times New Roman"/>
          <w:sz w:val="24"/>
          <w:szCs w:val="24"/>
        </w:rPr>
      </w:pPr>
      <w:r w:rsidRPr="002108FB">
        <w:rPr>
          <w:rFonts w:ascii="Times New Roman" w:hAnsi="Times New Roman"/>
          <w:b/>
          <w:sz w:val="24"/>
          <w:szCs w:val="24"/>
        </w:rPr>
        <w:t>Rules which restrict commercial practice</w:t>
      </w:r>
      <w:r>
        <w:rPr>
          <w:rFonts w:ascii="Times New Roman" w:hAnsi="Times New Roman"/>
          <w:sz w:val="24"/>
          <w:szCs w:val="24"/>
        </w:rPr>
        <w:t xml:space="preserve"> – this includes rules which are inflexible or </w:t>
      </w:r>
      <w:r w:rsidR="00EB3036">
        <w:rPr>
          <w:rFonts w:ascii="Times New Roman" w:hAnsi="Times New Roman"/>
          <w:sz w:val="24"/>
          <w:szCs w:val="24"/>
        </w:rPr>
        <w:t>restrict</w:t>
      </w:r>
      <w:r>
        <w:rPr>
          <w:rFonts w:ascii="Times New Roman" w:hAnsi="Times New Roman"/>
          <w:sz w:val="24"/>
          <w:szCs w:val="24"/>
        </w:rPr>
        <w:t xml:space="preserve"> non-tax driven legitimate commercial practice which would occur but for the rules (for exa</w:t>
      </w:r>
      <w:r w:rsidR="00A644CD">
        <w:rPr>
          <w:rFonts w:ascii="Times New Roman" w:hAnsi="Times New Roman"/>
          <w:sz w:val="24"/>
          <w:szCs w:val="24"/>
        </w:rPr>
        <w:t>mple the rule which restricts a</w:t>
      </w:r>
      <w:r>
        <w:rPr>
          <w:rFonts w:ascii="Times New Roman" w:hAnsi="Times New Roman"/>
          <w:sz w:val="24"/>
          <w:szCs w:val="24"/>
        </w:rPr>
        <w:t xml:space="preserve"> LTC from having more than one class of share </w:t>
      </w:r>
      <w:r w:rsidR="00EB3036">
        <w:rPr>
          <w:rFonts w:ascii="Times New Roman" w:hAnsi="Times New Roman"/>
          <w:sz w:val="24"/>
          <w:szCs w:val="24"/>
        </w:rPr>
        <w:t>and</w:t>
      </w:r>
      <w:r>
        <w:rPr>
          <w:rFonts w:ascii="Times New Roman" w:hAnsi="Times New Roman"/>
          <w:sz w:val="24"/>
          <w:szCs w:val="24"/>
        </w:rPr>
        <w:t xml:space="preserve"> the tainted capital gains rule); and</w:t>
      </w:r>
    </w:p>
    <w:p w:rsidR="003C10E5" w:rsidRDefault="003C10E5" w:rsidP="00166E95">
      <w:pPr>
        <w:numPr>
          <w:ilvl w:val="1"/>
          <w:numId w:val="2"/>
        </w:numPr>
        <w:jc w:val="both"/>
        <w:rPr>
          <w:rFonts w:ascii="Times New Roman" w:hAnsi="Times New Roman"/>
          <w:sz w:val="24"/>
          <w:szCs w:val="24"/>
        </w:rPr>
      </w:pPr>
      <w:r w:rsidRPr="002108FB">
        <w:rPr>
          <w:rFonts w:ascii="Times New Roman" w:hAnsi="Times New Roman"/>
          <w:b/>
          <w:sz w:val="24"/>
          <w:szCs w:val="24"/>
        </w:rPr>
        <w:t>Rules which fail to achieve their intended policy objectives</w:t>
      </w:r>
      <w:r>
        <w:rPr>
          <w:rFonts w:ascii="Times New Roman" w:hAnsi="Times New Roman"/>
          <w:sz w:val="24"/>
          <w:szCs w:val="24"/>
        </w:rPr>
        <w:t xml:space="preserve"> – this includes both current rules which are not operating in line with intended policy</w:t>
      </w:r>
      <w:r w:rsidR="00F7360F">
        <w:rPr>
          <w:rFonts w:ascii="Times New Roman" w:hAnsi="Times New Roman"/>
          <w:sz w:val="24"/>
          <w:szCs w:val="24"/>
        </w:rPr>
        <w:t xml:space="preserve"> or allow for unintended tax advantages</w:t>
      </w:r>
      <w:r>
        <w:rPr>
          <w:rFonts w:ascii="Times New Roman" w:hAnsi="Times New Roman"/>
          <w:sz w:val="24"/>
          <w:szCs w:val="24"/>
        </w:rPr>
        <w:t xml:space="preserve">, as well as </w:t>
      </w:r>
      <w:r w:rsidR="00F7360F">
        <w:rPr>
          <w:rFonts w:ascii="Times New Roman" w:hAnsi="Times New Roman"/>
          <w:sz w:val="24"/>
          <w:szCs w:val="24"/>
        </w:rPr>
        <w:t xml:space="preserve">current rules which are not robust enough and can be easily circumvented </w:t>
      </w:r>
      <w:r>
        <w:rPr>
          <w:rFonts w:ascii="Times New Roman" w:hAnsi="Times New Roman"/>
          <w:sz w:val="24"/>
          <w:szCs w:val="24"/>
        </w:rPr>
        <w:t xml:space="preserve">(for example the LTC </w:t>
      </w:r>
      <w:r w:rsidR="00EB3036">
        <w:rPr>
          <w:rFonts w:ascii="Times New Roman" w:hAnsi="Times New Roman"/>
          <w:sz w:val="24"/>
          <w:szCs w:val="24"/>
        </w:rPr>
        <w:t xml:space="preserve">eligibility </w:t>
      </w:r>
      <w:r>
        <w:rPr>
          <w:rFonts w:ascii="Times New Roman" w:hAnsi="Times New Roman"/>
          <w:sz w:val="24"/>
          <w:szCs w:val="24"/>
        </w:rPr>
        <w:t>criteria which are not sufficiently targeted</w:t>
      </w:r>
      <w:r w:rsidR="00D00652">
        <w:rPr>
          <w:rFonts w:ascii="Times New Roman" w:hAnsi="Times New Roman"/>
          <w:sz w:val="24"/>
          <w:szCs w:val="24"/>
        </w:rPr>
        <w:t xml:space="preserve"> in some areas</w:t>
      </w:r>
      <w:r>
        <w:rPr>
          <w:rFonts w:ascii="Times New Roman" w:hAnsi="Times New Roman"/>
          <w:sz w:val="24"/>
          <w:szCs w:val="24"/>
        </w:rPr>
        <w:t xml:space="preserve"> to protect the integrity of the regime).</w:t>
      </w:r>
    </w:p>
    <w:p w:rsidR="00ED507C" w:rsidRPr="00B544F2" w:rsidRDefault="003C10E5" w:rsidP="00166E95">
      <w:pPr>
        <w:numPr>
          <w:ilvl w:val="0"/>
          <w:numId w:val="2"/>
        </w:numPr>
        <w:tabs>
          <w:tab w:val="clear" w:pos="360"/>
          <w:tab w:val="num" w:pos="0"/>
        </w:tabs>
        <w:ind w:left="0" w:firstLine="0"/>
        <w:jc w:val="both"/>
        <w:rPr>
          <w:rFonts w:ascii="Times New Roman" w:hAnsi="Times New Roman"/>
          <w:sz w:val="24"/>
          <w:szCs w:val="24"/>
        </w:rPr>
      </w:pPr>
      <w:r>
        <w:rPr>
          <w:rFonts w:ascii="Times New Roman" w:hAnsi="Times New Roman"/>
          <w:sz w:val="24"/>
          <w:szCs w:val="24"/>
        </w:rPr>
        <w:t>The specific details of these rules</w:t>
      </w:r>
      <w:r w:rsidR="00AD17BA">
        <w:rPr>
          <w:rFonts w:ascii="Times New Roman" w:hAnsi="Times New Roman"/>
          <w:sz w:val="24"/>
          <w:szCs w:val="24"/>
        </w:rPr>
        <w:t xml:space="preserve"> and</w:t>
      </w:r>
      <w:r>
        <w:rPr>
          <w:rFonts w:ascii="Times New Roman" w:hAnsi="Times New Roman"/>
          <w:sz w:val="24"/>
          <w:szCs w:val="24"/>
        </w:rPr>
        <w:t xml:space="preserve"> the current </w:t>
      </w:r>
      <w:r w:rsidR="00AD17BA">
        <w:rPr>
          <w:rFonts w:ascii="Times New Roman" w:hAnsi="Times New Roman"/>
          <w:sz w:val="24"/>
          <w:szCs w:val="24"/>
        </w:rPr>
        <w:t xml:space="preserve">problems are </w:t>
      </w:r>
      <w:r>
        <w:rPr>
          <w:rFonts w:ascii="Times New Roman" w:hAnsi="Times New Roman"/>
          <w:sz w:val="24"/>
          <w:szCs w:val="24"/>
        </w:rPr>
        <w:t xml:space="preserve">discussed further below under these three headings.  We note, however, that some of the problematic rules could have been grouped under more than one heading.  </w:t>
      </w:r>
    </w:p>
    <w:p w:rsidR="001F7B7E" w:rsidRDefault="001F7B7E" w:rsidP="00B8239E">
      <w:pPr>
        <w:pStyle w:val="ListParagraph"/>
        <w:ind w:left="0"/>
        <w:rPr>
          <w:rFonts w:ascii="Times New Roman" w:hAnsi="Times New Roman"/>
          <w:b/>
          <w:i/>
          <w:sz w:val="24"/>
          <w:szCs w:val="24"/>
          <w:lang w:val="en-AU"/>
        </w:rPr>
      </w:pPr>
    </w:p>
    <w:p w:rsidR="00B8239E" w:rsidRPr="00C15E38" w:rsidRDefault="00B8239E" w:rsidP="00B8239E">
      <w:pPr>
        <w:pStyle w:val="ListParagraph"/>
        <w:ind w:left="0"/>
        <w:rPr>
          <w:rFonts w:ascii="Times New Roman" w:hAnsi="Times New Roman"/>
          <w:b/>
          <w:i/>
          <w:sz w:val="24"/>
          <w:szCs w:val="24"/>
          <w:lang w:val="en-AU"/>
        </w:rPr>
      </w:pPr>
      <w:r w:rsidRPr="00C15E38">
        <w:rPr>
          <w:rFonts w:ascii="Times New Roman" w:hAnsi="Times New Roman"/>
          <w:b/>
          <w:i/>
          <w:sz w:val="24"/>
          <w:szCs w:val="24"/>
          <w:lang w:val="en-AU"/>
        </w:rPr>
        <w:t xml:space="preserve">Rules which impose </w:t>
      </w:r>
      <w:r w:rsidR="002108FB" w:rsidRPr="00C15E38">
        <w:rPr>
          <w:rFonts w:ascii="Times New Roman" w:hAnsi="Times New Roman"/>
          <w:b/>
          <w:i/>
          <w:sz w:val="24"/>
          <w:szCs w:val="24"/>
          <w:lang w:val="en-AU"/>
        </w:rPr>
        <w:t>unnecessary</w:t>
      </w:r>
      <w:r w:rsidRPr="00C15E38">
        <w:rPr>
          <w:rFonts w:ascii="Times New Roman" w:hAnsi="Times New Roman"/>
          <w:b/>
          <w:i/>
          <w:sz w:val="24"/>
          <w:szCs w:val="24"/>
          <w:lang w:val="en-AU"/>
        </w:rPr>
        <w:t xml:space="preserve"> compliance costs</w:t>
      </w:r>
    </w:p>
    <w:p w:rsidR="00B8239E" w:rsidRPr="00D00652" w:rsidRDefault="00B8239E" w:rsidP="00D00652">
      <w:pPr>
        <w:pStyle w:val="ListParagraph"/>
        <w:ind w:left="567"/>
        <w:rPr>
          <w:rFonts w:ascii="Times New Roman" w:hAnsi="Times New Roman"/>
          <w:i/>
          <w:sz w:val="24"/>
          <w:szCs w:val="24"/>
        </w:rPr>
      </w:pPr>
    </w:p>
    <w:p w:rsidR="00B8239E" w:rsidRDefault="00B8239E"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9F5659">
        <w:rPr>
          <w:rFonts w:ascii="Times New Roman" w:hAnsi="Times New Roman"/>
          <w:sz w:val="24"/>
          <w:szCs w:val="24"/>
        </w:rPr>
        <w:t>S</w:t>
      </w:r>
      <w:r>
        <w:rPr>
          <w:rFonts w:ascii="Times New Roman" w:hAnsi="Times New Roman"/>
          <w:sz w:val="24"/>
          <w:szCs w:val="24"/>
        </w:rPr>
        <w:t>everal of the rules were</w:t>
      </w:r>
      <w:r w:rsidR="00186A19">
        <w:rPr>
          <w:rFonts w:ascii="Times New Roman" w:hAnsi="Times New Roman"/>
          <w:sz w:val="24"/>
          <w:szCs w:val="24"/>
        </w:rPr>
        <w:t>,</w:t>
      </w:r>
      <w:r>
        <w:rPr>
          <w:rFonts w:ascii="Times New Roman" w:hAnsi="Times New Roman"/>
          <w:sz w:val="24"/>
          <w:szCs w:val="24"/>
        </w:rPr>
        <w:t xml:space="preserve"> upon review</w:t>
      </w:r>
      <w:r w:rsidR="00186A19">
        <w:rPr>
          <w:rFonts w:ascii="Times New Roman" w:hAnsi="Times New Roman"/>
          <w:sz w:val="24"/>
          <w:szCs w:val="24"/>
        </w:rPr>
        <w:t>,</w:t>
      </w:r>
      <w:r>
        <w:rPr>
          <w:rFonts w:ascii="Times New Roman" w:hAnsi="Times New Roman"/>
          <w:sz w:val="24"/>
          <w:szCs w:val="24"/>
        </w:rPr>
        <w:t xml:space="preserve"> seen to be imp</w:t>
      </w:r>
      <w:r w:rsidR="00D00652">
        <w:rPr>
          <w:rFonts w:ascii="Times New Roman" w:hAnsi="Times New Roman"/>
          <w:sz w:val="24"/>
          <w:szCs w:val="24"/>
        </w:rPr>
        <w:t>osing unnecessary compliance costs.  T</w:t>
      </w:r>
      <w:r>
        <w:rPr>
          <w:rFonts w:ascii="Times New Roman" w:hAnsi="Times New Roman"/>
          <w:sz w:val="24"/>
          <w:szCs w:val="24"/>
        </w:rPr>
        <w:t xml:space="preserve">hese </w:t>
      </w:r>
      <w:r w:rsidR="003C10E5">
        <w:rPr>
          <w:rFonts w:ascii="Times New Roman" w:hAnsi="Times New Roman"/>
          <w:sz w:val="24"/>
          <w:szCs w:val="24"/>
        </w:rPr>
        <w:t>rules and the specific concerns</w:t>
      </w:r>
      <w:r w:rsidR="00186A19">
        <w:rPr>
          <w:rFonts w:ascii="Times New Roman" w:hAnsi="Times New Roman"/>
          <w:sz w:val="24"/>
          <w:szCs w:val="24"/>
        </w:rPr>
        <w:t xml:space="preserve"> relating to them</w:t>
      </w:r>
      <w:r w:rsidR="003C10E5">
        <w:rPr>
          <w:rFonts w:ascii="Times New Roman" w:hAnsi="Times New Roman"/>
          <w:sz w:val="24"/>
          <w:szCs w:val="24"/>
        </w:rPr>
        <w:t xml:space="preserve"> are discussed below.</w:t>
      </w:r>
    </w:p>
    <w:p w:rsidR="003F101E" w:rsidRDefault="003F101E" w:rsidP="0028142B">
      <w:pPr>
        <w:pStyle w:val="Bullet-list"/>
        <w:tabs>
          <w:tab w:val="num" w:pos="567"/>
        </w:tabs>
        <w:spacing w:after="0" w:line="240" w:lineRule="auto"/>
        <w:ind w:left="0" w:firstLine="0"/>
        <w:jc w:val="both"/>
        <w:rPr>
          <w:rFonts w:ascii="Times New Roman" w:hAnsi="Times New Roman"/>
          <w:sz w:val="24"/>
          <w:szCs w:val="24"/>
        </w:rPr>
      </w:pPr>
    </w:p>
    <w:p w:rsidR="003C10E5" w:rsidRDefault="003C10E5" w:rsidP="0028142B">
      <w:pPr>
        <w:pStyle w:val="Bullet-list"/>
        <w:tabs>
          <w:tab w:val="num" w:pos="567"/>
        </w:tabs>
        <w:spacing w:after="0" w:line="240" w:lineRule="auto"/>
        <w:ind w:left="0" w:firstLine="0"/>
        <w:jc w:val="both"/>
        <w:rPr>
          <w:rFonts w:ascii="Times New Roman" w:hAnsi="Times New Roman"/>
          <w:i/>
          <w:sz w:val="24"/>
          <w:szCs w:val="24"/>
        </w:rPr>
      </w:pPr>
      <w:r w:rsidRPr="00931223">
        <w:rPr>
          <w:rFonts w:ascii="Times New Roman" w:hAnsi="Times New Roman"/>
          <w:i/>
          <w:sz w:val="24"/>
          <w:szCs w:val="24"/>
        </w:rPr>
        <w:t>Deduction limitation rule</w:t>
      </w:r>
    </w:p>
    <w:p w:rsidR="003C10E5" w:rsidRPr="00931223" w:rsidRDefault="003C10E5" w:rsidP="0028142B">
      <w:pPr>
        <w:pStyle w:val="Bullet-list"/>
        <w:tabs>
          <w:tab w:val="num" w:pos="567"/>
        </w:tabs>
        <w:spacing w:after="0" w:line="240" w:lineRule="auto"/>
        <w:ind w:left="0" w:firstLine="0"/>
        <w:jc w:val="both"/>
        <w:rPr>
          <w:rFonts w:ascii="Times New Roman" w:hAnsi="Times New Roman"/>
          <w:i/>
          <w:sz w:val="24"/>
          <w:szCs w:val="24"/>
        </w:rPr>
      </w:pPr>
    </w:p>
    <w:p w:rsidR="00ED507C" w:rsidRPr="00D00652" w:rsidRDefault="00C5229E"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To ensure LTCs cannot be used to generate deductions in </w:t>
      </w:r>
      <w:r w:rsidRPr="00C5229E">
        <w:rPr>
          <w:rFonts w:ascii="Times New Roman" w:hAnsi="Times New Roman"/>
          <w:sz w:val="24"/>
          <w:szCs w:val="24"/>
        </w:rPr>
        <w:t xml:space="preserve">excess of the money </w:t>
      </w:r>
      <w:r w:rsidR="00681DDA">
        <w:rPr>
          <w:rFonts w:ascii="Times New Roman" w:hAnsi="Times New Roman"/>
          <w:sz w:val="24"/>
          <w:szCs w:val="24"/>
        </w:rPr>
        <w:t>that owners</w:t>
      </w:r>
      <w:r w:rsidRPr="00C5229E">
        <w:rPr>
          <w:rFonts w:ascii="Times New Roman" w:hAnsi="Times New Roman"/>
          <w:sz w:val="24"/>
          <w:szCs w:val="24"/>
        </w:rPr>
        <w:t xml:space="preserve"> have at risk in the </w:t>
      </w:r>
      <w:r>
        <w:rPr>
          <w:rFonts w:ascii="Times New Roman" w:hAnsi="Times New Roman"/>
          <w:sz w:val="24"/>
          <w:szCs w:val="24"/>
        </w:rPr>
        <w:t xml:space="preserve">company, the </w:t>
      </w:r>
      <w:r w:rsidRPr="00C5229E">
        <w:rPr>
          <w:rFonts w:ascii="Times New Roman" w:hAnsi="Times New Roman"/>
          <w:sz w:val="24"/>
          <w:szCs w:val="24"/>
        </w:rPr>
        <w:t xml:space="preserve">rule </w:t>
      </w:r>
      <w:r>
        <w:rPr>
          <w:rFonts w:ascii="Times New Roman" w:hAnsi="Times New Roman"/>
          <w:sz w:val="24"/>
          <w:szCs w:val="24"/>
        </w:rPr>
        <w:t>restrict</w:t>
      </w:r>
      <w:r w:rsidR="009F5659">
        <w:rPr>
          <w:rFonts w:ascii="Times New Roman" w:hAnsi="Times New Roman"/>
          <w:sz w:val="24"/>
          <w:szCs w:val="24"/>
        </w:rPr>
        <w:t>s</w:t>
      </w:r>
      <w:r>
        <w:rPr>
          <w:rFonts w:ascii="Times New Roman" w:hAnsi="Times New Roman"/>
          <w:sz w:val="24"/>
          <w:szCs w:val="24"/>
        </w:rPr>
        <w:t xml:space="preserve"> an</w:t>
      </w:r>
      <w:r w:rsidRPr="00C5229E">
        <w:rPr>
          <w:rFonts w:ascii="Times New Roman" w:hAnsi="Times New Roman"/>
          <w:sz w:val="24"/>
          <w:szCs w:val="24"/>
        </w:rPr>
        <w:t xml:space="preserve"> owner’s ability to utilise LTC </w:t>
      </w:r>
      <w:r>
        <w:rPr>
          <w:rFonts w:ascii="Times New Roman" w:hAnsi="Times New Roman"/>
          <w:sz w:val="24"/>
          <w:szCs w:val="24"/>
        </w:rPr>
        <w:t xml:space="preserve">deductions </w:t>
      </w:r>
      <w:r w:rsidRPr="00C5229E">
        <w:rPr>
          <w:rFonts w:ascii="Times New Roman" w:hAnsi="Times New Roman"/>
          <w:sz w:val="24"/>
          <w:szCs w:val="24"/>
        </w:rPr>
        <w:t xml:space="preserve">against their </w:t>
      </w:r>
      <w:r w:rsidR="00772FC6">
        <w:rPr>
          <w:rFonts w:ascii="Times New Roman" w:hAnsi="Times New Roman"/>
          <w:sz w:val="24"/>
          <w:szCs w:val="24"/>
        </w:rPr>
        <w:t>other income when</w:t>
      </w:r>
      <w:r>
        <w:rPr>
          <w:rFonts w:ascii="Times New Roman" w:hAnsi="Times New Roman"/>
          <w:sz w:val="24"/>
          <w:szCs w:val="24"/>
        </w:rPr>
        <w:t xml:space="preserve"> the deductions </w:t>
      </w:r>
      <w:r w:rsidRPr="00C5229E">
        <w:rPr>
          <w:rFonts w:ascii="Times New Roman" w:hAnsi="Times New Roman"/>
          <w:sz w:val="24"/>
          <w:szCs w:val="24"/>
        </w:rPr>
        <w:t xml:space="preserve">are greater than </w:t>
      </w:r>
      <w:r w:rsidR="00681DDA">
        <w:rPr>
          <w:rFonts w:ascii="Times New Roman" w:hAnsi="Times New Roman"/>
          <w:sz w:val="24"/>
          <w:szCs w:val="24"/>
        </w:rPr>
        <w:t xml:space="preserve">their </w:t>
      </w:r>
      <w:r w:rsidRPr="00C5229E">
        <w:rPr>
          <w:rFonts w:ascii="Times New Roman" w:hAnsi="Times New Roman"/>
          <w:sz w:val="24"/>
          <w:szCs w:val="24"/>
        </w:rPr>
        <w:t xml:space="preserve">economic losses </w:t>
      </w:r>
      <w:r>
        <w:rPr>
          <w:rFonts w:ascii="Times New Roman" w:hAnsi="Times New Roman"/>
          <w:sz w:val="24"/>
          <w:szCs w:val="24"/>
        </w:rPr>
        <w:t xml:space="preserve">from the LTC.  </w:t>
      </w:r>
      <w:r w:rsidR="00ED507C">
        <w:rPr>
          <w:rFonts w:ascii="Times New Roman" w:hAnsi="Times New Roman"/>
          <w:sz w:val="24"/>
          <w:szCs w:val="24"/>
        </w:rPr>
        <w:t xml:space="preserve">This rule </w:t>
      </w:r>
      <w:r w:rsidR="00772FC6">
        <w:rPr>
          <w:rFonts w:ascii="Times New Roman" w:hAnsi="Times New Roman"/>
          <w:sz w:val="24"/>
          <w:szCs w:val="24"/>
        </w:rPr>
        <w:t xml:space="preserve">is referred to as the deduction </w:t>
      </w:r>
      <w:r w:rsidR="00ED507C">
        <w:rPr>
          <w:rFonts w:ascii="Times New Roman" w:hAnsi="Times New Roman"/>
          <w:sz w:val="24"/>
          <w:szCs w:val="24"/>
        </w:rPr>
        <w:t xml:space="preserve">limitation rule.  </w:t>
      </w:r>
    </w:p>
    <w:p w:rsidR="00C5229E" w:rsidRDefault="00C5229E" w:rsidP="0028142B">
      <w:pPr>
        <w:pStyle w:val="Bullet-list"/>
        <w:spacing w:after="0" w:line="240" w:lineRule="auto"/>
        <w:ind w:left="0" w:firstLine="0"/>
        <w:jc w:val="both"/>
        <w:rPr>
          <w:rFonts w:ascii="Times New Roman" w:hAnsi="Times New Roman"/>
          <w:sz w:val="24"/>
          <w:szCs w:val="24"/>
        </w:rPr>
      </w:pPr>
    </w:p>
    <w:p w:rsidR="00931223" w:rsidRDefault="00931223"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rule results in </w:t>
      </w:r>
      <w:r w:rsidR="00517071">
        <w:rPr>
          <w:rFonts w:ascii="Times New Roman" w:hAnsi="Times New Roman"/>
          <w:sz w:val="24"/>
          <w:szCs w:val="24"/>
        </w:rPr>
        <w:t>undue</w:t>
      </w:r>
      <w:r w:rsidR="002108FB">
        <w:rPr>
          <w:rFonts w:ascii="Times New Roman" w:hAnsi="Times New Roman"/>
          <w:sz w:val="24"/>
          <w:szCs w:val="24"/>
        </w:rPr>
        <w:t xml:space="preserve"> </w:t>
      </w:r>
      <w:r>
        <w:rPr>
          <w:rFonts w:ascii="Times New Roman" w:hAnsi="Times New Roman"/>
          <w:sz w:val="24"/>
          <w:szCs w:val="24"/>
        </w:rPr>
        <w:t xml:space="preserve">compliance costs </w:t>
      </w:r>
      <w:r w:rsidR="00517071">
        <w:rPr>
          <w:rFonts w:ascii="Times New Roman" w:hAnsi="Times New Roman"/>
          <w:sz w:val="24"/>
          <w:szCs w:val="24"/>
        </w:rPr>
        <w:t xml:space="preserve">in many cases </w:t>
      </w:r>
      <w:r>
        <w:rPr>
          <w:rFonts w:ascii="Times New Roman" w:hAnsi="Times New Roman"/>
          <w:sz w:val="24"/>
          <w:szCs w:val="24"/>
        </w:rPr>
        <w:t xml:space="preserve">as it requires each LTC owner to calculate their ‘owner’s basis’ annually, which requires owners to keep track of what they have invested in and withdrawn from  the business and all income and expenditure attributed to them while they have been an owner.  </w:t>
      </w:r>
      <w:r w:rsidR="00517071">
        <w:rPr>
          <w:rFonts w:ascii="Times New Roman" w:hAnsi="Times New Roman"/>
          <w:sz w:val="24"/>
          <w:szCs w:val="24"/>
        </w:rPr>
        <w:t>Over time this w</w:t>
      </w:r>
      <w:r>
        <w:rPr>
          <w:rFonts w:ascii="Times New Roman" w:hAnsi="Times New Roman"/>
          <w:sz w:val="24"/>
          <w:szCs w:val="24"/>
        </w:rPr>
        <w:t xml:space="preserve">ould require LTC owners to maintain records well beyond the standard record keeping requirements for tax information.  </w:t>
      </w:r>
      <w:r w:rsidRPr="00F51E46">
        <w:rPr>
          <w:rFonts w:ascii="Times New Roman" w:hAnsi="Times New Roman"/>
          <w:sz w:val="24"/>
          <w:szCs w:val="24"/>
        </w:rPr>
        <w:t xml:space="preserve">The calculation </w:t>
      </w:r>
      <w:r>
        <w:rPr>
          <w:rFonts w:ascii="Times New Roman" w:hAnsi="Times New Roman"/>
          <w:sz w:val="24"/>
          <w:szCs w:val="24"/>
        </w:rPr>
        <w:t xml:space="preserve">must be completed by </w:t>
      </w:r>
      <w:r w:rsidRPr="00F51E46">
        <w:rPr>
          <w:rFonts w:ascii="Times New Roman" w:hAnsi="Times New Roman"/>
          <w:sz w:val="24"/>
          <w:szCs w:val="24"/>
        </w:rPr>
        <w:t xml:space="preserve">every owner even though most will not have their deductions constrained by it because their share of </w:t>
      </w:r>
      <w:r>
        <w:rPr>
          <w:rFonts w:ascii="Times New Roman" w:hAnsi="Times New Roman"/>
          <w:sz w:val="24"/>
          <w:szCs w:val="24"/>
        </w:rPr>
        <w:t>expenditure</w:t>
      </w:r>
      <w:r w:rsidRPr="00F51E46">
        <w:rPr>
          <w:rFonts w:ascii="Times New Roman" w:hAnsi="Times New Roman"/>
          <w:sz w:val="24"/>
          <w:szCs w:val="24"/>
        </w:rPr>
        <w:t xml:space="preserve"> is less than their owner’s basis</w:t>
      </w:r>
      <w:r>
        <w:rPr>
          <w:rFonts w:ascii="Times New Roman" w:hAnsi="Times New Roman"/>
          <w:sz w:val="24"/>
          <w:szCs w:val="24"/>
        </w:rPr>
        <w:t xml:space="preserve">.  </w:t>
      </w:r>
    </w:p>
    <w:p w:rsidR="00931223" w:rsidRPr="00F51E46" w:rsidRDefault="00931223" w:rsidP="0028142B">
      <w:pPr>
        <w:pStyle w:val="ListParagraph"/>
        <w:rPr>
          <w:rFonts w:ascii="Times New Roman" w:hAnsi="Times New Roman"/>
          <w:sz w:val="24"/>
          <w:szCs w:val="24"/>
          <w:lang w:val="en-AU"/>
        </w:rPr>
      </w:pPr>
    </w:p>
    <w:p w:rsidR="00931223" w:rsidRDefault="00931223"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Moreover the rule has some technical issues in the way that it is drafted which</w:t>
      </w:r>
      <w:r w:rsidRPr="00F51E46">
        <w:rPr>
          <w:rFonts w:ascii="Times New Roman" w:hAnsi="Times New Roman"/>
          <w:sz w:val="24"/>
          <w:szCs w:val="24"/>
        </w:rPr>
        <w:t xml:space="preserve"> can </w:t>
      </w:r>
      <w:r>
        <w:rPr>
          <w:rFonts w:ascii="Times New Roman" w:hAnsi="Times New Roman"/>
          <w:sz w:val="24"/>
          <w:szCs w:val="24"/>
        </w:rPr>
        <w:t xml:space="preserve">mean that it </w:t>
      </w:r>
      <w:r w:rsidRPr="00F51E46">
        <w:rPr>
          <w:rFonts w:ascii="Times New Roman" w:hAnsi="Times New Roman"/>
          <w:sz w:val="24"/>
          <w:szCs w:val="24"/>
        </w:rPr>
        <w:t>restrict</w:t>
      </w:r>
      <w:r>
        <w:rPr>
          <w:rFonts w:ascii="Times New Roman" w:hAnsi="Times New Roman"/>
          <w:sz w:val="24"/>
          <w:szCs w:val="24"/>
        </w:rPr>
        <w:t>s</w:t>
      </w:r>
      <w:r w:rsidRPr="00F51E46">
        <w:rPr>
          <w:rFonts w:ascii="Times New Roman" w:hAnsi="Times New Roman"/>
          <w:sz w:val="24"/>
          <w:szCs w:val="24"/>
        </w:rPr>
        <w:t xml:space="preserve"> ded</w:t>
      </w:r>
      <w:r>
        <w:rPr>
          <w:rFonts w:ascii="Times New Roman" w:hAnsi="Times New Roman"/>
          <w:sz w:val="24"/>
          <w:szCs w:val="24"/>
        </w:rPr>
        <w:t>uctions in some situations when</w:t>
      </w:r>
      <w:r w:rsidRPr="00F51E46">
        <w:rPr>
          <w:rFonts w:ascii="Times New Roman" w:hAnsi="Times New Roman"/>
          <w:sz w:val="24"/>
          <w:szCs w:val="24"/>
        </w:rPr>
        <w:t xml:space="preserve"> all costs would be deductible if earned directly by the owners</w:t>
      </w:r>
      <w:r>
        <w:rPr>
          <w:rFonts w:ascii="Times New Roman" w:hAnsi="Times New Roman"/>
          <w:sz w:val="24"/>
          <w:szCs w:val="24"/>
        </w:rPr>
        <w:t>, which is not in line with the intended policy behind the LTC rules (</w:t>
      </w:r>
      <w:r w:rsidR="00517071">
        <w:rPr>
          <w:rFonts w:ascii="Times New Roman" w:hAnsi="Times New Roman"/>
          <w:sz w:val="24"/>
          <w:szCs w:val="24"/>
        </w:rPr>
        <w:t xml:space="preserve">namely, </w:t>
      </w:r>
      <w:r>
        <w:rPr>
          <w:rFonts w:ascii="Times New Roman" w:hAnsi="Times New Roman"/>
          <w:sz w:val="24"/>
          <w:szCs w:val="24"/>
        </w:rPr>
        <w:t xml:space="preserve">to parallel the tax treatment </w:t>
      </w:r>
      <w:r w:rsidR="00517071">
        <w:rPr>
          <w:rFonts w:ascii="Times New Roman" w:hAnsi="Times New Roman"/>
          <w:sz w:val="24"/>
          <w:szCs w:val="24"/>
        </w:rPr>
        <w:t>under</w:t>
      </w:r>
      <w:r>
        <w:rPr>
          <w:rFonts w:ascii="Times New Roman" w:hAnsi="Times New Roman"/>
          <w:sz w:val="24"/>
          <w:szCs w:val="24"/>
        </w:rPr>
        <w:t xml:space="preserve"> direct ownership).</w:t>
      </w:r>
    </w:p>
    <w:p w:rsidR="00931223" w:rsidRDefault="00931223" w:rsidP="0028142B">
      <w:pPr>
        <w:pStyle w:val="Bullet-list"/>
        <w:spacing w:after="0" w:line="240" w:lineRule="auto"/>
        <w:ind w:left="0" w:firstLine="0"/>
        <w:jc w:val="both"/>
        <w:rPr>
          <w:rFonts w:ascii="Times New Roman" w:hAnsi="Times New Roman"/>
          <w:sz w:val="24"/>
          <w:szCs w:val="24"/>
        </w:rPr>
      </w:pPr>
    </w:p>
    <w:p w:rsidR="00931223" w:rsidRPr="00517071" w:rsidRDefault="00931223" w:rsidP="0028142B">
      <w:pPr>
        <w:pStyle w:val="Bullet-list"/>
        <w:spacing w:after="0" w:line="240" w:lineRule="auto"/>
        <w:ind w:left="0" w:firstLine="0"/>
        <w:jc w:val="both"/>
        <w:rPr>
          <w:rFonts w:ascii="Times New Roman" w:hAnsi="Times New Roman"/>
          <w:i/>
          <w:sz w:val="24"/>
          <w:szCs w:val="24"/>
        </w:rPr>
      </w:pPr>
      <w:r w:rsidRPr="00517071">
        <w:rPr>
          <w:rFonts w:ascii="Times New Roman" w:hAnsi="Times New Roman"/>
          <w:i/>
          <w:sz w:val="24"/>
          <w:szCs w:val="24"/>
        </w:rPr>
        <w:t>RWT on dividends between companies</w:t>
      </w:r>
    </w:p>
    <w:p w:rsidR="00931223" w:rsidRDefault="00931223" w:rsidP="0028142B">
      <w:pPr>
        <w:pStyle w:val="ListParagraph"/>
        <w:rPr>
          <w:rFonts w:ascii="Times New Roman" w:hAnsi="Times New Roman"/>
          <w:sz w:val="24"/>
          <w:szCs w:val="24"/>
        </w:rPr>
      </w:pPr>
    </w:p>
    <w:p w:rsidR="00931223" w:rsidRDefault="00931223"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payment of passive income, such as dividends and interest, to resident recipients is subject to an obligation to account for RWT, which is withheld by the company at the time of payment and paid to Inland Revenue in the month following payment.  For dividends a flat rate of 33% applies (less any imputation credits) and for interest, the RWT rate varies according to the recipient’s personal tax </w:t>
      </w:r>
      <w:r w:rsidRPr="00C74D19">
        <w:rPr>
          <w:rFonts w:ascii="Times New Roman" w:hAnsi="Times New Roman"/>
          <w:sz w:val="24"/>
          <w:szCs w:val="24"/>
        </w:rPr>
        <w:t xml:space="preserve">rate. </w:t>
      </w:r>
      <w:r>
        <w:rPr>
          <w:rFonts w:ascii="Times New Roman" w:hAnsi="Times New Roman"/>
          <w:sz w:val="24"/>
          <w:szCs w:val="24"/>
        </w:rPr>
        <w:t xml:space="preserve"> </w:t>
      </w:r>
    </w:p>
    <w:p w:rsidR="00931223" w:rsidRDefault="00931223" w:rsidP="0028142B">
      <w:pPr>
        <w:pStyle w:val="Bullet-list"/>
        <w:spacing w:after="0" w:line="240" w:lineRule="auto"/>
        <w:ind w:left="0" w:firstLine="0"/>
        <w:jc w:val="both"/>
        <w:rPr>
          <w:rFonts w:ascii="Times New Roman" w:hAnsi="Times New Roman"/>
          <w:sz w:val="24"/>
          <w:szCs w:val="24"/>
        </w:rPr>
      </w:pPr>
    </w:p>
    <w:p w:rsidR="00931223" w:rsidRDefault="00931223"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As a result of the lowering of the company tax rate to 28%</w:t>
      </w:r>
      <w:r w:rsidR="00517071">
        <w:rPr>
          <w:rFonts w:ascii="Times New Roman" w:hAnsi="Times New Roman"/>
          <w:sz w:val="24"/>
          <w:szCs w:val="24"/>
        </w:rPr>
        <w:t>,</w:t>
      </w:r>
      <w:r>
        <w:rPr>
          <w:rFonts w:ascii="Times New Roman" w:hAnsi="Times New Roman"/>
          <w:sz w:val="24"/>
          <w:szCs w:val="24"/>
        </w:rPr>
        <w:t xml:space="preserve"> when a company pays a fully imputed dividend</w:t>
      </w:r>
      <w:r w:rsidRPr="008E32E8">
        <w:rPr>
          <w:rFonts w:ascii="Times New Roman" w:hAnsi="Times New Roman"/>
          <w:sz w:val="24"/>
          <w:szCs w:val="24"/>
        </w:rPr>
        <w:t xml:space="preserve"> </w:t>
      </w:r>
      <w:r w:rsidR="00517071">
        <w:rPr>
          <w:rFonts w:ascii="Times New Roman" w:hAnsi="Times New Roman"/>
          <w:sz w:val="24"/>
          <w:szCs w:val="24"/>
        </w:rPr>
        <w:t>(that is</w:t>
      </w:r>
      <w:r>
        <w:rPr>
          <w:rFonts w:ascii="Times New Roman" w:hAnsi="Times New Roman"/>
          <w:sz w:val="24"/>
          <w:szCs w:val="24"/>
        </w:rPr>
        <w:t xml:space="preserve"> a dividend from retained earnings previously taxed at 28%) the dividend </w:t>
      </w:r>
      <w:r w:rsidR="00517071">
        <w:rPr>
          <w:rFonts w:ascii="Times New Roman" w:hAnsi="Times New Roman"/>
          <w:sz w:val="24"/>
          <w:szCs w:val="24"/>
        </w:rPr>
        <w:t>is</w:t>
      </w:r>
      <w:r>
        <w:rPr>
          <w:rFonts w:ascii="Times New Roman" w:hAnsi="Times New Roman"/>
          <w:sz w:val="24"/>
          <w:szCs w:val="24"/>
        </w:rPr>
        <w:t xml:space="preserve"> still </w:t>
      </w:r>
      <w:r w:rsidRPr="008E32E8">
        <w:rPr>
          <w:rFonts w:ascii="Times New Roman" w:hAnsi="Times New Roman"/>
          <w:sz w:val="24"/>
          <w:szCs w:val="24"/>
        </w:rPr>
        <w:t xml:space="preserve">subject to </w:t>
      </w:r>
      <w:r w:rsidR="00517071">
        <w:rPr>
          <w:rFonts w:ascii="Times New Roman" w:hAnsi="Times New Roman"/>
          <w:sz w:val="24"/>
          <w:szCs w:val="24"/>
        </w:rPr>
        <w:t xml:space="preserve">an </w:t>
      </w:r>
      <w:r>
        <w:rPr>
          <w:rFonts w:ascii="Times New Roman" w:hAnsi="Times New Roman"/>
          <w:sz w:val="24"/>
          <w:szCs w:val="24"/>
        </w:rPr>
        <w:t xml:space="preserve">additional 5% </w:t>
      </w:r>
      <w:r w:rsidR="00517071">
        <w:rPr>
          <w:rFonts w:ascii="Times New Roman" w:hAnsi="Times New Roman"/>
          <w:sz w:val="24"/>
          <w:szCs w:val="24"/>
        </w:rPr>
        <w:t>RWT (a</w:t>
      </w:r>
      <w:r>
        <w:rPr>
          <w:rFonts w:ascii="Times New Roman" w:hAnsi="Times New Roman"/>
          <w:sz w:val="24"/>
          <w:szCs w:val="24"/>
        </w:rPr>
        <w:t xml:space="preserve"> total </w:t>
      </w:r>
      <w:r w:rsidR="00517071">
        <w:rPr>
          <w:rFonts w:ascii="Times New Roman" w:hAnsi="Times New Roman"/>
          <w:sz w:val="24"/>
          <w:szCs w:val="24"/>
        </w:rPr>
        <w:t xml:space="preserve">of </w:t>
      </w:r>
      <w:r>
        <w:rPr>
          <w:rFonts w:ascii="Times New Roman" w:hAnsi="Times New Roman"/>
          <w:sz w:val="24"/>
          <w:szCs w:val="24"/>
        </w:rPr>
        <w:t>33%).  For dividends paid to corporate shareholders (who will be subject to the company tax rate of 28%) this obligation to withhold RWT result</w:t>
      </w:r>
      <w:r w:rsidR="009F5659">
        <w:rPr>
          <w:rFonts w:ascii="Times New Roman" w:hAnsi="Times New Roman"/>
          <w:sz w:val="24"/>
          <w:szCs w:val="24"/>
        </w:rPr>
        <w:t>s</w:t>
      </w:r>
      <w:r>
        <w:rPr>
          <w:rFonts w:ascii="Times New Roman" w:hAnsi="Times New Roman"/>
          <w:sz w:val="24"/>
          <w:szCs w:val="24"/>
        </w:rPr>
        <w:t xml:space="preserve"> in </w:t>
      </w:r>
      <w:r w:rsidR="00517071">
        <w:rPr>
          <w:rFonts w:ascii="Times New Roman" w:hAnsi="Times New Roman"/>
          <w:sz w:val="24"/>
          <w:szCs w:val="24"/>
        </w:rPr>
        <w:t xml:space="preserve">an </w:t>
      </w:r>
      <w:r>
        <w:rPr>
          <w:rFonts w:ascii="Times New Roman" w:hAnsi="Times New Roman"/>
          <w:sz w:val="24"/>
          <w:szCs w:val="24"/>
        </w:rPr>
        <w:t>initial over-taxation (of the additional 5%)</w:t>
      </w:r>
      <w:r w:rsidRPr="0077757A">
        <w:rPr>
          <w:rFonts w:ascii="Times New Roman" w:hAnsi="Times New Roman"/>
          <w:sz w:val="24"/>
          <w:szCs w:val="24"/>
        </w:rPr>
        <w:t xml:space="preserve"> </w:t>
      </w:r>
      <w:r>
        <w:rPr>
          <w:rFonts w:ascii="Times New Roman" w:hAnsi="Times New Roman"/>
          <w:sz w:val="24"/>
          <w:szCs w:val="24"/>
        </w:rPr>
        <w:t xml:space="preserve">of these </w:t>
      </w:r>
      <w:r w:rsidRPr="0077757A">
        <w:rPr>
          <w:rFonts w:ascii="Times New Roman" w:hAnsi="Times New Roman"/>
          <w:sz w:val="24"/>
          <w:szCs w:val="24"/>
        </w:rPr>
        <w:t>dividends</w:t>
      </w:r>
      <w:r>
        <w:rPr>
          <w:rFonts w:ascii="Times New Roman" w:hAnsi="Times New Roman"/>
          <w:sz w:val="24"/>
          <w:szCs w:val="24"/>
        </w:rPr>
        <w:t xml:space="preserve">.  </w:t>
      </w:r>
    </w:p>
    <w:p w:rsidR="00931223" w:rsidRDefault="00931223" w:rsidP="0028142B">
      <w:pPr>
        <w:pStyle w:val="Bullet-list"/>
        <w:spacing w:after="0" w:line="240" w:lineRule="auto"/>
        <w:ind w:left="0" w:firstLine="0"/>
        <w:jc w:val="both"/>
        <w:rPr>
          <w:rFonts w:ascii="Times New Roman" w:hAnsi="Times New Roman"/>
          <w:sz w:val="24"/>
          <w:szCs w:val="24"/>
        </w:rPr>
      </w:pPr>
    </w:p>
    <w:p w:rsidR="00931223" w:rsidRDefault="00931223"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Unless the two companies </w:t>
      </w:r>
      <w:r w:rsidRPr="008E32E8">
        <w:rPr>
          <w:rFonts w:ascii="Times New Roman" w:hAnsi="Times New Roman"/>
          <w:sz w:val="24"/>
          <w:szCs w:val="24"/>
        </w:rPr>
        <w:t xml:space="preserve">are part of the same wholly-owned group or the recipient </w:t>
      </w:r>
      <w:r>
        <w:rPr>
          <w:rFonts w:ascii="Times New Roman" w:hAnsi="Times New Roman"/>
          <w:sz w:val="24"/>
          <w:szCs w:val="24"/>
        </w:rPr>
        <w:t xml:space="preserve">company </w:t>
      </w:r>
      <w:r w:rsidRPr="008E32E8">
        <w:rPr>
          <w:rFonts w:ascii="Times New Roman" w:hAnsi="Times New Roman"/>
          <w:sz w:val="24"/>
          <w:szCs w:val="24"/>
        </w:rPr>
        <w:t>holds a certificate of exemption</w:t>
      </w:r>
      <w:r>
        <w:rPr>
          <w:rFonts w:ascii="Times New Roman" w:hAnsi="Times New Roman"/>
          <w:sz w:val="24"/>
          <w:szCs w:val="24"/>
        </w:rPr>
        <w:t xml:space="preserve"> from RWT, this over-taxation </w:t>
      </w:r>
      <w:r w:rsidR="009F5659">
        <w:rPr>
          <w:rFonts w:ascii="Times New Roman" w:hAnsi="Times New Roman"/>
          <w:sz w:val="24"/>
          <w:szCs w:val="24"/>
        </w:rPr>
        <w:t>may</w:t>
      </w:r>
      <w:r>
        <w:rPr>
          <w:rFonts w:ascii="Times New Roman" w:hAnsi="Times New Roman"/>
          <w:sz w:val="24"/>
          <w:szCs w:val="24"/>
        </w:rPr>
        <w:t xml:space="preserve"> give rise to additional compliance cost</w:t>
      </w:r>
      <w:r w:rsidR="009F5659">
        <w:rPr>
          <w:rFonts w:ascii="Times New Roman" w:hAnsi="Times New Roman"/>
          <w:sz w:val="24"/>
          <w:szCs w:val="24"/>
        </w:rPr>
        <w:t>s</w:t>
      </w:r>
      <w:r>
        <w:rPr>
          <w:rFonts w:ascii="Times New Roman" w:hAnsi="Times New Roman"/>
          <w:sz w:val="24"/>
          <w:szCs w:val="24"/>
        </w:rPr>
        <w:t xml:space="preserve"> for both the paying company, which must account for the additional RWT to Inland Revenue, and the recipient company, which is </w:t>
      </w:r>
      <w:r w:rsidRPr="0077757A">
        <w:rPr>
          <w:rFonts w:ascii="Times New Roman" w:hAnsi="Times New Roman"/>
          <w:sz w:val="24"/>
          <w:szCs w:val="24"/>
        </w:rPr>
        <w:t>require</w:t>
      </w:r>
      <w:r>
        <w:rPr>
          <w:rFonts w:ascii="Times New Roman" w:hAnsi="Times New Roman"/>
          <w:sz w:val="24"/>
          <w:szCs w:val="24"/>
        </w:rPr>
        <w:t>d</w:t>
      </w:r>
      <w:r w:rsidRPr="0077757A">
        <w:rPr>
          <w:rFonts w:ascii="Times New Roman" w:hAnsi="Times New Roman"/>
          <w:sz w:val="24"/>
          <w:szCs w:val="24"/>
        </w:rPr>
        <w:t xml:space="preserve"> to seek a refund when </w:t>
      </w:r>
      <w:r>
        <w:rPr>
          <w:rFonts w:ascii="Times New Roman" w:hAnsi="Times New Roman"/>
          <w:sz w:val="24"/>
          <w:szCs w:val="24"/>
        </w:rPr>
        <w:t xml:space="preserve">the RWT credit </w:t>
      </w:r>
      <w:r w:rsidRPr="0077757A">
        <w:rPr>
          <w:rFonts w:ascii="Times New Roman" w:hAnsi="Times New Roman"/>
          <w:sz w:val="24"/>
          <w:szCs w:val="24"/>
        </w:rPr>
        <w:t xml:space="preserve">cannot </w:t>
      </w:r>
      <w:r>
        <w:rPr>
          <w:rFonts w:ascii="Times New Roman" w:hAnsi="Times New Roman"/>
          <w:sz w:val="24"/>
          <w:szCs w:val="24"/>
        </w:rPr>
        <w:t xml:space="preserve">be </w:t>
      </w:r>
      <w:r w:rsidRPr="0077757A">
        <w:rPr>
          <w:rFonts w:ascii="Times New Roman" w:hAnsi="Times New Roman"/>
          <w:sz w:val="24"/>
          <w:szCs w:val="24"/>
        </w:rPr>
        <w:t>use</w:t>
      </w:r>
      <w:r>
        <w:rPr>
          <w:rFonts w:ascii="Times New Roman" w:hAnsi="Times New Roman"/>
          <w:sz w:val="24"/>
          <w:szCs w:val="24"/>
        </w:rPr>
        <w:t>d</w:t>
      </w:r>
      <w:r w:rsidRPr="0077757A">
        <w:rPr>
          <w:rFonts w:ascii="Times New Roman" w:hAnsi="Times New Roman"/>
          <w:sz w:val="24"/>
          <w:szCs w:val="24"/>
        </w:rPr>
        <w:t>.</w:t>
      </w:r>
      <w:r>
        <w:rPr>
          <w:rFonts w:ascii="Times New Roman" w:hAnsi="Times New Roman"/>
          <w:sz w:val="24"/>
          <w:szCs w:val="24"/>
        </w:rPr>
        <w:t xml:space="preserve">  </w:t>
      </w:r>
    </w:p>
    <w:p w:rsidR="00931223" w:rsidRDefault="00931223" w:rsidP="0028142B">
      <w:pPr>
        <w:pStyle w:val="Bullet-list"/>
        <w:spacing w:after="0" w:line="240" w:lineRule="auto"/>
        <w:jc w:val="both"/>
        <w:rPr>
          <w:rFonts w:ascii="Times New Roman" w:hAnsi="Times New Roman"/>
          <w:sz w:val="24"/>
          <w:szCs w:val="24"/>
        </w:rPr>
      </w:pPr>
    </w:p>
    <w:p w:rsidR="005B0E9F" w:rsidRDefault="005B0E9F" w:rsidP="0028142B">
      <w:pPr>
        <w:pStyle w:val="Bullet-list"/>
        <w:spacing w:after="0" w:line="240" w:lineRule="auto"/>
        <w:jc w:val="both"/>
        <w:rPr>
          <w:rFonts w:ascii="Times New Roman" w:hAnsi="Times New Roman"/>
          <w:sz w:val="24"/>
          <w:szCs w:val="24"/>
        </w:rPr>
      </w:pPr>
    </w:p>
    <w:p w:rsidR="00931223" w:rsidRPr="00931223" w:rsidRDefault="00931223" w:rsidP="0028142B">
      <w:pPr>
        <w:pStyle w:val="Bullet-list"/>
        <w:spacing w:after="0" w:line="240" w:lineRule="auto"/>
        <w:jc w:val="both"/>
        <w:rPr>
          <w:rFonts w:ascii="Times New Roman" w:hAnsi="Times New Roman"/>
          <w:i/>
          <w:sz w:val="24"/>
          <w:szCs w:val="24"/>
        </w:rPr>
      </w:pPr>
      <w:r w:rsidRPr="00931223">
        <w:rPr>
          <w:rFonts w:ascii="Times New Roman" w:hAnsi="Times New Roman"/>
          <w:i/>
          <w:sz w:val="24"/>
          <w:szCs w:val="24"/>
        </w:rPr>
        <w:t>RWT on concurrent cash and non-cash dividends</w:t>
      </w:r>
    </w:p>
    <w:p w:rsidR="00931223" w:rsidRPr="005A262D" w:rsidRDefault="00931223" w:rsidP="0028142B">
      <w:pPr>
        <w:pStyle w:val="Bullet-list"/>
        <w:spacing w:after="0" w:line="240" w:lineRule="auto"/>
        <w:ind w:left="360" w:firstLine="0"/>
        <w:jc w:val="both"/>
        <w:rPr>
          <w:rFonts w:ascii="Times New Roman" w:hAnsi="Times New Roman"/>
          <w:sz w:val="24"/>
          <w:szCs w:val="24"/>
        </w:rPr>
      </w:pPr>
    </w:p>
    <w:p w:rsidR="00931223" w:rsidRDefault="00931223"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C74D19">
        <w:rPr>
          <w:rFonts w:ascii="Times New Roman" w:hAnsi="Times New Roman"/>
          <w:sz w:val="24"/>
          <w:szCs w:val="24"/>
        </w:rPr>
        <w:t xml:space="preserve">When a company pays a non-cash dividend, such as a taxable bonus issue, </w:t>
      </w:r>
      <w:r>
        <w:rPr>
          <w:rFonts w:ascii="Times New Roman" w:hAnsi="Times New Roman"/>
          <w:sz w:val="24"/>
          <w:szCs w:val="24"/>
        </w:rPr>
        <w:t>the dividend is still subject to RWT.  T</w:t>
      </w:r>
      <w:r w:rsidRPr="00C74D19">
        <w:rPr>
          <w:rFonts w:ascii="Times New Roman" w:hAnsi="Times New Roman"/>
          <w:sz w:val="24"/>
          <w:szCs w:val="24"/>
        </w:rPr>
        <w:t xml:space="preserve">he legislation requires the non-cash dividend to be grossed up because the RWT cannot </w:t>
      </w:r>
      <w:r>
        <w:rPr>
          <w:rFonts w:ascii="Times New Roman" w:hAnsi="Times New Roman"/>
          <w:sz w:val="24"/>
          <w:szCs w:val="24"/>
        </w:rPr>
        <w:t xml:space="preserve">practically </w:t>
      </w:r>
      <w:r w:rsidRPr="00C74D19">
        <w:rPr>
          <w:rFonts w:ascii="Times New Roman" w:hAnsi="Times New Roman"/>
          <w:sz w:val="24"/>
          <w:szCs w:val="24"/>
        </w:rPr>
        <w:t xml:space="preserve">be </w:t>
      </w:r>
      <w:r>
        <w:rPr>
          <w:rFonts w:ascii="Times New Roman" w:hAnsi="Times New Roman"/>
          <w:sz w:val="24"/>
          <w:szCs w:val="24"/>
        </w:rPr>
        <w:t xml:space="preserve">withheld from the </w:t>
      </w:r>
      <w:r w:rsidRPr="00C74D19">
        <w:rPr>
          <w:rFonts w:ascii="Times New Roman" w:hAnsi="Times New Roman"/>
          <w:sz w:val="24"/>
          <w:szCs w:val="24"/>
        </w:rPr>
        <w:t xml:space="preserve">non-cash amount.  </w:t>
      </w:r>
    </w:p>
    <w:p w:rsidR="00931223" w:rsidRDefault="00931223" w:rsidP="0028142B">
      <w:pPr>
        <w:pStyle w:val="Bullet-list"/>
        <w:spacing w:after="0" w:line="240" w:lineRule="auto"/>
        <w:ind w:left="0" w:firstLine="0"/>
        <w:jc w:val="both"/>
        <w:rPr>
          <w:rFonts w:ascii="Times New Roman" w:hAnsi="Times New Roman"/>
          <w:sz w:val="24"/>
          <w:szCs w:val="24"/>
        </w:rPr>
      </w:pPr>
    </w:p>
    <w:p w:rsidR="00186A19" w:rsidRDefault="00931223"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When a company pays a non-cash dividend concurrently with a cash dividend both dividends are subject to RWT.  The legislation trea</w:t>
      </w:r>
      <w:r w:rsidR="00517071">
        <w:rPr>
          <w:rFonts w:ascii="Times New Roman" w:hAnsi="Times New Roman"/>
          <w:sz w:val="24"/>
          <w:szCs w:val="24"/>
        </w:rPr>
        <w:t>ts the two dividends separately</w:t>
      </w:r>
      <w:r>
        <w:rPr>
          <w:rFonts w:ascii="Times New Roman" w:hAnsi="Times New Roman"/>
          <w:sz w:val="24"/>
          <w:szCs w:val="24"/>
        </w:rPr>
        <w:t xml:space="preserve"> and requires the non-cash dividend to be grossed</w:t>
      </w:r>
      <w:r w:rsidRPr="00323328">
        <w:rPr>
          <w:rFonts w:ascii="Times New Roman" w:hAnsi="Times New Roman"/>
          <w:sz w:val="24"/>
          <w:szCs w:val="24"/>
        </w:rPr>
        <w:t xml:space="preserve"> </w:t>
      </w:r>
      <w:r>
        <w:rPr>
          <w:rFonts w:ascii="Times New Roman" w:hAnsi="Times New Roman"/>
          <w:sz w:val="24"/>
          <w:szCs w:val="24"/>
        </w:rPr>
        <w:t>up and the RWT applied on the gross amount</w:t>
      </w:r>
      <w:r w:rsidRPr="00323328">
        <w:rPr>
          <w:rFonts w:ascii="Times New Roman" w:hAnsi="Times New Roman"/>
          <w:sz w:val="24"/>
          <w:szCs w:val="24"/>
        </w:rPr>
        <w:t xml:space="preserve">.  </w:t>
      </w:r>
      <w:r w:rsidR="00186A19">
        <w:rPr>
          <w:rFonts w:ascii="Times New Roman" w:hAnsi="Times New Roman"/>
          <w:sz w:val="24"/>
          <w:szCs w:val="24"/>
        </w:rPr>
        <w:t xml:space="preserve">This gross up is required even when the </w:t>
      </w:r>
      <w:r w:rsidR="00517071">
        <w:rPr>
          <w:rFonts w:ascii="Times New Roman" w:hAnsi="Times New Roman"/>
          <w:sz w:val="24"/>
          <w:szCs w:val="24"/>
        </w:rPr>
        <w:t xml:space="preserve">concurrent </w:t>
      </w:r>
      <w:r w:rsidR="00186A19">
        <w:rPr>
          <w:rFonts w:ascii="Times New Roman" w:hAnsi="Times New Roman"/>
          <w:sz w:val="24"/>
          <w:szCs w:val="24"/>
        </w:rPr>
        <w:t xml:space="preserve">cash dividend is sufficient to cover the RWT obligation on both dividends.  </w:t>
      </w:r>
      <w:r>
        <w:rPr>
          <w:rFonts w:ascii="Times New Roman" w:hAnsi="Times New Roman"/>
          <w:sz w:val="24"/>
          <w:szCs w:val="24"/>
        </w:rPr>
        <w:t xml:space="preserve">This gross-up can </w:t>
      </w:r>
      <w:r w:rsidR="00186A19">
        <w:rPr>
          <w:rFonts w:ascii="Times New Roman" w:hAnsi="Times New Roman"/>
          <w:sz w:val="24"/>
          <w:szCs w:val="24"/>
        </w:rPr>
        <w:t xml:space="preserve">therefore </w:t>
      </w:r>
      <w:r>
        <w:rPr>
          <w:rFonts w:ascii="Times New Roman" w:hAnsi="Times New Roman"/>
          <w:sz w:val="24"/>
          <w:szCs w:val="24"/>
        </w:rPr>
        <w:t xml:space="preserve">result in the </w:t>
      </w:r>
      <w:r w:rsidRPr="00323328">
        <w:rPr>
          <w:rFonts w:ascii="Times New Roman" w:hAnsi="Times New Roman"/>
          <w:sz w:val="24"/>
          <w:szCs w:val="24"/>
        </w:rPr>
        <w:t xml:space="preserve">RWT </w:t>
      </w:r>
      <w:r w:rsidR="002F177E">
        <w:rPr>
          <w:rFonts w:ascii="Times New Roman" w:hAnsi="Times New Roman"/>
          <w:sz w:val="24"/>
          <w:szCs w:val="24"/>
        </w:rPr>
        <w:t xml:space="preserve">obligation </w:t>
      </w:r>
      <w:r>
        <w:rPr>
          <w:rFonts w:ascii="Times New Roman" w:hAnsi="Times New Roman"/>
          <w:sz w:val="24"/>
          <w:szCs w:val="24"/>
        </w:rPr>
        <w:t>across both divid</w:t>
      </w:r>
      <w:r w:rsidR="002F177E">
        <w:rPr>
          <w:rFonts w:ascii="Times New Roman" w:hAnsi="Times New Roman"/>
          <w:sz w:val="24"/>
          <w:szCs w:val="24"/>
        </w:rPr>
        <w:t>ends</w:t>
      </w:r>
      <w:r>
        <w:rPr>
          <w:rFonts w:ascii="Times New Roman" w:hAnsi="Times New Roman"/>
          <w:sz w:val="24"/>
          <w:szCs w:val="24"/>
        </w:rPr>
        <w:t xml:space="preserve"> </w:t>
      </w:r>
      <w:r w:rsidR="002F177E">
        <w:rPr>
          <w:rFonts w:ascii="Times New Roman" w:hAnsi="Times New Roman"/>
          <w:sz w:val="24"/>
          <w:szCs w:val="24"/>
        </w:rPr>
        <w:t xml:space="preserve">being </w:t>
      </w:r>
      <w:r w:rsidRPr="00323328">
        <w:rPr>
          <w:rFonts w:ascii="Times New Roman" w:hAnsi="Times New Roman"/>
          <w:sz w:val="24"/>
          <w:szCs w:val="24"/>
        </w:rPr>
        <w:t>higher than it should.</w:t>
      </w:r>
    </w:p>
    <w:p w:rsidR="00186A19" w:rsidRDefault="00186A19" w:rsidP="0028142B">
      <w:pPr>
        <w:jc w:val="both"/>
        <w:rPr>
          <w:rFonts w:ascii="Times New Roman" w:hAnsi="Times New Roman"/>
          <w:b/>
          <w:sz w:val="24"/>
          <w:szCs w:val="24"/>
          <w:lang w:val="en-AU"/>
        </w:rPr>
      </w:pPr>
    </w:p>
    <w:p w:rsidR="00186A19" w:rsidRPr="00C15E38" w:rsidRDefault="00186A19" w:rsidP="0028142B">
      <w:pPr>
        <w:jc w:val="both"/>
        <w:rPr>
          <w:rFonts w:ascii="Times New Roman" w:hAnsi="Times New Roman"/>
          <w:b/>
          <w:i/>
          <w:sz w:val="24"/>
          <w:szCs w:val="24"/>
          <w:lang w:val="en-AU"/>
        </w:rPr>
      </w:pPr>
      <w:r w:rsidRPr="00C15E38">
        <w:rPr>
          <w:rFonts w:ascii="Times New Roman" w:hAnsi="Times New Roman"/>
          <w:b/>
          <w:i/>
          <w:sz w:val="24"/>
          <w:szCs w:val="24"/>
          <w:lang w:val="en-AU"/>
        </w:rPr>
        <w:t>Rules which restrict commercial practice</w:t>
      </w:r>
    </w:p>
    <w:p w:rsidR="00186A19" w:rsidRPr="005B7E96" w:rsidRDefault="00186A19"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5B7E96">
        <w:rPr>
          <w:rFonts w:ascii="Times New Roman" w:hAnsi="Times New Roman"/>
          <w:sz w:val="24"/>
          <w:szCs w:val="24"/>
        </w:rPr>
        <w:t>As discussed</w:t>
      </w:r>
      <w:r w:rsidR="002F177E">
        <w:rPr>
          <w:rFonts w:ascii="Times New Roman" w:hAnsi="Times New Roman"/>
          <w:sz w:val="24"/>
          <w:szCs w:val="24"/>
        </w:rPr>
        <w:t>,</w:t>
      </w:r>
      <w:r w:rsidRPr="005B7E96">
        <w:rPr>
          <w:rFonts w:ascii="Times New Roman" w:hAnsi="Times New Roman"/>
          <w:sz w:val="24"/>
          <w:szCs w:val="24"/>
        </w:rPr>
        <w:t xml:space="preserve"> several of the rules were, upon review, seen to be </w:t>
      </w:r>
      <w:r>
        <w:rPr>
          <w:rFonts w:ascii="Times New Roman" w:hAnsi="Times New Roman"/>
          <w:sz w:val="24"/>
          <w:szCs w:val="24"/>
        </w:rPr>
        <w:t>inflexible or overly restrictive of non-tax driven legitimate commercial practice</w:t>
      </w:r>
      <w:r w:rsidR="002F177E">
        <w:rPr>
          <w:rFonts w:ascii="Times New Roman" w:hAnsi="Times New Roman"/>
          <w:sz w:val="24"/>
          <w:szCs w:val="24"/>
        </w:rPr>
        <w:t>.  T</w:t>
      </w:r>
      <w:r w:rsidRPr="005B7E96">
        <w:rPr>
          <w:rFonts w:ascii="Times New Roman" w:hAnsi="Times New Roman"/>
          <w:sz w:val="24"/>
          <w:szCs w:val="24"/>
        </w:rPr>
        <w:t xml:space="preserve">hese rules and the specific concerns </w:t>
      </w:r>
      <w:r>
        <w:rPr>
          <w:rFonts w:ascii="Times New Roman" w:hAnsi="Times New Roman"/>
          <w:sz w:val="24"/>
          <w:szCs w:val="24"/>
        </w:rPr>
        <w:t xml:space="preserve">relating to them </w:t>
      </w:r>
      <w:r w:rsidRPr="005B7E96">
        <w:rPr>
          <w:rFonts w:ascii="Times New Roman" w:hAnsi="Times New Roman"/>
          <w:sz w:val="24"/>
          <w:szCs w:val="24"/>
        </w:rPr>
        <w:t>are discussed below.</w:t>
      </w:r>
    </w:p>
    <w:p w:rsidR="00186A19" w:rsidRDefault="00186A19" w:rsidP="0028142B">
      <w:pPr>
        <w:pStyle w:val="Bullet-list"/>
        <w:spacing w:after="0" w:line="240" w:lineRule="auto"/>
        <w:ind w:left="0" w:firstLine="0"/>
        <w:jc w:val="both"/>
        <w:rPr>
          <w:rFonts w:ascii="Times New Roman" w:hAnsi="Times New Roman"/>
          <w:sz w:val="24"/>
          <w:szCs w:val="24"/>
        </w:rPr>
      </w:pPr>
    </w:p>
    <w:p w:rsidR="00186A19" w:rsidRPr="002F177E" w:rsidRDefault="00186A19" w:rsidP="0028142B">
      <w:pPr>
        <w:pStyle w:val="Bullet-list"/>
        <w:spacing w:after="0" w:line="240" w:lineRule="auto"/>
        <w:jc w:val="both"/>
        <w:rPr>
          <w:rFonts w:ascii="Times New Roman" w:hAnsi="Times New Roman"/>
          <w:i/>
          <w:sz w:val="24"/>
          <w:szCs w:val="24"/>
        </w:rPr>
      </w:pPr>
      <w:r w:rsidRPr="002F177E">
        <w:rPr>
          <w:rFonts w:ascii="Times New Roman" w:hAnsi="Times New Roman"/>
          <w:i/>
          <w:sz w:val="24"/>
          <w:szCs w:val="24"/>
        </w:rPr>
        <w:t>LTC restriction on share classes</w:t>
      </w:r>
    </w:p>
    <w:p w:rsidR="00186A19" w:rsidRPr="0079517C" w:rsidRDefault="00186A19" w:rsidP="0028142B">
      <w:pPr>
        <w:pStyle w:val="ListParagraph"/>
        <w:rPr>
          <w:rFonts w:ascii="Times New Roman" w:hAnsi="Times New Roman"/>
          <w:sz w:val="24"/>
          <w:szCs w:val="24"/>
          <w:highlight w:val="yellow"/>
        </w:rPr>
      </w:pPr>
    </w:p>
    <w:p w:rsidR="00186A19" w:rsidRDefault="00186A19"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D92D48">
        <w:rPr>
          <w:rFonts w:ascii="Times New Roman" w:hAnsi="Times New Roman"/>
          <w:sz w:val="24"/>
          <w:szCs w:val="24"/>
        </w:rPr>
        <w:t xml:space="preserve">Currently, in order to simplify the </w:t>
      </w:r>
      <w:r>
        <w:rPr>
          <w:rFonts w:ascii="Times New Roman" w:hAnsi="Times New Roman"/>
          <w:sz w:val="24"/>
          <w:szCs w:val="24"/>
        </w:rPr>
        <w:t>attribution</w:t>
      </w:r>
      <w:r w:rsidRPr="00D92D48">
        <w:rPr>
          <w:rFonts w:ascii="Times New Roman" w:hAnsi="Times New Roman"/>
          <w:sz w:val="24"/>
          <w:szCs w:val="24"/>
        </w:rPr>
        <w:t xml:space="preserve"> of income and expenditure to shareholdings of look-through owners</w:t>
      </w:r>
      <w:r>
        <w:rPr>
          <w:rFonts w:ascii="Times New Roman" w:hAnsi="Times New Roman"/>
          <w:sz w:val="24"/>
          <w:szCs w:val="24"/>
        </w:rPr>
        <w:t>,</w:t>
      </w:r>
      <w:r w:rsidRPr="00D92D48">
        <w:rPr>
          <w:rFonts w:ascii="Times New Roman" w:hAnsi="Times New Roman"/>
          <w:sz w:val="24"/>
          <w:szCs w:val="24"/>
        </w:rPr>
        <w:t xml:space="preserve"> LTCs can only have one class of share.  </w:t>
      </w:r>
      <w:r w:rsidR="00FC083B">
        <w:rPr>
          <w:rFonts w:ascii="Times New Roman" w:hAnsi="Times New Roman"/>
          <w:sz w:val="24"/>
          <w:szCs w:val="24"/>
        </w:rPr>
        <w:t>This rule is overly restrictive in the light of the policy objective.</w:t>
      </w:r>
    </w:p>
    <w:p w:rsidR="00186A19" w:rsidRDefault="00186A19" w:rsidP="0028142B">
      <w:pPr>
        <w:pStyle w:val="Bullet-list"/>
        <w:spacing w:after="0" w:line="240" w:lineRule="auto"/>
        <w:ind w:left="0" w:firstLine="0"/>
        <w:jc w:val="both"/>
        <w:rPr>
          <w:rFonts w:ascii="Times New Roman" w:hAnsi="Times New Roman"/>
          <w:sz w:val="24"/>
          <w:szCs w:val="24"/>
        </w:rPr>
      </w:pPr>
    </w:p>
    <w:p w:rsidR="00186A19" w:rsidRDefault="00186A19"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D92D48">
        <w:rPr>
          <w:rFonts w:ascii="Times New Roman" w:hAnsi="Times New Roman"/>
          <w:sz w:val="24"/>
          <w:szCs w:val="24"/>
        </w:rPr>
        <w:t>This limitation can restrict legitimate commercial structuring or generational planning</w:t>
      </w:r>
      <w:r w:rsidR="00B0198F">
        <w:rPr>
          <w:rFonts w:ascii="Times New Roman" w:hAnsi="Times New Roman"/>
          <w:sz w:val="24"/>
          <w:szCs w:val="24"/>
        </w:rPr>
        <w:t xml:space="preserve"> and inhibit some companies from becoming LTCs.  </w:t>
      </w:r>
      <w:r w:rsidRPr="00D92D48">
        <w:rPr>
          <w:rFonts w:ascii="Times New Roman" w:hAnsi="Times New Roman"/>
          <w:sz w:val="24"/>
          <w:szCs w:val="24"/>
        </w:rPr>
        <w:t xml:space="preserve">A parent, for example, because of their industry expertise, may want to retain control of the decision-making process when children are introduced into the business. </w:t>
      </w:r>
      <w:r w:rsidR="00B0198F">
        <w:rPr>
          <w:rFonts w:ascii="Times New Roman" w:hAnsi="Times New Roman"/>
          <w:sz w:val="24"/>
          <w:szCs w:val="24"/>
        </w:rPr>
        <w:t xml:space="preserve"> It would be reasonable to do this through having shares that carry different voting rights.  The current requirement is particularly problematic when the different classes of shares carry the same entitlements to distributions. </w:t>
      </w:r>
    </w:p>
    <w:p w:rsidR="005B7E96" w:rsidRDefault="005B7E96" w:rsidP="0028142B">
      <w:pPr>
        <w:pStyle w:val="Bullet-list"/>
        <w:spacing w:after="0" w:line="240" w:lineRule="auto"/>
        <w:ind w:left="0" w:firstLine="0"/>
        <w:jc w:val="both"/>
        <w:rPr>
          <w:rFonts w:ascii="Times New Roman" w:hAnsi="Times New Roman"/>
          <w:i/>
          <w:sz w:val="24"/>
          <w:szCs w:val="24"/>
        </w:rPr>
      </w:pPr>
    </w:p>
    <w:p w:rsidR="005B7E96" w:rsidRDefault="005B7E96" w:rsidP="0028142B">
      <w:pPr>
        <w:pStyle w:val="Bullet-list"/>
        <w:spacing w:after="0" w:line="240" w:lineRule="auto"/>
        <w:ind w:left="0" w:firstLine="0"/>
        <w:jc w:val="both"/>
        <w:rPr>
          <w:rFonts w:ascii="Times New Roman" w:hAnsi="Times New Roman"/>
          <w:i/>
          <w:sz w:val="24"/>
          <w:szCs w:val="24"/>
        </w:rPr>
      </w:pPr>
      <w:r w:rsidRPr="002C0133">
        <w:rPr>
          <w:rFonts w:ascii="Times New Roman" w:hAnsi="Times New Roman"/>
          <w:i/>
          <w:sz w:val="24"/>
          <w:szCs w:val="24"/>
        </w:rPr>
        <w:t>Tainted capital gains</w:t>
      </w:r>
    </w:p>
    <w:p w:rsidR="005B7E96" w:rsidRPr="002C0133" w:rsidRDefault="005B7E96" w:rsidP="0028142B">
      <w:pPr>
        <w:pStyle w:val="Bullet-list"/>
        <w:spacing w:after="0" w:line="240" w:lineRule="auto"/>
        <w:ind w:left="0" w:firstLine="0"/>
        <w:jc w:val="both"/>
        <w:rPr>
          <w:rFonts w:ascii="Times New Roman" w:hAnsi="Times New Roman"/>
          <w:i/>
          <w:sz w:val="24"/>
          <w:szCs w:val="24"/>
        </w:rPr>
      </w:pPr>
    </w:p>
    <w:p w:rsidR="005B7E96" w:rsidRDefault="00186A19"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Capital gains derived at the company level cannot be distributed tax free by ordinary companies, except upon liquida</w:t>
      </w:r>
      <w:r w:rsidR="00C56701">
        <w:rPr>
          <w:rFonts w:ascii="Times New Roman" w:hAnsi="Times New Roman"/>
          <w:sz w:val="24"/>
          <w:szCs w:val="24"/>
        </w:rPr>
        <w:t>tion.  The tainted capital gain</w:t>
      </w:r>
      <w:r w:rsidRPr="00013829">
        <w:rPr>
          <w:rFonts w:ascii="Times New Roman" w:hAnsi="Times New Roman"/>
          <w:sz w:val="24"/>
          <w:szCs w:val="24"/>
        </w:rPr>
        <w:t xml:space="preserve"> rule</w:t>
      </w:r>
      <w:r>
        <w:rPr>
          <w:rFonts w:ascii="Times New Roman" w:hAnsi="Times New Roman"/>
          <w:sz w:val="24"/>
          <w:szCs w:val="24"/>
        </w:rPr>
        <w:t xml:space="preserve"> </w:t>
      </w:r>
      <w:r w:rsidRPr="00013829">
        <w:rPr>
          <w:rFonts w:ascii="Times New Roman" w:hAnsi="Times New Roman"/>
          <w:sz w:val="24"/>
          <w:szCs w:val="24"/>
        </w:rPr>
        <w:t>taints a capital profit if it is realised by a sale of a capital ass</w:t>
      </w:r>
      <w:r>
        <w:rPr>
          <w:rFonts w:ascii="Times New Roman" w:hAnsi="Times New Roman"/>
          <w:sz w:val="24"/>
          <w:szCs w:val="24"/>
        </w:rPr>
        <w:t>et to an associated person (for example</w:t>
      </w:r>
      <w:r w:rsidRPr="00013829">
        <w:rPr>
          <w:rFonts w:ascii="Times New Roman" w:hAnsi="Times New Roman"/>
          <w:sz w:val="24"/>
          <w:szCs w:val="24"/>
        </w:rPr>
        <w:t xml:space="preserve"> a group company or a significant shareholder</w:t>
      </w:r>
      <w:r>
        <w:rPr>
          <w:rFonts w:ascii="Times New Roman" w:hAnsi="Times New Roman"/>
          <w:sz w:val="24"/>
          <w:szCs w:val="24"/>
        </w:rPr>
        <w:t>)</w:t>
      </w:r>
      <w:r w:rsidR="00E244AD">
        <w:rPr>
          <w:rFonts w:ascii="Times New Roman" w:hAnsi="Times New Roman"/>
          <w:sz w:val="24"/>
          <w:szCs w:val="24"/>
        </w:rPr>
        <w:t xml:space="preserve"> making it taxable</w:t>
      </w:r>
      <w:r w:rsidR="005B7E96">
        <w:rPr>
          <w:rFonts w:ascii="Times New Roman" w:hAnsi="Times New Roman"/>
          <w:sz w:val="24"/>
          <w:szCs w:val="24"/>
        </w:rPr>
        <w:t xml:space="preserve"> </w:t>
      </w:r>
      <w:r>
        <w:rPr>
          <w:rFonts w:ascii="Times New Roman" w:hAnsi="Times New Roman"/>
          <w:sz w:val="24"/>
          <w:szCs w:val="24"/>
        </w:rPr>
        <w:t>upon liquidation</w:t>
      </w:r>
      <w:r w:rsidR="005B7E96">
        <w:rPr>
          <w:rFonts w:ascii="Times New Roman" w:hAnsi="Times New Roman"/>
          <w:sz w:val="24"/>
          <w:szCs w:val="24"/>
        </w:rPr>
        <w:t>,</w:t>
      </w:r>
      <w:r>
        <w:rPr>
          <w:rFonts w:ascii="Times New Roman" w:hAnsi="Times New Roman"/>
          <w:sz w:val="24"/>
          <w:szCs w:val="24"/>
        </w:rPr>
        <w:t xml:space="preserve"> unless the gain is derived by a close company</w:t>
      </w:r>
      <w:r w:rsidR="00C56701">
        <w:rPr>
          <w:rFonts w:ascii="Times New Roman" w:hAnsi="Times New Roman"/>
          <w:sz w:val="24"/>
          <w:szCs w:val="24"/>
        </w:rPr>
        <w:t xml:space="preserve"> and ari</w:t>
      </w:r>
      <w:r>
        <w:rPr>
          <w:rFonts w:ascii="Times New Roman" w:hAnsi="Times New Roman"/>
          <w:sz w:val="24"/>
          <w:szCs w:val="24"/>
        </w:rPr>
        <w:t>se</w:t>
      </w:r>
      <w:r w:rsidR="00C56701">
        <w:rPr>
          <w:rFonts w:ascii="Times New Roman" w:hAnsi="Times New Roman"/>
          <w:sz w:val="24"/>
          <w:szCs w:val="24"/>
        </w:rPr>
        <w:t>s</w:t>
      </w:r>
      <w:r>
        <w:rPr>
          <w:rFonts w:ascii="Times New Roman" w:hAnsi="Times New Roman"/>
          <w:sz w:val="24"/>
          <w:szCs w:val="24"/>
        </w:rPr>
        <w:t xml:space="preserve"> during the course of liquidation.  </w:t>
      </w:r>
    </w:p>
    <w:p w:rsidR="005B7E96" w:rsidRDefault="005B7E96" w:rsidP="0028142B">
      <w:pPr>
        <w:pStyle w:val="Bullet-list"/>
        <w:spacing w:after="0" w:line="240" w:lineRule="auto"/>
        <w:ind w:left="0" w:firstLine="0"/>
        <w:jc w:val="both"/>
        <w:rPr>
          <w:rFonts w:ascii="Times New Roman" w:hAnsi="Times New Roman"/>
          <w:sz w:val="24"/>
          <w:szCs w:val="24"/>
        </w:rPr>
      </w:pPr>
    </w:p>
    <w:p w:rsidR="00186A19" w:rsidRPr="002737FA" w:rsidRDefault="00186A19"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E244AD">
        <w:rPr>
          <w:rFonts w:ascii="Times New Roman" w:hAnsi="Times New Roman"/>
          <w:sz w:val="24"/>
          <w:szCs w:val="24"/>
        </w:rPr>
        <w:t>The policy rationale for this rule is that sales</w:t>
      </w:r>
      <w:r w:rsidRPr="00AD17BA">
        <w:rPr>
          <w:rFonts w:ascii="Times New Roman" w:hAnsi="Times New Roman"/>
          <w:sz w:val="24"/>
          <w:szCs w:val="24"/>
        </w:rPr>
        <w:t xml:space="preserve"> of assets between associated persons (for example </w:t>
      </w:r>
      <w:r w:rsidR="00C56701">
        <w:rPr>
          <w:rFonts w:ascii="Times New Roman" w:hAnsi="Times New Roman"/>
          <w:sz w:val="24"/>
          <w:szCs w:val="24"/>
        </w:rPr>
        <w:t>sales within</w:t>
      </w:r>
      <w:r w:rsidRPr="00AD17BA">
        <w:rPr>
          <w:rFonts w:ascii="Times New Roman" w:hAnsi="Times New Roman"/>
          <w:sz w:val="24"/>
          <w:szCs w:val="24"/>
        </w:rPr>
        <w:t xml:space="preserve"> a group of companies) can </w:t>
      </w:r>
      <w:r w:rsidR="00C56701">
        <w:rPr>
          <w:rFonts w:ascii="Times New Roman" w:hAnsi="Times New Roman"/>
          <w:sz w:val="24"/>
          <w:szCs w:val="24"/>
        </w:rPr>
        <w:t>be for the purposes</w:t>
      </w:r>
      <w:r w:rsidRPr="00AD17BA">
        <w:rPr>
          <w:rFonts w:ascii="Times New Roman" w:hAnsi="Times New Roman"/>
          <w:sz w:val="24"/>
          <w:szCs w:val="24"/>
        </w:rPr>
        <w:t xml:space="preserve"> of creating additional am</w:t>
      </w:r>
      <w:r w:rsidRPr="002737FA">
        <w:rPr>
          <w:rFonts w:ascii="Times New Roman" w:hAnsi="Times New Roman"/>
          <w:sz w:val="24"/>
          <w:szCs w:val="24"/>
        </w:rPr>
        <w:t>ounts of capital reserves that can be distributed tax-free</w:t>
      </w:r>
      <w:r w:rsidR="00C56701">
        <w:rPr>
          <w:rFonts w:ascii="Times New Roman" w:hAnsi="Times New Roman"/>
          <w:sz w:val="24"/>
          <w:szCs w:val="24"/>
        </w:rPr>
        <w:t>,</w:t>
      </w:r>
      <w:r w:rsidRPr="002737FA">
        <w:rPr>
          <w:rFonts w:ascii="Times New Roman" w:hAnsi="Times New Roman"/>
          <w:sz w:val="24"/>
          <w:szCs w:val="24"/>
        </w:rPr>
        <w:t xml:space="preserve"> rather than for general commercial reasons.  This would allow a company to distribute ‘capital profits’ tax free in lieu of dividends</w:t>
      </w:r>
      <w:r w:rsidR="00C56701">
        <w:rPr>
          <w:rFonts w:ascii="Times New Roman" w:hAnsi="Times New Roman"/>
          <w:sz w:val="24"/>
          <w:szCs w:val="24"/>
        </w:rPr>
        <w:t>,</w:t>
      </w:r>
      <w:r w:rsidRPr="002737FA">
        <w:rPr>
          <w:rFonts w:ascii="Times New Roman" w:hAnsi="Times New Roman"/>
          <w:sz w:val="24"/>
          <w:szCs w:val="24"/>
        </w:rPr>
        <w:t xml:space="preserve"> which would have been taxable. </w:t>
      </w:r>
    </w:p>
    <w:p w:rsidR="00186A19" w:rsidRDefault="00186A19" w:rsidP="0028142B">
      <w:pPr>
        <w:pStyle w:val="Bullet-list"/>
        <w:tabs>
          <w:tab w:val="num" w:pos="567"/>
        </w:tabs>
        <w:spacing w:after="0" w:line="240" w:lineRule="auto"/>
        <w:ind w:left="0" w:firstLine="0"/>
        <w:jc w:val="both"/>
        <w:rPr>
          <w:rFonts w:ascii="Times New Roman" w:hAnsi="Times New Roman"/>
          <w:sz w:val="24"/>
          <w:szCs w:val="24"/>
        </w:rPr>
      </w:pPr>
    </w:p>
    <w:p w:rsidR="00186A19" w:rsidRDefault="00186A19" w:rsidP="00166E95">
      <w:pPr>
        <w:pStyle w:val="Bullet-list"/>
        <w:numPr>
          <w:ilvl w:val="0"/>
          <w:numId w:val="2"/>
        </w:numPr>
        <w:tabs>
          <w:tab w:val="clear" w:pos="360"/>
          <w:tab w:val="num" w:pos="0"/>
          <w:tab w:val="num" w:pos="567"/>
        </w:tabs>
        <w:spacing w:after="0" w:line="240" w:lineRule="auto"/>
        <w:ind w:left="0" w:firstLine="0"/>
        <w:jc w:val="both"/>
        <w:rPr>
          <w:rFonts w:ascii="Times New Roman" w:hAnsi="Times New Roman"/>
          <w:sz w:val="24"/>
          <w:szCs w:val="24"/>
        </w:rPr>
      </w:pPr>
      <w:r w:rsidRPr="000D788D">
        <w:rPr>
          <w:rFonts w:ascii="Times New Roman" w:hAnsi="Times New Roman"/>
          <w:sz w:val="24"/>
          <w:szCs w:val="24"/>
        </w:rPr>
        <w:t>The rest</w:t>
      </w:r>
      <w:r>
        <w:rPr>
          <w:rFonts w:ascii="Times New Roman" w:hAnsi="Times New Roman"/>
          <w:sz w:val="24"/>
          <w:szCs w:val="24"/>
        </w:rPr>
        <w:t xml:space="preserve">riction dates back to the 1980s.  Due to various </w:t>
      </w:r>
      <w:proofErr w:type="gramStart"/>
      <w:r>
        <w:rPr>
          <w:rFonts w:ascii="Times New Roman" w:hAnsi="Times New Roman"/>
          <w:sz w:val="24"/>
          <w:szCs w:val="24"/>
        </w:rPr>
        <w:t>tax</w:t>
      </w:r>
      <w:proofErr w:type="gramEnd"/>
      <w:r>
        <w:rPr>
          <w:rFonts w:ascii="Times New Roman" w:hAnsi="Times New Roman"/>
          <w:sz w:val="24"/>
          <w:szCs w:val="24"/>
        </w:rPr>
        <w:t xml:space="preserve"> system changes which have taken place over time (in particular, the introduction of the imputation regime and a comprehensive definition of dividend) the rule may have less relevance today. </w:t>
      </w:r>
    </w:p>
    <w:p w:rsidR="00186A19" w:rsidRPr="000D788D" w:rsidRDefault="00186A19" w:rsidP="0028142B">
      <w:pPr>
        <w:pStyle w:val="Bullet-list"/>
        <w:tabs>
          <w:tab w:val="num" w:pos="567"/>
        </w:tabs>
        <w:spacing w:after="0" w:line="240" w:lineRule="auto"/>
        <w:ind w:left="0" w:firstLine="0"/>
        <w:jc w:val="both"/>
        <w:rPr>
          <w:rFonts w:ascii="Times New Roman" w:hAnsi="Times New Roman"/>
          <w:sz w:val="24"/>
          <w:szCs w:val="24"/>
        </w:rPr>
      </w:pPr>
    </w:p>
    <w:p w:rsidR="00186A19" w:rsidRDefault="00186A19" w:rsidP="00166E95">
      <w:pPr>
        <w:pStyle w:val="Bullet-list"/>
        <w:numPr>
          <w:ilvl w:val="0"/>
          <w:numId w:val="2"/>
        </w:numPr>
        <w:tabs>
          <w:tab w:val="clear" w:pos="360"/>
          <w:tab w:val="num" w:pos="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I</w:t>
      </w:r>
      <w:r w:rsidRPr="00CF3BF3">
        <w:rPr>
          <w:rFonts w:ascii="Times New Roman" w:hAnsi="Times New Roman"/>
          <w:sz w:val="24"/>
          <w:szCs w:val="24"/>
        </w:rPr>
        <w:t xml:space="preserve">n practice the </w:t>
      </w:r>
      <w:r>
        <w:rPr>
          <w:rFonts w:ascii="Times New Roman" w:hAnsi="Times New Roman"/>
          <w:sz w:val="24"/>
          <w:szCs w:val="24"/>
        </w:rPr>
        <w:t xml:space="preserve">tainting rule can capture </w:t>
      </w:r>
      <w:r w:rsidRPr="00CF3BF3">
        <w:rPr>
          <w:rFonts w:ascii="Times New Roman" w:hAnsi="Times New Roman"/>
          <w:sz w:val="24"/>
          <w:szCs w:val="24"/>
        </w:rPr>
        <w:t>genuine transactions wh</w:t>
      </w:r>
      <w:r>
        <w:rPr>
          <w:rFonts w:ascii="Times New Roman" w:hAnsi="Times New Roman"/>
          <w:sz w:val="24"/>
          <w:szCs w:val="24"/>
        </w:rPr>
        <w:t>en</w:t>
      </w:r>
      <w:r w:rsidRPr="00CF3BF3">
        <w:rPr>
          <w:rFonts w:ascii="Times New Roman" w:hAnsi="Times New Roman"/>
          <w:sz w:val="24"/>
          <w:szCs w:val="24"/>
        </w:rPr>
        <w:t xml:space="preserve"> the sale is not </w:t>
      </w:r>
      <w:r>
        <w:rPr>
          <w:rFonts w:ascii="Times New Roman" w:hAnsi="Times New Roman"/>
          <w:sz w:val="24"/>
          <w:szCs w:val="24"/>
        </w:rPr>
        <w:t>tax driven, for example the transfer of an asset as part of a genuine commercial restructure.  T</w:t>
      </w:r>
      <w:r w:rsidRPr="00CF3BF3">
        <w:rPr>
          <w:rFonts w:ascii="Times New Roman" w:hAnsi="Times New Roman"/>
          <w:sz w:val="24"/>
          <w:szCs w:val="24"/>
        </w:rPr>
        <w:t>he restriction</w:t>
      </w:r>
      <w:r>
        <w:rPr>
          <w:rFonts w:ascii="Times New Roman" w:hAnsi="Times New Roman"/>
          <w:sz w:val="24"/>
          <w:szCs w:val="24"/>
        </w:rPr>
        <w:t>,</w:t>
      </w:r>
      <w:r w:rsidRPr="00CF3BF3">
        <w:rPr>
          <w:rFonts w:ascii="Times New Roman" w:hAnsi="Times New Roman"/>
          <w:sz w:val="24"/>
          <w:szCs w:val="24"/>
        </w:rPr>
        <w:t xml:space="preserve"> </w:t>
      </w:r>
      <w:r>
        <w:rPr>
          <w:rFonts w:ascii="Times New Roman" w:hAnsi="Times New Roman"/>
          <w:sz w:val="24"/>
          <w:szCs w:val="24"/>
        </w:rPr>
        <w:t xml:space="preserve">therefore, </w:t>
      </w:r>
      <w:r w:rsidRPr="00CF3BF3">
        <w:rPr>
          <w:rFonts w:ascii="Times New Roman" w:hAnsi="Times New Roman"/>
          <w:sz w:val="24"/>
          <w:szCs w:val="24"/>
        </w:rPr>
        <w:t>extend</w:t>
      </w:r>
      <w:r>
        <w:rPr>
          <w:rFonts w:ascii="Times New Roman" w:hAnsi="Times New Roman"/>
          <w:sz w:val="24"/>
          <w:szCs w:val="24"/>
        </w:rPr>
        <w:t>s beyond its intended ambit, and c</w:t>
      </w:r>
      <w:r w:rsidRPr="00CF3BF3">
        <w:rPr>
          <w:rFonts w:ascii="Times New Roman" w:hAnsi="Times New Roman"/>
          <w:sz w:val="24"/>
          <w:szCs w:val="24"/>
        </w:rPr>
        <w:t xml:space="preserve">ompanies can </w:t>
      </w:r>
      <w:r>
        <w:rPr>
          <w:rFonts w:ascii="Times New Roman" w:hAnsi="Times New Roman"/>
          <w:sz w:val="24"/>
          <w:szCs w:val="24"/>
        </w:rPr>
        <w:t xml:space="preserve">often </w:t>
      </w:r>
      <w:r w:rsidRPr="00CF3BF3">
        <w:rPr>
          <w:rFonts w:ascii="Times New Roman" w:hAnsi="Times New Roman"/>
          <w:sz w:val="24"/>
          <w:szCs w:val="24"/>
        </w:rPr>
        <w:t>be inadvertently caught by the rule, resulting in their being unable to be subsequently liquidated without a tax impost</w:t>
      </w:r>
      <w:r>
        <w:rPr>
          <w:rFonts w:ascii="Times New Roman" w:hAnsi="Times New Roman"/>
          <w:sz w:val="24"/>
          <w:szCs w:val="24"/>
        </w:rPr>
        <w:t>.</w:t>
      </w:r>
    </w:p>
    <w:p w:rsidR="001F7B7E" w:rsidRDefault="001F7B7E" w:rsidP="009F5659">
      <w:pPr>
        <w:pStyle w:val="Bullet-list"/>
        <w:spacing w:after="0" w:line="240" w:lineRule="auto"/>
        <w:ind w:left="0" w:firstLine="0"/>
        <w:jc w:val="both"/>
        <w:rPr>
          <w:rFonts w:ascii="Times New Roman" w:hAnsi="Times New Roman"/>
          <w:i/>
          <w:sz w:val="24"/>
          <w:szCs w:val="24"/>
        </w:rPr>
      </w:pPr>
    </w:p>
    <w:p w:rsidR="00E244AD" w:rsidRPr="00E244AD" w:rsidRDefault="00E244AD" w:rsidP="0028142B">
      <w:pPr>
        <w:pStyle w:val="Bullet-list"/>
        <w:spacing w:after="0" w:line="240" w:lineRule="auto"/>
        <w:jc w:val="both"/>
        <w:rPr>
          <w:rFonts w:ascii="Times New Roman" w:hAnsi="Times New Roman"/>
          <w:i/>
          <w:sz w:val="24"/>
          <w:szCs w:val="24"/>
        </w:rPr>
      </w:pPr>
      <w:r w:rsidRPr="00E244AD">
        <w:rPr>
          <w:rFonts w:ascii="Times New Roman" w:hAnsi="Times New Roman"/>
          <w:i/>
          <w:sz w:val="24"/>
          <w:szCs w:val="24"/>
        </w:rPr>
        <w:t>Options for taxing shareholder salaries</w:t>
      </w:r>
    </w:p>
    <w:p w:rsidR="00E244AD" w:rsidRDefault="00E244AD" w:rsidP="0028142B">
      <w:pPr>
        <w:pStyle w:val="Bullet-list"/>
        <w:spacing w:after="0" w:line="240" w:lineRule="auto"/>
        <w:ind w:left="0" w:firstLine="0"/>
        <w:jc w:val="both"/>
        <w:rPr>
          <w:rFonts w:ascii="Times New Roman" w:hAnsi="Times New Roman"/>
          <w:sz w:val="24"/>
          <w:szCs w:val="24"/>
        </w:rPr>
      </w:pPr>
    </w:p>
    <w:p w:rsidR="00AD17BA" w:rsidRDefault="00E244AD"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Shareholder-employees of </w:t>
      </w:r>
      <w:r w:rsidRPr="00C56701">
        <w:rPr>
          <w:rFonts w:ascii="Times New Roman" w:hAnsi="Times New Roman"/>
          <w:sz w:val="24"/>
          <w:szCs w:val="24"/>
        </w:rPr>
        <w:t>close</w:t>
      </w:r>
      <w:r w:rsidRPr="00AD17BA">
        <w:rPr>
          <w:rFonts w:ascii="Times New Roman" w:hAnsi="Times New Roman"/>
          <w:sz w:val="24"/>
          <w:szCs w:val="24"/>
        </w:rPr>
        <w:t xml:space="preserve"> </w:t>
      </w:r>
      <w:r w:rsidRPr="00C56701">
        <w:rPr>
          <w:rFonts w:ascii="Times New Roman" w:hAnsi="Times New Roman"/>
          <w:sz w:val="24"/>
          <w:szCs w:val="24"/>
        </w:rPr>
        <w:t>companies</w:t>
      </w:r>
      <w:r w:rsidRPr="00013829">
        <w:rPr>
          <w:rFonts w:ascii="Times New Roman" w:hAnsi="Times New Roman"/>
          <w:sz w:val="24"/>
          <w:szCs w:val="24"/>
        </w:rPr>
        <w:t xml:space="preserve"> </w:t>
      </w:r>
      <w:r>
        <w:rPr>
          <w:rFonts w:ascii="Times New Roman" w:hAnsi="Times New Roman"/>
          <w:sz w:val="24"/>
          <w:szCs w:val="24"/>
        </w:rPr>
        <w:t xml:space="preserve">often do not derive regular amounts of salary or wages, or do not get paid in regular periods throughout the income year which can make compliance with the PAYE rules difficult.  This is because the PAYE rules are </w:t>
      </w:r>
      <w:r w:rsidR="00C56701">
        <w:rPr>
          <w:rFonts w:ascii="Times New Roman" w:hAnsi="Times New Roman"/>
          <w:sz w:val="24"/>
          <w:szCs w:val="24"/>
        </w:rPr>
        <w:t>designed for circumstances when</w:t>
      </w:r>
      <w:r>
        <w:rPr>
          <w:rFonts w:ascii="Times New Roman" w:hAnsi="Times New Roman"/>
          <w:sz w:val="24"/>
          <w:szCs w:val="24"/>
        </w:rPr>
        <w:t xml:space="preserve"> employees’ salaries are known at the start of the income year and remain steady (received in monthly or fortnightly payments) throughout the year. </w:t>
      </w:r>
    </w:p>
    <w:p w:rsidR="00AD17BA" w:rsidRDefault="00AD17BA" w:rsidP="0028142B">
      <w:pPr>
        <w:pStyle w:val="Bullet-list"/>
        <w:spacing w:after="0" w:line="240" w:lineRule="auto"/>
        <w:ind w:left="0" w:firstLine="0"/>
        <w:jc w:val="both"/>
        <w:rPr>
          <w:rFonts w:ascii="Times New Roman" w:hAnsi="Times New Roman"/>
          <w:sz w:val="24"/>
          <w:szCs w:val="24"/>
        </w:rPr>
      </w:pPr>
    </w:p>
    <w:p w:rsidR="00E244AD" w:rsidRDefault="00E244AD"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For smaller companies the remuneration of shareholder-employees often depends on the performance of the business, and therefore the annual salary will not be known until well after year end.  To alleviate this issue the current rules allow for shareholder-employees</w:t>
      </w:r>
      <w:r w:rsidR="00AD17BA">
        <w:rPr>
          <w:rFonts w:ascii="Times New Roman" w:hAnsi="Times New Roman"/>
          <w:sz w:val="24"/>
          <w:szCs w:val="24"/>
        </w:rPr>
        <w:t>,</w:t>
      </w:r>
      <w:r>
        <w:rPr>
          <w:rFonts w:ascii="Times New Roman" w:hAnsi="Times New Roman"/>
          <w:sz w:val="24"/>
          <w:szCs w:val="24"/>
        </w:rPr>
        <w:t xml:space="preserve"> </w:t>
      </w:r>
      <w:r w:rsidR="00AD17BA" w:rsidRPr="00013829">
        <w:rPr>
          <w:rFonts w:ascii="Times New Roman" w:hAnsi="Times New Roman"/>
          <w:sz w:val="24"/>
          <w:szCs w:val="24"/>
        </w:rPr>
        <w:t>who</w:t>
      </w:r>
      <w:r w:rsidR="00AD17BA">
        <w:rPr>
          <w:rFonts w:ascii="Times New Roman" w:hAnsi="Times New Roman"/>
          <w:sz w:val="24"/>
          <w:szCs w:val="24"/>
        </w:rPr>
        <w:t xml:space="preserve"> do not derive regular amounts of salary or wages or do not get paid for regular periods, </w:t>
      </w:r>
      <w:r>
        <w:rPr>
          <w:rFonts w:ascii="Times New Roman" w:hAnsi="Times New Roman"/>
          <w:sz w:val="24"/>
          <w:szCs w:val="24"/>
        </w:rPr>
        <w:t xml:space="preserve">to treat all amounts of income </w:t>
      </w:r>
      <w:r w:rsidR="00C56701">
        <w:rPr>
          <w:rFonts w:ascii="Times New Roman" w:hAnsi="Times New Roman"/>
          <w:sz w:val="24"/>
          <w:szCs w:val="24"/>
        </w:rPr>
        <w:t>they receive</w:t>
      </w:r>
      <w:r>
        <w:rPr>
          <w:rFonts w:ascii="Times New Roman" w:hAnsi="Times New Roman"/>
          <w:sz w:val="24"/>
          <w:szCs w:val="24"/>
        </w:rPr>
        <w:t xml:space="preserve"> </w:t>
      </w:r>
      <w:r w:rsidR="00C56701">
        <w:rPr>
          <w:rFonts w:ascii="Times New Roman" w:hAnsi="Times New Roman"/>
          <w:sz w:val="24"/>
          <w:szCs w:val="24"/>
        </w:rPr>
        <w:t>through the year</w:t>
      </w:r>
      <w:r>
        <w:rPr>
          <w:rFonts w:ascii="Times New Roman" w:hAnsi="Times New Roman"/>
          <w:sz w:val="24"/>
          <w:szCs w:val="24"/>
        </w:rPr>
        <w:t xml:space="preserve"> as not subject to PAYE</w:t>
      </w:r>
      <w:r w:rsidR="00C56701">
        <w:rPr>
          <w:rFonts w:ascii="Times New Roman" w:hAnsi="Times New Roman"/>
          <w:sz w:val="24"/>
          <w:szCs w:val="24"/>
        </w:rPr>
        <w:t>,</w:t>
      </w:r>
      <w:r w:rsidR="00C56701" w:rsidRPr="00C56701">
        <w:rPr>
          <w:rFonts w:ascii="Times New Roman" w:hAnsi="Times New Roman"/>
          <w:sz w:val="24"/>
          <w:szCs w:val="24"/>
        </w:rPr>
        <w:t xml:space="preserve"> </w:t>
      </w:r>
      <w:r w:rsidR="00C56701">
        <w:rPr>
          <w:rFonts w:ascii="Times New Roman" w:hAnsi="Times New Roman"/>
          <w:sz w:val="24"/>
          <w:szCs w:val="24"/>
        </w:rPr>
        <w:t>subject to certain conditions</w:t>
      </w:r>
      <w:r>
        <w:rPr>
          <w:rFonts w:ascii="Times New Roman" w:hAnsi="Times New Roman"/>
          <w:sz w:val="24"/>
          <w:szCs w:val="24"/>
        </w:rPr>
        <w:t>.  As a result</w:t>
      </w:r>
      <w:r w:rsidR="00C56701">
        <w:rPr>
          <w:rFonts w:ascii="Times New Roman" w:hAnsi="Times New Roman"/>
          <w:sz w:val="24"/>
          <w:szCs w:val="24"/>
        </w:rPr>
        <w:t>, the</w:t>
      </w:r>
      <w:r>
        <w:rPr>
          <w:rFonts w:ascii="Times New Roman" w:hAnsi="Times New Roman"/>
          <w:sz w:val="24"/>
          <w:szCs w:val="24"/>
        </w:rPr>
        <w:t xml:space="preserve"> amounts received are taxable in the employee’s tax return and may give rise to provisional tax obligations.</w:t>
      </w:r>
      <w:r w:rsidRPr="00E244AD">
        <w:rPr>
          <w:rFonts w:ascii="Times New Roman" w:hAnsi="Times New Roman"/>
          <w:sz w:val="24"/>
          <w:szCs w:val="24"/>
        </w:rPr>
        <w:t xml:space="preserve"> </w:t>
      </w:r>
    </w:p>
    <w:p w:rsidR="00AD17BA" w:rsidRPr="00C56701" w:rsidRDefault="00AD17BA" w:rsidP="0028142B">
      <w:pPr>
        <w:pStyle w:val="Bullet-list"/>
        <w:spacing w:after="0" w:line="240" w:lineRule="auto"/>
        <w:ind w:left="0" w:firstLine="0"/>
        <w:jc w:val="both"/>
        <w:rPr>
          <w:rFonts w:ascii="Times New Roman" w:hAnsi="Times New Roman"/>
          <w:sz w:val="24"/>
          <w:szCs w:val="24"/>
        </w:rPr>
      </w:pPr>
    </w:p>
    <w:p w:rsidR="00E244AD" w:rsidRPr="00C56701" w:rsidRDefault="00E244AD"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C56701">
        <w:rPr>
          <w:rFonts w:ascii="Times New Roman" w:hAnsi="Times New Roman"/>
          <w:sz w:val="24"/>
          <w:szCs w:val="24"/>
        </w:rPr>
        <w:t xml:space="preserve">This rule may not adequately relieve the compliance costs incurred by shareholder-employees </w:t>
      </w:r>
      <w:r w:rsidR="00C56701">
        <w:rPr>
          <w:rFonts w:ascii="Times New Roman" w:hAnsi="Times New Roman"/>
          <w:sz w:val="24"/>
          <w:szCs w:val="24"/>
        </w:rPr>
        <w:t xml:space="preserve">as it </w:t>
      </w:r>
      <w:r w:rsidRPr="00C56701">
        <w:rPr>
          <w:rFonts w:ascii="Times New Roman" w:hAnsi="Times New Roman"/>
          <w:sz w:val="24"/>
          <w:szCs w:val="24"/>
        </w:rPr>
        <w:t xml:space="preserve">may not suit the myriad of shareholder-employee circumstances where paying a combination of PAYE and provisional tax might be preferable. </w:t>
      </w:r>
      <w:r w:rsidR="00AD17BA" w:rsidRPr="00C56701">
        <w:rPr>
          <w:rFonts w:ascii="Times New Roman" w:hAnsi="Times New Roman"/>
          <w:sz w:val="24"/>
          <w:szCs w:val="24"/>
        </w:rPr>
        <w:t>There is no option, however, to pay a combinat</w:t>
      </w:r>
      <w:r w:rsidR="00C56701">
        <w:rPr>
          <w:rFonts w:ascii="Times New Roman" w:hAnsi="Times New Roman"/>
          <w:sz w:val="24"/>
          <w:szCs w:val="24"/>
        </w:rPr>
        <w:t>ion of PAYE and provisional tax, the rule is all or nothing.</w:t>
      </w:r>
    </w:p>
    <w:p w:rsidR="00186A19" w:rsidRDefault="00186A19" w:rsidP="0028142B">
      <w:pPr>
        <w:pStyle w:val="Bullet-list"/>
        <w:spacing w:after="0" w:line="240" w:lineRule="auto"/>
        <w:ind w:left="0" w:firstLine="0"/>
        <w:jc w:val="both"/>
        <w:rPr>
          <w:rFonts w:ascii="Times New Roman" w:hAnsi="Times New Roman"/>
          <w:sz w:val="24"/>
          <w:szCs w:val="24"/>
        </w:rPr>
      </w:pPr>
    </w:p>
    <w:p w:rsidR="00AD17BA" w:rsidRPr="00C15E38" w:rsidRDefault="00AD17BA" w:rsidP="0028142B">
      <w:pPr>
        <w:jc w:val="both"/>
        <w:rPr>
          <w:rFonts w:ascii="Times New Roman" w:hAnsi="Times New Roman"/>
          <w:b/>
          <w:i/>
          <w:sz w:val="24"/>
          <w:szCs w:val="24"/>
          <w:lang w:val="en-AU"/>
        </w:rPr>
      </w:pPr>
      <w:r w:rsidRPr="00C15E38">
        <w:rPr>
          <w:rFonts w:ascii="Times New Roman" w:hAnsi="Times New Roman"/>
          <w:b/>
          <w:i/>
          <w:sz w:val="24"/>
          <w:szCs w:val="24"/>
          <w:lang w:val="en-AU"/>
        </w:rPr>
        <w:t>Rules which fail to achieve their intended policy objectives</w:t>
      </w:r>
    </w:p>
    <w:p w:rsidR="00AD17BA" w:rsidRPr="002108FB" w:rsidRDefault="00AD17BA"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2737FA">
        <w:rPr>
          <w:rFonts w:ascii="Times New Roman" w:hAnsi="Times New Roman"/>
          <w:sz w:val="24"/>
          <w:szCs w:val="24"/>
        </w:rPr>
        <w:t>As discussed</w:t>
      </w:r>
      <w:r w:rsidR="00E31E73">
        <w:rPr>
          <w:rFonts w:ascii="Times New Roman" w:hAnsi="Times New Roman"/>
          <w:sz w:val="24"/>
          <w:szCs w:val="24"/>
        </w:rPr>
        <w:t>,</w:t>
      </w:r>
      <w:r w:rsidRPr="002737FA">
        <w:rPr>
          <w:rFonts w:ascii="Times New Roman" w:hAnsi="Times New Roman"/>
          <w:sz w:val="24"/>
          <w:szCs w:val="24"/>
        </w:rPr>
        <w:t xml:space="preserve"> several of the rules were, upon review, not operating in line with intended policy</w:t>
      </w:r>
      <w:r w:rsidR="00522774" w:rsidRPr="002108FB">
        <w:rPr>
          <w:rFonts w:ascii="Times New Roman" w:hAnsi="Times New Roman"/>
          <w:sz w:val="24"/>
          <w:szCs w:val="24"/>
        </w:rPr>
        <w:t xml:space="preserve">.  This could mean that the rules are </w:t>
      </w:r>
      <w:r w:rsidR="00F7360F" w:rsidRPr="002108FB">
        <w:rPr>
          <w:rFonts w:ascii="Times New Roman" w:hAnsi="Times New Roman"/>
          <w:sz w:val="24"/>
          <w:szCs w:val="24"/>
        </w:rPr>
        <w:t xml:space="preserve">either not </w:t>
      </w:r>
      <w:r w:rsidR="00522774" w:rsidRPr="002108FB">
        <w:rPr>
          <w:rFonts w:ascii="Times New Roman" w:hAnsi="Times New Roman"/>
          <w:sz w:val="24"/>
          <w:szCs w:val="24"/>
        </w:rPr>
        <w:t>operating as intended or all</w:t>
      </w:r>
      <w:r w:rsidR="00D6642E">
        <w:rPr>
          <w:rFonts w:ascii="Times New Roman" w:hAnsi="Times New Roman"/>
          <w:sz w:val="24"/>
          <w:szCs w:val="24"/>
        </w:rPr>
        <w:t>ow for unintended tax advantages</w:t>
      </w:r>
      <w:r w:rsidR="00522774" w:rsidRPr="002108FB">
        <w:rPr>
          <w:rFonts w:ascii="Times New Roman" w:hAnsi="Times New Roman"/>
          <w:sz w:val="24"/>
          <w:szCs w:val="24"/>
        </w:rPr>
        <w:t xml:space="preserve"> or the rules may not be </w:t>
      </w:r>
      <w:r w:rsidR="00F7360F" w:rsidRPr="002108FB">
        <w:rPr>
          <w:rFonts w:ascii="Times New Roman" w:hAnsi="Times New Roman"/>
          <w:sz w:val="24"/>
          <w:szCs w:val="24"/>
        </w:rPr>
        <w:t>robust</w:t>
      </w:r>
      <w:r w:rsidR="00522774" w:rsidRPr="002108FB">
        <w:rPr>
          <w:rFonts w:ascii="Times New Roman" w:hAnsi="Times New Roman"/>
          <w:sz w:val="24"/>
          <w:szCs w:val="24"/>
        </w:rPr>
        <w:t xml:space="preserve"> enough which has resulted in</w:t>
      </w:r>
      <w:r w:rsidR="00D6642E">
        <w:rPr>
          <w:rFonts w:ascii="Times New Roman" w:hAnsi="Times New Roman"/>
          <w:sz w:val="24"/>
          <w:szCs w:val="24"/>
        </w:rPr>
        <w:t xml:space="preserve"> their</w:t>
      </w:r>
      <w:r w:rsidR="00522774" w:rsidRPr="002108FB">
        <w:rPr>
          <w:rFonts w:ascii="Times New Roman" w:hAnsi="Times New Roman"/>
          <w:sz w:val="24"/>
          <w:szCs w:val="24"/>
        </w:rPr>
        <w:t xml:space="preserve"> </w:t>
      </w:r>
      <w:r w:rsidR="00744ECA">
        <w:rPr>
          <w:rFonts w:ascii="Times New Roman" w:hAnsi="Times New Roman"/>
          <w:sz w:val="24"/>
          <w:szCs w:val="24"/>
        </w:rPr>
        <w:t xml:space="preserve">use for purposes </w:t>
      </w:r>
      <w:r w:rsidR="00522774" w:rsidRPr="002737FA">
        <w:rPr>
          <w:rFonts w:ascii="Times New Roman" w:hAnsi="Times New Roman"/>
          <w:sz w:val="24"/>
          <w:szCs w:val="24"/>
        </w:rPr>
        <w:t xml:space="preserve">which are </w:t>
      </w:r>
      <w:r w:rsidR="00522774" w:rsidRPr="002108FB">
        <w:rPr>
          <w:rFonts w:ascii="Times New Roman" w:hAnsi="Times New Roman"/>
          <w:sz w:val="24"/>
          <w:szCs w:val="24"/>
        </w:rPr>
        <w:t>inconsistent with their policy intent.  T</w:t>
      </w:r>
      <w:r w:rsidRPr="002108FB">
        <w:rPr>
          <w:rFonts w:ascii="Times New Roman" w:hAnsi="Times New Roman"/>
          <w:sz w:val="24"/>
          <w:szCs w:val="24"/>
        </w:rPr>
        <w:t>hese rules and the specific concerns relating to them are discussed below.</w:t>
      </w:r>
      <w:r w:rsidR="00F7360F" w:rsidRPr="002108FB">
        <w:rPr>
          <w:rFonts w:ascii="Times New Roman" w:hAnsi="Times New Roman"/>
          <w:sz w:val="24"/>
          <w:szCs w:val="24"/>
        </w:rPr>
        <w:t xml:space="preserve">  </w:t>
      </w:r>
    </w:p>
    <w:p w:rsidR="00931223" w:rsidRDefault="00931223" w:rsidP="0028142B">
      <w:pPr>
        <w:pStyle w:val="Bullet-list"/>
        <w:spacing w:after="0" w:line="240" w:lineRule="auto"/>
        <w:ind w:left="0" w:firstLine="0"/>
        <w:jc w:val="both"/>
        <w:rPr>
          <w:rFonts w:ascii="Times New Roman" w:hAnsi="Times New Roman"/>
          <w:sz w:val="24"/>
          <w:szCs w:val="24"/>
        </w:rPr>
      </w:pPr>
    </w:p>
    <w:p w:rsidR="00744ECA" w:rsidRPr="00C56701" w:rsidRDefault="00744ECA" w:rsidP="0028142B">
      <w:pPr>
        <w:pStyle w:val="Bullet-list"/>
        <w:spacing w:after="0" w:line="240" w:lineRule="auto"/>
        <w:jc w:val="both"/>
        <w:rPr>
          <w:rFonts w:ascii="Times New Roman" w:hAnsi="Times New Roman"/>
          <w:i/>
          <w:sz w:val="24"/>
          <w:szCs w:val="24"/>
        </w:rPr>
      </w:pPr>
      <w:r w:rsidRPr="00C56701">
        <w:rPr>
          <w:rFonts w:ascii="Times New Roman" w:hAnsi="Times New Roman"/>
          <w:i/>
          <w:sz w:val="24"/>
          <w:szCs w:val="24"/>
        </w:rPr>
        <w:t xml:space="preserve">LTC </w:t>
      </w:r>
      <w:r w:rsidR="00EB3036" w:rsidRPr="00EB3036">
        <w:rPr>
          <w:rFonts w:ascii="Times New Roman" w:hAnsi="Times New Roman"/>
          <w:i/>
          <w:sz w:val="24"/>
          <w:szCs w:val="24"/>
        </w:rPr>
        <w:t>eligibility</w:t>
      </w:r>
      <w:r w:rsidR="00EB3036">
        <w:rPr>
          <w:rFonts w:ascii="Times New Roman" w:hAnsi="Times New Roman"/>
          <w:sz w:val="24"/>
          <w:szCs w:val="24"/>
        </w:rPr>
        <w:t xml:space="preserve"> </w:t>
      </w:r>
      <w:r w:rsidRPr="00C56701">
        <w:rPr>
          <w:rFonts w:ascii="Times New Roman" w:hAnsi="Times New Roman"/>
          <w:i/>
          <w:sz w:val="24"/>
          <w:szCs w:val="24"/>
        </w:rPr>
        <w:t>criteria</w:t>
      </w:r>
    </w:p>
    <w:p w:rsidR="00744ECA" w:rsidRDefault="00744ECA" w:rsidP="0028142B">
      <w:pPr>
        <w:pStyle w:val="ListParagraph"/>
        <w:rPr>
          <w:rFonts w:ascii="Times New Roman" w:hAnsi="Times New Roman"/>
          <w:sz w:val="24"/>
          <w:szCs w:val="24"/>
        </w:rPr>
      </w:pPr>
    </w:p>
    <w:p w:rsidR="00744ECA" w:rsidRDefault="00D6642E"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The e</w:t>
      </w:r>
      <w:r w:rsidR="00EB3036">
        <w:rPr>
          <w:rFonts w:ascii="Times New Roman" w:hAnsi="Times New Roman"/>
          <w:sz w:val="24"/>
          <w:szCs w:val="24"/>
        </w:rPr>
        <w:t xml:space="preserve">ligibility </w:t>
      </w:r>
      <w:r w:rsidR="00744ECA" w:rsidRPr="00E94A46">
        <w:rPr>
          <w:rFonts w:ascii="Times New Roman" w:hAnsi="Times New Roman"/>
          <w:sz w:val="24"/>
          <w:szCs w:val="24"/>
        </w:rPr>
        <w:t xml:space="preserve">criteria limit the type of entity that can </w:t>
      </w:r>
      <w:r w:rsidR="00744ECA">
        <w:rPr>
          <w:rFonts w:ascii="Times New Roman" w:hAnsi="Times New Roman"/>
          <w:sz w:val="24"/>
          <w:szCs w:val="24"/>
        </w:rPr>
        <w:t xml:space="preserve">elect to </w:t>
      </w:r>
      <w:r w:rsidR="00744ECA" w:rsidRPr="00E94A46">
        <w:rPr>
          <w:rFonts w:ascii="Times New Roman" w:hAnsi="Times New Roman"/>
          <w:sz w:val="24"/>
          <w:szCs w:val="24"/>
        </w:rPr>
        <w:t>become a</w:t>
      </w:r>
      <w:r w:rsidR="00744ECA">
        <w:rPr>
          <w:rFonts w:ascii="Times New Roman" w:hAnsi="Times New Roman"/>
          <w:sz w:val="24"/>
          <w:szCs w:val="24"/>
        </w:rPr>
        <w:t>nd continue to be a</w:t>
      </w:r>
      <w:r w:rsidR="00744ECA" w:rsidRPr="00E94A46">
        <w:rPr>
          <w:rFonts w:ascii="Times New Roman" w:hAnsi="Times New Roman"/>
          <w:sz w:val="24"/>
          <w:szCs w:val="24"/>
        </w:rPr>
        <w:t xml:space="preserve"> LTC.  </w:t>
      </w:r>
      <w:r w:rsidR="00744ECA">
        <w:rPr>
          <w:rFonts w:ascii="Times New Roman" w:hAnsi="Times New Roman"/>
          <w:sz w:val="24"/>
          <w:szCs w:val="24"/>
        </w:rPr>
        <w:t>Broadly, to be a</w:t>
      </w:r>
      <w:r w:rsidR="00744ECA" w:rsidRPr="00E94A46">
        <w:rPr>
          <w:rFonts w:ascii="Times New Roman" w:hAnsi="Times New Roman"/>
          <w:sz w:val="24"/>
          <w:szCs w:val="24"/>
        </w:rPr>
        <w:t xml:space="preserve"> LTC</w:t>
      </w:r>
      <w:r w:rsidR="00E31E73">
        <w:rPr>
          <w:rFonts w:ascii="Times New Roman" w:hAnsi="Times New Roman"/>
          <w:sz w:val="24"/>
          <w:szCs w:val="24"/>
        </w:rPr>
        <w:t>, in addition to having only one class of shares,</w:t>
      </w:r>
      <w:r w:rsidR="00744ECA" w:rsidRPr="00E94A46">
        <w:rPr>
          <w:rFonts w:ascii="Times New Roman" w:hAnsi="Times New Roman"/>
          <w:sz w:val="24"/>
          <w:szCs w:val="24"/>
        </w:rPr>
        <w:t xml:space="preserve"> a</w:t>
      </w:r>
      <w:r w:rsidR="00744ECA">
        <w:rPr>
          <w:rFonts w:ascii="Times New Roman" w:hAnsi="Times New Roman"/>
          <w:sz w:val="24"/>
          <w:szCs w:val="24"/>
        </w:rPr>
        <w:t>n</w:t>
      </w:r>
      <w:r w:rsidR="00744ECA" w:rsidRPr="00E94A46">
        <w:rPr>
          <w:rFonts w:ascii="Times New Roman" w:hAnsi="Times New Roman"/>
          <w:sz w:val="24"/>
          <w:szCs w:val="24"/>
        </w:rPr>
        <w:t xml:space="preserve"> entity must be a New Zealand tax resident company with no more than five “look-through counted owners”.  Each shareholder has to be a natural person, a trust or another LTC.</w:t>
      </w:r>
      <w:r w:rsidR="00744ECA">
        <w:rPr>
          <w:rFonts w:ascii="Times New Roman" w:hAnsi="Times New Roman"/>
          <w:sz w:val="24"/>
          <w:szCs w:val="24"/>
        </w:rPr>
        <w:t xml:space="preserve">  There are no restrictions on foreign ownership of LTCs, </w:t>
      </w:r>
      <w:proofErr w:type="gramStart"/>
      <w:r w:rsidR="00744ECA">
        <w:rPr>
          <w:rFonts w:ascii="Times New Roman" w:hAnsi="Times New Roman"/>
          <w:sz w:val="24"/>
          <w:szCs w:val="24"/>
        </w:rPr>
        <w:t>nor</w:t>
      </w:r>
      <w:proofErr w:type="gramEnd"/>
      <w:r w:rsidR="00744ECA">
        <w:rPr>
          <w:rFonts w:ascii="Times New Roman" w:hAnsi="Times New Roman"/>
          <w:sz w:val="24"/>
          <w:szCs w:val="24"/>
        </w:rPr>
        <w:t xml:space="preserve"> on foreign income earned by LTCs.</w:t>
      </w:r>
      <w:r w:rsidR="00744ECA" w:rsidRPr="00E94A46">
        <w:rPr>
          <w:rFonts w:ascii="Times New Roman" w:hAnsi="Times New Roman"/>
          <w:sz w:val="24"/>
          <w:szCs w:val="24"/>
        </w:rPr>
        <w:t xml:space="preserve">  </w:t>
      </w:r>
    </w:p>
    <w:p w:rsidR="00744ECA" w:rsidRDefault="00744ECA" w:rsidP="0028142B">
      <w:pPr>
        <w:pStyle w:val="ListParagraph"/>
        <w:rPr>
          <w:rFonts w:ascii="Times New Roman" w:hAnsi="Times New Roman"/>
          <w:sz w:val="24"/>
          <w:szCs w:val="24"/>
        </w:rPr>
      </w:pPr>
    </w:p>
    <w:p w:rsidR="00744ECA" w:rsidRDefault="00744ECA"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600FAB">
        <w:rPr>
          <w:rFonts w:ascii="Times New Roman" w:hAnsi="Times New Roman"/>
          <w:sz w:val="24"/>
          <w:szCs w:val="24"/>
        </w:rPr>
        <w:t>When determining the number of look-through counted owners the rules:</w:t>
      </w:r>
    </w:p>
    <w:p w:rsidR="00744ECA" w:rsidRDefault="00744ECA" w:rsidP="0028142B">
      <w:pPr>
        <w:pStyle w:val="Bullet-list"/>
        <w:tabs>
          <w:tab w:val="num" w:pos="567"/>
        </w:tabs>
        <w:spacing w:after="0" w:line="240" w:lineRule="auto"/>
        <w:ind w:left="0" w:firstLine="0"/>
        <w:jc w:val="both"/>
        <w:rPr>
          <w:rFonts w:ascii="Times New Roman" w:hAnsi="Times New Roman"/>
          <w:sz w:val="24"/>
          <w:szCs w:val="24"/>
        </w:rPr>
      </w:pPr>
    </w:p>
    <w:p w:rsidR="00744ECA" w:rsidRDefault="00744ECA" w:rsidP="00166E95">
      <w:pPr>
        <w:pStyle w:val="Bullet-list"/>
        <w:numPr>
          <w:ilvl w:val="1"/>
          <w:numId w:val="2"/>
        </w:numPr>
        <w:tabs>
          <w:tab w:val="num" w:pos="567"/>
        </w:tabs>
        <w:spacing w:after="0" w:line="240" w:lineRule="auto"/>
        <w:jc w:val="both"/>
        <w:rPr>
          <w:rFonts w:ascii="Times New Roman" w:hAnsi="Times New Roman"/>
          <w:sz w:val="24"/>
          <w:szCs w:val="24"/>
        </w:rPr>
      </w:pPr>
      <w:r>
        <w:rPr>
          <w:rFonts w:ascii="Times New Roman" w:hAnsi="Times New Roman"/>
          <w:sz w:val="24"/>
          <w:szCs w:val="24"/>
        </w:rPr>
        <w:t>count</w:t>
      </w:r>
      <w:r w:rsidRPr="00E94A46">
        <w:rPr>
          <w:rFonts w:ascii="Times New Roman" w:hAnsi="Times New Roman"/>
          <w:sz w:val="24"/>
          <w:szCs w:val="24"/>
        </w:rPr>
        <w:t xml:space="preserve"> close relatives as a </w:t>
      </w:r>
      <w:r>
        <w:rPr>
          <w:rFonts w:ascii="Times New Roman" w:hAnsi="Times New Roman"/>
          <w:sz w:val="24"/>
          <w:szCs w:val="24"/>
        </w:rPr>
        <w:t xml:space="preserve">single owner; </w:t>
      </w:r>
    </w:p>
    <w:p w:rsidR="00744ECA" w:rsidRDefault="00744ECA" w:rsidP="00166E95">
      <w:pPr>
        <w:pStyle w:val="Bullet-list"/>
        <w:numPr>
          <w:ilvl w:val="1"/>
          <w:numId w:val="2"/>
        </w:numPr>
        <w:tabs>
          <w:tab w:val="num" w:pos="567"/>
        </w:tabs>
        <w:spacing w:after="0" w:line="240" w:lineRule="auto"/>
        <w:jc w:val="both"/>
        <w:rPr>
          <w:rFonts w:ascii="Times New Roman" w:hAnsi="Times New Roman"/>
          <w:sz w:val="24"/>
          <w:szCs w:val="24"/>
        </w:rPr>
      </w:pPr>
      <w:r>
        <w:rPr>
          <w:rFonts w:ascii="Times New Roman" w:hAnsi="Times New Roman"/>
          <w:sz w:val="24"/>
          <w:szCs w:val="24"/>
        </w:rPr>
        <w:t xml:space="preserve">look through to the ultimate shareholder(s) when </w:t>
      </w:r>
      <w:r w:rsidRPr="00E94A46">
        <w:rPr>
          <w:rFonts w:ascii="Times New Roman" w:hAnsi="Times New Roman"/>
          <w:sz w:val="24"/>
          <w:szCs w:val="24"/>
        </w:rPr>
        <w:t>LTCs</w:t>
      </w:r>
      <w:r>
        <w:rPr>
          <w:rFonts w:ascii="Times New Roman" w:hAnsi="Times New Roman"/>
          <w:sz w:val="24"/>
          <w:szCs w:val="24"/>
        </w:rPr>
        <w:t xml:space="preserve"> are owned by other LTCs; </w:t>
      </w:r>
    </w:p>
    <w:p w:rsidR="00744ECA" w:rsidRDefault="00744ECA" w:rsidP="00166E95">
      <w:pPr>
        <w:pStyle w:val="Bullet-list"/>
        <w:numPr>
          <w:ilvl w:val="1"/>
          <w:numId w:val="2"/>
        </w:numPr>
        <w:tabs>
          <w:tab w:val="num" w:pos="567"/>
        </w:tabs>
        <w:spacing w:after="0" w:line="240" w:lineRule="auto"/>
        <w:jc w:val="both"/>
        <w:rPr>
          <w:rFonts w:ascii="Times New Roman" w:hAnsi="Times New Roman"/>
          <w:sz w:val="24"/>
          <w:szCs w:val="24"/>
        </w:rPr>
      </w:pPr>
      <w:r>
        <w:rPr>
          <w:rFonts w:ascii="Times New Roman" w:hAnsi="Times New Roman"/>
          <w:sz w:val="24"/>
          <w:szCs w:val="24"/>
        </w:rPr>
        <w:t xml:space="preserve">for LTCs owned by </w:t>
      </w:r>
      <w:r w:rsidRPr="00E94A46">
        <w:rPr>
          <w:rFonts w:ascii="Times New Roman" w:hAnsi="Times New Roman"/>
          <w:sz w:val="24"/>
          <w:szCs w:val="24"/>
        </w:rPr>
        <w:t>trusts</w:t>
      </w:r>
      <w:r>
        <w:rPr>
          <w:rFonts w:ascii="Times New Roman" w:hAnsi="Times New Roman"/>
          <w:sz w:val="24"/>
          <w:szCs w:val="24"/>
        </w:rPr>
        <w:t xml:space="preserve">, count trustees (grouping multiple trustees as one) or beneficiaries </w:t>
      </w:r>
      <w:r w:rsidRPr="00E94A46">
        <w:rPr>
          <w:rFonts w:ascii="Times New Roman" w:hAnsi="Times New Roman"/>
          <w:sz w:val="24"/>
          <w:szCs w:val="24"/>
        </w:rPr>
        <w:t xml:space="preserve">or </w:t>
      </w:r>
      <w:r>
        <w:rPr>
          <w:rFonts w:ascii="Times New Roman" w:hAnsi="Times New Roman"/>
          <w:sz w:val="24"/>
          <w:szCs w:val="24"/>
        </w:rPr>
        <w:t xml:space="preserve">both, depending on </w:t>
      </w:r>
      <w:r w:rsidR="00E31E73">
        <w:rPr>
          <w:rFonts w:ascii="Times New Roman" w:hAnsi="Times New Roman"/>
          <w:sz w:val="24"/>
          <w:szCs w:val="24"/>
        </w:rPr>
        <w:t xml:space="preserve">the nature of the distribution and </w:t>
      </w:r>
      <w:r>
        <w:rPr>
          <w:rFonts w:ascii="Times New Roman" w:hAnsi="Times New Roman"/>
          <w:sz w:val="24"/>
          <w:szCs w:val="24"/>
        </w:rPr>
        <w:t>whether LTC income is distributed by the trust in full.</w:t>
      </w:r>
    </w:p>
    <w:p w:rsidR="00744ECA" w:rsidRDefault="00744ECA" w:rsidP="0028142B">
      <w:pPr>
        <w:pStyle w:val="ListParagraph"/>
        <w:rPr>
          <w:rFonts w:ascii="Times New Roman" w:hAnsi="Times New Roman"/>
          <w:sz w:val="24"/>
          <w:szCs w:val="24"/>
        </w:rPr>
      </w:pPr>
    </w:p>
    <w:p w:rsidR="00744ECA" w:rsidRPr="0064296A" w:rsidRDefault="00744ECA"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 LTC that fails to satisfy the </w:t>
      </w:r>
      <w:r w:rsidR="00EB3036">
        <w:rPr>
          <w:rFonts w:ascii="Times New Roman" w:hAnsi="Times New Roman"/>
          <w:sz w:val="24"/>
          <w:szCs w:val="24"/>
        </w:rPr>
        <w:t xml:space="preserve">eligibility </w:t>
      </w:r>
      <w:r>
        <w:rPr>
          <w:rFonts w:ascii="Times New Roman" w:hAnsi="Times New Roman"/>
          <w:sz w:val="24"/>
          <w:szCs w:val="24"/>
        </w:rPr>
        <w:t>criteria during an income year, loses its LTC status from the beginning of the income year, and is unable to elect into LTC treatment for the remainder of that year and the two subsequent income years.  Given that LTC owners are deemed to directly hold the LTC</w:t>
      </w:r>
      <w:r w:rsidR="00D6642E">
        <w:rPr>
          <w:rFonts w:ascii="Times New Roman" w:hAnsi="Times New Roman"/>
          <w:sz w:val="24"/>
          <w:szCs w:val="24"/>
        </w:rPr>
        <w:t>’</w:t>
      </w:r>
      <w:r>
        <w:rPr>
          <w:rFonts w:ascii="Times New Roman" w:hAnsi="Times New Roman"/>
          <w:sz w:val="24"/>
          <w:szCs w:val="24"/>
        </w:rPr>
        <w:t xml:space="preserve">s assets and liabilities, loss of LTC status means that the LTC assets are deemed to be disposed of by the LTC owners.  This deemed disposal can trigger tax consequences, such as depreciation claw-back, for the owners.   </w:t>
      </w:r>
    </w:p>
    <w:p w:rsidR="00744ECA" w:rsidRDefault="00744ECA" w:rsidP="0028142B">
      <w:pPr>
        <w:pStyle w:val="Bullet-list"/>
        <w:tabs>
          <w:tab w:val="num" w:pos="1080"/>
        </w:tabs>
        <w:spacing w:after="0" w:line="240" w:lineRule="auto"/>
        <w:ind w:left="1080" w:firstLine="0"/>
        <w:jc w:val="both"/>
        <w:rPr>
          <w:rFonts w:ascii="Times New Roman" w:hAnsi="Times New Roman"/>
          <w:sz w:val="24"/>
          <w:szCs w:val="24"/>
        </w:rPr>
      </w:pPr>
    </w:p>
    <w:p w:rsidR="00744ECA" w:rsidRDefault="00744ECA"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1F6774">
        <w:rPr>
          <w:rFonts w:ascii="Times New Roman" w:hAnsi="Times New Roman"/>
          <w:sz w:val="24"/>
          <w:szCs w:val="24"/>
        </w:rPr>
        <w:t>The</w:t>
      </w:r>
      <w:r>
        <w:rPr>
          <w:rFonts w:ascii="Times New Roman" w:hAnsi="Times New Roman"/>
          <w:sz w:val="24"/>
          <w:szCs w:val="24"/>
        </w:rPr>
        <w:t>se</w:t>
      </w:r>
      <w:r w:rsidRPr="001F6774">
        <w:rPr>
          <w:rFonts w:ascii="Times New Roman" w:hAnsi="Times New Roman"/>
          <w:sz w:val="24"/>
          <w:szCs w:val="24"/>
        </w:rPr>
        <w:t xml:space="preserve"> </w:t>
      </w:r>
      <w:r w:rsidR="00EB3036">
        <w:rPr>
          <w:rFonts w:ascii="Times New Roman" w:hAnsi="Times New Roman"/>
          <w:sz w:val="24"/>
          <w:szCs w:val="24"/>
        </w:rPr>
        <w:t xml:space="preserve">eligibility </w:t>
      </w:r>
      <w:r w:rsidRPr="001F6774">
        <w:rPr>
          <w:rFonts w:ascii="Times New Roman" w:hAnsi="Times New Roman"/>
          <w:sz w:val="24"/>
          <w:szCs w:val="24"/>
        </w:rPr>
        <w:t>criteria</w:t>
      </w:r>
      <w:r>
        <w:rPr>
          <w:rFonts w:ascii="Times New Roman" w:hAnsi="Times New Roman"/>
          <w:sz w:val="24"/>
          <w:szCs w:val="24"/>
        </w:rPr>
        <w:t xml:space="preserve"> </w:t>
      </w:r>
      <w:r w:rsidRPr="001F6774">
        <w:rPr>
          <w:rFonts w:ascii="Times New Roman" w:hAnsi="Times New Roman"/>
          <w:sz w:val="24"/>
          <w:szCs w:val="24"/>
        </w:rPr>
        <w:t xml:space="preserve">were reviewed against the “target audience” for the LTC regime to ensure that the use of the </w:t>
      </w:r>
      <w:r>
        <w:rPr>
          <w:rFonts w:ascii="Times New Roman" w:hAnsi="Times New Roman"/>
          <w:sz w:val="24"/>
          <w:szCs w:val="24"/>
        </w:rPr>
        <w:t>LTC rules is appropriate in light of</w:t>
      </w:r>
      <w:r w:rsidRPr="001F6774">
        <w:rPr>
          <w:rFonts w:ascii="Times New Roman" w:hAnsi="Times New Roman"/>
          <w:sz w:val="24"/>
          <w:szCs w:val="24"/>
        </w:rPr>
        <w:t xml:space="preserve"> the policy intent underlying their design. </w:t>
      </w:r>
      <w:r>
        <w:rPr>
          <w:rFonts w:ascii="Times New Roman" w:hAnsi="Times New Roman"/>
          <w:sz w:val="24"/>
          <w:szCs w:val="24"/>
        </w:rPr>
        <w:t xml:space="preserve"> </w:t>
      </w:r>
    </w:p>
    <w:p w:rsidR="00744ECA" w:rsidRDefault="00744ECA" w:rsidP="0028142B">
      <w:pPr>
        <w:pStyle w:val="Bullet-list"/>
        <w:spacing w:after="0" w:line="240" w:lineRule="auto"/>
        <w:ind w:left="0" w:firstLine="0"/>
        <w:jc w:val="both"/>
        <w:rPr>
          <w:rFonts w:ascii="Times New Roman" w:hAnsi="Times New Roman"/>
          <w:sz w:val="24"/>
          <w:szCs w:val="24"/>
        </w:rPr>
      </w:pPr>
    </w:p>
    <w:p w:rsidR="00744ECA" w:rsidRPr="00B825AE" w:rsidRDefault="00190779"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From a policy perspective, </w:t>
      </w:r>
      <w:r w:rsidR="00744ECA">
        <w:rPr>
          <w:rFonts w:ascii="Times New Roman" w:hAnsi="Times New Roman"/>
          <w:sz w:val="24"/>
          <w:szCs w:val="24"/>
        </w:rPr>
        <w:t xml:space="preserve">LTCs were intended to be used as investment vehicles for </w:t>
      </w:r>
      <w:r w:rsidR="00744ECA" w:rsidRPr="001F6774">
        <w:rPr>
          <w:rFonts w:ascii="Times New Roman" w:hAnsi="Times New Roman"/>
          <w:sz w:val="24"/>
          <w:szCs w:val="24"/>
        </w:rPr>
        <w:t>closely controlled</w:t>
      </w:r>
      <w:r w:rsidR="00744ECA">
        <w:rPr>
          <w:rFonts w:ascii="Times New Roman" w:hAnsi="Times New Roman"/>
          <w:sz w:val="24"/>
          <w:szCs w:val="24"/>
        </w:rPr>
        <w:t xml:space="preserve"> (meaning </w:t>
      </w:r>
      <w:r w:rsidR="00D86A1E">
        <w:rPr>
          <w:rFonts w:ascii="Times New Roman" w:hAnsi="Times New Roman"/>
          <w:sz w:val="24"/>
          <w:szCs w:val="24"/>
        </w:rPr>
        <w:t>five</w:t>
      </w:r>
      <w:r w:rsidR="00744ECA">
        <w:rPr>
          <w:rFonts w:ascii="Times New Roman" w:hAnsi="Times New Roman"/>
          <w:sz w:val="24"/>
          <w:szCs w:val="24"/>
        </w:rPr>
        <w:t xml:space="preserve"> or fewer counted owners)</w:t>
      </w:r>
      <w:r w:rsidR="00744ECA" w:rsidRPr="001F6774">
        <w:rPr>
          <w:rFonts w:ascii="Times New Roman" w:hAnsi="Times New Roman"/>
          <w:sz w:val="24"/>
          <w:szCs w:val="24"/>
        </w:rPr>
        <w:t xml:space="preserve"> New Zealand bus</w:t>
      </w:r>
      <w:r w:rsidR="00744ECA">
        <w:rPr>
          <w:rFonts w:ascii="Times New Roman" w:hAnsi="Times New Roman"/>
          <w:sz w:val="24"/>
          <w:szCs w:val="24"/>
        </w:rPr>
        <w:t xml:space="preserve">inesses </w:t>
      </w:r>
      <w:r w:rsidR="00744ECA" w:rsidRPr="00B825AE">
        <w:rPr>
          <w:rFonts w:ascii="Times New Roman" w:hAnsi="Times New Roman"/>
          <w:sz w:val="24"/>
          <w:szCs w:val="24"/>
        </w:rPr>
        <w:t>which</w:t>
      </w:r>
      <w:r w:rsidR="00744ECA">
        <w:rPr>
          <w:rFonts w:ascii="Times New Roman" w:hAnsi="Times New Roman"/>
          <w:sz w:val="24"/>
          <w:szCs w:val="24"/>
        </w:rPr>
        <w:t>, for commercial reasons,</w:t>
      </w:r>
      <w:r w:rsidR="00744ECA" w:rsidRPr="00B825AE">
        <w:rPr>
          <w:rFonts w:ascii="Times New Roman" w:hAnsi="Times New Roman"/>
          <w:sz w:val="24"/>
          <w:szCs w:val="24"/>
        </w:rPr>
        <w:t xml:space="preserve"> </w:t>
      </w:r>
      <w:r w:rsidR="00744ECA">
        <w:rPr>
          <w:rFonts w:ascii="Times New Roman" w:hAnsi="Times New Roman"/>
          <w:sz w:val="24"/>
          <w:szCs w:val="24"/>
        </w:rPr>
        <w:t xml:space="preserve">preferred to make the investment through </w:t>
      </w:r>
      <w:r w:rsidR="00744ECA" w:rsidRPr="00B825AE">
        <w:rPr>
          <w:rFonts w:ascii="Times New Roman" w:hAnsi="Times New Roman"/>
          <w:sz w:val="24"/>
          <w:szCs w:val="24"/>
        </w:rPr>
        <w:t xml:space="preserve">the corporate structure but that could otherwise </w:t>
      </w:r>
      <w:r w:rsidR="00744ECA">
        <w:rPr>
          <w:rFonts w:ascii="Times New Roman" w:hAnsi="Times New Roman"/>
          <w:sz w:val="24"/>
          <w:szCs w:val="24"/>
        </w:rPr>
        <w:t xml:space="preserve">have genuinely been </w:t>
      </w:r>
      <w:r w:rsidR="00744ECA" w:rsidRPr="00B825AE">
        <w:rPr>
          <w:rFonts w:ascii="Times New Roman" w:hAnsi="Times New Roman"/>
          <w:sz w:val="24"/>
          <w:szCs w:val="24"/>
        </w:rPr>
        <w:t xml:space="preserve">made </w:t>
      </w:r>
      <w:r w:rsidR="00744ECA">
        <w:rPr>
          <w:rFonts w:ascii="Times New Roman" w:hAnsi="Times New Roman"/>
          <w:sz w:val="24"/>
          <w:szCs w:val="24"/>
        </w:rPr>
        <w:t xml:space="preserve">directly </w:t>
      </w:r>
      <w:r w:rsidR="00744ECA" w:rsidRPr="00B825AE">
        <w:rPr>
          <w:rFonts w:ascii="Times New Roman" w:hAnsi="Times New Roman"/>
          <w:sz w:val="24"/>
          <w:szCs w:val="24"/>
        </w:rPr>
        <w:t>by an individual or small group of individuals, i</w:t>
      </w:r>
      <w:r w:rsidR="00744ECA">
        <w:rPr>
          <w:rFonts w:ascii="Times New Roman" w:hAnsi="Times New Roman"/>
          <w:sz w:val="24"/>
          <w:szCs w:val="24"/>
        </w:rPr>
        <w:t>ncluding through a family trust.</w:t>
      </w:r>
    </w:p>
    <w:p w:rsidR="00744ECA" w:rsidRPr="001F6774" w:rsidRDefault="00744ECA" w:rsidP="0028142B">
      <w:pPr>
        <w:pStyle w:val="Bullet-list"/>
        <w:spacing w:after="0" w:line="240" w:lineRule="auto"/>
        <w:jc w:val="both"/>
        <w:rPr>
          <w:rFonts w:ascii="Times New Roman" w:hAnsi="Times New Roman"/>
          <w:sz w:val="24"/>
          <w:szCs w:val="24"/>
        </w:rPr>
      </w:pPr>
    </w:p>
    <w:p w:rsidR="00744ECA" w:rsidRDefault="00744ECA"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This means LTCs were not intended to be widely held vehicles, although the rules do envi</w:t>
      </w:r>
      <w:r w:rsidR="00D6642E">
        <w:rPr>
          <w:rFonts w:ascii="Times New Roman" w:hAnsi="Times New Roman"/>
          <w:sz w:val="24"/>
          <w:szCs w:val="24"/>
        </w:rPr>
        <w:t>sage use by close family groups</w:t>
      </w:r>
      <w:r>
        <w:rPr>
          <w:rFonts w:ascii="Times New Roman" w:hAnsi="Times New Roman"/>
          <w:sz w:val="24"/>
          <w:szCs w:val="24"/>
        </w:rPr>
        <w:t xml:space="preserve"> by allowing for all ‘relatives’ to be counted as one look-through owner (for example children, siblings and spouses).  </w:t>
      </w:r>
    </w:p>
    <w:p w:rsidR="00744ECA" w:rsidRDefault="00744ECA" w:rsidP="0028142B">
      <w:pPr>
        <w:pStyle w:val="ListParagraph"/>
        <w:rPr>
          <w:rFonts w:ascii="Times New Roman" w:hAnsi="Times New Roman"/>
          <w:sz w:val="24"/>
          <w:szCs w:val="24"/>
        </w:rPr>
      </w:pPr>
    </w:p>
    <w:p w:rsidR="00744ECA" w:rsidRPr="002737FA" w:rsidRDefault="00455A7D"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w:t>
      </w:r>
      <w:r w:rsidR="00D6642E">
        <w:rPr>
          <w:rFonts w:ascii="Times New Roman" w:hAnsi="Times New Roman"/>
          <w:sz w:val="24"/>
          <w:szCs w:val="24"/>
        </w:rPr>
        <w:t xml:space="preserve">eligibility criteria </w:t>
      </w:r>
      <w:r>
        <w:rPr>
          <w:rFonts w:ascii="Times New Roman" w:hAnsi="Times New Roman"/>
          <w:sz w:val="24"/>
          <w:szCs w:val="24"/>
        </w:rPr>
        <w:t>are closely held companies,</w:t>
      </w:r>
      <w:r w:rsidR="00B03854">
        <w:rPr>
          <w:rFonts w:ascii="Times New Roman" w:hAnsi="Times New Roman"/>
          <w:sz w:val="24"/>
          <w:szCs w:val="24"/>
        </w:rPr>
        <w:t xml:space="preserve"> </w:t>
      </w:r>
      <w:r w:rsidR="00744ECA">
        <w:rPr>
          <w:rFonts w:ascii="Times New Roman" w:hAnsi="Times New Roman"/>
          <w:sz w:val="24"/>
          <w:szCs w:val="24"/>
        </w:rPr>
        <w:t xml:space="preserve">are overly liberal in several areas which </w:t>
      </w:r>
      <w:r w:rsidR="00190779">
        <w:rPr>
          <w:rFonts w:ascii="Times New Roman" w:hAnsi="Times New Roman"/>
          <w:sz w:val="24"/>
          <w:szCs w:val="24"/>
        </w:rPr>
        <w:t xml:space="preserve">has </w:t>
      </w:r>
      <w:r w:rsidR="00744ECA">
        <w:rPr>
          <w:rFonts w:ascii="Times New Roman" w:hAnsi="Times New Roman"/>
          <w:sz w:val="24"/>
          <w:szCs w:val="24"/>
        </w:rPr>
        <w:t xml:space="preserve">the potential to </w:t>
      </w:r>
      <w:r w:rsidR="00190779">
        <w:rPr>
          <w:rFonts w:ascii="Times New Roman" w:hAnsi="Times New Roman"/>
          <w:sz w:val="24"/>
          <w:szCs w:val="24"/>
        </w:rPr>
        <w:t xml:space="preserve">undermine </w:t>
      </w:r>
      <w:r w:rsidR="00190779" w:rsidRPr="002737FA">
        <w:rPr>
          <w:rFonts w:ascii="Times New Roman" w:hAnsi="Times New Roman"/>
          <w:sz w:val="24"/>
          <w:szCs w:val="24"/>
        </w:rPr>
        <w:t xml:space="preserve">this </w:t>
      </w:r>
      <w:r w:rsidR="00D6642E">
        <w:rPr>
          <w:rFonts w:ascii="Times New Roman" w:hAnsi="Times New Roman"/>
          <w:sz w:val="24"/>
          <w:szCs w:val="24"/>
        </w:rPr>
        <w:t xml:space="preserve">intended </w:t>
      </w:r>
      <w:r w:rsidR="00190779" w:rsidRPr="002737FA">
        <w:rPr>
          <w:rFonts w:ascii="Times New Roman" w:hAnsi="Times New Roman"/>
          <w:sz w:val="24"/>
          <w:szCs w:val="24"/>
        </w:rPr>
        <w:t xml:space="preserve">policy </w:t>
      </w:r>
      <w:r w:rsidR="00D6642E">
        <w:rPr>
          <w:rFonts w:ascii="Times New Roman" w:hAnsi="Times New Roman"/>
          <w:sz w:val="24"/>
          <w:szCs w:val="24"/>
        </w:rPr>
        <w:t>outcome</w:t>
      </w:r>
      <w:r w:rsidR="00190779" w:rsidRPr="002737FA">
        <w:rPr>
          <w:rFonts w:ascii="Times New Roman" w:hAnsi="Times New Roman"/>
          <w:sz w:val="24"/>
          <w:szCs w:val="24"/>
        </w:rPr>
        <w:t xml:space="preserve">. </w:t>
      </w:r>
      <w:r w:rsidR="00190779" w:rsidRPr="002108FB">
        <w:rPr>
          <w:rFonts w:ascii="Times New Roman" w:hAnsi="Times New Roman"/>
          <w:sz w:val="24"/>
          <w:szCs w:val="24"/>
        </w:rPr>
        <w:t xml:space="preserve"> </w:t>
      </w:r>
      <w:r w:rsidR="00B03854">
        <w:rPr>
          <w:rFonts w:ascii="Times New Roman" w:hAnsi="Times New Roman"/>
          <w:sz w:val="24"/>
          <w:szCs w:val="24"/>
        </w:rPr>
        <w:t xml:space="preserve">In </w:t>
      </w:r>
      <w:r w:rsidR="00B03854" w:rsidRPr="002737FA">
        <w:rPr>
          <w:rFonts w:ascii="Times New Roman" w:hAnsi="Times New Roman"/>
          <w:sz w:val="24"/>
          <w:szCs w:val="24"/>
        </w:rPr>
        <w:t>particular</w:t>
      </w:r>
      <w:r w:rsidR="00D86A1E">
        <w:rPr>
          <w:rFonts w:ascii="Times New Roman" w:hAnsi="Times New Roman"/>
          <w:sz w:val="24"/>
          <w:szCs w:val="24"/>
        </w:rPr>
        <w:t>,</w:t>
      </w:r>
      <w:r w:rsidR="00744ECA" w:rsidRPr="002108FB">
        <w:rPr>
          <w:rFonts w:ascii="Times New Roman" w:hAnsi="Times New Roman"/>
          <w:sz w:val="24"/>
          <w:szCs w:val="24"/>
        </w:rPr>
        <w:t xml:space="preserve"> in relation to </w:t>
      </w:r>
      <w:r w:rsidR="00B03854">
        <w:rPr>
          <w:rFonts w:ascii="Times New Roman" w:hAnsi="Times New Roman"/>
          <w:sz w:val="24"/>
          <w:szCs w:val="24"/>
        </w:rPr>
        <w:t xml:space="preserve">LTCs owned by </w:t>
      </w:r>
      <w:r w:rsidR="00744ECA" w:rsidRPr="002737FA">
        <w:rPr>
          <w:rFonts w:ascii="Times New Roman" w:hAnsi="Times New Roman"/>
          <w:sz w:val="24"/>
          <w:szCs w:val="24"/>
        </w:rPr>
        <w:t>trusts (including trusts with corpo</w:t>
      </w:r>
      <w:r w:rsidR="00744ECA" w:rsidRPr="002108FB">
        <w:rPr>
          <w:rFonts w:ascii="Times New Roman" w:hAnsi="Times New Roman"/>
          <w:sz w:val="24"/>
          <w:szCs w:val="24"/>
        </w:rPr>
        <w:t>rate beneficiaries), charities and Māori authorities</w:t>
      </w:r>
      <w:r>
        <w:rPr>
          <w:rFonts w:ascii="Times New Roman" w:hAnsi="Times New Roman"/>
          <w:sz w:val="24"/>
          <w:szCs w:val="24"/>
        </w:rPr>
        <w:t>,</w:t>
      </w:r>
      <w:r w:rsidR="00B03854" w:rsidRPr="002737FA">
        <w:rPr>
          <w:rFonts w:ascii="Times New Roman" w:hAnsi="Times New Roman"/>
          <w:sz w:val="24"/>
          <w:szCs w:val="24"/>
        </w:rPr>
        <w:t xml:space="preserve"> </w:t>
      </w:r>
      <w:r w:rsidR="00B03854">
        <w:rPr>
          <w:rFonts w:ascii="Times New Roman" w:hAnsi="Times New Roman"/>
          <w:sz w:val="24"/>
          <w:szCs w:val="24"/>
        </w:rPr>
        <w:t xml:space="preserve">the current rules could </w:t>
      </w:r>
      <w:r w:rsidR="00B03854" w:rsidRPr="002737FA">
        <w:rPr>
          <w:rFonts w:ascii="Times New Roman" w:hAnsi="Times New Roman"/>
          <w:sz w:val="24"/>
          <w:szCs w:val="24"/>
        </w:rPr>
        <w:t>allow for L</w:t>
      </w:r>
      <w:r w:rsidRPr="002108FB">
        <w:rPr>
          <w:rFonts w:ascii="Times New Roman" w:hAnsi="Times New Roman"/>
          <w:sz w:val="24"/>
          <w:szCs w:val="24"/>
        </w:rPr>
        <w:t>TCs to be in effect widely held</w:t>
      </w:r>
      <w:r>
        <w:rPr>
          <w:rFonts w:ascii="Times New Roman" w:hAnsi="Times New Roman"/>
          <w:sz w:val="24"/>
          <w:szCs w:val="24"/>
        </w:rPr>
        <w:t xml:space="preserve">.   </w:t>
      </w:r>
    </w:p>
    <w:p w:rsidR="00744ECA" w:rsidRDefault="00744ECA" w:rsidP="0028142B">
      <w:pPr>
        <w:pStyle w:val="ListParagraph"/>
        <w:rPr>
          <w:rFonts w:ascii="Times New Roman" w:hAnsi="Times New Roman"/>
          <w:sz w:val="24"/>
          <w:szCs w:val="24"/>
        </w:rPr>
      </w:pPr>
    </w:p>
    <w:p w:rsidR="00744ECA" w:rsidRPr="002108FB" w:rsidRDefault="00744ECA"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586B4E">
        <w:rPr>
          <w:rFonts w:ascii="Times New Roman" w:hAnsi="Times New Roman"/>
          <w:sz w:val="24"/>
          <w:szCs w:val="24"/>
        </w:rPr>
        <w:t xml:space="preserve">For LTCs held by trusts the current rule is limited in that </w:t>
      </w:r>
      <w:r>
        <w:rPr>
          <w:rFonts w:ascii="Times New Roman" w:hAnsi="Times New Roman"/>
          <w:sz w:val="24"/>
          <w:szCs w:val="24"/>
        </w:rPr>
        <w:t xml:space="preserve">it </w:t>
      </w:r>
      <w:r w:rsidRPr="00586B4E">
        <w:rPr>
          <w:rFonts w:ascii="Times New Roman" w:hAnsi="Times New Roman"/>
          <w:sz w:val="24"/>
          <w:szCs w:val="24"/>
        </w:rPr>
        <w:t>only count</w:t>
      </w:r>
      <w:r>
        <w:rPr>
          <w:rFonts w:ascii="Times New Roman" w:hAnsi="Times New Roman"/>
          <w:sz w:val="24"/>
          <w:szCs w:val="24"/>
        </w:rPr>
        <w:t>s</w:t>
      </w:r>
      <w:r w:rsidRPr="00586B4E">
        <w:rPr>
          <w:rFonts w:ascii="Times New Roman" w:hAnsi="Times New Roman"/>
          <w:sz w:val="24"/>
          <w:szCs w:val="24"/>
        </w:rPr>
        <w:t xml:space="preserve"> </w:t>
      </w:r>
      <w:r>
        <w:rPr>
          <w:rFonts w:ascii="Times New Roman" w:hAnsi="Times New Roman"/>
          <w:sz w:val="24"/>
          <w:szCs w:val="24"/>
        </w:rPr>
        <w:t xml:space="preserve">beneficiaries who have received </w:t>
      </w:r>
      <w:r w:rsidRPr="00586B4E">
        <w:rPr>
          <w:rFonts w:ascii="Times New Roman" w:hAnsi="Times New Roman"/>
          <w:sz w:val="24"/>
          <w:szCs w:val="24"/>
        </w:rPr>
        <w:t xml:space="preserve">distributions of </w:t>
      </w:r>
      <w:r>
        <w:rPr>
          <w:rFonts w:ascii="Times New Roman" w:hAnsi="Times New Roman"/>
          <w:sz w:val="24"/>
          <w:szCs w:val="24"/>
        </w:rPr>
        <w:t xml:space="preserve">LTC income as </w:t>
      </w:r>
      <w:r w:rsidRPr="00586B4E">
        <w:rPr>
          <w:rFonts w:ascii="Times New Roman" w:hAnsi="Times New Roman"/>
          <w:sz w:val="24"/>
          <w:szCs w:val="24"/>
        </w:rPr>
        <w:t>‘beneficiary income’ (being income which has not been taxe</w:t>
      </w:r>
      <w:r>
        <w:rPr>
          <w:rFonts w:ascii="Times New Roman" w:hAnsi="Times New Roman"/>
          <w:sz w:val="24"/>
          <w:szCs w:val="24"/>
        </w:rPr>
        <w:t>d in the hands of the trustees) rather than all distributions that they receive sourced from any income of the trust.</w:t>
      </w:r>
      <w:r w:rsidR="00190779">
        <w:rPr>
          <w:rFonts w:ascii="Times New Roman" w:hAnsi="Times New Roman"/>
          <w:sz w:val="24"/>
          <w:szCs w:val="24"/>
        </w:rPr>
        <w:t xml:space="preserve">  </w:t>
      </w:r>
      <w:r w:rsidR="00190779" w:rsidRPr="002737FA">
        <w:rPr>
          <w:rFonts w:ascii="Times New Roman" w:hAnsi="Times New Roman"/>
          <w:sz w:val="24"/>
          <w:szCs w:val="24"/>
        </w:rPr>
        <w:t>This</w:t>
      </w:r>
      <w:r w:rsidR="00190779" w:rsidRPr="002108FB">
        <w:rPr>
          <w:rFonts w:ascii="Times New Roman" w:hAnsi="Times New Roman"/>
          <w:sz w:val="24"/>
          <w:szCs w:val="24"/>
        </w:rPr>
        <w:t xml:space="preserve"> allows</w:t>
      </w:r>
      <w:r w:rsidRPr="002108FB">
        <w:rPr>
          <w:rFonts w:ascii="Times New Roman" w:hAnsi="Times New Roman"/>
          <w:sz w:val="24"/>
          <w:szCs w:val="24"/>
        </w:rPr>
        <w:t xml:space="preserve"> for multiple beneficiaries to benefit from the LTC income </w:t>
      </w:r>
      <w:r w:rsidR="00D86A1E">
        <w:rPr>
          <w:rFonts w:ascii="Times New Roman" w:hAnsi="Times New Roman"/>
          <w:sz w:val="24"/>
          <w:szCs w:val="24"/>
        </w:rPr>
        <w:t>but not become ‘counted owners’</w:t>
      </w:r>
      <w:r w:rsidRPr="002108FB">
        <w:rPr>
          <w:rFonts w:ascii="Times New Roman" w:hAnsi="Times New Roman"/>
          <w:sz w:val="24"/>
          <w:szCs w:val="24"/>
        </w:rPr>
        <w:t xml:space="preserve"> by</w:t>
      </w:r>
      <w:r w:rsidR="00D86A1E">
        <w:rPr>
          <w:rFonts w:ascii="Times New Roman" w:hAnsi="Times New Roman"/>
          <w:sz w:val="24"/>
          <w:szCs w:val="24"/>
        </w:rPr>
        <w:t>,</w:t>
      </w:r>
      <w:r w:rsidRPr="002108FB">
        <w:rPr>
          <w:rFonts w:ascii="Times New Roman" w:hAnsi="Times New Roman"/>
          <w:sz w:val="24"/>
          <w:szCs w:val="24"/>
        </w:rPr>
        <w:t xml:space="preserve"> for example</w:t>
      </w:r>
      <w:r w:rsidR="00D86A1E">
        <w:rPr>
          <w:rFonts w:ascii="Times New Roman" w:hAnsi="Times New Roman"/>
          <w:sz w:val="24"/>
          <w:szCs w:val="24"/>
        </w:rPr>
        <w:t>,</w:t>
      </w:r>
      <w:r w:rsidRPr="002108FB">
        <w:rPr>
          <w:rFonts w:ascii="Times New Roman" w:hAnsi="Times New Roman"/>
          <w:sz w:val="24"/>
          <w:szCs w:val="24"/>
        </w:rPr>
        <w:t xml:space="preserve"> receiving only distributions of ‘trustee income’.   </w:t>
      </w:r>
    </w:p>
    <w:p w:rsidR="00744ECA" w:rsidRDefault="00744ECA" w:rsidP="0028142B">
      <w:pPr>
        <w:pStyle w:val="ListParagraph"/>
        <w:rPr>
          <w:rFonts w:ascii="Times New Roman" w:hAnsi="Times New Roman"/>
          <w:sz w:val="24"/>
          <w:szCs w:val="24"/>
        </w:rPr>
      </w:pPr>
    </w:p>
    <w:p w:rsidR="00D86A1E" w:rsidRDefault="00744ECA"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012466">
        <w:rPr>
          <w:rFonts w:ascii="Times New Roman" w:hAnsi="Times New Roman"/>
          <w:sz w:val="24"/>
          <w:szCs w:val="24"/>
        </w:rPr>
        <w:t>Further, because of the fungibility of money</w:t>
      </w:r>
      <w:r>
        <w:rPr>
          <w:rFonts w:ascii="Times New Roman" w:hAnsi="Times New Roman"/>
          <w:sz w:val="24"/>
          <w:szCs w:val="24"/>
        </w:rPr>
        <w:t>,</w:t>
      </w:r>
      <w:r w:rsidRPr="00012466">
        <w:rPr>
          <w:rFonts w:ascii="Times New Roman" w:hAnsi="Times New Roman"/>
          <w:sz w:val="24"/>
          <w:szCs w:val="24"/>
        </w:rPr>
        <w:t xml:space="preserve"> it is only really possible to nominally trace the source of a distribution to test w</w:t>
      </w:r>
      <w:r w:rsidR="00D86A1E">
        <w:rPr>
          <w:rFonts w:ascii="Times New Roman" w:hAnsi="Times New Roman"/>
          <w:sz w:val="24"/>
          <w:szCs w:val="24"/>
        </w:rPr>
        <w:t xml:space="preserve">hether they are derived from a </w:t>
      </w:r>
      <w:r w:rsidRPr="00012466">
        <w:rPr>
          <w:rFonts w:ascii="Times New Roman" w:hAnsi="Times New Roman"/>
          <w:sz w:val="24"/>
          <w:szCs w:val="24"/>
        </w:rPr>
        <w:t>direct or indirect beneficial interest in a look-throu</w:t>
      </w:r>
      <w:r w:rsidR="00D86A1E">
        <w:rPr>
          <w:rFonts w:ascii="Times New Roman" w:hAnsi="Times New Roman"/>
          <w:sz w:val="24"/>
          <w:szCs w:val="24"/>
        </w:rPr>
        <w:t>gh interest</w:t>
      </w:r>
      <w:r w:rsidRPr="00012466">
        <w:rPr>
          <w:rFonts w:ascii="Times New Roman" w:hAnsi="Times New Roman"/>
          <w:sz w:val="24"/>
          <w:szCs w:val="24"/>
        </w:rPr>
        <w:t>.  This means that the test which counts look-through owners based on the source of income which is distributed can be easily undermined, as income can be made to appear to be distributed from one particular source, but this may bear no semblance to what has happened in reality.  In practice a dollar distributed by a trust may be sourced from any funds of the trust</w:t>
      </w:r>
      <w:r w:rsidR="00D86A1E">
        <w:rPr>
          <w:rFonts w:ascii="Times New Roman" w:hAnsi="Times New Roman"/>
          <w:sz w:val="24"/>
          <w:szCs w:val="24"/>
        </w:rPr>
        <w:t>.</w:t>
      </w:r>
    </w:p>
    <w:p w:rsidR="00B03854" w:rsidRPr="002346B9" w:rsidRDefault="00B03854" w:rsidP="0028142B">
      <w:pPr>
        <w:pStyle w:val="Bullet-list"/>
        <w:spacing w:after="0" w:line="240" w:lineRule="auto"/>
        <w:ind w:left="0" w:firstLine="0"/>
        <w:jc w:val="both"/>
        <w:rPr>
          <w:rFonts w:ascii="Times New Roman" w:hAnsi="Times New Roman"/>
          <w:sz w:val="24"/>
          <w:szCs w:val="24"/>
        </w:rPr>
      </w:pPr>
    </w:p>
    <w:p w:rsidR="00B03854" w:rsidRDefault="00455A7D"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 trust that owns a LTC can currently have a corporate beneficiary </w:t>
      </w:r>
      <w:r w:rsidR="00D86A1E">
        <w:rPr>
          <w:rFonts w:ascii="Times New Roman" w:hAnsi="Times New Roman"/>
          <w:sz w:val="24"/>
          <w:szCs w:val="24"/>
        </w:rPr>
        <w:t>but</w:t>
      </w:r>
      <w:r>
        <w:rPr>
          <w:rFonts w:ascii="Times New Roman" w:hAnsi="Times New Roman"/>
          <w:sz w:val="24"/>
          <w:szCs w:val="24"/>
        </w:rPr>
        <w:t xml:space="preserve"> direct ownership by companies</w:t>
      </w:r>
      <w:r w:rsidR="00B03854" w:rsidRPr="008A4D1A">
        <w:rPr>
          <w:rFonts w:ascii="Times New Roman" w:hAnsi="Times New Roman"/>
          <w:sz w:val="24"/>
          <w:szCs w:val="24"/>
        </w:rPr>
        <w:t xml:space="preserve">, other than </w:t>
      </w:r>
      <w:r>
        <w:rPr>
          <w:rFonts w:ascii="Times New Roman" w:hAnsi="Times New Roman"/>
          <w:sz w:val="24"/>
          <w:szCs w:val="24"/>
        </w:rPr>
        <w:t xml:space="preserve">other </w:t>
      </w:r>
      <w:r w:rsidR="00B03854" w:rsidRPr="008A4D1A">
        <w:rPr>
          <w:rFonts w:ascii="Times New Roman" w:hAnsi="Times New Roman"/>
          <w:sz w:val="24"/>
          <w:szCs w:val="24"/>
        </w:rPr>
        <w:t>LTC</w:t>
      </w:r>
      <w:r>
        <w:rPr>
          <w:rFonts w:ascii="Times New Roman" w:hAnsi="Times New Roman"/>
          <w:sz w:val="24"/>
          <w:szCs w:val="24"/>
        </w:rPr>
        <w:t>s</w:t>
      </w:r>
      <w:r w:rsidR="00B03854" w:rsidRPr="008A4D1A">
        <w:rPr>
          <w:rFonts w:ascii="Times New Roman" w:hAnsi="Times New Roman"/>
          <w:sz w:val="24"/>
          <w:szCs w:val="24"/>
        </w:rPr>
        <w:t xml:space="preserve">, </w:t>
      </w:r>
      <w:r>
        <w:rPr>
          <w:rFonts w:ascii="Times New Roman" w:hAnsi="Times New Roman"/>
          <w:sz w:val="24"/>
          <w:szCs w:val="24"/>
        </w:rPr>
        <w:t xml:space="preserve">is </w:t>
      </w:r>
      <w:r w:rsidR="00B03854">
        <w:rPr>
          <w:rFonts w:ascii="Times New Roman" w:hAnsi="Times New Roman"/>
          <w:sz w:val="24"/>
          <w:szCs w:val="24"/>
        </w:rPr>
        <w:t>expressly prohibited</w:t>
      </w:r>
      <w:r>
        <w:rPr>
          <w:rFonts w:ascii="Times New Roman" w:hAnsi="Times New Roman"/>
          <w:sz w:val="24"/>
          <w:szCs w:val="24"/>
        </w:rPr>
        <w:t>.</w:t>
      </w:r>
      <w:r>
        <w:t xml:space="preserve"> </w:t>
      </w:r>
      <w:r>
        <w:rPr>
          <w:rFonts w:ascii="Times New Roman" w:hAnsi="Times New Roman"/>
          <w:sz w:val="24"/>
          <w:szCs w:val="24"/>
        </w:rPr>
        <w:t xml:space="preserve"> T</w:t>
      </w:r>
      <w:r w:rsidR="00B03854" w:rsidRPr="008A4D1A">
        <w:rPr>
          <w:rFonts w:ascii="Times New Roman" w:hAnsi="Times New Roman"/>
          <w:sz w:val="24"/>
          <w:szCs w:val="24"/>
        </w:rPr>
        <w:t xml:space="preserve">he trust is looked through and the shareholders of the corporate are counted if it receives any beneficiary income.  </w:t>
      </w:r>
      <w:r w:rsidR="00B03854">
        <w:rPr>
          <w:rFonts w:ascii="Times New Roman" w:hAnsi="Times New Roman"/>
          <w:sz w:val="24"/>
          <w:szCs w:val="24"/>
        </w:rPr>
        <w:t>This</w:t>
      </w:r>
      <w:r>
        <w:rPr>
          <w:rFonts w:ascii="Times New Roman" w:hAnsi="Times New Roman"/>
          <w:sz w:val="24"/>
          <w:szCs w:val="24"/>
        </w:rPr>
        <w:t>, coupled with the stated problems in the current trust counting rules as described above,</w:t>
      </w:r>
      <w:r w:rsidR="00B03854">
        <w:rPr>
          <w:rFonts w:ascii="Times New Roman" w:hAnsi="Times New Roman"/>
          <w:sz w:val="24"/>
          <w:szCs w:val="24"/>
        </w:rPr>
        <w:t xml:space="preserve"> </w:t>
      </w:r>
      <w:r w:rsidR="00B03854" w:rsidRPr="008A4D1A">
        <w:rPr>
          <w:rFonts w:ascii="Times New Roman" w:hAnsi="Times New Roman"/>
          <w:sz w:val="24"/>
          <w:szCs w:val="24"/>
        </w:rPr>
        <w:t xml:space="preserve">unintentionally provides </w:t>
      </w:r>
      <w:r>
        <w:rPr>
          <w:rFonts w:ascii="Times New Roman" w:hAnsi="Times New Roman"/>
          <w:sz w:val="24"/>
          <w:szCs w:val="24"/>
        </w:rPr>
        <w:t xml:space="preserve">widely held </w:t>
      </w:r>
      <w:r w:rsidR="00B03854">
        <w:rPr>
          <w:rFonts w:ascii="Times New Roman" w:hAnsi="Times New Roman"/>
          <w:sz w:val="24"/>
          <w:szCs w:val="24"/>
        </w:rPr>
        <w:t xml:space="preserve">non-LTC </w:t>
      </w:r>
      <w:r w:rsidR="00B03854" w:rsidRPr="008A4D1A">
        <w:rPr>
          <w:rFonts w:ascii="Times New Roman" w:hAnsi="Times New Roman"/>
          <w:sz w:val="24"/>
          <w:szCs w:val="24"/>
        </w:rPr>
        <w:t>corporates with a way to circumvent the prohibition on direct ownership.</w:t>
      </w:r>
      <w:r w:rsidR="00B03854">
        <w:rPr>
          <w:rFonts w:ascii="Times New Roman" w:hAnsi="Times New Roman"/>
          <w:sz w:val="24"/>
          <w:szCs w:val="24"/>
        </w:rPr>
        <w:t xml:space="preserve">  </w:t>
      </w:r>
      <w:r w:rsidR="00B03854" w:rsidRPr="008A4D1A">
        <w:rPr>
          <w:rFonts w:ascii="Times New Roman" w:hAnsi="Times New Roman"/>
          <w:sz w:val="24"/>
          <w:szCs w:val="24"/>
        </w:rPr>
        <w:t xml:space="preserve">  </w:t>
      </w:r>
    </w:p>
    <w:p w:rsidR="00455A7D" w:rsidRDefault="00455A7D" w:rsidP="0028142B">
      <w:pPr>
        <w:pStyle w:val="Bullet-list"/>
        <w:spacing w:after="0" w:line="240" w:lineRule="auto"/>
        <w:ind w:left="0" w:firstLine="0"/>
        <w:jc w:val="both"/>
        <w:rPr>
          <w:rFonts w:ascii="Times New Roman" w:hAnsi="Times New Roman"/>
          <w:sz w:val="24"/>
          <w:szCs w:val="24"/>
        </w:rPr>
      </w:pPr>
    </w:p>
    <w:p w:rsidR="00744ECA" w:rsidRDefault="00744ECA"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1B1938">
        <w:rPr>
          <w:rFonts w:ascii="Times New Roman" w:hAnsi="Times New Roman"/>
          <w:sz w:val="24"/>
          <w:szCs w:val="24"/>
        </w:rPr>
        <w:t xml:space="preserve">The current rules </w:t>
      </w:r>
      <w:r w:rsidR="00B03854">
        <w:rPr>
          <w:rFonts w:ascii="Times New Roman" w:hAnsi="Times New Roman"/>
          <w:sz w:val="24"/>
          <w:szCs w:val="24"/>
        </w:rPr>
        <w:t xml:space="preserve">also </w:t>
      </w:r>
      <w:r w:rsidRPr="001B1938">
        <w:rPr>
          <w:rFonts w:ascii="Times New Roman" w:hAnsi="Times New Roman"/>
          <w:sz w:val="24"/>
          <w:szCs w:val="24"/>
        </w:rPr>
        <w:t>allow for charities and Māori authorities to hold LTC interests, either directly or indirectly through a trust.  Both charities and Māori authorities have potentially wide pools of beneficiaries and are</w:t>
      </w:r>
      <w:r>
        <w:rPr>
          <w:rFonts w:ascii="Times New Roman" w:hAnsi="Times New Roman"/>
          <w:sz w:val="24"/>
          <w:szCs w:val="24"/>
        </w:rPr>
        <w:t>,</w:t>
      </w:r>
      <w:r w:rsidRPr="001B1938">
        <w:rPr>
          <w:rFonts w:ascii="Times New Roman" w:hAnsi="Times New Roman"/>
          <w:sz w:val="24"/>
          <w:szCs w:val="24"/>
        </w:rPr>
        <w:t xml:space="preserve"> therefore</w:t>
      </w:r>
      <w:r>
        <w:rPr>
          <w:rFonts w:ascii="Times New Roman" w:hAnsi="Times New Roman"/>
          <w:sz w:val="24"/>
          <w:szCs w:val="24"/>
        </w:rPr>
        <w:t>,</w:t>
      </w:r>
      <w:r w:rsidRPr="001B1938">
        <w:rPr>
          <w:rFonts w:ascii="Times New Roman" w:hAnsi="Times New Roman"/>
          <w:sz w:val="24"/>
          <w:szCs w:val="24"/>
        </w:rPr>
        <w:t xml:space="preserve"> conceptually not part of the LTC target audience.  </w:t>
      </w:r>
    </w:p>
    <w:p w:rsidR="00D6642E" w:rsidRPr="00D6642E" w:rsidRDefault="00D6642E" w:rsidP="00D6642E">
      <w:pPr>
        <w:pStyle w:val="Bullet-list"/>
        <w:spacing w:after="0" w:line="240" w:lineRule="auto"/>
        <w:ind w:left="0" w:firstLine="0"/>
        <w:jc w:val="both"/>
        <w:rPr>
          <w:rFonts w:ascii="Times New Roman" w:hAnsi="Times New Roman"/>
          <w:sz w:val="24"/>
          <w:szCs w:val="24"/>
        </w:rPr>
      </w:pPr>
    </w:p>
    <w:p w:rsidR="00455A7D" w:rsidRDefault="00455A7D"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Finally, </w:t>
      </w:r>
      <w:r w:rsidR="00D86A1E">
        <w:rPr>
          <w:rFonts w:ascii="Times New Roman" w:hAnsi="Times New Roman"/>
          <w:sz w:val="24"/>
          <w:szCs w:val="24"/>
        </w:rPr>
        <w:t xml:space="preserve">although </w:t>
      </w:r>
      <w:r>
        <w:rPr>
          <w:rFonts w:ascii="Times New Roman" w:hAnsi="Times New Roman"/>
          <w:sz w:val="24"/>
          <w:szCs w:val="24"/>
        </w:rPr>
        <w:t>L</w:t>
      </w:r>
      <w:r w:rsidRPr="00410DC8">
        <w:rPr>
          <w:rFonts w:ascii="Times New Roman" w:hAnsi="Times New Roman"/>
          <w:sz w:val="24"/>
          <w:szCs w:val="24"/>
        </w:rPr>
        <w:t xml:space="preserve">TCs are envisaged primarily as a structure for </w:t>
      </w:r>
      <w:r>
        <w:rPr>
          <w:rFonts w:ascii="Times New Roman" w:hAnsi="Times New Roman"/>
          <w:sz w:val="24"/>
          <w:szCs w:val="24"/>
        </w:rPr>
        <w:t>domestically focussed companies, currently there are no rules which</w:t>
      </w:r>
      <w:r w:rsidR="00744ECA" w:rsidRPr="00987C06">
        <w:rPr>
          <w:rFonts w:ascii="Times New Roman" w:hAnsi="Times New Roman"/>
          <w:sz w:val="24"/>
          <w:szCs w:val="24"/>
        </w:rPr>
        <w:t xml:space="preserve"> </w:t>
      </w:r>
      <w:r>
        <w:rPr>
          <w:rFonts w:ascii="Times New Roman" w:hAnsi="Times New Roman"/>
          <w:sz w:val="24"/>
          <w:szCs w:val="24"/>
        </w:rPr>
        <w:t>restrict</w:t>
      </w:r>
      <w:r w:rsidR="00744ECA" w:rsidRPr="00987C06">
        <w:rPr>
          <w:rFonts w:ascii="Times New Roman" w:hAnsi="Times New Roman"/>
          <w:sz w:val="24"/>
          <w:szCs w:val="24"/>
        </w:rPr>
        <w:t xml:space="preserve"> foreign investment by LTCs or </w:t>
      </w:r>
      <w:r>
        <w:rPr>
          <w:rFonts w:ascii="Times New Roman" w:hAnsi="Times New Roman"/>
          <w:sz w:val="24"/>
          <w:szCs w:val="24"/>
        </w:rPr>
        <w:t xml:space="preserve">foreign ownership of </w:t>
      </w:r>
      <w:r w:rsidR="00744ECA" w:rsidRPr="00987C06">
        <w:rPr>
          <w:rFonts w:ascii="Times New Roman" w:hAnsi="Times New Roman"/>
          <w:sz w:val="24"/>
          <w:szCs w:val="24"/>
        </w:rPr>
        <w:t>LTC</w:t>
      </w:r>
      <w:r w:rsidR="00D6642E">
        <w:rPr>
          <w:rFonts w:ascii="Times New Roman" w:hAnsi="Times New Roman"/>
          <w:sz w:val="24"/>
          <w:szCs w:val="24"/>
        </w:rPr>
        <w:t>s</w:t>
      </w:r>
      <w:r w:rsidR="00744ECA" w:rsidRPr="00987C06">
        <w:rPr>
          <w:rFonts w:ascii="Times New Roman" w:hAnsi="Times New Roman"/>
          <w:sz w:val="24"/>
          <w:szCs w:val="24"/>
        </w:rPr>
        <w:t xml:space="preserve"> </w:t>
      </w:r>
      <w:r>
        <w:rPr>
          <w:rFonts w:ascii="Times New Roman" w:hAnsi="Times New Roman"/>
          <w:sz w:val="24"/>
          <w:szCs w:val="24"/>
        </w:rPr>
        <w:t xml:space="preserve">(i.e. </w:t>
      </w:r>
      <w:r w:rsidR="00744ECA" w:rsidRPr="00987C06">
        <w:rPr>
          <w:rFonts w:ascii="Times New Roman" w:hAnsi="Times New Roman"/>
          <w:sz w:val="24"/>
          <w:szCs w:val="24"/>
        </w:rPr>
        <w:t>having non-resident shareholders</w:t>
      </w:r>
      <w:r>
        <w:rPr>
          <w:rFonts w:ascii="Times New Roman" w:hAnsi="Times New Roman"/>
          <w:sz w:val="24"/>
          <w:szCs w:val="24"/>
        </w:rPr>
        <w:t>)</w:t>
      </w:r>
      <w:r w:rsidR="00744ECA">
        <w:rPr>
          <w:rFonts w:ascii="Times New Roman" w:hAnsi="Times New Roman"/>
          <w:sz w:val="24"/>
          <w:szCs w:val="24"/>
        </w:rPr>
        <w:t xml:space="preserve">. This combination </w:t>
      </w:r>
      <w:r>
        <w:rPr>
          <w:rFonts w:ascii="Times New Roman" w:hAnsi="Times New Roman"/>
          <w:sz w:val="24"/>
          <w:szCs w:val="24"/>
        </w:rPr>
        <w:t xml:space="preserve">unintentionally </w:t>
      </w:r>
      <w:r w:rsidR="00744ECA">
        <w:rPr>
          <w:rFonts w:ascii="Times New Roman" w:hAnsi="Times New Roman"/>
          <w:sz w:val="24"/>
          <w:szCs w:val="24"/>
        </w:rPr>
        <w:t xml:space="preserve">allows for LTCs to be used as conduit investment vehicles (vehicles used by foreigners to invest in foreign markets generating income which is generally not taxable in New Zealand).  </w:t>
      </w:r>
    </w:p>
    <w:p w:rsidR="00455A7D" w:rsidRDefault="00455A7D" w:rsidP="0028142B">
      <w:pPr>
        <w:pStyle w:val="ListParagraph"/>
        <w:rPr>
          <w:rFonts w:ascii="Times New Roman" w:hAnsi="Times New Roman"/>
          <w:sz w:val="24"/>
          <w:szCs w:val="24"/>
        </w:rPr>
      </w:pPr>
    </w:p>
    <w:p w:rsidR="00744ECA" w:rsidRDefault="00744ECA"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2346B9">
        <w:rPr>
          <w:rFonts w:ascii="Times New Roman" w:hAnsi="Times New Roman"/>
          <w:sz w:val="24"/>
          <w:szCs w:val="24"/>
        </w:rPr>
        <w:t>There are reputational risks with allowing such conduit structures, and there is some anecdotal evidence that LTCs have been used to facilitate illegal activity, though they are not the only vehicle to be so used.</w:t>
      </w:r>
      <w:r w:rsidRPr="00171C7A">
        <w:t xml:space="preserve">  </w:t>
      </w:r>
    </w:p>
    <w:p w:rsidR="00455A7D" w:rsidRDefault="00455A7D" w:rsidP="0028142B">
      <w:pPr>
        <w:pStyle w:val="Bullet-list"/>
        <w:spacing w:after="0" w:line="240" w:lineRule="auto"/>
        <w:jc w:val="both"/>
        <w:rPr>
          <w:rFonts w:ascii="Times New Roman" w:hAnsi="Times New Roman"/>
          <w:i/>
          <w:sz w:val="24"/>
          <w:szCs w:val="24"/>
        </w:rPr>
      </w:pPr>
    </w:p>
    <w:p w:rsidR="00455A7D" w:rsidRDefault="00455A7D" w:rsidP="0028142B">
      <w:pPr>
        <w:pStyle w:val="Bullet-list"/>
        <w:spacing w:after="0" w:line="240" w:lineRule="auto"/>
        <w:jc w:val="both"/>
        <w:rPr>
          <w:rFonts w:ascii="Times New Roman" w:hAnsi="Times New Roman"/>
          <w:i/>
          <w:sz w:val="24"/>
          <w:szCs w:val="24"/>
        </w:rPr>
      </w:pPr>
      <w:r w:rsidRPr="00DA7484">
        <w:rPr>
          <w:rFonts w:ascii="Times New Roman" w:hAnsi="Times New Roman"/>
          <w:i/>
          <w:sz w:val="24"/>
          <w:szCs w:val="24"/>
        </w:rPr>
        <w:t>LTC entry tax</w:t>
      </w:r>
    </w:p>
    <w:p w:rsidR="00455A7D" w:rsidRDefault="00455A7D" w:rsidP="0028142B">
      <w:pPr>
        <w:pStyle w:val="Bullet-list"/>
        <w:spacing w:after="0" w:line="240" w:lineRule="auto"/>
        <w:jc w:val="both"/>
        <w:rPr>
          <w:rFonts w:ascii="Times New Roman" w:hAnsi="Times New Roman"/>
          <w:i/>
          <w:sz w:val="24"/>
          <w:szCs w:val="24"/>
        </w:rPr>
      </w:pPr>
    </w:p>
    <w:p w:rsidR="00455A7D" w:rsidRPr="00C56701" w:rsidRDefault="00455A7D"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Given that a LTC can distribute its capital and reserves tax free to its shareholders, the LTC rules provide for a “LTC entry tax” wh</w:t>
      </w:r>
      <w:r w:rsidR="00A644CD">
        <w:rPr>
          <w:rFonts w:ascii="Times New Roman" w:hAnsi="Times New Roman"/>
          <w:sz w:val="24"/>
          <w:szCs w:val="24"/>
        </w:rPr>
        <w:t>en a company elects to become a</w:t>
      </w:r>
      <w:r>
        <w:rPr>
          <w:rFonts w:ascii="Times New Roman" w:hAnsi="Times New Roman"/>
          <w:sz w:val="24"/>
          <w:szCs w:val="24"/>
        </w:rPr>
        <w:t xml:space="preserve"> LTC.  The LTC entry tax calculation attributes income to the shareholders based on a notional liquidation of the company.</w:t>
      </w:r>
    </w:p>
    <w:p w:rsidR="00455A7D" w:rsidRPr="00DA7484" w:rsidRDefault="00455A7D" w:rsidP="0028142B">
      <w:pPr>
        <w:pStyle w:val="Bullet-list"/>
        <w:spacing w:after="0" w:line="240" w:lineRule="auto"/>
        <w:ind w:left="0" w:firstLine="0"/>
        <w:jc w:val="both"/>
        <w:rPr>
          <w:rFonts w:ascii="Times New Roman" w:hAnsi="Times New Roman"/>
          <w:i/>
          <w:sz w:val="24"/>
          <w:szCs w:val="24"/>
        </w:rPr>
      </w:pPr>
    </w:p>
    <w:p w:rsidR="00455A7D" w:rsidRDefault="00455A7D"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rule triggers a tax liability on un-imputed retained earnings by deeming the company that elects into the LTC regime to have been liquidated immediately prior to conversion, except that there is no </w:t>
      </w:r>
      <w:r w:rsidRPr="001C12BF">
        <w:rPr>
          <w:rFonts w:ascii="Times New Roman" w:hAnsi="Times New Roman"/>
          <w:sz w:val="24"/>
          <w:szCs w:val="24"/>
        </w:rPr>
        <w:t xml:space="preserve">actual disposal </w:t>
      </w:r>
      <w:r>
        <w:rPr>
          <w:rFonts w:ascii="Times New Roman" w:hAnsi="Times New Roman"/>
          <w:sz w:val="24"/>
          <w:szCs w:val="24"/>
        </w:rPr>
        <w:t>or deemed disposal of assets.  Thus</w:t>
      </w:r>
      <w:r w:rsidRPr="001C12BF">
        <w:rPr>
          <w:rFonts w:ascii="Times New Roman" w:hAnsi="Times New Roman"/>
          <w:sz w:val="24"/>
          <w:szCs w:val="24"/>
        </w:rPr>
        <w:t>, for example, revenue account property conceptually transfers at tax book value, and not market value, meaning that unrealised gains and losses are not crystallised.</w:t>
      </w:r>
      <w:r w:rsidRPr="001D59F1">
        <w:rPr>
          <w:rFonts w:eastAsiaTheme="minorHAnsi"/>
          <w:szCs w:val="24"/>
        </w:rPr>
        <w:t xml:space="preserve">  </w:t>
      </w:r>
    </w:p>
    <w:p w:rsidR="00455A7D" w:rsidRDefault="00455A7D" w:rsidP="0028142B">
      <w:pPr>
        <w:pStyle w:val="ListParagraph"/>
        <w:rPr>
          <w:rFonts w:eastAsiaTheme="minorHAnsi"/>
        </w:rPr>
      </w:pPr>
    </w:p>
    <w:p w:rsidR="00455A7D" w:rsidRDefault="00455A7D"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1C12BF">
        <w:rPr>
          <w:rFonts w:ascii="Times New Roman" w:hAnsi="Times New Roman"/>
          <w:sz w:val="24"/>
          <w:szCs w:val="24"/>
        </w:rPr>
        <w:t xml:space="preserve">This adjustment is intended to ensure that reserves that would be taxed to shareholders if distributed before entering the LTC regime </w:t>
      </w:r>
      <w:r>
        <w:rPr>
          <w:rFonts w:ascii="Times New Roman" w:hAnsi="Times New Roman"/>
          <w:sz w:val="24"/>
          <w:szCs w:val="24"/>
        </w:rPr>
        <w:t>and that would be</w:t>
      </w:r>
      <w:r w:rsidRPr="001C12BF">
        <w:rPr>
          <w:rFonts w:ascii="Times New Roman" w:hAnsi="Times New Roman"/>
          <w:sz w:val="24"/>
          <w:szCs w:val="24"/>
        </w:rPr>
        <w:t xml:space="preserve"> able to be distributed tax-free once the company becomes a LTC, are taxed to shareholders at the time of entry</w:t>
      </w:r>
      <w:r>
        <w:rPr>
          <w:rFonts w:ascii="Times New Roman" w:hAnsi="Times New Roman"/>
          <w:sz w:val="24"/>
          <w:szCs w:val="24"/>
        </w:rPr>
        <w:t xml:space="preserve">.  </w:t>
      </w:r>
    </w:p>
    <w:p w:rsidR="00455A7D" w:rsidRPr="004947F5" w:rsidRDefault="00455A7D" w:rsidP="0028142B">
      <w:pPr>
        <w:pStyle w:val="ListParagraph"/>
        <w:rPr>
          <w:rFonts w:ascii="Times New Roman" w:hAnsi="Times New Roman"/>
          <w:sz w:val="24"/>
          <w:szCs w:val="24"/>
          <w:lang w:val="en-AU"/>
        </w:rPr>
      </w:pPr>
    </w:p>
    <w:p w:rsidR="00455A7D" w:rsidRPr="00963AEF" w:rsidRDefault="00F92332"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LTC entry tax rule has several issues in the way that it operates.  </w:t>
      </w:r>
      <w:r w:rsidR="00455A7D">
        <w:rPr>
          <w:rFonts w:ascii="Times New Roman" w:hAnsi="Times New Roman"/>
          <w:sz w:val="24"/>
          <w:szCs w:val="24"/>
        </w:rPr>
        <w:t>The rate applicable to the ‘entry tax’ is 28%</w:t>
      </w:r>
      <w:proofErr w:type="gramStart"/>
      <w:r w:rsidR="00455A7D">
        <w:rPr>
          <w:rFonts w:ascii="Times New Roman" w:hAnsi="Times New Roman"/>
          <w:sz w:val="24"/>
          <w:szCs w:val="24"/>
        </w:rPr>
        <w:t>,</w:t>
      </w:r>
      <w:proofErr w:type="gramEnd"/>
      <w:r w:rsidR="00455A7D">
        <w:rPr>
          <w:rFonts w:ascii="Times New Roman" w:hAnsi="Times New Roman"/>
          <w:sz w:val="24"/>
          <w:szCs w:val="24"/>
        </w:rPr>
        <w:t xml:space="preserve"> to the</w:t>
      </w:r>
      <w:r w:rsidR="00455A7D" w:rsidRPr="006531F3">
        <w:rPr>
          <w:rFonts w:ascii="Times New Roman" w:hAnsi="Times New Roman"/>
          <w:sz w:val="24"/>
          <w:szCs w:val="24"/>
        </w:rPr>
        <w:t xml:space="preserve"> extent that the company’s retained earnings </w:t>
      </w:r>
      <w:r w:rsidR="00455A7D">
        <w:rPr>
          <w:rFonts w:ascii="Times New Roman" w:hAnsi="Times New Roman"/>
          <w:sz w:val="24"/>
          <w:szCs w:val="24"/>
        </w:rPr>
        <w:t xml:space="preserve">are </w:t>
      </w:r>
      <w:r w:rsidR="00455A7D" w:rsidRPr="006531F3">
        <w:rPr>
          <w:rFonts w:ascii="Times New Roman" w:hAnsi="Times New Roman"/>
          <w:sz w:val="24"/>
          <w:szCs w:val="24"/>
        </w:rPr>
        <w:t>fully imputed</w:t>
      </w:r>
      <w:r w:rsidR="00D6642E">
        <w:rPr>
          <w:rFonts w:ascii="Times New Roman" w:hAnsi="Times New Roman"/>
          <w:sz w:val="24"/>
          <w:szCs w:val="24"/>
        </w:rPr>
        <w:t>.</w:t>
      </w:r>
      <w:r w:rsidR="00455A7D" w:rsidRPr="006531F3">
        <w:rPr>
          <w:rFonts w:ascii="Times New Roman" w:hAnsi="Times New Roman"/>
          <w:sz w:val="24"/>
          <w:szCs w:val="24"/>
        </w:rPr>
        <w:t xml:space="preserve"> </w:t>
      </w:r>
      <w:r w:rsidR="00D6642E">
        <w:rPr>
          <w:rFonts w:ascii="Times New Roman" w:hAnsi="Times New Roman"/>
          <w:sz w:val="24"/>
          <w:szCs w:val="24"/>
        </w:rPr>
        <w:t xml:space="preserve"> U</w:t>
      </w:r>
      <w:r w:rsidR="00455A7D">
        <w:rPr>
          <w:rFonts w:ascii="Times New Roman" w:hAnsi="Times New Roman"/>
          <w:sz w:val="24"/>
          <w:szCs w:val="24"/>
        </w:rPr>
        <w:t xml:space="preserve">nder the LTC entry tax formula </w:t>
      </w:r>
      <w:r w:rsidR="00455A7D" w:rsidRPr="006531F3">
        <w:rPr>
          <w:rFonts w:ascii="Times New Roman" w:hAnsi="Times New Roman"/>
          <w:sz w:val="24"/>
          <w:szCs w:val="24"/>
        </w:rPr>
        <w:t xml:space="preserve">this income is </w:t>
      </w:r>
      <w:r w:rsidR="00455A7D" w:rsidRPr="00963AEF">
        <w:rPr>
          <w:rFonts w:ascii="Times New Roman" w:hAnsi="Times New Roman"/>
          <w:sz w:val="24"/>
          <w:szCs w:val="24"/>
        </w:rPr>
        <w:t xml:space="preserve">regarded as being finally taxed at 28%.  </w:t>
      </w:r>
      <w:r w:rsidR="00455A7D">
        <w:rPr>
          <w:rFonts w:ascii="Times New Roman" w:hAnsi="Times New Roman"/>
          <w:sz w:val="24"/>
          <w:szCs w:val="24"/>
        </w:rPr>
        <w:t xml:space="preserve">It is only the untaxed reserves that are taxed at the shareholder’s personal tax rates.  </w:t>
      </w:r>
      <w:r w:rsidR="00455A7D" w:rsidRPr="00963AEF">
        <w:rPr>
          <w:rFonts w:ascii="Times New Roman" w:hAnsi="Times New Roman"/>
          <w:sz w:val="24"/>
          <w:szCs w:val="24"/>
        </w:rPr>
        <w:t xml:space="preserve">This provides a tax advantage for shareholders whose </w:t>
      </w:r>
      <w:r w:rsidR="00D6642E">
        <w:rPr>
          <w:rFonts w:ascii="Times New Roman" w:hAnsi="Times New Roman"/>
          <w:sz w:val="24"/>
          <w:szCs w:val="24"/>
        </w:rPr>
        <w:t xml:space="preserve">top </w:t>
      </w:r>
      <w:r w:rsidR="00455A7D" w:rsidRPr="00963AEF">
        <w:rPr>
          <w:rFonts w:ascii="Times New Roman" w:hAnsi="Times New Roman"/>
          <w:sz w:val="24"/>
          <w:szCs w:val="24"/>
        </w:rPr>
        <w:t>personal tax rate exceeds 28% (</w:t>
      </w:r>
      <w:r w:rsidR="00A71573">
        <w:rPr>
          <w:rFonts w:ascii="Times New Roman" w:hAnsi="Times New Roman"/>
          <w:sz w:val="24"/>
          <w:szCs w:val="24"/>
        </w:rPr>
        <w:t>that is</w:t>
      </w:r>
      <w:r w:rsidR="00455A7D" w:rsidRPr="00963AEF">
        <w:rPr>
          <w:rFonts w:ascii="Times New Roman" w:hAnsi="Times New Roman"/>
          <w:sz w:val="24"/>
          <w:szCs w:val="24"/>
        </w:rPr>
        <w:t xml:space="preserve"> on the 30% or 33% marginal tax rate).  Similarly this disadvantages shareholders whose personal tax rates are below 28%.   The 28% rate was used in the formula to reduce compliance costs.</w:t>
      </w:r>
    </w:p>
    <w:p w:rsidR="00455A7D" w:rsidRPr="00963AEF" w:rsidRDefault="00455A7D" w:rsidP="0028142B">
      <w:pPr>
        <w:pStyle w:val="ListParagraph"/>
        <w:rPr>
          <w:rFonts w:ascii="Times New Roman" w:hAnsi="Times New Roman"/>
          <w:sz w:val="24"/>
          <w:szCs w:val="24"/>
        </w:rPr>
      </w:pPr>
    </w:p>
    <w:p w:rsidR="00455A7D" w:rsidRPr="00963AEF" w:rsidRDefault="00455A7D"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963AEF">
        <w:rPr>
          <w:rFonts w:ascii="Times New Roman" w:hAnsi="Times New Roman"/>
          <w:sz w:val="24"/>
          <w:szCs w:val="24"/>
        </w:rPr>
        <w:t xml:space="preserve">In the extreme example this differential in the rate has led to cashed up companies electing into the LTC regime </w:t>
      </w:r>
      <w:r w:rsidR="00A71573">
        <w:rPr>
          <w:rFonts w:ascii="Times New Roman" w:hAnsi="Times New Roman"/>
          <w:sz w:val="24"/>
          <w:szCs w:val="24"/>
        </w:rPr>
        <w:t>and</w:t>
      </w:r>
      <w:r w:rsidRPr="00963AEF">
        <w:rPr>
          <w:rFonts w:ascii="Times New Roman" w:hAnsi="Times New Roman"/>
          <w:sz w:val="24"/>
          <w:szCs w:val="24"/>
        </w:rPr>
        <w:t xml:space="preserve"> then subsequently liquidat</w:t>
      </w:r>
      <w:r>
        <w:rPr>
          <w:rFonts w:ascii="Times New Roman" w:hAnsi="Times New Roman"/>
          <w:sz w:val="24"/>
          <w:szCs w:val="24"/>
        </w:rPr>
        <w:t>ing</w:t>
      </w:r>
      <w:r w:rsidRPr="00963AEF">
        <w:rPr>
          <w:rFonts w:ascii="Times New Roman" w:hAnsi="Times New Roman"/>
          <w:sz w:val="24"/>
          <w:szCs w:val="24"/>
        </w:rPr>
        <w:t>, which means the income remains taxed only at the 28% rate (but we note that this might be seen as tax avoidance</w:t>
      </w:r>
      <w:r>
        <w:rPr>
          <w:rFonts w:ascii="Times New Roman" w:hAnsi="Times New Roman"/>
          <w:sz w:val="24"/>
          <w:szCs w:val="24"/>
        </w:rPr>
        <w:t xml:space="preserve"> in some cases</w:t>
      </w:r>
      <w:r w:rsidRPr="00963AEF">
        <w:rPr>
          <w:rFonts w:ascii="Times New Roman" w:hAnsi="Times New Roman"/>
          <w:sz w:val="24"/>
          <w:szCs w:val="24"/>
        </w:rPr>
        <w:t xml:space="preserve">).  </w:t>
      </w:r>
    </w:p>
    <w:p w:rsidR="00455A7D" w:rsidRPr="00963AEF" w:rsidRDefault="00455A7D" w:rsidP="0028142B">
      <w:pPr>
        <w:pStyle w:val="ListParagraph"/>
        <w:rPr>
          <w:rFonts w:ascii="Times New Roman" w:hAnsi="Times New Roman"/>
          <w:sz w:val="24"/>
          <w:szCs w:val="24"/>
          <w:lang w:val="en-AU"/>
        </w:rPr>
      </w:pPr>
    </w:p>
    <w:p w:rsidR="00455A7D" w:rsidRPr="00963AEF" w:rsidRDefault="00455A7D"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963AEF">
        <w:rPr>
          <w:rFonts w:ascii="Times New Roman" w:hAnsi="Times New Roman"/>
          <w:sz w:val="24"/>
          <w:szCs w:val="24"/>
        </w:rPr>
        <w:t>The entry tax adjustment also produces an incorrect outcome for QCs which convert to LTC</w:t>
      </w:r>
      <w:r w:rsidR="00D6642E">
        <w:rPr>
          <w:rFonts w:ascii="Times New Roman" w:hAnsi="Times New Roman"/>
          <w:sz w:val="24"/>
          <w:szCs w:val="24"/>
        </w:rPr>
        <w:t>s</w:t>
      </w:r>
      <w:r w:rsidRPr="00963AEF">
        <w:rPr>
          <w:rFonts w:ascii="Times New Roman" w:hAnsi="Times New Roman"/>
          <w:sz w:val="24"/>
          <w:szCs w:val="24"/>
        </w:rPr>
        <w:t xml:space="preserve">.  This issue is discussed further in </w:t>
      </w:r>
      <w:r w:rsidRPr="005B0E9F">
        <w:rPr>
          <w:rFonts w:ascii="Times New Roman" w:hAnsi="Times New Roman"/>
          <w:sz w:val="24"/>
          <w:szCs w:val="24"/>
        </w:rPr>
        <w:t>appendix 2</w:t>
      </w:r>
      <w:r w:rsidR="00A71573">
        <w:rPr>
          <w:rFonts w:ascii="Times New Roman" w:hAnsi="Times New Roman"/>
          <w:sz w:val="24"/>
          <w:szCs w:val="24"/>
        </w:rPr>
        <w:t>, along</w:t>
      </w:r>
      <w:r w:rsidRPr="00963AEF">
        <w:rPr>
          <w:rFonts w:ascii="Times New Roman" w:hAnsi="Times New Roman"/>
          <w:sz w:val="24"/>
          <w:szCs w:val="24"/>
        </w:rPr>
        <w:t xml:space="preserve"> </w:t>
      </w:r>
      <w:r>
        <w:rPr>
          <w:rFonts w:ascii="Times New Roman" w:hAnsi="Times New Roman"/>
          <w:sz w:val="24"/>
          <w:szCs w:val="24"/>
        </w:rPr>
        <w:t>with</w:t>
      </w:r>
      <w:r w:rsidRPr="00963AEF">
        <w:rPr>
          <w:rFonts w:ascii="Times New Roman" w:hAnsi="Times New Roman"/>
          <w:sz w:val="24"/>
          <w:szCs w:val="24"/>
        </w:rPr>
        <w:t xml:space="preserve"> other remedial amendments.</w:t>
      </w:r>
    </w:p>
    <w:p w:rsidR="00455A7D" w:rsidRDefault="00455A7D" w:rsidP="0028142B">
      <w:pPr>
        <w:pStyle w:val="Bullet-list"/>
        <w:spacing w:after="0" w:line="240" w:lineRule="auto"/>
        <w:ind w:left="0" w:firstLine="0"/>
        <w:jc w:val="both"/>
        <w:rPr>
          <w:rFonts w:ascii="Times New Roman" w:hAnsi="Times New Roman"/>
          <w:sz w:val="24"/>
          <w:szCs w:val="24"/>
        </w:rPr>
      </w:pPr>
    </w:p>
    <w:p w:rsidR="00455A7D" w:rsidRPr="001F4DE5" w:rsidRDefault="00455A7D" w:rsidP="0028142B">
      <w:pPr>
        <w:pStyle w:val="Bullet-list"/>
        <w:spacing w:after="0" w:line="240" w:lineRule="auto"/>
        <w:ind w:left="0" w:firstLine="0"/>
        <w:jc w:val="both"/>
        <w:rPr>
          <w:rFonts w:ascii="Times New Roman" w:hAnsi="Times New Roman"/>
          <w:i/>
          <w:sz w:val="24"/>
          <w:szCs w:val="24"/>
        </w:rPr>
      </w:pPr>
      <w:r w:rsidRPr="001F4DE5">
        <w:rPr>
          <w:rFonts w:ascii="Times New Roman" w:hAnsi="Times New Roman"/>
          <w:i/>
          <w:sz w:val="24"/>
          <w:szCs w:val="24"/>
        </w:rPr>
        <w:t>Debt remission in the LTC context</w:t>
      </w:r>
    </w:p>
    <w:p w:rsidR="00600FAB" w:rsidRPr="00600FAB" w:rsidRDefault="00600FAB" w:rsidP="0028142B">
      <w:pPr>
        <w:pStyle w:val="Bullet-list"/>
        <w:spacing w:after="0" w:line="240" w:lineRule="auto"/>
        <w:ind w:left="0" w:firstLine="0"/>
        <w:jc w:val="both"/>
        <w:rPr>
          <w:rFonts w:ascii="Times New Roman" w:hAnsi="Times New Roman"/>
          <w:i/>
          <w:sz w:val="24"/>
          <w:szCs w:val="24"/>
        </w:rPr>
      </w:pPr>
    </w:p>
    <w:p w:rsidR="002737FA" w:rsidRDefault="00042E6C"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042E6C">
        <w:rPr>
          <w:rFonts w:ascii="Times New Roman" w:hAnsi="Times New Roman"/>
          <w:sz w:val="24"/>
          <w:szCs w:val="24"/>
        </w:rPr>
        <w:t>Debt remission, being the extinguishing of a debtor’s liability by operation of law or forgiveness by the creditor, gives rise to debt remission income to the debtor under the financial arrangement rules.  Under present tax law, debt remission produces taxable income to the debtor, but usually no tax deduction is available to the creditor</w:t>
      </w:r>
      <w:r w:rsidR="003F5F10">
        <w:rPr>
          <w:rFonts w:ascii="Times New Roman" w:hAnsi="Times New Roman"/>
          <w:sz w:val="24"/>
          <w:szCs w:val="24"/>
        </w:rPr>
        <w:t xml:space="preserve"> as it is generally treated as a capital loss</w:t>
      </w:r>
      <w:r w:rsidRPr="00042E6C">
        <w:rPr>
          <w:rFonts w:ascii="Times New Roman" w:hAnsi="Times New Roman"/>
          <w:sz w:val="24"/>
          <w:szCs w:val="24"/>
        </w:rPr>
        <w:t>.</w:t>
      </w:r>
      <w:r>
        <w:rPr>
          <w:rFonts w:ascii="Times New Roman" w:hAnsi="Times New Roman"/>
          <w:sz w:val="24"/>
          <w:szCs w:val="24"/>
        </w:rPr>
        <w:t xml:space="preserve">  </w:t>
      </w:r>
    </w:p>
    <w:p w:rsidR="002737FA" w:rsidRDefault="002737FA" w:rsidP="0028142B">
      <w:pPr>
        <w:pStyle w:val="Bullet-list"/>
        <w:spacing w:after="0" w:line="240" w:lineRule="auto"/>
        <w:ind w:left="0" w:firstLine="0"/>
        <w:jc w:val="both"/>
        <w:rPr>
          <w:rFonts w:ascii="Times New Roman" w:hAnsi="Times New Roman"/>
          <w:sz w:val="24"/>
          <w:szCs w:val="24"/>
        </w:rPr>
      </w:pPr>
    </w:p>
    <w:p w:rsidR="00013829" w:rsidRDefault="00042E6C"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2737FA">
        <w:rPr>
          <w:rFonts w:ascii="Times New Roman" w:hAnsi="Times New Roman"/>
          <w:sz w:val="24"/>
          <w:szCs w:val="24"/>
        </w:rPr>
        <w:t xml:space="preserve">Proposals to address this asymmetric treatment of the remission in certain circumstances </w:t>
      </w:r>
      <w:r w:rsidR="00AC5361">
        <w:rPr>
          <w:rFonts w:ascii="Times New Roman" w:hAnsi="Times New Roman"/>
          <w:sz w:val="24"/>
          <w:szCs w:val="24"/>
        </w:rPr>
        <w:t>form pa</w:t>
      </w:r>
      <w:r w:rsidR="00820926" w:rsidRPr="002108FB">
        <w:rPr>
          <w:rFonts w:ascii="Times New Roman" w:hAnsi="Times New Roman"/>
          <w:sz w:val="24"/>
          <w:szCs w:val="24"/>
        </w:rPr>
        <w:t xml:space="preserve">rt of </w:t>
      </w:r>
      <w:r w:rsidRPr="002108FB">
        <w:rPr>
          <w:rFonts w:ascii="Times New Roman" w:hAnsi="Times New Roman"/>
          <w:sz w:val="24"/>
          <w:szCs w:val="24"/>
        </w:rPr>
        <w:t>a separate policy project and are not discussed further in this RIS.  The proposals in this RIS focus only on the</w:t>
      </w:r>
      <w:r w:rsidR="002737FA">
        <w:rPr>
          <w:rFonts w:ascii="Times New Roman" w:hAnsi="Times New Roman"/>
          <w:sz w:val="24"/>
          <w:szCs w:val="24"/>
        </w:rPr>
        <w:t xml:space="preserve"> problems which arise from the</w:t>
      </w:r>
      <w:r w:rsidRPr="002737FA">
        <w:rPr>
          <w:rFonts w:ascii="Times New Roman" w:hAnsi="Times New Roman"/>
          <w:sz w:val="24"/>
          <w:szCs w:val="24"/>
        </w:rPr>
        <w:t xml:space="preserve"> interaction of the LTC</w:t>
      </w:r>
      <w:r w:rsidR="00316A1F" w:rsidRPr="002108FB">
        <w:rPr>
          <w:rFonts w:ascii="Times New Roman" w:hAnsi="Times New Roman"/>
          <w:sz w:val="24"/>
          <w:szCs w:val="24"/>
        </w:rPr>
        <w:t xml:space="preserve"> (and partnership)</w:t>
      </w:r>
      <w:r w:rsidRPr="002108FB">
        <w:rPr>
          <w:rFonts w:ascii="Times New Roman" w:hAnsi="Times New Roman"/>
          <w:sz w:val="24"/>
          <w:szCs w:val="24"/>
        </w:rPr>
        <w:t xml:space="preserve"> rules with t</w:t>
      </w:r>
      <w:r w:rsidR="003F5F10" w:rsidRPr="002108FB">
        <w:rPr>
          <w:rFonts w:ascii="Times New Roman" w:hAnsi="Times New Roman"/>
          <w:sz w:val="24"/>
          <w:szCs w:val="24"/>
        </w:rPr>
        <w:t>he financial arrangements rules</w:t>
      </w:r>
      <w:r w:rsidRPr="002108FB">
        <w:rPr>
          <w:rFonts w:ascii="Times New Roman" w:hAnsi="Times New Roman"/>
          <w:sz w:val="24"/>
          <w:szCs w:val="24"/>
        </w:rPr>
        <w:t xml:space="preserve"> </w:t>
      </w:r>
      <w:r w:rsidR="00A71573">
        <w:rPr>
          <w:rFonts w:ascii="Times New Roman" w:hAnsi="Times New Roman"/>
          <w:sz w:val="24"/>
          <w:szCs w:val="24"/>
        </w:rPr>
        <w:t>that</w:t>
      </w:r>
      <w:r w:rsidR="003F5F10" w:rsidRPr="002108FB">
        <w:rPr>
          <w:rFonts w:ascii="Times New Roman" w:hAnsi="Times New Roman"/>
          <w:sz w:val="24"/>
          <w:szCs w:val="24"/>
        </w:rPr>
        <w:t xml:space="preserve"> produce</w:t>
      </w:r>
      <w:r w:rsidR="002737FA">
        <w:rPr>
          <w:rFonts w:ascii="Times New Roman" w:hAnsi="Times New Roman"/>
          <w:sz w:val="24"/>
          <w:szCs w:val="24"/>
        </w:rPr>
        <w:t xml:space="preserve"> the</w:t>
      </w:r>
      <w:r w:rsidR="003F5F10" w:rsidRPr="002737FA">
        <w:rPr>
          <w:rFonts w:ascii="Times New Roman" w:hAnsi="Times New Roman"/>
          <w:sz w:val="24"/>
          <w:szCs w:val="24"/>
        </w:rPr>
        <w:t xml:space="preserve"> </w:t>
      </w:r>
      <w:r w:rsidRPr="002108FB">
        <w:rPr>
          <w:rFonts w:ascii="Times New Roman" w:hAnsi="Times New Roman"/>
          <w:sz w:val="24"/>
          <w:szCs w:val="24"/>
        </w:rPr>
        <w:t>remission income</w:t>
      </w:r>
      <w:r w:rsidR="002737FA" w:rsidRPr="002108FB">
        <w:rPr>
          <w:rFonts w:ascii="Times New Roman" w:hAnsi="Times New Roman"/>
          <w:sz w:val="24"/>
          <w:szCs w:val="24"/>
        </w:rPr>
        <w:t>.</w:t>
      </w:r>
      <w:r w:rsidRPr="002108FB">
        <w:rPr>
          <w:rFonts w:ascii="Times New Roman" w:hAnsi="Times New Roman"/>
          <w:sz w:val="24"/>
          <w:szCs w:val="24"/>
        </w:rPr>
        <w:t xml:space="preserve"> </w:t>
      </w:r>
      <w:r w:rsidR="003F5F10" w:rsidRPr="002108FB">
        <w:rPr>
          <w:rFonts w:ascii="Times New Roman" w:hAnsi="Times New Roman"/>
          <w:sz w:val="24"/>
          <w:szCs w:val="24"/>
        </w:rPr>
        <w:t xml:space="preserve"> </w:t>
      </w:r>
      <w:r w:rsidRPr="00D00652">
        <w:rPr>
          <w:rFonts w:ascii="Times New Roman" w:hAnsi="Times New Roman"/>
          <w:sz w:val="24"/>
          <w:szCs w:val="24"/>
        </w:rPr>
        <w:t xml:space="preserve"> </w:t>
      </w:r>
    </w:p>
    <w:p w:rsidR="00AC5361" w:rsidRPr="00517071" w:rsidRDefault="00AC5361" w:rsidP="00AC5361">
      <w:pPr>
        <w:pStyle w:val="Bullet-list"/>
        <w:spacing w:after="0" w:line="240" w:lineRule="auto"/>
        <w:ind w:left="0" w:firstLine="0"/>
        <w:jc w:val="both"/>
        <w:rPr>
          <w:rFonts w:ascii="Times New Roman" w:hAnsi="Times New Roman"/>
          <w:sz w:val="24"/>
          <w:szCs w:val="24"/>
        </w:rPr>
      </w:pPr>
    </w:p>
    <w:p w:rsidR="00F1004C" w:rsidRDefault="00F1004C" w:rsidP="00166E95">
      <w:pPr>
        <w:pStyle w:val="ListParagraph"/>
        <w:numPr>
          <w:ilvl w:val="0"/>
          <w:numId w:val="2"/>
        </w:numPr>
        <w:tabs>
          <w:tab w:val="clear" w:pos="360"/>
          <w:tab w:val="num" w:pos="0"/>
        </w:tabs>
        <w:ind w:left="0" w:firstLine="0"/>
        <w:rPr>
          <w:rFonts w:ascii="Times New Roman" w:hAnsi="Times New Roman"/>
          <w:sz w:val="24"/>
          <w:szCs w:val="24"/>
          <w:lang w:val="en-AU"/>
        </w:rPr>
      </w:pPr>
      <w:r>
        <w:rPr>
          <w:rFonts w:ascii="Times New Roman" w:hAnsi="Times New Roman"/>
          <w:sz w:val="24"/>
          <w:szCs w:val="24"/>
          <w:lang w:val="en-AU"/>
        </w:rPr>
        <w:t xml:space="preserve">When </w:t>
      </w:r>
      <w:r w:rsidR="00F95758" w:rsidRPr="00F95758">
        <w:rPr>
          <w:rFonts w:ascii="Times New Roman" w:hAnsi="Times New Roman"/>
          <w:sz w:val="24"/>
          <w:szCs w:val="24"/>
          <w:lang w:val="en-AU"/>
        </w:rPr>
        <w:t>an owner of a L</w:t>
      </w:r>
      <w:r w:rsidR="00F95758">
        <w:rPr>
          <w:rFonts w:ascii="Times New Roman" w:hAnsi="Times New Roman"/>
          <w:sz w:val="24"/>
          <w:szCs w:val="24"/>
          <w:lang w:val="en-AU"/>
        </w:rPr>
        <w:t>TC remits debt o</w:t>
      </w:r>
      <w:r w:rsidR="00880208">
        <w:rPr>
          <w:rFonts w:ascii="Times New Roman" w:hAnsi="Times New Roman"/>
          <w:sz w:val="24"/>
          <w:szCs w:val="24"/>
          <w:lang w:val="en-AU"/>
        </w:rPr>
        <w:t>w</w:t>
      </w:r>
      <w:r w:rsidR="00F95758">
        <w:rPr>
          <w:rFonts w:ascii="Times New Roman" w:hAnsi="Times New Roman"/>
          <w:sz w:val="24"/>
          <w:szCs w:val="24"/>
          <w:lang w:val="en-AU"/>
        </w:rPr>
        <w:t xml:space="preserve">ed </w:t>
      </w:r>
      <w:r w:rsidR="00A71573">
        <w:rPr>
          <w:rFonts w:ascii="Times New Roman" w:hAnsi="Times New Roman"/>
          <w:sz w:val="24"/>
          <w:szCs w:val="24"/>
          <w:lang w:val="en-AU"/>
        </w:rPr>
        <w:t xml:space="preserve">to them </w:t>
      </w:r>
      <w:r w:rsidR="00F95758">
        <w:rPr>
          <w:rFonts w:ascii="Times New Roman" w:hAnsi="Times New Roman"/>
          <w:sz w:val="24"/>
          <w:szCs w:val="24"/>
          <w:lang w:val="en-AU"/>
        </w:rPr>
        <w:t xml:space="preserve">by the LTC, </w:t>
      </w:r>
      <w:r w:rsidR="00F95758" w:rsidRPr="00F95758">
        <w:rPr>
          <w:rFonts w:ascii="Times New Roman" w:hAnsi="Times New Roman"/>
          <w:sz w:val="24"/>
          <w:szCs w:val="24"/>
          <w:lang w:val="en-AU"/>
        </w:rPr>
        <w:t>all the LTC owne</w:t>
      </w:r>
      <w:r w:rsidR="00F95758">
        <w:rPr>
          <w:rFonts w:ascii="Times New Roman" w:hAnsi="Times New Roman"/>
          <w:sz w:val="24"/>
          <w:szCs w:val="24"/>
          <w:lang w:val="en-AU"/>
        </w:rPr>
        <w:t>rs derive debt remission income</w:t>
      </w:r>
      <w:r>
        <w:rPr>
          <w:rFonts w:ascii="Times New Roman" w:hAnsi="Times New Roman"/>
          <w:sz w:val="24"/>
          <w:szCs w:val="24"/>
          <w:lang w:val="en-AU"/>
        </w:rPr>
        <w:t xml:space="preserve"> as the LTC is looked through</w:t>
      </w:r>
      <w:r w:rsidR="00F95758">
        <w:rPr>
          <w:rFonts w:ascii="Times New Roman" w:hAnsi="Times New Roman"/>
          <w:sz w:val="24"/>
          <w:szCs w:val="24"/>
          <w:lang w:val="en-AU"/>
        </w:rPr>
        <w:t>.  This includes the</w:t>
      </w:r>
      <w:r w:rsidR="00F95758" w:rsidRPr="00F95758">
        <w:rPr>
          <w:rFonts w:ascii="Times New Roman" w:hAnsi="Times New Roman"/>
          <w:sz w:val="24"/>
          <w:szCs w:val="24"/>
          <w:lang w:val="en-AU"/>
        </w:rPr>
        <w:t xml:space="preserve"> owner that remitted the debt</w:t>
      </w:r>
      <w:r>
        <w:rPr>
          <w:rFonts w:ascii="Times New Roman" w:hAnsi="Times New Roman"/>
          <w:sz w:val="24"/>
          <w:szCs w:val="24"/>
          <w:lang w:val="en-AU"/>
        </w:rPr>
        <w:t xml:space="preserve"> who is required to pay tax on </w:t>
      </w:r>
      <w:r w:rsidR="00963AEF">
        <w:rPr>
          <w:rFonts w:ascii="Times New Roman" w:hAnsi="Times New Roman"/>
          <w:sz w:val="24"/>
          <w:szCs w:val="24"/>
          <w:lang w:val="en-AU"/>
        </w:rPr>
        <w:t xml:space="preserve">their share of </w:t>
      </w:r>
      <w:r>
        <w:rPr>
          <w:rFonts w:ascii="Times New Roman" w:hAnsi="Times New Roman"/>
          <w:sz w:val="24"/>
          <w:szCs w:val="24"/>
          <w:lang w:val="en-AU"/>
        </w:rPr>
        <w:t>the remission</w:t>
      </w:r>
      <w:r w:rsidR="00963AEF">
        <w:rPr>
          <w:rFonts w:ascii="Times New Roman" w:hAnsi="Times New Roman"/>
          <w:sz w:val="24"/>
          <w:szCs w:val="24"/>
          <w:lang w:val="en-AU"/>
        </w:rPr>
        <w:t xml:space="preserve"> income, </w:t>
      </w:r>
      <w:r w:rsidRPr="00F1004C">
        <w:rPr>
          <w:rFonts w:ascii="Times New Roman" w:hAnsi="Times New Roman"/>
          <w:sz w:val="24"/>
          <w:szCs w:val="24"/>
          <w:lang w:val="en-AU"/>
        </w:rPr>
        <w:t xml:space="preserve">despite the fact that </w:t>
      </w:r>
      <w:r w:rsidR="00042E6C" w:rsidRPr="00F1004C">
        <w:rPr>
          <w:rFonts w:ascii="Times New Roman" w:hAnsi="Times New Roman"/>
          <w:sz w:val="24"/>
          <w:szCs w:val="24"/>
          <w:lang w:val="en-AU"/>
        </w:rPr>
        <w:t>the</w:t>
      </w:r>
      <w:r w:rsidR="00A71573">
        <w:rPr>
          <w:rFonts w:ascii="Times New Roman" w:hAnsi="Times New Roman"/>
          <w:sz w:val="24"/>
          <w:szCs w:val="24"/>
          <w:lang w:val="en-AU"/>
        </w:rPr>
        <w:t>y</w:t>
      </w:r>
      <w:r w:rsidR="00042E6C" w:rsidRPr="00F1004C">
        <w:rPr>
          <w:rFonts w:ascii="Times New Roman" w:hAnsi="Times New Roman"/>
          <w:sz w:val="24"/>
          <w:szCs w:val="24"/>
          <w:lang w:val="en-AU"/>
        </w:rPr>
        <w:t xml:space="preserve"> </w:t>
      </w:r>
      <w:r w:rsidR="00A71573">
        <w:rPr>
          <w:rFonts w:ascii="Times New Roman" w:hAnsi="Times New Roman"/>
          <w:sz w:val="24"/>
          <w:szCs w:val="24"/>
          <w:lang w:val="en-AU"/>
        </w:rPr>
        <w:t xml:space="preserve">have </w:t>
      </w:r>
      <w:r w:rsidR="00042E6C" w:rsidRPr="00F1004C">
        <w:rPr>
          <w:rFonts w:ascii="Times New Roman" w:hAnsi="Times New Roman"/>
          <w:sz w:val="24"/>
          <w:szCs w:val="24"/>
          <w:lang w:val="en-AU"/>
        </w:rPr>
        <w:t>actually made an economic loss (</w:t>
      </w:r>
      <w:r w:rsidR="00A71573">
        <w:rPr>
          <w:rFonts w:ascii="Times New Roman" w:hAnsi="Times New Roman"/>
          <w:sz w:val="24"/>
          <w:szCs w:val="24"/>
          <w:lang w:val="en-AU"/>
        </w:rPr>
        <w:t xml:space="preserve">to the extent </w:t>
      </w:r>
      <w:r w:rsidR="00042E6C" w:rsidRPr="00F1004C">
        <w:rPr>
          <w:rFonts w:ascii="Times New Roman" w:hAnsi="Times New Roman"/>
          <w:sz w:val="24"/>
          <w:szCs w:val="24"/>
          <w:lang w:val="en-AU"/>
        </w:rPr>
        <w:t>of the portion that is “attribut</w:t>
      </w:r>
      <w:r>
        <w:rPr>
          <w:rFonts w:ascii="Times New Roman" w:hAnsi="Times New Roman"/>
          <w:sz w:val="24"/>
          <w:szCs w:val="24"/>
          <w:lang w:val="en-AU"/>
        </w:rPr>
        <w:t xml:space="preserve">ed” to the other shareholders). </w:t>
      </w:r>
      <w:r w:rsidR="00042E6C" w:rsidRPr="00F1004C">
        <w:rPr>
          <w:rFonts w:ascii="Times New Roman" w:hAnsi="Times New Roman"/>
          <w:sz w:val="24"/>
          <w:szCs w:val="24"/>
          <w:lang w:val="en-AU"/>
        </w:rPr>
        <w:t xml:space="preserve"> </w:t>
      </w:r>
      <w:r w:rsidR="00963AEF">
        <w:rPr>
          <w:rFonts w:ascii="Times New Roman" w:hAnsi="Times New Roman"/>
          <w:sz w:val="24"/>
          <w:szCs w:val="24"/>
          <w:lang w:val="en-AU"/>
        </w:rPr>
        <w:t>Generally, the creditor shareholder is unable to claim a deduction for the bad debt.</w:t>
      </w:r>
      <w:r w:rsidR="00453719">
        <w:rPr>
          <w:rFonts w:ascii="Times New Roman" w:hAnsi="Times New Roman"/>
          <w:sz w:val="24"/>
          <w:szCs w:val="24"/>
          <w:lang w:val="en-AU"/>
        </w:rPr>
        <w:t xml:space="preserve"> Overall, t</w:t>
      </w:r>
      <w:r w:rsidR="00042E6C" w:rsidRPr="00F1004C">
        <w:rPr>
          <w:rFonts w:ascii="Times New Roman" w:hAnsi="Times New Roman"/>
          <w:sz w:val="24"/>
          <w:szCs w:val="24"/>
          <w:lang w:val="en-AU"/>
        </w:rPr>
        <w:t>his result</w:t>
      </w:r>
      <w:r w:rsidR="004E6853">
        <w:rPr>
          <w:rFonts w:ascii="Times New Roman" w:hAnsi="Times New Roman"/>
          <w:sz w:val="24"/>
          <w:szCs w:val="24"/>
          <w:lang w:val="en-AU"/>
        </w:rPr>
        <w:t>s in over-taxation of the owner who remitted the debt</w:t>
      </w:r>
      <w:r w:rsidR="00453719">
        <w:rPr>
          <w:rFonts w:ascii="Times New Roman" w:hAnsi="Times New Roman"/>
          <w:sz w:val="24"/>
          <w:szCs w:val="24"/>
          <w:lang w:val="en-AU"/>
        </w:rPr>
        <w:t>,</w:t>
      </w:r>
      <w:r w:rsidR="004E6853">
        <w:rPr>
          <w:rFonts w:ascii="Times New Roman" w:hAnsi="Times New Roman"/>
          <w:sz w:val="24"/>
          <w:szCs w:val="24"/>
          <w:lang w:val="en-AU"/>
        </w:rPr>
        <w:t xml:space="preserve"> </w:t>
      </w:r>
      <w:r w:rsidR="00453719">
        <w:rPr>
          <w:rFonts w:ascii="Times New Roman" w:hAnsi="Times New Roman"/>
          <w:sz w:val="24"/>
          <w:szCs w:val="24"/>
          <w:lang w:val="en-AU"/>
        </w:rPr>
        <w:t xml:space="preserve">which </w:t>
      </w:r>
      <w:r w:rsidR="00042E6C" w:rsidRPr="00F1004C">
        <w:rPr>
          <w:rFonts w:ascii="Times New Roman" w:hAnsi="Times New Roman"/>
          <w:sz w:val="24"/>
          <w:szCs w:val="24"/>
          <w:lang w:val="en-AU"/>
        </w:rPr>
        <w:t xml:space="preserve">is not </w:t>
      </w:r>
      <w:r w:rsidR="00D6642E">
        <w:rPr>
          <w:rFonts w:ascii="Times New Roman" w:hAnsi="Times New Roman"/>
          <w:sz w:val="24"/>
          <w:szCs w:val="24"/>
          <w:lang w:val="en-AU"/>
        </w:rPr>
        <w:t>an appropriate tax</w:t>
      </w:r>
      <w:r w:rsidR="00042E6C" w:rsidRPr="00F1004C">
        <w:rPr>
          <w:rFonts w:ascii="Times New Roman" w:hAnsi="Times New Roman"/>
          <w:sz w:val="24"/>
          <w:szCs w:val="24"/>
          <w:lang w:val="en-AU"/>
        </w:rPr>
        <w:t xml:space="preserve"> policy outcome.</w:t>
      </w:r>
    </w:p>
    <w:p w:rsidR="00F1004C" w:rsidRDefault="00F1004C" w:rsidP="0028142B">
      <w:pPr>
        <w:pStyle w:val="ListParagraph"/>
        <w:ind w:left="0"/>
        <w:rPr>
          <w:rFonts w:ascii="Times New Roman" w:hAnsi="Times New Roman"/>
          <w:sz w:val="24"/>
          <w:szCs w:val="24"/>
          <w:lang w:val="en-AU"/>
        </w:rPr>
      </w:pPr>
    </w:p>
    <w:p w:rsidR="00D92D48" w:rsidRPr="00A71573" w:rsidRDefault="004C2243" w:rsidP="00166E95">
      <w:pPr>
        <w:pStyle w:val="Bullet-list"/>
        <w:numPr>
          <w:ilvl w:val="0"/>
          <w:numId w:val="2"/>
        </w:numPr>
        <w:tabs>
          <w:tab w:val="clear" w:pos="360"/>
          <w:tab w:val="num" w:pos="0"/>
        </w:tabs>
        <w:spacing w:after="0" w:line="240" w:lineRule="auto"/>
        <w:ind w:left="0" w:firstLine="0"/>
        <w:jc w:val="both"/>
        <w:rPr>
          <w:rFonts w:ascii="Times New Roman" w:hAnsi="Times New Roman"/>
          <w:i/>
          <w:sz w:val="24"/>
          <w:szCs w:val="24"/>
        </w:rPr>
      </w:pPr>
      <w:r w:rsidRPr="00A71573">
        <w:rPr>
          <w:rFonts w:ascii="Times New Roman" w:hAnsi="Times New Roman"/>
          <w:sz w:val="24"/>
          <w:szCs w:val="24"/>
        </w:rPr>
        <w:t xml:space="preserve">There is a further issue regarding the recognition of debt remission income in circumstances where the LTC elects out of the LTC regime or is liquidated. </w:t>
      </w:r>
      <w:r w:rsidR="00453719" w:rsidRPr="00A71573">
        <w:rPr>
          <w:rFonts w:ascii="Times New Roman" w:hAnsi="Times New Roman"/>
          <w:sz w:val="24"/>
          <w:szCs w:val="24"/>
        </w:rPr>
        <w:t xml:space="preserve">This issue is discussed further in </w:t>
      </w:r>
      <w:r w:rsidR="00453719" w:rsidRPr="005B0E9F">
        <w:rPr>
          <w:rFonts w:ascii="Times New Roman" w:hAnsi="Times New Roman"/>
          <w:sz w:val="24"/>
          <w:szCs w:val="24"/>
        </w:rPr>
        <w:t>appendix 2</w:t>
      </w:r>
      <w:r w:rsidR="00A71573" w:rsidRPr="005B0E9F">
        <w:rPr>
          <w:rFonts w:ascii="Times New Roman" w:hAnsi="Times New Roman"/>
          <w:sz w:val="24"/>
          <w:szCs w:val="24"/>
        </w:rPr>
        <w:t>.</w:t>
      </w:r>
      <w:r w:rsidR="00453719" w:rsidRPr="00A71573">
        <w:rPr>
          <w:rFonts w:ascii="Times New Roman" w:hAnsi="Times New Roman"/>
          <w:sz w:val="24"/>
          <w:szCs w:val="24"/>
        </w:rPr>
        <w:t xml:space="preserve"> </w:t>
      </w:r>
    </w:p>
    <w:p w:rsidR="00A71573" w:rsidRPr="00A71573" w:rsidRDefault="00A71573" w:rsidP="0028142B">
      <w:pPr>
        <w:pStyle w:val="Bullet-list"/>
        <w:spacing w:after="0" w:line="240" w:lineRule="auto"/>
        <w:ind w:left="0" w:firstLine="0"/>
        <w:jc w:val="both"/>
        <w:rPr>
          <w:rFonts w:ascii="Times New Roman" w:hAnsi="Times New Roman"/>
          <w:i/>
          <w:sz w:val="24"/>
          <w:szCs w:val="24"/>
        </w:rPr>
      </w:pPr>
    </w:p>
    <w:p w:rsidR="00F95758" w:rsidRPr="00CF3BF3" w:rsidRDefault="002737FA" w:rsidP="0028142B">
      <w:pPr>
        <w:pStyle w:val="Bullet-list"/>
        <w:spacing w:after="0" w:line="240" w:lineRule="auto"/>
        <w:jc w:val="both"/>
        <w:rPr>
          <w:rFonts w:ascii="Times New Roman" w:hAnsi="Times New Roman"/>
          <w:i/>
          <w:sz w:val="24"/>
          <w:szCs w:val="24"/>
        </w:rPr>
      </w:pPr>
      <w:r>
        <w:rPr>
          <w:rFonts w:ascii="Times New Roman" w:hAnsi="Times New Roman"/>
          <w:i/>
          <w:sz w:val="24"/>
          <w:szCs w:val="24"/>
        </w:rPr>
        <w:t xml:space="preserve">QC status </w:t>
      </w:r>
    </w:p>
    <w:p w:rsidR="00F95758" w:rsidRDefault="00F95758" w:rsidP="0028142B">
      <w:pPr>
        <w:pStyle w:val="ListParagraph"/>
        <w:rPr>
          <w:rFonts w:ascii="Times New Roman" w:hAnsi="Times New Roman"/>
          <w:sz w:val="24"/>
          <w:szCs w:val="24"/>
        </w:rPr>
      </w:pPr>
    </w:p>
    <w:p w:rsidR="00F95758" w:rsidRDefault="009506AA" w:rsidP="00166E95">
      <w:pPr>
        <w:pStyle w:val="Bullet-list"/>
        <w:numPr>
          <w:ilvl w:val="0"/>
          <w:numId w:val="2"/>
        </w:numPr>
        <w:tabs>
          <w:tab w:val="clear" w:pos="360"/>
          <w:tab w:val="num" w:pos="0"/>
          <w:tab w:val="num" w:pos="567"/>
        </w:tabs>
        <w:spacing w:after="0" w:line="240" w:lineRule="auto"/>
        <w:ind w:left="0" w:firstLine="0"/>
        <w:jc w:val="both"/>
        <w:rPr>
          <w:rFonts w:ascii="Times New Roman" w:hAnsi="Times New Roman"/>
          <w:sz w:val="24"/>
          <w:szCs w:val="24"/>
        </w:rPr>
      </w:pPr>
      <w:r w:rsidRPr="00F42C05">
        <w:rPr>
          <w:rFonts w:ascii="Times New Roman" w:hAnsi="Times New Roman"/>
          <w:sz w:val="24"/>
          <w:szCs w:val="24"/>
        </w:rPr>
        <w:t xml:space="preserve">Since the 2010 </w:t>
      </w:r>
      <w:r w:rsidR="00D6642E">
        <w:rPr>
          <w:rFonts w:ascii="Times New Roman" w:hAnsi="Times New Roman"/>
          <w:sz w:val="24"/>
          <w:szCs w:val="24"/>
        </w:rPr>
        <w:t>decision to grandparent</w:t>
      </w:r>
      <w:r w:rsidR="00F42C05" w:rsidRPr="00F42C05">
        <w:rPr>
          <w:rFonts w:ascii="Times New Roman" w:hAnsi="Times New Roman"/>
          <w:sz w:val="24"/>
          <w:szCs w:val="24"/>
        </w:rPr>
        <w:t xml:space="preserve"> QCs</w:t>
      </w:r>
      <w:r w:rsidRPr="00F42C05">
        <w:rPr>
          <w:rFonts w:ascii="Times New Roman" w:hAnsi="Times New Roman"/>
          <w:sz w:val="24"/>
          <w:szCs w:val="24"/>
        </w:rPr>
        <w:t xml:space="preserve"> there has been a question around </w:t>
      </w:r>
      <w:r w:rsidR="002737FA">
        <w:rPr>
          <w:rFonts w:ascii="Times New Roman" w:hAnsi="Times New Roman"/>
          <w:sz w:val="24"/>
          <w:szCs w:val="24"/>
        </w:rPr>
        <w:t>what to do with the remaining grandparented QCs.  As part of the closely held company review o</w:t>
      </w:r>
      <w:r w:rsidR="00F42C05" w:rsidRPr="00F42C05">
        <w:rPr>
          <w:rFonts w:ascii="Times New Roman" w:hAnsi="Times New Roman"/>
          <w:sz w:val="24"/>
          <w:szCs w:val="24"/>
        </w:rPr>
        <w:t xml:space="preserve">fficials considered the role of QCs and the desirability of retaining QCs.  The decision was reached that existing QCs should continue to be grandparented, on the basis that requiring all remaining QCs to convert to </w:t>
      </w:r>
      <w:r w:rsidR="00A60C96">
        <w:rPr>
          <w:rFonts w:ascii="Times New Roman" w:hAnsi="Times New Roman"/>
          <w:sz w:val="24"/>
          <w:szCs w:val="24"/>
        </w:rPr>
        <w:t>LTCs, or failing that to</w:t>
      </w:r>
      <w:r w:rsidR="00F42C05" w:rsidRPr="00F42C05">
        <w:rPr>
          <w:rFonts w:ascii="Times New Roman" w:hAnsi="Times New Roman"/>
          <w:sz w:val="24"/>
          <w:szCs w:val="24"/>
        </w:rPr>
        <w:t xml:space="preserve"> ordinary companies</w:t>
      </w:r>
      <w:r w:rsidR="00A60C96">
        <w:rPr>
          <w:rFonts w:ascii="Times New Roman" w:hAnsi="Times New Roman"/>
          <w:sz w:val="24"/>
          <w:szCs w:val="24"/>
        </w:rPr>
        <w:t xml:space="preserve">, </w:t>
      </w:r>
      <w:r w:rsidR="00F42C05" w:rsidRPr="00F42C05">
        <w:rPr>
          <w:rFonts w:ascii="Times New Roman" w:hAnsi="Times New Roman"/>
          <w:sz w:val="24"/>
          <w:szCs w:val="24"/>
        </w:rPr>
        <w:t xml:space="preserve">would </w:t>
      </w:r>
      <w:r w:rsidR="00A60C96">
        <w:rPr>
          <w:rFonts w:ascii="Times New Roman" w:hAnsi="Times New Roman"/>
          <w:sz w:val="24"/>
          <w:szCs w:val="24"/>
        </w:rPr>
        <w:t xml:space="preserve">not only </w:t>
      </w:r>
      <w:r w:rsidR="00F42C05" w:rsidRPr="00F42C05">
        <w:rPr>
          <w:rFonts w:ascii="Times New Roman" w:hAnsi="Times New Roman"/>
          <w:sz w:val="24"/>
          <w:szCs w:val="24"/>
        </w:rPr>
        <w:t xml:space="preserve">impose significant compliance costs on </w:t>
      </w:r>
      <w:r w:rsidR="00A60C96">
        <w:rPr>
          <w:rFonts w:ascii="Times New Roman" w:hAnsi="Times New Roman"/>
          <w:sz w:val="24"/>
          <w:szCs w:val="24"/>
        </w:rPr>
        <w:t xml:space="preserve">those </w:t>
      </w:r>
      <w:r w:rsidR="00F42C05" w:rsidRPr="00F42C05">
        <w:rPr>
          <w:rFonts w:ascii="Times New Roman" w:hAnsi="Times New Roman"/>
          <w:sz w:val="24"/>
          <w:szCs w:val="24"/>
        </w:rPr>
        <w:t xml:space="preserve">businesses </w:t>
      </w:r>
      <w:r w:rsidR="00A60C96">
        <w:rPr>
          <w:rFonts w:ascii="Times New Roman" w:hAnsi="Times New Roman"/>
          <w:sz w:val="24"/>
          <w:szCs w:val="24"/>
        </w:rPr>
        <w:t>but would also not be practical as the LTC requirements might not be suitable for many QCs</w:t>
      </w:r>
      <w:r w:rsidR="00F42C05" w:rsidRPr="00F42C05">
        <w:rPr>
          <w:rFonts w:ascii="Times New Roman" w:hAnsi="Times New Roman"/>
          <w:sz w:val="24"/>
          <w:szCs w:val="24"/>
        </w:rPr>
        <w:t xml:space="preserve">.  </w:t>
      </w:r>
    </w:p>
    <w:p w:rsidR="00F42C05" w:rsidRPr="00841A8D" w:rsidRDefault="00F42C05" w:rsidP="0028142B">
      <w:pPr>
        <w:pStyle w:val="Chapter6"/>
        <w:numPr>
          <w:ilvl w:val="0"/>
          <w:numId w:val="0"/>
        </w:numPr>
        <w:ind w:left="360"/>
        <w:rPr>
          <w:szCs w:val="24"/>
          <w:lang w:val="en-AU" w:eastAsia="en-US"/>
        </w:rPr>
      </w:pPr>
    </w:p>
    <w:p w:rsidR="002737FA" w:rsidRDefault="00A71573" w:rsidP="00166E95">
      <w:pPr>
        <w:pStyle w:val="Chapter6"/>
        <w:numPr>
          <w:ilvl w:val="0"/>
          <w:numId w:val="2"/>
        </w:numPr>
        <w:tabs>
          <w:tab w:val="clear" w:pos="360"/>
          <w:tab w:val="num" w:pos="0"/>
        </w:tabs>
        <w:ind w:left="0" w:firstLine="0"/>
        <w:rPr>
          <w:szCs w:val="24"/>
          <w:lang w:val="en-AU" w:eastAsia="en-US"/>
        </w:rPr>
      </w:pPr>
      <w:r>
        <w:rPr>
          <w:szCs w:val="24"/>
          <w:lang w:val="en-AU" w:eastAsia="en-US"/>
        </w:rPr>
        <w:t xml:space="preserve">This means that while </w:t>
      </w:r>
      <w:r w:rsidR="00F42C05" w:rsidRPr="00841A8D">
        <w:rPr>
          <w:szCs w:val="24"/>
          <w:lang w:val="en-AU" w:eastAsia="en-US"/>
        </w:rPr>
        <w:t>no new QCs can be created</w:t>
      </w:r>
      <w:r>
        <w:rPr>
          <w:szCs w:val="24"/>
          <w:lang w:val="en-AU" w:eastAsia="en-US"/>
        </w:rPr>
        <w:t>,</w:t>
      </w:r>
      <w:r w:rsidR="002737FA">
        <w:rPr>
          <w:szCs w:val="24"/>
          <w:lang w:val="en-AU" w:eastAsia="en-US"/>
        </w:rPr>
        <w:t xml:space="preserve"> </w:t>
      </w:r>
      <w:r w:rsidR="00F42C05" w:rsidRPr="00841A8D">
        <w:rPr>
          <w:szCs w:val="24"/>
          <w:lang w:val="en-AU" w:eastAsia="en-US"/>
        </w:rPr>
        <w:t xml:space="preserve">existing QCs </w:t>
      </w:r>
      <w:r>
        <w:rPr>
          <w:szCs w:val="24"/>
          <w:lang w:val="en-AU" w:eastAsia="en-US"/>
        </w:rPr>
        <w:t xml:space="preserve">can </w:t>
      </w:r>
      <w:r w:rsidR="00F42C05" w:rsidRPr="00841A8D">
        <w:rPr>
          <w:szCs w:val="24"/>
          <w:lang w:val="en-AU" w:eastAsia="en-US"/>
        </w:rPr>
        <w:t>continue</w:t>
      </w:r>
      <w:r w:rsidR="002737FA">
        <w:rPr>
          <w:szCs w:val="24"/>
          <w:lang w:val="en-AU" w:eastAsia="en-US"/>
        </w:rPr>
        <w:t xml:space="preserve"> until they are either liquidated, elect out of the QC regime or fail to meet the QC </w:t>
      </w:r>
      <w:r w:rsidR="00EB3036">
        <w:rPr>
          <w:szCs w:val="24"/>
        </w:rPr>
        <w:t xml:space="preserve">eligibility </w:t>
      </w:r>
      <w:r w:rsidR="002737FA">
        <w:rPr>
          <w:szCs w:val="24"/>
          <w:lang w:val="en-AU" w:eastAsia="en-US"/>
        </w:rPr>
        <w:t>criteria</w:t>
      </w:r>
      <w:r>
        <w:rPr>
          <w:szCs w:val="24"/>
          <w:lang w:val="en-AU" w:eastAsia="en-US"/>
        </w:rPr>
        <w:t>.</w:t>
      </w:r>
      <w:r w:rsidR="002737FA">
        <w:rPr>
          <w:szCs w:val="24"/>
          <w:lang w:val="en-AU" w:eastAsia="en-US"/>
        </w:rPr>
        <w:t xml:space="preserve"> </w:t>
      </w:r>
      <w:r>
        <w:rPr>
          <w:szCs w:val="24"/>
          <w:lang w:val="en-AU" w:eastAsia="en-US"/>
        </w:rPr>
        <w:t xml:space="preserve"> This can provide them with </w:t>
      </w:r>
      <w:r w:rsidR="00F42C05" w:rsidRPr="00841A8D">
        <w:rPr>
          <w:szCs w:val="24"/>
          <w:lang w:val="en-AU" w:eastAsia="en-US"/>
        </w:rPr>
        <w:t>a permanent tax advantage</w:t>
      </w:r>
      <w:r w:rsidR="002737FA">
        <w:rPr>
          <w:szCs w:val="24"/>
          <w:lang w:val="en-AU" w:eastAsia="en-US"/>
        </w:rPr>
        <w:t xml:space="preserve">.  This advantage </w:t>
      </w:r>
      <w:r>
        <w:rPr>
          <w:szCs w:val="24"/>
          <w:lang w:val="en-AU" w:eastAsia="en-US"/>
        </w:rPr>
        <w:t xml:space="preserve">would be </w:t>
      </w:r>
      <w:r w:rsidR="00F42C05" w:rsidRPr="00841A8D">
        <w:rPr>
          <w:szCs w:val="24"/>
          <w:lang w:val="en-AU" w:eastAsia="en-US"/>
        </w:rPr>
        <w:t xml:space="preserve">due </w:t>
      </w:r>
      <w:r w:rsidR="006B0D1E" w:rsidRPr="00841A8D">
        <w:rPr>
          <w:szCs w:val="24"/>
          <w:lang w:val="en-AU" w:eastAsia="en-US"/>
        </w:rPr>
        <w:t xml:space="preserve">primarily </w:t>
      </w:r>
      <w:r w:rsidR="00A60C96">
        <w:rPr>
          <w:szCs w:val="24"/>
          <w:lang w:val="en-AU" w:eastAsia="en-US"/>
        </w:rPr>
        <w:t xml:space="preserve">to the potential tax deferral on income that is taxed until </w:t>
      </w:r>
      <w:r w:rsidR="002D61EC">
        <w:rPr>
          <w:szCs w:val="24"/>
          <w:lang w:val="en-AU" w:eastAsia="en-US"/>
        </w:rPr>
        <w:t>distribution</w:t>
      </w:r>
      <w:r w:rsidR="00A60C96">
        <w:rPr>
          <w:szCs w:val="24"/>
          <w:lang w:val="en-AU" w:eastAsia="en-US"/>
        </w:rPr>
        <w:t xml:space="preserve"> </w:t>
      </w:r>
      <w:r w:rsidR="002D61EC">
        <w:rPr>
          <w:szCs w:val="24"/>
          <w:lang w:val="en-AU" w:eastAsia="en-US"/>
        </w:rPr>
        <w:t>at the company tax rate rather than the shareholders’ personal rates and the favourable treatment of capital gains relative to ordinary companies</w:t>
      </w:r>
      <w:r w:rsidR="00F42C05" w:rsidRPr="00841A8D">
        <w:rPr>
          <w:szCs w:val="24"/>
          <w:lang w:val="en-AU" w:eastAsia="en-US"/>
        </w:rPr>
        <w:t xml:space="preserve">.  </w:t>
      </w:r>
    </w:p>
    <w:p w:rsidR="002737FA" w:rsidRDefault="002737FA" w:rsidP="0028142B">
      <w:pPr>
        <w:pStyle w:val="ListParagraph"/>
        <w:rPr>
          <w:szCs w:val="24"/>
          <w:lang w:val="en-AU"/>
        </w:rPr>
      </w:pPr>
    </w:p>
    <w:p w:rsidR="00DA7484" w:rsidRPr="00483CCE" w:rsidRDefault="00F42C05" w:rsidP="00166E95">
      <w:pPr>
        <w:pStyle w:val="Chapter6"/>
        <w:numPr>
          <w:ilvl w:val="0"/>
          <w:numId w:val="2"/>
        </w:numPr>
        <w:tabs>
          <w:tab w:val="clear" w:pos="360"/>
          <w:tab w:val="num" w:pos="0"/>
        </w:tabs>
        <w:ind w:left="0" w:firstLine="0"/>
        <w:rPr>
          <w:szCs w:val="24"/>
          <w:lang w:val="en-AU" w:eastAsia="en-US"/>
        </w:rPr>
      </w:pPr>
      <w:r w:rsidRPr="00841A8D">
        <w:rPr>
          <w:szCs w:val="24"/>
          <w:lang w:val="en-AU" w:eastAsia="en-US"/>
        </w:rPr>
        <w:t xml:space="preserve">This </w:t>
      </w:r>
      <w:r w:rsidR="006B0D1E" w:rsidRPr="00841A8D">
        <w:rPr>
          <w:szCs w:val="24"/>
          <w:lang w:val="en-AU" w:eastAsia="en-US"/>
        </w:rPr>
        <w:t>permanent</w:t>
      </w:r>
      <w:r w:rsidRPr="00841A8D">
        <w:rPr>
          <w:szCs w:val="24"/>
          <w:lang w:val="en-AU" w:eastAsia="en-US"/>
        </w:rPr>
        <w:t xml:space="preserve"> tax advantage </w:t>
      </w:r>
      <w:r w:rsidR="00841A8D" w:rsidRPr="00841A8D">
        <w:rPr>
          <w:szCs w:val="24"/>
          <w:lang w:val="en-AU" w:eastAsia="en-US"/>
        </w:rPr>
        <w:t>could lead to a desire</w:t>
      </w:r>
      <w:r w:rsidRPr="00841A8D">
        <w:rPr>
          <w:szCs w:val="24"/>
          <w:lang w:val="en-AU" w:eastAsia="en-US"/>
        </w:rPr>
        <w:t xml:space="preserve"> to </w:t>
      </w:r>
      <w:r w:rsidR="00841A8D" w:rsidRPr="00841A8D">
        <w:rPr>
          <w:szCs w:val="24"/>
          <w:lang w:val="en-AU" w:eastAsia="en-US"/>
        </w:rPr>
        <w:t>trade the QC</w:t>
      </w:r>
      <w:r w:rsidRPr="00841A8D">
        <w:rPr>
          <w:szCs w:val="24"/>
          <w:lang w:val="en-AU" w:eastAsia="en-US"/>
        </w:rPr>
        <w:t xml:space="preserve"> for tax purposes </w:t>
      </w:r>
      <w:r w:rsidR="00841A8D" w:rsidRPr="00841A8D">
        <w:rPr>
          <w:szCs w:val="24"/>
          <w:lang w:val="en-AU" w:eastAsia="en-US"/>
        </w:rPr>
        <w:t xml:space="preserve">which has the </w:t>
      </w:r>
      <w:r w:rsidRPr="00841A8D">
        <w:rPr>
          <w:szCs w:val="24"/>
          <w:lang w:val="en-AU" w:eastAsia="en-US"/>
        </w:rPr>
        <w:t xml:space="preserve">potential </w:t>
      </w:r>
      <w:r w:rsidR="00841A8D" w:rsidRPr="00841A8D">
        <w:rPr>
          <w:szCs w:val="24"/>
          <w:lang w:val="en-AU" w:eastAsia="en-US"/>
        </w:rPr>
        <w:t xml:space="preserve">to lead to </w:t>
      </w:r>
      <w:r w:rsidRPr="00841A8D">
        <w:rPr>
          <w:szCs w:val="24"/>
          <w:lang w:val="en-AU" w:eastAsia="en-US"/>
        </w:rPr>
        <w:t>undesirable tax behaviour</w:t>
      </w:r>
      <w:r w:rsidR="00A71573">
        <w:rPr>
          <w:szCs w:val="24"/>
          <w:lang w:val="en-AU" w:eastAsia="en-US"/>
        </w:rPr>
        <w:t>,</w:t>
      </w:r>
      <w:r w:rsidR="002737FA">
        <w:rPr>
          <w:szCs w:val="24"/>
          <w:lang w:val="en-AU" w:eastAsia="en-US"/>
        </w:rPr>
        <w:t xml:space="preserve"> and is inconsistent with Parliament</w:t>
      </w:r>
      <w:r w:rsidR="00A71573">
        <w:rPr>
          <w:szCs w:val="24"/>
          <w:lang w:val="en-AU" w:eastAsia="en-US"/>
        </w:rPr>
        <w:t>’</w:t>
      </w:r>
      <w:r w:rsidR="002737FA">
        <w:rPr>
          <w:szCs w:val="24"/>
          <w:lang w:val="en-AU" w:eastAsia="en-US"/>
        </w:rPr>
        <w:t>s clear intention to restrict new persons entering the QC regime.</w:t>
      </w:r>
      <w:r w:rsidR="00841A8D" w:rsidRPr="00841A8D">
        <w:rPr>
          <w:szCs w:val="24"/>
          <w:lang w:val="en-AU" w:eastAsia="en-US"/>
        </w:rPr>
        <w:t xml:space="preserve">  </w:t>
      </w:r>
      <w:bookmarkStart w:id="12" w:name="_Toc244580364"/>
      <w:bookmarkStart w:id="13" w:name="_Toc244587040"/>
      <w:bookmarkStart w:id="14" w:name="_Toc244857274"/>
      <w:bookmarkStart w:id="15" w:name="_Toc244912539"/>
      <w:bookmarkStart w:id="16" w:name="_Toc244916996"/>
      <w:r w:rsidR="00A71573">
        <w:rPr>
          <w:szCs w:val="24"/>
          <w:lang w:val="en-AU" w:eastAsia="en-US"/>
        </w:rPr>
        <w:t xml:space="preserve">In effect a new QC can be created by simply replacing the shareholders of an existing QC. </w:t>
      </w:r>
    </w:p>
    <w:p w:rsidR="000B7D6E" w:rsidRDefault="000B7D6E" w:rsidP="00D6642E"/>
    <w:p w:rsidR="000545DC" w:rsidRPr="00483CCE" w:rsidRDefault="00D943DD" w:rsidP="004342F0">
      <w:pPr>
        <w:pStyle w:val="RISheading"/>
        <w:rPr>
          <w:spacing w:val="0"/>
          <w:w w:val="100"/>
        </w:rPr>
      </w:pPr>
      <w:r w:rsidRPr="00483CCE">
        <w:rPr>
          <w:spacing w:val="0"/>
          <w:w w:val="100"/>
        </w:rPr>
        <w:t>OBJECTIVES</w:t>
      </w:r>
      <w:bookmarkEnd w:id="12"/>
      <w:bookmarkEnd w:id="13"/>
      <w:bookmarkEnd w:id="14"/>
      <w:bookmarkEnd w:id="15"/>
      <w:bookmarkEnd w:id="16"/>
    </w:p>
    <w:p w:rsidR="00203BCA" w:rsidRPr="000D62B1" w:rsidRDefault="00A56C2E" w:rsidP="00166E95">
      <w:pPr>
        <w:pStyle w:val="Bullet-list"/>
        <w:numPr>
          <w:ilvl w:val="0"/>
          <w:numId w:val="2"/>
        </w:numPr>
        <w:tabs>
          <w:tab w:val="clear" w:pos="360"/>
          <w:tab w:val="num" w:pos="0"/>
        </w:tabs>
        <w:ind w:left="0" w:firstLine="0"/>
        <w:jc w:val="both"/>
        <w:rPr>
          <w:rFonts w:ascii="Times New Roman" w:hAnsi="Times New Roman"/>
          <w:sz w:val="24"/>
          <w:szCs w:val="24"/>
        </w:rPr>
      </w:pPr>
      <w:r w:rsidRPr="00483CCE">
        <w:rPr>
          <w:rFonts w:ascii="Times New Roman" w:hAnsi="Times New Roman"/>
          <w:sz w:val="24"/>
          <w:szCs w:val="24"/>
        </w:rPr>
        <w:t xml:space="preserve">The Government is committed to making positive changes to reduce the time and cost to businesses resulting from onerous tax compliance obligations.  The closely held company taxation issues review was completed with </w:t>
      </w:r>
      <w:r w:rsidR="009C2266">
        <w:rPr>
          <w:rFonts w:ascii="Times New Roman" w:hAnsi="Times New Roman"/>
          <w:sz w:val="24"/>
          <w:szCs w:val="24"/>
        </w:rPr>
        <w:t>this</w:t>
      </w:r>
      <w:r w:rsidR="009C2266" w:rsidRPr="00483CCE">
        <w:rPr>
          <w:rFonts w:ascii="Times New Roman" w:hAnsi="Times New Roman"/>
          <w:sz w:val="24"/>
          <w:szCs w:val="24"/>
        </w:rPr>
        <w:t xml:space="preserve"> </w:t>
      </w:r>
      <w:r w:rsidRPr="00483CCE">
        <w:rPr>
          <w:rFonts w:ascii="Times New Roman" w:hAnsi="Times New Roman"/>
          <w:sz w:val="24"/>
          <w:szCs w:val="24"/>
        </w:rPr>
        <w:t xml:space="preserve">broad objective in mind.  </w:t>
      </w:r>
    </w:p>
    <w:p w:rsidR="00A56C2E" w:rsidRPr="00483CCE" w:rsidRDefault="009C2266" w:rsidP="00166E95">
      <w:pPr>
        <w:numPr>
          <w:ilvl w:val="0"/>
          <w:numId w:val="2"/>
        </w:numPr>
        <w:tabs>
          <w:tab w:val="clear" w:pos="360"/>
          <w:tab w:val="num" w:pos="0"/>
        </w:tabs>
        <w:ind w:left="0" w:firstLine="0"/>
        <w:jc w:val="both"/>
        <w:rPr>
          <w:rFonts w:ascii="Times New Roman" w:hAnsi="Times New Roman"/>
          <w:sz w:val="24"/>
          <w:szCs w:val="24"/>
        </w:rPr>
      </w:pPr>
      <w:r>
        <w:rPr>
          <w:rFonts w:ascii="Times New Roman" w:hAnsi="Times New Roman"/>
          <w:sz w:val="24"/>
          <w:szCs w:val="24"/>
          <w:lang w:val="en" w:eastAsia="en-AU"/>
        </w:rPr>
        <w:t>The objectives against which the options for change have been assessed</w:t>
      </w:r>
      <w:r w:rsidR="001432D6">
        <w:rPr>
          <w:rFonts w:ascii="Times New Roman" w:hAnsi="Times New Roman"/>
          <w:sz w:val="24"/>
          <w:szCs w:val="24"/>
          <w:lang w:val="en" w:eastAsia="en-AU"/>
        </w:rPr>
        <w:t xml:space="preserve">, </w:t>
      </w:r>
      <w:r>
        <w:rPr>
          <w:rFonts w:ascii="Times New Roman" w:hAnsi="Times New Roman"/>
          <w:sz w:val="24"/>
          <w:szCs w:val="24"/>
          <w:lang w:val="en" w:eastAsia="en-AU"/>
        </w:rPr>
        <w:t xml:space="preserve">and </w:t>
      </w:r>
      <w:r w:rsidR="001432D6">
        <w:rPr>
          <w:rFonts w:ascii="Times New Roman" w:hAnsi="Times New Roman"/>
          <w:sz w:val="24"/>
          <w:szCs w:val="24"/>
          <w:lang w:val="en" w:eastAsia="en-AU"/>
        </w:rPr>
        <w:t>which support this wider Government commitment</w:t>
      </w:r>
      <w:r>
        <w:rPr>
          <w:rFonts w:ascii="Times New Roman" w:hAnsi="Times New Roman"/>
          <w:sz w:val="24"/>
          <w:szCs w:val="24"/>
          <w:lang w:val="en" w:eastAsia="en-AU"/>
        </w:rPr>
        <w:t xml:space="preserve"> are</w:t>
      </w:r>
      <w:r w:rsidR="00A56C2E" w:rsidRPr="00483CCE">
        <w:rPr>
          <w:rFonts w:ascii="Times New Roman" w:hAnsi="Times New Roman"/>
          <w:sz w:val="24"/>
          <w:szCs w:val="24"/>
          <w:lang w:val="en" w:eastAsia="en-AU"/>
        </w:rPr>
        <w:t>:</w:t>
      </w:r>
    </w:p>
    <w:p w:rsidR="00A644CD" w:rsidRDefault="00FC6A52" w:rsidP="00166E95">
      <w:pPr>
        <w:numPr>
          <w:ilvl w:val="2"/>
          <w:numId w:val="2"/>
        </w:numPr>
        <w:jc w:val="both"/>
        <w:rPr>
          <w:rFonts w:ascii="Times New Roman" w:hAnsi="Times New Roman"/>
          <w:sz w:val="24"/>
          <w:szCs w:val="24"/>
          <w:lang w:val="en" w:eastAsia="en-AU"/>
        </w:rPr>
      </w:pPr>
      <w:r w:rsidRPr="00FC6A52">
        <w:rPr>
          <w:rFonts w:ascii="Times New Roman" w:hAnsi="Times New Roman"/>
          <w:b/>
          <w:sz w:val="24"/>
          <w:szCs w:val="24"/>
          <w:lang w:val="en" w:eastAsia="en-AU"/>
        </w:rPr>
        <w:t>Overall efficiency</w:t>
      </w:r>
      <w:r w:rsidRPr="00FC6A52">
        <w:rPr>
          <w:rFonts w:ascii="Times New Roman" w:hAnsi="Times New Roman"/>
          <w:sz w:val="24"/>
          <w:szCs w:val="24"/>
          <w:lang w:val="en" w:eastAsia="en-AU"/>
        </w:rPr>
        <w:t>: To support the overall economic efficiency of the tax system, the options should, to the extent possible, reduce distortions resulting from the tax treatment to ensure that taxpayers’ decisions are not tax driven</w:t>
      </w:r>
      <w:r w:rsidR="00171B5A">
        <w:rPr>
          <w:rFonts w:ascii="Times New Roman" w:hAnsi="Times New Roman"/>
          <w:sz w:val="24"/>
          <w:szCs w:val="24"/>
          <w:lang w:val="en" w:eastAsia="en-AU"/>
        </w:rPr>
        <w:t>.</w:t>
      </w:r>
    </w:p>
    <w:p w:rsidR="00A644CD" w:rsidRPr="00A644CD" w:rsidRDefault="001432D6" w:rsidP="00166E95">
      <w:pPr>
        <w:numPr>
          <w:ilvl w:val="2"/>
          <w:numId w:val="2"/>
        </w:numPr>
        <w:jc w:val="both"/>
        <w:rPr>
          <w:rFonts w:ascii="Times New Roman" w:hAnsi="Times New Roman"/>
          <w:sz w:val="24"/>
          <w:szCs w:val="24"/>
          <w:lang w:val="en" w:eastAsia="en-AU"/>
        </w:rPr>
      </w:pPr>
      <w:r w:rsidRPr="00A644CD">
        <w:rPr>
          <w:rFonts w:ascii="Times New Roman" w:hAnsi="Times New Roman"/>
          <w:b/>
          <w:sz w:val="24"/>
          <w:szCs w:val="24"/>
        </w:rPr>
        <w:t>Fairness</w:t>
      </w:r>
      <w:r w:rsidR="00E97C66">
        <w:rPr>
          <w:rFonts w:ascii="Times New Roman" w:hAnsi="Times New Roman"/>
          <w:b/>
          <w:sz w:val="24"/>
          <w:szCs w:val="24"/>
        </w:rPr>
        <w:t xml:space="preserve"> and neutrality</w:t>
      </w:r>
      <w:r w:rsidRPr="00A644CD">
        <w:rPr>
          <w:rFonts w:ascii="Times New Roman" w:hAnsi="Times New Roman"/>
          <w:b/>
          <w:sz w:val="24"/>
          <w:szCs w:val="24"/>
        </w:rPr>
        <w:t>:</w:t>
      </w:r>
      <w:r w:rsidR="005C639B" w:rsidRPr="00FC6A52">
        <w:rPr>
          <w:rFonts w:ascii="Times New Roman" w:hAnsi="Times New Roman"/>
          <w:sz w:val="24"/>
          <w:szCs w:val="24"/>
          <w:lang w:val="en" w:eastAsia="en-AU"/>
        </w:rPr>
        <w:t xml:space="preserve"> To support fairness in the tax system, the options should, to the extent possible, seek to treat similar taxpayers or similar circumstances in a similar way.  This can include ensuring that the rules are more robust so that a specific tax treatment, such as LTCs which help fairness and neutrality at the margin, cannot be used far more broadly by those that should be taxed under the ordinary company rules</w:t>
      </w:r>
      <w:r w:rsidR="00171B5A">
        <w:rPr>
          <w:rFonts w:ascii="Times New Roman" w:hAnsi="Times New Roman"/>
          <w:sz w:val="24"/>
          <w:szCs w:val="24"/>
          <w:lang w:val="en" w:eastAsia="en-AU"/>
        </w:rPr>
        <w:t>.</w:t>
      </w:r>
    </w:p>
    <w:p w:rsidR="00274BE1" w:rsidRPr="005C639B" w:rsidRDefault="00A644CD" w:rsidP="00166E95">
      <w:pPr>
        <w:numPr>
          <w:ilvl w:val="2"/>
          <w:numId w:val="2"/>
        </w:numPr>
        <w:jc w:val="both"/>
        <w:rPr>
          <w:rFonts w:ascii="Times New Roman" w:hAnsi="Times New Roman"/>
          <w:sz w:val="24"/>
          <w:szCs w:val="24"/>
          <w:lang w:val="en" w:eastAsia="en-AU"/>
        </w:rPr>
      </w:pPr>
      <w:r w:rsidRPr="00A644CD">
        <w:rPr>
          <w:rFonts w:ascii="Times New Roman" w:hAnsi="Times New Roman"/>
          <w:b/>
          <w:sz w:val="24"/>
          <w:szCs w:val="24"/>
        </w:rPr>
        <w:t>Efficiency</w:t>
      </w:r>
      <w:r w:rsidR="00E97C66">
        <w:rPr>
          <w:rFonts w:ascii="Times New Roman" w:hAnsi="Times New Roman"/>
          <w:b/>
          <w:sz w:val="24"/>
          <w:szCs w:val="24"/>
        </w:rPr>
        <w:t xml:space="preserve"> of compliance and administration</w:t>
      </w:r>
      <w:r w:rsidRPr="00A644CD">
        <w:rPr>
          <w:rFonts w:ascii="Times New Roman" w:hAnsi="Times New Roman"/>
          <w:sz w:val="24"/>
          <w:szCs w:val="24"/>
        </w:rPr>
        <w:t>:</w:t>
      </w:r>
      <w:r w:rsidR="005C639B" w:rsidRPr="00FC6A52">
        <w:rPr>
          <w:rFonts w:ascii="Times New Roman" w:hAnsi="Times New Roman"/>
          <w:sz w:val="24"/>
          <w:szCs w:val="24"/>
          <w:lang w:val="en" w:eastAsia="en-AU"/>
        </w:rPr>
        <w:t xml:space="preserve"> Compliance costs for taxpayers and administrative costs for Inland Revenue should be </w:t>
      </w:r>
      <w:proofErr w:type="spellStart"/>
      <w:r w:rsidR="005C639B" w:rsidRPr="00FC6A52">
        <w:rPr>
          <w:rFonts w:ascii="Times New Roman" w:hAnsi="Times New Roman"/>
          <w:sz w:val="24"/>
          <w:szCs w:val="24"/>
          <w:lang w:val="en" w:eastAsia="en-AU"/>
        </w:rPr>
        <w:t>minimised</w:t>
      </w:r>
      <w:proofErr w:type="spellEnd"/>
      <w:r w:rsidR="005C639B" w:rsidRPr="00FC6A52">
        <w:rPr>
          <w:rFonts w:ascii="Times New Roman" w:hAnsi="Times New Roman"/>
          <w:sz w:val="24"/>
          <w:szCs w:val="24"/>
          <w:lang w:val="en" w:eastAsia="en-AU"/>
        </w:rPr>
        <w:t xml:space="preserve"> as far as possible.  The various closely held company tax rules, in particular the LTC rules, should be clear and simple to understand and apply.</w:t>
      </w:r>
      <w:r w:rsidR="00FC6A52" w:rsidRPr="00FC6A52">
        <w:rPr>
          <w:rFonts w:ascii="Times New Roman" w:hAnsi="Times New Roman"/>
          <w:sz w:val="24"/>
          <w:szCs w:val="24"/>
          <w:lang w:val="en" w:eastAsia="en-AU"/>
        </w:rPr>
        <w:t xml:space="preserve">   </w:t>
      </w:r>
    </w:p>
    <w:p w:rsidR="00371916" w:rsidRDefault="00371916" w:rsidP="00166E95">
      <w:pPr>
        <w:pStyle w:val="Bullet-list"/>
        <w:numPr>
          <w:ilvl w:val="0"/>
          <w:numId w:val="2"/>
        </w:numPr>
        <w:tabs>
          <w:tab w:val="clear" w:pos="360"/>
          <w:tab w:val="num" w:pos="0"/>
        </w:tabs>
        <w:spacing w:after="0" w:line="240" w:lineRule="auto"/>
        <w:ind w:left="0" w:firstLine="0"/>
        <w:rPr>
          <w:rFonts w:ascii="Times New Roman" w:hAnsi="Times New Roman"/>
          <w:sz w:val="24"/>
          <w:szCs w:val="24"/>
          <w:lang w:val="en-GB" w:eastAsia="en-GB"/>
        </w:rPr>
      </w:pPr>
      <w:r w:rsidRPr="00203BCA">
        <w:rPr>
          <w:rFonts w:ascii="Times New Roman" w:hAnsi="Times New Roman"/>
          <w:sz w:val="24"/>
          <w:szCs w:val="24"/>
          <w:lang w:val="en-GB" w:eastAsia="en-GB"/>
        </w:rPr>
        <w:t>The optimum option</w:t>
      </w:r>
      <w:r w:rsidR="00AF386C" w:rsidRPr="00203BCA">
        <w:rPr>
          <w:rFonts w:ascii="Times New Roman" w:hAnsi="Times New Roman"/>
          <w:sz w:val="24"/>
          <w:szCs w:val="24"/>
          <w:lang w:val="en-GB" w:eastAsia="en-GB"/>
        </w:rPr>
        <w:t>s</w:t>
      </w:r>
      <w:r w:rsidRPr="00203BCA">
        <w:rPr>
          <w:rFonts w:ascii="Times New Roman" w:hAnsi="Times New Roman"/>
          <w:sz w:val="24"/>
          <w:szCs w:val="24"/>
          <w:lang w:val="en-GB" w:eastAsia="en-GB"/>
        </w:rPr>
        <w:t xml:space="preserve"> should:</w:t>
      </w:r>
    </w:p>
    <w:p w:rsidR="0086489B" w:rsidRDefault="0086489B" w:rsidP="0086489B">
      <w:pPr>
        <w:pStyle w:val="Bullet-list"/>
        <w:tabs>
          <w:tab w:val="num" w:pos="567"/>
        </w:tabs>
        <w:spacing w:after="0" w:line="240" w:lineRule="auto"/>
        <w:ind w:left="0" w:firstLine="0"/>
        <w:rPr>
          <w:rFonts w:ascii="Times New Roman" w:hAnsi="Times New Roman"/>
          <w:sz w:val="24"/>
          <w:szCs w:val="24"/>
          <w:lang w:val="en-GB" w:eastAsia="en-GB"/>
        </w:rPr>
      </w:pPr>
    </w:p>
    <w:p w:rsidR="005C639B" w:rsidRDefault="005C639B" w:rsidP="0086489B">
      <w:pPr>
        <w:pStyle w:val="TRListBullet"/>
        <w:rPr>
          <w:szCs w:val="24"/>
          <w:lang w:val="en-GB" w:eastAsia="en-GB"/>
        </w:rPr>
      </w:pPr>
      <w:r>
        <w:rPr>
          <w:szCs w:val="24"/>
          <w:lang w:val="en-GB" w:eastAsia="en-GB"/>
        </w:rPr>
        <w:t xml:space="preserve">not lead to tax driven outcomes; </w:t>
      </w:r>
    </w:p>
    <w:p w:rsidR="0086489B" w:rsidRPr="00203BCA" w:rsidRDefault="0086489B" w:rsidP="0086489B">
      <w:pPr>
        <w:pStyle w:val="TRListBullet"/>
        <w:rPr>
          <w:szCs w:val="24"/>
          <w:lang w:val="en-GB" w:eastAsia="en-GB"/>
        </w:rPr>
      </w:pPr>
      <w:r w:rsidRPr="00203BCA">
        <w:rPr>
          <w:szCs w:val="24"/>
          <w:lang w:val="en-GB" w:eastAsia="en-GB"/>
        </w:rPr>
        <w:t>minimise compliance costs for closely held companies;</w:t>
      </w:r>
    </w:p>
    <w:p w:rsidR="0086489B" w:rsidRPr="00203BCA" w:rsidRDefault="0086489B" w:rsidP="0086489B">
      <w:pPr>
        <w:pStyle w:val="TRListBullet"/>
        <w:rPr>
          <w:szCs w:val="24"/>
          <w:lang w:val="en-GB" w:eastAsia="en-GB"/>
        </w:rPr>
      </w:pPr>
      <w:r w:rsidRPr="00203BCA">
        <w:rPr>
          <w:szCs w:val="24"/>
          <w:lang w:val="en-GB" w:eastAsia="en-GB"/>
        </w:rPr>
        <w:t>reduce the risk to the tax base through the use of LTCs in unintended ways;</w:t>
      </w:r>
      <w:r w:rsidR="005C639B">
        <w:rPr>
          <w:szCs w:val="24"/>
          <w:lang w:val="en-GB" w:eastAsia="en-GB"/>
        </w:rPr>
        <w:t xml:space="preserve"> and</w:t>
      </w:r>
    </w:p>
    <w:p w:rsidR="00E97C66" w:rsidRPr="00E97C66" w:rsidRDefault="0086489B" w:rsidP="005C639B">
      <w:pPr>
        <w:pStyle w:val="TRListBullet"/>
        <w:rPr>
          <w:szCs w:val="24"/>
          <w:lang w:val="en-GB" w:eastAsia="en-GB"/>
        </w:rPr>
      </w:pPr>
      <w:proofErr w:type="gramStart"/>
      <w:r w:rsidRPr="00203BCA">
        <w:rPr>
          <w:szCs w:val="24"/>
          <w:lang w:val="en-GB" w:eastAsia="en-GB"/>
        </w:rPr>
        <w:t>provide</w:t>
      </w:r>
      <w:proofErr w:type="gramEnd"/>
      <w:r w:rsidRPr="00203BCA">
        <w:rPr>
          <w:szCs w:val="24"/>
          <w:lang w:val="en-GB" w:eastAsia="en-GB"/>
        </w:rPr>
        <w:t xml:space="preserve"> certainty for</w:t>
      </w:r>
      <w:r w:rsidR="00E97C66">
        <w:rPr>
          <w:szCs w:val="24"/>
          <w:lang w:val="en-GB" w:eastAsia="en-GB"/>
        </w:rPr>
        <w:t xml:space="preserve"> taxpayers using the rules</w:t>
      </w:r>
      <w:r w:rsidRPr="00E97C66">
        <w:rPr>
          <w:szCs w:val="24"/>
          <w:lang w:val="en-GB" w:eastAsia="en-GB"/>
        </w:rPr>
        <w:t>.</w:t>
      </w:r>
      <w:r w:rsidR="00E97C66" w:rsidRPr="00E97C66">
        <w:rPr>
          <w:szCs w:val="24"/>
        </w:rPr>
        <w:t xml:space="preserve"> </w:t>
      </w:r>
    </w:p>
    <w:p w:rsidR="005C639B" w:rsidRDefault="005C639B"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When assessing the options officials have also been mindful of the fiscal implications stemming from the proposals </w:t>
      </w:r>
    </w:p>
    <w:p w:rsidR="005C639B" w:rsidRDefault="005C639B" w:rsidP="005C639B">
      <w:pPr>
        <w:pStyle w:val="Bullet-list"/>
        <w:tabs>
          <w:tab w:val="num" w:pos="567"/>
          <w:tab w:val="num" w:pos="644"/>
        </w:tabs>
        <w:spacing w:after="0" w:line="240" w:lineRule="auto"/>
        <w:ind w:left="0" w:firstLine="0"/>
        <w:jc w:val="both"/>
        <w:rPr>
          <w:rFonts w:ascii="Times New Roman" w:hAnsi="Times New Roman"/>
          <w:sz w:val="24"/>
          <w:szCs w:val="24"/>
        </w:rPr>
      </w:pPr>
    </w:p>
    <w:p w:rsidR="000B7D6E" w:rsidRPr="005C639B" w:rsidRDefault="00E97C66"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options discussed below </w:t>
      </w:r>
      <w:r w:rsidRPr="000D62B1">
        <w:rPr>
          <w:rFonts w:ascii="Times New Roman" w:hAnsi="Times New Roman"/>
          <w:sz w:val="24"/>
          <w:szCs w:val="24"/>
        </w:rPr>
        <w:t>have been developed in response to concerns raised with officials</w:t>
      </w:r>
      <w:r>
        <w:rPr>
          <w:rFonts w:ascii="Times New Roman" w:hAnsi="Times New Roman"/>
          <w:sz w:val="24"/>
          <w:szCs w:val="24"/>
        </w:rPr>
        <w:t>,</w:t>
      </w:r>
      <w:r w:rsidRPr="000D62B1">
        <w:rPr>
          <w:rFonts w:ascii="Times New Roman" w:hAnsi="Times New Roman"/>
          <w:sz w:val="24"/>
          <w:szCs w:val="24"/>
        </w:rPr>
        <w:t xml:space="preserve"> by submitters during the review or in prior consultation with CAANZ</w:t>
      </w:r>
      <w:r>
        <w:rPr>
          <w:rFonts w:ascii="Times New Roman" w:hAnsi="Times New Roman"/>
          <w:sz w:val="24"/>
          <w:szCs w:val="24"/>
        </w:rPr>
        <w:t>,</w:t>
      </w:r>
      <w:r w:rsidRPr="000D62B1">
        <w:rPr>
          <w:rFonts w:ascii="Times New Roman" w:hAnsi="Times New Roman"/>
          <w:sz w:val="24"/>
          <w:szCs w:val="24"/>
        </w:rPr>
        <w:t xml:space="preserve"> on the workability </w:t>
      </w:r>
      <w:r>
        <w:rPr>
          <w:rFonts w:ascii="Times New Roman" w:hAnsi="Times New Roman"/>
          <w:sz w:val="24"/>
          <w:szCs w:val="24"/>
        </w:rPr>
        <w:t>or appropriateness of the rules</w:t>
      </w:r>
      <w:r w:rsidRPr="000D62B1">
        <w:rPr>
          <w:rFonts w:ascii="Times New Roman" w:hAnsi="Times New Roman"/>
          <w:sz w:val="24"/>
          <w:szCs w:val="24"/>
        </w:rPr>
        <w:t xml:space="preserve"> or in response to concerns uncovered by officials in completing the review. </w:t>
      </w:r>
    </w:p>
    <w:p w:rsidR="00274BE1" w:rsidRPr="00274BE1" w:rsidRDefault="0086489B" w:rsidP="0028142B">
      <w:pPr>
        <w:pStyle w:val="RISheading"/>
        <w:jc w:val="both"/>
        <w:rPr>
          <w:spacing w:val="0"/>
          <w:w w:val="100"/>
        </w:rPr>
      </w:pPr>
      <w:bookmarkStart w:id="17" w:name="_Toc244580365"/>
      <w:bookmarkStart w:id="18" w:name="_Toc244587041"/>
      <w:bookmarkStart w:id="19" w:name="_Toc244857275"/>
      <w:bookmarkStart w:id="20" w:name="_Toc244912540"/>
      <w:bookmarkStart w:id="21" w:name="_Toc244916997"/>
      <w:r w:rsidRPr="0086489B">
        <w:rPr>
          <w:spacing w:val="0"/>
          <w:w w:val="100"/>
        </w:rPr>
        <w:t>REGULATORY IMPACT ANALYSIS</w:t>
      </w:r>
      <w:bookmarkEnd w:id="17"/>
      <w:bookmarkEnd w:id="18"/>
      <w:bookmarkEnd w:id="19"/>
      <w:bookmarkEnd w:id="20"/>
      <w:bookmarkEnd w:id="21"/>
    </w:p>
    <w:p w:rsidR="000B7D6E" w:rsidRPr="00274BE1" w:rsidRDefault="000B7D6E" w:rsidP="0028142B">
      <w:pPr>
        <w:pStyle w:val="Bullet-list"/>
        <w:tabs>
          <w:tab w:val="num" w:pos="644"/>
        </w:tabs>
        <w:spacing w:after="0" w:line="240" w:lineRule="auto"/>
        <w:ind w:left="0" w:firstLine="0"/>
        <w:jc w:val="both"/>
        <w:rPr>
          <w:rFonts w:ascii="Times New Roman" w:hAnsi="Times New Roman"/>
          <w:sz w:val="24"/>
          <w:szCs w:val="24"/>
        </w:rPr>
      </w:pPr>
    </w:p>
    <w:p w:rsidR="00274BE1" w:rsidRDefault="00661AE0"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lang w:val="en-NZ" w:eastAsia="en-AU"/>
        </w:rPr>
        <w:t>The options assessed in this RIS are grouped under the</w:t>
      </w:r>
      <w:r w:rsidR="00274BE1" w:rsidRPr="00AC5361">
        <w:rPr>
          <w:rFonts w:ascii="Times New Roman" w:hAnsi="Times New Roman"/>
          <w:sz w:val="24"/>
          <w:szCs w:val="24"/>
        </w:rPr>
        <w:t xml:space="preserve"> three key themes.  </w:t>
      </w:r>
      <w:r>
        <w:rPr>
          <w:rFonts w:ascii="Times New Roman" w:hAnsi="Times New Roman"/>
          <w:sz w:val="24"/>
          <w:szCs w:val="24"/>
        </w:rPr>
        <w:t>E</w:t>
      </w:r>
      <w:r w:rsidR="00274BE1" w:rsidRPr="00AC5361">
        <w:rPr>
          <w:rFonts w:ascii="Times New Roman" w:hAnsi="Times New Roman"/>
          <w:sz w:val="24"/>
          <w:szCs w:val="24"/>
        </w:rPr>
        <w:t xml:space="preserve">ach </w:t>
      </w:r>
      <w:r>
        <w:rPr>
          <w:rFonts w:ascii="Times New Roman" w:hAnsi="Times New Roman"/>
          <w:sz w:val="24"/>
          <w:szCs w:val="24"/>
        </w:rPr>
        <w:t xml:space="preserve">option has been assessed against the stated </w:t>
      </w:r>
      <w:r w:rsidR="00274BE1" w:rsidRPr="00AC5361">
        <w:rPr>
          <w:rFonts w:ascii="Times New Roman" w:hAnsi="Times New Roman"/>
          <w:sz w:val="24"/>
          <w:szCs w:val="24"/>
        </w:rPr>
        <w:t>objectives</w:t>
      </w:r>
      <w:r>
        <w:rPr>
          <w:rFonts w:ascii="Times New Roman" w:hAnsi="Times New Roman"/>
          <w:sz w:val="24"/>
          <w:szCs w:val="24"/>
        </w:rPr>
        <w:t>,</w:t>
      </w:r>
      <w:r w:rsidR="00274BE1" w:rsidRPr="00AC5361">
        <w:rPr>
          <w:rFonts w:ascii="Times New Roman" w:hAnsi="Times New Roman"/>
          <w:sz w:val="24"/>
          <w:szCs w:val="24"/>
        </w:rPr>
        <w:t xml:space="preserve"> and </w:t>
      </w:r>
      <w:r>
        <w:rPr>
          <w:rFonts w:ascii="Times New Roman" w:hAnsi="Times New Roman"/>
          <w:sz w:val="24"/>
          <w:szCs w:val="24"/>
        </w:rPr>
        <w:t xml:space="preserve">our </w:t>
      </w:r>
      <w:r w:rsidR="00274BE1" w:rsidRPr="00AC5361">
        <w:rPr>
          <w:rFonts w:ascii="Times New Roman" w:hAnsi="Times New Roman"/>
          <w:sz w:val="24"/>
          <w:szCs w:val="24"/>
        </w:rPr>
        <w:t xml:space="preserve">conclusions </w:t>
      </w:r>
      <w:r>
        <w:rPr>
          <w:rFonts w:ascii="Times New Roman" w:hAnsi="Times New Roman"/>
          <w:sz w:val="24"/>
          <w:szCs w:val="24"/>
        </w:rPr>
        <w:t xml:space="preserve">are indicated in </w:t>
      </w:r>
      <w:r w:rsidR="00274BE1" w:rsidRPr="00AC5361">
        <w:rPr>
          <w:rFonts w:ascii="Times New Roman" w:hAnsi="Times New Roman"/>
          <w:sz w:val="24"/>
          <w:szCs w:val="24"/>
        </w:rPr>
        <w:t xml:space="preserve">the tables below. </w:t>
      </w:r>
      <w:r w:rsidR="000B7D6E" w:rsidRPr="00AC5361">
        <w:rPr>
          <w:rFonts w:ascii="Times New Roman" w:hAnsi="Times New Roman"/>
          <w:sz w:val="24"/>
          <w:szCs w:val="24"/>
        </w:rPr>
        <w:t xml:space="preserve"> </w:t>
      </w:r>
      <w:r>
        <w:rPr>
          <w:rFonts w:ascii="Times New Roman" w:hAnsi="Times New Roman"/>
          <w:sz w:val="24"/>
          <w:szCs w:val="24"/>
        </w:rPr>
        <w:t>Full details of the a</w:t>
      </w:r>
      <w:r w:rsidR="000B7D6E" w:rsidRPr="00AC5361">
        <w:rPr>
          <w:rFonts w:ascii="Times New Roman" w:hAnsi="Times New Roman"/>
          <w:sz w:val="24"/>
          <w:szCs w:val="24"/>
        </w:rPr>
        <w:t xml:space="preserve">nalysis of the advantages and disadvantages of all of the options </w:t>
      </w:r>
      <w:r>
        <w:rPr>
          <w:rFonts w:ascii="Times New Roman" w:hAnsi="Times New Roman"/>
          <w:sz w:val="24"/>
          <w:szCs w:val="24"/>
        </w:rPr>
        <w:t xml:space="preserve">are set out in </w:t>
      </w:r>
      <w:r w:rsidR="000B7D6E" w:rsidRPr="00AC5361">
        <w:rPr>
          <w:rFonts w:ascii="Times New Roman" w:hAnsi="Times New Roman"/>
          <w:sz w:val="24"/>
          <w:szCs w:val="24"/>
        </w:rPr>
        <w:t>Appendix 1.</w:t>
      </w:r>
    </w:p>
    <w:p w:rsidR="008D7AE3" w:rsidRPr="00AC5361" w:rsidRDefault="008D7AE3" w:rsidP="008D7AE3">
      <w:pPr>
        <w:pStyle w:val="Bullet-list"/>
        <w:spacing w:after="0" w:line="240" w:lineRule="auto"/>
        <w:ind w:left="0" w:firstLine="0"/>
        <w:jc w:val="both"/>
        <w:rPr>
          <w:rFonts w:ascii="Times New Roman" w:hAnsi="Times New Roman"/>
          <w:sz w:val="24"/>
          <w:szCs w:val="24"/>
        </w:rPr>
      </w:pPr>
    </w:p>
    <w:p w:rsidR="008D7AE3" w:rsidRDefault="008D7AE3"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lang w:val="en-GB" w:eastAsia="en-GB"/>
        </w:rPr>
      </w:pPr>
      <w:r w:rsidRPr="00203BCA">
        <w:rPr>
          <w:rFonts w:ascii="Times New Roman" w:hAnsi="Times New Roman"/>
          <w:sz w:val="24"/>
          <w:szCs w:val="24"/>
          <w:lang w:val="en-GB" w:eastAsia="en-GB"/>
        </w:rPr>
        <w:t>For each option the analysis has weighed the likelihood of achieving the stated desired outcome, against the implications for taxpayers</w:t>
      </w:r>
      <w:r>
        <w:rPr>
          <w:rFonts w:ascii="Times New Roman" w:hAnsi="Times New Roman"/>
          <w:sz w:val="24"/>
          <w:szCs w:val="24"/>
          <w:lang w:val="en-GB" w:eastAsia="en-GB"/>
        </w:rPr>
        <w:t>,</w:t>
      </w:r>
      <w:r w:rsidRPr="00203BCA">
        <w:rPr>
          <w:rFonts w:ascii="Times New Roman" w:hAnsi="Times New Roman"/>
          <w:sz w:val="24"/>
          <w:szCs w:val="24"/>
          <w:lang w:val="en-GB" w:eastAsia="en-GB"/>
        </w:rPr>
        <w:t xml:space="preserve"> focussing on the following groups:</w:t>
      </w:r>
    </w:p>
    <w:p w:rsidR="008D7AE3" w:rsidRPr="00203BCA" w:rsidRDefault="008D7AE3" w:rsidP="008D7AE3">
      <w:pPr>
        <w:pStyle w:val="Bullet-list"/>
        <w:tabs>
          <w:tab w:val="num" w:pos="567"/>
        </w:tabs>
        <w:spacing w:after="0" w:line="240" w:lineRule="auto"/>
        <w:ind w:left="0" w:firstLine="0"/>
        <w:jc w:val="both"/>
        <w:rPr>
          <w:rFonts w:ascii="Times New Roman" w:hAnsi="Times New Roman"/>
          <w:sz w:val="24"/>
          <w:szCs w:val="24"/>
          <w:lang w:val="en-GB" w:eastAsia="en-GB"/>
        </w:rPr>
      </w:pPr>
    </w:p>
    <w:p w:rsidR="008D7AE3" w:rsidRPr="00203BCA" w:rsidRDefault="008D7AE3" w:rsidP="00166E95">
      <w:pPr>
        <w:pStyle w:val="Bullet-list"/>
        <w:numPr>
          <w:ilvl w:val="1"/>
          <w:numId w:val="2"/>
        </w:numPr>
        <w:spacing w:after="0" w:line="240" w:lineRule="auto"/>
        <w:jc w:val="both"/>
        <w:rPr>
          <w:rFonts w:ascii="Times New Roman" w:hAnsi="Times New Roman"/>
          <w:sz w:val="24"/>
          <w:szCs w:val="24"/>
          <w:lang w:val="en-GB" w:eastAsia="en-GB"/>
        </w:rPr>
      </w:pPr>
      <w:r w:rsidRPr="00203BCA">
        <w:rPr>
          <w:rFonts w:ascii="Times New Roman" w:hAnsi="Times New Roman"/>
          <w:sz w:val="24"/>
          <w:szCs w:val="24"/>
          <w:lang w:val="en-GB" w:eastAsia="en-GB"/>
        </w:rPr>
        <w:t xml:space="preserve">implications for taxpayers who have structures in place based on the current rules (this would including consideration of the compliance costs that may arise due to </w:t>
      </w:r>
      <w:r>
        <w:rPr>
          <w:rFonts w:ascii="Times New Roman" w:hAnsi="Times New Roman"/>
          <w:sz w:val="24"/>
          <w:szCs w:val="24"/>
          <w:lang w:val="en-GB" w:eastAsia="en-GB"/>
        </w:rPr>
        <w:t>having to restructure</w:t>
      </w:r>
      <w:r w:rsidRPr="00203BCA">
        <w:rPr>
          <w:rFonts w:ascii="Times New Roman" w:hAnsi="Times New Roman"/>
          <w:sz w:val="24"/>
          <w:szCs w:val="24"/>
          <w:lang w:val="en-GB" w:eastAsia="en-GB"/>
        </w:rPr>
        <w:t xml:space="preserve"> as well as any tax consequences which may arise due to the change); </w:t>
      </w:r>
    </w:p>
    <w:p w:rsidR="008D7AE3" w:rsidRDefault="008D7AE3" w:rsidP="00166E95">
      <w:pPr>
        <w:pStyle w:val="Bullet-list"/>
        <w:numPr>
          <w:ilvl w:val="1"/>
          <w:numId w:val="2"/>
        </w:numPr>
        <w:spacing w:after="0" w:line="240" w:lineRule="auto"/>
        <w:jc w:val="both"/>
        <w:rPr>
          <w:rFonts w:ascii="Times New Roman" w:hAnsi="Times New Roman"/>
          <w:sz w:val="24"/>
          <w:szCs w:val="24"/>
          <w:lang w:val="en-GB" w:eastAsia="en-GB"/>
        </w:rPr>
      </w:pPr>
      <w:r w:rsidRPr="00203BCA">
        <w:rPr>
          <w:rFonts w:ascii="Times New Roman" w:hAnsi="Times New Roman"/>
          <w:sz w:val="24"/>
          <w:szCs w:val="24"/>
          <w:lang w:val="en-GB" w:eastAsia="en-GB"/>
        </w:rPr>
        <w:t>implications for taxpayers looking to rely on the rules in the future (the analysis here focussed on the effect of the change on compliance costs and certainty in the rules)</w:t>
      </w:r>
      <w:r>
        <w:rPr>
          <w:rFonts w:ascii="Times New Roman" w:hAnsi="Times New Roman"/>
          <w:sz w:val="24"/>
          <w:szCs w:val="24"/>
          <w:lang w:val="en-GB" w:eastAsia="en-GB"/>
        </w:rPr>
        <w:t xml:space="preserve">; and </w:t>
      </w:r>
    </w:p>
    <w:p w:rsidR="008D7AE3" w:rsidRPr="00203BCA" w:rsidRDefault="008D7AE3" w:rsidP="00166E95">
      <w:pPr>
        <w:pStyle w:val="Bullet-list"/>
        <w:numPr>
          <w:ilvl w:val="1"/>
          <w:numId w:val="2"/>
        </w:numPr>
        <w:spacing w:after="0" w:line="240" w:lineRule="auto"/>
        <w:jc w:val="both"/>
        <w:rPr>
          <w:rFonts w:ascii="Times New Roman" w:hAnsi="Times New Roman"/>
          <w:sz w:val="24"/>
          <w:szCs w:val="24"/>
          <w:lang w:val="en-GB" w:eastAsia="en-GB"/>
        </w:rPr>
      </w:pPr>
      <w:proofErr w:type="gramStart"/>
      <w:r>
        <w:rPr>
          <w:rFonts w:ascii="Times New Roman" w:hAnsi="Times New Roman"/>
          <w:sz w:val="24"/>
          <w:szCs w:val="24"/>
          <w:lang w:val="en-GB" w:eastAsia="en-GB"/>
        </w:rPr>
        <w:t>taxpayers</w:t>
      </w:r>
      <w:proofErr w:type="gramEnd"/>
      <w:r>
        <w:rPr>
          <w:rFonts w:ascii="Times New Roman" w:hAnsi="Times New Roman"/>
          <w:sz w:val="24"/>
          <w:szCs w:val="24"/>
          <w:lang w:val="en-GB" w:eastAsia="en-GB"/>
        </w:rPr>
        <w:t xml:space="preserve"> more generally (in terms of any implications which may arise from not proceeding with the proposals; for example the effect of not protecting the integrity of the LTC rules or allowing reputational risks).</w:t>
      </w:r>
    </w:p>
    <w:p w:rsidR="008D7AE3" w:rsidRDefault="008D7AE3" w:rsidP="008D7AE3">
      <w:pPr>
        <w:pStyle w:val="Bullet-list"/>
        <w:tabs>
          <w:tab w:val="num" w:pos="567"/>
        </w:tabs>
        <w:spacing w:after="0" w:line="240" w:lineRule="auto"/>
        <w:ind w:left="0" w:firstLine="0"/>
        <w:jc w:val="both"/>
        <w:rPr>
          <w:rFonts w:ascii="Times New Roman" w:hAnsi="Times New Roman"/>
          <w:sz w:val="24"/>
          <w:szCs w:val="24"/>
          <w:lang w:val="en-GB" w:eastAsia="en-GB"/>
        </w:rPr>
      </w:pPr>
    </w:p>
    <w:p w:rsidR="008D7AE3" w:rsidRDefault="008D7AE3"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lang w:val="en-GB" w:eastAsia="en-GB"/>
        </w:rPr>
      </w:pPr>
      <w:r w:rsidRPr="00155DB0">
        <w:rPr>
          <w:rFonts w:ascii="Times New Roman" w:hAnsi="Times New Roman"/>
          <w:sz w:val="24"/>
          <w:szCs w:val="24"/>
          <w:lang w:val="en-GB" w:eastAsia="en-GB"/>
        </w:rPr>
        <w:t>To minimise any negative effects for the first group, sever</w:t>
      </w:r>
      <w:r>
        <w:rPr>
          <w:rFonts w:ascii="Times New Roman" w:hAnsi="Times New Roman"/>
          <w:sz w:val="24"/>
          <w:szCs w:val="24"/>
          <w:lang w:val="en-GB" w:eastAsia="en-GB"/>
        </w:rPr>
        <w:t>al transitional and/or grandpare</w:t>
      </w:r>
      <w:r w:rsidRPr="00155DB0">
        <w:rPr>
          <w:rFonts w:ascii="Times New Roman" w:hAnsi="Times New Roman"/>
          <w:sz w:val="24"/>
          <w:szCs w:val="24"/>
          <w:lang w:val="en-GB" w:eastAsia="en-GB"/>
        </w:rPr>
        <w:t>nting rules are recommended to either ease the transition into the new rules or protect taxpayers who have structures in place</w:t>
      </w:r>
      <w:r>
        <w:rPr>
          <w:rFonts w:ascii="Times New Roman" w:hAnsi="Times New Roman"/>
          <w:sz w:val="24"/>
          <w:szCs w:val="24"/>
          <w:lang w:val="en-GB" w:eastAsia="en-GB"/>
        </w:rPr>
        <w:t xml:space="preserve"> based on the current rules.   </w:t>
      </w:r>
    </w:p>
    <w:p w:rsidR="008D7AE3" w:rsidRPr="00155DB0" w:rsidRDefault="008D7AE3" w:rsidP="008D7AE3">
      <w:pPr>
        <w:pStyle w:val="Bullet-list"/>
        <w:tabs>
          <w:tab w:val="num" w:pos="567"/>
        </w:tabs>
        <w:spacing w:after="0" w:line="240" w:lineRule="auto"/>
        <w:ind w:left="0" w:firstLine="0"/>
        <w:jc w:val="both"/>
        <w:rPr>
          <w:rFonts w:ascii="Times New Roman" w:hAnsi="Times New Roman"/>
          <w:sz w:val="24"/>
          <w:szCs w:val="24"/>
          <w:lang w:val="en-GB" w:eastAsia="en-GB"/>
        </w:rPr>
      </w:pPr>
    </w:p>
    <w:p w:rsidR="008D7AE3" w:rsidRDefault="008D7AE3"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lang w:val="en-GB" w:eastAsia="en-GB"/>
        </w:rPr>
      </w:pPr>
      <w:r w:rsidRPr="0086489B">
        <w:rPr>
          <w:rFonts w:ascii="Times New Roman" w:hAnsi="Times New Roman"/>
          <w:sz w:val="24"/>
          <w:szCs w:val="24"/>
          <w:lang w:val="en-GB" w:eastAsia="en-GB"/>
        </w:rPr>
        <w:t xml:space="preserve">Our analysis has also been informed by the comments received from submissions on the officials’ issues paper. The expected outcomes of each option has been considered and contrasted against the status quo (i.e. the current tax law that applies).  </w:t>
      </w:r>
    </w:p>
    <w:p w:rsidR="008D7AE3" w:rsidRPr="006B4C0C" w:rsidRDefault="008D7AE3" w:rsidP="008D7AE3">
      <w:pPr>
        <w:pStyle w:val="Bullet-list"/>
        <w:tabs>
          <w:tab w:val="num" w:pos="567"/>
        </w:tabs>
        <w:spacing w:after="0" w:line="240" w:lineRule="auto"/>
        <w:ind w:left="0" w:firstLine="0"/>
        <w:jc w:val="both"/>
        <w:rPr>
          <w:rFonts w:ascii="Times New Roman" w:hAnsi="Times New Roman"/>
          <w:sz w:val="24"/>
          <w:szCs w:val="24"/>
          <w:lang w:val="en-GB" w:eastAsia="en-GB"/>
        </w:rPr>
      </w:pPr>
    </w:p>
    <w:p w:rsidR="008D7AE3" w:rsidRDefault="008D7AE3"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6A732D">
        <w:rPr>
          <w:rFonts w:ascii="Times New Roman" w:hAnsi="Times New Roman"/>
          <w:sz w:val="24"/>
          <w:szCs w:val="24"/>
        </w:rPr>
        <w:t xml:space="preserve">Generally the analysis has focussed on the economic, fiscal and compliance impacts of each of the options.  Officials do not expect any of the options </w:t>
      </w:r>
      <w:r>
        <w:rPr>
          <w:rFonts w:ascii="Times New Roman" w:hAnsi="Times New Roman"/>
          <w:sz w:val="24"/>
          <w:szCs w:val="24"/>
        </w:rPr>
        <w:t>that are discussed</w:t>
      </w:r>
      <w:r w:rsidRPr="006A732D">
        <w:rPr>
          <w:rFonts w:ascii="Times New Roman" w:hAnsi="Times New Roman"/>
          <w:sz w:val="24"/>
          <w:szCs w:val="24"/>
        </w:rPr>
        <w:t xml:space="preserve"> or recommended to have social, environmental or cultural impacts and no additional analysis of these effects has been included. </w:t>
      </w:r>
    </w:p>
    <w:p w:rsidR="008D7AE3" w:rsidRDefault="008D7AE3" w:rsidP="008D7AE3">
      <w:pPr>
        <w:pStyle w:val="ListParagraph"/>
        <w:rPr>
          <w:rFonts w:ascii="Times New Roman" w:hAnsi="Times New Roman"/>
          <w:sz w:val="24"/>
          <w:szCs w:val="24"/>
        </w:rPr>
      </w:pPr>
    </w:p>
    <w:p w:rsidR="008D7AE3" w:rsidRDefault="008D7AE3"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Fiscal implications arising from the proposals have been provided, when these have been costed.  Some options would have fiscal implications, but these are unable to be costed (due to for example unquantifiable behaviour changes). </w:t>
      </w:r>
    </w:p>
    <w:p w:rsidR="008D7AE3" w:rsidRDefault="008D7AE3" w:rsidP="008D7AE3">
      <w:pPr>
        <w:pStyle w:val="ListParagraph"/>
        <w:rPr>
          <w:rFonts w:ascii="Times New Roman" w:hAnsi="Times New Roman"/>
          <w:sz w:val="24"/>
          <w:szCs w:val="24"/>
        </w:rPr>
      </w:pPr>
    </w:p>
    <w:p w:rsidR="008D7AE3" w:rsidRDefault="008D7AE3"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Some of the recommended options will give rise to some additional compliance and administrative </w:t>
      </w:r>
      <w:r w:rsidRPr="005B0E9F">
        <w:rPr>
          <w:rFonts w:ascii="Times New Roman" w:hAnsi="Times New Roman"/>
          <w:sz w:val="24"/>
          <w:szCs w:val="24"/>
        </w:rPr>
        <w:t>costs (as noted in the options analysis in Appendix 1).</w:t>
      </w:r>
      <w:r>
        <w:rPr>
          <w:rFonts w:ascii="Times New Roman" w:hAnsi="Times New Roman"/>
          <w:sz w:val="24"/>
          <w:szCs w:val="24"/>
        </w:rPr>
        <w:t xml:space="preserve">  </w:t>
      </w:r>
      <w:r w:rsidRPr="006A732D">
        <w:rPr>
          <w:rFonts w:ascii="Times New Roman" w:hAnsi="Times New Roman"/>
          <w:sz w:val="24"/>
          <w:szCs w:val="24"/>
        </w:rPr>
        <w:t xml:space="preserve">The precise cost for companies and their shareholders, </w:t>
      </w:r>
      <w:r>
        <w:rPr>
          <w:rFonts w:ascii="Times New Roman" w:hAnsi="Times New Roman"/>
          <w:sz w:val="24"/>
          <w:szCs w:val="24"/>
        </w:rPr>
        <w:t xml:space="preserve">resulting from </w:t>
      </w:r>
      <w:r w:rsidRPr="006A732D">
        <w:rPr>
          <w:rFonts w:ascii="Times New Roman" w:hAnsi="Times New Roman"/>
          <w:sz w:val="24"/>
          <w:szCs w:val="24"/>
        </w:rPr>
        <w:t xml:space="preserve">both the </w:t>
      </w:r>
      <w:r>
        <w:rPr>
          <w:rFonts w:ascii="Times New Roman" w:hAnsi="Times New Roman"/>
          <w:sz w:val="24"/>
          <w:szCs w:val="24"/>
        </w:rPr>
        <w:t xml:space="preserve">recommended changes to the eligibility rules or, alternatively, as a result of a choice </w:t>
      </w:r>
      <w:r w:rsidRPr="006A732D">
        <w:rPr>
          <w:rFonts w:ascii="Times New Roman" w:hAnsi="Times New Roman"/>
          <w:sz w:val="24"/>
          <w:szCs w:val="24"/>
        </w:rPr>
        <w:t>to trans</w:t>
      </w:r>
      <w:r>
        <w:rPr>
          <w:rFonts w:ascii="Times New Roman" w:hAnsi="Times New Roman"/>
          <w:sz w:val="24"/>
          <w:szCs w:val="24"/>
        </w:rPr>
        <w:t>ition to another business model, will depend</w:t>
      </w:r>
      <w:r w:rsidRPr="006A732D">
        <w:rPr>
          <w:rFonts w:ascii="Times New Roman" w:hAnsi="Times New Roman"/>
          <w:sz w:val="24"/>
          <w:szCs w:val="24"/>
        </w:rPr>
        <w:t xml:space="preserve"> on their chosen model</w:t>
      </w:r>
      <w:r>
        <w:rPr>
          <w:rFonts w:ascii="Times New Roman" w:hAnsi="Times New Roman"/>
          <w:sz w:val="24"/>
          <w:szCs w:val="24"/>
        </w:rPr>
        <w:t xml:space="preserve">.  </w:t>
      </w:r>
    </w:p>
    <w:p w:rsidR="008D7AE3" w:rsidRPr="00155DB0" w:rsidRDefault="008D7AE3" w:rsidP="008D7AE3">
      <w:pPr>
        <w:pStyle w:val="Bullet-list"/>
        <w:spacing w:after="0" w:line="240" w:lineRule="auto"/>
        <w:ind w:left="0" w:firstLine="0"/>
        <w:jc w:val="both"/>
        <w:rPr>
          <w:rFonts w:ascii="Times New Roman" w:hAnsi="Times New Roman"/>
          <w:sz w:val="24"/>
          <w:szCs w:val="24"/>
        </w:rPr>
      </w:pPr>
    </w:p>
    <w:p w:rsidR="008D7AE3" w:rsidRDefault="008D7AE3"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6A732D">
        <w:rPr>
          <w:rFonts w:ascii="Times New Roman" w:hAnsi="Times New Roman"/>
          <w:sz w:val="24"/>
          <w:szCs w:val="24"/>
        </w:rPr>
        <w:t xml:space="preserve">However </w:t>
      </w:r>
      <w:r>
        <w:rPr>
          <w:rFonts w:ascii="Times New Roman" w:hAnsi="Times New Roman"/>
          <w:sz w:val="24"/>
          <w:szCs w:val="24"/>
        </w:rPr>
        <w:t xml:space="preserve">we note </w:t>
      </w:r>
      <w:r w:rsidRPr="006A732D">
        <w:rPr>
          <w:rFonts w:ascii="Times New Roman" w:hAnsi="Times New Roman"/>
          <w:sz w:val="24"/>
          <w:szCs w:val="24"/>
        </w:rPr>
        <w:t xml:space="preserve">the </w:t>
      </w:r>
      <w:r>
        <w:rPr>
          <w:rFonts w:ascii="Times New Roman" w:hAnsi="Times New Roman"/>
          <w:sz w:val="24"/>
          <w:szCs w:val="24"/>
        </w:rPr>
        <w:t xml:space="preserve">LTC </w:t>
      </w:r>
      <w:r w:rsidRPr="006A732D">
        <w:rPr>
          <w:rFonts w:ascii="Times New Roman" w:hAnsi="Times New Roman"/>
          <w:sz w:val="24"/>
          <w:szCs w:val="24"/>
        </w:rPr>
        <w:t xml:space="preserve">regime is elective, so business owners have a choice to move into a business form which does not have </w:t>
      </w:r>
      <w:r>
        <w:rPr>
          <w:rFonts w:ascii="Times New Roman" w:hAnsi="Times New Roman"/>
          <w:sz w:val="24"/>
          <w:szCs w:val="24"/>
        </w:rPr>
        <w:t>the same tax features and limitations</w:t>
      </w:r>
      <w:r w:rsidRPr="006A732D">
        <w:rPr>
          <w:rFonts w:ascii="Times New Roman" w:hAnsi="Times New Roman"/>
          <w:sz w:val="24"/>
          <w:szCs w:val="24"/>
        </w:rPr>
        <w:t xml:space="preserve">. Various factors </w:t>
      </w:r>
      <w:r>
        <w:rPr>
          <w:rFonts w:ascii="Times New Roman" w:hAnsi="Times New Roman"/>
          <w:sz w:val="24"/>
          <w:szCs w:val="24"/>
        </w:rPr>
        <w:t xml:space="preserve">may </w:t>
      </w:r>
      <w:r w:rsidRPr="006A732D">
        <w:rPr>
          <w:rFonts w:ascii="Times New Roman" w:hAnsi="Times New Roman"/>
          <w:sz w:val="24"/>
          <w:szCs w:val="24"/>
        </w:rPr>
        <w:t xml:space="preserve">influence </w:t>
      </w:r>
      <w:r>
        <w:rPr>
          <w:rFonts w:ascii="Times New Roman" w:hAnsi="Times New Roman"/>
          <w:sz w:val="24"/>
          <w:szCs w:val="24"/>
        </w:rPr>
        <w:t xml:space="preserve">this </w:t>
      </w:r>
      <w:r w:rsidRPr="006A732D">
        <w:rPr>
          <w:rFonts w:ascii="Times New Roman" w:hAnsi="Times New Roman"/>
          <w:sz w:val="24"/>
          <w:szCs w:val="24"/>
        </w:rPr>
        <w:t>decision, such as the desi</w:t>
      </w:r>
      <w:r>
        <w:rPr>
          <w:rFonts w:ascii="Times New Roman" w:hAnsi="Times New Roman"/>
          <w:sz w:val="24"/>
          <w:szCs w:val="24"/>
        </w:rPr>
        <w:t>re to use tax losses personally versus the</w:t>
      </w:r>
      <w:r w:rsidRPr="006A732D">
        <w:rPr>
          <w:rFonts w:ascii="Times New Roman" w:hAnsi="Times New Roman"/>
          <w:sz w:val="24"/>
          <w:szCs w:val="24"/>
        </w:rPr>
        <w:t xml:space="preserve"> familiarity with the corporate structure and the </w:t>
      </w:r>
      <w:r>
        <w:rPr>
          <w:rFonts w:ascii="Times New Roman" w:hAnsi="Times New Roman"/>
          <w:sz w:val="24"/>
          <w:szCs w:val="24"/>
        </w:rPr>
        <w:t>advantages of limited liability, which make full and accurate analysis of behavioural changes impossible.</w:t>
      </w:r>
    </w:p>
    <w:p w:rsidR="00274BE1" w:rsidRDefault="00274BE1" w:rsidP="0028142B">
      <w:pPr>
        <w:pStyle w:val="ListParagraph"/>
        <w:ind w:left="360"/>
        <w:rPr>
          <w:rFonts w:ascii="Times New Roman" w:hAnsi="Times New Roman"/>
          <w:b/>
          <w:i/>
          <w:sz w:val="24"/>
          <w:szCs w:val="24"/>
          <w:lang w:val="en-AU"/>
        </w:rPr>
      </w:pPr>
    </w:p>
    <w:p w:rsidR="00274BE1" w:rsidRPr="00274BE1" w:rsidRDefault="00274BE1" w:rsidP="00274BE1">
      <w:pPr>
        <w:rPr>
          <w:rFonts w:ascii="Times New Roman" w:hAnsi="Times New Roman"/>
          <w:b/>
          <w:i/>
          <w:sz w:val="24"/>
          <w:szCs w:val="24"/>
          <w:lang w:val="en-AU"/>
        </w:rPr>
      </w:pPr>
      <w:r w:rsidRPr="00274BE1">
        <w:rPr>
          <w:rFonts w:ascii="Times New Roman" w:hAnsi="Times New Roman"/>
          <w:b/>
          <w:i/>
          <w:sz w:val="24"/>
          <w:szCs w:val="24"/>
          <w:lang w:val="en-AU"/>
        </w:rPr>
        <w:t>Rules which impose unnecessary compliance costs</w:t>
      </w:r>
    </w:p>
    <w:p w:rsidR="00274BE1" w:rsidRDefault="00274BE1" w:rsidP="00274BE1">
      <w:pPr>
        <w:pStyle w:val="Bullet-list"/>
        <w:tabs>
          <w:tab w:val="num" w:pos="567"/>
        </w:tabs>
        <w:spacing w:after="0" w:line="240" w:lineRule="auto"/>
        <w:ind w:left="0" w:firstLine="0"/>
        <w:rPr>
          <w:rFonts w:ascii="Times New Roman" w:hAnsi="Times New Roman"/>
          <w:i/>
          <w:sz w:val="24"/>
          <w:szCs w:val="24"/>
        </w:rPr>
      </w:pPr>
      <w:r w:rsidRPr="00931223">
        <w:rPr>
          <w:rFonts w:ascii="Times New Roman" w:hAnsi="Times New Roman"/>
          <w:i/>
          <w:sz w:val="24"/>
          <w:szCs w:val="24"/>
        </w:rPr>
        <w:t>Deduction limitation rule</w:t>
      </w:r>
    </w:p>
    <w:p w:rsidR="00274BE1" w:rsidRPr="008B0E14" w:rsidRDefault="00274BE1" w:rsidP="00274BE1">
      <w:pPr>
        <w:pStyle w:val="Bullet-list"/>
        <w:tabs>
          <w:tab w:val="num" w:pos="567"/>
          <w:tab w:val="num" w:pos="644"/>
        </w:tabs>
        <w:spacing w:after="0" w:line="240" w:lineRule="auto"/>
        <w:ind w:left="0" w:firstLine="0"/>
        <w:rPr>
          <w:rFonts w:ascii="Times New Roman" w:hAnsi="Times New Roman"/>
          <w:sz w:val="24"/>
          <w:szCs w:val="24"/>
        </w:rPr>
      </w:pPr>
    </w:p>
    <w:p w:rsidR="00274BE1" w:rsidRDefault="00274BE1" w:rsidP="00166E95">
      <w:pPr>
        <w:pStyle w:val="TRBodyText"/>
        <w:numPr>
          <w:ilvl w:val="0"/>
          <w:numId w:val="2"/>
        </w:numPr>
        <w:tabs>
          <w:tab w:val="clear" w:pos="360"/>
          <w:tab w:val="left" w:pos="0"/>
        </w:tabs>
        <w:ind w:left="0" w:firstLine="0"/>
        <w:rPr>
          <w:szCs w:val="24"/>
        </w:rPr>
      </w:pPr>
      <w:r>
        <w:rPr>
          <w:szCs w:val="24"/>
        </w:rPr>
        <w:t xml:space="preserve">Options to address concerns around the complexity and targeting of the </w:t>
      </w:r>
      <w:r w:rsidRPr="00274BE1">
        <w:rPr>
          <w:szCs w:val="24"/>
        </w:rPr>
        <w:t xml:space="preserve">rule </w:t>
      </w:r>
      <w:r>
        <w:rPr>
          <w:szCs w:val="24"/>
        </w:rPr>
        <w:t xml:space="preserve">that </w:t>
      </w:r>
      <w:r w:rsidRPr="00274BE1">
        <w:rPr>
          <w:szCs w:val="24"/>
        </w:rPr>
        <w:t xml:space="preserve">restricts a look-through owner’s ability to claim LTC deductions in excess of the money they have </w:t>
      </w:r>
      <w:r>
        <w:rPr>
          <w:szCs w:val="24"/>
        </w:rPr>
        <w:t>invested in the business, are listed below:</w:t>
      </w:r>
    </w:p>
    <w:p w:rsidR="00274BE1" w:rsidRDefault="00274BE1" w:rsidP="00CA079F">
      <w:pPr>
        <w:pStyle w:val="Bullet-list"/>
        <w:spacing w:after="0" w:line="240" w:lineRule="auto"/>
        <w:ind w:left="0" w:firstLine="0"/>
        <w:rPr>
          <w:rFonts w:ascii="Times New Roman" w:hAnsi="Times New Roman"/>
          <w:i/>
          <w:sz w:val="24"/>
          <w:szCs w:val="24"/>
        </w:rPr>
      </w:pPr>
    </w:p>
    <w:tbl>
      <w:tblPr>
        <w:tblStyle w:val="TableGrid"/>
        <w:tblW w:w="9464" w:type="dxa"/>
        <w:tblLook w:val="04A0" w:firstRow="1" w:lastRow="0" w:firstColumn="1" w:lastColumn="0" w:noHBand="0" w:noVBand="1"/>
      </w:tblPr>
      <w:tblGrid>
        <w:gridCol w:w="3936"/>
        <w:gridCol w:w="1701"/>
        <w:gridCol w:w="3827"/>
      </w:tblGrid>
      <w:tr w:rsidR="000B7D6E" w:rsidRPr="00871EE0" w:rsidTr="00C20580">
        <w:trPr>
          <w:cantSplit/>
          <w:trHeight w:val="274"/>
        </w:trPr>
        <w:tc>
          <w:tcPr>
            <w:tcW w:w="3936" w:type="dxa"/>
            <w:shd w:val="pct15" w:color="auto" w:fill="auto"/>
          </w:tcPr>
          <w:p w:rsidR="000B7D6E" w:rsidRDefault="000B7D6E" w:rsidP="00C20580">
            <w:pPr>
              <w:pStyle w:val="Bullet-list"/>
              <w:tabs>
                <w:tab w:val="num" w:pos="567"/>
              </w:tabs>
              <w:spacing w:after="0" w:line="240" w:lineRule="auto"/>
              <w:ind w:left="0" w:firstLine="0"/>
              <w:rPr>
                <w:rFonts w:ascii="Times New Roman" w:hAnsi="Times New Roman"/>
                <w:sz w:val="18"/>
                <w:szCs w:val="18"/>
              </w:rPr>
            </w:pPr>
            <w:r w:rsidRPr="000B7D6E">
              <w:rPr>
                <w:rFonts w:ascii="Times New Roman" w:hAnsi="Times New Roman"/>
                <w:b/>
                <w:sz w:val="18"/>
                <w:szCs w:val="18"/>
              </w:rPr>
              <w:t>Options:</w:t>
            </w:r>
          </w:p>
        </w:tc>
        <w:tc>
          <w:tcPr>
            <w:tcW w:w="1701" w:type="dxa"/>
            <w:shd w:val="pct15" w:color="auto" w:fill="auto"/>
          </w:tcPr>
          <w:p w:rsidR="000B7D6E" w:rsidRPr="000B7D6E" w:rsidRDefault="000B7D6E" w:rsidP="00C20580">
            <w:pPr>
              <w:pStyle w:val="Bullet-list"/>
              <w:tabs>
                <w:tab w:val="num" w:pos="567"/>
              </w:tabs>
              <w:spacing w:after="0" w:line="240" w:lineRule="auto"/>
              <w:ind w:left="0" w:firstLine="0"/>
              <w:rPr>
                <w:rFonts w:ascii="Times New Roman" w:hAnsi="Times New Roman"/>
                <w:b/>
                <w:sz w:val="18"/>
                <w:szCs w:val="18"/>
              </w:rPr>
            </w:pPr>
            <w:r w:rsidRPr="000B7D6E">
              <w:rPr>
                <w:rFonts w:ascii="Times New Roman" w:hAnsi="Times New Roman"/>
                <w:b/>
                <w:sz w:val="18"/>
                <w:szCs w:val="18"/>
              </w:rPr>
              <w:t>Re</w:t>
            </w:r>
            <w:r>
              <w:rPr>
                <w:rFonts w:ascii="Times New Roman" w:hAnsi="Times New Roman"/>
                <w:b/>
                <w:sz w:val="18"/>
                <w:szCs w:val="18"/>
              </w:rPr>
              <w:t>c</w:t>
            </w:r>
            <w:r w:rsidRPr="000B7D6E">
              <w:rPr>
                <w:rFonts w:ascii="Times New Roman" w:hAnsi="Times New Roman"/>
                <w:b/>
                <w:sz w:val="18"/>
                <w:szCs w:val="18"/>
              </w:rPr>
              <w:t>ommendations</w:t>
            </w:r>
          </w:p>
        </w:tc>
        <w:tc>
          <w:tcPr>
            <w:tcW w:w="3827" w:type="dxa"/>
            <w:shd w:val="pct15" w:color="auto" w:fill="auto"/>
          </w:tcPr>
          <w:p w:rsidR="000B7D6E" w:rsidRPr="000B7D6E" w:rsidRDefault="000B7D6E" w:rsidP="00C20580">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Analysis against objectives</w:t>
            </w:r>
          </w:p>
        </w:tc>
      </w:tr>
      <w:tr w:rsidR="000B7D6E" w:rsidRPr="00871EE0" w:rsidTr="00C20580">
        <w:trPr>
          <w:cantSplit/>
          <w:trHeight w:val="557"/>
        </w:trPr>
        <w:tc>
          <w:tcPr>
            <w:tcW w:w="3936" w:type="dxa"/>
          </w:tcPr>
          <w:p w:rsidR="000B7D6E" w:rsidRDefault="000B7D6E" w:rsidP="00C20580">
            <w:pPr>
              <w:pStyle w:val="Bullet-list"/>
              <w:tabs>
                <w:tab w:val="num" w:pos="567"/>
              </w:tabs>
              <w:spacing w:after="0" w:line="240" w:lineRule="auto"/>
              <w:ind w:left="0" w:firstLine="0"/>
              <w:rPr>
                <w:rFonts w:ascii="Times New Roman" w:hAnsi="Times New Roman"/>
                <w:sz w:val="18"/>
                <w:szCs w:val="18"/>
              </w:rPr>
            </w:pPr>
          </w:p>
          <w:p w:rsidR="000B7D6E" w:rsidRPr="00871EE0" w:rsidRDefault="000B7D6E" w:rsidP="00C20580">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Option 1: Repeal the rule – entirely.</w:t>
            </w:r>
          </w:p>
        </w:tc>
        <w:tc>
          <w:tcPr>
            <w:tcW w:w="1701" w:type="dxa"/>
          </w:tcPr>
          <w:p w:rsidR="000B7D6E" w:rsidRDefault="000B7D6E" w:rsidP="00C20580">
            <w:pPr>
              <w:pStyle w:val="Bullet-list"/>
              <w:tabs>
                <w:tab w:val="num" w:pos="567"/>
              </w:tabs>
              <w:spacing w:after="0" w:line="240" w:lineRule="auto"/>
              <w:ind w:left="0" w:firstLine="0"/>
              <w:rPr>
                <w:rFonts w:ascii="Times New Roman" w:hAnsi="Times New Roman"/>
                <w:sz w:val="18"/>
                <w:szCs w:val="18"/>
              </w:rPr>
            </w:pPr>
          </w:p>
          <w:p w:rsidR="000B7D6E" w:rsidRPr="00871EE0" w:rsidRDefault="000B7D6E" w:rsidP="00C20580">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Not recommended.</w:t>
            </w:r>
          </w:p>
        </w:tc>
        <w:tc>
          <w:tcPr>
            <w:tcW w:w="3827" w:type="dxa"/>
          </w:tcPr>
          <w:p w:rsidR="000B7D6E" w:rsidRPr="005216EB" w:rsidRDefault="000B7D6E" w:rsidP="00C20580">
            <w:pPr>
              <w:pStyle w:val="Bullet-list"/>
              <w:tabs>
                <w:tab w:val="num" w:pos="567"/>
              </w:tabs>
              <w:spacing w:after="0" w:line="240" w:lineRule="auto"/>
              <w:ind w:left="0" w:firstLine="0"/>
              <w:rPr>
                <w:rFonts w:ascii="Times New Roman" w:hAnsi="Times New Roman"/>
                <w:sz w:val="18"/>
                <w:szCs w:val="18"/>
                <w:highlight w:val="yellow"/>
              </w:rPr>
            </w:pPr>
          </w:p>
          <w:p w:rsidR="000B7D6E" w:rsidRPr="00EF03F0" w:rsidRDefault="00CF3834" w:rsidP="00C20580">
            <w:pPr>
              <w:pStyle w:val="Bullet-list"/>
              <w:spacing w:after="0" w:line="240" w:lineRule="auto"/>
              <w:ind w:left="33" w:firstLine="0"/>
              <w:rPr>
                <w:rFonts w:ascii="Times New Roman" w:hAnsi="Times New Roman"/>
                <w:sz w:val="18"/>
                <w:szCs w:val="18"/>
              </w:rPr>
            </w:pPr>
            <w:r w:rsidRPr="00EF03F0">
              <w:rPr>
                <w:rFonts w:ascii="Times New Roman" w:hAnsi="Times New Roman"/>
                <w:i/>
                <w:sz w:val="18"/>
                <w:szCs w:val="18"/>
              </w:rPr>
              <w:t>Overall efficiency</w:t>
            </w:r>
            <w:r w:rsidR="00C20580" w:rsidRPr="00EF03F0">
              <w:rPr>
                <w:rFonts w:ascii="Times New Roman" w:hAnsi="Times New Roman"/>
                <w:i/>
                <w:sz w:val="18"/>
                <w:szCs w:val="18"/>
              </w:rPr>
              <w:t xml:space="preserve">: </w:t>
            </w:r>
            <w:r w:rsidR="00EF03F0" w:rsidRPr="00EF03F0">
              <w:rPr>
                <w:rFonts w:ascii="Times New Roman" w:hAnsi="Times New Roman"/>
                <w:sz w:val="18"/>
                <w:szCs w:val="18"/>
              </w:rPr>
              <w:t>Does not</w:t>
            </w:r>
            <w:r w:rsidR="00EF03F0" w:rsidRPr="00EF03F0">
              <w:rPr>
                <w:rFonts w:ascii="Times New Roman" w:hAnsi="Times New Roman"/>
                <w:i/>
                <w:sz w:val="18"/>
                <w:szCs w:val="18"/>
              </w:rPr>
              <w:t xml:space="preserve"> </w:t>
            </w:r>
            <w:r w:rsidR="00EF03F0" w:rsidRPr="00EF03F0">
              <w:rPr>
                <w:rFonts w:ascii="Times New Roman" w:hAnsi="Times New Roman"/>
                <w:sz w:val="18"/>
                <w:szCs w:val="18"/>
              </w:rPr>
              <w:t>meet</w:t>
            </w:r>
            <w:r w:rsidR="000B7D6E" w:rsidRPr="00EF03F0">
              <w:rPr>
                <w:rFonts w:ascii="Times New Roman" w:hAnsi="Times New Roman"/>
                <w:sz w:val="18"/>
                <w:szCs w:val="18"/>
              </w:rPr>
              <w:t xml:space="preserve"> </w:t>
            </w:r>
            <w:r w:rsidR="00C20580" w:rsidRPr="00EF03F0">
              <w:rPr>
                <w:rFonts w:ascii="Times New Roman" w:hAnsi="Times New Roman"/>
                <w:sz w:val="18"/>
                <w:szCs w:val="18"/>
              </w:rPr>
              <w:t>objective.</w:t>
            </w:r>
          </w:p>
          <w:p w:rsidR="00C20580" w:rsidRPr="00EF03F0" w:rsidRDefault="00C20580" w:rsidP="00C20580">
            <w:pPr>
              <w:pStyle w:val="Bullet-list"/>
              <w:spacing w:after="0" w:line="240" w:lineRule="auto"/>
              <w:ind w:left="33" w:firstLine="0"/>
              <w:rPr>
                <w:rFonts w:ascii="Times New Roman" w:hAnsi="Times New Roman"/>
                <w:sz w:val="18"/>
                <w:szCs w:val="18"/>
              </w:rPr>
            </w:pPr>
            <w:r w:rsidRPr="00EF03F0">
              <w:rPr>
                <w:rFonts w:ascii="Times New Roman" w:hAnsi="Times New Roman"/>
                <w:i/>
                <w:sz w:val="18"/>
                <w:szCs w:val="18"/>
              </w:rPr>
              <w:t>Fairness/neutrality:</w:t>
            </w:r>
            <w:r w:rsidRPr="00EF03F0">
              <w:rPr>
                <w:rFonts w:ascii="Times New Roman" w:hAnsi="Times New Roman"/>
                <w:sz w:val="18"/>
                <w:szCs w:val="18"/>
              </w:rPr>
              <w:t xml:space="preserve"> </w:t>
            </w:r>
            <w:r w:rsidR="000B7D6E" w:rsidRPr="00EF03F0">
              <w:rPr>
                <w:rFonts w:ascii="Times New Roman" w:hAnsi="Times New Roman"/>
                <w:sz w:val="18"/>
                <w:szCs w:val="18"/>
              </w:rPr>
              <w:t>Does not meet objective</w:t>
            </w:r>
            <w:r w:rsidRPr="00EF03F0">
              <w:rPr>
                <w:rFonts w:ascii="Times New Roman" w:hAnsi="Times New Roman"/>
                <w:sz w:val="18"/>
                <w:szCs w:val="18"/>
              </w:rPr>
              <w:t>.</w:t>
            </w:r>
          </w:p>
          <w:p w:rsidR="000B7D6E" w:rsidRPr="00EF03F0" w:rsidRDefault="00C20580" w:rsidP="00C20580">
            <w:pPr>
              <w:pStyle w:val="Bullet-list"/>
              <w:spacing w:after="0" w:line="240" w:lineRule="auto"/>
              <w:ind w:left="33" w:firstLine="0"/>
              <w:rPr>
                <w:rFonts w:ascii="Times New Roman" w:hAnsi="Times New Roman"/>
                <w:sz w:val="18"/>
                <w:szCs w:val="18"/>
              </w:rPr>
            </w:pPr>
            <w:r w:rsidRPr="00EF03F0">
              <w:rPr>
                <w:rFonts w:ascii="Times New Roman" w:hAnsi="Times New Roman"/>
                <w:i/>
                <w:sz w:val="18"/>
                <w:szCs w:val="18"/>
              </w:rPr>
              <w:t xml:space="preserve">Efficiency </w:t>
            </w:r>
            <w:r w:rsidR="00E0083F" w:rsidRPr="00EF03F0">
              <w:rPr>
                <w:rFonts w:ascii="Times New Roman" w:hAnsi="Times New Roman"/>
                <w:i/>
                <w:sz w:val="18"/>
                <w:szCs w:val="18"/>
              </w:rPr>
              <w:t xml:space="preserve">of </w:t>
            </w:r>
            <w:r w:rsidRPr="00EF03F0">
              <w:rPr>
                <w:rFonts w:ascii="Times New Roman" w:hAnsi="Times New Roman"/>
                <w:i/>
                <w:sz w:val="18"/>
                <w:szCs w:val="18"/>
              </w:rPr>
              <w:t>costs:</w:t>
            </w:r>
            <w:r w:rsidRPr="00EF03F0">
              <w:rPr>
                <w:rFonts w:ascii="Times New Roman" w:hAnsi="Times New Roman"/>
                <w:sz w:val="18"/>
                <w:szCs w:val="18"/>
              </w:rPr>
              <w:t xml:space="preserve"> </w:t>
            </w:r>
            <w:r w:rsidR="000B7D6E" w:rsidRPr="00EF03F0">
              <w:rPr>
                <w:rFonts w:ascii="Times New Roman" w:hAnsi="Times New Roman"/>
                <w:sz w:val="18"/>
                <w:szCs w:val="18"/>
              </w:rPr>
              <w:t xml:space="preserve"> </w:t>
            </w:r>
            <w:r w:rsidR="00EF03F0">
              <w:rPr>
                <w:rFonts w:ascii="Times New Roman" w:hAnsi="Times New Roman"/>
                <w:sz w:val="18"/>
                <w:szCs w:val="18"/>
              </w:rPr>
              <w:t>M</w:t>
            </w:r>
            <w:r w:rsidRPr="00EF03F0">
              <w:rPr>
                <w:rFonts w:ascii="Times New Roman" w:hAnsi="Times New Roman"/>
                <w:sz w:val="18"/>
                <w:szCs w:val="18"/>
              </w:rPr>
              <w:t>eets objective</w:t>
            </w:r>
            <w:r w:rsidR="00EF03F0">
              <w:rPr>
                <w:rFonts w:ascii="Times New Roman" w:hAnsi="Times New Roman"/>
                <w:sz w:val="18"/>
                <w:szCs w:val="18"/>
              </w:rPr>
              <w:t>.</w:t>
            </w:r>
          </w:p>
          <w:p w:rsidR="000B7D6E" w:rsidRPr="005216EB" w:rsidRDefault="000B7D6E" w:rsidP="000B7D6E">
            <w:pPr>
              <w:pStyle w:val="Bullet-list"/>
              <w:tabs>
                <w:tab w:val="num" w:pos="567"/>
              </w:tabs>
              <w:spacing w:after="0" w:line="240" w:lineRule="auto"/>
              <w:ind w:left="0" w:firstLine="0"/>
              <w:rPr>
                <w:rFonts w:ascii="Times New Roman" w:hAnsi="Times New Roman"/>
                <w:sz w:val="18"/>
                <w:szCs w:val="18"/>
                <w:highlight w:val="yellow"/>
              </w:rPr>
            </w:pPr>
          </w:p>
        </w:tc>
      </w:tr>
      <w:tr w:rsidR="000B7D6E" w:rsidRPr="00871EE0" w:rsidTr="00C20580">
        <w:trPr>
          <w:cantSplit/>
          <w:trHeight w:val="1407"/>
        </w:trPr>
        <w:tc>
          <w:tcPr>
            <w:tcW w:w="3936" w:type="dxa"/>
          </w:tcPr>
          <w:p w:rsidR="000B7D6E" w:rsidRDefault="000B7D6E" w:rsidP="00C20580">
            <w:pPr>
              <w:pStyle w:val="Bullet-list"/>
              <w:tabs>
                <w:tab w:val="num" w:pos="567"/>
              </w:tabs>
              <w:spacing w:after="0" w:line="240" w:lineRule="auto"/>
              <w:ind w:left="0" w:firstLine="0"/>
              <w:rPr>
                <w:rFonts w:ascii="Times New Roman" w:hAnsi="Times New Roman"/>
                <w:sz w:val="18"/>
                <w:szCs w:val="18"/>
              </w:rPr>
            </w:pPr>
          </w:p>
          <w:p w:rsidR="000B7D6E" w:rsidRPr="00871EE0" w:rsidRDefault="000B7D6E" w:rsidP="00C20580">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Option 2: Repeal the rule except for LTCs operating in partnership or joint venture with other LTCs, and make some technical clarifications to the rule for those still covered by it.</w:t>
            </w:r>
          </w:p>
        </w:tc>
        <w:tc>
          <w:tcPr>
            <w:tcW w:w="1701" w:type="dxa"/>
          </w:tcPr>
          <w:p w:rsidR="000B7D6E" w:rsidRDefault="000B7D6E" w:rsidP="00C20580">
            <w:pPr>
              <w:pStyle w:val="Bullet-list"/>
              <w:tabs>
                <w:tab w:val="num" w:pos="567"/>
              </w:tabs>
              <w:spacing w:after="0" w:line="240" w:lineRule="auto"/>
              <w:ind w:left="0" w:firstLine="0"/>
              <w:rPr>
                <w:rFonts w:ascii="Times New Roman" w:hAnsi="Times New Roman"/>
                <w:sz w:val="18"/>
                <w:szCs w:val="18"/>
              </w:rPr>
            </w:pPr>
          </w:p>
          <w:p w:rsidR="000B7D6E" w:rsidRPr="00871EE0" w:rsidRDefault="000B7D6E" w:rsidP="00C20580">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Recommended.</w:t>
            </w:r>
          </w:p>
        </w:tc>
        <w:tc>
          <w:tcPr>
            <w:tcW w:w="3827" w:type="dxa"/>
          </w:tcPr>
          <w:p w:rsidR="000B7D6E" w:rsidRPr="005216EB" w:rsidRDefault="000B7D6E" w:rsidP="00C20580">
            <w:pPr>
              <w:pStyle w:val="Bullet-list"/>
              <w:tabs>
                <w:tab w:val="num" w:pos="567"/>
              </w:tabs>
              <w:spacing w:after="0" w:line="240" w:lineRule="auto"/>
              <w:ind w:left="0" w:firstLine="0"/>
              <w:rPr>
                <w:rFonts w:ascii="Times New Roman" w:hAnsi="Times New Roman"/>
                <w:sz w:val="18"/>
                <w:szCs w:val="18"/>
                <w:highlight w:val="yellow"/>
              </w:rPr>
            </w:pPr>
          </w:p>
          <w:p w:rsidR="00C20580" w:rsidRPr="00EF03F0" w:rsidRDefault="00CF3834" w:rsidP="00C20580">
            <w:pPr>
              <w:pStyle w:val="Bullet-list"/>
              <w:spacing w:after="0" w:line="240" w:lineRule="auto"/>
              <w:ind w:left="0" w:firstLine="0"/>
              <w:rPr>
                <w:rFonts w:ascii="Times New Roman" w:hAnsi="Times New Roman"/>
                <w:sz w:val="18"/>
                <w:szCs w:val="18"/>
              </w:rPr>
            </w:pPr>
            <w:r w:rsidRPr="00EF03F0">
              <w:rPr>
                <w:rFonts w:ascii="Times New Roman" w:hAnsi="Times New Roman"/>
                <w:i/>
                <w:sz w:val="18"/>
                <w:szCs w:val="18"/>
              </w:rPr>
              <w:t>Overall efficiency</w:t>
            </w:r>
            <w:r w:rsidR="00C20580" w:rsidRPr="00EF03F0">
              <w:rPr>
                <w:rFonts w:ascii="Times New Roman" w:hAnsi="Times New Roman"/>
                <w:i/>
                <w:sz w:val="18"/>
                <w:szCs w:val="18"/>
              </w:rPr>
              <w:t xml:space="preserve">: </w:t>
            </w:r>
            <w:r w:rsidR="00EF03F0">
              <w:rPr>
                <w:rFonts w:ascii="Times New Roman" w:hAnsi="Times New Roman"/>
                <w:sz w:val="18"/>
                <w:szCs w:val="18"/>
              </w:rPr>
              <w:t>Meets objective.</w:t>
            </w:r>
          </w:p>
          <w:p w:rsidR="00C20580" w:rsidRPr="00EF03F0" w:rsidRDefault="00C20580" w:rsidP="00C20580">
            <w:pPr>
              <w:pStyle w:val="Bullet-list"/>
              <w:spacing w:after="0" w:line="240" w:lineRule="auto"/>
              <w:ind w:left="0" w:firstLine="0"/>
              <w:rPr>
                <w:rFonts w:ascii="Times New Roman" w:hAnsi="Times New Roman"/>
                <w:sz w:val="18"/>
                <w:szCs w:val="18"/>
              </w:rPr>
            </w:pPr>
            <w:r w:rsidRPr="00EF03F0">
              <w:rPr>
                <w:rFonts w:ascii="Times New Roman" w:hAnsi="Times New Roman"/>
                <w:i/>
                <w:sz w:val="18"/>
                <w:szCs w:val="18"/>
              </w:rPr>
              <w:t>Fairness/neutrality:</w:t>
            </w:r>
            <w:r w:rsidRPr="00EF03F0">
              <w:rPr>
                <w:rFonts w:ascii="Times New Roman" w:hAnsi="Times New Roman"/>
                <w:sz w:val="18"/>
                <w:szCs w:val="18"/>
              </w:rPr>
              <w:t xml:space="preserve"> Meets objective.</w:t>
            </w:r>
          </w:p>
          <w:p w:rsidR="00C20580" w:rsidRPr="00EF03F0" w:rsidRDefault="00C20580" w:rsidP="00C20580">
            <w:pPr>
              <w:pStyle w:val="Bullet-list"/>
              <w:spacing w:after="0" w:line="240" w:lineRule="auto"/>
              <w:ind w:left="0" w:firstLine="0"/>
              <w:rPr>
                <w:rFonts w:ascii="Times New Roman" w:hAnsi="Times New Roman"/>
                <w:sz w:val="18"/>
                <w:szCs w:val="18"/>
              </w:rPr>
            </w:pPr>
            <w:r w:rsidRPr="00EF03F0">
              <w:rPr>
                <w:rFonts w:ascii="Times New Roman" w:hAnsi="Times New Roman"/>
                <w:i/>
                <w:sz w:val="18"/>
                <w:szCs w:val="18"/>
              </w:rPr>
              <w:t>Efficiency in costs:</w:t>
            </w:r>
            <w:r w:rsidRPr="00EF03F0">
              <w:rPr>
                <w:rFonts w:ascii="Times New Roman" w:hAnsi="Times New Roman"/>
                <w:sz w:val="18"/>
                <w:szCs w:val="18"/>
              </w:rPr>
              <w:t xml:space="preserve">  Meets objective for the most part.</w:t>
            </w:r>
          </w:p>
          <w:p w:rsidR="000B7D6E" w:rsidRPr="005216EB" w:rsidRDefault="000B7D6E" w:rsidP="00C20580">
            <w:pPr>
              <w:pStyle w:val="Bullet-list"/>
              <w:tabs>
                <w:tab w:val="num" w:pos="567"/>
              </w:tabs>
              <w:spacing w:after="0" w:line="240" w:lineRule="auto"/>
              <w:ind w:left="0" w:firstLine="0"/>
              <w:rPr>
                <w:rFonts w:ascii="Times New Roman" w:hAnsi="Times New Roman"/>
                <w:sz w:val="18"/>
                <w:szCs w:val="18"/>
                <w:highlight w:val="yellow"/>
              </w:rPr>
            </w:pPr>
          </w:p>
        </w:tc>
      </w:tr>
      <w:tr w:rsidR="000B7D6E" w:rsidTr="00C20580">
        <w:trPr>
          <w:cantSplit/>
          <w:trHeight w:val="986"/>
        </w:trPr>
        <w:tc>
          <w:tcPr>
            <w:tcW w:w="3936" w:type="dxa"/>
          </w:tcPr>
          <w:p w:rsidR="000B7D6E" w:rsidRDefault="000B7D6E" w:rsidP="00C20580">
            <w:pPr>
              <w:pStyle w:val="Bullet-list"/>
              <w:tabs>
                <w:tab w:val="num" w:pos="567"/>
              </w:tabs>
              <w:spacing w:after="0" w:line="240" w:lineRule="auto"/>
              <w:ind w:left="0" w:firstLine="0"/>
              <w:rPr>
                <w:rFonts w:ascii="Times New Roman" w:hAnsi="Times New Roman"/>
                <w:sz w:val="18"/>
                <w:szCs w:val="18"/>
              </w:rPr>
            </w:pPr>
          </w:p>
          <w:p w:rsidR="000B7D6E" w:rsidRDefault="000B7D6E" w:rsidP="00E11C47">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Option 3: Maintain the rule but make some technical clarifications to the rule.</w:t>
            </w:r>
          </w:p>
        </w:tc>
        <w:tc>
          <w:tcPr>
            <w:tcW w:w="1701" w:type="dxa"/>
          </w:tcPr>
          <w:p w:rsidR="000B7D6E" w:rsidRDefault="000B7D6E" w:rsidP="00C20580">
            <w:pPr>
              <w:pStyle w:val="Bullet-list"/>
              <w:tabs>
                <w:tab w:val="num" w:pos="567"/>
              </w:tabs>
              <w:spacing w:after="0" w:line="240" w:lineRule="auto"/>
              <w:ind w:left="0" w:firstLine="0"/>
              <w:rPr>
                <w:rFonts w:ascii="Times New Roman" w:hAnsi="Times New Roman"/>
                <w:sz w:val="18"/>
                <w:szCs w:val="18"/>
              </w:rPr>
            </w:pPr>
          </w:p>
          <w:p w:rsidR="000B7D6E" w:rsidRPr="00871EE0" w:rsidRDefault="000B7D6E" w:rsidP="00C20580">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Not recommended.</w:t>
            </w:r>
          </w:p>
        </w:tc>
        <w:tc>
          <w:tcPr>
            <w:tcW w:w="3827" w:type="dxa"/>
          </w:tcPr>
          <w:p w:rsidR="00C20580" w:rsidRPr="00EF03F0" w:rsidRDefault="00C20580" w:rsidP="00C20580">
            <w:pPr>
              <w:pStyle w:val="Bullet-list"/>
              <w:spacing w:after="0" w:line="240" w:lineRule="auto"/>
              <w:ind w:left="0" w:firstLine="0"/>
              <w:rPr>
                <w:rFonts w:ascii="Times New Roman" w:hAnsi="Times New Roman"/>
                <w:i/>
                <w:sz w:val="18"/>
                <w:szCs w:val="18"/>
              </w:rPr>
            </w:pPr>
          </w:p>
          <w:p w:rsidR="00C20580" w:rsidRPr="00EF03F0" w:rsidRDefault="00CF3834" w:rsidP="00C20580">
            <w:pPr>
              <w:pStyle w:val="Bullet-list"/>
              <w:spacing w:after="0" w:line="240" w:lineRule="auto"/>
              <w:ind w:left="0" w:firstLine="0"/>
              <w:rPr>
                <w:rFonts w:ascii="Times New Roman" w:hAnsi="Times New Roman"/>
                <w:sz w:val="18"/>
                <w:szCs w:val="18"/>
              </w:rPr>
            </w:pPr>
            <w:r w:rsidRPr="00EF03F0">
              <w:rPr>
                <w:rFonts w:ascii="Times New Roman" w:hAnsi="Times New Roman"/>
                <w:i/>
                <w:sz w:val="18"/>
                <w:szCs w:val="18"/>
              </w:rPr>
              <w:t>Overall efficiency</w:t>
            </w:r>
            <w:r w:rsidR="00C20580" w:rsidRPr="00EF03F0">
              <w:rPr>
                <w:rFonts w:ascii="Times New Roman" w:hAnsi="Times New Roman"/>
                <w:i/>
                <w:sz w:val="18"/>
                <w:szCs w:val="18"/>
              </w:rPr>
              <w:t xml:space="preserve">: </w:t>
            </w:r>
            <w:r w:rsidR="00D24935">
              <w:rPr>
                <w:rFonts w:ascii="Times New Roman" w:hAnsi="Times New Roman"/>
                <w:sz w:val="18"/>
                <w:szCs w:val="18"/>
              </w:rPr>
              <w:t xml:space="preserve">Does not </w:t>
            </w:r>
            <w:r w:rsidR="00C20580" w:rsidRPr="00EF03F0">
              <w:rPr>
                <w:rFonts w:ascii="Times New Roman" w:hAnsi="Times New Roman"/>
                <w:sz w:val="18"/>
                <w:szCs w:val="18"/>
              </w:rPr>
              <w:t>meet objective.</w:t>
            </w:r>
          </w:p>
          <w:p w:rsidR="00C20580" w:rsidRPr="00EF03F0" w:rsidRDefault="00C20580" w:rsidP="00C20580">
            <w:pPr>
              <w:pStyle w:val="Bullet-list"/>
              <w:spacing w:after="0" w:line="240" w:lineRule="auto"/>
              <w:ind w:left="0" w:firstLine="0"/>
              <w:rPr>
                <w:rFonts w:ascii="Times New Roman" w:hAnsi="Times New Roman"/>
                <w:sz w:val="18"/>
                <w:szCs w:val="18"/>
              </w:rPr>
            </w:pPr>
            <w:r w:rsidRPr="00EF03F0">
              <w:rPr>
                <w:rFonts w:ascii="Times New Roman" w:hAnsi="Times New Roman"/>
                <w:i/>
                <w:sz w:val="18"/>
                <w:szCs w:val="18"/>
              </w:rPr>
              <w:t>Fairness/neutrality:</w:t>
            </w:r>
            <w:r w:rsidRPr="00EF03F0">
              <w:rPr>
                <w:rFonts w:ascii="Times New Roman" w:hAnsi="Times New Roman"/>
                <w:sz w:val="18"/>
                <w:szCs w:val="18"/>
              </w:rPr>
              <w:t xml:space="preserve"> </w:t>
            </w:r>
            <w:r w:rsidR="00D24935">
              <w:rPr>
                <w:rFonts w:ascii="Times New Roman" w:hAnsi="Times New Roman"/>
                <w:sz w:val="18"/>
                <w:szCs w:val="18"/>
              </w:rPr>
              <w:t xml:space="preserve">Partly </w:t>
            </w:r>
            <w:r w:rsidRPr="00EF03F0">
              <w:rPr>
                <w:rFonts w:ascii="Times New Roman" w:hAnsi="Times New Roman"/>
                <w:sz w:val="18"/>
                <w:szCs w:val="18"/>
              </w:rPr>
              <w:t>meet</w:t>
            </w:r>
            <w:r w:rsidR="00D24935">
              <w:rPr>
                <w:rFonts w:ascii="Times New Roman" w:hAnsi="Times New Roman"/>
                <w:sz w:val="18"/>
                <w:szCs w:val="18"/>
              </w:rPr>
              <w:t>s</w:t>
            </w:r>
            <w:r w:rsidRPr="00EF03F0">
              <w:rPr>
                <w:rFonts w:ascii="Times New Roman" w:hAnsi="Times New Roman"/>
                <w:sz w:val="18"/>
                <w:szCs w:val="18"/>
              </w:rPr>
              <w:t xml:space="preserve"> objective.</w:t>
            </w:r>
          </w:p>
          <w:p w:rsidR="00C20580" w:rsidRPr="00EF03F0" w:rsidRDefault="00C20580" w:rsidP="00C20580">
            <w:pPr>
              <w:pStyle w:val="Bullet-list"/>
              <w:spacing w:after="0" w:line="240" w:lineRule="auto"/>
              <w:ind w:left="0" w:firstLine="0"/>
              <w:rPr>
                <w:rFonts w:ascii="Times New Roman" w:hAnsi="Times New Roman"/>
                <w:sz w:val="18"/>
                <w:szCs w:val="18"/>
              </w:rPr>
            </w:pPr>
            <w:r w:rsidRPr="00EF03F0">
              <w:rPr>
                <w:rFonts w:ascii="Times New Roman" w:hAnsi="Times New Roman"/>
                <w:i/>
                <w:sz w:val="18"/>
                <w:szCs w:val="18"/>
              </w:rPr>
              <w:t>Efficiency in costs:</w:t>
            </w:r>
            <w:r w:rsidRPr="00EF03F0">
              <w:rPr>
                <w:rFonts w:ascii="Times New Roman" w:hAnsi="Times New Roman"/>
                <w:sz w:val="18"/>
                <w:szCs w:val="18"/>
              </w:rPr>
              <w:t xml:space="preserve">  </w:t>
            </w:r>
            <w:r w:rsidR="00D24935">
              <w:rPr>
                <w:rFonts w:ascii="Times New Roman" w:hAnsi="Times New Roman"/>
                <w:sz w:val="18"/>
                <w:szCs w:val="18"/>
              </w:rPr>
              <w:t>Partly meets</w:t>
            </w:r>
            <w:r w:rsidRPr="00EF03F0">
              <w:rPr>
                <w:rFonts w:ascii="Times New Roman" w:hAnsi="Times New Roman"/>
                <w:sz w:val="18"/>
                <w:szCs w:val="18"/>
              </w:rPr>
              <w:t xml:space="preserve"> objective.</w:t>
            </w:r>
          </w:p>
          <w:p w:rsidR="000B7D6E" w:rsidRPr="00EF03F0" w:rsidRDefault="000B7D6E" w:rsidP="00C20580">
            <w:pPr>
              <w:pStyle w:val="Bullet-list"/>
              <w:tabs>
                <w:tab w:val="num" w:pos="567"/>
              </w:tabs>
              <w:spacing w:after="0" w:line="240" w:lineRule="auto"/>
              <w:ind w:left="0" w:firstLine="0"/>
              <w:rPr>
                <w:rFonts w:ascii="Times New Roman" w:hAnsi="Times New Roman"/>
                <w:sz w:val="18"/>
                <w:szCs w:val="18"/>
              </w:rPr>
            </w:pPr>
          </w:p>
        </w:tc>
      </w:tr>
      <w:tr w:rsidR="000B7D6E" w:rsidTr="00C20580">
        <w:trPr>
          <w:cantSplit/>
          <w:trHeight w:val="561"/>
        </w:trPr>
        <w:tc>
          <w:tcPr>
            <w:tcW w:w="3936" w:type="dxa"/>
          </w:tcPr>
          <w:p w:rsidR="000B7D6E" w:rsidRDefault="000B7D6E" w:rsidP="00C20580">
            <w:pPr>
              <w:pStyle w:val="Bullet-list"/>
              <w:tabs>
                <w:tab w:val="num" w:pos="567"/>
              </w:tabs>
              <w:spacing w:after="0" w:line="240" w:lineRule="auto"/>
              <w:ind w:left="0" w:firstLine="0"/>
              <w:rPr>
                <w:rFonts w:ascii="Times New Roman" w:hAnsi="Times New Roman"/>
                <w:sz w:val="18"/>
                <w:szCs w:val="18"/>
              </w:rPr>
            </w:pPr>
          </w:p>
          <w:p w:rsidR="000B7D6E" w:rsidRDefault="000B7D6E" w:rsidP="00C20580">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Option 4: Maintain the status quo.</w:t>
            </w:r>
          </w:p>
        </w:tc>
        <w:tc>
          <w:tcPr>
            <w:tcW w:w="1701" w:type="dxa"/>
          </w:tcPr>
          <w:p w:rsidR="000B7D6E" w:rsidRDefault="000B7D6E" w:rsidP="00C20580">
            <w:pPr>
              <w:pStyle w:val="Bullet-list"/>
              <w:tabs>
                <w:tab w:val="num" w:pos="567"/>
              </w:tabs>
              <w:spacing w:after="0" w:line="240" w:lineRule="auto"/>
              <w:ind w:left="0" w:firstLine="0"/>
              <w:rPr>
                <w:rFonts w:ascii="Times New Roman" w:hAnsi="Times New Roman"/>
                <w:sz w:val="18"/>
                <w:szCs w:val="18"/>
              </w:rPr>
            </w:pPr>
          </w:p>
          <w:p w:rsidR="000B7D6E" w:rsidRPr="00871EE0" w:rsidRDefault="000B7D6E" w:rsidP="00C20580">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Not recommended.</w:t>
            </w:r>
          </w:p>
        </w:tc>
        <w:tc>
          <w:tcPr>
            <w:tcW w:w="3827" w:type="dxa"/>
          </w:tcPr>
          <w:p w:rsidR="00C20580" w:rsidRPr="00EF03F0" w:rsidRDefault="00C20580" w:rsidP="00C20580">
            <w:pPr>
              <w:pStyle w:val="Bullet-list"/>
              <w:spacing w:after="0" w:line="240" w:lineRule="auto"/>
              <w:ind w:left="0" w:firstLine="0"/>
              <w:rPr>
                <w:rFonts w:ascii="Times New Roman" w:hAnsi="Times New Roman"/>
                <w:i/>
                <w:sz w:val="18"/>
                <w:szCs w:val="18"/>
              </w:rPr>
            </w:pPr>
          </w:p>
          <w:p w:rsidR="00C20580" w:rsidRPr="00EF03F0" w:rsidRDefault="00CF3834" w:rsidP="00C20580">
            <w:pPr>
              <w:pStyle w:val="Bullet-list"/>
              <w:spacing w:after="0" w:line="240" w:lineRule="auto"/>
              <w:ind w:left="0" w:firstLine="0"/>
              <w:rPr>
                <w:rFonts w:ascii="Times New Roman" w:hAnsi="Times New Roman"/>
                <w:sz w:val="18"/>
                <w:szCs w:val="18"/>
              </w:rPr>
            </w:pPr>
            <w:r w:rsidRPr="00EF03F0">
              <w:rPr>
                <w:rFonts w:ascii="Times New Roman" w:hAnsi="Times New Roman"/>
                <w:i/>
                <w:sz w:val="18"/>
                <w:szCs w:val="18"/>
              </w:rPr>
              <w:t>Overall efficiency</w:t>
            </w:r>
            <w:r w:rsidR="00C20580" w:rsidRPr="00EF03F0">
              <w:rPr>
                <w:rFonts w:ascii="Times New Roman" w:hAnsi="Times New Roman"/>
                <w:i/>
                <w:sz w:val="18"/>
                <w:szCs w:val="18"/>
              </w:rPr>
              <w:t xml:space="preserve">: </w:t>
            </w:r>
            <w:r w:rsidR="00C20580" w:rsidRPr="00EF03F0">
              <w:rPr>
                <w:rFonts w:ascii="Times New Roman" w:hAnsi="Times New Roman"/>
                <w:sz w:val="18"/>
                <w:szCs w:val="18"/>
              </w:rPr>
              <w:t>Does not meet objective.</w:t>
            </w:r>
          </w:p>
          <w:p w:rsidR="00C20580" w:rsidRPr="00EF03F0" w:rsidRDefault="00C20580" w:rsidP="00C20580">
            <w:pPr>
              <w:pStyle w:val="Bullet-list"/>
              <w:spacing w:after="0" w:line="240" w:lineRule="auto"/>
              <w:ind w:left="0" w:firstLine="0"/>
              <w:rPr>
                <w:rFonts w:ascii="Times New Roman" w:hAnsi="Times New Roman"/>
                <w:sz w:val="18"/>
                <w:szCs w:val="18"/>
              </w:rPr>
            </w:pPr>
            <w:r w:rsidRPr="00EF03F0">
              <w:rPr>
                <w:rFonts w:ascii="Times New Roman" w:hAnsi="Times New Roman"/>
                <w:i/>
                <w:sz w:val="18"/>
                <w:szCs w:val="18"/>
              </w:rPr>
              <w:t>Fairness/neutrality:</w:t>
            </w:r>
            <w:r w:rsidRPr="00EF03F0">
              <w:rPr>
                <w:rFonts w:ascii="Times New Roman" w:hAnsi="Times New Roman"/>
                <w:sz w:val="18"/>
                <w:szCs w:val="18"/>
              </w:rPr>
              <w:t xml:space="preserve"> Does not meet objective.</w:t>
            </w:r>
          </w:p>
          <w:p w:rsidR="00C20580" w:rsidRPr="00EF03F0" w:rsidRDefault="00612693" w:rsidP="00C20580">
            <w:pPr>
              <w:pStyle w:val="Bullet-list"/>
              <w:spacing w:after="0" w:line="240" w:lineRule="auto"/>
              <w:ind w:left="0" w:firstLine="0"/>
              <w:rPr>
                <w:rFonts w:ascii="Times New Roman" w:hAnsi="Times New Roman"/>
                <w:sz w:val="18"/>
                <w:szCs w:val="18"/>
              </w:rPr>
            </w:pPr>
            <w:r>
              <w:rPr>
                <w:rFonts w:ascii="Times New Roman" w:hAnsi="Times New Roman"/>
                <w:i/>
                <w:sz w:val="18"/>
                <w:szCs w:val="18"/>
              </w:rPr>
              <w:t xml:space="preserve">Efficiency in costs: </w:t>
            </w:r>
            <w:r w:rsidR="00C20580" w:rsidRPr="00EF03F0">
              <w:rPr>
                <w:rFonts w:ascii="Times New Roman" w:hAnsi="Times New Roman"/>
                <w:sz w:val="18"/>
                <w:szCs w:val="18"/>
              </w:rPr>
              <w:t xml:space="preserve"> Does not meet objective.</w:t>
            </w:r>
          </w:p>
          <w:p w:rsidR="000B7D6E" w:rsidRPr="00EF03F0" w:rsidRDefault="000B7D6E" w:rsidP="00C20580">
            <w:pPr>
              <w:pStyle w:val="Bullet-list"/>
              <w:tabs>
                <w:tab w:val="num" w:pos="567"/>
              </w:tabs>
              <w:spacing w:after="0" w:line="240" w:lineRule="auto"/>
              <w:ind w:left="0" w:firstLine="0"/>
              <w:rPr>
                <w:rFonts w:ascii="Times New Roman" w:hAnsi="Times New Roman"/>
                <w:sz w:val="18"/>
                <w:szCs w:val="18"/>
              </w:rPr>
            </w:pPr>
          </w:p>
        </w:tc>
      </w:tr>
    </w:tbl>
    <w:p w:rsidR="00C20580" w:rsidRDefault="00C20580" w:rsidP="00CA079F">
      <w:pPr>
        <w:pStyle w:val="Bullet-list"/>
        <w:spacing w:after="0" w:line="240" w:lineRule="auto"/>
        <w:ind w:left="0" w:firstLine="0"/>
        <w:rPr>
          <w:rFonts w:ascii="Times New Roman" w:hAnsi="Times New Roman"/>
          <w:i/>
          <w:sz w:val="24"/>
          <w:szCs w:val="24"/>
        </w:rPr>
      </w:pPr>
    </w:p>
    <w:p w:rsidR="005B0E9F" w:rsidRPr="00517071" w:rsidRDefault="005B0E9F" w:rsidP="00CA079F">
      <w:pPr>
        <w:pStyle w:val="Bullet-list"/>
        <w:spacing w:after="0" w:line="240" w:lineRule="auto"/>
        <w:ind w:left="0" w:firstLine="0"/>
        <w:rPr>
          <w:rFonts w:ascii="Times New Roman" w:hAnsi="Times New Roman"/>
          <w:i/>
          <w:sz w:val="24"/>
          <w:szCs w:val="24"/>
        </w:rPr>
      </w:pPr>
    </w:p>
    <w:p w:rsidR="00C20580" w:rsidRDefault="00C20580" w:rsidP="00166E95">
      <w:pPr>
        <w:pStyle w:val="TRBodyText"/>
        <w:numPr>
          <w:ilvl w:val="0"/>
          <w:numId w:val="2"/>
        </w:numPr>
        <w:tabs>
          <w:tab w:val="clear" w:pos="360"/>
          <w:tab w:val="left" w:pos="0"/>
        </w:tabs>
        <w:ind w:left="0" w:firstLine="0"/>
        <w:rPr>
          <w:szCs w:val="24"/>
        </w:rPr>
      </w:pPr>
      <w:r>
        <w:rPr>
          <w:szCs w:val="24"/>
        </w:rPr>
        <w:t xml:space="preserve">If the rule is repealed, as recommended under option 2 above, there is a question around the treatment of previously restricted deductions. </w:t>
      </w:r>
      <w:r w:rsidR="00661AE0">
        <w:rPr>
          <w:szCs w:val="24"/>
        </w:rPr>
        <w:t xml:space="preserve"> </w:t>
      </w:r>
      <w:r>
        <w:rPr>
          <w:szCs w:val="24"/>
        </w:rPr>
        <w:t xml:space="preserve">Options </w:t>
      </w:r>
      <w:r w:rsidR="008C3BBF">
        <w:rPr>
          <w:szCs w:val="24"/>
        </w:rPr>
        <w:t xml:space="preserve">for how the deductions will be released are discussed below: </w:t>
      </w:r>
    </w:p>
    <w:p w:rsidR="00C20580" w:rsidRDefault="00C20580" w:rsidP="008C3BBF">
      <w:pPr>
        <w:pStyle w:val="Bullet-list"/>
        <w:spacing w:after="0" w:line="240" w:lineRule="auto"/>
        <w:ind w:left="0" w:firstLine="0"/>
        <w:rPr>
          <w:rFonts w:ascii="Times New Roman" w:hAnsi="Times New Roman"/>
          <w:sz w:val="24"/>
          <w:szCs w:val="24"/>
          <w:lang w:val="en-NZ" w:eastAsia="en-AU"/>
        </w:rPr>
      </w:pPr>
    </w:p>
    <w:tbl>
      <w:tblPr>
        <w:tblStyle w:val="TableGrid"/>
        <w:tblW w:w="9464" w:type="dxa"/>
        <w:tblLook w:val="04A0" w:firstRow="1" w:lastRow="0" w:firstColumn="1" w:lastColumn="0" w:noHBand="0" w:noVBand="1"/>
      </w:tblPr>
      <w:tblGrid>
        <w:gridCol w:w="3936"/>
        <w:gridCol w:w="1701"/>
        <w:gridCol w:w="3827"/>
      </w:tblGrid>
      <w:tr w:rsidR="008C3BBF" w:rsidRPr="00871EE0" w:rsidTr="008C3BBF">
        <w:trPr>
          <w:cantSplit/>
          <w:trHeight w:val="274"/>
        </w:trPr>
        <w:tc>
          <w:tcPr>
            <w:tcW w:w="3936" w:type="dxa"/>
            <w:shd w:val="pct15" w:color="auto" w:fill="auto"/>
          </w:tcPr>
          <w:p w:rsidR="008C3BBF" w:rsidRDefault="008C3BBF" w:rsidP="008C3BBF">
            <w:pPr>
              <w:pStyle w:val="Bullet-list"/>
              <w:tabs>
                <w:tab w:val="num" w:pos="567"/>
              </w:tabs>
              <w:spacing w:after="0" w:line="240" w:lineRule="auto"/>
              <w:ind w:left="0" w:firstLine="0"/>
              <w:rPr>
                <w:rFonts w:ascii="Times New Roman" w:hAnsi="Times New Roman"/>
                <w:sz w:val="18"/>
                <w:szCs w:val="18"/>
              </w:rPr>
            </w:pPr>
            <w:r w:rsidRPr="000B7D6E">
              <w:rPr>
                <w:rFonts w:ascii="Times New Roman" w:hAnsi="Times New Roman"/>
                <w:b/>
                <w:sz w:val="18"/>
                <w:szCs w:val="18"/>
              </w:rPr>
              <w:t>Options:</w:t>
            </w:r>
          </w:p>
        </w:tc>
        <w:tc>
          <w:tcPr>
            <w:tcW w:w="1701" w:type="dxa"/>
            <w:shd w:val="pct15" w:color="auto" w:fill="auto"/>
          </w:tcPr>
          <w:p w:rsidR="008C3BBF" w:rsidRPr="000B7D6E" w:rsidRDefault="008C3BBF" w:rsidP="008C3BBF">
            <w:pPr>
              <w:pStyle w:val="Bullet-list"/>
              <w:tabs>
                <w:tab w:val="num" w:pos="567"/>
              </w:tabs>
              <w:spacing w:after="0" w:line="240" w:lineRule="auto"/>
              <w:ind w:left="0" w:firstLine="0"/>
              <w:rPr>
                <w:rFonts w:ascii="Times New Roman" w:hAnsi="Times New Roman"/>
                <w:b/>
                <w:sz w:val="18"/>
                <w:szCs w:val="18"/>
              </w:rPr>
            </w:pPr>
            <w:r w:rsidRPr="000B7D6E">
              <w:rPr>
                <w:rFonts w:ascii="Times New Roman" w:hAnsi="Times New Roman"/>
                <w:b/>
                <w:sz w:val="18"/>
                <w:szCs w:val="18"/>
              </w:rPr>
              <w:t>Re</w:t>
            </w:r>
            <w:r>
              <w:rPr>
                <w:rFonts w:ascii="Times New Roman" w:hAnsi="Times New Roman"/>
                <w:b/>
                <w:sz w:val="18"/>
                <w:szCs w:val="18"/>
              </w:rPr>
              <w:t>c</w:t>
            </w:r>
            <w:r w:rsidRPr="000B7D6E">
              <w:rPr>
                <w:rFonts w:ascii="Times New Roman" w:hAnsi="Times New Roman"/>
                <w:b/>
                <w:sz w:val="18"/>
                <w:szCs w:val="18"/>
              </w:rPr>
              <w:t>ommendations</w:t>
            </w:r>
          </w:p>
        </w:tc>
        <w:tc>
          <w:tcPr>
            <w:tcW w:w="3827" w:type="dxa"/>
            <w:shd w:val="pct15" w:color="auto" w:fill="auto"/>
          </w:tcPr>
          <w:p w:rsidR="008C3BBF" w:rsidRPr="000B7D6E" w:rsidRDefault="008C3BBF" w:rsidP="008C3BBF">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Analysis against objectives</w:t>
            </w:r>
          </w:p>
        </w:tc>
      </w:tr>
      <w:tr w:rsidR="008C3BBF" w:rsidRPr="00871EE0" w:rsidTr="008C3BBF">
        <w:trPr>
          <w:cantSplit/>
          <w:trHeight w:val="557"/>
        </w:trPr>
        <w:tc>
          <w:tcPr>
            <w:tcW w:w="3936" w:type="dxa"/>
          </w:tcPr>
          <w:p w:rsidR="008C3BBF" w:rsidRDefault="008C3BBF" w:rsidP="008C3BBF">
            <w:pPr>
              <w:pStyle w:val="Bullet-list"/>
              <w:tabs>
                <w:tab w:val="num" w:pos="567"/>
              </w:tabs>
              <w:spacing w:after="0" w:line="240" w:lineRule="auto"/>
              <w:ind w:left="0" w:firstLine="0"/>
              <w:rPr>
                <w:rFonts w:ascii="Times New Roman" w:hAnsi="Times New Roman"/>
                <w:sz w:val="18"/>
                <w:szCs w:val="18"/>
              </w:rPr>
            </w:pPr>
          </w:p>
          <w:p w:rsidR="008C3BBF" w:rsidRDefault="008C3BBF" w:rsidP="008C3BB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Option 1: Repeal the rule in part (refer option 2 above) and release previously restricted deductions in one lump at a particular point.</w:t>
            </w:r>
          </w:p>
          <w:p w:rsidR="008C3BBF" w:rsidRPr="00871EE0" w:rsidRDefault="008C3BBF" w:rsidP="008C3BBF">
            <w:pPr>
              <w:pStyle w:val="Bullet-list"/>
              <w:tabs>
                <w:tab w:val="num" w:pos="567"/>
              </w:tabs>
              <w:spacing w:after="0" w:line="240" w:lineRule="auto"/>
              <w:ind w:left="0" w:firstLine="0"/>
              <w:rPr>
                <w:rFonts w:ascii="Times New Roman" w:hAnsi="Times New Roman"/>
                <w:sz w:val="18"/>
                <w:szCs w:val="18"/>
              </w:rPr>
            </w:pPr>
          </w:p>
        </w:tc>
        <w:tc>
          <w:tcPr>
            <w:tcW w:w="1701" w:type="dxa"/>
          </w:tcPr>
          <w:p w:rsidR="008C3BBF" w:rsidRDefault="008C3BBF" w:rsidP="008C3BBF">
            <w:pPr>
              <w:pStyle w:val="Bullet-list"/>
              <w:tabs>
                <w:tab w:val="num" w:pos="567"/>
              </w:tabs>
              <w:spacing w:after="0" w:line="240" w:lineRule="auto"/>
              <w:ind w:left="0" w:firstLine="0"/>
              <w:rPr>
                <w:rFonts w:ascii="Times New Roman" w:hAnsi="Times New Roman"/>
                <w:sz w:val="18"/>
                <w:szCs w:val="18"/>
              </w:rPr>
            </w:pPr>
          </w:p>
          <w:p w:rsidR="008C3BBF" w:rsidRPr="00871EE0" w:rsidRDefault="008C3BBF" w:rsidP="008C3BB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Recommended.</w:t>
            </w:r>
          </w:p>
        </w:tc>
        <w:tc>
          <w:tcPr>
            <w:tcW w:w="3827" w:type="dxa"/>
          </w:tcPr>
          <w:p w:rsidR="008C3BBF" w:rsidRPr="002D15DC" w:rsidRDefault="008C3BBF" w:rsidP="008C3BBF">
            <w:pPr>
              <w:pStyle w:val="Bullet-list"/>
              <w:tabs>
                <w:tab w:val="num" w:pos="567"/>
              </w:tabs>
              <w:spacing w:after="0" w:line="240" w:lineRule="auto"/>
              <w:ind w:left="0" w:firstLine="0"/>
              <w:rPr>
                <w:rFonts w:ascii="Times New Roman" w:hAnsi="Times New Roman"/>
                <w:sz w:val="18"/>
                <w:szCs w:val="18"/>
              </w:rPr>
            </w:pPr>
          </w:p>
          <w:p w:rsidR="008C3BBF" w:rsidRPr="002D15DC" w:rsidRDefault="00CF3834" w:rsidP="008C3BBF">
            <w:pPr>
              <w:pStyle w:val="Bullet-list"/>
              <w:spacing w:after="0" w:line="240" w:lineRule="auto"/>
              <w:ind w:left="33" w:firstLine="0"/>
              <w:rPr>
                <w:rFonts w:ascii="Times New Roman" w:hAnsi="Times New Roman"/>
                <w:sz w:val="18"/>
                <w:szCs w:val="18"/>
              </w:rPr>
            </w:pPr>
            <w:r w:rsidRPr="002D15DC">
              <w:rPr>
                <w:rFonts w:ascii="Times New Roman" w:hAnsi="Times New Roman"/>
                <w:i/>
                <w:sz w:val="18"/>
                <w:szCs w:val="18"/>
              </w:rPr>
              <w:t>Overall efficiency</w:t>
            </w:r>
            <w:r w:rsidR="008C3BBF" w:rsidRPr="002D15DC">
              <w:rPr>
                <w:rFonts w:ascii="Times New Roman" w:hAnsi="Times New Roman"/>
                <w:i/>
                <w:sz w:val="18"/>
                <w:szCs w:val="18"/>
              </w:rPr>
              <w:t xml:space="preserve">: </w:t>
            </w:r>
            <w:r w:rsidR="002D15DC" w:rsidRPr="002D15DC">
              <w:rPr>
                <w:rFonts w:ascii="Times New Roman" w:hAnsi="Times New Roman"/>
                <w:sz w:val="18"/>
                <w:szCs w:val="18"/>
              </w:rPr>
              <w:t>No impact</w:t>
            </w:r>
            <w:r w:rsidR="008C3BBF" w:rsidRPr="002D15DC">
              <w:rPr>
                <w:rFonts w:ascii="Times New Roman" w:hAnsi="Times New Roman"/>
                <w:sz w:val="18"/>
                <w:szCs w:val="18"/>
              </w:rPr>
              <w:t>.</w:t>
            </w:r>
          </w:p>
          <w:p w:rsidR="008C3BBF" w:rsidRPr="002D15DC" w:rsidRDefault="008C3BBF" w:rsidP="008C3BBF">
            <w:pPr>
              <w:pStyle w:val="Bullet-list"/>
              <w:spacing w:after="0" w:line="240" w:lineRule="auto"/>
              <w:ind w:left="33" w:firstLine="0"/>
              <w:rPr>
                <w:rFonts w:ascii="Times New Roman" w:hAnsi="Times New Roman"/>
                <w:sz w:val="18"/>
                <w:szCs w:val="18"/>
              </w:rPr>
            </w:pPr>
            <w:r w:rsidRPr="002D15DC">
              <w:rPr>
                <w:rFonts w:ascii="Times New Roman" w:hAnsi="Times New Roman"/>
                <w:i/>
                <w:sz w:val="18"/>
                <w:szCs w:val="18"/>
              </w:rPr>
              <w:t>Fairness/neutrality:</w:t>
            </w:r>
            <w:r w:rsidRPr="002D15DC">
              <w:rPr>
                <w:rFonts w:ascii="Times New Roman" w:hAnsi="Times New Roman"/>
                <w:sz w:val="18"/>
                <w:szCs w:val="18"/>
              </w:rPr>
              <w:t xml:space="preserve"> M</w:t>
            </w:r>
            <w:r w:rsidR="00FF1B1A">
              <w:rPr>
                <w:rFonts w:ascii="Times New Roman" w:hAnsi="Times New Roman"/>
                <w:sz w:val="18"/>
                <w:szCs w:val="18"/>
              </w:rPr>
              <w:t>ostly m</w:t>
            </w:r>
            <w:r w:rsidRPr="002D15DC">
              <w:rPr>
                <w:rFonts w:ascii="Times New Roman" w:hAnsi="Times New Roman"/>
                <w:sz w:val="18"/>
                <w:szCs w:val="18"/>
              </w:rPr>
              <w:t>eets objective</w:t>
            </w:r>
            <w:r w:rsidR="00FF1B1A">
              <w:rPr>
                <w:rFonts w:ascii="Times New Roman" w:hAnsi="Times New Roman"/>
                <w:sz w:val="18"/>
                <w:szCs w:val="18"/>
              </w:rPr>
              <w:t>.</w:t>
            </w:r>
          </w:p>
          <w:p w:rsidR="008C3BBF" w:rsidRPr="002D15DC" w:rsidRDefault="008C3BBF" w:rsidP="008C3BBF">
            <w:pPr>
              <w:pStyle w:val="Bullet-list"/>
              <w:spacing w:after="0" w:line="240" w:lineRule="auto"/>
              <w:ind w:left="33" w:firstLine="0"/>
              <w:rPr>
                <w:rFonts w:ascii="Times New Roman" w:hAnsi="Times New Roman"/>
                <w:sz w:val="18"/>
                <w:szCs w:val="18"/>
              </w:rPr>
            </w:pPr>
            <w:r w:rsidRPr="002D15DC">
              <w:rPr>
                <w:rFonts w:ascii="Times New Roman" w:hAnsi="Times New Roman"/>
                <w:i/>
                <w:sz w:val="18"/>
                <w:szCs w:val="18"/>
              </w:rPr>
              <w:t>Efficiency in costs:</w:t>
            </w:r>
            <w:r w:rsidR="002D15DC" w:rsidRPr="002D15DC">
              <w:rPr>
                <w:rFonts w:ascii="Times New Roman" w:hAnsi="Times New Roman"/>
                <w:sz w:val="18"/>
                <w:szCs w:val="18"/>
              </w:rPr>
              <w:t xml:space="preserve">  M</w:t>
            </w:r>
            <w:r w:rsidRPr="002D15DC">
              <w:rPr>
                <w:rFonts w:ascii="Times New Roman" w:hAnsi="Times New Roman"/>
                <w:sz w:val="18"/>
                <w:szCs w:val="18"/>
              </w:rPr>
              <w:t>eets objective.</w:t>
            </w:r>
          </w:p>
          <w:p w:rsidR="008C3BBF" w:rsidRPr="002D15DC" w:rsidRDefault="008C3BBF" w:rsidP="008C3BBF">
            <w:pPr>
              <w:pStyle w:val="Bullet-list"/>
              <w:tabs>
                <w:tab w:val="num" w:pos="567"/>
              </w:tabs>
              <w:spacing w:after="0" w:line="240" w:lineRule="auto"/>
              <w:ind w:left="0" w:firstLine="0"/>
              <w:rPr>
                <w:rFonts w:ascii="Times New Roman" w:hAnsi="Times New Roman"/>
                <w:sz w:val="18"/>
                <w:szCs w:val="18"/>
              </w:rPr>
            </w:pPr>
          </w:p>
        </w:tc>
      </w:tr>
      <w:tr w:rsidR="008C3BBF" w:rsidRPr="00871EE0" w:rsidTr="008C3BBF">
        <w:trPr>
          <w:cantSplit/>
          <w:trHeight w:val="954"/>
        </w:trPr>
        <w:tc>
          <w:tcPr>
            <w:tcW w:w="3936" w:type="dxa"/>
          </w:tcPr>
          <w:p w:rsidR="008C3BBF" w:rsidRPr="00EE45E9" w:rsidRDefault="008C3BBF" w:rsidP="008C3BBF">
            <w:pPr>
              <w:pStyle w:val="Bullet-list"/>
              <w:tabs>
                <w:tab w:val="num" w:pos="567"/>
              </w:tabs>
              <w:spacing w:after="0" w:line="240" w:lineRule="auto"/>
              <w:ind w:left="0" w:firstLine="0"/>
              <w:rPr>
                <w:rFonts w:ascii="Times New Roman" w:hAnsi="Times New Roman"/>
                <w:sz w:val="18"/>
                <w:szCs w:val="18"/>
              </w:rPr>
            </w:pPr>
          </w:p>
          <w:p w:rsidR="008C3BBF" w:rsidRPr="00EE45E9" w:rsidRDefault="008C3BBF" w:rsidP="008C3BBF">
            <w:pPr>
              <w:pStyle w:val="Bullet-list"/>
              <w:tabs>
                <w:tab w:val="num" w:pos="567"/>
              </w:tabs>
              <w:spacing w:after="0" w:line="240" w:lineRule="auto"/>
              <w:ind w:left="0" w:firstLine="0"/>
              <w:rPr>
                <w:rFonts w:ascii="Times New Roman" w:hAnsi="Times New Roman"/>
                <w:sz w:val="18"/>
                <w:szCs w:val="18"/>
              </w:rPr>
            </w:pPr>
            <w:r w:rsidRPr="00EE45E9">
              <w:rPr>
                <w:rFonts w:ascii="Times New Roman" w:hAnsi="Times New Roman"/>
                <w:sz w:val="18"/>
                <w:szCs w:val="18"/>
              </w:rPr>
              <w:t>Option 2: Repeal the rule in part (refer option 2 above) and require restatement of prior period returns on the basis that the rule had not existed.</w:t>
            </w:r>
          </w:p>
        </w:tc>
        <w:tc>
          <w:tcPr>
            <w:tcW w:w="1701" w:type="dxa"/>
          </w:tcPr>
          <w:p w:rsidR="008C3BBF" w:rsidRDefault="008C3BBF" w:rsidP="008C3BBF">
            <w:pPr>
              <w:pStyle w:val="Bullet-list"/>
              <w:tabs>
                <w:tab w:val="num" w:pos="567"/>
              </w:tabs>
              <w:spacing w:after="0" w:line="240" w:lineRule="auto"/>
              <w:ind w:left="0" w:firstLine="0"/>
              <w:rPr>
                <w:rFonts w:ascii="Times New Roman" w:hAnsi="Times New Roman"/>
                <w:sz w:val="18"/>
                <w:szCs w:val="18"/>
              </w:rPr>
            </w:pPr>
          </w:p>
          <w:p w:rsidR="008C3BBF" w:rsidRPr="00871EE0" w:rsidRDefault="008C3BBF" w:rsidP="008C3BB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Not recommended.</w:t>
            </w:r>
          </w:p>
        </w:tc>
        <w:tc>
          <w:tcPr>
            <w:tcW w:w="3827" w:type="dxa"/>
          </w:tcPr>
          <w:p w:rsidR="008C3BBF" w:rsidRPr="002D15DC" w:rsidRDefault="008C3BBF" w:rsidP="008C3BBF">
            <w:pPr>
              <w:pStyle w:val="Bullet-list"/>
              <w:tabs>
                <w:tab w:val="num" w:pos="567"/>
              </w:tabs>
              <w:spacing w:after="0" w:line="240" w:lineRule="auto"/>
              <w:ind w:left="0" w:firstLine="0"/>
              <w:rPr>
                <w:rFonts w:ascii="Times New Roman" w:hAnsi="Times New Roman"/>
                <w:sz w:val="18"/>
                <w:szCs w:val="18"/>
              </w:rPr>
            </w:pPr>
          </w:p>
          <w:p w:rsidR="008C3BBF" w:rsidRPr="002D15DC" w:rsidRDefault="00CF3834" w:rsidP="008C3BBF">
            <w:pPr>
              <w:pStyle w:val="Bullet-list"/>
              <w:spacing w:after="0" w:line="240" w:lineRule="auto"/>
              <w:ind w:left="0" w:firstLine="0"/>
              <w:rPr>
                <w:rFonts w:ascii="Times New Roman" w:hAnsi="Times New Roman"/>
                <w:sz w:val="18"/>
                <w:szCs w:val="18"/>
              </w:rPr>
            </w:pPr>
            <w:r w:rsidRPr="002D15DC">
              <w:rPr>
                <w:rFonts w:ascii="Times New Roman" w:hAnsi="Times New Roman"/>
                <w:i/>
                <w:sz w:val="18"/>
                <w:szCs w:val="18"/>
              </w:rPr>
              <w:t>Overall efficiency</w:t>
            </w:r>
            <w:r w:rsidR="00B656A0">
              <w:rPr>
                <w:rFonts w:ascii="Times New Roman" w:hAnsi="Times New Roman"/>
                <w:i/>
                <w:sz w:val="18"/>
                <w:szCs w:val="18"/>
              </w:rPr>
              <w:t xml:space="preserve">: </w:t>
            </w:r>
            <w:r w:rsidR="00B656A0">
              <w:rPr>
                <w:rFonts w:ascii="Times New Roman" w:hAnsi="Times New Roman"/>
                <w:sz w:val="18"/>
                <w:szCs w:val="18"/>
              </w:rPr>
              <w:t>No impact</w:t>
            </w:r>
            <w:r w:rsidR="008C3BBF" w:rsidRPr="002D15DC">
              <w:rPr>
                <w:rFonts w:ascii="Times New Roman" w:hAnsi="Times New Roman"/>
                <w:sz w:val="18"/>
                <w:szCs w:val="18"/>
              </w:rPr>
              <w:t>.</w:t>
            </w:r>
          </w:p>
          <w:p w:rsidR="008C3BBF" w:rsidRPr="002D15DC" w:rsidRDefault="008C3BBF" w:rsidP="008C3BBF">
            <w:pPr>
              <w:pStyle w:val="Bullet-list"/>
              <w:spacing w:after="0" w:line="240" w:lineRule="auto"/>
              <w:ind w:left="0" w:firstLine="0"/>
              <w:rPr>
                <w:rFonts w:ascii="Times New Roman" w:hAnsi="Times New Roman"/>
                <w:sz w:val="18"/>
                <w:szCs w:val="18"/>
              </w:rPr>
            </w:pPr>
            <w:r w:rsidRPr="002D15DC">
              <w:rPr>
                <w:rFonts w:ascii="Times New Roman" w:hAnsi="Times New Roman"/>
                <w:i/>
                <w:sz w:val="18"/>
                <w:szCs w:val="18"/>
              </w:rPr>
              <w:t>Fairness/neutrality:</w:t>
            </w:r>
            <w:r w:rsidR="002D15DC">
              <w:rPr>
                <w:rFonts w:ascii="Times New Roman" w:hAnsi="Times New Roman"/>
                <w:sz w:val="18"/>
                <w:szCs w:val="18"/>
              </w:rPr>
              <w:t xml:space="preserve"> M</w:t>
            </w:r>
            <w:r w:rsidRPr="002D15DC">
              <w:rPr>
                <w:rFonts w:ascii="Times New Roman" w:hAnsi="Times New Roman"/>
                <w:sz w:val="18"/>
                <w:szCs w:val="18"/>
              </w:rPr>
              <w:t>eets objective.</w:t>
            </w:r>
          </w:p>
          <w:p w:rsidR="008C3BBF" w:rsidRPr="002D15DC" w:rsidRDefault="008C3BBF" w:rsidP="008C3BBF">
            <w:pPr>
              <w:pStyle w:val="Bullet-list"/>
              <w:spacing w:after="0" w:line="240" w:lineRule="auto"/>
              <w:ind w:left="0" w:firstLine="0"/>
              <w:rPr>
                <w:rFonts w:ascii="Times New Roman" w:hAnsi="Times New Roman"/>
                <w:sz w:val="18"/>
                <w:szCs w:val="18"/>
              </w:rPr>
            </w:pPr>
            <w:r w:rsidRPr="002D15DC">
              <w:rPr>
                <w:rFonts w:ascii="Times New Roman" w:hAnsi="Times New Roman"/>
                <w:i/>
                <w:sz w:val="18"/>
                <w:szCs w:val="18"/>
              </w:rPr>
              <w:t>Efficiency in costs:</w:t>
            </w:r>
            <w:r w:rsidRPr="002D15DC">
              <w:rPr>
                <w:rFonts w:ascii="Times New Roman" w:hAnsi="Times New Roman"/>
                <w:sz w:val="18"/>
                <w:szCs w:val="18"/>
              </w:rPr>
              <w:t xml:space="preserve">  Does not meet objective. </w:t>
            </w:r>
          </w:p>
        </w:tc>
      </w:tr>
      <w:tr w:rsidR="008C3BBF" w:rsidTr="008C3BBF">
        <w:trPr>
          <w:cantSplit/>
          <w:trHeight w:val="986"/>
        </w:trPr>
        <w:tc>
          <w:tcPr>
            <w:tcW w:w="3936" w:type="dxa"/>
          </w:tcPr>
          <w:p w:rsidR="008C3BBF" w:rsidRDefault="008C3BBF" w:rsidP="008C3BBF">
            <w:pPr>
              <w:pStyle w:val="Bullet-list"/>
              <w:tabs>
                <w:tab w:val="num" w:pos="567"/>
              </w:tabs>
              <w:spacing w:after="0" w:line="240" w:lineRule="auto"/>
              <w:ind w:left="0" w:firstLine="0"/>
              <w:rPr>
                <w:rFonts w:ascii="Times New Roman" w:hAnsi="Times New Roman"/>
                <w:sz w:val="18"/>
                <w:szCs w:val="18"/>
              </w:rPr>
            </w:pPr>
          </w:p>
          <w:p w:rsidR="008C3BBF" w:rsidRPr="00871EE0" w:rsidRDefault="008C3BBF" w:rsidP="008C3BB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Option 3: Repeal the rule in part (refer option 2 above) and gradually release previously restricted deductions over three years.</w:t>
            </w:r>
          </w:p>
        </w:tc>
        <w:tc>
          <w:tcPr>
            <w:tcW w:w="1701" w:type="dxa"/>
          </w:tcPr>
          <w:p w:rsidR="008C3BBF" w:rsidRDefault="008C3BBF" w:rsidP="008C3BBF">
            <w:pPr>
              <w:pStyle w:val="Bullet-list"/>
              <w:tabs>
                <w:tab w:val="num" w:pos="567"/>
              </w:tabs>
              <w:spacing w:after="0" w:line="240" w:lineRule="auto"/>
              <w:ind w:left="0" w:firstLine="0"/>
              <w:rPr>
                <w:rFonts w:ascii="Times New Roman" w:hAnsi="Times New Roman"/>
                <w:sz w:val="18"/>
                <w:szCs w:val="18"/>
              </w:rPr>
            </w:pPr>
          </w:p>
          <w:p w:rsidR="008C3BBF" w:rsidRPr="00871EE0" w:rsidRDefault="008C3BBF" w:rsidP="008C3BB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Not recommended.</w:t>
            </w:r>
          </w:p>
        </w:tc>
        <w:tc>
          <w:tcPr>
            <w:tcW w:w="3827" w:type="dxa"/>
          </w:tcPr>
          <w:p w:rsidR="008C3BBF" w:rsidRPr="002D15DC" w:rsidRDefault="008C3BBF" w:rsidP="008C3BBF">
            <w:pPr>
              <w:pStyle w:val="Bullet-list"/>
              <w:spacing w:after="0" w:line="240" w:lineRule="auto"/>
              <w:ind w:left="0" w:firstLine="0"/>
              <w:rPr>
                <w:rFonts w:ascii="Times New Roman" w:hAnsi="Times New Roman"/>
                <w:i/>
                <w:sz w:val="18"/>
                <w:szCs w:val="18"/>
              </w:rPr>
            </w:pPr>
          </w:p>
          <w:p w:rsidR="008C3BBF" w:rsidRPr="002D15DC" w:rsidRDefault="00CF3834" w:rsidP="008C3BBF">
            <w:pPr>
              <w:pStyle w:val="Bullet-list"/>
              <w:spacing w:after="0" w:line="240" w:lineRule="auto"/>
              <w:ind w:left="0" w:firstLine="0"/>
              <w:rPr>
                <w:rFonts w:ascii="Times New Roman" w:hAnsi="Times New Roman"/>
                <w:sz w:val="18"/>
                <w:szCs w:val="18"/>
              </w:rPr>
            </w:pPr>
            <w:r w:rsidRPr="002D15DC">
              <w:rPr>
                <w:rFonts w:ascii="Times New Roman" w:hAnsi="Times New Roman"/>
                <w:i/>
                <w:sz w:val="18"/>
                <w:szCs w:val="18"/>
              </w:rPr>
              <w:t>Overall efficiency</w:t>
            </w:r>
            <w:r w:rsidR="008C3BBF" w:rsidRPr="002D15DC">
              <w:rPr>
                <w:rFonts w:ascii="Times New Roman" w:hAnsi="Times New Roman"/>
                <w:i/>
                <w:sz w:val="18"/>
                <w:szCs w:val="18"/>
              </w:rPr>
              <w:t xml:space="preserve">: </w:t>
            </w:r>
            <w:r w:rsidR="00B656A0">
              <w:rPr>
                <w:rFonts w:ascii="Times New Roman" w:hAnsi="Times New Roman"/>
                <w:sz w:val="18"/>
                <w:szCs w:val="18"/>
              </w:rPr>
              <w:t>No impact</w:t>
            </w:r>
            <w:r w:rsidR="008C3BBF" w:rsidRPr="002D15DC">
              <w:rPr>
                <w:rFonts w:ascii="Times New Roman" w:hAnsi="Times New Roman"/>
                <w:sz w:val="18"/>
                <w:szCs w:val="18"/>
              </w:rPr>
              <w:t>.</w:t>
            </w:r>
          </w:p>
          <w:p w:rsidR="008C3BBF" w:rsidRPr="002D15DC" w:rsidRDefault="008C3BBF" w:rsidP="008C3BBF">
            <w:pPr>
              <w:pStyle w:val="Bullet-list"/>
              <w:spacing w:after="0" w:line="240" w:lineRule="auto"/>
              <w:ind w:left="0" w:firstLine="0"/>
              <w:rPr>
                <w:rFonts w:ascii="Times New Roman" w:hAnsi="Times New Roman"/>
                <w:sz w:val="18"/>
                <w:szCs w:val="18"/>
              </w:rPr>
            </w:pPr>
            <w:r w:rsidRPr="002D15DC">
              <w:rPr>
                <w:rFonts w:ascii="Times New Roman" w:hAnsi="Times New Roman"/>
                <w:i/>
                <w:sz w:val="18"/>
                <w:szCs w:val="18"/>
              </w:rPr>
              <w:t>Fairness/neutrality:</w:t>
            </w:r>
            <w:r w:rsidRPr="002D15DC">
              <w:rPr>
                <w:rFonts w:ascii="Times New Roman" w:hAnsi="Times New Roman"/>
                <w:sz w:val="18"/>
                <w:szCs w:val="18"/>
              </w:rPr>
              <w:t xml:space="preserve"> Does not meet objective.</w:t>
            </w:r>
          </w:p>
          <w:p w:rsidR="008C3BBF" w:rsidRPr="002D15DC" w:rsidRDefault="008C3BBF" w:rsidP="008C3BBF">
            <w:pPr>
              <w:pStyle w:val="Bullet-list"/>
              <w:spacing w:after="0" w:line="240" w:lineRule="auto"/>
              <w:ind w:left="0" w:firstLine="0"/>
              <w:rPr>
                <w:rFonts w:ascii="Times New Roman" w:hAnsi="Times New Roman"/>
                <w:sz w:val="18"/>
                <w:szCs w:val="18"/>
              </w:rPr>
            </w:pPr>
            <w:r w:rsidRPr="002D15DC">
              <w:rPr>
                <w:rFonts w:ascii="Times New Roman" w:hAnsi="Times New Roman"/>
                <w:i/>
                <w:sz w:val="18"/>
                <w:szCs w:val="18"/>
              </w:rPr>
              <w:t>Efficiency in costs:</w:t>
            </w:r>
            <w:r w:rsidRPr="002D15DC">
              <w:rPr>
                <w:rFonts w:ascii="Times New Roman" w:hAnsi="Times New Roman"/>
                <w:sz w:val="18"/>
                <w:szCs w:val="18"/>
              </w:rPr>
              <w:t xml:space="preserve">  Does not meet objective.</w:t>
            </w:r>
          </w:p>
          <w:p w:rsidR="008C3BBF" w:rsidRPr="002D15DC" w:rsidRDefault="008C3BBF" w:rsidP="008C3BBF">
            <w:pPr>
              <w:pStyle w:val="Bullet-list"/>
              <w:tabs>
                <w:tab w:val="num" w:pos="567"/>
              </w:tabs>
              <w:spacing w:after="0" w:line="240" w:lineRule="auto"/>
              <w:ind w:left="0" w:firstLine="0"/>
              <w:rPr>
                <w:rFonts w:ascii="Times New Roman" w:hAnsi="Times New Roman"/>
                <w:sz w:val="18"/>
                <w:szCs w:val="18"/>
              </w:rPr>
            </w:pPr>
          </w:p>
        </w:tc>
      </w:tr>
    </w:tbl>
    <w:p w:rsidR="00C20580" w:rsidRDefault="00C20580" w:rsidP="00C20580">
      <w:pPr>
        <w:pStyle w:val="Bullet-list"/>
        <w:spacing w:after="0" w:line="240" w:lineRule="auto"/>
        <w:rPr>
          <w:rFonts w:ascii="Times New Roman" w:hAnsi="Times New Roman"/>
          <w:sz w:val="24"/>
          <w:szCs w:val="24"/>
          <w:lang w:val="en-NZ" w:eastAsia="en-AU"/>
        </w:rPr>
      </w:pPr>
    </w:p>
    <w:p w:rsidR="005B0E9F" w:rsidRDefault="005B0E9F" w:rsidP="00C20580">
      <w:pPr>
        <w:pStyle w:val="Bullet-list"/>
        <w:spacing w:after="0" w:line="240" w:lineRule="auto"/>
        <w:rPr>
          <w:rFonts w:ascii="Times New Roman" w:hAnsi="Times New Roman"/>
          <w:sz w:val="24"/>
          <w:szCs w:val="24"/>
          <w:lang w:val="en-NZ" w:eastAsia="en-AU"/>
        </w:rPr>
      </w:pPr>
    </w:p>
    <w:p w:rsidR="00C20580" w:rsidRDefault="00C20580" w:rsidP="00C20580">
      <w:pPr>
        <w:pStyle w:val="Bullet-list"/>
        <w:spacing w:after="0" w:line="240" w:lineRule="auto"/>
        <w:rPr>
          <w:rFonts w:ascii="Times New Roman" w:hAnsi="Times New Roman"/>
          <w:i/>
          <w:sz w:val="24"/>
          <w:szCs w:val="24"/>
        </w:rPr>
      </w:pPr>
      <w:r w:rsidRPr="00517071">
        <w:rPr>
          <w:rFonts w:ascii="Times New Roman" w:hAnsi="Times New Roman"/>
          <w:i/>
          <w:sz w:val="24"/>
          <w:szCs w:val="24"/>
        </w:rPr>
        <w:t>RWT on dividends between companies</w:t>
      </w:r>
    </w:p>
    <w:p w:rsidR="00274BE1" w:rsidRDefault="00274BE1" w:rsidP="008C3BBF">
      <w:pPr>
        <w:pStyle w:val="Bullet-list"/>
        <w:spacing w:after="0" w:line="240" w:lineRule="auto"/>
        <w:ind w:left="0" w:firstLine="0"/>
        <w:rPr>
          <w:rFonts w:ascii="Times New Roman" w:hAnsi="Times New Roman"/>
          <w:i/>
          <w:sz w:val="24"/>
          <w:szCs w:val="24"/>
        </w:rPr>
      </w:pPr>
    </w:p>
    <w:p w:rsidR="008C3BBF" w:rsidRDefault="008C3BBF" w:rsidP="00166E95">
      <w:pPr>
        <w:pStyle w:val="TRBodyText"/>
        <w:numPr>
          <w:ilvl w:val="0"/>
          <w:numId w:val="2"/>
        </w:numPr>
        <w:tabs>
          <w:tab w:val="clear" w:pos="360"/>
          <w:tab w:val="left" w:pos="0"/>
        </w:tabs>
        <w:ind w:left="0" w:firstLine="0"/>
        <w:rPr>
          <w:szCs w:val="24"/>
        </w:rPr>
      </w:pPr>
      <w:r>
        <w:rPr>
          <w:szCs w:val="24"/>
        </w:rPr>
        <w:t>Options to address concerns around the initial over-taxation</w:t>
      </w:r>
      <w:r w:rsidR="008F2FF5">
        <w:rPr>
          <w:szCs w:val="24"/>
        </w:rPr>
        <w:t xml:space="preserve"> of fully-imputed dividends paid to corporate shareholders</w:t>
      </w:r>
      <w:r>
        <w:rPr>
          <w:szCs w:val="24"/>
        </w:rPr>
        <w:t xml:space="preserve">, as well as </w:t>
      </w:r>
      <w:r w:rsidR="00762E12">
        <w:rPr>
          <w:szCs w:val="24"/>
        </w:rPr>
        <w:t xml:space="preserve">to minimise </w:t>
      </w:r>
      <w:r>
        <w:rPr>
          <w:szCs w:val="24"/>
        </w:rPr>
        <w:t xml:space="preserve">the unnecessary compliance costs </w:t>
      </w:r>
      <w:r w:rsidR="00762E12">
        <w:rPr>
          <w:szCs w:val="24"/>
        </w:rPr>
        <w:t xml:space="preserve">arising </w:t>
      </w:r>
      <w:r>
        <w:rPr>
          <w:szCs w:val="24"/>
        </w:rPr>
        <w:t>from the RWT obligations</w:t>
      </w:r>
      <w:r w:rsidR="008F2FF5">
        <w:rPr>
          <w:szCs w:val="24"/>
        </w:rPr>
        <w:t xml:space="preserve"> which apply</w:t>
      </w:r>
      <w:r w:rsidR="00661AE0">
        <w:rPr>
          <w:szCs w:val="24"/>
        </w:rPr>
        <w:t xml:space="preserve"> are</w:t>
      </w:r>
      <w:r>
        <w:rPr>
          <w:szCs w:val="24"/>
        </w:rPr>
        <w:t>:</w:t>
      </w:r>
    </w:p>
    <w:p w:rsidR="00C20580" w:rsidRDefault="00C20580" w:rsidP="00CA079F">
      <w:pPr>
        <w:pStyle w:val="Bullet-list"/>
        <w:spacing w:after="0" w:line="240" w:lineRule="auto"/>
        <w:rPr>
          <w:rFonts w:ascii="Times New Roman" w:hAnsi="Times New Roman"/>
          <w:i/>
          <w:sz w:val="24"/>
          <w:szCs w:val="24"/>
        </w:rPr>
      </w:pPr>
    </w:p>
    <w:tbl>
      <w:tblPr>
        <w:tblStyle w:val="TableGrid"/>
        <w:tblW w:w="9464" w:type="dxa"/>
        <w:tblLook w:val="04A0" w:firstRow="1" w:lastRow="0" w:firstColumn="1" w:lastColumn="0" w:noHBand="0" w:noVBand="1"/>
      </w:tblPr>
      <w:tblGrid>
        <w:gridCol w:w="3936"/>
        <w:gridCol w:w="1701"/>
        <w:gridCol w:w="3827"/>
      </w:tblGrid>
      <w:tr w:rsidR="008C3BBF" w:rsidRPr="00871EE0" w:rsidTr="008C3BBF">
        <w:trPr>
          <w:cantSplit/>
          <w:trHeight w:val="274"/>
        </w:trPr>
        <w:tc>
          <w:tcPr>
            <w:tcW w:w="3936" w:type="dxa"/>
            <w:shd w:val="pct15" w:color="auto" w:fill="auto"/>
          </w:tcPr>
          <w:p w:rsidR="008C3BBF" w:rsidRDefault="008C3BBF" w:rsidP="008C3BBF">
            <w:pPr>
              <w:pStyle w:val="Bullet-list"/>
              <w:tabs>
                <w:tab w:val="num" w:pos="567"/>
              </w:tabs>
              <w:spacing w:after="0" w:line="240" w:lineRule="auto"/>
              <w:ind w:left="0" w:firstLine="0"/>
              <w:rPr>
                <w:rFonts w:ascii="Times New Roman" w:hAnsi="Times New Roman"/>
                <w:sz w:val="18"/>
                <w:szCs w:val="18"/>
              </w:rPr>
            </w:pPr>
            <w:r w:rsidRPr="000B7D6E">
              <w:rPr>
                <w:rFonts w:ascii="Times New Roman" w:hAnsi="Times New Roman"/>
                <w:b/>
                <w:sz w:val="18"/>
                <w:szCs w:val="18"/>
              </w:rPr>
              <w:t>Options:</w:t>
            </w:r>
          </w:p>
        </w:tc>
        <w:tc>
          <w:tcPr>
            <w:tcW w:w="1701" w:type="dxa"/>
            <w:shd w:val="pct15" w:color="auto" w:fill="auto"/>
          </w:tcPr>
          <w:p w:rsidR="008C3BBF" w:rsidRPr="000B7D6E" w:rsidRDefault="008C3BBF" w:rsidP="008C3BBF">
            <w:pPr>
              <w:pStyle w:val="Bullet-list"/>
              <w:tabs>
                <w:tab w:val="num" w:pos="567"/>
              </w:tabs>
              <w:spacing w:after="0" w:line="240" w:lineRule="auto"/>
              <w:ind w:left="0" w:firstLine="0"/>
              <w:rPr>
                <w:rFonts w:ascii="Times New Roman" w:hAnsi="Times New Roman"/>
                <w:b/>
                <w:sz w:val="18"/>
                <w:szCs w:val="18"/>
              </w:rPr>
            </w:pPr>
            <w:r w:rsidRPr="000B7D6E">
              <w:rPr>
                <w:rFonts w:ascii="Times New Roman" w:hAnsi="Times New Roman"/>
                <w:b/>
                <w:sz w:val="18"/>
                <w:szCs w:val="18"/>
              </w:rPr>
              <w:t>Re</w:t>
            </w:r>
            <w:r>
              <w:rPr>
                <w:rFonts w:ascii="Times New Roman" w:hAnsi="Times New Roman"/>
                <w:b/>
                <w:sz w:val="18"/>
                <w:szCs w:val="18"/>
              </w:rPr>
              <w:t>c</w:t>
            </w:r>
            <w:r w:rsidRPr="000B7D6E">
              <w:rPr>
                <w:rFonts w:ascii="Times New Roman" w:hAnsi="Times New Roman"/>
                <w:b/>
                <w:sz w:val="18"/>
                <w:szCs w:val="18"/>
              </w:rPr>
              <w:t>ommendations</w:t>
            </w:r>
          </w:p>
        </w:tc>
        <w:tc>
          <w:tcPr>
            <w:tcW w:w="3827" w:type="dxa"/>
            <w:shd w:val="pct15" w:color="auto" w:fill="auto"/>
          </w:tcPr>
          <w:p w:rsidR="008C3BBF" w:rsidRPr="000B7D6E" w:rsidRDefault="008C3BBF" w:rsidP="008C3BBF">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Analysis against objectives</w:t>
            </w:r>
          </w:p>
        </w:tc>
      </w:tr>
      <w:tr w:rsidR="008C3BBF" w:rsidRPr="00871EE0" w:rsidTr="008C3BBF">
        <w:trPr>
          <w:cantSplit/>
          <w:trHeight w:val="557"/>
        </w:trPr>
        <w:tc>
          <w:tcPr>
            <w:tcW w:w="3936" w:type="dxa"/>
          </w:tcPr>
          <w:p w:rsidR="008C3BBF" w:rsidRDefault="008C3BBF" w:rsidP="008C3BBF">
            <w:pPr>
              <w:pStyle w:val="Bullet-list"/>
              <w:tabs>
                <w:tab w:val="num" w:pos="567"/>
              </w:tabs>
              <w:spacing w:after="0" w:line="240" w:lineRule="auto"/>
              <w:ind w:left="0" w:firstLine="0"/>
              <w:rPr>
                <w:rFonts w:ascii="Times New Roman" w:hAnsi="Times New Roman"/>
                <w:sz w:val="18"/>
                <w:szCs w:val="18"/>
              </w:rPr>
            </w:pPr>
          </w:p>
          <w:p w:rsidR="008C3BBF" w:rsidRDefault="008C3BBF" w:rsidP="008C3BB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 xml:space="preserve">Option 1: The obligation to account for RWT on all fully-imputed </w:t>
            </w:r>
            <w:r w:rsidRPr="00ED4238">
              <w:rPr>
                <w:rFonts w:ascii="Times New Roman" w:hAnsi="Times New Roman"/>
                <w:sz w:val="18"/>
                <w:szCs w:val="18"/>
              </w:rPr>
              <w:t>dividends paid between companies</w:t>
            </w:r>
            <w:r>
              <w:rPr>
                <w:rFonts w:ascii="Times New Roman" w:hAnsi="Times New Roman"/>
                <w:sz w:val="18"/>
                <w:szCs w:val="18"/>
              </w:rPr>
              <w:t xml:space="preserve"> should be removed.</w:t>
            </w:r>
          </w:p>
        </w:tc>
        <w:tc>
          <w:tcPr>
            <w:tcW w:w="1701" w:type="dxa"/>
          </w:tcPr>
          <w:p w:rsidR="008C3BBF" w:rsidRDefault="008C3BBF" w:rsidP="008C3BBF">
            <w:pPr>
              <w:pStyle w:val="Bullet-list"/>
              <w:tabs>
                <w:tab w:val="num" w:pos="567"/>
              </w:tabs>
              <w:spacing w:after="0" w:line="240" w:lineRule="auto"/>
              <w:ind w:left="0" w:firstLine="0"/>
              <w:rPr>
                <w:rFonts w:ascii="Times New Roman" w:hAnsi="Times New Roman"/>
                <w:sz w:val="18"/>
                <w:szCs w:val="18"/>
              </w:rPr>
            </w:pPr>
          </w:p>
          <w:p w:rsidR="008C3BBF" w:rsidRDefault="008C3BBF" w:rsidP="008C3BB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Not recommended.</w:t>
            </w:r>
          </w:p>
        </w:tc>
        <w:tc>
          <w:tcPr>
            <w:tcW w:w="3827" w:type="dxa"/>
          </w:tcPr>
          <w:p w:rsidR="008C3BBF" w:rsidRDefault="008C3BBF" w:rsidP="008C3BBF">
            <w:pPr>
              <w:pStyle w:val="Bullet-list"/>
              <w:tabs>
                <w:tab w:val="num" w:pos="567"/>
              </w:tabs>
              <w:spacing w:after="0" w:line="240" w:lineRule="auto"/>
              <w:ind w:left="0" w:firstLine="0"/>
              <w:rPr>
                <w:rFonts w:ascii="Times New Roman" w:hAnsi="Times New Roman"/>
                <w:sz w:val="18"/>
                <w:szCs w:val="18"/>
              </w:rPr>
            </w:pPr>
          </w:p>
          <w:p w:rsidR="008C3BBF" w:rsidRDefault="00CF3834" w:rsidP="008C3BBF">
            <w:pPr>
              <w:pStyle w:val="Bullet-list"/>
              <w:spacing w:after="0" w:line="240" w:lineRule="auto"/>
              <w:ind w:left="33" w:firstLine="0"/>
              <w:rPr>
                <w:rFonts w:ascii="Times New Roman" w:hAnsi="Times New Roman"/>
                <w:sz w:val="18"/>
                <w:szCs w:val="18"/>
              </w:rPr>
            </w:pPr>
            <w:r>
              <w:rPr>
                <w:rFonts w:ascii="Times New Roman" w:hAnsi="Times New Roman"/>
                <w:i/>
                <w:sz w:val="18"/>
                <w:szCs w:val="18"/>
              </w:rPr>
              <w:t>Overall efficiency</w:t>
            </w:r>
            <w:r w:rsidR="008C3BBF" w:rsidRPr="00C20580">
              <w:rPr>
                <w:rFonts w:ascii="Times New Roman" w:hAnsi="Times New Roman"/>
                <w:i/>
                <w:sz w:val="18"/>
                <w:szCs w:val="18"/>
              </w:rPr>
              <w:t xml:space="preserve">: </w:t>
            </w:r>
            <w:r w:rsidR="00B24F53">
              <w:rPr>
                <w:rFonts w:ascii="Times New Roman" w:hAnsi="Times New Roman"/>
                <w:sz w:val="18"/>
                <w:szCs w:val="18"/>
              </w:rPr>
              <w:t>Partly m</w:t>
            </w:r>
            <w:r w:rsidR="008C3BBF">
              <w:rPr>
                <w:rFonts w:ascii="Times New Roman" w:hAnsi="Times New Roman"/>
                <w:sz w:val="18"/>
                <w:szCs w:val="18"/>
              </w:rPr>
              <w:t>eets objective.</w:t>
            </w:r>
          </w:p>
          <w:p w:rsidR="008C3BBF" w:rsidRDefault="008C3BBF" w:rsidP="008C3BBF">
            <w:pPr>
              <w:pStyle w:val="Bullet-list"/>
              <w:spacing w:after="0" w:line="240" w:lineRule="auto"/>
              <w:ind w:left="33" w:firstLine="0"/>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w:t>
            </w:r>
            <w:r w:rsidR="00B24F53">
              <w:rPr>
                <w:rFonts w:ascii="Times New Roman" w:hAnsi="Times New Roman"/>
                <w:sz w:val="18"/>
                <w:szCs w:val="18"/>
              </w:rPr>
              <w:t xml:space="preserve">Partly </w:t>
            </w:r>
            <w:r>
              <w:rPr>
                <w:rFonts w:ascii="Times New Roman" w:hAnsi="Times New Roman"/>
                <w:sz w:val="18"/>
                <w:szCs w:val="18"/>
              </w:rPr>
              <w:t>meets objective.</w:t>
            </w:r>
          </w:p>
          <w:p w:rsidR="008C3BBF" w:rsidRPr="00C20580" w:rsidRDefault="008C3BBF" w:rsidP="008C3BBF">
            <w:pPr>
              <w:pStyle w:val="Bullet-list"/>
              <w:spacing w:after="0" w:line="240" w:lineRule="auto"/>
              <w:ind w:left="33" w:firstLine="0"/>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B24F53">
              <w:rPr>
                <w:rFonts w:ascii="Times New Roman" w:hAnsi="Times New Roman"/>
                <w:sz w:val="18"/>
                <w:szCs w:val="18"/>
              </w:rPr>
              <w:t>Partly</w:t>
            </w:r>
            <w:r>
              <w:rPr>
                <w:rFonts w:ascii="Times New Roman" w:hAnsi="Times New Roman"/>
                <w:sz w:val="18"/>
                <w:szCs w:val="18"/>
              </w:rPr>
              <w:t xml:space="preserve"> meets objective</w:t>
            </w:r>
            <w:r w:rsidR="00B24F53">
              <w:rPr>
                <w:rFonts w:ascii="Times New Roman" w:hAnsi="Times New Roman"/>
                <w:sz w:val="18"/>
                <w:szCs w:val="18"/>
              </w:rPr>
              <w:t>.</w:t>
            </w:r>
          </w:p>
          <w:p w:rsidR="008C3BBF" w:rsidRDefault="008C3BBF" w:rsidP="008C3BBF">
            <w:pPr>
              <w:pStyle w:val="Bullet-list"/>
              <w:tabs>
                <w:tab w:val="num" w:pos="567"/>
              </w:tabs>
              <w:spacing w:after="0" w:line="240" w:lineRule="auto"/>
              <w:ind w:left="0" w:firstLine="0"/>
              <w:rPr>
                <w:rFonts w:ascii="Times New Roman" w:hAnsi="Times New Roman"/>
                <w:sz w:val="18"/>
                <w:szCs w:val="18"/>
              </w:rPr>
            </w:pPr>
          </w:p>
        </w:tc>
      </w:tr>
      <w:tr w:rsidR="008C3BBF" w:rsidRPr="00871EE0" w:rsidTr="008C3BBF">
        <w:trPr>
          <w:cantSplit/>
          <w:trHeight w:val="1407"/>
        </w:trPr>
        <w:tc>
          <w:tcPr>
            <w:tcW w:w="3936" w:type="dxa"/>
          </w:tcPr>
          <w:p w:rsidR="008C3BBF" w:rsidRDefault="008C3BBF" w:rsidP="008C3BBF">
            <w:pPr>
              <w:pStyle w:val="Bullet-list"/>
              <w:tabs>
                <w:tab w:val="num" w:pos="567"/>
              </w:tabs>
              <w:spacing w:after="0" w:line="240" w:lineRule="auto"/>
              <w:ind w:left="0" w:firstLine="0"/>
              <w:rPr>
                <w:rFonts w:ascii="Times New Roman" w:hAnsi="Times New Roman"/>
                <w:sz w:val="18"/>
                <w:szCs w:val="18"/>
              </w:rPr>
            </w:pPr>
          </w:p>
          <w:p w:rsidR="008C3BBF" w:rsidRDefault="008C3BBF" w:rsidP="008C3BB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 xml:space="preserve">Option 2: The obligation to account for RWT on all fully-imputed </w:t>
            </w:r>
            <w:r w:rsidRPr="00ED4238">
              <w:rPr>
                <w:rFonts w:ascii="Times New Roman" w:hAnsi="Times New Roman"/>
                <w:sz w:val="18"/>
                <w:szCs w:val="18"/>
              </w:rPr>
              <w:t>dividends paid between companies</w:t>
            </w:r>
            <w:r>
              <w:rPr>
                <w:rFonts w:ascii="Times New Roman" w:hAnsi="Times New Roman"/>
                <w:sz w:val="18"/>
                <w:szCs w:val="18"/>
              </w:rPr>
              <w:t xml:space="preserve"> should be optional.</w:t>
            </w:r>
          </w:p>
        </w:tc>
        <w:tc>
          <w:tcPr>
            <w:tcW w:w="1701" w:type="dxa"/>
          </w:tcPr>
          <w:p w:rsidR="008C3BBF" w:rsidRDefault="008C3BBF" w:rsidP="008C3BBF">
            <w:pPr>
              <w:pStyle w:val="Bullet-list"/>
              <w:tabs>
                <w:tab w:val="num" w:pos="567"/>
              </w:tabs>
              <w:spacing w:after="0" w:line="240" w:lineRule="auto"/>
              <w:ind w:left="0" w:firstLine="0"/>
              <w:rPr>
                <w:rFonts w:ascii="Times New Roman" w:hAnsi="Times New Roman"/>
                <w:sz w:val="18"/>
                <w:szCs w:val="18"/>
              </w:rPr>
            </w:pPr>
          </w:p>
          <w:p w:rsidR="008C3BBF" w:rsidRDefault="008C3BBF" w:rsidP="008C3BB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Recommended.</w:t>
            </w:r>
          </w:p>
        </w:tc>
        <w:tc>
          <w:tcPr>
            <w:tcW w:w="3827" w:type="dxa"/>
          </w:tcPr>
          <w:p w:rsidR="008C3BBF" w:rsidRDefault="008C3BBF" w:rsidP="008C3BBF">
            <w:pPr>
              <w:pStyle w:val="Bullet-list"/>
              <w:tabs>
                <w:tab w:val="num" w:pos="567"/>
              </w:tabs>
              <w:spacing w:after="0" w:line="240" w:lineRule="auto"/>
              <w:ind w:left="0" w:firstLine="0"/>
              <w:rPr>
                <w:rFonts w:ascii="Times New Roman" w:hAnsi="Times New Roman"/>
                <w:sz w:val="18"/>
                <w:szCs w:val="18"/>
              </w:rPr>
            </w:pPr>
          </w:p>
          <w:p w:rsidR="008C3BBF" w:rsidRDefault="00CF3834" w:rsidP="008C3BBF">
            <w:pPr>
              <w:pStyle w:val="Bullet-list"/>
              <w:spacing w:after="0" w:line="240" w:lineRule="auto"/>
              <w:ind w:left="0" w:firstLine="0"/>
              <w:rPr>
                <w:rFonts w:ascii="Times New Roman" w:hAnsi="Times New Roman"/>
                <w:sz w:val="18"/>
                <w:szCs w:val="18"/>
              </w:rPr>
            </w:pPr>
            <w:r>
              <w:rPr>
                <w:rFonts w:ascii="Times New Roman" w:hAnsi="Times New Roman"/>
                <w:i/>
                <w:sz w:val="18"/>
                <w:szCs w:val="18"/>
              </w:rPr>
              <w:t>Overall efficiency</w:t>
            </w:r>
            <w:r w:rsidR="008C3BBF" w:rsidRPr="00C20580">
              <w:rPr>
                <w:rFonts w:ascii="Times New Roman" w:hAnsi="Times New Roman"/>
                <w:i/>
                <w:sz w:val="18"/>
                <w:szCs w:val="18"/>
              </w:rPr>
              <w:t xml:space="preserve">: </w:t>
            </w:r>
            <w:r w:rsidR="008C3BBF">
              <w:rPr>
                <w:rFonts w:ascii="Times New Roman" w:hAnsi="Times New Roman"/>
                <w:sz w:val="18"/>
                <w:szCs w:val="18"/>
              </w:rPr>
              <w:t>Meets objective.</w:t>
            </w:r>
          </w:p>
          <w:p w:rsidR="008C3BBF" w:rsidRDefault="008C3BBF" w:rsidP="008C3BBF">
            <w:pPr>
              <w:pStyle w:val="Bullet-list"/>
              <w:spacing w:after="0" w:line="240" w:lineRule="auto"/>
              <w:ind w:left="0" w:firstLine="0"/>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M</w:t>
            </w:r>
            <w:r w:rsidRPr="00C20580">
              <w:rPr>
                <w:rFonts w:ascii="Times New Roman" w:hAnsi="Times New Roman"/>
                <w:sz w:val="18"/>
                <w:szCs w:val="18"/>
              </w:rPr>
              <w:t>eet</w:t>
            </w:r>
            <w:r>
              <w:rPr>
                <w:rFonts w:ascii="Times New Roman" w:hAnsi="Times New Roman"/>
                <w:sz w:val="18"/>
                <w:szCs w:val="18"/>
              </w:rPr>
              <w:t>s</w:t>
            </w:r>
            <w:r w:rsidRPr="00C20580">
              <w:rPr>
                <w:rFonts w:ascii="Times New Roman" w:hAnsi="Times New Roman"/>
                <w:sz w:val="18"/>
                <w:szCs w:val="18"/>
              </w:rPr>
              <w:t xml:space="preserve"> objective</w:t>
            </w:r>
            <w:r>
              <w:rPr>
                <w:rFonts w:ascii="Times New Roman" w:hAnsi="Times New Roman"/>
                <w:sz w:val="18"/>
                <w:szCs w:val="18"/>
              </w:rPr>
              <w:t>.</w:t>
            </w:r>
          </w:p>
          <w:p w:rsidR="008C3BBF" w:rsidRDefault="008C3BBF" w:rsidP="00145E24">
            <w:pPr>
              <w:pStyle w:val="Bullet-list"/>
              <w:spacing w:after="0" w:line="240" w:lineRule="auto"/>
              <w:ind w:left="0" w:firstLine="0"/>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Pr>
                <w:rFonts w:ascii="Times New Roman" w:hAnsi="Times New Roman"/>
                <w:sz w:val="18"/>
                <w:szCs w:val="18"/>
              </w:rPr>
              <w:t>Meets objective.</w:t>
            </w:r>
          </w:p>
        </w:tc>
      </w:tr>
      <w:tr w:rsidR="008C3BBF" w:rsidTr="008C3BBF">
        <w:trPr>
          <w:cantSplit/>
          <w:trHeight w:val="986"/>
        </w:trPr>
        <w:tc>
          <w:tcPr>
            <w:tcW w:w="3936" w:type="dxa"/>
          </w:tcPr>
          <w:p w:rsidR="008C3BBF" w:rsidRDefault="008C3BBF" w:rsidP="008C3BBF">
            <w:pPr>
              <w:pStyle w:val="Bullet-list"/>
              <w:tabs>
                <w:tab w:val="num" w:pos="567"/>
              </w:tabs>
              <w:spacing w:after="0" w:line="240" w:lineRule="auto"/>
              <w:ind w:left="0" w:firstLine="0"/>
              <w:rPr>
                <w:rFonts w:ascii="Times New Roman" w:hAnsi="Times New Roman"/>
                <w:sz w:val="18"/>
                <w:szCs w:val="18"/>
              </w:rPr>
            </w:pPr>
          </w:p>
          <w:p w:rsidR="008C3BBF" w:rsidRDefault="008C3BBF" w:rsidP="008C3BB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 xml:space="preserve">Option 3: The obligation to account for RWT on all fully-imputed </w:t>
            </w:r>
            <w:r w:rsidRPr="00ED4238">
              <w:rPr>
                <w:rFonts w:ascii="Times New Roman" w:hAnsi="Times New Roman"/>
                <w:sz w:val="18"/>
                <w:szCs w:val="18"/>
              </w:rPr>
              <w:t>dividends paid between companies</w:t>
            </w:r>
            <w:r>
              <w:rPr>
                <w:rFonts w:ascii="Times New Roman" w:hAnsi="Times New Roman"/>
                <w:sz w:val="18"/>
                <w:szCs w:val="18"/>
              </w:rPr>
              <w:t xml:space="preserve"> should be maintained (status quo).</w:t>
            </w:r>
          </w:p>
        </w:tc>
        <w:tc>
          <w:tcPr>
            <w:tcW w:w="1701" w:type="dxa"/>
          </w:tcPr>
          <w:p w:rsidR="008C3BBF" w:rsidRDefault="008C3BBF" w:rsidP="008C3BBF">
            <w:pPr>
              <w:pStyle w:val="Bullet-list"/>
              <w:tabs>
                <w:tab w:val="num" w:pos="567"/>
              </w:tabs>
              <w:spacing w:after="0" w:line="240" w:lineRule="auto"/>
              <w:ind w:left="0" w:firstLine="0"/>
              <w:rPr>
                <w:rFonts w:ascii="Times New Roman" w:hAnsi="Times New Roman"/>
                <w:sz w:val="18"/>
                <w:szCs w:val="18"/>
              </w:rPr>
            </w:pPr>
          </w:p>
          <w:p w:rsidR="008C3BBF" w:rsidRDefault="008C3BBF" w:rsidP="008C3BB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Not recommended.</w:t>
            </w:r>
          </w:p>
        </w:tc>
        <w:tc>
          <w:tcPr>
            <w:tcW w:w="3827" w:type="dxa"/>
          </w:tcPr>
          <w:p w:rsidR="008C3BBF" w:rsidRDefault="008C3BBF" w:rsidP="008C3BBF">
            <w:pPr>
              <w:pStyle w:val="Bullet-list"/>
              <w:spacing w:after="0" w:line="240" w:lineRule="auto"/>
              <w:ind w:left="0" w:firstLine="0"/>
              <w:rPr>
                <w:rFonts w:ascii="Times New Roman" w:hAnsi="Times New Roman"/>
                <w:i/>
                <w:sz w:val="18"/>
                <w:szCs w:val="18"/>
              </w:rPr>
            </w:pPr>
          </w:p>
          <w:p w:rsidR="008C3BBF" w:rsidRDefault="00CF3834" w:rsidP="008C3BBF">
            <w:pPr>
              <w:pStyle w:val="Bullet-list"/>
              <w:spacing w:after="0" w:line="240" w:lineRule="auto"/>
              <w:ind w:left="0" w:firstLine="0"/>
              <w:rPr>
                <w:rFonts w:ascii="Times New Roman" w:hAnsi="Times New Roman"/>
                <w:sz w:val="18"/>
                <w:szCs w:val="18"/>
              </w:rPr>
            </w:pPr>
            <w:r>
              <w:rPr>
                <w:rFonts w:ascii="Times New Roman" w:hAnsi="Times New Roman"/>
                <w:i/>
                <w:sz w:val="18"/>
                <w:szCs w:val="18"/>
              </w:rPr>
              <w:t>Overall efficiency</w:t>
            </w:r>
            <w:r w:rsidR="008C3BBF" w:rsidRPr="00C20580">
              <w:rPr>
                <w:rFonts w:ascii="Times New Roman" w:hAnsi="Times New Roman"/>
                <w:i/>
                <w:sz w:val="18"/>
                <w:szCs w:val="18"/>
              </w:rPr>
              <w:t xml:space="preserve">: </w:t>
            </w:r>
            <w:r w:rsidR="008F2FF5">
              <w:rPr>
                <w:rFonts w:ascii="Times New Roman" w:hAnsi="Times New Roman"/>
                <w:sz w:val="18"/>
                <w:szCs w:val="18"/>
              </w:rPr>
              <w:t>Does not meet objective.</w:t>
            </w:r>
          </w:p>
          <w:p w:rsidR="008C3BBF" w:rsidRDefault="008C3BBF" w:rsidP="008C3BBF">
            <w:pPr>
              <w:pStyle w:val="Bullet-list"/>
              <w:spacing w:after="0" w:line="240" w:lineRule="auto"/>
              <w:ind w:left="0" w:firstLine="0"/>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Does not meet objective.</w:t>
            </w:r>
          </w:p>
          <w:p w:rsidR="008C3BBF" w:rsidRPr="00C20580" w:rsidRDefault="008C3BBF" w:rsidP="008C3BBF">
            <w:pPr>
              <w:pStyle w:val="Bullet-list"/>
              <w:spacing w:after="0" w:line="240" w:lineRule="auto"/>
              <w:ind w:left="0" w:firstLine="0"/>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Pr>
                <w:rFonts w:ascii="Times New Roman" w:hAnsi="Times New Roman"/>
                <w:sz w:val="18"/>
                <w:szCs w:val="18"/>
              </w:rPr>
              <w:t>Does not meet objective.</w:t>
            </w:r>
          </w:p>
          <w:p w:rsidR="008C3BBF" w:rsidRDefault="008C3BBF" w:rsidP="008C3BBF">
            <w:pPr>
              <w:pStyle w:val="Bullet-list"/>
              <w:tabs>
                <w:tab w:val="num" w:pos="567"/>
              </w:tabs>
              <w:spacing w:after="0" w:line="240" w:lineRule="auto"/>
              <w:ind w:left="0" w:firstLine="0"/>
              <w:rPr>
                <w:rFonts w:ascii="Times New Roman" w:hAnsi="Times New Roman"/>
                <w:sz w:val="18"/>
                <w:szCs w:val="18"/>
              </w:rPr>
            </w:pPr>
          </w:p>
        </w:tc>
      </w:tr>
    </w:tbl>
    <w:p w:rsidR="00C20580" w:rsidRDefault="00C20580" w:rsidP="008F2FF5">
      <w:pPr>
        <w:pStyle w:val="Bullet-list"/>
        <w:spacing w:after="0" w:line="240" w:lineRule="auto"/>
        <w:ind w:left="0" w:firstLine="0"/>
        <w:rPr>
          <w:rFonts w:ascii="Times New Roman" w:hAnsi="Times New Roman"/>
          <w:i/>
          <w:sz w:val="24"/>
          <w:szCs w:val="24"/>
        </w:rPr>
      </w:pPr>
    </w:p>
    <w:p w:rsidR="005B0E9F" w:rsidRDefault="005B0E9F" w:rsidP="008F2FF5">
      <w:pPr>
        <w:pStyle w:val="Bullet-list"/>
        <w:spacing w:after="0" w:line="240" w:lineRule="auto"/>
        <w:ind w:left="0" w:firstLine="0"/>
        <w:rPr>
          <w:rFonts w:ascii="Times New Roman" w:hAnsi="Times New Roman"/>
          <w:i/>
          <w:sz w:val="24"/>
          <w:szCs w:val="24"/>
        </w:rPr>
      </w:pPr>
    </w:p>
    <w:p w:rsidR="00274BE1" w:rsidRDefault="00CA079F" w:rsidP="008F2FF5">
      <w:pPr>
        <w:pStyle w:val="Bullet-list"/>
        <w:spacing w:after="0" w:line="240" w:lineRule="auto"/>
        <w:rPr>
          <w:rFonts w:ascii="Times New Roman" w:hAnsi="Times New Roman"/>
          <w:i/>
          <w:sz w:val="24"/>
          <w:szCs w:val="24"/>
        </w:rPr>
      </w:pPr>
      <w:r w:rsidRPr="00931223">
        <w:rPr>
          <w:rFonts w:ascii="Times New Roman" w:hAnsi="Times New Roman"/>
          <w:i/>
          <w:sz w:val="24"/>
          <w:szCs w:val="24"/>
        </w:rPr>
        <w:t>RWT on concurrent cash and n</w:t>
      </w:r>
      <w:r w:rsidR="008F2FF5">
        <w:rPr>
          <w:rFonts w:ascii="Times New Roman" w:hAnsi="Times New Roman"/>
          <w:i/>
          <w:sz w:val="24"/>
          <w:szCs w:val="24"/>
        </w:rPr>
        <w:t>on-cash dividends</w:t>
      </w:r>
    </w:p>
    <w:p w:rsidR="008F2FF5" w:rsidRPr="008F2FF5" w:rsidRDefault="008F2FF5" w:rsidP="008F2FF5">
      <w:pPr>
        <w:pStyle w:val="Bullet-list"/>
        <w:spacing w:after="0" w:line="240" w:lineRule="auto"/>
        <w:rPr>
          <w:rFonts w:ascii="Times New Roman" w:hAnsi="Times New Roman"/>
          <w:i/>
          <w:sz w:val="24"/>
          <w:szCs w:val="24"/>
        </w:rPr>
      </w:pPr>
    </w:p>
    <w:p w:rsidR="008F2FF5" w:rsidRDefault="008F2FF5" w:rsidP="00166E95">
      <w:pPr>
        <w:pStyle w:val="TRBodyText"/>
        <w:numPr>
          <w:ilvl w:val="0"/>
          <w:numId w:val="2"/>
        </w:numPr>
        <w:tabs>
          <w:tab w:val="clear" w:pos="360"/>
          <w:tab w:val="left" w:pos="0"/>
        </w:tabs>
        <w:ind w:left="0" w:firstLine="0"/>
        <w:rPr>
          <w:szCs w:val="24"/>
        </w:rPr>
      </w:pPr>
      <w:r>
        <w:rPr>
          <w:szCs w:val="24"/>
        </w:rPr>
        <w:t>Options to address concerns around the over-taxation</w:t>
      </w:r>
      <w:r w:rsidR="00762E12" w:rsidRPr="00762E12">
        <w:rPr>
          <w:szCs w:val="24"/>
        </w:rPr>
        <w:t xml:space="preserve"> </w:t>
      </w:r>
      <w:r w:rsidR="00762E12">
        <w:rPr>
          <w:szCs w:val="24"/>
        </w:rPr>
        <w:t>of cash and non-cash dividends paid concurrently</w:t>
      </w:r>
      <w:r>
        <w:rPr>
          <w:szCs w:val="24"/>
        </w:rPr>
        <w:t>, as well as the unnecessary compliance costs arising from th</w:t>
      </w:r>
      <w:r w:rsidR="00762E12">
        <w:rPr>
          <w:szCs w:val="24"/>
        </w:rPr>
        <w:t>e RWT obligations which apply</w:t>
      </w:r>
      <w:r>
        <w:rPr>
          <w:szCs w:val="24"/>
        </w:rPr>
        <w:t xml:space="preserve"> are:</w:t>
      </w:r>
    </w:p>
    <w:p w:rsidR="008F2FF5" w:rsidRDefault="008F2FF5" w:rsidP="00CA079F">
      <w:pPr>
        <w:rPr>
          <w:rFonts w:ascii="Times New Roman" w:hAnsi="Times New Roman"/>
          <w:b/>
          <w:i/>
          <w:sz w:val="24"/>
          <w:szCs w:val="24"/>
          <w:lang w:val="en-AU"/>
        </w:rPr>
      </w:pPr>
    </w:p>
    <w:p w:rsidR="00B21CD9" w:rsidRDefault="00B21CD9" w:rsidP="00CA079F">
      <w:pPr>
        <w:rPr>
          <w:rFonts w:ascii="Times New Roman" w:hAnsi="Times New Roman"/>
          <w:b/>
          <w:i/>
          <w:sz w:val="24"/>
          <w:szCs w:val="24"/>
          <w:lang w:val="en-AU"/>
        </w:rPr>
      </w:pPr>
    </w:p>
    <w:tbl>
      <w:tblPr>
        <w:tblStyle w:val="TableGrid"/>
        <w:tblW w:w="9464" w:type="dxa"/>
        <w:tblLook w:val="04A0" w:firstRow="1" w:lastRow="0" w:firstColumn="1" w:lastColumn="0" w:noHBand="0" w:noVBand="1"/>
      </w:tblPr>
      <w:tblGrid>
        <w:gridCol w:w="3936"/>
        <w:gridCol w:w="1701"/>
        <w:gridCol w:w="3827"/>
      </w:tblGrid>
      <w:tr w:rsidR="008F2FF5" w:rsidRPr="00871EE0" w:rsidTr="008F2FF5">
        <w:trPr>
          <w:cantSplit/>
          <w:trHeight w:val="274"/>
        </w:trPr>
        <w:tc>
          <w:tcPr>
            <w:tcW w:w="3936" w:type="dxa"/>
            <w:shd w:val="pct15" w:color="auto" w:fill="auto"/>
          </w:tcPr>
          <w:p w:rsidR="008F2FF5" w:rsidRDefault="008F2FF5" w:rsidP="008F2FF5">
            <w:pPr>
              <w:pStyle w:val="Bullet-list"/>
              <w:tabs>
                <w:tab w:val="num" w:pos="567"/>
              </w:tabs>
              <w:spacing w:after="0" w:line="240" w:lineRule="auto"/>
              <w:ind w:left="0" w:firstLine="0"/>
              <w:rPr>
                <w:rFonts w:ascii="Times New Roman" w:hAnsi="Times New Roman"/>
                <w:sz w:val="18"/>
                <w:szCs w:val="18"/>
              </w:rPr>
            </w:pPr>
            <w:r w:rsidRPr="000B7D6E">
              <w:rPr>
                <w:rFonts w:ascii="Times New Roman" w:hAnsi="Times New Roman"/>
                <w:b/>
                <w:sz w:val="18"/>
                <w:szCs w:val="18"/>
              </w:rPr>
              <w:t>Options:</w:t>
            </w:r>
          </w:p>
        </w:tc>
        <w:tc>
          <w:tcPr>
            <w:tcW w:w="1701" w:type="dxa"/>
            <w:shd w:val="pct15" w:color="auto" w:fill="auto"/>
          </w:tcPr>
          <w:p w:rsidR="008F2FF5" w:rsidRPr="000B7D6E" w:rsidRDefault="008F2FF5" w:rsidP="008F2FF5">
            <w:pPr>
              <w:pStyle w:val="Bullet-list"/>
              <w:tabs>
                <w:tab w:val="num" w:pos="567"/>
              </w:tabs>
              <w:spacing w:after="0" w:line="240" w:lineRule="auto"/>
              <w:ind w:left="0" w:firstLine="0"/>
              <w:rPr>
                <w:rFonts w:ascii="Times New Roman" w:hAnsi="Times New Roman"/>
                <w:b/>
                <w:sz w:val="18"/>
                <w:szCs w:val="18"/>
              </w:rPr>
            </w:pPr>
            <w:r w:rsidRPr="000B7D6E">
              <w:rPr>
                <w:rFonts w:ascii="Times New Roman" w:hAnsi="Times New Roman"/>
                <w:b/>
                <w:sz w:val="18"/>
                <w:szCs w:val="18"/>
              </w:rPr>
              <w:t>Re</w:t>
            </w:r>
            <w:r>
              <w:rPr>
                <w:rFonts w:ascii="Times New Roman" w:hAnsi="Times New Roman"/>
                <w:b/>
                <w:sz w:val="18"/>
                <w:szCs w:val="18"/>
              </w:rPr>
              <w:t>c</w:t>
            </w:r>
            <w:r w:rsidRPr="000B7D6E">
              <w:rPr>
                <w:rFonts w:ascii="Times New Roman" w:hAnsi="Times New Roman"/>
                <w:b/>
                <w:sz w:val="18"/>
                <w:szCs w:val="18"/>
              </w:rPr>
              <w:t>ommendations</w:t>
            </w:r>
          </w:p>
        </w:tc>
        <w:tc>
          <w:tcPr>
            <w:tcW w:w="3827" w:type="dxa"/>
            <w:shd w:val="pct15" w:color="auto" w:fill="auto"/>
          </w:tcPr>
          <w:p w:rsidR="008F2FF5" w:rsidRPr="000B7D6E" w:rsidRDefault="008F2FF5" w:rsidP="008F2FF5">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Analysis against objectives</w:t>
            </w:r>
          </w:p>
        </w:tc>
      </w:tr>
      <w:tr w:rsidR="00762E12" w:rsidRPr="00871EE0" w:rsidTr="008F2FF5">
        <w:trPr>
          <w:cantSplit/>
          <w:trHeight w:val="557"/>
        </w:trPr>
        <w:tc>
          <w:tcPr>
            <w:tcW w:w="3936" w:type="dxa"/>
          </w:tcPr>
          <w:p w:rsidR="00762E12" w:rsidRDefault="00762E12" w:rsidP="00B93D5F">
            <w:pPr>
              <w:pStyle w:val="Bullet-list"/>
              <w:tabs>
                <w:tab w:val="num" w:pos="567"/>
              </w:tabs>
              <w:spacing w:after="0" w:line="240" w:lineRule="auto"/>
              <w:ind w:left="0" w:firstLine="0"/>
              <w:rPr>
                <w:rFonts w:ascii="Times New Roman" w:hAnsi="Times New Roman"/>
                <w:sz w:val="18"/>
                <w:szCs w:val="18"/>
              </w:rPr>
            </w:pPr>
          </w:p>
          <w:p w:rsidR="00762E12" w:rsidRDefault="00762E12"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Option 1: A taxpayer should be able to opt to treat cash and non-cash dividends paid concurrently as a single dividend, when the cash dividend is sufficient to cover the RWT obligations for both dividends.</w:t>
            </w:r>
          </w:p>
          <w:p w:rsidR="00762E12" w:rsidRDefault="00762E12" w:rsidP="00B93D5F">
            <w:pPr>
              <w:pStyle w:val="Bullet-list"/>
              <w:tabs>
                <w:tab w:val="num" w:pos="567"/>
              </w:tabs>
              <w:spacing w:after="0" w:line="240" w:lineRule="auto"/>
              <w:ind w:left="0" w:firstLine="0"/>
              <w:rPr>
                <w:rFonts w:ascii="Times New Roman" w:hAnsi="Times New Roman"/>
                <w:sz w:val="18"/>
                <w:szCs w:val="18"/>
              </w:rPr>
            </w:pPr>
          </w:p>
        </w:tc>
        <w:tc>
          <w:tcPr>
            <w:tcW w:w="1701" w:type="dxa"/>
          </w:tcPr>
          <w:p w:rsidR="00762E12" w:rsidRDefault="00762E12" w:rsidP="00B93D5F">
            <w:pPr>
              <w:pStyle w:val="Bullet-list"/>
              <w:tabs>
                <w:tab w:val="num" w:pos="567"/>
              </w:tabs>
              <w:spacing w:after="0" w:line="240" w:lineRule="auto"/>
              <w:ind w:left="0" w:firstLine="0"/>
              <w:rPr>
                <w:rFonts w:ascii="Times New Roman" w:hAnsi="Times New Roman"/>
                <w:sz w:val="18"/>
                <w:szCs w:val="18"/>
              </w:rPr>
            </w:pPr>
          </w:p>
          <w:p w:rsidR="00762E12" w:rsidRDefault="00762E12"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Recommended.</w:t>
            </w:r>
          </w:p>
        </w:tc>
        <w:tc>
          <w:tcPr>
            <w:tcW w:w="3827" w:type="dxa"/>
          </w:tcPr>
          <w:p w:rsidR="00762E12" w:rsidRDefault="00762E12" w:rsidP="008F2FF5">
            <w:pPr>
              <w:pStyle w:val="Bullet-list"/>
              <w:tabs>
                <w:tab w:val="num" w:pos="567"/>
              </w:tabs>
              <w:spacing w:after="0" w:line="240" w:lineRule="auto"/>
              <w:ind w:left="0" w:firstLine="0"/>
              <w:rPr>
                <w:rFonts w:ascii="Times New Roman" w:hAnsi="Times New Roman"/>
                <w:sz w:val="18"/>
                <w:szCs w:val="18"/>
              </w:rPr>
            </w:pPr>
          </w:p>
          <w:p w:rsidR="00762E12" w:rsidRDefault="00CF3834" w:rsidP="008F2FF5">
            <w:pPr>
              <w:pStyle w:val="Bullet-list"/>
              <w:spacing w:after="0" w:line="240" w:lineRule="auto"/>
              <w:ind w:left="33" w:firstLine="0"/>
              <w:rPr>
                <w:rFonts w:ascii="Times New Roman" w:hAnsi="Times New Roman"/>
                <w:sz w:val="18"/>
                <w:szCs w:val="18"/>
              </w:rPr>
            </w:pPr>
            <w:r>
              <w:rPr>
                <w:rFonts w:ascii="Times New Roman" w:hAnsi="Times New Roman"/>
                <w:i/>
                <w:sz w:val="18"/>
                <w:szCs w:val="18"/>
              </w:rPr>
              <w:t>Overall efficiency</w:t>
            </w:r>
            <w:r w:rsidR="00762E12" w:rsidRPr="00C20580">
              <w:rPr>
                <w:rFonts w:ascii="Times New Roman" w:hAnsi="Times New Roman"/>
                <w:i/>
                <w:sz w:val="18"/>
                <w:szCs w:val="18"/>
              </w:rPr>
              <w:t xml:space="preserve">: </w:t>
            </w:r>
            <w:r w:rsidR="00762E12">
              <w:rPr>
                <w:rFonts w:ascii="Times New Roman" w:hAnsi="Times New Roman"/>
                <w:sz w:val="18"/>
                <w:szCs w:val="18"/>
              </w:rPr>
              <w:t>Meets objective.</w:t>
            </w:r>
          </w:p>
          <w:p w:rsidR="00762E12" w:rsidRDefault="00762E12" w:rsidP="008F2FF5">
            <w:pPr>
              <w:pStyle w:val="Bullet-list"/>
              <w:spacing w:after="0" w:line="240" w:lineRule="auto"/>
              <w:ind w:left="33" w:firstLine="0"/>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Meets objective.</w:t>
            </w:r>
          </w:p>
          <w:p w:rsidR="00762E12" w:rsidRPr="00C20580" w:rsidRDefault="00762E12" w:rsidP="008F2FF5">
            <w:pPr>
              <w:pStyle w:val="Bullet-list"/>
              <w:spacing w:after="0" w:line="240" w:lineRule="auto"/>
              <w:ind w:left="33" w:firstLine="0"/>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Pr>
                <w:rFonts w:ascii="Times New Roman" w:hAnsi="Times New Roman"/>
                <w:sz w:val="18"/>
                <w:szCs w:val="18"/>
              </w:rPr>
              <w:t>Meets objective</w:t>
            </w:r>
          </w:p>
          <w:p w:rsidR="00762E12" w:rsidRDefault="00762E12" w:rsidP="008F2FF5">
            <w:pPr>
              <w:pStyle w:val="Bullet-list"/>
              <w:tabs>
                <w:tab w:val="num" w:pos="567"/>
              </w:tabs>
              <w:spacing w:after="0" w:line="240" w:lineRule="auto"/>
              <w:ind w:left="0" w:firstLine="0"/>
              <w:rPr>
                <w:rFonts w:ascii="Times New Roman" w:hAnsi="Times New Roman"/>
                <w:sz w:val="18"/>
                <w:szCs w:val="18"/>
              </w:rPr>
            </w:pPr>
          </w:p>
        </w:tc>
      </w:tr>
      <w:tr w:rsidR="00762E12" w:rsidRPr="00871EE0" w:rsidTr="008F2FF5">
        <w:trPr>
          <w:cantSplit/>
          <w:trHeight w:val="1407"/>
        </w:trPr>
        <w:tc>
          <w:tcPr>
            <w:tcW w:w="3936" w:type="dxa"/>
          </w:tcPr>
          <w:p w:rsidR="00762E12" w:rsidRDefault="00762E12" w:rsidP="00B93D5F">
            <w:pPr>
              <w:pStyle w:val="Bullet-list"/>
              <w:tabs>
                <w:tab w:val="num" w:pos="567"/>
              </w:tabs>
              <w:spacing w:after="0" w:line="240" w:lineRule="auto"/>
              <w:ind w:left="0" w:firstLine="0"/>
              <w:rPr>
                <w:rFonts w:ascii="Times New Roman" w:hAnsi="Times New Roman"/>
                <w:sz w:val="18"/>
                <w:szCs w:val="18"/>
              </w:rPr>
            </w:pPr>
          </w:p>
          <w:p w:rsidR="00762E12" w:rsidRDefault="00762E12"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Option 2: A taxpayer should not be able to opt to treat cash and non-cash dividends paid concurrently as a single dividend, with the two dividends remaining separate for the purposes of the RWT obligations (status quo).</w:t>
            </w:r>
          </w:p>
        </w:tc>
        <w:tc>
          <w:tcPr>
            <w:tcW w:w="1701" w:type="dxa"/>
          </w:tcPr>
          <w:p w:rsidR="00762E12" w:rsidRDefault="00762E12" w:rsidP="00B93D5F">
            <w:pPr>
              <w:pStyle w:val="Bullet-list"/>
              <w:tabs>
                <w:tab w:val="num" w:pos="567"/>
              </w:tabs>
              <w:spacing w:after="0" w:line="240" w:lineRule="auto"/>
              <w:ind w:left="0" w:firstLine="0"/>
              <w:rPr>
                <w:rFonts w:ascii="Times New Roman" w:hAnsi="Times New Roman"/>
                <w:sz w:val="18"/>
                <w:szCs w:val="18"/>
              </w:rPr>
            </w:pPr>
          </w:p>
          <w:p w:rsidR="00762E12" w:rsidRDefault="00762E12"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Not recommended.</w:t>
            </w:r>
          </w:p>
        </w:tc>
        <w:tc>
          <w:tcPr>
            <w:tcW w:w="3827" w:type="dxa"/>
          </w:tcPr>
          <w:p w:rsidR="00762E12" w:rsidRDefault="00762E12" w:rsidP="008F2FF5">
            <w:pPr>
              <w:pStyle w:val="Bullet-list"/>
              <w:tabs>
                <w:tab w:val="num" w:pos="567"/>
              </w:tabs>
              <w:spacing w:after="0" w:line="240" w:lineRule="auto"/>
              <w:ind w:left="0" w:firstLine="0"/>
              <w:rPr>
                <w:rFonts w:ascii="Times New Roman" w:hAnsi="Times New Roman"/>
                <w:sz w:val="18"/>
                <w:szCs w:val="18"/>
              </w:rPr>
            </w:pPr>
          </w:p>
          <w:p w:rsidR="00762E12" w:rsidRDefault="00CF3834" w:rsidP="00762E12">
            <w:pPr>
              <w:pStyle w:val="Bullet-list"/>
              <w:spacing w:after="0" w:line="240" w:lineRule="auto"/>
              <w:ind w:left="0" w:firstLine="0"/>
              <w:rPr>
                <w:rFonts w:ascii="Times New Roman" w:hAnsi="Times New Roman"/>
                <w:sz w:val="18"/>
                <w:szCs w:val="18"/>
              </w:rPr>
            </w:pPr>
            <w:r>
              <w:rPr>
                <w:rFonts w:ascii="Times New Roman" w:hAnsi="Times New Roman"/>
                <w:i/>
                <w:sz w:val="18"/>
                <w:szCs w:val="18"/>
              </w:rPr>
              <w:t>Overall efficiency</w:t>
            </w:r>
            <w:r w:rsidR="00762E12" w:rsidRPr="00C20580">
              <w:rPr>
                <w:rFonts w:ascii="Times New Roman" w:hAnsi="Times New Roman"/>
                <w:i/>
                <w:sz w:val="18"/>
                <w:szCs w:val="18"/>
              </w:rPr>
              <w:t xml:space="preserve">: </w:t>
            </w:r>
            <w:r w:rsidR="00762E12">
              <w:rPr>
                <w:rFonts w:ascii="Times New Roman" w:hAnsi="Times New Roman"/>
                <w:sz w:val="18"/>
                <w:szCs w:val="18"/>
              </w:rPr>
              <w:t>Does not meet objective.</w:t>
            </w:r>
          </w:p>
          <w:p w:rsidR="00762E12" w:rsidRDefault="00762E12" w:rsidP="00762E12">
            <w:pPr>
              <w:pStyle w:val="Bullet-list"/>
              <w:spacing w:after="0" w:line="240" w:lineRule="auto"/>
              <w:ind w:left="0" w:firstLine="0"/>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Does not meet objective.</w:t>
            </w:r>
          </w:p>
          <w:p w:rsidR="00762E12" w:rsidRPr="00C20580" w:rsidRDefault="00762E12" w:rsidP="00762E12">
            <w:pPr>
              <w:pStyle w:val="Bullet-list"/>
              <w:spacing w:after="0" w:line="240" w:lineRule="auto"/>
              <w:ind w:left="0" w:firstLine="0"/>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Pr>
                <w:rFonts w:ascii="Times New Roman" w:hAnsi="Times New Roman"/>
                <w:sz w:val="18"/>
                <w:szCs w:val="18"/>
              </w:rPr>
              <w:t>Does not meet objective.</w:t>
            </w:r>
          </w:p>
          <w:p w:rsidR="00762E12" w:rsidRDefault="00762E12" w:rsidP="008F2FF5">
            <w:pPr>
              <w:pStyle w:val="Bullet-list"/>
              <w:tabs>
                <w:tab w:val="num" w:pos="567"/>
              </w:tabs>
              <w:spacing w:after="0" w:line="240" w:lineRule="auto"/>
              <w:ind w:left="0" w:firstLine="0"/>
              <w:rPr>
                <w:rFonts w:ascii="Times New Roman" w:hAnsi="Times New Roman"/>
                <w:sz w:val="18"/>
                <w:szCs w:val="18"/>
              </w:rPr>
            </w:pPr>
          </w:p>
        </w:tc>
      </w:tr>
    </w:tbl>
    <w:p w:rsidR="008F2FF5" w:rsidRDefault="008F2FF5" w:rsidP="00CA079F">
      <w:pPr>
        <w:rPr>
          <w:rFonts w:ascii="Times New Roman" w:hAnsi="Times New Roman"/>
          <w:b/>
          <w:i/>
          <w:sz w:val="24"/>
          <w:szCs w:val="24"/>
          <w:lang w:val="en-AU"/>
        </w:rPr>
      </w:pPr>
    </w:p>
    <w:p w:rsidR="00CA079F" w:rsidRPr="00C15E38" w:rsidRDefault="00CA079F" w:rsidP="00CA079F">
      <w:pPr>
        <w:rPr>
          <w:rFonts w:ascii="Times New Roman" w:hAnsi="Times New Roman"/>
          <w:b/>
          <w:i/>
          <w:sz w:val="24"/>
          <w:szCs w:val="24"/>
          <w:lang w:val="en-AU"/>
        </w:rPr>
      </w:pPr>
      <w:r w:rsidRPr="00C15E38">
        <w:rPr>
          <w:rFonts w:ascii="Times New Roman" w:hAnsi="Times New Roman"/>
          <w:b/>
          <w:i/>
          <w:sz w:val="24"/>
          <w:szCs w:val="24"/>
          <w:lang w:val="en-AU"/>
        </w:rPr>
        <w:t>Rules which restrict commercial practice</w:t>
      </w:r>
    </w:p>
    <w:p w:rsidR="00CA079F" w:rsidRPr="002F177E" w:rsidRDefault="00CA079F" w:rsidP="00B93D5F">
      <w:pPr>
        <w:pStyle w:val="Bullet-list"/>
        <w:spacing w:after="0" w:line="240" w:lineRule="auto"/>
        <w:ind w:left="0" w:firstLine="0"/>
        <w:rPr>
          <w:rFonts w:ascii="Times New Roman" w:hAnsi="Times New Roman"/>
          <w:i/>
          <w:sz w:val="24"/>
          <w:szCs w:val="24"/>
        </w:rPr>
      </w:pPr>
      <w:r w:rsidRPr="002F177E">
        <w:rPr>
          <w:rFonts w:ascii="Times New Roman" w:hAnsi="Times New Roman"/>
          <w:i/>
          <w:sz w:val="24"/>
          <w:szCs w:val="24"/>
        </w:rPr>
        <w:t>LTC restriction on share classes</w:t>
      </w:r>
    </w:p>
    <w:p w:rsidR="00274BE1" w:rsidRDefault="00274BE1" w:rsidP="00CA079F">
      <w:pPr>
        <w:pStyle w:val="Bullet-list"/>
        <w:spacing w:after="0" w:line="240" w:lineRule="auto"/>
        <w:ind w:left="0" w:firstLine="0"/>
        <w:rPr>
          <w:rFonts w:ascii="Times New Roman" w:hAnsi="Times New Roman"/>
          <w:i/>
          <w:sz w:val="24"/>
          <w:szCs w:val="24"/>
        </w:rPr>
      </w:pPr>
    </w:p>
    <w:p w:rsidR="00B93D5F" w:rsidRDefault="00B93D5F" w:rsidP="00166E95">
      <w:pPr>
        <w:pStyle w:val="TRBodyText"/>
        <w:numPr>
          <w:ilvl w:val="0"/>
          <w:numId w:val="2"/>
        </w:numPr>
        <w:tabs>
          <w:tab w:val="clear" w:pos="360"/>
          <w:tab w:val="left" w:pos="0"/>
        </w:tabs>
        <w:ind w:left="0" w:firstLine="0"/>
        <w:rPr>
          <w:szCs w:val="24"/>
        </w:rPr>
      </w:pPr>
      <w:r>
        <w:rPr>
          <w:szCs w:val="24"/>
        </w:rPr>
        <w:t>Options to address the concern that the restriction applying to LTC shares</w:t>
      </w:r>
      <w:r w:rsidR="005216EB">
        <w:rPr>
          <w:szCs w:val="24"/>
        </w:rPr>
        <w:t xml:space="preserve"> unduly restricts</w:t>
      </w:r>
      <w:r>
        <w:rPr>
          <w:szCs w:val="24"/>
        </w:rPr>
        <w:t xml:space="preserve"> commercial practice</w:t>
      </w:r>
      <w:r w:rsidR="002D2101">
        <w:rPr>
          <w:szCs w:val="24"/>
        </w:rPr>
        <w:t xml:space="preserve"> are</w:t>
      </w:r>
      <w:r>
        <w:rPr>
          <w:szCs w:val="24"/>
        </w:rPr>
        <w:t>:</w:t>
      </w:r>
    </w:p>
    <w:p w:rsidR="00B93D5F" w:rsidRDefault="00B93D5F" w:rsidP="00CA079F">
      <w:pPr>
        <w:pStyle w:val="Bullet-list"/>
        <w:spacing w:after="0" w:line="240" w:lineRule="auto"/>
        <w:ind w:left="0" w:firstLine="0"/>
        <w:rPr>
          <w:rFonts w:ascii="Times New Roman" w:hAnsi="Times New Roman"/>
          <w:i/>
          <w:sz w:val="24"/>
          <w:szCs w:val="24"/>
        </w:rPr>
      </w:pPr>
    </w:p>
    <w:tbl>
      <w:tblPr>
        <w:tblStyle w:val="TableGrid"/>
        <w:tblW w:w="9464" w:type="dxa"/>
        <w:tblLook w:val="04A0" w:firstRow="1" w:lastRow="0" w:firstColumn="1" w:lastColumn="0" w:noHBand="0" w:noVBand="1"/>
      </w:tblPr>
      <w:tblGrid>
        <w:gridCol w:w="3936"/>
        <w:gridCol w:w="1701"/>
        <w:gridCol w:w="3827"/>
      </w:tblGrid>
      <w:tr w:rsidR="00B93D5F" w:rsidRPr="00871EE0" w:rsidTr="00B93D5F">
        <w:trPr>
          <w:cantSplit/>
          <w:trHeight w:val="274"/>
        </w:trPr>
        <w:tc>
          <w:tcPr>
            <w:tcW w:w="3936" w:type="dxa"/>
            <w:shd w:val="pct15" w:color="auto" w:fill="auto"/>
          </w:tcPr>
          <w:p w:rsidR="00B93D5F" w:rsidRDefault="00B93D5F" w:rsidP="00B93D5F">
            <w:pPr>
              <w:pStyle w:val="Bullet-list"/>
              <w:tabs>
                <w:tab w:val="num" w:pos="567"/>
              </w:tabs>
              <w:spacing w:after="0" w:line="240" w:lineRule="auto"/>
              <w:ind w:left="0" w:firstLine="0"/>
              <w:rPr>
                <w:rFonts w:ascii="Times New Roman" w:hAnsi="Times New Roman"/>
                <w:sz w:val="18"/>
                <w:szCs w:val="18"/>
              </w:rPr>
            </w:pPr>
            <w:r w:rsidRPr="000B7D6E">
              <w:rPr>
                <w:rFonts w:ascii="Times New Roman" w:hAnsi="Times New Roman"/>
                <w:b/>
                <w:sz w:val="18"/>
                <w:szCs w:val="18"/>
              </w:rPr>
              <w:t>Options:</w:t>
            </w:r>
          </w:p>
        </w:tc>
        <w:tc>
          <w:tcPr>
            <w:tcW w:w="1701" w:type="dxa"/>
            <w:shd w:val="pct15" w:color="auto" w:fill="auto"/>
          </w:tcPr>
          <w:p w:rsidR="00B93D5F" w:rsidRPr="000B7D6E" w:rsidRDefault="00B93D5F" w:rsidP="00B93D5F">
            <w:pPr>
              <w:pStyle w:val="Bullet-list"/>
              <w:tabs>
                <w:tab w:val="num" w:pos="567"/>
              </w:tabs>
              <w:spacing w:after="0" w:line="240" w:lineRule="auto"/>
              <w:ind w:left="0" w:firstLine="0"/>
              <w:rPr>
                <w:rFonts w:ascii="Times New Roman" w:hAnsi="Times New Roman"/>
                <w:b/>
                <w:sz w:val="18"/>
                <w:szCs w:val="18"/>
              </w:rPr>
            </w:pPr>
            <w:r w:rsidRPr="000B7D6E">
              <w:rPr>
                <w:rFonts w:ascii="Times New Roman" w:hAnsi="Times New Roman"/>
                <w:b/>
                <w:sz w:val="18"/>
                <w:szCs w:val="18"/>
              </w:rPr>
              <w:t>Re</w:t>
            </w:r>
            <w:r>
              <w:rPr>
                <w:rFonts w:ascii="Times New Roman" w:hAnsi="Times New Roman"/>
                <w:b/>
                <w:sz w:val="18"/>
                <w:szCs w:val="18"/>
              </w:rPr>
              <w:t>c</w:t>
            </w:r>
            <w:r w:rsidRPr="000B7D6E">
              <w:rPr>
                <w:rFonts w:ascii="Times New Roman" w:hAnsi="Times New Roman"/>
                <w:b/>
                <w:sz w:val="18"/>
                <w:szCs w:val="18"/>
              </w:rPr>
              <w:t>ommendations</w:t>
            </w:r>
          </w:p>
        </w:tc>
        <w:tc>
          <w:tcPr>
            <w:tcW w:w="3827" w:type="dxa"/>
            <w:shd w:val="pct15" w:color="auto" w:fill="auto"/>
          </w:tcPr>
          <w:p w:rsidR="00B93D5F" w:rsidRPr="000B7D6E" w:rsidRDefault="00B93D5F" w:rsidP="00B93D5F">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Analysis against objectives</w:t>
            </w:r>
          </w:p>
        </w:tc>
      </w:tr>
      <w:tr w:rsidR="00B93D5F" w:rsidRPr="00871EE0" w:rsidTr="00B93D5F">
        <w:trPr>
          <w:cantSplit/>
          <w:trHeight w:val="557"/>
        </w:trPr>
        <w:tc>
          <w:tcPr>
            <w:tcW w:w="3936"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Default="00B93D5F"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Option 1: LTCs should have the option of having more than one share class.</w:t>
            </w:r>
          </w:p>
        </w:tc>
        <w:tc>
          <w:tcPr>
            <w:tcW w:w="1701"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Default="00B93D5F"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Not recommended.</w:t>
            </w:r>
          </w:p>
        </w:tc>
        <w:tc>
          <w:tcPr>
            <w:tcW w:w="3827"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Default="00CF3834" w:rsidP="00B93D5F">
            <w:pPr>
              <w:pStyle w:val="Bullet-list"/>
              <w:spacing w:after="0" w:line="240" w:lineRule="auto"/>
              <w:ind w:left="33" w:firstLine="0"/>
              <w:rPr>
                <w:rFonts w:ascii="Times New Roman" w:hAnsi="Times New Roman"/>
                <w:sz w:val="18"/>
                <w:szCs w:val="18"/>
              </w:rPr>
            </w:pPr>
            <w:r>
              <w:rPr>
                <w:rFonts w:ascii="Times New Roman" w:hAnsi="Times New Roman"/>
                <w:i/>
                <w:sz w:val="18"/>
                <w:szCs w:val="18"/>
              </w:rPr>
              <w:t>Overall efficiency</w:t>
            </w:r>
            <w:r w:rsidR="00B93D5F" w:rsidRPr="00C20580">
              <w:rPr>
                <w:rFonts w:ascii="Times New Roman" w:hAnsi="Times New Roman"/>
                <w:i/>
                <w:sz w:val="18"/>
                <w:szCs w:val="18"/>
              </w:rPr>
              <w:t xml:space="preserve">: </w:t>
            </w:r>
            <w:r w:rsidR="00CB7F60">
              <w:rPr>
                <w:rFonts w:ascii="Times New Roman" w:hAnsi="Times New Roman"/>
                <w:sz w:val="18"/>
                <w:szCs w:val="18"/>
              </w:rPr>
              <w:t xml:space="preserve">Partly meets </w:t>
            </w:r>
            <w:r w:rsidR="00B93D5F">
              <w:rPr>
                <w:rFonts w:ascii="Times New Roman" w:hAnsi="Times New Roman"/>
                <w:sz w:val="18"/>
                <w:szCs w:val="18"/>
              </w:rPr>
              <w:t>objective.</w:t>
            </w:r>
          </w:p>
          <w:p w:rsidR="00B93D5F" w:rsidRDefault="00B93D5F" w:rsidP="00B93D5F">
            <w:pPr>
              <w:pStyle w:val="Bullet-list"/>
              <w:spacing w:after="0" w:line="240" w:lineRule="auto"/>
              <w:ind w:left="33" w:firstLine="0"/>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w:t>
            </w:r>
            <w:r w:rsidR="00CB7F60">
              <w:rPr>
                <w:rFonts w:ascii="Times New Roman" w:hAnsi="Times New Roman"/>
                <w:sz w:val="18"/>
                <w:szCs w:val="18"/>
              </w:rPr>
              <w:t xml:space="preserve">Partly </w:t>
            </w:r>
            <w:r>
              <w:rPr>
                <w:rFonts w:ascii="Times New Roman" w:hAnsi="Times New Roman"/>
                <w:sz w:val="18"/>
                <w:szCs w:val="18"/>
              </w:rPr>
              <w:t>meets objective.</w:t>
            </w:r>
          </w:p>
          <w:p w:rsidR="00B93D5F" w:rsidRPr="00C20580" w:rsidRDefault="00B93D5F" w:rsidP="00B93D5F">
            <w:pPr>
              <w:pStyle w:val="Bullet-list"/>
              <w:spacing w:after="0" w:line="240" w:lineRule="auto"/>
              <w:ind w:left="33" w:firstLine="0"/>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Pr>
                <w:rFonts w:ascii="Times New Roman" w:hAnsi="Times New Roman"/>
                <w:sz w:val="18"/>
                <w:szCs w:val="18"/>
              </w:rPr>
              <w:t>Does not meet objective.</w:t>
            </w:r>
          </w:p>
          <w:p w:rsidR="00B93D5F" w:rsidRDefault="00B93D5F" w:rsidP="00B93D5F">
            <w:pPr>
              <w:pStyle w:val="Bullet-list"/>
              <w:tabs>
                <w:tab w:val="num" w:pos="567"/>
              </w:tabs>
              <w:spacing w:after="0" w:line="240" w:lineRule="auto"/>
              <w:ind w:left="0" w:firstLine="0"/>
              <w:rPr>
                <w:rFonts w:ascii="Times New Roman" w:hAnsi="Times New Roman"/>
                <w:sz w:val="18"/>
                <w:szCs w:val="18"/>
              </w:rPr>
            </w:pPr>
          </w:p>
        </w:tc>
      </w:tr>
      <w:tr w:rsidR="00B93D5F" w:rsidRPr="00871EE0" w:rsidTr="00B93D5F">
        <w:trPr>
          <w:cantSplit/>
          <w:trHeight w:val="954"/>
        </w:trPr>
        <w:tc>
          <w:tcPr>
            <w:tcW w:w="3936"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Default="00B93D5F"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Option 2: A LTC should be able to have more than one class of shares provided all shares still have uniform entitlements to distributions from the LTC (i.e. differentiate on voting rights only).</w:t>
            </w:r>
          </w:p>
          <w:p w:rsidR="00B93D5F" w:rsidRDefault="00B93D5F" w:rsidP="00B93D5F">
            <w:pPr>
              <w:pStyle w:val="Bullet-list"/>
              <w:tabs>
                <w:tab w:val="num" w:pos="567"/>
              </w:tabs>
              <w:spacing w:after="0" w:line="240" w:lineRule="auto"/>
              <w:ind w:left="0" w:firstLine="0"/>
              <w:rPr>
                <w:rFonts w:ascii="Times New Roman" w:hAnsi="Times New Roman"/>
                <w:sz w:val="18"/>
                <w:szCs w:val="18"/>
              </w:rPr>
            </w:pPr>
          </w:p>
        </w:tc>
        <w:tc>
          <w:tcPr>
            <w:tcW w:w="1701"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Default="00B93D5F"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Recommended.</w:t>
            </w:r>
          </w:p>
        </w:tc>
        <w:tc>
          <w:tcPr>
            <w:tcW w:w="3827"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Default="00CF3834" w:rsidP="00B93D5F">
            <w:pPr>
              <w:pStyle w:val="Bullet-list"/>
              <w:spacing w:after="0" w:line="240" w:lineRule="auto"/>
              <w:ind w:left="0" w:firstLine="0"/>
              <w:rPr>
                <w:rFonts w:ascii="Times New Roman" w:hAnsi="Times New Roman"/>
                <w:sz w:val="18"/>
                <w:szCs w:val="18"/>
              </w:rPr>
            </w:pPr>
            <w:r>
              <w:rPr>
                <w:rFonts w:ascii="Times New Roman" w:hAnsi="Times New Roman"/>
                <w:i/>
                <w:sz w:val="18"/>
                <w:szCs w:val="18"/>
              </w:rPr>
              <w:t>Overall efficiency</w:t>
            </w:r>
            <w:r w:rsidR="00B93D5F" w:rsidRPr="00C20580">
              <w:rPr>
                <w:rFonts w:ascii="Times New Roman" w:hAnsi="Times New Roman"/>
                <w:i/>
                <w:sz w:val="18"/>
                <w:szCs w:val="18"/>
              </w:rPr>
              <w:t xml:space="preserve">: </w:t>
            </w:r>
            <w:r w:rsidR="00D557B6" w:rsidRPr="00D557B6">
              <w:rPr>
                <w:rFonts w:ascii="Times New Roman" w:hAnsi="Times New Roman"/>
                <w:sz w:val="18"/>
                <w:szCs w:val="18"/>
              </w:rPr>
              <w:t>M</w:t>
            </w:r>
            <w:r w:rsidR="00B93D5F" w:rsidRPr="00D557B6">
              <w:rPr>
                <w:rFonts w:ascii="Times New Roman" w:hAnsi="Times New Roman"/>
                <w:sz w:val="18"/>
                <w:szCs w:val="18"/>
              </w:rPr>
              <w:t>e</w:t>
            </w:r>
            <w:r w:rsidR="00B93D5F">
              <w:rPr>
                <w:rFonts w:ascii="Times New Roman" w:hAnsi="Times New Roman"/>
                <w:sz w:val="18"/>
                <w:szCs w:val="18"/>
              </w:rPr>
              <w:t>ets objective.</w:t>
            </w:r>
          </w:p>
          <w:p w:rsidR="00B93D5F" w:rsidRDefault="00B93D5F" w:rsidP="00B93D5F">
            <w:pPr>
              <w:pStyle w:val="Bullet-list"/>
              <w:spacing w:after="0" w:line="240" w:lineRule="auto"/>
              <w:ind w:left="0" w:firstLine="0"/>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w:t>
            </w:r>
            <w:r w:rsidR="00D557B6">
              <w:rPr>
                <w:rFonts w:ascii="Times New Roman" w:hAnsi="Times New Roman"/>
                <w:sz w:val="18"/>
                <w:szCs w:val="18"/>
              </w:rPr>
              <w:t>Mostly m</w:t>
            </w:r>
            <w:r w:rsidRPr="00C20580">
              <w:rPr>
                <w:rFonts w:ascii="Times New Roman" w:hAnsi="Times New Roman"/>
                <w:sz w:val="18"/>
                <w:szCs w:val="18"/>
              </w:rPr>
              <w:t>eet</w:t>
            </w:r>
            <w:r>
              <w:rPr>
                <w:rFonts w:ascii="Times New Roman" w:hAnsi="Times New Roman"/>
                <w:sz w:val="18"/>
                <w:szCs w:val="18"/>
              </w:rPr>
              <w:t>s</w:t>
            </w:r>
            <w:r w:rsidRPr="00C20580">
              <w:rPr>
                <w:rFonts w:ascii="Times New Roman" w:hAnsi="Times New Roman"/>
                <w:sz w:val="18"/>
                <w:szCs w:val="18"/>
              </w:rPr>
              <w:t xml:space="preserve"> objective</w:t>
            </w:r>
            <w:r w:rsidR="00D557B6">
              <w:rPr>
                <w:rFonts w:ascii="Times New Roman" w:hAnsi="Times New Roman"/>
                <w:sz w:val="18"/>
                <w:szCs w:val="18"/>
              </w:rPr>
              <w:t>.</w:t>
            </w:r>
          </w:p>
          <w:p w:rsidR="00B93D5F" w:rsidRDefault="00B93D5F" w:rsidP="00B93D5F">
            <w:pPr>
              <w:pStyle w:val="Bullet-list"/>
              <w:spacing w:after="0" w:line="240" w:lineRule="auto"/>
              <w:ind w:left="0" w:firstLine="0"/>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D557B6">
              <w:rPr>
                <w:rFonts w:ascii="Times New Roman" w:hAnsi="Times New Roman"/>
                <w:sz w:val="18"/>
                <w:szCs w:val="18"/>
              </w:rPr>
              <w:t>M</w:t>
            </w:r>
            <w:r>
              <w:rPr>
                <w:rFonts w:ascii="Times New Roman" w:hAnsi="Times New Roman"/>
                <w:sz w:val="18"/>
                <w:szCs w:val="18"/>
              </w:rPr>
              <w:t>eet</w:t>
            </w:r>
            <w:r w:rsidR="00D557B6">
              <w:rPr>
                <w:rFonts w:ascii="Times New Roman" w:hAnsi="Times New Roman"/>
                <w:sz w:val="18"/>
                <w:szCs w:val="18"/>
              </w:rPr>
              <w:t>s</w:t>
            </w:r>
            <w:r>
              <w:rPr>
                <w:rFonts w:ascii="Times New Roman" w:hAnsi="Times New Roman"/>
                <w:sz w:val="18"/>
                <w:szCs w:val="18"/>
              </w:rPr>
              <w:t xml:space="preserve"> objective. </w:t>
            </w:r>
          </w:p>
        </w:tc>
      </w:tr>
      <w:tr w:rsidR="00B93D5F" w:rsidTr="00B93D5F">
        <w:trPr>
          <w:cantSplit/>
          <w:trHeight w:val="986"/>
        </w:trPr>
        <w:tc>
          <w:tcPr>
            <w:tcW w:w="3936"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Default="00B93D5F"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Option 3: LTCs should continue to be restricted to having just one share class (status quo).</w:t>
            </w:r>
          </w:p>
        </w:tc>
        <w:tc>
          <w:tcPr>
            <w:tcW w:w="1701"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Default="00B93D5F"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Not recommended.</w:t>
            </w:r>
          </w:p>
        </w:tc>
        <w:tc>
          <w:tcPr>
            <w:tcW w:w="3827" w:type="dxa"/>
          </w:tcPr>
          <w:p w:rsidR="00B93D5F" w:rsidRDefault="00B93D5F" w:rsidP="00B93D5F">
            <w:pPr>
              <w:pStyle w:val="Bullet-list"/>
              <w:spacing w:after="0" w:line="240" w:lineRule="auto"/>
              <w:ind w:left="0" w:firstLine="0"/>
              <w:rPr>
                <w:rFonts w:ascii="Times New Roman" w:hAnsi="Times New Roman"/>
                <w:i/>
                <w:sz w:val="18"/>
                <w:szCs w:val="18"/>
              </w:rPr>
            </w:pPr>
          </w:p>
          <w:p w:rsidR="00B93D5F" w:rsidRDefault="00CF3834" w:rsidP="00B93D5F">
            <w:pPr>
              <w:pStyle w:val="Bullet-list"/>
              <w:spacing w:after="0" w:line="240" w:lineRule="auto"/>
              <w:ind w:left="0" w:firstLine="0"/>
              <w:rPr>
                <w:rFonts w:ascii="Times New Roman" w:hAnsi="Times New Roman"/>
                <w:sz w:val="18"/>
                <w:szCs w:val="18"/>
              </w:rPr>
            </w:pPr>
            <w:r>
              <w:rPr>
                <w:rFonts w:ascii="Times New Roman" w:hAnsi="Times New Roman"/>
                <w:i/>
                <w:sz w:val="18"/>
                <w:szCs w:val="18"/>
              </w:rPr>
              <w:t>Overall efficiency</w:t>
            </w:r>
            <w:r w:rsidR="00B93D5F" w:rsidRPr="00C20580">
              <w:rPr>
                <w:rFonts w:ascii="Times New Roman" w:hAnsi="Times New Roman"/>
                <w:i/>
                <w:sz w:val="18"/>
                <w:szCs w:val="18"/>
              </w:rPr>
              <w:t xml:space="preserve">: </w:t>
            </w:r>
            <w:r w:rsidR="00D557B6">
              <w:rPr>
                <w:rFonts w:ascii="Times New Roman" w:hAnsi="Times New Roman"/>
                <w:sz w:val="18"/>
                <w:szCs w:val="18"/>
              </w:rPr>
              <w:t>Do</w:t>
            </w:r>
            <w:r w:rsidR="00B93D5F">
              <w:rPr>
                <w:rFonts w:ascii="Times New Roman" w:hAnsi="Times New Roman"/>
                <w:sz w:val="18"/>
                <w:szCs w:val="18"/>
              </w:rPr>
              <w:t>es not meet objective.</w:t>
            </w:r>
          </w:p>
          <w:p w:rsidR="00B93D5F" w:rsidRDefault="00B93D5F" w:rsidP="00B93D5F">
            <w:pPr>
              <w:pStyle w:val="Bullet-list"/>
              <w:spacing w:after="0" w:line="240" w:lineRule="auto"/>
              <w:ind w:left="0" w:firstLine="0"/>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Does not meet objective.</w:t>
            </w:r>
          </w:p>
          <w:p w:rsidR="00B93D5F" w:rsidRPr="00C20580" w:rsidRDefault="00B93D5F" w:rsidP="00B93D5F">
            <w:pPr>
              <w:pStyle w:val="Bullet-list"/>
              <w:spacing w:after="0" w:line="240" w:lineRule="auto"/>
              <w:ind w:left="0" w:firstLine="0"/>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D557B6">
              <w:rPr>
                <w:rFonts w:ascii="Times New Roman" w:hAnsi="Times New Roman"/>
                <w:sz w:val="18"/>
                <w:szCs w:val="18"/>
              </w:rPr>
              <w:t>No impact</w:t>
            </w:r>
            <w:r>
              <w:rPr>
                <w:rFonts w:ascii="Times New Roman" w:hAnsi="Times New Roman"/>
                <w:sz w:val="18"/>
                <w:szCs w:val="18"/>
              </w:rPr>
              <w:t>.</w:t>
            </w:r>
          </w:p>
          <w:p w:rsidR="00B93D5F" w:rsidRDefault="00B93D5F" w:rsidP="00B93D5F">
            <w:pPr>
              <w:pStyle w:val="Bullet-list"/>
              <w:tabs>
                <w:tab w:val="num" w:pos="567"/>
              </w:tabs>
              <w:spacing w:after="0" w:line="240" w:lineRule="auto"/>
              <w:ind w:left="0" w:firstLine="0"/>
              <w:rPr>
                <w:rFonts w:ascii="Times New Roman" w:hAnsi="Times New Roman"/>
                <w:sz w:val="18"/>
                <w:szCs w:val="18"/>
              </w:rPr>
            </w:pPr>
          </w:p>
        </w:tc>
      </w:tr>
    </w:tbl>
    <w:p w:rsidR="00B93D5F" w:rsidRDefault="00B93D5F" w:rsidP="00CA079F">
      <w:pPr>
        <w:pStyle w:val="Bullet-list"/>
        <w:spacing w:after="0" w:line="240" w:lineRule="auto"/>
        <w:ind w:left="0" w:firstLine="0"/>
        <w:rPr>
          <w:rFonts w:ascii="Times New Roman" w:hAnsi="Times New Roman"/>
          <w:i/>
          <w:sz w:val="24"/>
          <w:szCs w:val="24"/>
        </w:rPr>
      </w:pPr>
    </w:p>
    <w:p w:rsidR="00B93D5F" w:rsidRDefault="00B93D5F" w:rsidP="00CA079F">
      <w:pPr>
        <w:pStyle w:val="Bullet-list"/>
        <w:spacing w:after="0" w:line="240" w:lineRule="auto"/>
        <w:ind w:left="0" w:firstLine="0"/>
        <w:rPr>
          <w:rFonts w:ascii="Times New Roman" w:hAnsi="Times New Roman"/>
          <w:i/>
          <w:sz w:val="24"/>
          <w:szCs w:val="24"/>
        </w:rPr>
      </w:pPr>
    </w:p>
    <w:p w:rsidR="00CA079F" w:rsidRDefault="00CA079F" w:rsidP="00CA079F">
      <w:pPr>
        <w:pStyle w:val="Bullet-list"/>
        <w:spacing w:after="0" w:line="240" w:lineRule="auto"/>
        <w:ind w:left="0" w:firstLine="0"/>
        <w:rPr>
          <w:rFonts w:ascii="Times New Roman" w:hAnsi="Times New Roman"/>
          <w:i/>
          <w:sz w:val="24"/>
          <w:szCs w:val="24"/>
        </w:rPr>
      </w:pPr>
      <w:r w:rsidRPr="002C0133">
        <w:rPr>
          <w:rFonts w:ascii="Times New Roman" w:hAnsi="Times New Roman"/>
          <w:i/>
          <w:sz w:val="24"/>
          <w:szCs w:val="24"/>
        </w:rPr>
        <w:t>Tainted capital gains</w:t>
      </w:r>
    </w:p>
    <w:p w:rsidR="00B93D5F" w:rsidRDefault="00B93D5F" w:rsidP="00CA079F">
      <w:pPr>
        <w:pStyle w:val="Bullet-list"/>
        <w:spacing w:after="0" w:line="240" w:lineRule="auto"/>
        <w:ind w:left="0" w:firstLine="0"/>
        <w:rPr>
          <w:rFonts w:ascii="Times New Roman" w:hAnsi="Times New Roman"/>
          <w:i/>
          <w:sz w:val="24"/>
          <w:szCs w:val="24"/>
        </w:rPr>
      </w:pPr>
    </w:p>
    <w:p w:rsidR="00B93D5F" w:rsidRDefault="00B93D5F" w:rsidP="00166E95">
      <w:pPr>
        <w:pStyle w:val="TRBodyText"/>
        <w:numPr>
          <w:ilvl w:val="0"/>
          <w:numId w:val="2"/>
        </w:numPr>
        <w:tabs>
          <w:tab w:val="clear" w:pos="360"/>
          <w:tab w:val="left" w:pos="0"/>
        </w:tabs>
        <w:ind w:left="0" w:firstLine="0"/>
        <w:rPr>
          <w:szCs w:val="24"/>
        </w:rPr>
      </w:pPr>
      <w:r>
        <w:rPr>
          <w:szCs w:val="24"/>
        </w:rPr>
        <w:t>Options to address the concerns that the tainted capital gains rule has overreach and unduly restrict</w:t>
      </w:r>
      <w:r w:rsidR="008D7AE3">
        <w:rPr>
          <w:szCs w:val="24"/>
        </w:rPr>
        <w:t>s</w:t>
      </w:r>
      <w:r>
        <w:rPr>
          <w:szCs w:val="24"/>
        </w:rPr>
        <w:t xml:space="preserve"> commercial practice</w:t>
      </w:r>
      <w:r w:rsidR="002D2101">
        <w:rPr>
          <w:szCs w:val="24"/>
        </w:rPr>
        <w:t xml:space="preserve"> are</w:t>
      </w:r>
      <w:r>
        <w:rPr>
          <w:szCs w:val="24"/>
        </w:rPr>
        <w:t>:</w:t>
      </w:r>
    </w:p>
    <w:p w:rsidR="00B93D5F" w:rsidRDefault="00B93D5F" w:rsidP="00B93D5F">
      <w:pPr>
        <w:pStyle w:val="TRBodyText"/>
        <w:tabs>
          <w:tab w:val="left" w:pos="0"/>
        </w:tabs>
        <w:rPr>
          <w:szCs w:val="24"/>
        </w:rPr>
      </w:pPr>
    </w:p>
    <w:tbl>
      <w:tblPr>
        <w:tblStyle w:val="TableGrid"/>
        <w:tblW w:w="9464" w:type="dxa"/>
        <w:tblLook w:val="04A0" w:firstRow="1" w:lastRow="0" w:firstColumn="1" w:lastColumn="0" w:noHBand="0" w:noVBand="1"/>
      </w:tblPr>
      <w:tblGrid>
        <w:gridCol w:w="3936"/>
        <w:gridCol w:w="1701"/>
        <w:gridCol w:w="3827"/>
      </w:tblGrid>
      <w:tr w:rsidR="00B93D5F" w:rsidRPr="00871EE0" w:rsidTr="00B93D5F">
        <w:trPr>
          <w:cantSplit/>
          <w:trHeight w:val="274"/>
        </w:trPr>
        <w:tc>
          <w:tcPr>
            <w:tcW w:w="3936" w:type="dxa"/>
            <w:shd w:val="pct15" w:color="auto" w:fill="auto"/>
          </w:tcPr>
          <w:p w:rsidR="00B93D5F" w:rsidRDefault="00B93D5F" w:rsidP="00B93D5F">
            <w:pPr>
              <w:pStyle w:val="Bullet-list"/>
              <w:tabs>
                <w:tab w:val="num" w:pos="567"/>
              </w:tabs>
              <w:spacing w:after="0" w:line="240" w:lineRule="auto"/>
              <w:ind w:left="0" w:firstLine="0"/>
              <w:rPr>
                <w:rFonts w:ascii="Times New Roman" w:hAnsi="Times New Roman"/>
                <w:sz w:val="18"/>
                <w:szCs w:val="18"/>
              </w:rPr>
            </w:pPr>
            <w:r w:rsidRPr="000B7D6E">
              <w:rPr>
                <w:rFonts w:ascii="Times New Roman" w:hAnsi="Times New Roman"/>
                <w:b/>
                <w:sz w:val="18"/>
                <w:szCs w:val="18"/>
              </w:rPr>
              <w:t>Options:</w:t>
            </w:r>
          </w:p>
        </w:tc>
        <w:tc>
          <w:tcPr>
            <w:tcW w:w="1701" w:type="dxa"/>
            <w:shd w:val="pct15" w:color="auto" w:fill="auto"/>
          </w:tcPr>
          <w:p w:rsidR="00B93D5F" w:rsidRPr="000B7D6E" w:rsidRDefault="00B93D5F" w:rsidP="00B93D5F">
            <w:pPr>
              <w:pStyle w:val="Bullet-list"/>
              <w:tabs>
                <w:tab w:val="num" w:pos="567"/>
              </w:tabs>
              <w:spacing w:after="0" w:line="240" w:lineRule="auto"/>
              <w:ind w:left="0" w:firstLine="0"/>
              <w:rPr>
                <w:rFonts w:ascii="Times New Roman" w:hAnsi="Times New Roman"/>
                <w:b/>
                <w:sz w:val="18"/>
                <w:szCs w:val="18"/>
              </w:rPr>
            </w:pPr>
            <w:r w:rsidRPr="000B7D6E">
              <w:rPr>
                <w:rFonts w:ascii="Times New Roman" w:hAnsi="Times New Roman"/>
                <w:b/>
                <w:sz w:val="18"/>
                <w:szCs w:val="18"/>
              </w:rPr>
              <w:t>Re</w:t>
            </w:r>
            <w:r>
              <w:rPr>
                <w:rFonts w:ascii="Times New Roman" w:hAnsi="Times New Roman"/>
                <w:b/>
                <w:sz w:val="18"/>
                <w:szCs w:val="18"/>
              </w:rPr>
              <w:t>c</w:t>
            </w:r>
            <w:r w:rsidRPr="000B7D6E">
              <w:rPr>
                <w:rFonts w:ascii="Times New Roman" w:hAnsi="Times New Roman"/>
                <w:b/>
                <w:sz w:val="18"/>
                <w:szCs w:val="18"/>
              </w:rPr>
              <w:t>ommendations</w:t>
            </w:r>
          </w:p>
        </w:tc>
        <w:tc>
          <w:tcPr>
            <w:tcW w:w="3827" w:type="dxa"/>
            <w:shd w:val="pct15" w:color="auto" w:fill="auto"/>
          </w:tcPr>
          <w:p w:rsidR="00B93D5F" w:rsidRPr="000B7D6E" w:rsidRDefault="00B93D5F" w:rsidP="00B93D5F">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Analysis against objectives</w:t>
            </w:r>
          </w:p>
        </w:tc>
      </w:tr>
      <w:tr w:rsidR="00B93D5F" w:rsidRPr="00871EE0" w:rsidTr="00B93D5F">
        <w:trPr>
          <w:cantSplit/>
          <w:trHeight w:val="557"/>
        </w:trPr>
        <w:tc>
          <w:tcPr>
            <w:tcW w:w="3936"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Pr="005E7180" w:rsidRDefault="00B93D5F"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Option 1: Repeal the rule.</w:t>
            </w:r>
          </w:p>
        </w:tc>
        <w:tc>
          <w:tcPr>
            <w:tcW w:w="1701"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Default="00B93D5F"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Not recommended.</w:t>
            </w:r>
          </w:p>
        </w:tc>
        <w:tc>
          <w:tcPr>
            <w:tcW w:w="3827"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Default="00CF3834" w:rsidP="00BD3A44">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Overall efficiency</w:t>
            </w:r>
            <w:r w:rsidR="00B93D5F" w:rsidRPr="00C20580">
              <w:rPr>
                <w:rFonts w:ascii="Times New Roman" w:hAnsi="Times New Roman"/>
                <w:i/>
                <w:sz w:val="18"/>
                <w:szCs w:val="18"/>
              </w:rPr>
              <w:t xml:space="preserve">: </w:t>
            </w:r>
            <w:r w:rsidR="00D557B6" w:rsidRPr="00D557B6">
              <w:rPr>
                <w:rFonts w:ascii="Times New Roman" w:hAnsi="Times New Roman"/>
                <w:sz w:val="18"/>
                <w:szCs w:val="18"/>
              </w:rPr>
              <w:t>M</w:t>
            </w:r>
            <w:r w:rsidR="00B93D5F">
              <w:rPr>
                <w:rFonts w:ascii="Times New Roman" w:hAnsi="Times New Roman"/>
                <w:sz w:val="18"/>
                <w:szCs w:val="18"/>
              </w:rPr>
              <w:t>eets objective</w:t>
            </w:r>
            <w:r w:rsidR="00D557B6">
              <w:rPr>
                <w:rFonts w:ascii="Times New Roman" w:hAnsi="Times New Roman"/>
                <w:sz w:val="18"/>
                <w:szCs w:val="18"/>
              </w:rPr>
              <w:t>, as poses tax avoidance risk</w:t>
            </w:r>
            <w:r w:rsidR="00B93D5F">
              <w:rPr>
                <w:rFonts w:ascii="Times New Roman" w:hAnsi="Times New Roman"/>
                <w:sz w:val="18"/>
                <w:szCs w:val="18"/>
              </w:rPr>
              <w:t>.</w:t>
            </w:r>
          </w:p>
          <w:p w:rsidR="00B93D5F" w:rsidRDefault="00B93D5F" w:rsidP="00BD3A44">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w:t>
            </w:r>
            <w:r w:rsidR="00D557B6">
              <w:rPr>
                <w:rFonts w:ascii="Times New Roman" w:hAnsi="Times New Roman"/>
                <w:sz w:val="18"/>
                <w:szCs w:val="18"/>
              </w:rPr>
              <w:t xml:space="preserve">Partly </w:t>
            </w:r>
            <w:r w:rsidRPr="00C20580">
              <w:rPr>
                <w:rFonts w:ascii="Times New Roman" w:hAnsi="Times New Roman"/>
                <w:sz w:val="18"/>
                <w:szCs w:val="18"/>
              </w:rPr>
              <w:t>meet</w:t>
            </w:r>
            <w:r w:rsidR="00D557B6">
              <w:rPr>
                <w:rFonts w:ascii="Times New Roman" w:hAnsi="Times New Roman"/>
                <w:sz w:val="18"/>
                <w:szCs w:val="18"/>
              </w:rPr>
              <w:t>s</w:t>
            </w:r>
            <w:r w:rsidRPr="00C20580">
              <w:rPr>
                <w:rFonts w:ascii="Times New Roman" w:hAnsi="Times New Roman"/>
                <w:sz w:val="18"/>
                <w:szCs w:val="18"/>
              </w:rPr>
              <w:t xml:space="preserve"> objective</w:t>
            </w:r>
            <w:r w:rsidR="00D557B6">
              <w:rPr>
                <w:rFonts w:ascii="Times New Roman" w:hAnsi="Times New Roman"/>
                <w:sz w:val="18"/>
                <w:szCs w:val="18"/>
              </w:rPr>
              <w:t>, to extent that rule has over-reach</w:t>
            </w:r>
            <w:r>
              <w:rPr>
                <w:rFonts w:ascii="Times New Roman" w:hAnsi="Times New Roman"/>
                <w:sz w:val="18"/>
                <w:szCs w:val="18"/>
              </w:rPr>
              <w:t>.</w:t>
            </w:r>
          </w:p>
          <w:p w:rsidR="00B93D5F" w:rsidRPr="00C20580" w:rsidRDefault="00B93D5F" w:rsidP="00BD3A44">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D557B6">
              <w:rPr>
                <w:rFonts w:ascii="Times New Roman" w:hAnsi="Times New Roman"/>
                <w:sz w:val="18"/>
                <w:szCs w:val="18"/>
              </w:rPr>
              <w:t xml:space="preserve">Partly met – simplifies rules </w:t>
            </w:r>
            <w:r w:rsidR="00F561BA">
              <w:rPr>
                <w:rFonts w:ascii="Times New Roman" w:hAnsi="Times New Roman"/>
                <w:sz w:val="18"/>
                <w:szCs w:val="18"/>
              </w:rPr>
              <w:t xml:space="preserve">but </w:t>
            </w:r>
            <w:r w:rsidR="00D557B6">
              <w:rPr>
                <w:rFonts w:ascii="Times New Roman" w:hAnsi="Times New Roman"/>
                <w:sz w:val="18"/>
                <w:szCs w:val="18"/>
              </w:rPr>
              <w:t xml:space="preserve">the additional </w:t>
            </w:r>
            <w:r w:rsidR="00F561BA">
              <w:rPr>
                <w:rFonts w:ascii="Times New Roman" w:hAnsi="Times New Roman"/>
                <w:sz w:val="18"/>
                <w:szCs w:val="18"/>
              </w:rPr>
              <w:t xml:space="preserve">tax </w:t>
            </w:r>
            <w:r w:rsidR="009D4332">
              <w:rPr>
                <w:rFonts w:ascii="Times New Roman" w:hAnsi="Times New Roman"/>
                <w:sz w:val="18"/>
                <w:szCs w:val="18"/>
              </w:rPr>
              <w:t xml:space="preserve">avoidance </w:t>
            </w:r>
            <w:r w:rsidR="00F561BA">
              <w:rPr>
                <w:rFonts w:ascii="Times New Roman" w:hAnsi="Times New Roman"/>
                <w:sz w:val="18"/>
                <w:szCs w:val="18"/>
              </w:rPr>
              <w:t xml:space="preserve">risk </w:t>
            </w:r>
            <w:r w:rsidR="00D557B6">
              <w:rPr>
                <w:rFonts w:ascii="Times New Roman" w:hAnsi="Times New Roman"/>
                <w:sz w:val="18"/>
                <w:szCs w:val="18"/>
              </w:rPr>
              <w:t>may require extra Inland Revenue enforcement</w:t>
            </w:r>
            <w:r w:rsidR="00F561BA">
              <w:rPr>
                <w:rFonts w:ascii="Times New Roman" w:hAnsi="Times New Roman"/>
                <w:sz w:val="18"/>
                <w:szCs w:val="18"/>
              </w:rPr>
              <w:t>.</w:t>
            </w:r>
          </w:p>
          <w:p w:rsidR="00B93D5F" w:rsidRDefault="00B93D5F" w:rsidP="00B93D5F">
            <w:pPr>
              <w:pStyle w:val="Bullet-list"/>
              <w:tabs>
                <w:tab w:val="num" w:pos="567"/>
              </w:tabs>
              <w:spacing w:after="0" w:line="240" w:lineRule="auto"/>
              <w:ind w:left="0" w:firstLine="0"/>
              <w:rPr>
                <w:rFonts w:ascii="Times New Roman" w:hAnsi="Times New Roman"/>
                <w:sz w:val="18"/>
                <w:szCs w:val="18"/>
              </w:rPr>
            </w:pPr>
          </w:p>
        </w:tc>
      </w:tr>
      <w:tr w:rsidR="00B93D5F" w:rsidRPr="00871EE0" w:rsidTr="00B93D5F">
        <w:trPr>
          <w:cantSplit/>
          <w:trHeight w:val="1407"/>
        </w:trPr>
        <w:tc>
          <w:tcPr>
            <w:tcW w:w="3936"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Default="00B93D5F"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Option 2: Restrict the rules to apply only to the wholly-owned group context.</w:t>
            </w:r>
          </w:p>
        </w:tc>
        <w:tc>
          <w:tcPr>
            <w:tcW w:w="1701"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Default="00B93D5F"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Not recommended.</w:t>
            </w:r>
          </w:p>
        </w:tc>
        <w:tc>
          <w:tcPr>
            <w:tcW w:w="3827"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Default="00CF3834" w:rsidP="00B93D5F">
            <w:pPr>
              <w:pStyle w:val="Bullet-list"/>
              <w:spacing w:after="0" w:line="240" w:lineRule="auto"/>
              <w:ind w:left="0" w:firstLine="0"/>
              <w:rPr>
                <w:rFonts w:ascii="Times New Roman" w:hAnsi="Times New Roman"/>
                <w:sz w:val="18"/>
                <w:szCs w:val="18"/>
              </w:rPr>
            </w:pPr>
            <w:r>
              <w:rPr>
                <w:rFonts w:ascii="Times New Roman" w:hAnsi="Times New Roman"/>
                <w:i/>
                <w:sz w:val="18"/>
                <w:szCs w:val="18"/>
              </w:rPr>
              <w:t>Overall efficiency</w:t>
            </w:r>
            <w:r w:rsidR="00B93D5F" w:rsidRPr="00C20580">
              <w:rPr>
                <w:rFonts w:ascii="Times New Roman" w:hAnsi="Times New Roman"/>
                <w:i/>
                <w:sz w:val="18"/>
                <w:szCs w:val="18"/>
              </w:rPr>
              <w:t xml:space="preserve">: </w:t>
            </w:r>
            <w:r w:rsidR="00B93D5F">
              <w:rPr>
                <w:rFonts w:ascii="Times New Roman" w:hAnsi="Times New Roman"/>
                <w:sz w:val="18"/>
                <w:szCs w:val="18"/>
              </w:rPr>
              <w:t>M</w:t>
            </w:r>
            <w:r w:rsidR="00D557B6">
              <w:rPr>
                <w:rFonts w:ascii="Times New Roman" w:hAnsi="Times New Roman"/>
                <w:sz w:val="18"/>
                <w:szCs w:val="18"/>
              </w:rPr>
              <w:t>ostly m</w:t>
            </w:r>
            <w:r w:rsidR="00B93D5F">
              <w:rPr>
                <w:rFonts w:ascii="Times New Roman" w:hAnsi="Times New Roman"/>
                <w:sz w:val="18"/>
                <w:szCs w:val="18"/>
              </w:rPr>
              <w:t>eets objective</w:t>
            </w:r>
            <w:r w:rsidR="00D557B6">
              <w:rPr>
                <w:rFonts w:ascii="Times New Roman" w:hAnsi="Times New Roman"/>
                <w:sz w:val="18"/>
                <w:szCs w:val="18"/>
              </w:rPr>
              <w:t>.</w:t>
            </w:r>
          </w:p>
          <w:p w:rsidR="00B93D5F" w:rsidRDefault="00B93D5F" w:rsidP="00B93D5F">
            <w:pPr>
              <w:pStyle w:val="Bullet-list"/>
              <w:spacing w:after="0" w:line="240" w:lineRule="auto"/>
              <w:ind w:left="0" w:firstLine="0"/>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w:t>
            </w:r>
            <w:r w:rsidR="00F56E55">
              <w:rPr>
                <w:rFonts w:ascii="Times New Roman" w:hAnsi="Times New Roman"/>
                <w:sz w:val="18"/>
                <w:szCs w:val="18"/>
              </w:rPr>
              <w:t>Mostly</w:t>
            </w:r>
            <w:r w:rsidR="00F561BA">
              <w:rPr>
                <w:rFonts w:ascii="Times New Roman" w:hAnsi="Times New Roman"/>
                <w:sz w:val="18"/>
                <w:szCs w:val="18"/>
              </w:rPr>
              <w:t xml:space="preserve"> m</w:t>
            </w:r>
            <w:r w:rsidRPr="00C20580">
              <w:rPr>
                <w:rFonts w:ascii="Times New Roman" w:hAnsi="Times New Roman"/>
                <w:sz w:val="18"/>
                <w:szCs w:val="18"/>
              </w:rPr>
              <w:t>eet</w:t>
            </w:r>
            <w:r>
              <w:rPr>
                <w:rFonts w:ascii="Times New Roman" w:hAnsi="Times New Roman"/>
                <w:sz w:val="18"/>
                <w:szCs w:val="18"/>
              </w:rPr>
              <w:t>s</w:t>
            </w:r>
            <w:r w:rsidRPr="00C20580">
              <w:rPr>
                <w:rFonts w:ascii="Times New Roman" w:hAnsi="Times New Roman"/>
                <w:sz w:val="18"/>
                <w:szCs w:val="18"/>
              </w:rPr>
              <w:t xml:space="preserve"> objective</w:t>
            </w:r>
            <w:r>
              <w:rPr>
                <w:rFonts w:ascii="Times New Roman" w:hAnsi="Times New Roman"/>
                <w:sz w:val="18"/>
                <w:szCs w:val="18"/>
              </w:rPr>
              <w:t>.</w:t>
            </w:r>
          </w:p>
          <w:p w:rsidR="00B93D5F" w:rsidRPr="00C20580" w:rsidRDefault="00B93D5F" w:rsidP="00B93D5F">
            <w:pPr>
              <w:pStyle w:val="Bullet-list"/>
              <w:spacing w:after="0" w:line="240" w:lineRule="auto"/>
              <w:ind w:left="0" w:firstLine="0"/>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D557B6">
              <w:rPr>
                <w:rFonts w:ascii="Times New Roman" w:hAnsi="Times New Roman"/>
                <w:sz w:val="18"/>
                <w:szCs w:val="18"/>
              </w:rPr>
              <w:t>Mostly m</w:t>
            </w:r>
            <w:r>
              <w:rPr>
                <w:rFonts w:ascii="Times New Roman" w:hAnsi="Times New Roman"/>
                <w:sz w:val="18"/>
                <w:szCs w:val="18"/>
              </w:rPr>
              <w:t>eets objective</w:t>
            </w:r>
            <w:r w:rsidR="00D557B6">
              <w:rPr>
                <w:rFonts w:ascii="Times New Roman" w:hAnsi="Times New Roman"/>
                <w:sz w:val="18"/>
                <w:szCs w:val="18"/>
              </w:rPr>
              <w:t>.</w:t>
            </w:r>
          </w:p>
          <w:p w:rsidR="00B93D5F" w:rsidRDefault="00B93D5F" w:rsidP="00B93D5F">
            <w:pPr>
              <w:pStyle w:val="Bullet-list"/>
              <w:tabs>
                <w:tab w:val="num" w:pos="567"/>
              </w:tabs>
              <w:spacing w:after="0" w:line="240" w:lineRule="auto"/>
              <w:ind w:left="0" w:firstLine="0"/>
              <w:rPr>
                <w:rFonts w:ascii="Times New Roman" w:hAnsi="Times New Roman"/>
                <w:sz w:val="18"/>
                <w:szCs w:val="18"/>
              </w:rPr>
            </w:pPr>
          </w:p>
        </w:tc>
      </w:tr>
      <w:tr w:rsidR="00B93D5F" w:rsidTr="00B93D5F">
        <w:trPr>
          <w:cantSplit/>
          <w:trHeight w:val="986"/>
        </w:trPr>
        <w:tc>
          <w:tcPr>
            <w:tcW w:w="3936"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Default="00B93D5F"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Option 3: Restrict the rules to apply only to the wholly owned group context and to sales of assets where less than 15% of the asset has been sold to a third party (i.e. 85% of the asset is held</w:t>
            </w:r>
            <w:r w:rsidR="008D7AE3">
              <w:rPr>
                <w:rFonts w:ascii="Times New Roman" w:hAnsi="Times New Roman"/>
                <w:sz w:val="18"/>
                <w:szCs w:val="18"/>
              </w:rPr>
              <w:t xml:space="preserve"> indirectly</w:t>
            </w:r>
            <w:r>
              <w:rPr>
                <w:rFonts w:ascii="Times New Roman" w:hAnsi="Times New Roman"/>
                <w:sz w:val="18"/>
                <w:szCs w:val="18"/>
              </w:rPr>
              <w:t xml:space="preserve"> by the original owners). </w:t>
            </w:r>
          </w:p>
          <w:p w:rsidR="00B93D5F" w:rsidRDefault="00B93D5F" w:rsidP="00B93D5F">
            <w:pPr>
              <w:pStyle w:val="Bullet-list"/>
              <w:tabs>
                <w:tab w:val="num" w:pos="567"/>
              </w:tabs>
              <w:spacing w:after="0" w:line="240" w:lineRule="auto"/>
              <w:ind w:left="0" w:firstLine="0"/>
              <w:rPr>
                <w:rFonts w:ascii="Times New Roman" w:hAnsi="Times New Roman"/>
                <w:sz w:val="18"/>
                <w:szCs w:val="18"/>
              </w:rPr>
            </w:pPr>
          </w:p>
        </w:tc>
        <w:tc>
          <w:tcPr>
            <w:tcW w:w="1701"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Default="00B93D5F"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Recommended.</w:t>
            </w:r>
          </w:p>
        </w:tc>
        <w:tc>
          <w:tcPr>
            <w:tcW w:w="3827" w:type="dxa"/>
          </w:tcPr>
          <w:p w:rsidR="00B93D5F" w:rsidRDefault="00B93D5F" w:rsidP="00B93D5F">
            <w:pPr>
              <w:pStyle w:val="Bullet-list"/>
              <w:spacing w:after="0" w:line="240" w:lineRule="auto"/>
              <w:ind w:left="0" w:firstLine="0"/>
              <w:rPr>
                <w:rFonts w:ascii="Times New Roman" w:hAnsi="Times New Roman"/>
                <w:i/>
                <w:sz w:val="18"/>
                <w:szCs w:val="18"/>
              </w:rPr>
            </w:pPr>
          </w:p>
          <w:p w:rsidR="00B93D5F" w:rsidRDefault="00CF3834" w:rsidP="00BD3A44">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Overall efficiency</w:t>
            </w:r>
            <w:r w:rsidR="00B93D5F" w:rsidRPr="00C20580">
              <w:rPr>
                <w:rFonts w:ascii="Times New Roman" w:hAnsi="Times New Roman"/>
                <w:i/>
                <w:sz w:val="18"/>
                <w:szCs w:val="18"/>
              </w:rPr>
              <w:t xml:space="preserve">: </w:t>
            </w:r>
            <w:r w:rsidR="00F56E55" w:rsidRPr="00F56E55">
              <w:rPr>
                <w:rFonts w:ascii="Times New Roman" w:hAnsi="Times New Roman"/>
                <w:sz w:val="18"/>
                <w:szCs w:val="18"/>
              </w:rPr>
              <w:t>M</w:t>
            </w:r>
            <w:r w:rsidR="00F561BA" w:rsidRPr="00F56E55">
              <w:rPr>
                <w:rFonts w:ascii="Times New Roman" w:hAnsi="Times New Roman"/>
                <w:sz w:val="18"/>
                <w:szCs w:val="18"/>
              </w:rPr>
              <w:t>eets</w:t>
            </w:r>
            <w:r w:rsidR="00F561BA">
              <w:rPr>
                <w:rFonts w:ascii="Times New Roman" w:hAnsi="Times New Roman"/>
                <w:sz w:val="18"/>
                <w:szCs w:val="18"/>
              </w:rPr>
              <w:t xml:space="preserve"> objective</w:t>
            </w:r>
            <w:r w:rsidR="00F56E55">
              <w:rPr>
                <w:rFonts w:ascii="Times New Roman" w:hAnsi="Times New Roman"/>
                <w:sz w:val="18"/>
                <w:szCs w:val="18"/>
              </w:rPr>
              <w:t>.</w:t>
            </w:r>
          </w:p>
          <w:p w:rsidR="00B93D5F" w:rsidRDefault="00B93D5F" w:rsidP="00BD3A44">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w:t>
            </w:r>
            <w:r w:rsidR="00F56E55">
              <w:rPr>
                <w:rFonts w:ascii="Times New Roman" w:hAnsi="Times New Roman"/>
                <w:sz w:val="18"/>
                <w:szCs w:val="18"/>
              </w:rPr>
              <w:t>M</w:t>
            </w:r>
            <w:r w:rsidR="00F561BA">
              <w:rPr>
                <w:rFonts w:ascii="Times New Roman" w:hAnsi="Times New Roman"/>
                <w:sz w:val="18"/>
                <w:szCs w:val="18"/>
              </w:rPr>
              <w:t>eets objective.</w:t>
            </w:r>
          </w:p>
          <w:p w:rsidR="00B93D5F" w:rsidRPr="00C20580" w:rsidRDefault="00B93D5F" w:rsidP="00BD3A44">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F56E55">
              <w:rPr>
                <w:rFonts w:ascii="Times New Roman" w:hAnsi="Times New Roman"/>
                <w:sz w:val="18"/>
                <w:szCs w:val="18"/>
              </w:rPr>
              <w:t>M</w:t>
            </w:r>
            <w:r>
              <w:rPr>
                <w:rFonts w:ascii="Times New Roman" w:hAnsi="Times New Roman"/>
                <w:sz w:val="18"/>
                <w:szCs w:val="18"/>
              </w:rPr>
              <w:t>eet</w:t>
            </w:r>
            <w:r w:rsidR="00F561BA">
              <w:rPr>
                <w:rFonts w:ascii="Times New Roman" w:hAnsi="Times New Roman"/>
                <w:sz w:val="18"/>
                <w:szCs w:val="18"/>
              </w:rPr>
              <w:t>s</w:t>
            </w:r>
            <w:r>
              <w:rPr>
                <w:rFonts w:ascii="Times New Roman" w:hAnsi="Times New Roman"/>
                <w:sz w:val="18"/>
                <w:szCs w:val="18"/>
              </w:rPr>
              <w:t xml:space="preserve"> objective</w:t>
            </w:r>
            <w:r w:rsidR="00F561BA">
              <w:rPr>
                <w:rFonts w:ascii="Times New Roman" w:hAnsi="Times New Roman"/>
                <w:sz w:val="18"/>
                <w:szCs w:val="18"/>
              </w:rPr>
              <w:t xml:space="preserve"> on balance between costs to taxpayers and Inland Revenue</w:t>
            </w:r>
            <w:r>
              <w:rPr>
                <w:rFonts w:ascii="Times New Roman" w:hAnsi="Times New Roman"/>
                <w:sz w:val="18"/>
                <w:szCs w:val="18"/>
              </w:rPr>
              <w:t>.</w:t>
            </w:r>
          </w:p>
          <w:p w:rsidR="00B93D5F" w:rsidRDefault="00B93D5F" w:rsidP="00B93D5F">
            <w:pPr>
              <w:pStyle w:val="Bullet-list"/>
              <w:tabs>
                <w:tab w:val="num" w:pos="567"/>
              </w:tabs>
              <w:spacing w:after="0" w:line="240" w:lineRule="auto"/>
              <w:ind w:left="0" w:firstLine="0"/>
              <w:rPr>
                <w:rFonts w:ascii="Times New Roman" w:hAnsi="Times New Roman"/>
                <w:sz w:val="18"/>
                <w:szCs w:val="18"/>
              </w:rPr>
            </w:pPr>
          </w:p>
        </w:tc>
      </w:tr>
      <w:tr w:rsidR="00B93D5F" w:rsidTr="00B93D5F">
        <w:trPr>
          <w:cantSplit/>
          <w:trHeight w:val="561"/>
        </w:trPr>
        <w:tc>
          <w:tcPr>
            <w:tcW w:w="3936"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Default="00B93D5F"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Option 4: Do not repeal the rule (status quo).</w:t>
            </w:r>
          </w:p>
        </w:tc>
        <w:tc>
          <w:tcPr>
            <w:tcW w:w="1701" w:type="dxa"/>
          </w:tcPr>
          <w:p w:rsidR="00B93D5F" w:rsidRDefault="00B93D5F" w:rsidP="00B93D5F">
            <w:pPr>
              <w:pStyle w:val="Bullet-list"/>
              <w:tabs>
                <w:tab w:val="num" w:pos="567"/>
              </w:tabs>
              <w:spacing w:after="0" w:line="240" w:lineRule="auto"/>
              <w:ind w:left="0" w:firstLine="0"/>
              <w:rPr>
                <w:rFonts w:ascii="Times New Roman" w:hAnsi="Times New Roman"/>
                <w:sz w:val="18"/>
                <w:szCs w:val="18"/>
              </w:rPr>
            </w:pPr>
          </w:p>
          <w:p w:rsidR="00B93D5F" w:rsidRDefault="00B93D5F" w:rsidP="00B93D5F">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Not recommended.</w:t>
            </w:r>
          </w:p>
        </w:tc>
        <w:tc>
          <w:tcPr>
            <w:tcW w:w="3827" w:type="dxa"/>
          </w:tcPr>
          <w:p w:rsidR="00B93D5F" w:rsidRDefault="00B93D5F" w:rsidP="00B93D5F">
            <w:pPr>
              <w:pStyle w:val="Bullet-list"/>
              <w:spacing w:after="0" w:line="240" w:lineRule="auto"/>
              <w:ind w:left="0" w:firstLine="0"/>
              <w:rPr>
                <w:rFonts w:ascii="Times New Roman" w:hAnsi="Times New Roman"/>
                <w:i/>
                <w:sz w:val="18"/>
                <w:szCs w:val="18"/>
              </w:rPr>
            </w:pPr>
          </w:p>
          <w:p w:rsidR="00B93D5F" w:rsidRDefault="00CF3834" w:rsidP="00B93D5F">
            <w:pPr>
              <w:pStyle w:val="Bullet-list"/>
              <w:spacing w:after="0" w:line="240" w:lineRule="auto"/>
              <w:ind w:left="0" w:firstLine="0"/>
              <w:rPr>
                <w:rFonts w:ascii="Times New Roman" w:hAnsi="Times New Roman"/>
                <w:sz w:val="18"/>
                <w:szCs w:val="18"/>
              </w:rPr>
            </w:pPr>
            <w:r>
              <w:rPr>
                <w:rFonts w:ascii="Times New Roman" w:hAnsi="Times New Roman"/>
                <w:i/>
                <w:sz w:val="18"/>
                <w:szCs w:val="18"/>
              </w:rPr>
              <w:t>Overall efficiency</w:t>
            </w:r>
            <w:r w:rsidR="00B93D5F" w:rsidRPr="00C20580">
              <w:rPr>
                <w:rFonts w:ascii="Times New Roman" w:hAnsi="Times New Roman"/>
                <w:i/>
                <w:sz w:val="18"/>
                <w:szCs w:val="18"/>
              </w:rPr>
              <w:t xml:space="preserve">: </w:t>
            </w:r>
            <w:r w:rsidR="00B93D5F">
              <w:rPr>
                <w:rFonts w:ascii="Times New Roman" w:hAnsi="Times New Roman"/>
                <w:sz w:val="18"/>
                <w:szCs w:val="18"/>
              </w:rPr>
              <w:t>Does not meet objective.</w:t>
            </w:r>
          </w:p>
          <w:p w:rsidR="00B93D5F" w:rsidRDefault="00B93D5F" w:rsidP="00B93D5F">
            <w:pPr>
              <w:pStyle w:val="Bullet-list"/>
              <w:spacing w:after="0" w:line="240" w:lineRule="auto"/>
              <w:ind w:left="0" w:firstLine="0"/>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Does not meet objective.</w:t>
            </w:r>
          </w:p>
          <w:p w:rsidR="00B93D5F" w:rsidRPr="00C20580" w:rsidRDefault="00B93D5F" w:rsidP="00B93D5F">
            <w:pPr>
              <w:pStyle w:val="Bullet-list"/>
              <w:spacing w:after="0" w:line="240" w:lineRule="auto"/>
              <w:ind w:left="0" w:firstLine="0"/>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Pr>
                <w:rFonts w:ascii="Times New Roman" w:hAnsi="Times New Roman"/>
                <w:sz w:val="18"/>
                <w:szCs w:val="18"/>
              </w:rPr>
              <w:t>Does not meet objective.</w:t>
            </w:r>
          </w:p>
          <w:p w:rsidR="00B93D5F" w:rsidRDefault="00B93D5F" w:rsidP="00B93D5F">
            <w:pPr>
              <w:pStyle w:val="Bullet-list"/>
              <w:tabs>
                <w:tab w:val="num" w:pos="567"/>
              </w:tabs>
              <w:spacing w:after="0" w:line="240" w:lineRule="auto"/>
              <w:ind w:left="0" w:firstLine="0"/>
              <w:rPr>
                <w:rFonts w:ascii="Times New Roman" w:hAnsi="Times New Roman"/>
                <w:sz w:val="18"/>
                <w:szCs w:val="18"/>
              </w:rPr>
            </w:pPr>
          </w:p>
        </w:tc>
      </w:tr>
    </w:tbl>
    <w:p w:rsidR="00B93D5F" w:rsidRDefault="00B93D5F" w:rsidP="00CA079F">
      <w:pPr>
        <w:pStyle w:val="Bullet-list"/>
        <w:spacing w:after="0" w:line="240" w:lineRule="auto"/>
        <w:ind w:left="0" w:firstLine="0"/>
        <w:rPr>
          <w:rFonts w:ascii="Times New Roman" w:hAnsi="Times New Roman"/>
          <w:i/>
          <w:sz w:val="24"/>
          <w:szCs w:val="24"/>
        </w:rPr>
      </w:pPr>
    </w:p>
    <w:p w:rsidR="005B0E9F" w:rsidRDefault="005B0E9F" w:rsidP="00CA079F">
      <w:pPr>
        <w:pStyle w:val="Bullet-list"/>
        <w:spacing w:after="0" w:line="240" w:lineRule="auto"/>
        <w:ind w:left="0" w:firstLine="0"/>
        <w:rPr>
          <w:rFonts w:ascii="Times New Roman" w:hAnsi="Times New Roman"/>
          <w:i/>
          <w:sz w:val="24"/>
          <w:szCs w:val="24"/>
        </w:rPr>
      </w:pPr>
    </w:p>
    <w:p w:rsidR="00CA079F" w:rsidRDefault="00CA079F" w:rsidP="00CA079F">
      <w:pPr>
        <w:pStyle w:val="Bullet-list"/>
        <w:spacing w:after="0" w:line="240" w:lineRule="auto"/>
        <w:rPr>
          <w:rFonts w:ascii="Times New Roman" w:hAnsi="Times New Roman"/>
          <w:i/>
          <w:sz w:val="24"/>
          <w:szCs w:val="24"/>
        </w:rPr>
      </w:pPr>
      <w:r w:rsidRPr="00E244AD">
        <w:rPr>
          <w:rFonts w:ascii="Times New Roman" w:hAnsi="Times New Roman"/>
          <w:i/>
          <w:sz w:val="24"/>
          <w:szCs w:val="24"/>
        </w:rPr>
        <w:t>Options for taxing shareholder salaries</w:t>
      </w:r>
    </w:p>
    <w:p w:rsidR="00C250B3" w:rsidRPr="00E244AD" w:rsidRDefault="00C250B3" w:rsidP="00CA079F">
      <w:pPr>
        <w:pStyle w:val="Bullet-list"/>
        <w:spacing w:after="0" w:line="240" w:lineRule="auto"/>
        <w:rPr>
          <w:rFonts w:ascii="Times New Roman" w:hAnsi="Times New Roman"/>
          <w:i/>
          <w:sz w:val="24"/>
          <w:szCs w:val="24"/>
        </w:rPr>
      </w:pPr>
    </w:p>
    <w:p w:rsidR="00C250B3" w:rsidRDefault="00C250B3" w:rsidP="00166E95">
      <w:pPr>
        <w:pStyle w:val="TRBodyText"/>
        <w:numPr>
          <w:ilvl w:val="0"/>
          <w:numId w:val="2"/>
        </w:numPr>
        <w:tabs>
          <w:tab w:val="clear" w:pos="360"/>
          <w:tab w:val="left" w:pos="0"/>
        </w:tabs>
        <w:ind w:left="0" w:firstLine="0"/>
        <w:rPr>
          <w:szCs w:val="24"/>
        </w:rPr>
      </w:pPr>
      <w:r>
        <w:rPr>
          <w:szCs w:val="24"/>
        </w:rPr>
        <w:t>Options to address the concerns that the PAYE and provisional tax rules do not provide sufficient flexibility for shareholder employees whose earnings are irregular</w:t>
      </w:r>
      <w:r w:rsidR="002D2101">
        <w:rPr>
          <w:szCs w:val="24"/>
        </w:rPr>
        <w:t xml:space="preserve"> are</w:t>
      </w:r>
      <w:r>
        <w:rPr>
          <w:szCs w:val="24"/>
        </w:rPr>
        <w:t>:</w:t>
      </w:r>
    </w:p>
    <w:p w:rsidR="00C250B3" w:rsidRDefault="00C250B3" w:rsidP="00C250B3">
      <w:pPr>
        <w:pStyle w:val="TRBodyText"/>
        <w:tabs>
          <w:tab w:val="left" w:pos="0"/>
        </w:tabs>
        <w:rPr>
          <w:szCs w:val="24"/>
        </w:rPr>
      </w:pPr>
    </w:p>
    <w:tbl>
      <w:tblPr>
        <w:tblStyle w:val="TableGrid"/>
        <w:tblW w:w="9464" w:type="dxa"/>
        <w:tblLook w:val="04A0" w:firstRow="1" w:lastRow="0" w:firstColumn="1" w:lastColumn="0" w:noHBand="0" w:noVBand="1"/>
      </w:tblPr>
      <w:tblGrid>
        <w:gridCol w:w="3936"/>
        <w:gridCol w:w="1701"/>
        <w:gridCol w:w="3827"/>
      </w:tblGrid>
      <w:tr w:rsidR="00C250B3" w:rsidRPr="00871EE0" w:rsidTr="00C250B3">
        <w:trPr>
          <w:cantSplit/>
          <w:trHeight w:val="274"/>
        </w:trPr>
        <w:tc>
          <w:tcPr>
            <w:tcW w:w="3936" w:type="dxa"/>
            <w:shd w:val="pct15" w:color="auto" w:fill="auto"/>
          </w:tcPr>
          <w:p w:rsidR="00C250B3" w:rsidRDefault="00C250B3" w:rsidP="00C250B3">
            <w:pPr>
              <w:pStyle w:val="Bullet-list"/>
              <w:tabs>
                <w:tab w:val="num" w:pos="567"/>
              </w:tabs>
              <w:spacing w:after="0" w:line="240" w:lineRule="auto"/>
              <w:ind w:left="0" w:firstLine="0"/>
              <w:rPr>
                <w:rFonts w:ascii="Times New Roman" w:hAnsi="Times New Roman"/>
                <w:sz w:val="18"/>
                <w:szCs w:val="18"/>
              </w:rPr>
            </w:pPr>
            <w:r w:rsidRPr="000B7D6E">
              <w:rPr>
                <w:rFonts w:ascii="Times New Roman" w:hAnsi="Times New Roman"/>
                <w:b/>
                <w:sz w:val="18"/>
                <w:szCs w:val="18"/>
              </w:rPr>
              <w:t>Options:</w:t>
            </w:r>
          </w:p>
        </w:tc>
        <w:tc>
          <w:tcPr>
            <w:tcW w:w="1701" w:type="dxa"/>
            <w:shd w:val="pct15" w:color="auto" w:fill="auto"/>
          </w:tcPr>
          <w:p w:rsidR="00C250B3" w:rsidRPr="000B7D6E" w:rsidRDefault="00C250B3" w:rsidP="00C250B3">
            <w:pPr>
              <w:pStyle w:val="Bullet-list"/>
              <w:tabs>
                <w:tab w:val="num" w:pos="567"/>
              </w:tabs>
              <w:spacing w:after="0" w:line="240" w:lineRule="auto"/>
              <w:ind w:left="0" w:firstLine="0"/>
              <w:rPr>
                <w:rFonts w:ascii="Times New Roman" w:hAnsi="Times New Roman"/>
                <w:b/>
                <w:sz w:val="18"/>
                <w:szCs w:val="18"/>
              </w:rPr>
            </w:pPr>
            <w:r w:rsidRPr="000B7D6E">
              <w:rPr>
                <w:rFonts w:ascii="Times New Roman" w:hAnsi="Times New Roman"/>
                <w:b/>
                <w:sz w:val="18"/>
                <w:szCs w:val="18"/>
              </w:rPr>
              <w:t>Re</w:t>
            </w:r>
            <w:r>
              <w:rPr>
                <w:rFonts w:ascii="Times New Roman" w:hAnsi="Times New Roman"/>
                <w:b/>
                <w:sz w:val="18"/>
                <w:szCs w:val="18"/>
              </w:rPr>
              <w:t>c</w:t>
            </w:r>
            <w:r w:rsidRPr="000B7D6E">
              <w:rPr>
                <w:rFonts w:ascii="Times New Roman" w:hAnsi="Times New Roman"/>
                <w:b/>
                <w:sz w:val="18"/>
                <w:szCs w:val="18"/>
              </w:rPr>
              <w:t>ommendations</w:t>
            </w:r>
          </w:p>
        </w:tc>
        <w:tc>
          <w:tcPr>
            <w:tcW w:w="3827" w:type="dxa"/>
            <w:shd w:val="pct15" w:color="auto" w:fill="auto"/>
          </w:tcPr>
          <w:p w:rsidR="00C250B3" w:rsidRPr="000B7D6E" w:rsidRDefault="00C250B3" w:rsidP="00C250B3">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Analysis against objectives</w:t>
            </w:r>
          </w:p>
        </w:tc>
      </w:tr>
      <w:tr w:rsidR="00C250B3" w:rsidRPr="00871EE0" w:rsidTr="00C250B3">
        <w:trPr>
          <w:cantSplit/>
          <w:trHeight w:val="557"/>
        </w:trPr>
        <w:tc>
          <w:tcPr>
            <w:tcW w:w="3936" w:type="dxa"/>
          </w:tcPr>
          <w:p w:rsidR="00C250B3" w:rsidRPr="00C74543" w:rsidRDefault="00C250B3" w:rsidP="00C250B3">
            <w:pPr>
              <w:pStyle w:val="Bullet-list"/>
              <w:tabs>
                <w:tab w:val="num" w:pos="567"/>
              </w:tabs>
              <w:spacing w:after="0" w:line="240" w:lineRule="auto"/>
              <w:ind w:left="0" w:firstLine="0"/>
              <w:rPr>
                <w:rFonts w:ascii="Times New Roman" w:hAnsi="Times New Roman"/>
                <w:sz w:val="18"/>
                <w:szCs w:val="18"/>
              </w:rPr>
            </w:pPr>
          </w:p>
          <w:p w:rsidR="00C250B3" w:rsidRDefault="00C250B3" w:rsidP="00C250B3">
            <w:pPr>
              <w:pStyle w:val="Bullet-list"/>
              <w:tabs>
                <w:tab w:val="num" w:pos="567"/>
              </w:tabs>
              <w:spacing w:after="0" w:line="240" w:lineRule="auto"/>
              <w:ind w:left="0" w:firstLine="0"/>
              <w:rPr>
                <w:rFonts w:ascii="Times New Roman" w:hAnsi="Times New Roman"/>
                <w:sz w:val="18"/>
                <w:szCs w:val="18"/>
              </w:rPr>
            </w:pPr>
            <w:r w:rsidRPr="00C74543">
              <w:rPr>
                <w:rFonts w:ascii="Times New Roman" w:hAnsi="Times New Roman"/>
                <w:sz w:val="18"/>
                <w:szCs w:val="18"/>
              </w:rPr>
              <w:t>Option 1: Shareholder employees should be able to choose between a mix of PAYE and provisional tax on their salaries, and the choice of method is unrestricted period to period.</w:t>
            </w:r>
          </w:p>
          <w:p w:rsidR="00C250B3" w:rsidRPr="00C74543" w:rsidRDefault="00C250B3" w:rsidP="00C250B3">
            <w:pPr>
              <w:pStyle w:val="Bullet-list"/>
              <w:tabs>
                <w:tab w:val="num" w:pos="567"/>
              </w:tabs>
              <w:spacing w:after="0" w:line="240" w:lineRule="auto"/>
              <w:ind w:left="0" w:firstLine="0"/>
              <w:rPr>
                <w:rFonts w:ascii="Times New Roman" w:hAnsi="Times New Roman"/>
                <w:sz w:val="18"/>
                <w:szCs w:val="18"/>
              </w:rPr>
            </w:pPr>
          </w:p>
        </w:tc>
        <w:tc>
          <w:tcPr>
            <w:tcW w:w="1701" w:type="dxa"/>
          </w:tcPr>
          <w:p w:rsidR="00C250B3" w:rsidRPr="00C74543" w:rsidRDefault="00C250B3" w:rsidP="00C250B3">
            <w:pPr>
              <w:pStyle w:val="Bullet-list"/>
              <w:tabs>
                <w:tab w:val="num" w:pos="567"/>
              </w:tabs>
              <w:spacing w:after="0" w:line="240" w:lineRule="auto"/>
              <w:ind w:left="0" w:firstLine="0"/>
              <w:rPr>
                <w:rFonts w:ascii="Times New Roman" w:hAnsi="Times New Roman"/>
                <w:sz w:val="18"/>
                <w:szCs w:val="18"/>
              </w:rPr>
            </w:pPr>
          </w:p>
          <w:p w:rsidR="00C250B3" w:rsidRPr="00C74543" w:rsidRDefault="00C250B3" w:rsidP="00C250B3">
            <w:pPr>
              <w:pStyle w:val="Bullet-list"/>
              <w:tabs>
                <w:tab w:val="num" w:pos="567"/>
              </w:tabs>
              <w:spacing w:after="0" w:line="240" w:lineRule="auto"/>
              <w:ind w:left="0" w:firstLine="0"/>
              <w:rPr>
                <w:rFonts w:ascii="Times New Roman" w:hAnsi="Times New Roman"/>
                <w:sz w:val="18"/>
                <w:szCs w:val="18"/>
              </w:rPr>
            </w:pPr>
            <w:r w:rsidRPr="00C74543">
              <w:rPr>
                <w:rFonts w:ascii="Times New Roman" w:hAnsi="Times New Roman"/>
                <w:sz w:val="18"/>
                <w:szCs w:val="18"/>
              </w:rPr>
              <w:t>Not recommended.</w:t>
            </w:r>
          </w:p>
        </w:tc>
        <w:tc>
          <w:tcPr>
            <w:tcW w:w="3827" w:type="dxa"/>
          </w:tcPr>
          <w:p w:rsidR="00C250B3" w:rsidRDefault="00C250B3" w:rsidP="00736072">
            <w:pPr>
              <w:pStyle w:val="Bullet-list"/>
              <w:tabs>
                <w:tab w:val="num" w:pos="567"/>
              </w:tabs>
              <w:spacing w:after="0" w:line="240" w:lineRule="auto"/>
              <w:ind w:left="0" w:firstLine="0"/>
              <w:jc w:val="left"/>
              <w:rPr>
                <w:rFonts w:ascii="Times New Roman" w:hAnsi="Times New Roman"/>
                <w:sz w:val="18"/>
                <w:szCs w:val="18"/>
              </w:rPr>
            </w:pPr>
          </w:p>
          <w:p w:rsidR="00C250B3" w:rsidRDefault="00CF3834" w:rsidP="00736072">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Overall efficiency</w:t>
            </w:r>
            <w:r w:rsidR="00C250B3" w:rsidRPr="00C20580">
              <w:rPr>
                <w:rFonts w:ascii="Times New Roman" w:hAnsi="Times New Roman"/>
                <w:i/>
                <w:sz w:val="18"/>
                <w:szCs w:val="18"/>
              </w:rPr>
              <w:t xml:space="preserve">: </w:t>
            </w:r>
            <w:r w:rsidR="00F56E55" w:rsidRPr="00F56E55">
              <w:rPr>
                <w:rFonts w:ascii="Times New Roman" w:hAnsi="Times New Roman"/>
                <w:sz w:val="18"/>
                <w:szCs w:val="18"/>
              </w:rPr>
              <w:t>Partly m</w:t>
            </w:r>
            <w:r w:rsidR="00C250B3" w:rsidRPr="00F56E55">
              <w:rPr>
                <w:rFonts w:ascii="Times New Roman" w:hAnsi="Times New Roman"/>
                <w:sz w:val="18"/>
                <w:szCs w:val="18"/>
              </w:rPr>
              <w:t>eets</w:t>
            </w:r>
            <w:r w:rsidR="00C250B3">
              <w:rPr>
                <w:rFonts w:ascii="Times New Roman" w:hAnsi="Times New Roman"/>
                <w:sz w:val="18"/>
                <w:szCs w:val="18"/>
              </w:rPr>
              <w:t xml:space="preserve"> objective.</w:t>
            </w:r>
          </w:p>
          <w:p w:rsidR="00C250B3" w:rsidRDefault="00C250B3" w:rsidP="00736072">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Fairness/neutrality:</w:t>
            </w:r>
            <w:r w:rsidR="00F56E55">
              <w:rPr>
                <w:rFonts w:ascii="Times New Roman" w:hAnsi="Times New Roman"/>
                <w:sz w:val="18"/>
                <w:szCs w:val="18"/>
              </w:rPr>
              <w:t xml:space="preserve"> Partly m</w:t>
            </w:r>
            <w:r>
              <w:rPr>
                <w:rFonts w:ascii="Times New Roman" w:hAnsi="Times New Roman"/>
                <w:sz w:val="18"/>
                <w:szCs w:val="18"/>
              </w:rPr>
              <w:t>eets objective.</w:t>
            </w:r>
          </w:p>
          <w:p w:rsidR="00C250B3" w:rsidRPr="00C20580" w:rsidRDefault="00C250B3" w:rsidP="00736072">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F56E55">
              <w:rPr>
                <w:rFonts w:ascii="Times New Roman" w:hAnsi="Times New Roman"/>
                <w:sz w:val="18"/>
                <w:szCs w:val="18"/>
              </w:rPr>
              <w:t>Partly</w:t>
            </w:r>
            <w:r>
              <w:rPr>
                <w:rFonts w:ascii="Times New Roman" w:hAnsi="Times New Roman"/>
                <w:sz w:val="18"/>
                <w:szCs w:val="18"/>
              </w:rPr>
              <w:t xml:space="preserve"> meets objective but poses tax </w:t>
            </w:r>
            <w:r w:rsidR="009D4332">
              <w:rPr>
                <w:rFonts w:ascii="Times New Roman" w:hAnsi="Times New Roman"/>
                <w:sz w:val="18"/>
                <w:szCs w:val="18"/>
              </w:rPr>
              <w:t xml:space="preserve">avoidance </w:t>
            </w:r>
            <w:r>
              <w:rPr>
                <w:rFonts w:ascii="Times New Roman" w:hAnsi="Times New Roman"/>
                <w:sz w:val="18"/>
                <w:szCs w:val="18"/>
              </w:rPr>
              <w:t>risk which</w:t>
            </w:r>
            <w:r w:rsidR="00F56E55">
              <w:rPr>
                <w:rFonts w:ascii="Times New Roman" w:hAnsi="Times New Roman"/>
                <w:sz w:val="18"/>
                <w:szCs w:val="18"/>
              </w:rPr>
              <w:t xml:space="preserve"> may raise costs of </w:t>
            </w:r>
            <w:r>
              <w:rPr>
                <w:rFonts w:ascii="Times New Roman" w:hAnsi="Times New Roman"/>
                <w:sz w:val="18"/>
                <w:szCs w:val="18"/>
              </w:rPr>
              <w:t>Inland Revenue</w:t>
            </w:r>
            <w:r w:rsidR="00F56E55">
              <w:rPr>
                <w:rFonts w:ascii="Times New Roman" w:hAnsi="Times New Roman"/>
                <w:sz w:val="18"/>
                <w:szCs w:val="18"/>
              </w:rPr>
              <w:t xml:space="preserve"> enforcement action</w:t>
            </w:r>
            <w:r>
              <w:rPr>
                <w:rFonts w:ascii="Times New Roman" w:hAnsi="Times New Roman"/>
                <w:sz w:val="18"/>
                <w:szCs w:val="18"/>
              </w:rPr>
              <w:t>.</w:t>
            </w:r>
          </w:p>
          <w:p w:rsidR="00C250B3" w:rsidRDefault="00C250B3" w:rsidP="00736072">
            <w:pPr>
              <w:pStyle w:val="Bullet-list"/>
              <w:tabs>
                <w:tab w:val="num" w:pos="567"/>
              </w:tabs>
              <w:spacing w:after="0" w:line="240" w:lineRule="auto"/>
              <w:ind w:left="0" w:firstLine="0"/>
              <w:jc w:val="left"/>
              <w:rPr>
                <w:rFonts w:ascii="Times New Roman" w:hAnsi="Times New Roman"/>
                <w:sz w:val="18"/>
                <w:szCs w:val="18"/>
              </w:rPr>
            </w:pPr>
          </w:p>
        </w:tc>
      </w:tr>
      <w:tr w:rsidR="00C250B3" w:rsidRPr="00871EE0" w:rsidTr="00C250B3">
        <w:trPr>
          <w:cantSplit/>
          <w:trHeight w:val="954"/>
        </w:trPr>
        <w:tc>
          <w:tcPr>
            <w:tcW w:w="3936" w:type="dxa"/>
          </w:tcPr>
          <w:p w:rsidR="00C250B3" w:rsidRPr="00C74543" w:rsidRDefault="00C250B3" w:rsidP="00C250B3">
            <w:pPr>
              <w:pStyle w:val="Bullet-list"/>
              <w:tabs>
                <w:tab w:val="num" w:pos="567"/>
              </w:tabs>
              <w:spacing w:after="0" w:line="240" w:lineRule="auto"/>
              <w:ind w:left="0" w:firstLine="0"/>
              <w:rPr>
                <w:rFonts w:ascii="Times New Roman" w:hAnsi="Times New Roman"/>
                <w:sz w:val="18"/>
                <w:szCs w:val="18"/>
              </w:rPr>
            </w:pPr>
          </w:p>
          <w:p w:rsidR="00C250B3" w:rsidRDefault="00C250B3" w:rsidP="00C250B3">
            <w:pPr>
              <w:pStyle w:val="Bullet-list"/>
              <w:tabs>
                <w:tab w:val="num" w:pos="567"/>
              </w:tabs>
              <w:spacing w:after="0" w:line="240" w:lineRule="auto"/>
              <w:ind w:left="0" w:firstLine="0"/>
              <w:rPr>
                <w:rFonts w:ascii="Times New Roman" w:hAnsi="Times New Roman"/>
                <w:sz w:val="18"/>
                <w:szCs w:val="18"/>
              </w:rPr>
            </w:pPr>
            <w:r w:rsidRPr="00C74543">
              <w:rPr>
                <w:rFonts w:ascii="Times New Roman" w:hAnsi="Times New Roman"/>
                <w:sz w:val="18"/>
                <w:szCs w:val="18"/>
              </w:rPr>
              <w:t>Option 2: Shareholder employees should be able to choose between a mix of PAYE and provisional tax on their salaries, and the choice of method is restricted period to period to prevent flip-flopping between methods in succeeding periods.</w:t>
            </w:r>
          </w:p>
          <w:p w:rsidR="00C250B3" w:rsidRPr="00C74543" w:rsidRDefault="00C250B3" w:rsidP="00C250B3">
            <w:pPr>
              <w:pStyle w:val="Bullet-list"/>
              <w:tabs>
                <w:tab w:val="num" w:pos="567"/>
              </w:tabs>
              <w:spacing w:after="0" w:line="240" w:lineRule="auto"/>
              <w:ind w:left="0" w:firstLine="0"/>
              <w:rPr>
                <w:rFonts w:ascii="Times New Roman" w:hAnsi="Times New Roman"/>
                <w:sz w:val="18"/>
                <w:szCs w:val="18"/>
              </w:rPr>
            </w:pPr>
          </w:p>
        </w:tc>
        <w:tc>
          <w:tcPr>
            <w:tcW w:w="1701" w:type="dxa"/>
          </w:tcPr>
          <w:p w:rsidR="00C250B3" w:rsidRPr="00C74543" w:rsidRDefault="00C250B3" w:rsidP="00C250B3">
            <w:pPr>
              <w:pStyle w:val="Bullet-list"/>
              <w:tabs>
                <w:tab w:val="num" w:pos="567"/>
              </w:tabs>
              <w:spacing w:after="0" w:line="240" w:lineRule="auto"/>
              <w:ind w:left="0" w:firstLine="0"/>
              <w:rPr>
                <w:rFonts w:ascii="Times New Roman" w:hAnsi="Times New Roman"/>
                <w:sz w:val="18"/>
                <w:szCs w:val="18"/>
              </w:rPr>
            </w:pPr>
          </w:p>
          <w:p w:rsidR="00C250B3" w:rsidRPr="00C74543" w:rsidRDefault="00C250B3" w:rsidP="00C250B3">
            <w:pPr>
              <w:pStyle w:val="Bullet-list"/>
              <w:tabs>
                <w:tab w:val="num" w:pos="567"/>
              </w:tabs>
              <w:spacing w:after="0" w:line="240" w:lineRule="auto"/>
              <w:ind w:left="0" w:firstLine="0"/>
              <w:rPr>
                <w:rFonts w:ascii="Times New Roman" w:hAnsi="Times New Roman"/>
                <w:sz w:val="18"/>
                <w:szCs w:val="18"/>
              </w:rPr>
            </w:pPr>
            <w:r w:rsidRPr="00C74543">
              <w:rPr>
                <w:rFonts w:ascii="Times New Roman" w:hAnsi="Times New Roman"/>
                <w:sz w:val="18"/>
                <w:szCs w:val="18"/>
              </w:rPr>
              <w:t>Recommended.</w:t>
            </w:r>
          </w:p>
        </w:tc>
        <w:tc>
          <w:tcPr>
            <w:tcW w:w="3827" w:type="dxa"/>
          </w:tcPr>
          <w:p w:rsidR="00C250B3" w:rsidRDefault="00C250B3" w:rsidP="00736072">
            <w:pPr>
              <w:pStyle w:val="Bullet-list"/>
              <w:tabs>
                <w:tab w:val="num" w:pos="567"/>
              </w:tabs>
              <w:spacing w:after="0" w:line="240" w:lineRule="auto"/>
              <w:ind w:left="0" w:firstLine="0"/>
              <w:jc w:val="left"/>
              <w:rPr>
                <w:rFonts w:ascii="Times New Roman" w:hAnsi="Times New Roman"/>
                <w:sz w:val="18"/>
                <w:szCs w:val="18"/>
              </w:rPr>
            </w:pPr>
          </w:p>
          <w:p w:rsidR="00C250B3" w:rsidRDefault="00CF3834" w:rsidP="00736072">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Overall efficiency</w:t>
            </w:r>
            <w:r w:rsidR="00C250B3" w:rsidRPr="00C20580">
              <w:rPr>
                <w:rFonts w:ascii="Times New Roman" w:hAnsi="Times New Roman"/>
                <w:i/>
                <w:sz w:val="18"/>
                <w:szCs w:val="18"/>
              </w:rPr>
              <w:t xml:space="preserve">: </w:t>
            </w:r>
            <w:r w:rsidR="006D6301" w:rsidRPr="006D6301">
              <w:rPr>
                <w:rFonts w:ascii="Times New Roman" w:hAnsi="Times New Roman"/>
                <w:sz w:val="18"/>
                <w:szCs w:val="18"/>
              </w:rPr>
              <w:t>M</w:t>
            </w:r>
            <w:r w:rsidR="00C250B3" w:rsidRPr="006D6301">
              <w:rPr>
                <w:rFonts w:ascii="Times New Roman" w:hAnsi="Times New Roman"/>
                <w:sz w:val="18"/>
                <w:szCs w:val="18"/>
              </w:rPr>
              <w:t>e</w:t>
            </w:r>
            <w:r w:rsidR="00C250B3">
              <w:rPr>
                <w:rFonts w:ascii="Times New Roman" w:hAnsi="Times New Roman"/>
                <w:sz w:val="18"/>
                <w:szCs w:val="18"/>
              </w:rPr>
              <w:t>ets objective.</w:t>
            </w:r>
          </w:p>
          <w:p w:rsidR="006D6301" w:rsidRDefault="00C250B3" w:rsidP="00736072">
            <w:pPr>
              <w:pStyle w:val="Bullet-list"/>
              <w:spacing w:after="0" w:line="240" w:lineRule="auto"/>
              <w:ind w:left="0" w:firstLine="0"/>
              <w:jc w:val="left"/>
              <w:rPr>
                <w:rFonts w:ascii="Times New Roman" w:hAnsi="Times New Roman"/>
                <w:i/>
                <w:sz w:val="18"/>
                <w:szCs w:val="18"/>
              </w:rPr>
            </w:pPr>
            <w:r>
              <w:rPr>
                <w:rFonts w:ascii="Times New Roman" w:hAnsi="Times New Roman"/>
                <w:i/>
                <w:sz w:val="18"/>
                <w:szCs w:val="18"/>
              </w:rPr>
              <w:t>Fairness/neutrality:</w:t>
            </w:r>
            <w:r w:rsidR="006D6301">
              <w:rPr>
                <w:rFonts w:ascii="Times New Roman" w:hAnsi="Times New Roman"/>
                <w:sz w:val="18"/>
                <w:szCs w:val="18"/>
              </w:rPr>
              <w:t xml:space="preserve"> M</w:t>
            </w:r>
            <w:r>
              <w:rPr>
                <w:rFonts w:ascii="Times New Roman" w:hAnsi="Times New Roman"/>
                <w:sz w:val="18"/>
                <w:szCs w:val="18"/>
              </w:rPr>
              <w:t>eets objective</w:t>
            </w:r>
            <w:r>
              <w:rPr>
                <w:rFonts w:ascii="Times New Roman" w:hAnsi="Times New Roman"/>
                <w:i/>
                <w:sz w:val="18"/>
                <w:szCs w:val="18"/>
              </w:rPr>
              <w:t xml:space="preserve"> </w:t>
            </w:r>
          </w:p>
          <w:p w:rsidR="00C250B3" w:rsidRPr="00C20580" w:rsidRDefault="00C250B3" w:rsidP="00736072">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6D6301">
              <w:rPr>
                <w:rFonts w:ascii="Times New Roman" w:hAnsi="Times New Roman"/>
                <w:sz w:val="18"/>
                <w:szCs w:val="18"/>
              </w:rPr>
              <w:t>M</w:t>
            </w:r>
            <w:r>
              <w:rPr>
                <w:rFonts w:ascii="Times New Roman" w:hAnsi="Times New Roman"/>
                <w:sz w:val="18"/>
                <w:szCs w:val="18"/>
              </w:rPr>
              <w:t>eets objective</w:t>
            </w:r>
            <w:r w:rsidR="006D6301">
              <w:rPr>
                <w:rFonts w:ascii="Times New Roman" w:hAnsi="Times New Roman"/>
                <w:sz w:val="18"/>
                <w:szCs w:val="18"/>
              </w:rPr>
              <w:t xml:space="preserve">, </w:t>
            </w:r>
            <w:r>
              <w:rPr>
                <w:rFonts w:ascii="Times New Roman" w:hAnsi="Times New Roman"/>
                <w:sz w:val="18"/>
                <w:szCs w:val="18"/>
              </w:rPr>
              <w:t>balance</w:t>
            </w:r>
            <w:r w:rsidR="006D6301">
              <w:rPr>
                <w:rFonts w:ascii="Times New Roman" w:hAnsi="Times New Roman"/>
                <w:sz w:val="18"/>
                <w:szCs w:val="18"/>
              </w:rPr>
              <w:t>s</w:t>
            </w:r>
            <w:r>
              <w:rPr>
                <w:rFonts w:ascii="Times New Roman" w:hAnsi="Times New Roman"/>
                <w:sz w:val="18"/>
                <w:szCs w:val="18"/>
              </w:rPr>
              <w:t xml:space="preserve"> </w:t>
            </w:r>
            <w:r w:rsidR="00530196">
              <w:rPr>
                <w:rFonts w:ascii="Times New Roman" w:hAnsi="Times New Roman"/>
                <w:sz w:val="18"/>
                <w:szCs w:val="18"/>
              </w:rPr>
              <w:t>benefits</w:t>
            </w:r>
            <w:r>
              <w:rPr>
                <w:rFonts w:ascii="Times New Roman" w:hAnsi="Times New Roman"/>
                <w:sz w:val="18"/>
                <w:szCs w:val="18"/>
              </w:rPr>
              <w:t xml:space="preserve"> to taxpayers and </w:t>
            </w:r>
            <w:r w:rsidR="00530196">
              <w:rPr>
                <w:rFonts w:ascii="Times New Roman" w:hAnsi="Times New Roman"/>
                <w:sz w:val="18"/>
                <w:szCs w:val="18"/>
              </w:rPr>
              <w:t xml:space="preserve">costs to </w:t>
            </w:r>
            <w:r>
              <w:rPr>
                <w:rFonts w:ascii="Times New Roman" w:hAnsi="Times New Roman"/>
                <w:sz w:val="18"/>
                <w:szCs w:val="18"/>
              </w:rPr>
              <w:t>Inland Revenue.</w:t>
            </w:r>
            <w:r w:rsidR="00530196">
              <w:rPr>
                <w:rFonts w:ascii="Times New Roman" w:hAnsi="Times New Roman"/>
                <w:sz w:val="18"/>
                <w:szCs w:val="18"/>
              </w:rPr>
              <w:t xml:space="preserve">  </w:t>
            </w:r>
          </w:p>
          <w:p w:rsidR="00C250B3" w:rsidRDefault="00C250B3" w:rsidP="00736072">
            <w:pPr>
              <w:pStyle w:val="Bullet-list"/>
              <w:spacing w:after="0" w:line="240" w:lineRule="auto"/>
              <w:ind w:left="0" w:firstLine="0"/>
              <w:jc w:val="left"/>
              <w:rPr>
                <w:rFonts w:ascii="Times New Roman" w:hAnsi="Times New Roman"/>
                <w:sz w:val="18"/>
                <w:szCs w:val="18"/>
              </w:rPr>
            </w:pPr>
          </w:p>
        </w:tc>
      </w:tr>
      <w:tr w:rsidR="00C250B3" w:rsidTr="00C250B3">
        <w:trPr>
          <w:cantSplit/>
          <w:trHeight w:val="986"/>
        </w:trPr>
        <w:tc>
          <w:tcPr>
            <w:tcW w:w="3936" w:type="dxa"/>
          </w:tcPr>
          <w:p w:rsidR="00C250B3" w:rsidRPr="00C74543" w:rsidRDefault="00C250B3" w:rsidP="00C250B3">
            <w:pPr>
              <w:pStyle w:val="Bullet-list"/>
              <w:tabs>
                <w:tab w:val="num" w:pos="567"/>
              </w:tabs>
              <w:spacing w:after="0" w:line="240" w:lineRule="auto"/>
              <w:ind w:left="0" w:firstLine="0"/>
              <w:rPr>
                <w:rFonts w:ascii="Times New Roman" w:hAnsi="Times New Roman"/>
                <w:sz w:val="18"/>
                <w:szCs w:val="18"/>
              </w:rPr>
            </w:pPr>
          </w:p>
          <w:p w:rsidR="00C250B3" w:rsidRPr="00C74543" w:rsidRDefault="00C250B3" w:rsidP="00C250B3">
            <w:pPr>
              <w:pStyle w:val="Bullet-list"/>
              <w:tabs>
                <w:tab w:val="num" w:pos="567"/>
              </w:tabs>
              <w:spacing w:after="0" w:line="240" w:lineRule="auto"/>
              <w:ind w:left="0" w:firstLine="0"/>
              <w:rPr>
                <w:rFonts w:ascii="Times New Roman" w:hAnsi="Times New Roman"/>
                <w:sz w:val="18"/>
                <w:szCs w:val="18"/>
              </w:rPr>
            </w:pPr>
            <w:r w:rsidRPr="00C74543">
              <w:rPr>
                <w:rFonts w:ascii="Times New Roman" w:hAnsi="Times New Roman"/>
                <w:sz w:val="18"/>
                <w:szCs w:val="18"/>
              </w:rPr>
              <w:t>Option 3: Shareholder salaries should be subject to either PAYE or provisional tax, but not both (status quo).</w:t>
            </w:r>
          </w:p>
        </w:tc>
        <w:tc>
          <w:tcPr>
            <w:tcW w:w="1701" w:type="dxa"/>
          </w:tcPr>
          <w:p w:rsidR="00C250B3" w:rsidRPr="00C74543" w:rsidRDefault="00C250B3" w:rsidP="00C250B3">
            <w:pPr>
              <w:pStyle w:val="Bullet-list"/>
              <w:tabs>
                <w:tab w:val="num" w:pos="567"/>
              </w:tabs>
              <w:spacing w:after="0" w:line="240" w:lineRule="auto"/>
              <w:ind w:left="0" w:firstLine="0"/>
              <w:rPr>
                <w:rFonts w:ascii="Times New Roman" w:hAnsi="Times New Roman"/>
                <w:sz w:val="18"/>
                <w:szCs w:val="18"/>
              </w:rPr>
            </w:pPr>
          </w:p>
          <w:p w:rsidR="00C250B3" w:rsidRPr="00C74543" w:rsidRDefault="00C250B3" w:rsidP="00C250B3">
            <w:pPr>
              <w:pStyle w:val="Bullet-list"/>
              <w:tabs>
                <w:tab w:val="num" w:pos="567"/>
              </w:tabs>
              <w:spacing w:after="0" w:line="240" w:lineRule="auto"/>
              <w:ind w:left="0" w:firstLine="0"/>
              <w:rPr>
                <w:rFonts w:ascii="Times New Roman" w:hAnsi="Times New Roman"/>
                <w:sz w:val="18"/>
                <w:szCs w:val="18"/>
              </w:rPr>
            </w:pPr>
            <w:r w:rsidRPr="00C74543">
              <w:rPr>
                <w:rFonts w:ascii="Times New Roman" w:hAnsi="Times New Roman"/>
                <w:sz w:val="18"/>
                <w:szCs w:val="18"/>
              </w:rPr>
              <w:t>Not recommended.</w:t>
            </w:r>
          </w:p>
        </w:tc>
        <w:tc>
          <w:tcPr>
            <w:tcW w:w="3827" w:type="dxa"/>
          </w:tcPr>
          <w:p w:rsidR="00C250B3" w:rsidRDefault="00C250B3" w:rsidP="00C250B3">
            <w:pPr>
              <w:pStyle w:val="Bullet-list"/>
              <w:spacing w:after="0" w:line="240" w:lineRule="auto"/>
              <w:ind w:left="0" w:firstLine="0"/>
              <w:rPr>
                <w:rFonts w:ascii="Times New Roman" w:hAnsi="Times New Roman"/>
                <w:i/>
                <w:sz w:val="18"/>
                <w:szCs w:val="18"/>
              </w:rPr>
            </w:pPr>
          </w:p>
          <w:p w:rsidR="00C250B3" w:rsidRDefault="00CF3834" w:rsidP="00C250B3">
            <w:pPr>
              <w:pStyle w:val="Bullet-list"/>
              <w:spacing w:after="0" w:line="240" w:lineRule="auto"/>
              <w:ind w:left="0" w:firstLine="0"/>
              <w:rPr>
                <w:rFonts w:ascii="Times New Roman" w:hAnsi="Times New Roman"/>
                <w:sz w:val="18"/>
                <w:szCs w:val="18"/>
              </w:rPr>
            </w:pPr>
            <w:r>
              <w:rPr>
                <w:rFonts w:ascii="Times New Roman" w:hAnsi="Times New Roman"/>
                <w:i/>
                <w:sz w:val="18"/>
                <w:szCs w:val="18"/>
              </w:rPr>
              <w:t>Overall efficiency</w:t>
            </w:r>
            <w:r w:rsidR="00C250B3" w:rsidRPr="00C20580">
              <w:rPr>
                <w:rFonts w:ascii="Times New Roman" w:hAnsi="Times New Roman"/>
                <w:i/>
                <w:sz w:val="18"/>
                <w:szCs w:val="18"/>
              </w:rPr>
              <w:t xml:space="preserve">: </w:t>
            </w:r>
            <w:r w:rsidR="00C250B3">
              <w:rPr>
                <w:rFonts w:ascii="Times New Roman" w:hAnsi="Times New Roman"/>
                <w:sz w:val="18"/>
                <w:szCs w:val="18"/>
              </w:rPr>
              <w:t>Does not meet objective.</w:t>
            </w:r>
          </w:p>
          <w:p w:rsidR="00C250B3" w:rsidRDefault="00C250B3" w:rsidP="00C250B3">
            <w:pPr>
              <w:pStyle w:val="Bullet-list"/>
              <w:spacing w:after="0" w:line="240" w:lineRule="auto"/>
              <w:ind w:left="0" w:firstLine="0"/>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Does not meet objective.</w:t>
            </w:r>
          </w:p>
          <w:p w:rsidR="00C250B3" w:rsidRDefault="00C250B3" w:rsidP="00C250B3">
            <w:pPr>
              <w:pStyle w:val="Bullet-list"/>
              <w:tabs>
                <w:tab w:val="num" w:pos="567"/>
              </w:tabs>
              <w:spacing w:after="0" w:line="240" w:lineRule="auto"/>
              <w:ind w:left="0" w:firstLine="0"/>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DD387E">
              <w:rPr>
                <w:rFonts w:ascii="Times New Roman" w:hAnsi="Times New Roman"/>
                <w:sz w:val="18"/>
                <w:szCs w:val="18"/>
              </w:rPr>
              <w:t>Does not meet objective.</w:t>
            </w:r>
          </w:p>
        </w:tc>
      </w:tr>
    </w:tbl>
    <w:p w:rsidR="00C250B3" w:rsidRDefault="00C250B3" w:rsidP="00C250B3">
      <w:pPr>
        <w:pStyle w:val="TRBodyText"/>
        <w:tabs>
          <w:tab w:val="left" w:pos="0"/>
        </w:tabs>
        <w:rPr>
          <w:szCs w:val="24"/>
        </w:rPr>
      </w:pPr>
    </w:p>
    <w:p w:rsidR="00CA079F" w:rsidRPr="00C15E38" w:rsidRDefault="00CA079F" w:rsidP="00CA079F">
      <w:pPr>
        <w:rPr>
          <w:rFonts w:ascii="Times New Roman" w:hAnsi="Times New Roman"/>
          <w:b/>
          <w:i/>
          <w:sz w:val="24"/>
          <w:szCs w:val="24"/>
          <w:lang w:val="en-AU"/>
        </w:rPr>
      </w:pPr>
      <w:r w:rsidRPr="00C15E38">
        <w:rPr>
          <w:rFonts w:ascii="Times New Roman" w:hAnsi="Times New Roman"/>
          <w:b/>
          <w:i/>
          <w:sz w:val="24"/>
          <w:szCs w:val="24"/>
          <w:lang w:val="en-AU"/>
        </w:rPr>
        <w:t>Rules which fail to achieve their intended policy objectives</w:t>
      </w:r>
    </w:p>
    <w:p w:rsidR="00CA079F" w:rsidRPr="00C56701" w:rsidRDefault="00CA079F" w:rsidP="00CA079F">
      <w:pPr>
        <w:pStyle w:val="Bullet-list"/>
        <w:spacing w:after="0" w:line="240" w:lineRule="auto"/>
        <w:rPr>
          <w:rFonts w:ascii="Times New Roman" w:hAnsi="Times New Roman"/>
          <w:i/>
          <w:sz w:val="24"/>
          <w:szCs w:val="24"/>
        </w:rPr>
      </w:pPr>
      <w:r w:rsidRPr="00C56701">
        <w:rPr>
          <w:rFonts w:ascii="Times New Roman" w:hAnsi="Times New Roman"/>
          <w:i/>
          <w:sz w:val="24"/>
          <w:szCs w:val="24"/>
        </w:rPr>
        <w:t xml:space="preserve">LTC </w:t>
      </w:r>
      <w:r w:rsidR="00EB3036" w:rsidRPr="00EB3036">
        <w:rPr>
          <w:rFonts w:ascii="Times New Roman" w:hAnsi="Times New Roman"/>
          <w:i/>
          <w:sz w:val="24"/>
          <w:szCs w:val="24"/>
        </w:rPr>
        <w:t>eligibility</w:t>
      </w:r>
      <w:r w:rsidR="00EB3036">
        <w:rPr>
          <w:rFonts w:ascii="Times New Roman" w:hAnsi="Times New Roman"/>
          <w:sz w:val="24"/>
          <w:szCs w:val="24"/>
        </w:rPr>
        <w:t xml:space="preserve"> </w:t>
      </w:r>
      <w:r w:rsidRPr="00C56701">
        <w:rPr>
          <w:rFonts w:ascii="Times New Roman" w:hAnsi="Times New Roman"/>
          <w:i/>
          <w:sz w:val="24"/>
          <w:szCs w:val="24"/>
        </w:rPr>
        <w:t>criteria</w:t>
      </w:r>
    </w:p>
    <w:p w:rsidR="00274BE1" w:rsidRDefault="00274BE1" w:rsidP="00CA079F">
      <w:pPr>
        <w:pStyle w:val="Bullet-list"/>
        <w:spacing w:after="0" w:line="240" w:lineRule="auto"/>
        <w:rPr>
          <w:rFonts w:ascii="Times New Roman" w:hAnsi="Times New Roman"/>
          <w:i/>
          <w:sz w:val="24"/>
          <w:szCs w:val="24"/>
        </w:rPr>
      </w:pPr>
    </w:p>
    <w:p w:rsidR="00DD387E" w:rsidRDefault="004A25C4" w:rsidP="00166E95">
      <w:pPr>
        <w:pStyle w:val="TRBodyText"/>
        <w:numPr>
          <w:ilvl w:val="0"/>
          <w:numId w:val="2"/>
        </w:numPr>
        <w:tabs>
          <w:tab w:val="clear" w:pos="360"/>
          <w:tab w:val="left" w:pos="0"/>
        </w:tabs>
        <w:ind w:left="0" w:firstLine="0"/>
        <w:rPr>
          <w:szCs w:val="24"/>
        </w:rPr>
      </w:pPr>
      <w:r>
        <w:rPr>
          <w:szCs w:val="24"/>
        </w:rPr>
        <w:t>Options to address the concern</w:t>
      </w:r>
      <w:r w:rsidR="00DD387E">
        <w:rPr>
          <w:szCs w:val="24"/>
        </w:rPr>
        <w:t xml:space="preserve"> that for LTCs owned by trusts the </w:t>
      </w:r>
      <w:r>
        <w:rPr>
          <w:szCs w:val="24"/>
        </w:rPr>
        <w:t xml:space="preserve">fact that the current </w:t>
      </w:r>
      <w:r w:rsidR="00EB3036">
        <w:rPr>
          <w:szCs w:val="24"/>
        </w:rPr>
        <w:t xml:space="preserve">eligibility </w:t>
      </w:r>
      <w:r w:rsidR="00DD387E">
        <w:rPr>
          <w:szCs w:val="24"/>
        </w:rPr>
        <w:t xml:space="preserve">criteria </w:t>
      </w:r>
      <w:r>
        <w:rPr>
          <w:szCs w:val="24"/>
        </w:rPr>
        <w:t xml:space="preserve">focus only on distributions of beneficiary </w:t>
      </w:r>
      <w:r w:rsidR="008D7AE3">
        <w:rPr>
          <w:szCs w:val="24"/>
        </w:rPr>
        <w:t xml:space="preserve">income </w:t>
      </w:r>
      <w:r>
        <w:rPr>
          <w:szCs w:val="24"/>
        </w:rPr>
        <w:t xml:space="preserve">when counting look-through owners is </w:t>
      </w:r>
      <w:r w:rsidR="00DD387E">
        <w:rPr>
          <w:szCs w:val="24"/>
        </w:rPr>
        <w:t xml:space="preserve">not robust enough to ensure that LTCs are </w:t>
      </w:r>
      <w:r>
        <w:rPr>
          <w:szCs w:val="24"/>
        </w:rPr>
        <w:t xml:space="preserve">not </w:t>
      </w:r>
      <w:r w:rsidR="008D7AE3">
        <w:rPr>
          <w:szCs w:val="24"/>
        </w:rPr>
        <w:t xml:space="preserve">more </w:t>
      </w:r>
      <w:r>
        <w:rPr>
          <w:szCs w:val="24"/>
        </w:rPr>
        <w:t xml:space="preserve">widely held </w:t>
      </w:r>
      <w:r w:rsidR="008D7AE3">
        <w:rPr>
          <w:szCs w:val="24"/>
        </w:rPr>
        <w:t>than intended</w:t>
      </w:r>
      <w:r w:rsidR="00261BB9">
        <w:rPr>
          <w:szCs w:val="24"/>
        </w:rPr>
        <w:t xml:space="preserve"> are</w:t>
      </w:r>
      <w:r w:rsidR="00DD387E">
        <w:rPr>
          <w:szCs w:val="24"/>
        </w:rPr>
        <w:t>:</w:t>
      </w:r>
    </w:p>
    <w:p w:rsidR="00530196" w:rsidRDefault="00530196" w:rsidP="00530196">
      <w:pPr>
        <w:pStyle w:val="TRBodyText"/>
        <w:tabs>
          <w:tab w:val="left" w:pos="0"/>
        </w:tabs>
        <w:rPr>
          <w:szCs w:val="24"/>
        </w:rPr>
      </w:pPr>
    </w:p>
    <w:p w:rsidR="00530196" w:rsidRDefault="00530196" w:rsidP="00530196">
      <w:pPr>
        <w:pStyle w:val="TRBodyText"/>
        <w:tabs>
          <w:tab w:val="left" w:pos="0"/>
        </w:tabs>
        <w:rPr>
          <w:szCs w:val="24"/>
        </w:rPr>
      </w:pPr>
    </w:p>
    <w:p w:rsidR="00530196" w:rsidRDefault="00530196" w:rsidP="00530196">
      <w:pPr>
        <w:pStyle w:val="TRBodyText"/>
        <w:tabs>
          <w:tab w:val="left" w:pos="0"/>
        </w:tabs>
        <w:rPr>
          <w:szCs w:val="24"/>
        </w:rPr>
      </w:pPr>
    </w:p>
    <w:p w:rsidR="00530196" w:rsidRDefault="00530196" w:rsidP="00530196">
      <w:pPr>
        <w:pStyle w:val="TRBodyText"/>
        <w:tabs>
          <w:tab w:val="left" w:pos="0"/>
        </w:tabs>
        <w:rPr>
          <w:szCs w:val="24"/>
        </w:rPr>
      </w:pPr>
    </w:p>
    <w:p w:rsidR="00530196" w:rsidRDefault="00530196" w:rsidP="00530196">
      <w:pPr>
        <w:pStyle w:val="TRBodyText"/>
        <w:tabs>
          <w:tab w:val="left" w:pos="0"/>
        </w:tabs>
        <w:rPr>
          <w:szCs w:val="24"/>
        </w:rPr>
      </w:pPr>
    </w:p>
    <w:p w:rsidR="00530196" w:rsidRPr="004A25C4" w:rsidRDefault="00530196" w:rsidP="00530196">
      <w:pPr>
        <w:pStyle w:val="TRBodyText"/>
        <w:tabs>
          <w:tab w:val="left" w:pos="0"/>
        </w:tabs>
        <w:rPr>
          <w:szCs w:val="24"/>
        </w:rPr>
      </w:pPr>
    </w:p>
    <w:p w:rsidR="004A25C4" w:rsidRDefault="004A25C4" w:rsidP="00DD387E">
      <w:pPr>
        <w:pStyle w:val="TRBodyText"/>
        <w:tabs>
          <w:tab w:val="left" w:pos="0"/>
        </w:tabs>
        <w:rPr>
          <w:szCs w:val="24"/>
        </w:rPr>
      </w:pPr>
    </w:p>
    <w:tbl>
      <w:tblPr>
        <w:tblStyle w:val="TableGrid"/>
        <w:tblW w:w="9464" w:type="dxa"/>
        <w:tblLook w:val="04A0" w:firstRow="1" w:lastRow="0" w:firstColumn="1" w:lastColumn="0" w:noHBand="0" w:noVBand="1"/>
      </w:tblPr>
      <w:tblGrid>
        <w:gridCol w:w="3936"/>
        <w:gridCol w:w="1701"/>
        <w:gridCol w:w="3827"/>
      </w:tblGrid>
      <w:tr w:rsidR="004A25C4" w:rsidRPr="00871EE0" w:rsidTr="00BD3A44">
        <w:trPr>
          <w:cantSplit/>
          <w:trHeight w:val="274"/>
        </w:trPr>
        <w:tc>
          <w:tcPr>
            <w:tcW w:w="3936" w:type="dxa"/>
            <w:shd w:val="pct15" w:color="auto" w:fill="auto"/>
          </w:tcPr>
          <w:p w:rsidR="004A25C4" w:rsidRDefault="004A25C4" w:rsidP="00BD3A44">
            <w:pPr>
              <w:pStyle w:val="Bullet-list"/>
              <w:tabs>
                <w:tab w:val="num" w:pos="567"/>
              </w:tabs>
              <w:spacing w:after="0" w:line="240" w:lineRule="auto"/>
              <w:ind w:left="0" w:firstLine="0"/>
              <w:rPr>
                <w:rFonts w:ascii="Times New Roman" w:hAnsi="Times New Roman"/>
                <w:sz w:val="18"/>
                <w:szCs w:val="18"/>
              </w:rPr>
            </w:pPr>
            <w:r w:rsidRPr="000B7D6E">
              <w:rPr>
                <w:rFonts w:ascii="Times New Roman" w:hAnsi="Times New Roman"/>
                <w:b/>
                <w:sz w:val="18"/>
                <w:szCs w:val="18"/>
              </w:rPr>
              <w:t>Options:</w:t>
            </w:r>
          </w:p>
        </w:tc>
        <w:tc>
          <w:tcPr>
            <w:tcW w:w="1701" w:type="dxa"/>
            <w:shd w:val="pct15" w:color="auto" w:fill="auto"/>
          </w:tcPr>
          <w:p w:rsidR="004A25C4" w:rsidRPr="000B7D6E" w:rsidRDefault="004A25C4" w:rsidP="00BD3A44">
            <w:pPr>
              <w:pStyle w:val="Bullet-list"/>
              <w:tabs>
                <w:tab w:val="num" w:pos="567"/>
              </w:tabs>
              <w:spacing w:after="0" w:line="240" w:lineRule="auto"/>
              <w:ind w:left="0" w:firstLine="0"/>
              <w:rPr>
                <w:rFonts w:ascii="Times New Roman" w:hAnsi="Times New Roman"/>
                <w:b/>
                <w:sz w:val="18"/>
                <w:szCs w:val="18"/>
              </w:rPr>
            </w:pPr>
            <w:r w:rsidRPr="000B7D6E">
              <w:rPr>
                <w:rFonts w:ascii="Times New Roman" w:hAnsi="Times New Roman"/>
                <w:b/>
                <w:sz w:val="18"/>
                <w:szCs w:val="18"/>
              </w:rPr>
              <w:t>Re</w:t>
            </w:r>
            <w:r>
              <w:rPr>
                <w:rFonts w:ascii="Times New Roman" w:hAnsi="Times New Roman"/>
                <w:b/>
                <w:sz w:val="18"/>
                <w:szCs w:val="18"/>
              </w:rPr>
              <w:t>c</w:t>
            </w:r>
            <w:r w:rsidRPr="000B7D6E">
              <w:rPr>
                <w:rFonts w:ascii="Times New Roman" w:hAnsi="Times New Roman"/>
                <w:b/>
                <w:sz w:val="18"/>
                <w:szCs w:val="18"/>
              </w:rPr>
              <w:t>ommendations</w:t>
            </w:r>
          </w:p>
        </w:tc>
        <w:tc>
          <w:tcPr>
            <w:tcW w:w="3827" w:type="dxa"/>
            <w:shd w:val="pct15" w:color="auto" w:fill="auto"/>
          </w:tcPr>
          <w:p w:rsidR="004A25C4" w:rsidRPr="000B7D6E" w:rsidRDefault="004A25C4" w:rsidP="00BD3A44">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Analysis against objectives</w:t>
            </w:r>
          </w:p>
        </w:tc>
      </w:tr>
      <w:tr w:rsidR="004A25C4" w:rsidRPr="00871EE0" w:rsidTr="00BD3A44">
        <w:trPr>
          <w:cantSplit/>
          <w:trHeight w:val="557"/>
        </w:trPr>
        <w:tc>
          <w:tcPr>
            <w:tcW w:w="3936" w:type="dxa"/>
          </w:tcPr>
          <w:p w:rsidR="004A25C4" w:rsidRDefault="004A25C4" w:rsidP="00BD3A44">
            <w:pPr>
              <w:pStyle w:val="Bullet-list"/>
              <w:tabs>
                <w:tab w:val="num" w:pos="567"/>
              </w:tabs>
              <w:spacing w:after="0" w:line="240" w:lineRule="auto"/>
              <w:ind w:left="0" w:firstLine="0"/>
              <w:jc w:val="left"/>
              <w:rPr>
                <w:rFonts w:ascii="Times New Roman" w:hAnsi="Times New Roman"/>
                <w:sz w:val="18"/>
                <w:szCs w:val="18"/>
              </w:rPr>
            </w:pPr>
          </w:p>
          <w:p w:rsidR="004A25C4" w:rsidRDefault="004A25C4" w:rsidP="00BD3A44">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 xml:space="preserve">Option 1: </w:t>
            </w:r>
            <w:r w:rsidRPr="00871EE0">
              <w:rPr>
                <w:rFonts w:ascii="Times New Roman" w:hAnsi="Times New Roman"/>
                <w:sz w:val="18"/>
                <w:szCs w:val="18"/>
              </w:rPr>
              <w:t xml:space="preserve">Extend the </w:t>
            </w:r>
            <w:r>
              <w:rPr>
                <w:rFonts w:ascii="Times New Roman" w:hAnsi="Times New Roman"/>
                <w:sz w:val="18"/>
                <w:szCs w:val="18"/>
              </w:rPr>
              <w:t>‘</w:t>
            </w:r>
            <w:r w:rsidRPr="00871EE0">
              <w:rPr>
                <w:rFonts w:ascii="Times New Roman" w:hAnsi="Times New Roman"/>
                <w:sz w:val="18"/>
                <w:szCs w:val="18"/>
              </w:rPr>
              <w:t xml:space="preserve">look-through </w:t>
            </w:r>
            <w:r>
              <w:rPr>
                <w:rFonts w:ascii="Times New Roman" w:hAnsi="Times New Roman"/>
                <w:sz w:val="18"/>
                <w:szCs w:val="18"/>
              </w:rPr>
              <w:t xml:space="preserve">counted </w:t>
            </w:r>
            <w:r w:rsidRPr="00871EE0">
              <w:rPr>
                <w:rFonts w:ascii="Times New Roman" w:hAnsi="Times New Roman"/>
                <w:sz w:val="18"/>
                <w:szCs w:val="18"/>
              </w:rPr>
              <w:t>owners</w:t>
            </w:r>
            <w:r>
              <w:rPr>
                <w:rFonts w:ascii="Times New Roman" w:hAnsi="Times New Roman"/>
                <w:sz w:val="18"/>
                <w:szCs w:val="18"/>
              </w:rPr>
              <w:t>’</w:t>
            </w:r>
            <w:r w:rsidRPr="00871EE0">
              <w:rPr>
                <w:rFonts w:ascii="Times New Roman" w:hAnsi="Times New Roman"/>
                <w:sz w:val="18"/>
                <w:szCs w:val="18"/>
              </w:rPr>
              <w:t xml:space="preserve"> </w:t>
            </w:r>
            <w:r>
              <w:rPr>
                <w:rFonts w:ascii="Times New Roman" w:hAnsi="Times New Roman"/>
                <w:sz w:val="18"/>
                <w:szCs w:val="18"/>
              </w:rPr>
              <w:t xml:space="preserve">test to include </w:t>
            </w:r>
            <w:r w:rsidRPr="00871EE0">
              <w:rPr>
                <w:rFonts w:ascii="Times New Roman" w:hAnsi="Times New Roman"/>
                <w:sz w:val="18"/>
                <w:szCs w:val="18"/>
              </w:rPr>
              <w:t xml:space="preserve">all beneficiaries who receive </w:t>
            </w:r>
            <w:r>
              <w:rPr>
                <w:rFonts w:ascii="Times New Roman" w:hAnsi="Times New Roman"/>
                <w:sz w:val="18"/>
                <w:szCs w:val="18"/>
              </w:rPr>
              <w:t xml:space="preserve">any </w:t>
            </w:r>
            <w:r w:rsidRPr="00871EE0">
              <w:rPr>
                <w:rFonts w:ascii="Times New Roman" w:hAnsi="Times New Roman"/>
                <w:sz w:val="18"/>
                <w:szCs w:val="18"/>
              </w:rPr>
              <w:t xml:space="preserve">distributions (whether as beneficiary income or trustee income, corpus or capital) from </w:t>
            </w:r>
            <w:r>
              <w:rPr>
                <w:rFonts w:ascii="Times New Roman" w:hAnsi="Times New Roman"/>
                <w:sz w:val="18"/>
                <w:szCs w:val="18"/>
              </w:rPr>
              <w:t xml:space="preserve">LTC </w:t>
            </w:r>
            <w:r w:rsidRPr="00871EE0">
              <w:rPr>
                <w:rFonts w:ascii="Times New Roman" w:hAnsi="Times New Roman"/>
                <w:sz w:val="18"/>
                <w:szCs w:val="18"/>
              </w:rPr>
              <w:t>shareholding</w:t>
            </w:r>
            <w:r w:rsidRPr="00871EE0" w:rsidDel="002758FB">
              <w:rPr>
                <w:rFonts w:ascii="Times New Roman" w:hAnsi="Times New Roman"/>
                <w:sz w:val="18"/>
                <w:szCs w:val="18"/>
              </w:rPr>
              <w:t xml:space="preserve"> </w:t>
            </w:r>
            <w:r w:rsidRPr="00871EE0">
              <w:rPr>
                <w:rFonts w:ascii="Times New Roman" w:hAnsi="Times New Roman"/>
                <w:sz w:val="18"/>
                <w:szCs w:val="18"/>
              </w:rPr>
              <w:t>trusts.</w:t>
            </w:r>
          </w:p>
          <w:p w:rsidR="004A25C4" w:rsidRPr="00871EE0" w:rsidRDefault="004A25C4" w:rsidP="00BD3A44">
            <w:pPr>
              <w:pStyle w:val="Bullet-list"/>
              <w:tabs>
                <w:tab w:val="num" w:pos="567"/>
              </w:tabs>
              <w:spacing w:after="0" w:line="240" w:lineRule="auto"/>
              <w:ind w:left="0" w:firstLine="0"/>
              <w:jc w:val="left"/>
              <w:rPr>
                <w:rFonts w:ascii="Times New Roman" w:hAnsi="Times New Roman"/>
                <w:sz w:val="18"/>
                <w:szCs w:val="18"/>
              </w:rPr>
            </w:pPr>
          </w:p>
        </w:tc>
        <w:tc>
          <w:tcPr>
            <w:tcW w:w="1701" w:type="dxa"/>
          </w:tcPr>
          <w:p w:rsidR="004A25C4" w:rsidRDefault="004A25C4" w:rsidP="00BD3A44">
            <w:pPr>
              <w:pStyle w:val="Bullet-list"/>
              <w:tabs>
                <w:tab w:val="num" w:pos="567"/>
              </w:tabs>
              <w:spacing w:after="0" w:line="240" w:lineRule="auto"/>
              <w:ind w:left="0" w:firstLine="0"/>
              <w:rPr>
                <w:rFonts w:ascii="Times New Roman" w:hAnsi="Times New Roman"/>
                <w:sz w:val="18"/>
                <w:szCs w:val="18"/>
              </w:rPr>
            </w:pPr>
          </w:p>
          <w:p w:rsidR="004A25C4" w:rsidRDefault="004A25C4" w:rsidP="00BD3A44">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Recommended.</w:t>
            </w:r>
          </w:p>
        </w:tc>
        <w:tc>
          <w:tcPr>
            <w:tcW w:w="3827" w:type="dxa"/>
          </w:tcPr>
          <w:p w:rsidR="004A25C4" w:rsidRDefault="004A25C4" w:rsidP="00BD3A44">
            <w:pPr>
              <w:pStyle w:val="Bullet-list"/>
              <w:tabs>
                <w:tab w:val="num" w:pos="567"/>
              </w:tabs>
              <w:spacing w:after="0" w:line="240" w:lineRule="auto"/>
              <w:ind w:left="0" w:firstLine="0"/>
              <w:rPr>
                <w:rFonts w:ascii="Times New Roman" w:hAnsi="Times New Roman"/>
                <w:sz w:val="18"/>
                <w:szCs w:val="18"/>
              </w:rPr>
            </w:pPr>
          </w:p>
          <w:p w:rsidR="004A25C4" w:rsidRPr="00255371" w:rsidRDefault="00CF3834" w:rsidP="004A25C4">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Overall efficiency</w:t>
            </w:r>
            <w:r w:rsidR="004A25C4" w:rsidRPr="00C20580">
              <w:rPr>
                <w:rFonts w:ascii="Times New Roman" w:hAnsi="Times New Roman"/>
                <w:i/>
                <w:sz w:val="18"/>
                <w:szCs w:val="18"/>
              </w:rPr>
              <w:t xml:space="preserve">: </w:t>
            </w:r>
            <w:r w:rsidR="00255371" w:rsidRPr="00255371">
              <w:rPr>
                <w:rFonts w:ascii="Times New Roman" w:hAnsi="Times New Roman"/>
                <w:sz w:val="18"/>
                <w:szCs w:val="18"/>
              </w:rPr>
              <w:t>Meets objective</w:t>
            </w:r>
            <w:r w:rsidR="004846E2">
              <w:rPr>
                <w:rFonts w:ascii="Times New Roman" w:hAnsi="Times New Roman"/>
                <w:sz w:val="18"/>
                <w:szCs w:val="18"/>
              </w:rPr>
              <w:t>, less tax driven behaviour</w:t>
            </w:r>
            <w:r w:rsidR="004A25C4" w:rsidRPr="00255371">
              <w:rPr>
                <w:rFonts w:ascii="Times New Roman" w:hAnsi="Times New Roman"/>
                <w:sz w:val="18"/>
                <w:szCs w:val="18"/>
              </w:rPr>
              <w:t>.</w:t>
            </w:r>
          </w:p>
          <w:p w:rsidR="004A25C4" w:rsidRDefault="004A25C4" w:rsidP="004A25C4">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Fairness/neutrality:</w:t>
            </w:r>
            <w:r w:rsidR="00255371">
              <w:rPr>
                <w:rFonts w:ascii="Times New Roman" w:hAnsi="Times New Roman"/>
                <w:sz w:val="18"/>
                <w:szCs w:val="18"/>
              </w:rPr>
              <w:t xml:space="preserve"> M</w:t>
            </w:r>
            <w:r w:rsidR="00BD3A44">
              <w:rPr>
                <w:rFonts w:ascii="Times New Roman" w:hAnsi="Times New Roman"/>
                <w:sz w:val="18"/>
                <w:szCs w:val="18"/>
              </w:rPr>
              <w:t>eets objective, by supporting integrity of the LTC rules</w:t>
            </w:r>
            <w:r w:rsidR="00255371">
              <w:rPr>
                <w:rFonts w:ascii="Times New Roman" w:hAnsi="Times New Roman"/>
                <w:sz w:val="18"/>
                <w:szCs w:val="18"/>
              </w:rPr>
              <w:t xml:space="preserve"> by helping to ensure LTCs are closely held</w:t>
            </w:r>
            <w:r w:rsidR="00BD3A44">
              <w:rPr>
                <w:rFonts w:ascii="Times New Roman" w:hAnsi="Times New Roman"/>
                <w:sz w:val="18"/>
                <w:szCs w:val="18"/>
              </w:rPr>
              <w:t>.</w:t>
            </w:r>
          </w:p>
          <w:p w:rsidR="004A25C4" w:rsidRPr="00C20580" w:rsidRDefault="004A25C4" w:rsidP="004A25C4">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8D7AE3">
              <w:rPr>
                <w:rFonts w:ascii="Times New Roman" w:hAnsi="Times New Roman"/>
                <w:sz w:val="18"/>
                <w:szCs w:val="18"/>
              </w:rPr>
              <w:t>Somewhat met, requires</w:t>
            </w:r>
            <w:r>
              <w:rPr>
                <w:rFonts w:ascii="Times New Roman" w:hAnsi="Times New Roman"/>
                <w:sz w:val="18"/>
                <w:szCs w:val="18"/>
              </w:rPr>
              <w:t xml:space="preserve"> trustees </w:t>
            </w:r>
            <w:r w:rsidR="008D7AE3">
              <w:rPr>
                <w:rFonts w:ascii="Times New Roman" w:hAnsi="Times New Roman"/>
                <w:sz w:val="18"/>
                <w:szCs w:val="18"/>
              </w:rPr>
              <w:t>to track</w:t>
            </w:r>
            <w:r>
              <w:rPr>
                <w:rFonts w:ascii="Times New Roman" w:hAnsi="Times New Roman"/>
                <w:sz w:val="18"/>
                <w:szCs w:val="18"/>
              </w:rPr>
              <w:t xml:space="preserve"> all distributions, but does provide greater certainty by </w:t>
            </w:r>
            <w:r w:rsidR="00BD3A44">
              <w:rPr>
                <w:rFonts w:ascii="Times New Roman" w:hAnsi="Times New Roman"/>
                <w:sz w:val="18"/>
                <w:szCs w:val="18"/>
              </w:rPr>
              <w:t xml:space="preserve">not differentiating between </w:t>
            </w:r>
            <w:r>
              <w:rPr>
                <w:rFonts w:ascii="Times New Roman" w:hAnsi="Times New Roman"/>
                <w:sz w:val="18"/>
                <w:szCs w:val="18"/>
              </w:rPr>
              <w:t>distributions</w:t>
            </w:r>
            <w:r w:rsidR="00255371">
              <w:rPr>
                <w:rFonts w:ascii="Times New Roman" w:hAnsi="Times New Roman"/>
                <w:sz w:val="18"/>
                <w:szCs w:val="18"/>
              </w:rPr>
              <w:t xml:space="preserve">. </w:t>
            </w:r>
          </w:p>
          <w:p w:rsidR="004A25C4" w:rsidRDefault="004A25C4" w:rsidP="00BD3A44">
            <w:pPr>
              <w:pStyle w:val="Bullet-list"/>
              <w:tabs>
                <w:tab w:val="num" w:pos="567"/>
              </w:tabs>
              <w:spacing w:after="0" w:line="240" w:lineRule="auto"/>
              <w:ind w:left="0" w:firstLine="0"/>
              <w:rPr>
                <w:rFonts w:ascii="Times New Roman" w:hAnsi="Times New Roman"/>
                <w:sz w:val="18"/>
                <w:szCs w:val="18"/>
              </w:rPr>
            </w:pPr>
          </w:p>
        </w:tc>
      </w:tr>
      <w:tr w:rsidR="004A25C4" w:rsidRPr="00871EE0" w:rsidTr="00BD3A44">
        <w:trPr>
          <w:cantSplit/>
          <w:trHeight w:val="1407"/>
        </w:trPr>
        <w:tc>
          <w:tcPr>
            <w:tcW w:w="3936" w:type="dxa"/>
          </w:tcPr>
          <w:p w:rsidR="004A25C4" w:rsidRDefault="004A25C4" w:rsidP="00BD3A44">
            <w:pPr>
              <w:pStyle w:val="Bullet-list"/>
              <w:tabs>
                <w:tab w:val="num" w:pos="567"/>
              </w:tabs>
              <w:spacing w:after="0" w:line="240" w:lineRule="auto"/>
              <w:ind w:left="0" w:firstLine="0"/>
              <w:jc w:val="left"/>
              <w:rPr>
                <w:rFonts w:ascii="Times New Roman" w:hAnsi="Times New Roman"/>
                <w:sz w:val="18"/>
                <w:szCs w:val="18"/>
              </w:rPr>
            </w:pPr>
          </w:p>
          <w:p w:rsidR="004A25C4" w:rsidRPr="00871EE0" w:rsidRDefault="004A25C4" w:rsidP="00BD3A44">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 xml:space="preserve">Option 2: </w:t>
            </w:r>
            <w:r w:rsidRPr="00871EE0">
              <w:rPr>
                <w:rFonts w:ascii="Times New Roman" w:hAnsi="Times New Roman"/>
                <w:sz w:val="18"/>
                <w:szCs w:val="18"/>
              </w:rPr>
              <w:t>Remain with status quo</w:t>
            </w:r>
            <w:r>
              <w:rPr>
                <w:rFonts w:ascii="Times New Roman" w:hAnsi="Times New Roman"/>
                <w:sz w:val="18"/>
                <w:szCs w:val="18"/>
              </w:rPr>
              <w:t>, and count only</w:t>
            </w:r>
            <w:r w:rsidRPr="00871EE0">
              <w:rPr>
                <w:rFonts w:ascii="Times New Roman" w:hAnsi="Times New Roman"/>
                <w:sz w:val="18"/>
                <w:szCs w:val="18"/>
              </w:rPr>
              <w:t xml:space="preserve"> </w:t>
            </w:r>
            <w:r>
              <w:rPr>
                <w:rFonts w:ascii="Times New Roman" w:hAnsi="Times New Roman"/>
                <w:sz w:val="18"/>
                <w:szCs w:val="18"/>
              </w:rPr>
              <w:t xml:space="preserve">distributions of </w:t>
            </w:r>
            <w:r w:rsidRPr="00871EE0">
              <w:rPr>
                <w:rFonts w:ascii="Times New Roman" w:hAnsi="Times New Roman"/>
                <w:sz w:val="18"/>
                <w:szCs w:val="18"/>
              </w:rPr>
              <w:t>beneficiary income from LTC interests</w:t>
            </w:r>
            <w:r>
              <w:rPr>
                <w:rFonts w:ascii="Times New Roman" w:hAnsi="Times New Roman"/>
                <w:sz w:val="18"/>
                <w:szCs w:val="18"/>
              </w:rPr>
              <w:t>.</w:t>
            </w:r>
          </w:p>
        </w:tc>
        <w:tc>
          <w:tcPr>
            <w:tcW w:w="1701" w:type="dxa"/>
          </w:tcPr>
          <w:p w:rsidR="004A25C4" w:rsidRDefault="004A25C4" w:rsidP="00BD3A44">
            <w:pPr>
              <w:pStyle w:val="Bullet-list"/>
              <w:tabs>
                <w:tab w:val="num" w:pos="567"/>
              </w:tabs>
              <w:spacing w:after="0" w:line="240" w:lineRule="auto"/>
              <w:ind w:left="0" w:firstLine="0"/>
              <w:rPr>
                <w:rFonts w:ascii="Times New Roman" w:hAnsi="Times New Roman"/>
                <w:sz w:val="18"/>
                <w:szCs w:val="18"/>
              </w:rPr>
            </w:pPr>
          </w:p>
          <w:p w:rsidR="004A25C4" w:rsidRDefault="004A25C4" w:rsidP="00BD3A44">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Not recommended.</w:t>
            </w:r>
          </w:p>
        </w:tc>
        <w:tc>
          <w:tcPr>
            <w:tcW w:w="3827" w:type="dxa"/>
          </w:tcPr>
          <w:p w:rsidR="004A25C4" w:rsidRDefault="004A25C4" w:rsidP="00BD3A44">
            <w:pPr>
              <w:pStyle w:val="Bullet-list"/>
              <w:tabs>
                <w:tab w:val="num" w:pos="567"/>
              </w:tabs>
              <w:spacing w:after="0" w:line="240" w:lineRule="auto"/>
              <w:ind w:left="0" w:firstLine="0"/>
              <w:rPr>
                <w:rFonts w:ascii="Times New Roman" w:hAnsi="Times New Roman"/>
                <w:sz w:val="18"/>
                <w:szCs w:val="18"/>
              </w:rPr>
            </w:pPr>
          </w:p>
          <w:p w:rsidR="004A25C4" w:rsidRDefault="00CF3834" w:rsidP="00BD3A44">
            <w:pPr>
              <w:pStyle w:val="Bullet-list"/>
              <w:spacing w:after="0" w:line="240" w:lineRule="auto"/>
              <w:ind w:left="0" w:firstLine="0"/>
              <w:rPr>
                <w:rFonts w:ascii="Times New Roman" w:hAnsi="Times New Roman"/>
                <w:sz w:val="18"/>
                <w:szCs w:val="18"/>
              </w:rPr>
            </w:pPr>
            <w:r>
              <w:rPr>
                <w:rFonts w:ascii="Times New Roman" w:hAnsi="Times New Roman"/>
                <w:i/>
                <w:sz w:val="18"/>
                <w:szCs w:val="18"/>
              </w:rPr>
              <w:t>Overall efficiency</w:t>
            </w:r>
            <w:r w:rsidR="004A25C4" w:rsidRPr="00C20580">
              <w:rPr>
                <w:rFonts w:ascii="Times New Roman" w:hAnsi="Times New Roman"/>
                <w:i/>
                <w:sz w:val="18"/>
                <w:szCs w:val="18"/>
              </w:rPr>
              <w:t xml:space="preserve">: </w:t>
            </w:r>
            <w:r w:rsidR="004A25C4">
              <w:rPr>
                <w:rFonts w:ascii="Times New Roman" w:hAnsi="Times New Roman"/>
                <w:sz w:val="18"/>
                <w:szCs w:val="18"/>
              </w:rPr>
              <w:t>Does not meet objective.</w:t>
            </w:r>
          </w:p>
          <w:p w:rsidR="004A25C4" w:rsidRDefault="004A25C4" w:rsidP="00BD3A44">
            <w:pPr>
              <w:pStyle w:val="Bullet-list"/>
              <w:spacing w:after="0" w:line="240" w:lineRule="auto"/>
              <w:ind w:left="0" w:firstLine="0"/>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Does not meet objective.</w:t>
            </w:r>
          </w:p>
          <w:p w:rsidR="004A25C4" w:rsidRPr="00C20580" w:rsidRDefault="004A25C4" w:rsidP="00BD3A44">
            <w:pPr>
              <w:pStyle w:val="Bullet-list"/>
              <w:spacing w:after="0" w:line="240" w:lineRule="auto"/>
              <w:ind w:left="0" w:firstLine="0"/>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A41FDB">
              <w:rPr>
                <w:rFonts w:ascii="Times New Roman" w:hAnsi="Times New Roman"/>
                <w:sz w:val="18"/>
                <w:szCs w:val="18"/>
              </w:rPr>
              <w:t>No impact</w:t>
            </w:r>
            <w:r>
              <w:rPr>
                <w:rFonts w:ascii="Times New Roman" w:hAnsi="Times New Roman"/>
                <w:sz w:val="18"/>
                <w:szCs w:val="18"/>
              </w:rPr>
              <w:t>.</w:t>
            </w:r>
          </w:p>
          <w:p w:rsidR="004A25C4" w:rsidRDefault="004A25C4" w:rsidP="00BD3A44">
            <w:pPr>
              <w:pStyle w:val="Bullet-list"/>
              <w:tabs>
                <w:tab w:val="num" w:pos="567"/>
              </w:tabs>
              <w:spacing w:after="0" w:line="240" w:lineRule="auto"/>
              <w:ind w:left="0" w:firstLine="0"/>
              <w:rPr>
                <w:rFonts w:ascii="Times New Roman" w:hAnsi="Times New Roman"/>
                <w:sz w:val="18"/>
                <w:szCs w:val="18"/>
              </w:rPr>
            </w:pPr>
          </w:p>
        </w:tc>
      </w:tr>
    </w:tbl>
    <w:p w:rsidR="004A25C4" w:rsidRDefault="004A25C4" w:rsidP="00DD387E">
      <w:pPr>
        <w:pStyle w:val="TRBodyText"/>
        <w:tabs>
          <w:tab w:val="left" w:pos="0"/>
        </w:tabs>
        <w:rPr>
          <w:szCs w:val="24"/>
        </w:rPr>
      </w:pPr>
    </w:p>
    <w:p w:rsidR="00BD3A44" w:rsidRPr="004A25C4" w:rsidRDefault="00BD3A44" w:rsidP="00166E95">
      <w:pPr>
        <w:pStyle w:val="TRBodyText"/>
        <w:numPr>
          <w:ilvl w:val="0"/>
          <w:numId w:val="2"/>
        </w:numPr>
        <w:tabs>
          <w:tab w:val="clear" w:pos="360"/>
          <w:tab w:val="left" w:pos="0"/>
        </w:tabs>
        <w:ind w:left="0" w:firstLine="0"/>
        <w:rPr>
          <w:szCs w:val="24"/>
        </w:rPr>
      </w:pPr>
      <w:r>
        <w:rPr>
          <w:szCs w:val="24"/>
        </w:rPr>
        <w:t xml:space="preserve">Options to address the concern that the current restriction around corporate ownership of LTCs is not robust enough to ensure that LTCs </w:t>
      </w:r>
      <w:r w:rsidR="008D7AE3">
        <w:rPr>
          <w:szCs w:val="24"/>
        </w:rPr>
        <w:t xml:space="preserve">are not </w:t>
      </w:r>
      <w:r>
        <w:rPr>
          <w:szCs w:val="24"/>
        </w:rPr>
        <w:t xml:space="preserve">indirectly </w:t>
      </w:r>
      <w:r w:rsidR="008D7AE3">
        <w:rPr>
          <w:szCs w:val="24"/>
        </w:rPr>
        <w:t xml:space="preserve">owned </w:t>
      </w:r>
      <w:r>
        <w:rPr>
          <w:szCs w:val="24"/>
        </w:rPr>
        <w:t>by corporates through trusts, are listed below:</w:t>
      </w:r>
    </w:p>
    <w:p w:rsidR="00DD387E" w:rsidRDefault="00DD387E" w:rsidP="00CA079F">
      <w:pPr>
        <w:pStyle w:val="Bullet-list"/>
        <w:spacing w:after="0" w:line="240" w:lineRule="auto"/>
        <w:rPr>
          <w:rFonts w:ascii="Times New Roman" w:hAnsi="Times New Roman"/>
          <w:i/>
          <w:sz w:val="24"/>
          <w:szCs w:val="24"/>
        </w:rPr>
      </w:pPr>
    </w:p>
    <w:tbl>
      <w:tblPr>
        <w:tblStyle w:val="TableGrid"/>
        <w:tblW w:w="9464" w:type="dxa"/>
        <w:tblLook w:val="04A0" w:firstRow="1" w:lastRow="0" w:firstColumn="1" w:lastColumn="0" w:noHBand="0" w:noVBand="1"/>
      </w:tblPr>
      <w:tblGrid>
        <w:gridCol w:w="3936"/>
        <w:gridCol w:w="1701"/>
        <w:gridCol w:w="3827"/>
      </w:tblGrid>
      <w:tr w:rsidR="00BD3A44" w:rsidRPr="00871EE0" w:rsidTr="00BD3A44">
        <w:trPr>
          <w:cantSplit/>
          <w:trHeight w:val="274"/>
        </w:trPr>
        <w:tc>
          <w:tcPr>
            <w:tcW w:w="3936" w:type="dxa"/>
            <w:shd w:val="pct15" w:color="auto" w:fill="auto"/>
          </w:tcPr>
          <w:p w:rsidR="00BD3A44" w:rsidRDefault="00BD3A44" w:rsidP="00BD3A44">
            <w:pPr>
              <w:pStyle w:val="Bullet-list"/>
              <w:tabs>
                <w:tab w:val="num" w:pos="567"/>
              </w:tabs>
              <w:spacing w:after="0" w:line="240" w:lineRule="auto"/>
              <w:ind w:left="0" w:firstLine="0"/>
              <w:rPr>
                <w:rFonts w:ascii="Times New Roman" w:hAnsi="Times New Roman"/>
                <w:sz w:val="18"/>
                <w:szCs w:val="18"/>
              </w:rPr>
            </w:pPr>
            <w:r w:rsidRPr="000B7D6E">
              <w:rPr>
                <w:rFonts w:ascii="Times New Roman" w:hAnsi="Times New Roman"/>
                <w:b/>
                <w:sz w:val="18"/>
                <w:szCs w:val="18"/>
              </w:rPr>
              <w:t>Options:</w:t>
            </w:r>
          </w:p>
        </w:tc>
        <w:tc>
          <w:tcPr>
            <w:tcW w:w="1701" w:type="dxa"/>
            <w:shd w:val="pct15" w:color="auto" w:fill="auto"/>
          </w:tcPr>
          <w:p w:rsidR="00BD3A44" w:rsidRPr="000B7D6E" w:rsidRDefault="00BD3A44" w:rsidP="00BD3A44">
            <w:pPr>
              <w:pStyle w:val="Bullet-list"/>
              <w:tabs>
                <w:tab w:val="num" w:pos="567"/>
              </w:tabs>
              <w:spacing w:after="0" w:line="240" w:lineRule="auto"/>
              <w:ind w:left="0" w:firstLine="0"/>
              <w:rPr>
                <w:rFonts w:ascii="Times New Roman" w:hAnsi="Times New Roman"/>
                <w:b/>
                <w:sz w:val="18"/>
                <w:szCs w:val="18"/>
              </w:rPr>
            </w:pPr>
            <w:r w:rsidRPr="000B7D6E">
              <w:rPr>
                <w:rFonts w:ascii="Times New Roman" w:hAnsi="Times New Roman"/>
                <w:b/>
                <w:sz w:val="18"/>
                <w:szCs w:val="18"/>
              </w:rPr>
              <w:t>Re</w:t>
            </w:r>
            <w:r>
              <w:rPr>
                <w:rFonts w:ascii="Times New Roman" w:hAnsi="Times New Roman"/>
                <w:b/>
                <w:sz w:val="18"/>
                <w:szCs w:val="18"/>
              </w:rPr>
              <w:t>c</w:t>
            </w:r>
            <w:r w:rsidRPr="000B7D6E">
              <w:rPr>
                <w:rFonts w:ascii="Times New Roman" w:hAnsi="Times New Roman"/>
                <w:b/>
                <w:sz w:val="18"/>
                <w:szCs w:val="18"/>
              </w:rPr>
              <w:t>ommendations</w:t>
            </w:r>
          </w:p>
        </w:tc>
        <w:tc>
          <w:tcPr>
            <w:tcW w:w="3827" w:type="dxa"/>
            <w:shd w:val="pct15" w:color="auto" w:fill="auto"/>
          </w:tcPr>
          <w:p w:rsidR="00BD3A44" w:rsidRPr="000B7D6E" w:rsidRDefault="00BD3A44" w:rsidP="00BD3A44">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Analysis against objectives</w:t>
            </w:r>
          </w:p>
        </w:tc>
      </w:tr>
      <w:tr w:rsidR="00BD3A44" w:rsidRPr="00871EE0" w:rsidTr="00BD3A44">
        <w:trPr>
          <w:cantSplit/>
          <w:trHeight w:val="557"/>
        </w:trPr>
        <w:tc>
          <w:tcPr>
            <w:tcW w:w="3936" w:type="dxa"/>
          </w:tcPr>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p>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 1: Trusts that own LTCs should not be allowed to have corporate beneficiaries.</w:t>
            </w:r>
          </w:p>
        </w:tc>
        <w:tc>
          <w:tcPr>
            <w:tcW w:w="1701" w:type="dxa"/>
          </w:tcPr>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p>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Not recommended.</w:t>
            </w:r>
          </w:p>
        </w:tc>
        <w:tc>
          <w:tcPr>
            <w:tcW w:w="3827" w:type="dxa"/>
          </w:tcPr>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p>
          <w:p w:rsidR="00BD3A44" w:rsidRDefault="00CF3834" w:rsidP="00BD3A44">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Overall efficiency</w:t>
            </w:r>
            <w:r w:rsidR="00BD3A44" w:rsidRPr="00C20580">
              <w:rPr>
                <w:rFonts w:ascii="Times New Roman" w:hAnsi="Times New Roman"/>
                <w:i/>
                <w:sz w:val="18"/>
                <w:szCs w:val="18"/>
              </w:rPr>
              <w:t xml:space="preserve">: </w:t>
            </w:r>
            <w:r w:rsidR="000C0719" w:rsidRPr="000C0719">
              <w:rPr>
                <w:rFonts w:ascii="Times New Roman" w:hAnsi="Times New Roman"/>
                <w:sz w:val="18"/>
                <w:szCs w:val="18"/>
              </w:rPr>
              <w:t>Partly m</w:t>
            </w:r>
            <w:r w:rsidR="00BD3A44">
              <w:rPr>
                <w:rFonts w:ascii="Times New Roman" w:hAnsi="Times New Roman"/>
                <w:sz w:val="18"/>
                <w:szCs w:val="18"/>
              </w:rPr>
              <w:t>eets objective.</w:t>
            </w:r>
          </w:p>
          <w:p w:rsidR="00BD3A44" w:rsidRDefault="00BD3A44" w:rsidP="00BD3A44">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w:t>
            </w:r>
            <w:r w:rsidR="008D7AE3">
              <w:rPr>
                <w:rFonts w:ascii="Times New Roman" w:hAnsi="Times New Roman"/>
                <w:sz w:val="18"/>
                <w:szCs w:val="18"/>
              </w:rPr>
              <w:t>M</w:t>
            </w:r>
            <w:r>
              <w:rPr>
                <w:rFonts w:ascii="Times New Roman" w:hAnsi="Times New Roman"/>
                <w:sz w:val="18"/>
                <w:szCs w:val="18"/>
              </w:rPr>
              <w:t>eets objective</w:t>
            </w:r>
            <w:r w:rsidR="008D7AE3">
              <w:rPr>
                <w:rFonts w:ascii="Times New Roman" w:hAnsi="Times New Roman"/>
                <w:sz w:val="18"/>
                <w:szCs w:val="18"/>
              </w:rPr>
              <w:t>, but in practice would exclude many existing LTCs.</w:t>
            </w:r>
          </w:p>
          <w:p w:rsidR="00BD3A44" w:rsidRPr="00C20580" w:rsidRDefault="00BD3A44" w:rsidP="00BD3A44">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Pr>
                <w:rFonts w:ascii="Times New Roman" w:hAnsi="Times New Roman"/>
                <w:sz w:val="18"/>
                <w:szCs w:val="18"/>
              </w:rPr>
              <w:t>Does not meet objective as may result in tax-driven restructuring.</w:t>
            </w:r>
          </w:p>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p>
        </w:tc>
      </w:tr>
      <w:tr w:rsidR="00BD3A44" w:rsidRPr="00871EE0" w:rsidTr="00BD3A44">
        <w:trPr>
          <w:cantSplit/>
          <w:trHeight w:val="1407"/>
        </w:trPr>
        <w:tc>
          <w:tcPr>
            <w:tcW w:w="3936" w:type="dxa"/>
          </w:tcPr>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p>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 2: Trusts that own LTCs should be allowed to have corporate beneficiaries so long as no distributions are made to those corporate beneficiaries.</w:t>
            </w:r>
          </w:p>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p>
        </w:tc>
        <w:tc>
          <w:tcPr>
            <w:tcW w:w="1701" w:type="dxa"/>
          </w:tcPr>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p>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Recommended.</w:t>
            </w:r>
          </w:p>
        </w:tc>
        <w:tc>
          <w:tcPr>
            <w:tcW w:w="3827" w:type="dxa"/>
          </w:tcPr>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p>
          <w:p w:rsidR="00BD3A44" w:rsidRDefault="00CF3834" w:rsidP="00BD3A44">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Overall efficiency</w:t>
            </w:r>
            <w:r w:rsidR="00BD3A44" w:rsidRPr="00C20580">
              <w:rPr>
                <w:rFonts w:ascii="Times New Roman" w:hAnsi="Times New Roman"/>
                <w:i/>
                <w:sz w:val="18"/>
                <w:szCs w:val="18"/>
              </w:rPr>
              <w:t xml:space="preserve">: </w:t>
            </w:r>
            <w:r w:rsidR="00BD3A44">
              <w:rPr>
                <w:rFonts w:ascii="Times New Roman" w:hAnsi="Times New Roman"/>
                <w:sz w:val="18"/>
                <w:szCs w:val="18"/>
              </w:rPr>
              <w:t>M</w:t>
            </w:r>
            <w:r w:rsidR="000C0719">
              <w:rPr>
                <w:rFonts w:ascii="Times New Roman" w:hAnsi="Times New Roman"/>
                <w:sz w:val="18"/>
                <w:szCs w:val="18"/>
              </w:rPr>
              <w:t>ostly m</w:t>
            </w:r>
            <w:r w:rsidR="00BD3A44">
              <w:rPr>
                <w:rFonts w:ascii="Times New Roman" w:hAnsi="Times New Roman"/>
                <w:sz w:val="18"/>
                <w:szCs w:val="18"/>
              </w:rPr>
              <w:t>eets objective</w:t>
            </w:r>
            <w:r w:rsidR="002B15BC">
              <w:rPr>
                <w:rFonts w:ascii="Times New Roman" w:hAnsi="Times New Roman"/>
                <w:sz w:val="18"/>
                <w:szCs w:val="18"/>
              </w:rPr>
              <w:t xml:space="preserve"> as tax-driven behaviour less likely.</w:t>
            </w:r>
          </w:p>
          <w:p w:rsidR="00BD3A44" w:rsidRDefault="00BD3A44" w:rsidP="00BD3A44">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w:t>
            </w:r>
            <w:r w:rsidR="00253F06">
              <w:rPr>
                <w:rFonts w:ascii="Times New Roman" w:hAnsi="Times New Roman"/>
                <w:sz w:val="18"/>
                <w:szCs w:val="18"/>
              </w:rPr>
              <w:t>Mostly m</w:t>
            </w:r>
            <w:r>
              <w:rPr>
                <w:rFonts w:ascii="Times New Roman" w:hAnsi="Times New Roman"/>
                <w:sz w:val="18"/>
                <w:szCs w:val="18"/>
              </w:rPr>
              <w:t>e</w:t>
            </w:r>
            <w:r w:rsidR="008D7AE3">
              <w:rPr>
                <w:rFonts w:ascii="Times New Roman" w:hAnsi="Times New Roman"/>
                <w:sz w:val="18"/>
                <w:szCs w:val="18"/>
              </w:rPr>
              <w:t>ets objective and takes into account current structures.</w:t>
            </w:r>
          </w:p>
          <w:p w:rsidR="00BD3A44" w:rsidRPr="00C20580" w:rsidRDefault="00BD3A44" w:rsidP="00BD3A44">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253F06">
              <w:rPr>
                <w:rFonts w:ascii="Times New Roman" w:hAnsi="Times New Roman"/>
                <w:sz w:val="18"/>
                <w:szCs w:val="18"/>
              </w:rPr>
              <w:t>Mostly m</w:t>
            </w:r>
            <w:r>
              <w:rPr>
                <w:rFonts w:ascii="Times New Roman" w:hAnsi="Times New Roman"/>
                <w:sz w:val="18"/>
                <w:szCs w:val="18"/>
              </w:rPr>
              <w:t>eets objective, but may raise risk of inadvertent breach.</w:t>
            </w:r>
          </w:p>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p>
        </w:tc>
      </w:tr>
      <w:tr w:rsidR="00BD3A44" w:rsidTr="00BD3A44">
        <w:trPr>
          <w:cantSplit/>
          <w:trHeight w:val="986"/>
        </w:trPr>
        <w:tc>
          <w:tcPr>
            <w:tcW w:w="3936" w:type="dxa"/>
          </w:tcPr>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p>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 3: Trusts that own LTCs should be allowed to have corporate beneficiaries.</w:t>
            </w:r>
          </w:p>
        </w:tc>
        <w:tc>
          <w:tcPr>
            <w:tcW w:w="1701" w:type="dxa"/>
          </w:tcPr>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p>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Not recommended.</w:t>
            </w:r>
          </w:p>
        </w:tc>
        <w:tc>
          <w:tcPr>
            <w:tcW w:w="3827" w:type="dxa"/>
          </w:tcPr>
          <w:p w:rsidR="00BD3A44" w:rsidRDefault="00BD3A44" w:rsidP="00BD3A44">
            <w:pPr>
              <w:pStyle w:val="Bullet-list"/>
              <w:spacing w:after="0" w:line="240" w:lineRule="auto"/>
              <w:ind w:left="0" w:firstLine="0"/>
              <w:jc w:val="left"/>
              <w:rPr>
                <w:rFonts w:ascii="Times New Roman" w:hAnsi="Times New Roman"/>
                <w:i/>
                <w:sz w:val="18"/>
                <w:szCs w:val="18"/>
              </w:rPr>
            </w:pPr>
          </w:p>
          <w:p w:rsidR="00BD3A44" w:rsidRDefault="00CF3834" w:rsidP="00BD3A44">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Overall efficiency</w:t>
            </w:r>
            <w:r w:rsidR="00BD3A44" w:rsidRPr="00C20580">
              <w:rPr>
                <w:rFonts w:ascii="Times New Roman" w:hAnsi="Times New Roman"/>
                <w:i/>
                <w:sz w:val="18"/>
                <w:szCs w:val="18"/>
              </w:rPr>
              <w:t xml:space="preserve">: </w:t>
            </w:r>
            <w:r w:rsidR="002B15BC" w:rsidRPr="002B15BC">
              <w:rPr>
                <w:rFonts w:ascii="Times New Roman" w:hAnsi="Times New Roman"/>
                <w:sz w:val="18"/>
                <w:szCs w:val="18"/>
              </w:rPr>
              <w:t>Does not meet objective.</w:t>
            </w:r>
            <w:r w:rsidR="002B15BC">
              <w:rPr>
                <w:rFonts w:ascii="Times New Roman" w:hAnsi="Times New Roman"/>
                <w:i/>
                <w:sz w:val="18"/>
                <w:szCs w:val="18"/>
              </w:rPr>
              <w:t xml:space="preserve"> </w:t>
            </w:r>
            <w:r w:rsidR="00BD3A44">
              <w:rPr>
                <w:rFonts w:ascii="Times New Roman" w:hAnsi="Times New Roman"/>
                <w:sz w:val="18"/>
                <w:szCs w:val="18"/>
              </w:rPr>
              <w:t>M</w:t>
            </w:r>
            <w:r w:rsidR="002B15BC">
              <w:rPr>
                <w:rFonts w:ascii="Times New Roman" w:hAnsi="Times New Roman"/>
                <w:sz w:val="18"/>
                <w:szCs w:val="18"/>
              </w:rPr>
              <w:t xml:space="preserve">ay encourage behavioural change by corporates.  </w:t>
            </w:r>
          </w:p>
          <w:p w:rsidR="00BD3A44" w:rsidRDefault="00BD3A44" w:rsidP="00BD3A44">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Does not meet objective</w:t>
            </w:r>
            <w:r w:rsidR="002B15BC">
              <w:rPr>
                <w:rFonts w:ascii="Times New Roman" w:hAnsi="Times New Roman"/>
                <w:sz w:val="18"/>
                <w:szCs w:val="18"/>
              </w:rPr>
              <w:t>.</w:t>
            </w:r>
            <w:r w:rsidR="007C1078">
              <w:rPr>
                <w:rFonts w:ascii="Times New Roman" w:hAnsi="Times New Roman"/>
                <w:sz w:val="18"/>
                <w:szCs w:val="18"/>
              </w:rPr>
              <w:t xml:space="preserve">  </w:t>
            </w:r>
            <w:r w:rsidR="002B15BC">
              <w:rPr>
                <w:rFonts w:ascii="Times New Roman" w:hAnsi="Times New Roman"/>
                <w:sz w:val="18"/>
                <w:szCs w:val="18"/>
              </w:rPr>
              <w:t xml:space="preserve">  </w:t>
            </w:r>
          </w:p>
          <w:p w:rsidR="00BD3A44" w:rsidRPr="00C20580" w:rsidRDefault="00BD3A44" w:rsidP="00BD3A44">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2B15BC">
              <w:rPr>
                <w:rFonts w:ascii="Times New Roman" w:hAnsi="Times New Roman"/>
                <w:sz w:val="18"/>
                <w:szCs w:val="18"/>
              </w:rPr>
              <w:t xml:space="preserve">Increased </w:t>
            </w:r>
            <w:r>
              <w:rPr>
                <w:rFonts w:ascii="Times New Roman" w:hAnsi="Times New Roman"/>
                <w:sz w:val="18"/>
                <w:szCs w:val="18"/>
              </w:rPr>
              <w:t xml:space="preserve">tax </w:t>
            </w:r>
            <w:r w:rsidR="009D4332">
              <w:rPr>
                <w:rFonts w:ascii="Times New Roman" w:hAnsi="Times New Roman"/>
                <w:sz w:val="18"/>
                <w:szCs w:val="18"/>
              </w:rPr>
              <w:t xml:space="preserve">avoidance </w:t>
            </w:r>
            <w:r>
              <w:rPr>
                <w:rFonts w:ascii="Times New Roman" w:hAnsi="Times New Roman"/>
                <w:sz w:val="18"/>
                <w:szCs w:val="18"/>
              </w:rPr>
              <w:t>risk may raise costs of Inland Revenue</w:t>
            </w:r>
            <w:r w:rsidR="002B15BC">
              <w:rPr>
                <w:rFonts w:ascii="Times New Roman" w:hAnsi="Times New Roman"/>
                <w:sz w:val="18"/>
                <w:szCs w:val="18"/>
              </w:rPr>
              <w:t xml:space="preserve"> enforcement action</w:t>
            </w:r>
            <w:r>
              <w:rPr>
                <w:rFonts w:ascii="Times New Roman" w:hAnsi="Times New Roman"/>
                <w:sz w:val="18"/>
                <w:szCs w:val="18"/>
              </w:rPr>
              <w:t>.</w:t>
            </w:r>
          </w:p>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p>
        </w:tc>
      </w:tr>
      <w:tr w:rsidR="00BD3A44" w:rsidTr="00BD3A44">
        <w:trPr>
          <w:cantSplit/>
          <w:trHeight w:val="561"/>
        </w:trPr>
        <w:tc>
          <w:tcPr>
            <w:tcW w:w="3936" w:type="dxa"/>
          </w:tcPr>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p>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 4: Trusts that own LTCs should be allowed t</w:t>
            </w:r>
            <w:r w:rsidR="00CA68C0">
              <w:rPr>
                <w:rFonts w:ascii="Times New Roman" w:hAnsi="Times New Roman"/>
                <w:sz w:val="18"/>
                <w:szCs w:val="18"/>
              </w:rPr>
              <w:t xml:space="preserve">o have corporate beneficiaries </w:t>
            </w:r>
            <w:r>
              <w:rPr>
                <w:rFonts w:ascii="Times New Roman" w:hAnsi="Times New Roman"/>
                <w:sz w:val="18"/>
                <w:szCs w:val="18"/>
              </w:rPr>
              <w:t xml:space="preserve">if the total number of counted owners (including all shareholders of the corporate beneficiary) remains below 5(status quo). </w:t>
            </w:r>
          </w:p>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p>
        </w:tc>
        <w:tc>
          <w:tcPr>
            <w:tcW w:w="1701" w:type="dxa"/>
          </w:tcPr>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p>
          <w:p w:rsidR="00BD3A44" w:rsidRDefault="00BD3A44" w:rsidP="00BD3A44">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Not recommended.</w:t>
            </w:r>
          </w:p>
        </w:tc>
        <w:tc>
          <w:tcPr>
            <w:tcW w:w="3827" w:type="dxa"/>
          </w:tcPr>
          <w:p w:rsidR="00BD3A44" w:rsidRDefault="00BD3A44" w:rsidP="00BD3A44">
            <w:pPr>
              <w:pStyle w:val="Bullet-list"/>
              <w:spacing w:after="0" w:line="240" w:lineRule="auto"/>
              <w:ind w:left="0" w:firstLine="0"/>
              <w:rPr>
                <w:rFonts w:ascii="Times New Roman" w:hAnsi="Times New Roman"/>
                <w:i/>
                <w:sz w:val="18"/>
                <w:szCs w:val="18"/>
              </w:rPr>
            </w:pPr>
          </w:p>
          <w:p w:rsidR="00BD3A44" w:rsidRDefault="00CF3834" w:rsidP="00BD3A44">
            <w:pPr>
              <w:pStyle w:val="Bullet-list"/>
              <w:spacing w:after="0" w:line="240" w:lineRule="auto"/>
              <w:ind w:left="0" w:firstLine="0"/>
              <w:rPr>
                <w:rFonts w:ascii="Times New Roman" w:hAnsi="Times New Roman"/>
                <w:sz w:val="18"/>
                <w:szCs w:val="18"/>
              </w:rPr>
            </w:pPr>
            <w:r>
              <w:rPr>
                <w:rFonts w:ascii="Times New Roman" w:hAnsi="Times New Roman"/>
                <w:i/>
                <w:sz w:val="18"/>
                <w:szCs w:val="18"/>
              </w:rPr>
              <w:t>Overall efficiency</w:t>
            </w:r>
            <w:r w:rsidR="00BD3A44" w:rsidRPr="00C20580">
              <w:rPr>
                <w:rFonts w:ascii="Times New Roman" w:hAnsi="Times New Roman"/>
                <w:i/>
                <w:sz w:val="18"/>
                <w:szCs w:val="18"/>
              </w:rPr>
              <w:t xml:space="preserve">: </w:t>
            </w:r>
            <w:r w:rsidR="00CA68C0">
              <w:rPr>
                <w:rFonts w:ascii="Times New Roman" w:hAnsi="Times New Roman"/>
                <w:sz w:val="18"/>
                <w:szCs w:val="18"/>
              </w:rPr>
              <w:t>Does not meet objective</w:t>
            </w:r>
            <w:r w:rsidR="00BD3A44">
              <w:rPr>
                <w:rFonts w:ascii="Times New Roman" w:hAnsi="Times New Roman"/>
                <w:sz w:val="18"/>
                <w:szCs w:val="18"/>
              </w:rPr>
              <w:t>.</w:t>
            </w:r>
          </w:p>
          <w:p w:rsidR="00BD3A44" w:rsidRDefault="00BD3A44" w:rsidP="00BD3A44">
            <w:pPr>
              <w:pStyle w:val="Bullet-list"/>
              <w:spacing w:after="0" w:line="240" w:lineRule="auto"/>
              <w:ind w:left="0" w:firstLine="0"/>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Does not meet objective.</w:t>
            </w:r>
          </w:p>
          <w:p w:rsidR="00BD3A44" w:rsidRPr="00C20580" w:rsidRDefault="00BD3A44" w:rsidP="00BD3A44">
            <w:pPr>
              <w:pStyle w:val="Bullet-list"/>
              <w:spacing w:after="0" w:line="240" w:lineRule="auto"/>
              <w:ind w:left="0" w:firstLine="0"/>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Pr>
                <w:rFonts w:ascii="Times New Roman" w:hAnsi="Times New Roman"/>
                <w:sz w:val="18"/>
                <w:szCs w:val="18"/>
              </w:rPr>
              <w:t xml:space="preserve">No </w:t>
            </w:r>
            <w:r w:rsidR="00CA68C0">
              <w:rPr>
                <w:rFonts w:ascii="Times New Roman" w:hAnsi="Times New Roman"/>
                <w:sz w:val="18"/>
                <w:szCs w:val="18"/>
              </w:rPr>
              <w:t>impact</w:t>
            </w:r>
            <w:r>
              <w:rPr>
                <w:rFonts w:ascii="Times New Roman" w:hAnsi="Times New Roman"/>
                <w:sz w:val="18"/>
                <w:szCs w:val="18"/>
              </w:rPr>
              <w:t>.</w:t>
            </w:r>
          </w:p>
          <w:p w:rsidR="00BD3A44" w:rsidRDefault="00BD3A44" w:rsidP="00BD3A44">
            <w:pPr>
              <w:pStyle w:val="Bullet-list"/>
              <w:tabs>
                <w:tab w:val="num" w:pos="567"/>
              </w:tabs>
              <w:spacing w:after="0" w:line="240" w:lineRule="auto"/>
              <w:ind w:left="0" w:firstLine="0"/>
              <w:rPr>
                <w:rFonts w:ascii="Times New Roman" w:hAnsi="Times New Roman"/>
                <w:sz w:val="18"/>
                <w:szCs w:val="18"/>
              </w:rPr>
            </w:pPr>
          </w:p>
        </w:tc>
      </w:tr>
    </w:tbl>
    <w:p w:rsidR="00DD387E" w:rsidRDefault="00DD387E" w:rsidP="00CA079F">
      <w:pPr>
        <w:pStyle w:val="Bullet-list"/>
        <w:spacing w:after="0" w:line="240" w:lineRule="auto"/>
        <w:rPr>
          <w:rFonts w:ascii="Times New Roman" w:hAnsi="Times New Roman"/>
          <w:i/>
          <w:sz w:val="24"/>
          <w:szCs w:val="24"/>
        </w:rPr>
      </w:pPr>
    </w:p>
    <w:p w:rsidR="005B0E9F" w:rsidRDefault="005B0E9F" w:rsidP="00CA079F">
      <w:pPr>
        <w:pStyle w:val="Bullet-list"/>
        <w:spacing w:after="0" w:line="240" w:lineRule="auto"/>
        <w:rPr>
          <w:rFonts w:ascii="Times New Roman" w:hAnsi="Times New Roman"/>
          <w:i/>
          <w:sz w:val="24"/>
          <w:szCs w:val="24"/>
        </w:rPr>
      </w:pPr>
    </w:p>
    <w:p w:rsidR="00CB42F0" w:rsidRPr="004A25C4" w:rsidRDefault="00CB42F0" w:rsidP="00166E95">
      <w:pPr>
        <w:pStyle w:val="TRBodyText"/>
        <w:numPr>
          <w:ilvl w:val="0"/>
          <w:numId w:val="2"/>
        </w:numPr>
        <w:tabs>
          <w:tab w:val="clear" w:pos="360"/>
          <w:tab w:val="left" w:pos="0"/>
        </w:tabs>
        <w:ind w:left="0" w:firstLine="0"/>
        <w:rPr>
          <w:szCs w:val="24"/>
        </w:rPr>
      </w:pPr>
      <w:r>
        <w:rPr>
          <w:szCs w:val="24"/>
        </w:rPr>
        <w:t xml:space="preserve">Options to address the concern that for LTCs owned by charities (directly or indirectly through trusts) the fact that the current </w:t>
      </w:r>
      <w:r w:rsidR="00EB3036">
        <w:rPr>
          <w:szCs w:val="24"/>
        </w:rPr>
        <w:t xml:space="preserve">eligibility </w:t>
      </w:r>
      <w:r>
        <w:rPr>
          <w:szCs w:val="24"/>
        </w:rPr>
        <w:t xml:space="preserve">criteria focus only on distributions of beneficiary </w:t>
      </w:r>
      <w:r w:rsidR="008D7AE3">
        <w:rPr>
          <w:szCs w:val="24"/>
        </w:rPr>
        <w:t xml:space="preserve">income </w:t>
      </w:r>
      <w:r>
        <w:rPr>
          <w:szCs w:val="24"/>
        </w:rPr>
        <w:t xml:space="preserve">when counting look-through owners is not robust enough to ensure that these LTCs are not </w:t>
      </w:r>
      <w:r w:rsidR="008D7AE3">
        <w:rPr>
          <w:szCs w:val="24"/>
        </w:rPr>
        <w:t xml:space="preserve">more </w:t>
      </w:r>
      <w:r>
        <w:rPr>
          <w:szCs w:val="24"/>
        </w:rPr>
        <w:t xml:space="preserve">widely held </w:t>
      </w:r>
      <w:r w:rsidR="008D7AE3">
        <w:rPr>
          <w:szCs w:val="24"/>
        </w:rPr>
        <w:t>than intended</w:t>
      </w:r>
      <w:r>
        <w:rPr>
          <w:szCs w:val="24"/>
        </w:rPr>
        <w:t>, are listed below:</w:t>
      </w:r>
    </w:p>
    <w:p w:rsidR="00CB42F0" w:rsidRDefault="00CB42F0" w:rsidP="00CA079F">
      <w:pPr>
        <w:pStyle w:val="Bullet-list"/>
        <w:spacing w:after="0" w:line="240" w:lineRule="auto"/>
        <w:rPr>
          <w:rFonts w:ascii="Times New Roman" w:hAnsi="Times New Roman"/>
          <w:i/>
          <w:sz w:val="24"/>
          <w:szCs w:val="24"/>
        </w:rPr>
      </w:pPr>
    </w:p>
    <w:tbl>
      <w:tblPr>
        <w:tblStyle w:val="TableGrid"/>
        <w:tblW w:w="9464" w:type="dxa"/>
        <w:tblLook w:val="04A0" w:firstRow="1" w:lastRow="0" w:firstColumn="1" w:lastColumn="0" w:noHBand="0" w:noVBand="1"/>
      </w:tblPr>
      <w:tblGrid>
        <w:gridCol w:w="3936"/>
        <w:gridCol w:w="1701"/>
        <w:gridCol w:w="3827"/>
      </w:tblGrid>
      <w:tr w:rsidR="00CB42F0" w:rsidRPr="00871EE0" w:rsidTr="007776B1">
        <w:trPr>
          <w:cantSplit/>
          <w:trHeight w:val="274"/>
        </w:trPr>
        <w:tc>
          <w:tcPr>
            <w:tcW w:w="3936" w:type="dxa"/>
            <w:shd w:val="pct15" w:color="auto" w:fill="auto"/>
          </w:tcPr>
          <w:p w:rsidR="00CB42F0" w:rsidRDefault="00CB42F0" w:rsidP="007776B1">
            <w:pPr>
              <w:pStyle w:val="Bullet-list"/>
              <w:tabs>
                <w:tab w:val="num" w:pos="567"/>
              </w:tabs>
              <w:spacing w:after="0" w:line="240" w:lineRule="auto"/>
              <w:ind w:left="0" w:firstLine="0"/>
              <w:rPr>
                <w:rFonts w:ascii="Times New Roman" w:hAnsi="Times New Roman"/>
                <w:sz w:val="18"/>
                <w:szCs w:val="18"/>
              </w:rPr>
            </w:pPr>
            <w:r w:rsidRPr="000B7D6E">
              <w:rPr>
                <w:rFonts w:ascii="Times New Roman" w:hAnsi="Times New Roman"/>
                <w:b/>
                <w:sz w:val="18"/>
                <w:szCs w:val="18"/>
              </w:rPr>
              <w:t>Options:</w:t>
            </w:r>
          </w:p>
        </w:tc>
        <w:tc>
          <w:tcPr>
            <w:tcW w:w="1701" w:type="dxa"/>
            <w:shd w:val="pct15" w:color="auto" w:fill="auto"/>
          </w:tcPr>
          <w:p w:rsidR="00CB42F0" w:rsidRPr="000B7D6E" w:rsidRDefault="00CB42F0" w:rsidP="007776B1">
            <w:pPr>
              <w:pStyle w:val="Bullet-list"/>
              <w:tabs>
                <w:tab w:val="num" w:pos="567"/>
              </w:tabs>
              <w:spacing w:after="0" w:line="240" w:lineRule="auto"/>
              <w:ind w:left="0" w:firstLine="0"/>
              <w:rPr>
                <w:rFonts w:ascii="Times New Roman" w:hAnsi="Times New Roman"/>
                <w:b/>
                <w:sz w:val="18"/>
                <w:szCs w:val="18"/>
              </w:rPr>
            </w:pPr>
            <w:r w:rsidRPr="000B7D6E">
              <w:rPr>
                <w:rFonts w:ascii="Times New Roman" w:hAnsi="Times New Roman"/>
                <w:b/>
                <w:sz w:val="18"/>
                <w:szCs w:val="18"/>
              </w:rPr>
              <w:t>Re</w:t>
            </w:r>
            <w:r>
              <w:rPr>
                <w:rFonts w:ascii="Times New Roman" w:hAnsi="Times New Roman"/>
                <w:b/>
                <w:sz w:val="18"/>
                <w:szCs w:val="18"/>
              </w:rPr>
              <w:t>c</w:t>
            </w:r>
            <w:r w:rsidRPr="000B7D6E">
              <w:rPr>
                <w:rFonts w:ascii="Times New Roman" w:hAnsi="Times New Roman"/>
                <w:b/>
                <w:sz w:val="18"/>
                <w:szCs w:val="18"/>
              </w:rPr>
              <w:t>ommendations</w:t>
            </w:r>
          </w:p>
        </w:tc>
        <w:tc>
          <w:tcPr>
            <w:tcW w:w="3827" w:type="dxa"/>
            <w:shd w:val="pct15" w:color="auto" w:fill="auto"/>
          </w:tcPr>
          <w:p w:rsidR="00CB42F0" w:rsidRPr="000B7D6E" w:rsidRDefault="00CB42F0" w:rsidP="007776B1">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Analysis against objectives</w:t>
            </w:r>
          </w:p>
        </w:tc>
      </w:tr>
      <w:tr w:rsidR="00CB42F0" w:rsidRPr="00871EE0" w:rsidTr="007776B1">
        <w:trPr>
          <w:cantSplit/>
          <w:trHeight w:val="557"/>
        </w:trPr>
        <w:tc>
          <w:tcPr>
            <w:tcW w:w="3936" w:type="dxa"/>
          </w:tcPr>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p>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 1: Charities are precluded from owning LTCs directly or indirectly</w:t>
            </w:r>
            <w:r w:rsidR="009731FB">
              <w:rPr>
                <w:rFonts w:ascii="Times New Roman" w:hAnsi="Times New Roman"/>
                <w:sz w:val="18"/>
                <w:szCs w:val="18"/>
              </w:rPr>
              <w:t>, with no allowance for distributions akin to donations</w:t>
            </w:r>
            <w:r>
              <w:rPr>
                <w:rFonts w:ascii="Times New Roman" w:hAnsi="Times New Roman"/>
                <w:sz w:val="18"/>
                <w:szCs w:val="18"/>
              </w:rPr>
              <w:t xml:space="preserve">. </w:t>
            </w:r>
          </w:p>
        </w:tc>
        <w:tc>
          <w:tcPr>
            <w:tcW w:w="1701" w:type="dxa"/>
          </w:tcPr>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p>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r w:rsidRPr="00871EE0">
              <w:rPr>
                <w:rFonts w:ascii="Times New Roman" w:hAnsi="Times New Roman"/>
                <w:sz w:val="18"/>
                <w:szCs w:val="18"/>
              </w:rPr>
              <w:t>Not recommended</w:t>
            </w:r>
            <w:r>
              <w:rPr>
                <w:rFonts w:ascii="Times New Roman" w:hAnsi="Times New Roman"/>
                <w:sz w:val="18"/>
                <w:szCs w:val="18"/>
              </w:rPr>
              <w:t>.</w:t>
            </w:r>
          </w:p>
        </w:tc>
        <w:tc>
          <w:tcPr>
            <w:tcW w:w="3827" w:type="dxa"/>
          </w:tcPr>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p>
          <w:p w:rsidR="00CB42F0" w:rsidRDefault="00CF3834" w:rsidP="007776B1">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Overall efficiency</w:t>
            </w:r>
            <w:r w:rsidR="00CB42F0" w:rsidRPr="00C20580">
              <w:rPr>
                <w:rFonts w:ascii="Times New Roman" w:hAnsi="Times New Roman"/>
                <w:i/>
                <w:sz w:val="18"/>
                <w:szCs w:val="18"/>
              </w:rPr>
              <w:t xml:space="preserve">: </w:t>
            </w:r>
            <w:r w:rsidR="007F110F">
              <w:rPr>
                <w:rFonts w:ascii="Times New Roman" w:hAnsi="Times New Roman"/>
                <w:sz w:val="18"/>
                <w:szCs w:val="18"/>
              </w:rPr>
              <w:t>Does not meet o</w:t>
            </w:r>
            <w:r w:rsidR="00CB42F0">
              <w:rPr>
                <w:rFonts w:ascii="Times New Roman" w:hAnsi="Times New Roman"/>
                <w:sz w:val="18"/>
                <w:szCs w:val="18"/>
              </w:rPr>
              <w:t>bjective</w:t>
            </w:r>
            <w:r w:rsidR="00224834">
              <w:rPr>
                <w:rFonts w:ascii="Times New Roman" w:hAnsi="Times New Roman"/>
                <w:sz w:val="18"/>
                <w:szCs w:val="18"/>
              </w:rPr>
              <w:t xml:space="preserve"> as will encourage tax-driven restructuring</w:t>
            </w:r>
            <w:r w:rsidR="00CB42F0">
              <w:rPr>
                <w:rFonts w:ascii="Times New Roman" w:hAnsi="Times New Roman"/>
                <w:sz w:val="18"/>
                <w:szCs w:val="18"/>
              </w:rPr>
              <w:t>.</w:t>
            </w:r>
          </w:p>
          <w:p w:rsidR="00224834" w:rsidRDefault="00CB42F0" w:rsidP="007776B1">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w:t>
            </w:r>
            <w:r w:rsidR="007F110F">
              <w:rPr>
                <w:rFonts w:ascii="Times New Roman" w:hAnsi="Times New Roman"/>
                <w:sz w:val="18"/>
                <w:szCs w:val="18"/>
              </w:rPr>
              <w:t xml:space="preserve">Does </w:t>
            </w:r>
            <w:r w:rsidR="00224834">
              <w:rPr>
                <w:rFonts w:ascii="Times New Roman" w:hAnsi="Times New Roman"/>
                <w:sz w:val="18"/>
                <w:szCs w:val="18"/>
              </w:rPr>
              <w:t>not meet objective.  May support integrity of LTC rules but disadvantages charities through precluding</w:t>
            </w:r>
            <w:r w:rsidR="007F110F">
              <w:rPr>
                <w:rFonts w:ascii="Times New Roman" w:hAnsi="Times New Roman"/>
                <w:sz w:val="18"/>
                <w:szCs w:val="18"/>
              </w:rPr>
              <w:t xml:space="preserve"> genuine donations</w:t>
            </w:r>
            <w:r w:rsidR="00224834">
              <w:rPr>
                <w:rFonts w:ascii="Times New Roman" w:hAnsi="Times New Roman"/>
                <w:sz w:val="18"/>
                <w:szCs w:val="18"/>
              </w:rPr>
              <w:t>.</w:t>
            </w:r>
          </w:p>
          <w:p w:rsidR="00CB42F0" w:rsidRPr="00C20580" w:rsidRDefault="00CB42F0" w:rsidP="007776B1">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Pr>
                <w:rFonts w:ascii="Times New Roman" w:hAnsi="Times New Roman"/>
                <w:sz w:val="18"/>
                <w:szCs w:val="18"/>
              </w:rPr>
              <w:t xml:space="preserve">Does not meet objective as </w:t>
            </w:r>
            <w:r w:rsidR="00224834">
              <w:rPr>
                <w:rFonts w:ascii="Times New Roman" w:hAnsi="Times New Roman"/>
                <w:sz w:val="18"/>
                <w:szCs w:val="18"/>
              </w:rPr>
              <w:t>costs associated with any</w:t>
            </w:r>
            <w:r>
              <w:rPr>
                <w:rFonts w:ascii="Times New Roman" w:hAnsi="Times New Roman"/>
                <w:sz w:val="18"/>
                <w:szCs w:val="18"/>
              </w:rPr>
              <w:t xml:space="preserve"> restructuring.</w:t>
            </w:r>
          </w:p>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p>
        </w:tc>
      </w:tr>
      <w:tr w:rsidR="00CB42F0" w:rsidRPr="00871EE0" w:rsidTr="007776B1">
        <w:trPr>
          <w:cantSplit/>
          <w:trHeight w:val="1407"/>
        </w:trPr>
        <w:tc>
          <w:tcPr>
            <w:tcW w:w="3936" w:type="dxa"/>
          </w:tcPr>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p>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 2: Charities are precluded from owning LTCs either directly or indirectly, but are allowed to make charitable distributions (capped at 10% of net LTC income received by the trust in the year).</w:t>
            </w:r>
          </w:p>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p>
        </w:tc>
        <w:tc>
          <w:tcPr>
            <w:tcW w:w="1701" w:type="dxa"/>
          </w:tcPr>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p>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r w:rsidRPr="00871EE0">
              <w:rPr>
                <w:rFonts w:ascii="Times New Roman" w:hAnsi="Times New Roman"/>
                <w:sz w:val="18"/>
                <w:szCs w:val="18"/>
              </w:rPr>
              <w:t>Not recommended</w:t>
            </w:r>
            <w:r>
              <w:rPr>
                <w:rFonts w:ascii="Times New Roman" w:hAnsi="Times New Roman"/>
                <w:sz w:val="18"/>
                <w:szCs w:val="18"/>
              </w:rPr>
              <w:t>.</w:t>
            </w:r>
          </w:p>
        </w:tc>
        <w:tc>
          <w:tcPr>
            <w:tcW w:w="3827" w:type="dxa"/>
          </w:tcPr>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p>
          <w:p w:rsidR="00CB42F0" w:rsidRDefault="00CF3834" w:rsidP="007776B1">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Overall efficiency</w:t>
            </w:r>
            <w:r w:rsidR="00CB42F0" w:rsidRPr="00C20580">
              <w:rPr>
                <w:rFonts w:ascii="Times New Roman" w:hAnsi="Times New Roman"/>
                <w:i/>
                <w:sz w:val="18"/>
                <w:szCs w:val="18"/>
              </w:rPr>
              <w:t xml:space="preserve">: </w:t>
            </w:r>
            <w:r w:rsidR="006515B1" w:rsidRPr="006515B1">
              <w:rPr>
                <w:rFonts w:ascii="Times New Roman" w:hAnsi="Times New Roman"/>
                <w:sz w:val="18"/>
                <w:szCs w:val="18"/>
              </w:rPr>
              <w:t>Partly meets objective</w:t>
            </w:r>
            <w:r w:rsidR="006515B1">
              <w:rPr>
                <w:rFonts w:ascii="Times New Roman" w:hAnsi="Times New Roman"/>
                <w:i/>
                <w:sz w:val="18"/>
                <w:szCs w:val="18"/>
              </w:rPr>
              <w:t xml:space="preserve"> </w:t>
            </w:r>
            <w:r w:rsidR="006515B1">
              <w:rPr>
                <w:rFonts w:ascii="Times New Roman" w:hAnsi="Times New Roman"/>
                <w:sz w:val="18"/>
                <w:szCs w:val="18"/>
              </w:rPr>
              <w:t>as will be less restructuring but may discourage true donations which is inefficient.</w:t>
            </w:r>
            <w:r w:rsidR="006515B1" w:rsidRPr="006515B1">
              <w:rPr>
                <w:rFonts w:ascii="Times New Roman" w:hAnsi="Times New Roman"/>
                <w:sz w:val="18"/>
                <w:szCs w:val="18"/>
              </w:rPr>
              <w:t xml:space="preserve"> </w:t>
            </w:r>
          </w:p>
          <w:p w:rsidR="00CB42F0" w:rsidRDefault="00CB42F0" w:rsidP="007776B1">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w:t>
            </w:r>
            <w:r w:rsidR="00910A71">
              <w:rPr>
                <w:rFonts w:ascii="Times New Roman" w:hAnsi="Times New Roman"/>
                <w:sz w:val="18"/>
                <w:szCs w:val="18"/>
              </w:rPr>
              <w:t>Partly meets</w:t>
            </w:r>
            <w:r>
              <w:rPr>
                <w:rFonts w:ascii="Times New Roman" w:hAnsi="Times New Roman"/>
                <w:sz w:val="18"/>
                <w:szCs w:val="18"/>
              </w:rPr>
              <w:t xml:space="preserve"> objective.</w:t>
            </w:r>
          </w:p>
          <w:p w:rsidR="00CB42F0" w:rsidRPr="00C20580" w:rsidRDefault="00CB42F0" w:rsidP="007776B1">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6515B1">
              <w:rPr>
                <w:rFonts w:ascii="Times New Roman" w:hAnsi="Times New Roman"/>
                <w:sz w:val="18"/>
                <w:szCs w:val="18"/>
              </w:rPr>
              <w:t>Does not meet objective as results in compliance costs to track distributions.</w:t>
            </w:r>
          </w:p>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p>
        </w:tc>
      </w:tr>
      <w:tr w:rsidR="00CB42F0" w:rsidTr="007776B1">
        <w:trPr>
          <w:cantSplit/>
          <w:trHeight w:val="986"/>
        </w:trPr>
        <w:tc>
          <w:tcPr>
            <w:tcW w:w="3936" w:type="dxa"/>
          </w:tcPr>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p>
          <w:p w:rsidR="00CB42F0" w:rsidRDefault="00CB42F0" w:rsidP="0094644A">
            <w:pPr>
              <w:pStyle w:val="Bullet-list"/>
              <w:tabs>
                <w:tab w:val="num" w:pos="567"/>
              </w:tabs>
              <w:spacing w:after="0" w:line="240" w:lineRule="auto"/>
              <w:ind w:left="0" w:firstLine="0"/>
              <w:jc w:val="left"/>
            </w:pPr>
            <w:r>
              <w:rPr>
                <w:rFonts w:ascii="Times New Roman" w:hAnsi="Times New Roman"/>
                <w:sz w:val="18"/>
                <w:szCs w:val="18"/>
              </w:rPr>
              <w:t xml:space="preserve">Option 3: Charities are precluded from owning LTCs directly, but not precluded from indirectly benefiting from the LTC as either residual beneficiary of a LTC owning trust, or ordinary beneficiaries when the charity has no </w:t>
            </w:r>
            <w:r w:rsidRPr="002B3633">
              <w:rPr>
                <w:rFonts w:ascii="Times New Roman" w:hAnsi="Times New Roman"/>
                <w:sz w:val="18"/>
                <w:szCs w:val="18"/>
              </w:rPr>
              <w:t xml:space="preserve">influence over the LTC or trust </w:t>
            </w:r>
            <w:r>
              <w:rPr>
                <w:rFonts w:ascii="Times New Roman" w:hAnsi="Times New Roman"/>
                <w:sz w:val="18"/>
                <w:szCs w:val="18"/>
              </w:rPr>
              <w:t>(</w:t>
            </w:r>
            <w:r w:rsidRPr="002B3633">
              <w:rPr>
                <w:rFonts w:ascii="Times New Roman" w:hAnsi="Times New Roman"/>
                <w:sz w:val="18"/>
                <w:szCs w:val="18"/>
              </w:rPr>
              <w:t xml:space="preserve">in effect </w:t>
            </w:r>
            <w:r>
              <w:rPr>
                <w:rFonts w:ascii="Times New Roman" w:hAnsi="Times New Roman"/>
                <w:sz w:val="18"/>
                <w:szCs w:val="18"/>
              </w:rPr>
              <w:t xml:space="preserve">any </w:t>
            </w:r>
            <w:r w:rsidRPr="002B3633">
              <w:rPr>
                <w:rFonts w:ascii="Times New Roman" w:hAnsi="Times New Roman"/>
                <w:sz w:val="18"/>
                <w:szCs w:val="18"/>
              </w:rPr>
              <w:t xml:space="preserve">distribution </w:t>
            </w:r>
            <w:r>
              <w:rPr>
                <w:rFonts w:ascii="Times New Roman" w:hAnsi="Times New Roman"/>
                <w:sz w:val="18"/>
                <w:szCs w:val="18"/>
              </w:rPr>
              <w:t xml:space="preserve">is </w:t>
            </w:r>
            <w:r w:rsidRPr="002B3633">
              <w:rPr>
                <w:rFonts w:ascii="Times New Roman" w:hAnsi="Times New Roman"/>
                <w:sz w:val="18"/>
                <w:szCs w:val="18"/>
              </w:rPr>
              <w:t>a true gift</w:t>
            </w:r>
            <w:r>
              <w:rPr>
                <w:rFonts w:ascii="Times New Roman" w:hAnsi="Times New Roman"/>
                <w:sz w:val="18"/>
                <w:szCs w:val="18"/>
              </w:rPr>
              <w:t xml:space="preserve"> which is </w:t>
            </w:r>
            <w:r w:rsidRPr="002B3633">
              <w:rPr>
                <w:rFonts w:ascii="Times New Roman" w:hAnsi="Times New Roman"/>
                <w:sz w:val="18"/>
                <w:szCs w:val="18"/>
              </w:rPr>
              <w:t>freely given</w:t>
            </w:r>
            <w:r>
              <w:rPr>
                <w:rFonts w:ascii="Times New Roman" w:hAnsi="Times New Roman"/>
                <w:sz w:val="18"/>
                <w:szCs w:val="18"/>
              </w:rPr>
              <w:t>)</w:t>
            </w:r>
            <w:r w:rsidRPr="002B3633">
              <w:rPr>
                <w:rFonts w:ascii="Times New Roman" w:hAnsi="Times New Roman"/>
                <w:sz w:val="18"/>
                <w:szCs w:val="18"/>
              </w:rPr>
              <w:t>.</w:t>
            </w:r>
            <w:r>
              <w:t xml:space="preserve">  </w:t>
            </w:r>
          </w:p>
          <w:p w:rsidR="00DB194C" w:rsidRDefault="00DB194C" w:rsidP="0094644A">
            <w:pPr>
              <w:pStyle w:val="Bullet-list"/>
              <w:tabs>
                <w:tab w:val="num" w:pos="567"/>
              </w:tabs>
              <w:spacing w:after="0" w:line="240" w:lineRule="auto"/>
              <w:ind w:left="0" w:firstLine="0"/>
              <w:jc w:val="left"/>
              <w:rPr>
                <w:rFonts w:ascii="Times New Roman" w:hAnsi="Times New Roman"/>
                <w:sz w:val="18"/>
                <w:szCs w:val="18"/>
              </w:rPr>
            </w:pPr>
          </w:p>
        </w:tc>
        <w:tc>
          <w:tcPr>
            <w:tcW w:w="1701" w:type="dxa"/>
          </w:tcPr>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p>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Recommended.</w:t>
            </w:r>
          </w:p>
        </w:tc>
        <w:tc>
          <w:tcPr>
            <w:tcW w:w="3827" w:type="dxa"/>
          </w:tcPr>
          <w:p w:rsidR="00CB42F0" w:rsidRDefault="00CB42F0" w:rsidP="007776B1">
            <w:pPr>
              <w:pStyle w:val="Bullet-list"/>
              <w:spacing w:after="0" w:line="240" w:lineRule="auto"/>
              <w:ind w:left="0" w:firstLine="0"/>
              <w:jc w:val="left"/>
              <w:rPr>
                <w:rFonts w:ascii="Times New Roman" w:hAnsi="Times New Roman"/>
                <w:i/>
                <w:sz w:val="18"/>
                <w:szCs w:val="18"/>
              </w:rPr>
            </w:pPr>
          </w:p>
          <w:p w:rsidR="00CB42F0" w:rsidRDefault="00CF3834" w:rsidP="007776B1">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Overall efficiency</w:t>
            </w:r>
            <w:r w:rsidR="00CB42F0" w:rsidRPr="00C20580">
              <w:rPr>
                <w:rFonts w:ascii="Times New Roman" w:hAnsi="Times New Roman"/>
                <w:i/>
                <w:sz w:val="18"/>
                <w:szCs w:val="18"/>
              </w:rPr>
              <w:t xml:space="preserve">: </w:t>
            </w:r>
            <w:r w:rsidR="00846841" w:rsidRPr="00846841">
              <w:rPr>
                <w:rFonts w:ascii="Times New Roman" w:hAnsi="Times New Roman"/>
                <w:sz w:val="18"/>
                <w:szCs w:val="18"/>
              </w:rPr>
              <w:t>Mostly m</w:t>
            </w:r>
            <w:r w:rsidR="00CB42F0" w:rsidRPr="00846841">
              <w:rPr>
                <w:rFonts w:ascii="Times New Roman" w:hAnsi="Times New Roman"/>
                <w:sz w:val="18"/>
                <w:szCs w:val="18"/>
              </w:rPr>
              <w:t>e</w:t>
            </w:r>
            <w:r w:rsidR="00CB42F0">
              <w:rPr>
                <w:rFonts w:ascii="Times New Roman" w:hAnsi="Times New Roman"/>
                <w:sz w:val="18"/>
                <w:szCs w:val="18"/>
              </w:rPr>
              <w:t>ets objective</w:t>
            </w:r>
            <w:r w:rsidR="00846841">
              <w:rPr>
                <w:rFonts w:ascii="Times New Roman" w:hAnsi="Times New Roman"/>
                <w:sz w:val="18"/>
                <w:szCs w:val="18"/>
              </w:rPr>
              <w:t xml:space="preserve"> as will not lead to tax-driven restructuring and will not discourage true donations</w:t>
            </w:r>
            <w:r w:rsidR="0094644A">
              <w:rPr>
                <w:rFonts w:ascii="Times New Roman" w:hAnsi="Times New Roman"/>
                <w:sz w:val="18"/>
                <w:szCs w:val="18"/>
              </w:rPr>
              <w:t xml:space="preserve">. </w:t>
            </w:r>
          </w:p>
          <w:p w:rsidR="0094644A" w:rsidRDefault="00CB42F0" w:rsidP="007776B1">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w:t>
            </w:r>
            <w:r w:rsidR="00846841">
              <w:rPr>
                <w:rFonts w:ascii="Times New Roman" w:hAnsi="Times New Roman"/>
                <w:sz w:val="18"/>
                <w:szCs w:val="18"/>
              </w:rPr>
              <w:t>Mostly m</w:t>
            </w:r>
            <w:r w:rsidR="0094644A">
              <w:rPr>
                <w:rFonts w:ascii="Times New Roman" w:hAnsi="Times New Roman"/>
                <w:sz w:val="18"/>
                <w:szCs w:val="18"/>
              </w:rPr>
              <w:t>eets objective</w:t>
            </w:r>
            <w:r w:rsidR="00846841">
              <w:rPr>
                <w:rFonts w:ascii="Times New Roman" w:hAnsi="Times New Roman"/>
                <w:sz w:val="18"/>
                <w:szCs w:val="18"/>
              </w:rPr>
              <w:t>.</w:t>
            </w:r>
            <w:r w:rsidR="0094644A">
              <w:rPr>
                <w:rFonts w:ascii="Times New Roman" w:hAnsi="Times New Roman"/>
                <w:sz w:val="18"/>
                <w:szCs w:val="18"/>
              </w:rPr>
              <w:t xml:space="preserve"> </w:t>
            </w:r>
          </w:p>
          <w:p w:rsidR="00CB42F0" w:rsidRDefault="00CB42F0" w:rsidP="003969E6">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846841">
              <w:rPr>
                <w:rFonts w:ascii="Times New Roman" w:hAnsi="Times New Roman"/>
                <w:sz w:val="18"/>
                <w:szCs w:val="18"/>
              </w:rPr>
              <w:t>Mostly m</w:t>
            </w:r>
            <w:r w:rsidR="0094644A">
              <w:rPr>
                <w:rFonts w:ascii="Times New Roman" w:hAnsi="Times New Roman"/>
                <w:sz w:val="18"/>
                <w:szCs w:val="18"/>
              </w:rPr>
              <w:t>eets objective.</w:t>
            </w:r>
          </w:p>
        </w:tc>
      </w:tr>
      <w:tr w:rsidR="00CB42F0" w:rsidTr="007776B1">
        <w:trPr>
          <w:cantSplit/>
          <w:trHeight w:val="561"/>
        </w:trPr>
        <w:tc>
          <w:tcPr>
            <w:tcW w:w="3936" w:type="dxa"/>
          </w:tcPr>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p>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 4: Charities should be able to own LTC interests (status quo).</w:t>
            </w:r>
          </w:p>
        </w:tc>
        <w:tc>
          <w:tcPr>
            <w:tcW w:w="1701" w:type="dxa"/>
          </w:tcPr>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p>
          <w:p w:rsidR="00CB42F0" w:rsidRDefault="00CB42F0" w:rsidP="007776B1">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Not recommended.</w:t>
            </w:r>
          </w:p>
        </w:tc>
        <w:tc>
          <w:tcPr>
            <w:tcW w:w="3827" w:type="dxa"/>
          </w:tcPr>
          <w:p w:rsidR="00CB42F0" w:rsidRDefault="00CB42F0" w:rsidP="007776B1">
            <w:pPr>
              <w:pStyle w:val="Bullet-list"/>
              <w:spacing w:after="0" w:line="240" w:lineRule="auto"/>
              <w:ind w:left="0" w:firstLine="0"/>
              <w:rPr>
                <w:rFonts w:ascii="Times New Roman" w:hAnsi="Times New Roman"/>
                <w:i/>
                <w:sz w:val="18"/>
                <w:szCs w:val="18"/>
              </w:rPr>
            </w:pPr>
          </w:p>
          <w:p w:rsidR="00CB42F0" w:rsidRDefault="00CF3834" w:rsidP="007776B1">
            <w:pPr>
              <w:pStyle w:val="Bullet-list"/>
              <w:spacing w:after="0" w:line="240" w:lineRule="auto"/>
              <w:ind w:left="0" w:firstLine="0"/>
              <w:rPr>
                <w:rFonts w:ascii="Times New Roman" w:hAnsi="Times New Roman"/>
                <w:sz w:val="18"/>
                <w:szCs w:val="18"/>
              </w:rPr>
            </w:pPr>
            <w:r>
              <w:rPr>
                <w:rFonts w:ascii="Times New Roman" w:hAnsi="Times New Roman"/>
                <w:i/>
                <w:sz w:val="18"/>
                <w:szCs w:val="18"/>
              </w:rPr>
              <w:t>Overall efficiency</w:t>
            </w:r>
            <w:r w:rsidR="00CB42F0" w:rsidRPr="00C20580">
              <w:rPr>
                <w:rFonts w:ascii="Times New Roman" w:hAnsi="Times New Roman"/>
                <w:i/>
                <w:sz w:val="18"/>
                <w:szCs w:val="18"/>
              </w:rPr>
              <w:t xml:space="preserve">: </w:t>
            </w:r>
            <w:r w:rsidR="00850F4F">
              <w:rPr>
                <w:rFonts w:ascii="Times New Roman" w:hAnsi="Times New Roman"/>
                <w:sz w:val="18"/>
                <w:szCs w:val="18"/>
              </w:rPr>
              <w:t>Does not meet objective</w:t>
            </w:r>
            <w:r w:rsidR="00CB42F0">
              <w:rPr>
                <w:rFonts w:ascii="Times New Roman" w:hAnsi="Times New Roman"/>
                <w:sz w:val="18"/>
                <w:szCs w:val="18"/>
              </w:rPr>
              <w:t>.</w:t>
            </w:r>
            <w:r w:rsidR="001012BB">
              <w:rPr>
                <w:rFonts w:ascii="Times New Roman" w:hAnsi="Times New Roman"/>
                <w:sz w:val="18"/>
                <w:szCs w:val="18"/>
              </w:rPr>
              <w:t xml:space="preserve">  In effect allows widely held ‘ownership’.</w:t>
            </w:r>
          </w:p>
          <w:p w:rsidR="00CB42F0" w:rsidRDefault="00CB42F0" w:rsidP="007776B1">
            <w:pPr>
              <w:pStyle w:val="Bullet-list"/>
              <w:spacing w:after="0" w:line="240" w:lineRule="auto"/>
              <w:ind w:left="0" w:firstLine="0"/>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Does not meet objective.</w:t>
            </w:r>
          </w:p>
          <w:p w:rsidR="00CB42F0" w:rsidRPr="00C20580" w:rsidRDefault="00CB42F0" w:rsidP="007776B1">
            <w:pPr>
              <w:pStyle w:val="Bullet-list"/>
              <w:spacing w:after="0" w:line="240" w:lineRule="auto"/>
              <w:ind w:left="0" w:firstLine="0"/>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Pr>
                <w:rFonts w:ascii="Times New Roman" w:hAnsi="Times New Roman"/>
                <w:sz w:val="18"/>
                <w:szCs w:val="18"/>
              </w:rPr>
              <w:t xml:space="preserve">No </w:t>
            </w:r>
            <w:r w:rsidR="00DD0438">
              <w:rPr>
                <w:rFonts w:ascii="Times New Roman" w:hAnsi="Times New Roman"/>
                <w:sz w:val="18"/>
                <w:szCs w:val="18"/>
              </w:rPr>
              <w:t>impact</w:t>
            </w:r>
            <w:r>
              <w:rPr>
                <w:rFonts w:ascii="Times New Roman" w:hAnsi="Times New Roman"/>
                <w:sz w:val="18"/>
                <w:szCs w:val="18"/>
              </w:rPr>
              <w:t>.</w:t>
            </w:r>
          </w:p>
          <w:p w:rsidR="00CB42F0" w:rsidRDefault="00CB42F0" w:rsidP="007776B1">
            <w:pPr>
              <w:pStyle w:val="Bullet-list"/>
              <w:tabs>
                <w:tab w:val="num" w:pos="567"/>
              </w:tabs>
              <w:spacing w:after="0" w:line="240" w:lineRule="auto"/>
              <w:ind w:left="0" w:firstLine="0"/>
              <w:rPr>
                <w:rFonts w:ascii="Times New Roman" w:hAnsi="Times New Roman"/>
                <w:sz w:val="18"/>
                <w:szCs w:val="18"/>
              </w:rPr>
            </w:pPr>
          </w:p>
        </w:tc>
      </w:tr>
    </w:tbl>
    <w:p w:rsidR="00CB42F0" w:rsidRDefault="00CB42F0" w:rsidP="00CA079F">
      <w:pPr>
        <w:pStyle w:val="Bullet-list"/>
        <w:spacing w:after="0" w:line="240" w:lineRule="auto"/>
        <w:rPr>
          <w:rFonts w:ascii="Times New Roman" w:hAnsi="Times New Roman"/>
          <w:i/>
          <w:sz w:val="24"/>
          <w:szCs w:val="24"/>
        </w:rPr>
      </w:pPr>
    </w:p>
    <w:p w:rsidR="00CB42F0" w:rsidRDefault="00CB42F0" w:rsidP="00CA079F">
      <w:pPr>
        <w:pStyle w:val="Bullet-list"/>
        <w:spacing w:after="0" w:line="240" w:lineRule="auto"/>
        <w:rPr>
          <w:rFonts w:ascii="Times New Roman" w:hAnsi="Times New Roman"/>
          <w:i/>
          <w:sz w:val="24"/>
          <w:szCs w:val="24"/>
        </w:rPr>
      </w:pPr>
    </w:p>
    <w:p w:rsidR="00CB42F0" w:rsidRPr="004A25C4" w:rsidRDefault="00CB42F0" w:rsidP="00166E95">
      <w:pPr>
        <w:pStyle w:val="TRBodyText"/>
        <w:numPr>
          <w:ilvl w:val="0"/>
          <w:numId w:val="2"/>
        </w:numPr>
        <w:tabs>
          <w:tab w:val="clear" w:pos="360"/>
          <w:tab w:val="left" w:pos="0"/>
        </w:tabs>
        <w:ind w:left="0" w:firstLine="0"/>
        <w:rPr>
          <w:szCs w:val="24"/>
        </w:rPr>
      </w:pPr>
      <w:r>
        <w:rPr>
          <w:szCs w:val="24"/>
        </w:rPr>
        <w:t xml:space="preserve">Options to address the concern that for LTCs owned by </w:t>
      </w:r>
      <w:r w:rsidR="008D7AE3">
        <w:rPr>
          <w:szCs w:val="24"/>
        </w:rPr>
        <w:t>Māori authorities</w:t>
      </w:r>
      <w:r w:rsidRPr="00DD797A">
        <w:rPr>
          <w:szCs w:val="24"/>
        </w:rPr>
        <w:t xml:space="preserve"> </w:t>
      </w:r>
      <w:r>
        <w:rPr>
          <w:szCs w:val="24"/>
        </w:rPr>
        <w:t xml:space="preserve">(directly or indirectly through trusts) the fact that the current </w:t>
      </w:r>
      <w:r w:rsidR="00EB3036">
        <w:rPr>
          <w:szCs w:val="24"/>
        </w:rPr>
        <w:t xml:space="preserve">eligibility </w:t>
      </w:r>
      <w:r>
        <w:rPr>
          <w:szCs w:val="24"/>
        </w:rPr>
        <w:t xml:space="preserve">criteria focus only on distributions of beneficiary </w:t>
      </w:r>
      <w:r w:rsidR="008D7AE3">
        <w:rPr>
          <w:szCs w:val="24"/>
        </w:rPr>
        <w:t xml:space="preserve">income </w:t>
      </w:r>
      <w:r>
        <w:rPr>
          <w:szCs w:val="24"/>
        </w:rPr>
        <w:t>when counting look-through owners is not robust enough to ensure that these LTCs are not widely held vehicles, are listed below:</w:t>
      </w:r>
    </w:p>
    <w:p w:rsidR="00CB42F0" w:rsidRDefault="00CB42F0" w:rsidP="00CA079F">
      <w:pPr>
        <w:pStyle w:val="Bullet-list"/>
        <w:spacing w:after="0" w:line="240" w:lineRule="auto"/>
        <w:rPr>
          <w:rFonts w:ascii="Times New Roman" w:hAnsi="Times New Roman"/>
          <w:i/>
          <w:sz w:val="24"/>
          <w:szCs w:val="24"/>
        </w:rPr>
      </w:pPr>
    </w:p>
    <w:tbl>
      <w:tblPr>
        <w:tblStyle w:val="TableGrid"/>
        <w:tblW w:w="9464" w:type="dxa"/>
        <w:tblLook w:val="04A0" w:firstRow="1" w:lastRow="0" w:firstColumn="1" w:lastColumn="0" w:noHBand="0" w:noVBand="1"/>
      </w:tblPr>
      <w:tblGrid>
        <w:gridCol w:w="3936"/>
        <w:gridCol w:w="1701"/>
        <w:gridCol w:w="3827"/>
      </w:tblGrid>
      <w:tr w:rsidR="00CB42F0" w:rsidRPr="00871EE0" w:rsidTr="007776B1">
        <w:trPr>
          <w:cantSplit/>
          <w:trHeight w:val="274"/>
        </w:trPr>
        <w:tc>
          <w:tcPr>
            <w:tcW w:w="3936" w:type="dxa"/>
            <w:shd w:val="pct15" w:color="auto" w:fill="auto"/>
          </w:tcPr>
          <w:p w:rsidR="00CB42F0" w:rsidRDefault="00CB42F0" w:rsidP="007776B1">
            <w:pPr>
              <w:pStyle w:val="Bullet-list"/>
              <w:tabs>
                <w:tab w:val="num" w:pos="567"/>
              </w:tabs>
              <w:spacing w:after="0" w:line="240" w:lineRule="auto"/>
              <w:ind w:left="0" w:firstLine="0"/>
              <w:rPr>
                <w:rFonts w:ascii="Times New Roman" w:hAnsi="Times New Roman"/>
                <w:sz w:val="18"/>
                <w:szCs w:val="18"/>
              </w:rPr>
            </w:pPr>
            <w:r w:rsidRPr="000B7D6E">
              <w:rPr>
                <w:rFonts w:ascii="Times New Roman" w:hAnsi="Times New Roman"/>
                <w:b/>
                <w:sz w:val="18"/>
                <w:szCs w:val="18"/>
              </w:rPr>
              <w:t>Options:</w:t>
            </w:r>
          </w:p>
        </w:tc>
        <w:tc>
          <w:tcPr>
            <w:tcW w:w="1701" w:type="dxa"/>
            <w:shd w:val="pct15" w:color="auto" w:fill="auto"/>
          </w:tcPr>
          <w:p w:rsidR="00CB42F0" w:rsidRPr="000B7D6E" w:rsidRDefault="00CB42F0" w:rsidP="007776B1">
            <w:pPr>
              <w:pStyle w:val="Bullet-list"/>
              <w:tabs>
                <w:tab w:val="num" w:pos="567"/>
              </w:tabs>
              <w:spacing w:after="0" w:line="240" w:lineRule="auto"/>
              <w:ind w:left="0" w:firstLine="0"/>
              <w:rPr>
                <w:rFonts w:ascii="Times New Roman" w:hAnsi="Times New Roman"/>
                <w:b/>
                <w:sz w:val="18"/>
                <w:szCs w:val="18"/>
              </w:rPr>
            </w:pPr>
            <w:r w:rsidRPr="000B7D6E">
              <w:rPr>
                <w:rFonts w:ascii="Times New Roman" w:hAnsi="Times New Roman"/>
                <w:b/>
                <w:sz w:val="18"/>
                <w:szCs w:val="18"/>
              </w:rPr>
              <w:t>Re</w:t>
            </w:r>
            <w:r>
              <w:rPr>
                <w:rFonts w:ascii="Times New Roman" w:hAnsi="Times New Roman"/>
                <w:b/>
                <w:sz w:val="18"/>
                <w:szCs w:val="18"/>
              </w:rPr>
              <w:t>c</w:t>
            </w:r>
            <w:r w:rsidRPr="000B7D6E">
              <w:rPr>
                <w:rFonts w:ascii="Times New Roman" w:hAnsi="Times New Roman"/>
                <w:b/>
                <w:sz w:val="18"/>
                <w:szCs w:val="18"/>
              </w:rPr>
              <w:t>ommendations</w:t>
            </w:r>
          </w:p>
        </w:tc>
        <w:tc>
          <w:tcPr>
            <w:tcW w:w="3827" w:type="dxa"/>
            <w:shd w:val="pct15" w:color="auto" w:fill="auto"/>
          </w:tcPr>
          <w:p w:rsidR="00CB42F0" w:rsidRPr="000B7D6E" w:rsidRDefault="00CB42F0" w:rsidP="007776B1">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Analysis against objectives</w:t>
            </w:r>
          </w:p>
        </w:tc>
      </w:tr>
      <w:tr w:rsidR="00B152DD" w:rsidRPr="00871EE0" w:rsidTr="007776B1">
        <w:trPr>
          <w:cantSplit/>
          <w:trHeight w:val="557"/>
        </w:trPr>
        <w:tc>
          <w:tcPr>
            <w:tcW w:w="3936" w:type="dxa"/>
          </w:tcPr>
          <w:p w:rsidR="00B152DD" w:rsidRDefault="00B152DD" w:rsidP="007776B1">
            <w:pPr>
              <w:pStyle w:val="Bullet-list"/>
              <w:tabs>
                <w:tab w:val="num" w:pos="567"/>
              </w:tabs>
              <w:spacing w:after="0" w:line="240" w:lineRule="auto"/>
              <w:ind w:left="0" w:firstLine="0"/>
              <w:jc w:val="left"/>
              <w:rPr>
                <w:rFonts w:ascii="Times New Roman" w:hAnsi="Times New Roman"/>
                <w:sz w:val="18"/>
                <w:szCs w:val="18"/>
              </w:rPr>
            </w:pPr>
          </w:p>
          <w:p w:rsidR="00B152DD" w:rsidRDefault="00B152DD" w:rsidP="007776B1">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 1:  M</w:t>
            </w:r>
            <w:r w:rsidRPr="00566995">
              <w:rPr>
                <w:rFonts w:ascii="Times New Roman" w:eastAsiaTheme="minorHAnsi" w:hAnsi="Times New Roman"/>
                <w:sz w:val="18"/>
                <w:szCs w:val="18"/>
              </w:rPr>
              <w:t>ā</w:t>
            </w:r>
            <w:r w:rsidR="000F66E9">
              <w:rPr>
                <w:rFonts w:ascii="Times New Roman" w:eastAsiaTheme="minorHAnsi" w:hAnsi="Times New Roman"/>
                <w:sz w:val="18"/>
                <w:szCs w:val="18"/>
              </w:rPr>
              <w:t>ori a</w:t>
            </w:r>
            <w:r>
              <w:rPr>
                <w:rFonts w:ascii="Times New Roman" w:eastAsiaTheme="minorHAnsi" w:hAnsi="Times New Roman"/>
                <w:sz w:val="18"/>
                <w:szCs w:val="18"/>
              </w:rPr>
              <w:t xml:space="preserve">uthorities </w:t>
            </w:r>
            <w:r>
              <w:rPr>
                <w:rFonts w:ascii="Times New Roman" w:hAnsi="Times New Roman"/>
                <w:sz w:val="18"/>
                <w:szCs w:val="18"/>
              </w:rPr>
              <w:t>are precluded from owning LTCs directly or indirectly.</w:t>
            </w:r>
          </w:p>
        </w:tc>
        <w:tc>
          <w:tcPr>
            <w:tcW w:w="1701" w:type="dxa"/>
          </w:tcPr>
          <w:p w:rsidR="00B152DD" w:rsidRPr="00DB194C" w:rsidRDefault="00B152DD" w:rsidP="00BA7691">
            <w:pPr>
              <w:pStyle w:val="Bullet-list"/>
              <w:tabs>
                <w:tab w:val="num" w:pos="567"/>
              </w:tabs>
              <w:spacing w:after="0" w:line="240" w:lineRule="auto"/>
              <w:ind w:left="0" w:firstLine="0"/>
              <w:jc w:val="left"/>
              <w:rPr>
                <w:rFonts w:ascii="Times New Roman" w:hAnsi="Times New Roman"/>
                <w:sz w:val="18"/>
                <w:szCs w:val="18"/>
              </w:rPr>
            </w:pPr>
          </w:p>
          <w:p w:rsidR="00B152DD" w:rsidRPr="00DB194C" w:rsidRDefault="00B152DD" w:rsidP="00BA7691">
            <w:pPr>
              <w:pStyle w:val="Bullet-list"/>
              <w:tabs>
                <w:tab w:val="num" w:pos="567"/>
              </w:tabs>
              <w:spacing w:after="0" w:line="240" w:lineRule="auto"/>
              <w:ind w:left="0" w:firstLine="0"/>
              <w:jc w:val="left"/>
              <w:rPr>
                <w:rFonts w:ascii="Times New Roman" w:hAnsi="Times New Roman"/>
                <w:sz w:val="18"/>
                <w:szCs w:val="18"/>
              </w:rPr>
            </w:pPr>
            <w:r w:rsidRPr="00DB194C">
              <w:rPr>
                <w:rFonts w:ascii="Times New Roman" w:hAnsi="Times New Roman"/>
                <w:sz w:val="18"/>
                <w:szCs w:val="18"/>
              </w:rPr>
              <w:t>Not recommended.</w:t>
            </w:r>
          </w:p>
        </w:tc>
        <w:tc>
          <w:tcPr>
            <w:tcW w:w="3827" w:type="dxa"/>
          </w:tcPr>
          <w:p w:rsidR="00B152DD" w:rsidRDefault="00B152DD" w:rsidP="007776B1">
            <w:pPr>
              <w:pStyle w:val="Bullet-list"/>
              <w:tabs>
                <w:tab w:val="num" w:pos="567"/>
              </w:tabs>
              <w:spacing w:after="0" w:line="240" w:lineRule="auto"/>
              <w:ind w:left="0" w:firstLine="0"/>
              <w:jc w:val="left"/>
              <w:rPr>
                <w:rFonts w:ascii="Times New Roman" w:hAnsi="Times New Roman"/>
                <w:sz w:val="18"/>
                <w:szCs w:val="18"/>
              </w:rPr>
            </w:pPr>
          </w:p>
          <w:p w:rsidR="00B152DD" w:rsidRDefault="00CF3834" w:rsidP="007776B1">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Overall efficiency</w:t>
            </w:r>
            <w:r w:rsidR="00B152DD" w:rsidRPr="00C20580">
              <w:rPr>
                <w:rFonts w:ascii="Times New Roman" w:hAnsi="Times New Roman"/>
                <w:i/>
                <w:sz w:val="18"/>
                <w:szCs w:val="18"/>
              </w:rPr>
              <w:t xml:space="preserve">: </w:t>
            </w:r>
            <w:r w:rsidR="001012BB" w:rsidRPr="001012BB">
              <w:rPr>
                <w:rFonts w:ascii="Times New Roman" w:hAnsi="Times New Roman"/>
                <w:sz w:val="18"/>
                <w:szCs w:val="18"/>
              </w:rPr>
              <w:t>Partly me</w:t>
            </w:r>
            <w:r w:rsidR="00B152DD" w:rsidRPr="001012BB">
              <w:rPr>
                <w:rFonts w:ascii="Times New Roman" w:hAnsi="Times New Roman"/>
                <w:sz w:val="18"/>
                <w:szCs w:val="18"/>
              </w:rPr>
              <w:t>ets</w:t>
            </w:r>
            <w:r w:rsidR="00B152DD">
              <w:rPr>
                <w:rFonts w:ascii="Times New Roman" w:hAnsi="Times New Roman"/>
                <w:sz w:val="18"/>
                <w:szCs w:val="18"/>
              </w:rPr>
              <w:t xml:space="preserve"> objective</w:t>
            </w:r>
            <w:r w:rsidR="00440DF1">
              <w:rPr>
                <w:rFonts w:ascii="Times New Roman" w:hAnsi="Times New Roman"/>
                <w:sz w:val="18"/>
                <w:szCs w:val="18"/>
              </w:rPr>
              <w:t xml:space="preserve"> </w:t>
            </w:r>
            <w:r w:rsidR="000F66E9">
              <w:rPr>
                <w:rFonts w:ascii="Times New Roman" w:hAnsi="Times New Roman"/>
                <w:sz w:val="18"/>
                <w:szCs w:val="18"/>
              </w:rPr>
              <w:t xml:space="preserve">as </w:t>
            </w:r>
            <w:r w:rsidR="00440DF1">
              <w:rPr>
                <w:rFonts w:ascii="Times New Roman" w:hAnsi="Times New Roman"/>
                <w:sz w:val="18"/>
                <w:szCs w:val="18"/>
              </w:rPr>
              <w:t>may simply result in restructuring to other look-through vehicles</w:t>
            </w:r>
            <w:r w:rsidR="004C512F">
              <w:rPr>
                <w:rFonts w:ascii="Times New Roman" w:hAnsi="Times New Roman"/>
                <w:sz w:val="18"/>
                <w:szCs w:val="18"/>
              </w:rPr>
              <w:t xml:space="preserve"> </w:t>
            </w:r>
            <w:r w:rsidR="009B4985">
              <w:rPr>
                <w:rFonts w:ascii="Times New Roman" w:hAnsi="Times New Roman"/>
                <w:sz w:val="18"/>
                <w:szCs w:val="18"/>
              </w:rPr>
              <w:t xml:space="preserve">given </w:t>
            </w:r>
            <w:r w:rsidR="004C512F">
              <w:rPr>
                <w:rFonts w:ascii="Times New Roman" w:hAnsi="Times New Roman"/>
                <w:sz w:val="18"/>
                <w:szCs w:val="18"/>
              </w:rPr>
              <w:t>problems in using excess imputation credits from separate business subsidiaries</w:t>
            </w:r>
            <w:r w:rsidR="00B152DD">
              <w:rPr>
                <w:rFonts w:ascii="Times New Roman" w:hAnsi="Times New Roman"/>
                <w:sz w:val="18"/>
                <w:szCs w:val="18"/>
              </w:rPr>
              <w:t>.</w:t>
            </w:r>
          </w:p>
          <w:p w:rsidR="00B152DD" w:rsidRDefault="00B152DD" w:rsidP="007776B1">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Fairness/neutrality:</w:t>
            </w:r>
            <w:r w:rsidR="001012BB">
              <w:rPr>
                <w:rFonts w:ascii="Times New Roman" w:hAnsi="Times New Roman"/>
                <w:sz w:val="18"/>
                <w:szCs w:val="18"/>
              </w:rPr>
              <w:t xml:space="preserve"> </w:t>
            </w:r>
            <w:r w:rsidR="00440DF1">
              <w:rPr>
                <w:rFonts w:ascii="Times New Roman" w:hAnsi="Times New Roman"/>
                <w:sz w:val="18"/>
                <w:szCs w:val="18"/>
              </w:rPr>
              <w:t>Partly m</w:t>
            </w:r>
            <w:r>
              <w:rPr>
                <w:rFonts w:ascii="Times New Roman" w:hAnsi="Times New Roman"/>
                <w:sz w:val="18"/>
                <w:szCs w:val="18"/>
              </w:rPr>
              <w:t>eets objective by treating corporate subsidiaries of M</w:t>
            </w:r>
            <w:r w:rsidRPr="00566995">
              <w:rPr>
                <w:rFonts w:ascii="Times New Roman" w:eastAsiaTheme="minorHAnsi" w:hAnsi="Times New Roman"/>
                <w:sz w:val="18"/>
                <w:szCs w:val="18"/>
              </w:rPr>
              <w:t>ā</w:t>
            </w:r>
            <w:r w:rsidR="000F66E9">
              <w:rPr>
                <w:rFonts w:ascii="Times New Roman" w:eastAsiaTheme="minorHAnsi" w:hAnsi="Times New Roman"/>
                <w:sz w:val="18"/>
                <w:szCs w:val="18"/>
              </w:rPr>
              <w:t>ori a</w:t>
            </w:r>
            <w:r>
              <w:rPr>
                <w:rFonts w:ascii="Times New Roman" w:eastAsiaTheme="minorHAnsi" w:hAnsi="Times New Roman"/>
                <w:sz w:val="18"/>
                <w:szCs w:val="18"/>
              </w:rPr>
              <w:t>uthorities equivalently</w:t>
            </w:r>
            <w:r w:rsidR="00440DF1">
              <w:rPr>
                <w:rFonts w:ascii="Times New Roman" w:eastAsiaTheme="minorHAnsi" w:hAnsi="Times New Roman"/>
                <w:sz w:val="18"/>
                <w:szCs w:val="18"/>
              </w:rPr>
              <w:t xml:space="preserve"> to their competitors</w:t>
            </w:r>
            <w:r>
              <w:rPr>
                <w:rFonts w:ascii="Times New Roman" w:hAnsi="Times New Roman"/>
                <w:sz w:val="18"/>
                <w:szCs w:val="18"/>
              </w:rPr>
              <w:t>.</w:t>
            </w:r>
          </w:p>
          <w:p w:rsidR="00B152DD" w:rsidRPr="00C20580" w:rsidRDefault="00B152DD" w:rsidP="007776B1">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Pr>
                <w:rFonts w:ascii="Times New Roman" w:hAnsi="Times New Roman"/>
                <w:sz w:val="18"/>
                <w:szCs w:val="18"/>
              </w:rPr>
              <w:t xml:space="preserve">Does not meet objective as may </w:t>
            </w:r>
            <w:r w:rsidR="00440DF1">
              <w:rPr>
                <w:rFonts w:ascii="Times New Roman" w:hAnsi="Times New Roman"/>
                <w:sz w:val="18"/>
                <w:szCs w:val="18"/>
              </w:rPr>
              <w:t>be restructuring costs</w:t>
            </w:r>
            <w:r>
              <w:rPr>
                <w:rFonts w:ascii="Times New Roman" w:hAnsi="Times New Roman"/>
                <w:sz w:val="18"/>
                <w:szCs w:val="18"/>
              </w:rPr>
              <w:t>.</w:t>
            </w:r>
          </w:p>
          <w:p w:rsidR="00B152DD" w:rsidRDefault="00B152DD" w:rsidP="007776B1">
            <w:pPr>
              <w:pStyle w:val="Bullet-list"/>
              <w:tabs>
                <w:tab w:val="num" w:pos="567"/>
              </w:tabs>
              <w:spacing w:after="0" w:line="240" w:lineRule="auto"/>
              <w:ind w:left="0" w:firstLine="0"/>
              <w:jc w:val="left"/>
              <w:rPr>
                <w:rFonts w:ascii="Times New Roman" w:hAnsi="Times New Roman"/>
                <w:sz w:val="18"/>
                <w:szCs w:val="18"/>
              </w:rPr>
            </w:pPr>
          </w:p>
        </w:tc>
      </w:tr>
      <w:tr w:rsidR="00B152DD" w:rsidRPr="00871EE0" w:rsidTr="007776B1">
        <w:trPr>
          <w:cantSplit/>
          <w:trHeight w:val="1407"/>
        </w:trPr>
        <w:tc>
          <w:tcPr>
            <w:tcW w:w="3936" w:type="dxa"/>
          </w:tcPr>
          <w:p w:rsidR="00B152DD" w:rsidRPr="00DB194C" w:rsidRDefault="00B152DD" w:rsidP="007776B1">
            <w:pPr>
              <w:pStyle w:val="Bullet-list"/>
              <w:tabs>
                <w:tab w:val="num" w:pos="567"/>
              </w:tabs>
              <w:spacing w:after="0" w:line="240" w:lineRule="auto"/>
              <w:ind w:left="0" w:firstLine="0"/>
              <w:jc w:val="left"/>
              <w:rPr>
                <w:rFonts w:ascii="Times New Roman" w:hAnsi="Times New Roman"/>
                <w:sz w:val="18"/>
                <w:szCs w:val="18"/>
              </w:rPr>
            </w:pPr>
          </w:p>
          <w:p w:rsidR="00B152DD" w:rsidRPr="00DB194C" w:rsidRDefault="00B152DD" w:rsidP="007776B1">
            <w:pPr>
              <w:pStyle w:val="Bullet-list"/>
              <w:tabs>
                <w:tab w:val="num" w:pos="567"/>
              </w:tabs>
              <w:spacing w:after="0" w:line="240" w:lineRule="auto"/>
              <w:ind w:left="0" w:firstLine="0"/>
              <w:jc w:val="left"/>
              <w:rPr>
                <w:rFonts w:ascii="Times New Roman" w:hAnsi="Times New Roman"/>
                <w:sz w:val="18"/>
                <w:szCs w:val="18"/>
              </w:rPr>
            </w:pPr>
            <w:r w:rsidRPr="00DB194C">
              <w:rPr>
                <w:rFonts w:ascii="Times New Roman" w:hAnsi="Times New Roman"/>
                <w:sz w:val="18"/>
                <w:szCs w:val="18"/>
              </w:rPr>
              <w:t>Option 2:  M</w:t>
            </w:r>
            <w:r w:rsidR="000F66E9">
              <w:rPr>
                <w:rFonts w:ascii="Times New Roman" w:eastAsiaTheme="minorHAnsi" w:hAnsi="Times New Roman"/>
                <w:sz w:val="18"/>
                <w:szCs w:val="18"/>
              </w:rPr>
              <w:t>āori a</w:t>
            </w:r>
            <w:r w:rsidRPr="00DB194C">
              <w:rPr>
                <w:rFonts w:ascii="Times New Roman" w:eastAsiaTheme="minorHAnsi" w:hAnsi="Times New Roman"/>
                <w:sz w:val="18"/>
                <w:szCs w:val="18"/>
              </w:rPr>
              <w:t xml:space="preserve">uthorities </w:t>
            </w:r>
            <w:r w:rsidRPr="00DB194C">
              <w:rPr>
                <w:rFonts w:ascii="Times New Roman" w:hAnsi="Times New Roman"/>
                <w:sz w:val="18"/>
                <w:szCs w:val="18"/>
              </w:rPr>
              <w:t>are precluded from owning LTCs directly or indirectly, but existing structures are grand-parented.</w:t>
            </w:r>
          </w:p>
        </w:tc>
        <w:tc>
          <w:tcPr>
            <w:tcW w:w="1701" w:type="dxa"/>
          </w:tcPr>
          <w:p w:rsidR="00B152DD" w:rsidRDefault="00B152DD" w:rsidP="007776B1">
            <w:pPr>
              <w:pStyle w:val="Bullet-list"/>
              <w:tabs>
                <w:tab w:val="num" w:pos="567"/>
              </w:tabs>
              <w:spacing w:after="0" w:line="240" w:lineRule="auto"/>
              <w:ind w:left="0" w:firstLine="0"/>
              <w:jc w:val="left"/>
              <w:rPr>
                <w:rFonts w:ascii="Times New Roman" w:hAnsi="Times New Roman"/>
                <w:sz w:val="18"/>
                <w:szCs w:val="18"/>
              </w:rPr>
            </w:pPr>
          </w:p>
          <w:p w:rsidR="00B152DD" w:rsidRPr="00DB194C" w:rsidRDefault="00B152DD" w:rsidP="007776B1">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 xml:space="preserve">Recommended. </w:t>
            </w:r>
          </w:p>
        </w:tc>
        <w:tc>
          <w:tcPr>
            <w:tcW w:w="3827" w:type="dxa"/>
          </w:tcPr>
          <w:p w:rsidR="00B152DD" w:rsidRPr="00E07B23" w:rsidRDefault="00B152DD" w:rsidP="007776B1">
            <w:pPr>
              <w:pStyle w:val="Bullet-list"/>
              <w:tabs>
                <w:tab w:val="num" w:pos="567"/>
              </w:tabs>
              <w:spacing w:after="0" w:line="240" w:lineRule="auto"/>
              <w:ind w:left="0" w:firstLine="0"/>
              <w:jc w:val="left"/>
              <w:rPr>
                <w:rFonts w:ascii="Times New Roman" w:hAnsi="Times New Roman"/>
                <w:sz w:val="18"/>
                <w:szCs w:val="18"/>
                <w:highlight w:val="yellow"/>
              </w:rPr>
            </w:pPr>
          </w:p>
          <w:p w:rsidR="00B152DD" w:rsidRPr="00DB194C" w:rsidRDefault="00CF3834" w:rsidP="007776B1">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Overall efficiency</w:t>
            </w:r>
            <w:r w:rsidR="00B152DD" w:rsidRPr="00DB194C">
              <w:rPr>
                <w:rFonts w:ascii="Times New Roman" w:hAnsi="Times New Roman"/>
                <w:i/>
                <w:sz w:val="18"/>
                <w:szCs w:val="18"/>
              </w:rPr>
              <w:t xml:space="preserve">: </w:t>
            </w:r>
            <w:r w:rsidR="001012BB" w:rsidRPr="001012BB">
              <w:rPr>
                <w:rFonts w:ascii="Times New Roman" w:hAnsi="Times New Roman"/>
                <w:sz w:val="18"/>
                <w:szCs w:val="18"/>
              </w:rPr>
              <w:t>Partly m</w:t>
            </w:r>
            <w:r w:rsidR="00B152DD" w:rsidRPr="001012BB">
              <w:rPr>
                <w:rFonts w:ascii="Times New Roman" w:hAnsi="Times New Roman"/>
                <w:sz w:val="18"/>
                <w:szCs w:val="18"/>
              </w:rPr>
              <w:t>eets</w:t>
            </w:r>
            <w:r w:rsidR="00B152DD" w:rsidRPr="00DB194C">
              <w:rPr>
                <w:rFonts w:ascii="Times New Roman" w:hAnsi="Times New Roman"/>
                <w:sz w:val="18"/>
                <w:szCs w:val="18"/>
              </w:rPr>
              <w:t xml:space="preserve"> objective</w:t>
            </w:r>
            <w:r w:rsidR="00440DF1">
              <w:rPr>
                <w:rFonts w:ascii="Times New Roman" w:hAnsi="Times New Roman"/>
                <w:sz w:val="18"/>
                <w:szCs w:val="18"/>
              </w:rPr>
              <w:t xml:space="preserve"> and reduces likelihood of</w:t>
            </w:r>
            <w:r w:rsidR="004C512F">
              <w:rPr>
                <w:rFonts w:ascii="Times New Roman" w:hAnsi="Times New Roman"/>
                <w:sz w:val="18"/>
                <w:szCs w:val="18"/>
              </w:rPr>
              <w:t xml:space="preserve"> restructuring</w:t>
            </w:r>
            <w:r w:rsidR="001012BB">
              <w:rPr>
                <w:rFonts w:ascii="Times New Roman" w:hAnsi="Times New Roman"/>
                <w:sz w:val="18"/>
                <w:szCs w:val="18"/>
              </w:rPr>
              <w:t>.</w:t>
            </w:r>
          </w:p>
          <w:p w:rsidR="00B152DD" w:rsidRPr="00DB194C" w:rsidRDefault="00B152DD" w:rsidP="007776B1">
            <w:pPr>
              <w:pStyle w:val="Bullet-list"/>
              <w:spacing w:after="0" w:line="240" w:lineRule="auto"/>
              <w:ind w:left="0" w:firstLine="0"/>
              <w:jc w:val="left"/>
              <w:rPr>
                <w:rFonts w:ascii="Times New Roman" w:hAnsi="Times New Roman"/>
                <w:sz w:val="18"/>
                <w:szCs w:val="18"/>
              </w:rPr>
            </w:pPr>
            <w:r w:rsidRPr="00DB194C">
              <w:rPr>
                <w:rFonts w:ascii="Times New Roman" w:hAnsi="Times New Roman"/>
                <w:i/>
                <w:sz w:val="18"/>
                <w:szCs w:val="18"/>
              </w:rPr>
              <w:t>Fairness/neutrality:</w:t>
            </w:r>
            <w:r w:rsidRPr="00DB194C">
              <w:rPr>
                <w:rFonts w:ascii="Times New Roman" w:hAnsi="Times New Roman"/>
                <w:sz w:val="18"/>
                <w:szCs w:val="18"/>
              </w:rPr>
              <w:t xml:space="preserve"> </w:t>
            </w:r>
            <w:r w:rsidR="00440DF1">
              <w:rPr>
                <w:rFonts w:ascii="Times New Roman" w:hAnsi="Times New Roman"/>
                <w:sz w:val="18"/>
                <w:szCs w:val="18"/>
              </w:rPr>
              <w:t xml:space="preserve">Partly </w:t>
            </w:r>
            <w:r w:rsidR="004C512F">
              <w:rPr>
                <w:rFonts w:ascii="Times New Roman" w:hAnsi="Times New Roman"/>
                <w:sz w:val="18"/>
                <w:szCs w:val="18"/>
              </w:rPr>
              <w:t>m</w:t>
            </w:r>
            <w:r w:rsidRPr="00DB194C">
              <w:rPr>
                <w:rFonts w:ascii="Times New Roman" w:hAnsi="Times New Roman"/>
                <w:sz w:val="18"/>
                <w:szCs w:val="18"/>
              </w:rPr>
              <w:t>eets objective.</w:t>
            </w:r>
          </w:p>
          <w:p w:rsidR="00B152DD" w:rsidRPr="00E07B23" w:rsidRDefault="00B152DD" w:rsidP="009B4985">
            <w:pPr>
              <w:pStyle w:val="Bullet-list"/>
              <w:spacing w:after="0" w:line="240" w:lineRule="auto"/>
              <w:ind w:left="0" w:firstLine="0"/>
              <w:jc w:val="left"/>
              <w:rPr>
                <w:rFonts w:ascii="Times New Roman" w:hAnsi="Times New Roman"/>
                <w:sz w:val="18"/>
                <w:szCs w:val="18"/>
                <w:highlight w:val="yellow"/>
              </w:rPr>
            </w:pPr>
            <w:r w:rsidRPr="00DB194C">
              <w:rPr>
                <w:rFonts w:ascii="Times New Roman" w:hAnsi="Times New Roman"/>
                <w:i/>
                <w:sz w:val="18"/>
                <w:szCs w:val="18"/>
              </w:rPr>
              <w:t>Efficiency in costs:</w:t>
            </w:r>
            <w:r w:rsidRPr="00DB194C">
              <w:rPr>
                <w:rFonts w:ascii="Times New Roman" w:hAnsi="Times New Roman"/>
                <w:sz w:val="18"/>
                <w:szCs w:val="18"/>
              </w:rPr>
              <w:t xml:space="preserve">  Meets objective</w:t>
            </w:r>
            <w:r w:rsidR="009B4985">
              <w:rPr>
                <w:rFonts w:ascii="Times New Roman" w:hAnsi="Times New Roman"/>
                <w:sz w:val="18"/>
                <w:szCs w:val="18"/>
              </w:rPr>
              <w:t xml:space="preserve">, as limits impact on compliance costs.  </w:t>
            </w:r>
          </w:p>
        </w:tc>
      </w:tr>
      <w:tr w:rsidR="00B152DD" w:rsidTr="007776B1">
        <w:trPr>
          <w:cantSplit/>
          <w:trHeight w:val="986"/>
        </w:trPr>
        <w:tc>
          <w:tcPr>
            <w:tcW w:w="3936" w:type="dxa"/>
          </w:tcPr>
          <w:p w:rsidR="00B152DD" w:rsidRPr="00DB194C" w:rsidRDefault="00B152DD" w:rsidP="007776B1">
            <w:pPr>
              <w:pStyle w:val="Bullet-list"/>
              <w:tabs>
                <w:tab w:val="num" w:pos="567"/>
              </w:tabs>
              <w:spacing w:after="0" w:line="240" w:lineRule="auto"/>
              <w:ind w:left="0" w:firstLine="0"/>
              <w:jc w:val="left"/>
              <w:rPr>
                <w:rFonts w:ascii="Times New Roman" w:hAnsi="Times New Roman"/>
                <w:sz w:val="18"/>
                <w:szCs w:val="18"/>
              </w:rPr>
            </w:pPr>
          </w:p>
          <w:p w:rsidR="00B152DD" w:rsidRPr="00DB194C" w:rsidRDefault="00B152DD" w:rsidP="007776B1">
            <w:pPr>
              <w:pStyle w:val="Bullet-list"/>
              <w:tabs>
                <w:tab w:val="num" w:pos="567"/>
              </w:tabs>
              <w:spacing w:after="0" w:line="240" w:lineRule="auto"/>
              <w:ind w:left="0" w:firstLine="0"/>
              <w:jc w:val="left"/>
              <w:rPr>
                <w:rFonts w:ascii="Times New Roman" w:hAnsi="Times New Roman"/>
                <w:sz w:val="18"/>
                <w:szCs w:val="18"/>
              </w:rPr>
            </w:pPr>
            <w:r w:rsidRPr="00DB194C">
              <w:rPr>
                <w:rFonts w:ascii="Times New Roman" w:hAnsi="Times New Roman"/>
                <w:sz w:val="18"/>
                <w:szCs w:val="18"/>
              </w:rPr>
              <w:t>Option 3:  M</w:t>
            </w:r>
            <w:r w:rsidR="000F66E9">
              <w:rPr>
                <w:rFonts w:ascii="Times New Roman" w:eastAsiaTheme="minorHAnsi" w:hAnsi="Times New Roman"/>
                <w:sz w:val="18"/>
                <w:szCs w:val="18"/>
              </w:rPr>
              <w:t>āori a</w:t>
            </w:r>
            <w:r w:rsidRPr="00DB194C">
              <w:rPr>
                <w:rFonts w:ascii="Times New Roman" w:eastAsiaTheme="minorHAnsi" w:hAnsi="Times New Roman"/>
                <w:sz w:val="18"/>
                <w:szCs w:val="18"/>
              </w:rPr>
              <w:t xml:space="preserve">uthorities </w:t>
            </w:r>
            <w:r w:rsidRPr="00DB194C">
              <w:rPr>
                <w:rFonts w:ascii="Times New Roman" w:hAnsi="Times New Roman"/>
                <w:sz w:val="18"/>
                <w:szCs w:val="18"/>
              </w:rPr>
              <w:t>are not precluded from owning LTCs directly or indirectly (status quo).</w:t>
            </w:r>
          </w:p>
        </w:tc>
        <w:tc>
          <w:tcPr>
            <w:tcW w:w="1701" w:type="dxa"/>
          </w:tcPr>
          <w:p w:rsidR="00B152DD" w:rsidRPr="00DB194C" w:rsidRDefault="00B152DD" w:rsidP="007776B1">
            <w:pPr>
              <w:pStyle w:val="Bullet-list"/>
              <w:tabs>
                <w:tab w:val="num" w:pos="567"/>
              </w:tabs>
              <w:spacing w:after="0" w:line="240" w:lineRule="auto"/>
              <w:ind w:left="0" w:firstLine="0"/>
              <w:jc w:val="left"/>
              <w:rPr>
                <w:rFonts w:ascii="Times New Roman" w:hAnsi="Times New Roman"/>
                <w:sz w:val="18"/>
                <w:szCs w:val="18"/>
              </w:rPr>
            </w:pPr>
          </w:p>
          <w:p w:rsidR="00B152DD" w:rsidRPr="00DB194C" w:rsidRDefault="00B152DD" w:rsidP="007776B1">
            <w:pPr>
              <w:pStyle w:val="Bullet-list"/>
              <w:tabs>
                <w:tab w:val="num" w:pos="567"/>
              </w:tabs>
              <w:spacing w:after="0" w:line="240" w:lineRule="auto"/>
              <w:ind w:left="0" w:firstLine="0"/>
              <w:jc w:val="left"/>
              <w:rPr>
                <w:rFonts w:ascii="Times New Roman" w:hAnsi="Times New Roman"/>
                <w:sz w:val="18"/>
                <w:szCs w:val="18"/>
              </w:rPr>
            </w:pPr>
            <w:r w:rsidRPr="00DB194C">
              <w:rPr>
                <w:rFonts w:ascii="Times New Roman" w:hAnsi="Times New Roman"/>
                <w:sz w:val="18"/>
                <w:szCs w:val="18"/>
              </w:rPr>
              <w:t>Not recommended.</w:t>
            </w:r>
          </w:p>
        </w:tc>
        <w:tc>
          <w:tcPr>
            <w:tcW w:w="3827" w:type="dxa"/>
          </w:tcPr>
          <w:p w:rsidR="00B152DD" w:rsidRPr="00E07B23" w:rsidRDefault="00B152DD" w:rsidP="007776B1">
            <w:pPr>
              <w:pStyle w:val="Bullet-list"/>
              <w:spacing w:after="0" w:line="240" w:lineRule="auto"/>
              <w:ind w:left="0" w:firstLine="0"/>
              <w:jc w:val="left"/>
              <w:rPr>
                <w:rFonts w:ascii="Times New Roman" w:hAnsi="Times New Roman"/>
                <w:i/>
                <w:sz w:val="18"/>
                <w:szCs w:val="18"/>
                <w:highlight w:val="yellow"/>
              </w:rPr>
            </w:pPr>
          </w:p>
          <w:p w:rsidR="00B152DD" w:rsidRPr="00DB194C" w:rsidRDefault="00CF3834" w:rsidP="00DB194C">
            <w:pPr>
              <w:pStyle w:val="Bullet-list"/>
              <w:spacing w:after="0" w:line="240" w:lineRule="auto"/>
              <w:ind w:left="0" w:firstLine="0"/>
              <w:rPr>
                <w:rFonts w:ascii="Times New Roman" w:hAnsi="Times New Roman"/>
                <w:sz w:val="18"/>
                <w:szCs w:val="18"/>
              </w:rPr>
            </w:pPr>
            <w:r>
              <w:rPr>
                <w:rFonts w:ascii="Times New Roman" w:hAnsi="Times New Roman"/>
                <w:i/>
                <w:sz w:val="18"/>
                <w:szCs w:val="18"/>
              </w:rPr>
              <w:t>Overall efficiency</w:t>
            </w:r>
            <w:r w:rsidR="00B152DD" w:rsidRPr="00DB194C">
              <w:rPr>
                <w:rFonts w:ascii="Times New Roman" w:hAnsi="Times New Roman"/>
                <w:i/>
                <w:sz w:val="18"/>
                <w:szCs w:val="18"/>
              </w:rPr>
              <w:t xml:space="preserve">: </w:t>
            </w:r>
            <w:r w:rsidR="00440DF1">
              <w:rPr>
                <w:rFonts w:ascii="Times New Roman" w:hAnsi="Times New Roman"/>
                <w:sz w:val="18"/>
                <w:szCs w:val="18"/>
              </w:rPr>
              <w:t>Does not meet objective as enables widely held ownership.</w:t>
            </w:r>
          </w:p>
          <w:p w:rsidR="00B152DD" w:rsidRPr="00DB194C" w:rsidRDefault="00B152DD" w:rsidP="00DB194C">
            <w:pPr>
              <w:pStyle w:val="Bullet-list"/>
              <w:spacing w:after="0" w:line="240" w:lineRule="auto"/>
              <w:ind w:left="0" w:firstLine="0"/>
              <w:rPr>
                <w:rFonts w:ascii="Times New Roman" w:hAnsi="Times New Roman"/>
                <w:sz w:val="18"/>
                <w:szCs w:val="18"/>
              </w:rPr>
            </w:pPr>
            <w:r w:rsidRPr="00DB194C">
              <w:rPr>
                <w:rFonts w:ascii="Times New Roman" w:hAnsi="Times New Roman"/>
                <w:i/>
                <w:sz w:val="18"/>
                <w:szCs w:val="18"/>
              </w:rPr>
              <w:t>Fairness/neutrality:</w:t>
            </w:r>
            <w:r w:rsidRPr="00DB194C">
              <w:rPr>
                <w:rFonts w:ascii="Times New Roman" w:hAnsi="Times New Roman"/>
                <w:sz w:val="18"/>
                <w:szCs w:val="18"/>
              </w:rPr>
              <w:t xml:space="preserve"> Does not meet objective.</w:t>
            </w:r>
            <w:r w:rsidR="00432726">
              <w:rPr>
                <w:rFonts w:ascii="Times New Roman" w:hAnsi="Times New Roman"/>
                <w:sz w:val="18"/>
                <w:szCs w:val="18"/>
              </w:rPr>
              <w:t xml:space="preserve">  May be competition issues. </w:t>
            </w:r>
          </w:p>
          <w:p w:rsidR="00B152DD" w:rsidRPr="00DB194C" w:rsidRDefault="00B152DD" w:rsidP="00DB194C">
            <w:pPr>
              <w:pStyle w:val="Bullet-list"/>
              <w:spacing w:after="0" w:line="240" w:lineRule="auto"/>
              <w:ind w:left="0" w:firstLine="0"/>
              <w:rPr>
                <w:rFonts w:ascii="Times New Roman" w:hAnsi="Times New Roman"/>
                <w:sz w:val="18"/>
                <w:szCs w:val="18"/>
              </w:rPr>
            </w:pPr>
            <w:r w:rsidRPr="00DB194C">
              <w:rPr>
                <w:rFonts w:ascii="Times New Roman" w:hAnsi="Times New Roman"/>
                <w:i/>
                <w:sz w:val="18"/>
                <w:szCs w:val="18"/>
              </w:rPr>
              <w:t>Efficiency in costs:</w:t>
            </w:r>
            <w:r w:rsidR="009B4985">
              <w:rPr>
                <w:rFonts w:ascii="Times New Roman" w:hAnsi="Times New Roman"/>
                <w:sz w:val="18"/>
                <w:szCs w:val="18"/>
              </w:rPr>
              <w:t xml:space="preserve"> </w:t>
            </w:r>
            <w:r w:rsidRPr="00DB194C">
              <w:rPr>
                <w:rFonts w:ascii="Times New Roman" w:hAnsi="Times New Roman"/>
                <w:sz w:val="18"/>
                <w:szCs w:val="18"/>
              </w:rPr>
              <w:t xml:space="preserve">No </w:t>
            </w:r>
            <w:r w:rsidR="009B4985">
              <w:rPr>
                <w:rFonts w:ascii="Times New Roman" w:hAnsi="Times New Roman"/>
                <w:sz w:val="18"/>
                <w:szCs w:val="18"/>
              </w:rPr>
              <w:t>impact on compliance costs</w:t>
            </w:r>
            <w:r w:rsidRPr="00DB194C">
              <w:rPr>
                <w:rFonts w:ascii="Times New Roman" w:hAnsi="Times New Roman"/>
                <w:sz w:val="18"/>
                <w:szCs w:val="18"/>
              </w:rPr>
              <w:t>.</w:t>
            </w:r>
          </w:p>
          <w:p w:rsidR="00B152DD" w:rsidRPr="00E07B23" w:rsidRDefault="00B152DD" w:rsidP="00DB194C">
            <w:pPr>
              <w:pStyle w:val="Bullet-list"/>
              <w:spacing w:after="0" w:line="240" w:lineRule="auto"/>
              <w:ind w:left="0" w:firstLine="0"/>
              <w:rPr>
                <w:rFonts w:ascii="Times New Roman" w:hAnsi="Times New Roman"/>
                <w:sz w:val="18"/>
                <w:szCs w:val="18"/>
                <w:highlight w:val="yellow"/>
              </w:rPr>
            </w:pPr>
          </w:p>
        </w:tc>
      </w:tr>
    </w:tbl>
    <w:p w:rsidR="00CB42F0" w:rsidRDefault="00CB42F0" w:rsidP="00CA079F">
      <w:pPr>
        <w:pStyle w:val="Bullet-list"/>
        <w:spacing w:after="0" w:line="240" w:lineRule="auto"/>
        <w:rPr>
          <w:rFonts w:ascii="Times New Roman" w:hAnsi="Times New Roman"/>
          <w:i/>
          <w:sz w:val="24"/>
          <w:szCs w:val="24"/>
        </w:rPr>
      </w:pPr>
    </w:p>
    <w:p w:rsidR="005B0E9F" w:rsidRDefault="005B0E9F" w:rsidP="00CA079F">
      <w:pPr>
        <w:pStyle w:val="Bullet-list"/>
        <w:spacing w:after="0" w:line="240" w:lineRule="auto"/>
        <w:rPr>
          <w:rFonts w:ascii="Times New Roman" w:hAnsi="Times New Roman"/>
          <w:i/>
          <w:sz w:val="24"/>
          <w:szCs w:val="24"/>
        </w:rPr>
      </w:pPr>
    </w:p>
    <w:p w:rsidR="004B0460" w:rsidRPr="004A25C4" w:rsidRDefault="004B0460" w:rsidP="00166E95">
      <w:pPr>
        <w:pStyle w:val="TRBodyText"/>
        <w:numPr>
          <w:ilvl w:val="0"/>
          <w:numId w:val="2"/>
        </w:numPr>
        <w:tabs>
          <w:tab w:val="clear" w:pos="360"/>
          <w:tab w:val="left" w:pos="0"/>
        </w:tabs>
        <w:ind w:left="0" w:firstLine="0"/>
        <w:rPr>
          <w:szCs w:val="24"/>
        </w:rPr>
      </w:pPr>
      <w:r>
        <w:rPr>
          <w:szCs w:val="24"/>
        </w:rPr>
        <w:t>Options to address the concern that LTCs are currently able to be used as conduit investment vehicles, are listed below:</w:t>
      </w:r>
    </w:p>
    <w:p w:rsidR="004B0460" w:rsidRDefault="004B0460" w:rsidP="00CA079F">
      <w:pPr>
        <w:pStyle w:val="Bullet-list"/>
        <w:spacing w:after="0" w:line="240" w:lineRule="auto"/>
        <w:rPr>
          <w:rFonts w:ascii="Times New Roman" w:hAnsi="Times New Roman"/>
          <w:i/>
          <w:sz w:val="24"/>
          <w:szCs w:val="24"/>
        </w:rPr>
      </w:pPr>
    </w:p>
    <w:tbl>
      <w:tblPr>
        <w:tblStyle w:val="TableGrid"/>
        <w:tblW w:w="9464" w:type="dxa"/>
        <w:tblLook w:val="04A0" w:firstRow="1" w:lastRow="0" w:firstColumn="1" w:lastColumn="0" w:noHBand="0" w:noVBand="1"/>
      </w:tblPr>
      <w:tblGrid>
        <w:gridCol w:w="3936"/>
        <w:gridCol w:w="1701"/>
        <w:gridCol w:w="3827"/>
      </w:tblGrid>
      <w:tr w:rsidR="004B0460" w:rsidRPr="00871EE0" w:rsidTr="00BA7691">
        <w:trPr>
          <w:cantSplit/>
          <w:trHeight w:val="274"/>
        </w:trPr>
        <w:tc>
          <w:tcPr>
            <w:tcW w:w="3936" w:type="dxa"/>
            <w:shd w:val="pct15" w:color="auto" w:fill="auto"/>
          </w:tcPr>
          <w:p w:rsidR="004B0460" w:rsidRDefault="004B0460" w:rsidP="00BA7691">
            <w:pPr>
              <w:pStyle w:val="Bullet-list"/>
              <w:tabs>
                <w:tab w:val="num" w:pos="567"/>
              </w:tabs>
              <w:spacing w:after="0" w:line="240" w:lineRule="auto"/>
              <w:ind w:left="0" w:firstLine="0"/>
              <w:rPr>
                <w:rFonts w:ascii="Times New Roman" w:hAnsi="Times New Roman"/>
                <w:sz w:val="18"/>
                <w:szCs w:val="18"/>
              </w:rPr>
            </w:pPr>
            <w:r w:rsidRPr="000B7D6E">
              <w:rPr>
                <w:rFonts w:ascii="Times New Roman" w:hAnsi="Times New Roman"/>
                <w:b/>
                <w:sz w:val="18"/>
                <w:szCs w:val="18"/>
              </w:rPr>
              <w:t>Options:</w:t>
            </w:r>
          </w:p>
        </w:tc>
        <w:tc>
          <w:tcPr>
            <w:tcW w:w="1701" w:type="dxa"/>
            <w:shd w:val="pct15" w:color="auto" w:fill="auto"/>
          </w:tcPr>
          <w:p w:rsidR="004B0460" w:rsidRPr="000B7D6E" w:rsidRDefault="004B0460" w:rsidP="00BA7691">
            <w:pPr>
              <w:pStyle w:val="Bullet-list"/>
              <w:tabs>
                <w:tab w:val="num" w:pos="567"/>
              </w:tabs>
              <w:spacing w:after="0" w:line="240" w:lineRule="auto"/>
              <w:ind w:left="0" w:firstLine="0"/>
              <w:rPr>
                <w:rFonts w:ascii="Times New Roman" w:hAnsi="Times New Roman"/>
                <w:b/>
                <w:sz w:val="18"/>
                <w:szCs w:val="18"/>
              </w:rPr>
            </w:pPr>
            <w:r w:rsidRPr="000B7D6E">
              <w:rPr>
                <w:rFonts w:ascii="Times New Roman" w:hAnsi="Times New Roman"/>
                <w:b/>
                <w:sz w:val="18"/>
                <w:szCs w:val="18"/>
              </w:rPr>
              <w:t>Re</w:t>
            </w:r>
            <w:r>
              <w:rPr>
                <w:rFonts w:ascii="Times New Roman" w:hAnsi="Times New Roman"/>
                <w:b/>
                <w:sz w:val="18"/>
                <w:szCs w:val="18"/>
              </w:rPr>
              <w:t>c</w:t>
            </w:r>
            <w:r w:rsidRPr="000B7D6E">
              <w:rPr>
                <w:rFonts w:ascii="Times New Roman" w:hAnsi="Times New Roman"/>
                <w:b/>
                <w:sz w:val="18"/>
                <w:szCs w:val="18"/>
              </w:rPr>
              <w:t>ommendations</w:t>
            </w:r>
          </w:p>
        </w:tc>
        <w:tc>
          <w:tcPr>
            <w:tcW w:w="3827" w:type="dxa"/>
            <w:shd w:val="pct15" w:color="auto" w:fill="auto"/>
          </w:tcPr>
          <w:p w:rsidR="004B0460" w:rsidRPr="000B7D6E" w:rsidRDefault="004B0460" w:rsidP="00BA7691">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Analysis against objectives</w:t>
            </w:r>
          </w:p>
        </w:tc>
      </w:tr>
      <w:tr w:rsidR="004B0460" w:rsidRPr="00871EE0" w:rsidTr="00BA7691">
        <w:trPr>
          <w:cantSplit/>
          <w:trHeight w:val="557"/>
        </w:trPr>
        <w:tc>
          <w:tcPr>
            <w:tcW w:w="3936" w:type="dxa"/>
          </w:tcPr>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p>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 1: Foreign owners should not be able to own LTCs at all.</w:t>
            </w:r>
          </w:p>
        </w:tc>
        <w:tc>
          <w:tcPr>
            <w:tcW w:w="1701" w:type="dxa"/>
          </w:tcPr>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p>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Not recommended.</w:t>
            </w:r>
          </w:p>
        </w:tc>
        <w:tc>
          <w:tcPr>
            <w:tcW w:w="3827" w:type="dxa"/>
          </w:tcPr>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p>
          <w:p w:rsidR="004B0460" w:rsidRDefault="00CF3834" w:rsidP="00BA7691">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Overall efficiency</w:t>
            </w:r>
            <w:r w:rsidR="004B0460" w:rsidRPr="00C20580">
              <w:rPr>
                <w:rFonts w:ascii="Times New Roman" w:hAnsi="Times New Roman"/>
                <w:i/>
                <w:sz w:val="18"/>
                <w:szCs w:val="18"/>
              </w:rPr>
              <w:t xml:space="preserve">: </w:t>
            </w:r>
            <w:r w:rsidR="00820D3E" w:rsidRPr="00820D3E">
              <w:rPr>
                <w:rFonts w:ascii="Times New Roman" w:hAnsi="Times New Roman"/>
                <w:sz w:val="18"/>
                <w:szCs w:val="18"/>
              </w:rPr>
              <w:t>Does not meet objective.</w:t>
            </w:r>
            <w:r w:rsidR="00820D3E">
              <w:rPr>
                <w:rFonts w:ascii="Times New Roman" w:hAnsi="Times New Roman"/>
                <w:i/>
                <w:sz w:val="18"/>
                <w:szCs w:val="18"/>
              </w:rPr>
              <w:t xml:space="preserve">  </w:t>
            </w:r>
            <w:r w:rsidR="00820D3E">
              <w:rPr>
                <w:rFonts w:ascii="Times New Roman" w:hAnsi="Times New Roman"/>
                <w:sz w:val="18"/>
                <w:szCs w:val="18"/>
              </w:rPr>
              <w:t xml:space="preserve">Prevents conduit investment </w:t>
            </w:r>
            <w:r w:rsidR="009D4332">
              <w:rPr>
                <w:rFonts w:ascii="Times New Roman" w:hAnsi="Times New Roman"/>
                <w:sz w:val="18"/>
                <w:szCs w:val="18"/>
              </w:rPr>
              <w:t>but restricts inbound foreign investment</w:t>
            </w:r>
            <w:r w:rsidR="00BA5E76">
              <w:rPr>
                <w:rFonts w:ascii="Times New Roman" w:hAnsi="Times New Roman"/>
                <w:sz w:val="18"/>
                <w:szCs w:val="18"/>
              </w:rPr>
              <w:t xml:space="preserve"> through a LTC</w:t>
            </w:r>
            <w:r w:rsidR="009D4332">
              <w:rPr>
                <w:rFonts w:ascii="Times New Roman" w:hAnsi="Times New Roman"/>
                <w:sz w:val="18"/>
                <w:szCs w:val="18"/>
              </w:rPr>
              <w:t>.</w:t>
            </w:r>
          </w:p>
          <w:p w:rsidR="004B0460" w:rsidRDefault="004B0460" w:rsidP="00BA7691">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w:t>
            </w:r>
            <w:r w:rsidR="009D4332">
              <w:rPr>
                <w:rFonts w:ascii="Times New Roman" w:hAnsi="Times New Roman"/>
                <w:sz w:val="18"/>
                <w:szCs w:val="18"/>
              </w:rPr>
              <w:t>Does not meet objective</w:t>
            </w:r>
            <w:r>
              <w:rPr>
                <w:rFonts w:ascii="Times New Roman" w:hAnsi="Times New Roman"/>
                <w:sz w:val="18"/>
                <w:szCs w:val="18"/>
              </w:rPr>
              <w:t>.</w:t>
            </w:r>
            <w:r w:rsidR="00BA5E76">
              <w:rPr>
                <w:rFonts w:ascii="Times New Roman" w:hAnsi="Times New Roman"/>
                <w:sz w:val="18"/>
                <w:szCs w:val="18"/>
              </w:rPr>
              <w:t xml:space="preserve"> </w:t>
            </w:r>
          </w:p>
          <w:p w:rsidR="009D4332" w:rsidRDefault="004B0460" w:rsidP="009D4332">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BA5E76">
              <w:rPr>
                <w:rFonts w:ascii="Times New Roman" w:hAnsi="Times New Roman"/>
                <w:sz w:val="18"/>
                <w:szCs w:val="18"/>
              </w:rPr>
              <w:t>Does not meet objective, as would result in significant transitional costs.</w:t>
            </w:r>
          </w:p>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p>
        </w:tc>
      </w:tr>
      <w:tr w:rsidR="004B0460" w:rsidRPr="00871EE0" w:rsidTr="00BA7691">
        <w:trPr>
          <w:cantSplit/>
          <w:trHeight w:val="1407"/>
        </w:trPr>
        <w:tc>
          <w:tcPr>
            <w:tcW w:w="3936" w:type="dxa"/>
          </w:tcPr>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p>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Options 2: Foreign owners should be able to own LTCs but not earn any foreign income.</w:t>
            </w:r>
          </w:p>
        </w:tc>
        <w:tc>
          <w:tcPr>
            <w:tcW w:w="1701" w:type="dxa"/>
          </w:tcPr>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p>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Not recommended.</w:t>
            </w:r>
          </w:p>
        </w:tc>
        <w:tc>
          <w:tcPr>
            <w:tcW w:w="3827" w:type="dxa"/>
          </w:tcPr>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p>
          <w:p w:rsidR="009D4332" w:rsidRDefault="00CF3834" w:rsidP="009D4332">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Overall efficiency</w:t>
            </w:r>
            <w:r w:rsidR="009D4332" w:rsidRPr="00C20580">
              <w:rPr>
                <w:rFonts w:ascii="Times New Roman" w:hAnsi="Times New Roman"/>
                <w:i/>
                <w:sz w:val="18"/>
                <w:szCs w:val="18"/>
              </w:rPr>
              <w:t xml:space="preserve">: </w:t>
            </w:r>
            <w:r w:rsidR="00BA5E76">
              <w:rPr>
                <w:rFonts w:ascii="Times New Roman" w:hAnsi="Times New Roman"/>
                <w:sz w:val="18"/>
                <w:szCs w:val="18"/>
              </w:rPr>
              <w:t xml:space="preserve">Does not meet </w:t>
            </w:r>
            <w:r w:rsidR="00BA5E76" w:rsidRPr="00BA5E76">
              <w:rPr>
                <w:rFonts w:ascii="Times New Roman" w:hAnsi="Times New Roman"/>
                <w:sz w:val="18"/>
                <w:szCs w:val="18"/>
              </w:rPr>
              <w:t>objective.</w:t>
            </w:r>
            <w:r w:rsidR="00BA5E76">
              <w:rPr>
                <w:rFonts w:ascii="Times New Roman" w:hAnsi="Times New Roman"/>
                <w:i/>
                <w:sz w:val="18"/>
                <w:szCs w:val="18"/>
              </w:rPr>
              <w:t xml:space="preserve">  </w:t>
            </w:r>
            <w:r w:rsidR="00BA5E76">
              <w:rPr>
                <w:rFonts w:ascii="Times New Roman" w:hAnsi="Times New Roman"/>
                <w:sz w:val="18"/>
                <w:szCs w:val="18"/>
              </w:rPr>
              <w:t>Pr</w:t>
            </w:r>
            <w:r w:rsidR="009D4332">
              <w:rPr>
                <w:rFonts w:ascii="Times New Roman" w:hAnsi="Times New Roman"/>
                <w:sz w:val="18"/>
                <w:szCs w:val="18"/>
              </w:rPr>
              <w:t>event</w:t>
            </w:r>
            <w:r w:rsidR="00BA5E76">
              <w:rPr>
                <w:rFonts w:ascii="Times New Roman" w:hAnsi="Times New Roman"/>
                <w:sz w:val="18"/>
                <w:szCs w:val="18"/>
              </w:rPr>
              <w:t xml:space="preserve">s </w:t>
            </w:r>
            <w:r w:rsidR="009D4332">
              <w:rPr>
                <w:rFonts w:ascii="Times New Roman" w:hAnsi="Times New Roman"/>
                <w:sz w:val="18"/>
                <w:szCs w:val="18"/>
              </w:rPr>
              <w:t xml:space="preserve">conduit investment but </w:t>
            </w:r>
            <w:r w:rsidR="00BA5E76">
              <w:rPr>
                <w:rFonts w:ascii="Times New Roman" w:hAnsi="Times New Roman"/>
                <w:sz w:val="18"/>
                <w:szCs w:val="18"/>
              </w:rPr>
              <w:t>precludes outbound in</w:t>
            </w:r>
            <w:r w:rsidR="009D4332">
              <w:rPr>
                <w:rFonts w:ascii="Times New Roman" w:hAnsi="Times New Roman"/>
                <w:sz w:val="18"/>
                <w:szCs w:val="18"/>
              </w:rPr>
              <w:t>vestment</w:t>
            </w:r>
            <w:r w:rsidR="00BA5E76">
              <w:rPr>
                <w:rFonts w:ascii="Times New Roman" w:hAnsi="Times New Roman"/>
                <w:sz w:val="18"/>
                <w:szCs w:val="18"/>
              </w:rPr>
              <w:t xml:space="preserve"> through a LTC, including personal services income</w:t>
            </w:r>
            <w:r w:rsidR="009D4332">
              <w:rPr>
                <w:rFonts w:ascii="Times New Roman" w:hAnsi="Times New Roman"/>
                <w:sz w:val="18"/>
                <w:szCs w:val="18"/>
              </w:rPr>
              <w:t>.</w:t>
            </w:r>
          </w:p>
          <w:p w:rsidR="009D4332" w:rsidRDefault="009D4332" w:rsidP="009D4332">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Does not meet objective.</w:t>
            </w:r>
            <w:r w:rsidR="00BA5E76">
              <w:rPr>
                <w:rFonts w:ascii="Times New Roman" w:hAnsi="Times New Roman"/>
                <w:sz w:val="18"/>
                <w:szCs w:val="18"/>
              </w:rPr>
              <w:t xml:space="preserve">  Foreign investment can be done directly.</w:t>
            </w:r>
          </w:p>
          <w:p w:rsidR="00BA5E76" w:rsidRDefault="009D4332" w:rsidP="00BA5E76">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Pr>
                <w:rFonts w:ascii="Times New Roman" w:hAnsi="Times New Roman"/>
                <w:sz w:val="18"/>
                <w:szCs w:val="18"/>
              </w:rPr>
              <w:t>Does not meet objective</w:t>
            </w:r>
            <w:r w:rsidR="00BA5E76">
              <w:rPr>
                <w:rFonts w:ascii="Times New Roman" w:hAnsi="Times New Roman"/>
                <w:sz w:val="18"/>
                <w:szCs w:val="18"/>
              </w:rPr>
              <w:t>, as</w:t>
            </w:r>
            <w:r>
              <w:rPr>
                <w:rFonts w:ascii="Times New Roman" w:hAnsi="Times New Roman"/>
                <w:sz w:val="18"/>
                <w:szCs w:val="18"/>
              </w:rPr>
              <w:t xml:space="preserve"> </w:t>
            </w:r>
            <w:r w:rsidR="00BA5E76">
              <w:rPr>
                <w:rFonts w:ascii="Times New Roman" w:hAnsi="Times New Roman"/>
                <w:sz w:val="18"/>
                <w:szCs w:val="18"/>
              </w:rPr>
              <w:t>would result in significant transitional costs.</w:t>
            </w:r>
          </w:p>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p>
        </w:tc>
      </w:tr>
      <w:tr w:rsidR="004B0460" w:rsidTr="00BA7691">
        <w:trPr>
          <w:cantSplit/>
          <w:trHeight w:val="986"/>
        </w:trPr>
        <w:tc>
          <w:tcPr>
            <w:tcW w:w="3936" w:type="dxa"/>
          </w:tcPr>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p>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 3: Foreign owners should be able to own LTCs, but LTCs that are foreign controlled (i.e. 50% foreign owned) should only be able to earn a limited amount of foreign income.</w:t>
            </w:r>
          </w:p>
        </w:tc>
        <w:tc>
          <w:tcPr>
            <w:tcW w:w="1701" w:type="dxa"/>
          </w:tcPr>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p>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Recommended.</w:t>
            </w:r>
          </w:p>
        </w:tc>
        <w:tc>
          <w:tcPr>
            <w:tcW w:w="3827" w:type="dxa"/>
          </w:tcPr>
          <w:p w:rsidR="004B0460" w:rsidRDefault="004B0460" w:rsidP="00BA7691">
            <w:pPr>
              <w:pStyle w:val="Bullet-list"/>
              <w:spacing w:after="0" w:line="240" w:lineRule="auto"/>
              <w:ind w:left="0" w:firstLine="0"/>
              <w:jc w:val="left"/>
              <w:rPr>
                <w:rFonts w:ascii="Times New Roman" w:hAnsi="Times New Roman"/>
                <w:i/>
                <w:sz w:val="18"/>
                <w:szCs w:val="18"/>
              </w:rPr>
            </w:pPr>
          </w:p>
          <w:p w:rsidR="004B0460" w:rsidRDefault="00CF3834" w:rsidP="00BA7691">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Overall efficiency</w:t>
            </w:r>
            <w:r w:rsidR="004B0460" w:rsidRPr="00C20580">
              <w:rPr>
                <w:rFonts w:ascii="Times New Roman" w:hAnsi="Times New Roman"/>
                <w:i/>
                <w:sz w:val="18"/>
                <w:szCs w:val="18"/>
              </w:rPr>
              <w:t xml:space="preserve">: </w:t>
            </w:r>
            <w:r w:rsidR="00E6465B" w:rsidRPr="00E6465B">
              <w:rPr>
                <w:rFonts w:ascii="Times New Roman" w:hAnsi="Times New Roman"/>
                <w:sz w:val="18"/>
                <w:szCs w:val="18"/>
              </w:rPr>
              <w:t>M</w:t>
            </w:r>
            <w:r w:rsidR="004B0460">
              <w:rPr>
                <w:rFonts w:ascii="Times New Roman" w:hAnsi="Times New Roman"/>
                <w:sz w:val="18"/>
                <w:szCs w:val="18"/>
              </w:rPr>
              <w:t>eets objective</w:t>
            </w:r>
            <w:r w:rsidR="00E6465B">
              <w:rPr>
                <w:rFonts w:ascii="Times New Roman" w:hAnsi="Times New Roman"/>
                <w:sz w:val="18"/>
                <w:szCs w:val="18"/>
              </w:rPr>
              <w:t>,</w:t>
            </w:r>
            <w:r w:rsidR="004B0460">
              <w:rPr>
                <w:rFonts w:ascii="Times New Roman" w:hAnsi="Times New Roman"/>
                <w:sz w:val="18"/>
                <w:szCs w:val="18"/>
              </w:rPr>
              <w:t xml:space="preserve"> </w:t>
            </w:r>
            <w:r w:rsidR="009D4332">
              <w:rPr>
                <w:rFonts w:ascii="Times New Roman" w:hAnsi="Times New Roman"/>
                <w:sz w:val="18"/>
                <w:szCs w:val="18"/>
              </w:rPr>
              <w:t>without unduly restricting foreign investment (inbound and outbound)</w:t>
            </w:r>
            <w:r w:rsidR="004B0460">
              <w:rPr>
                <w:rFonts w:ascii="Times New Roman" w:hAnsi="Times New Roman"/>
                <w:sz w:val="18"/>
                <w:szCs w:val="18"/>
              </w:rPr>
              <w:t xml:space="preserve">. </w:t>
            </w:r>
          </w:p>
          <w:p w:rsidR="004B0460" w:rsidRDefault="004B0460" w:rsidP="00BA7691">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Meets objective</w:t>
            </w:r>
            <w:r w:rsidR="00E6465B">
              <w:rPr>
                <w:rFonts w:ascii="Times New Roman" w:hAnsi="Times New Roman"/>
                <w:sz w:val="18"/>
                <w:szCs w:val="18"/>
              </w:rPr>
              <w:t>,</w:t>
            </w:r>
            <w:r>
              <w:rPr>
                <w:rFonts w:ascii="Times New Roman" w:hAnsi="Times New Roman"/>
                <w:sz w:val="18"/>
                <w:szCs w:val="18"/>
              </w:rPr>
              <w:t xml:space="preserve"> </w:t>
            </w:r>
            <w:r w:rsidR="009D4332">
              <w:rPr>
                <w:rFonts w:ascii="Times New Roman" w:hAnsi="Times New Roman"/>
                <w:sz w:val="18"/>
                <w:szCs w:val="18"/>
              </w:rPr>
              <w:t xml:space="preserve">by supporting the integrity of the LTC rules and </w:t>
            </w:r>
            <w:r w:rsidR="00E6465B">
              <w:rPr>
                <w:rFonts w:ascii="Times New Roman" w:hAnsi="Times New Roman"/>
                <w:sz w:val="18"/>
                <w:szCs w:val="18"/>
              </w:rPr>
              <w:t xml:space="preserve">better </w:t>
            </w:r>
            <w:r w:rsidR="009D4332">
              <w:rPr>
                <w:rFonts w:ascii="Times New Roman" w:hAnsi="Times New Roman"/>
                <w:sz w:val="18"/>
                <w:szCs w:val="18"/>
              </w:rPr>
              <w:t xml:space="preserve">targeting </w:t>
            </w:r>
            <w:r w:rsidR="00E6465B">
              <w:rPr>
                <w:rFonts w:ascii="Times New Roman" w:hAnsi="Times New Roman"/>
                <w:sz w:val="18"/>
                <w:szCs w:val="18"/>
              </w:rPr>
              <w:t xml:space="preserve">of </w:t>
            </w:r>
            <w:r w:rsidR="009D4332">
              <w:rPr>
                <w:rFonts w:ascii="Times New Roman" w:hAnsi="Times New Roman"/>
                <w:sz w:val="18"/>
                <w:szCs w:val="18"/>
              </w:rPr>
              <w:t>restriction</w:t>
            </w:r>
            <w:r w:rsidR="00E6465B">
              <w:rPr>
                <w:rFonts w:ascii="Times New Roman" w:hAnsi="Times New Roman"/>
                <w:sz w:val="18"/>
                <w:szCs w:val="18"/>
              </w:rPr>
              <w:t>.</w:t>
            </w:r>
            <w:r>
              <w:rPr>
                <w:rFonts w:ascii="Times New Roman" w:hAnsi="Times New Roman"/>
                <w:sz w:val="18"/>
                <w:szCs w:val="18"/>
              </w:rPr>
              <w:t xml:space="preserve"> </w:t>
            </w:r>
          </w:p>
          <w:p w:rsidR="004B0460" w:rsidRDefault="004B0460" w:rsidP="00B629BA">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Pr>
                <w:rFonts w:ascii="Times New Roman" w:hAnsi="Times New Roman"/>
                <w:sz w:val="18"/>
                <w:szCs w:val="18"/>
              </w:rPr>
              <w:t>Meets objective</w:t>
            </w:r>
            <w:r w:rsidR="00B629BA">
              <w:rPr>
                <w:rFonts w:ascii="Times New Roman" w:hAnsi="Times New Roman"/>
                <w:sz w:val="18"/>
                <w:szCs w:val="18"/>
              </w:rPr>
              <w:t xml:space="preserve">, </w:t>
            </w:r>
            <w:r>
              <w:rPr>
                <w:rFonts w:ascii="Times New Roman" w:hAnsi="Times New Roman"/>
                <w:sz w:val="18"/>
                <w:szCs w:val="18"/>
              </w:rPr>
              <w:t xml:space="preserve">as </w:t>
            </w:r>
            <w:r w:rsidR="00B629BA">
              <w:rPr>
                <w:rFonts w:ascii="Times New Roman" w:hAnsi="Times New Roman"/>
                <w:sz w:val="18"/>
                <w:szCs w:val="18"/>
              </w:rPr>
              <w:t>limits transitional costs to relatively few LTCs</w:t>
            </w:r>
            <w:r>
              <w:rPr>
                <w:rFonts w:ascii="Times New Roman" w:hAnsi="Times New Roman"/>
                <w:sz w:val="18"/>
                <w:szCs w:val="18"/>
              </w:rPr>
              <w:t>.</w:t>
            </w:r>
          </w:p>
        </w:tc>
      </w:tr>
      <w:tr w:rsidR="004B0460" w:rsidTr="00BA7691">
        <w:trPr>
          <w:cantSplit/>
          <w:trHeight w:val="561"/>
        </w:trPr>
        <w:tc>
          <w:tcPr>
            <w:tcW w:w="3936" w:type="dxa"/>
          </w:tcPr>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p>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 4: Foreign ownership of LTCs should not be restricted and the ability to earn foreign income should not be restricted (status quo).</w:t>
            </w:r>
          </w:p>
        </w:tc>
        <w:tc>
          <w:tcPr>
            <w:tcW w:w="1701" w:type="dxa"/>
          </w:tcPr>
          <w:p w:rsidR="004B0460" w:rsidRDefault="004B0460" w:rsidP="00BA7691">
            <w:pPr>
              <w:pStyle w:val="Bullet-list"/>
              <w:tabs>
                <w:tab w:val="num" w:pos="567"/>
              </w:tabs>
              <w:spacing w:after="0" w:line="240" w:lineRule="auto"/>
              <w:ind w:left="0" w:firstLine="0"/>
              <w:jc w:val="left"/>
              <w:rPr>
                <w:rFonts w:ascii="Times New Roman" w:hAnsi="Times New Roman"/>
                <w:sz w:val="18"/>
                <w:szCs w:val="18"/>
              </w:rPr>
            </w:pPr>
          </w:p>
          <w:p w:rsidR="004B0460" w:rsidRPr="00200F11" w:rsidRDefault="004B0460" w:rsidP="00BA7691">
            <w:pPr>
              <w:pStyle w:val="Bullet-list"/>
              <w:tabs>
                <w:tab w:val="num" w:pos="567"/>
              </w:tabs>
              <w:spacing w:after="0" w:line="240" w:lineRule="auto"/>
              <w:ind w:left="0" w:firstLine="0"/>
              <w:jc w:val="left"/>
              <w:rPr>
                <w:rFonts w:ascii="Times New Roman" w:hAnsi="Times New Roman"/>
                <w:b/>
                <w:sz w:val="18"/>
                <w:szCs w:val="18"/>
              </w:rPr>
            </w:pPr>
            <w:r>
              <w:rPr>
                <w:rFonts w:ascii="Times New Roman" w:hAnsi="Times New Roman"/>
                <w:sz w:val="18"/>
                <w:szCs w:val="18"/>
              </w:rPr>
              <w:t>Not recommended.</w:t>
            </w:r>
          </w:p>
        </w:tc>
        <w:tc>
          <w:tcPr>
            <w:tcW w:w="3827" w:type="dxa"/>
          </w:tcPr>
          <w:p w:rsidR="004B0460" w:rsidRDefault="004B0460" w:rsidP="00BA7691">
            <w:pPr>
              <w:pStyle w:val="Bullet-list"/>
              <w:spacing w:after="0" w:line="240" w:lineRule="auto"/>
              <w:ind w:left="0" w:firstLine="0"/>
              <w:rPr>
                <w:rFonts w:ascii="Times New Roman" w:hAnsi="Times New Roman"/>
                <w:i/>
                <w:sz w:val="18"/>
                <w:szCs w:val="18"/>
              </w:rPr>
            </w:pPr>
          </w:p>
          <w:p w:rsidR="004B0460" w:rsidRDefault="00CF3834" w:rsidP="00BA7691">
            <w:pPr>
              <w:pStyle w:val="Bullet-list"/>
              <w:spacing w:after="0" w:line="240" w:lineRule="auto"/>
              <w:ind w:left="0" w:firstLine="0"/>
              <w:rPr>
                <w:rFonts w:ascii="Times New Roman" w:hAnsi="Times New Roman"/>
                <w:sz w:val="18"/>
                <w:szCs w:val="18"/>
              </w:rPr>
            </w:pPr>
            <w:r>
              <w:rPr>
                <w:rFonts w:ascii="Times New Roman" w:hAnsi="Times New Roman"/>
                <w:i/>
                <w:sz w:val="18"/>
                <w:szCs w:val="18"/>
              </w:rPr>
              <w:t>Overall efficiency</w:t>
            </w:r>
            <w:r w:rsidR="004B0460" w:rsidRPr="00C20580">
              <w:rPr>
                <w:rFonts w:ascii="Times New Roman" w:hAnsi="Times New Roman"/>
                <w:i/>
                <w:sz w:val="18"/>
                <w:szCs w:val="18"/>
              </w:rPr>
              <w:t xml:space="preserve">: </w:t>
            </w:r>
            <w:r w:rsidR="00EA7CA9">
              <w:rPr>
                <w:rFonts w:ascii="Times New Roman" w:hAnsi="Times New Roman"/>
                <w:sz w:val="18"/>
                <w:szCs w:val="18"/>
              </w:rPr>
              <w:t>Does not meet objective given reputational concerns</w:t>
            </w:r>
            <w:r w:rsidR="004B0460">
              <w:rPr>
                <w:rFonts w:ascii="Times New Roman" w:hAnsi="Times New Roman"/>
                <w:sz w:val="18"/>
                <w:szCs w:val="18"/>
              </w:rPr>
              <w:t>.</w:t>
            </w:r>
          </w:p>
          <w:p w:rsidR="004B0460" w:rsidRDefault="004B0460" w:rsidP="00BA7691">
            <w:pPr>
              <w:pStyle w:val="Bullet-list"/>
              <w:spacing w:after="0" w:line="240" w:lineRule="auto"/>
              <w:ind w:left="0" w:firstLine="0"/>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Does not meet objective.</w:t>
            </w:r>
          </w:p>
          <w:p w:rsidR="004B0460" w:rsidRPr="00C20580" w:rsidRDefault="004B0460" w:rsidP="00BA7691">
            <w:pPr>
              <w:pStyle w:val="Bullet-list"/>
              <w:spacing w:after="0" w:line="240" w:lineRule="auto"/>
              <w:ind w:left="0" w:firstLine="0"/>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EA7CA9">
              <w:rPr>
                <w:rFonts w:ascii="Times New Roman" w:hAnsi="Times New Roman"/>
                <w:sz w:val="18"/>
                <w:szCs w:val="18"/>
              </w:rPr>
              <w:t>No impact.</w:t>
            </w:r>
          </w:p>
          <w:p w:rsidR="004B0460" w:rsidRDefault="004B0460" w:rsidP="00BA7691">
            <w:pPr>
              <w:pStyle w:val="Bullet-list"/>
              <w:tabs>
                <w:tab w:val="num" w:pos="567"/>
              </w:tabs>
              <w:spacing w:after="0" w:line="240" w:lineRule="auto"/>
              <w:ind w:left="0" w:firstLine="0"/>
              <w:rPr>
                <w:rFonts w:ascii="Times New Roman" w:hAnsi="Times New Roman"/>
                <w:sz w:val="18"/>
                <w:szCs w:val="18"/>
              </w:rPr>
            </w:pPr>
          </w:p>
        </w:tc>
      </w:tr>
    </w:tbl>
    <w:p w:rsidR="004B0460" w:rsidRDefault="004B0460" w:rsidP="00CA079F">
      <w:pPr>
        <w:pStyle w:val="Bullet-list"/>
        <w:spacing w:after="0" w:line="240" w:lineRule="auto"/>
        <w:rPr>
          <w:rFonts w:ascii="Times New Roman" w:hAnsi="Times New Roman"/>
          <w:i/>
          <w:sz w:val="24"/>
          <w:szCs w:val="24"/>
        </w:rPr>
      </w:pPr>
    </w:p>
    <w:p w:rsidR="004B0460" w:rsidRDefault="004B0460" w:rsidP="009D4332">
      <w:pPr>
        <w:pStyle w:val="Bullet-list"/>
        <w:spacing w:after="0" w:line="240" w:lineRule="auto"/>
        <w:ind w:left="0" w:firstLine="0"/>
        <w:rPr>
          <w:rFonts w:ascii="Times New Roman" w:hAnsi="Times New Roman"/>
          <w:i/>
          <w:sz w:val="24"/>
          <w:szCs w:val="24"/>
        </w:rPr>
      </w:pPr>
    </w:p>
    <w:p w:rsidR="00CA079F" w:rsidRDefault="00CA079F" w:rsidP="009D4332">
      <w:pPr>
        <w:pStyle w:val="Bullet-list"/>
        <w:spacing w:after="0" w:line="240" w:lineRule="auto"/>
        <w:ind w:left="0" w:firstLine="0"/>
        <w:rPr>
          <w:rFonts w:ascii="Times New Roman" w:hAnsi="Times New Roman"/>
          <w:i/>
          <w:sz w:val="24"/>
          <w:szCs w:val="24"/>
        </w:rPr>
      </w:pPr>
      <w:r w:rsidRPr="00DA7484">
        <w:rPr>
          <w:rFonts w:ascii="Times New Roman" w:hAnsi="Times New Roman"/>
          <w:i/>
          <w:sz w:val="24"/>
          <w:szCs w:val="24"/>
        </w:rPr>
        <w:t>LTC entry tax</w:t>
      </w:r>
    </w:p>
    <w:p w:rsidR="00DD387E" w:rsidRDefault="00DD387E" w:rsidP="00CA079F">
      <w:pPr>
        <w:pStyle w:val="Bullet-list"/>
        <w:spacing w:after="0" w:line="240" w:lineRule="auto"/>
        <w:rPr>
          <w:rFonts w:ascii="Times New Roman" w:hAnsi="Times New Roman"/>
          <w:i/>
          <w:sz w:val="24"/>
          <w:szCs w:val="24"/>
        </w:rPr>
      </w:pPr>
    </w:p>
    <w:p w:rsidR="00DD387E" w:rsidRDefault="00DD387E" w:rsidP="00166E95">
      <w:pPr>
        <w:pStyle w:val="TRBodyText"/>
        <w:numPr>
          <w:ilvl w:val="0"/>
          <w:numId w:val="2"/>
        </w:numPr>
        <w:tabs>
          <w:tab w:val="clear" w:pos="360"/>
          <w:tab w:val="left" w:pos="0"/>
        </w:tabs>
        <w:ind w:left="0" w:firstLine="0"/>
        <w:rPr>
          <w:szCs w:val="24"/>
        </w:rPr>
      </w:pPr>
      <w:r>
        <w:rPr>
          <w:szCs w:val="24"/>
        </w:rPr>
        <w:t>Options to address the concern that the LTC entry tax is not operating as intended, are listed below:</w:t>
      </w:r>
    </w:p>
    <w:p w:rsidR="00274BE1" w:rsidRDefault="00274BE1" w:rsidP="00CA079F">
      <w:pPr>
        <w:pStyle w:val="Bullet-list"/>
        <w:spacing w:after="0" w:line="240" w:lineRule="auto"/>
        <w:ind w:left="0" w:firstLine="0"/>
        <w:rPr>
          <w:rFonts w:ascii="Times New Roman" w:hAnsi="Times New Roman"/>
          <w:i/>
          <w:sz w:val="24"/>
          <w:szCs w:val="24"/>
        </w:rPr>
      </w:pPr>
    </w:p>
    <w:tbl>
      <w:tblPr>
        <w:tblStyle w:val="TableGrid"/>
        <w:tblW w:w="9464" w:type="dxa"/>
        <w:tblLook w:val="04A0" w:firstRow="1" w:lastRow="0" w:firstColumn="1" w:lastColumn="0" w:noHBand="0" w:noVBand="1"/>
      </w:tblPr>
      <w:tblGrid>
        <w:gridCol w:w="3936"/>
        <w:gridCol w:w="1701"/>
        <w:gridCol w:w="3827"/>
      </w:tblGrid>
      <w:tr w:rsidR="009D4332" w:rsidRPr="00871EE0" w:rsidTr="009D4332">
        <w:trPr>
          <w:cantSplit/>
          <w:trHeight w:val="274"/>
        </w:trPr>
        <w:tc>
          <w:tcPr>
            <w:tcW w:w="3936" w:type="dxa"/>
            <w:shd w:val="pct15" w:color="auto" w:fill="auto"/>
          </w:tcPr>
          <w:p w:rsidR="009D4332" w:rsidRDefault="009D4332" w:rsidP="009D4332">
            <w:pPr>
              <w:pStyle w:val="Bullet-list"/>
              <w:tabs>
                <w:tab w:val="num" w:pos="567"/>
              </w:tabs>
              <w:spacing w:after="0" w:line="240" w:lineRule="auto"/>
              <w:ind w:left="0" w:firstLine="0"/>
              <w:rPr>
                <w:rFonts w:ascii="Times New Roman" w:hAnsi="Times New Roman"/>
                <w:sz w:val="18"/>
                <w:szCs w:val="18"/>
              </w:rPr>
            </w:pPr>
            <w:r w:rsidRPr="000B7D6E">
              <w:rPr>
                <w:rFonts w:ascii="Times New Roman" w:hAnsi="Times New Roman"/>
                <w:b/>
                <w:sz w:val="18"/>
                <w:szCs w:val="18"/>
              </w:rPr>
              <w:t>Options:</w:t>
            </w:r>
          </w:p>
        </w:tc>
        <w:tc>
          <w:tcPr>
            <w:tcW w:w="1701" w:type="dxa"/>
            <w:shd w:val="pct15" w:color="auto" w:fill="auto"/>
          </w:tcPr>
          <w:p w:rsidR="009D4332" w:rsidRPr="000B7D6E" w:rsidRDefault="009D4332" w:rsidP="009D4332">
            <w:pPr>
              <w:pStyle w:val="Bullet-list"/>
              <w:tabs>
                <w:tab w:val="num" w:pos="567"/>
              </w:tabs>
              <w:spacing w:after="0" w:line="240" w:lineRule="auto"/>
              <w:ind w:left="0" w:firstLine="0"/>
              <w:rPr>
                <w:rFonts w:ascii="Times New Roman" w:hAnsi="Times New Roman"/>
                <w:b/>
                <w:sz w:val="18"/>
                <w:szCs w:val="18"/>
              </w:rPr>
            </w:pPr>
            <w:r w:rsidRPr="000B7D6E">
              <w:rPr>
                <w:rFonts w:ascii="Times New Roman" w:hAnsi="Times New Roman"/>
                <w:b/>
                <w:sz w:val="18"/>
                <w:szCs w:val="18"/>
              </w:rPr>
              <w:t>Re</w:t>
            </w:r>
            <w:r>
              <w:rPr>
                <w:rFonts w:ascii="Times New Roman" w:hAnsi="Times New Roman"/>
                <w:b/>
                <w:sz w:val="18"/>
                <w:szCs w:val="18"/>
              </w:rPr>
              <w:t>c</w:t>
            </w:r>
            <w:r w:rsidRPr="000B7D6E">
              <w:rPr>
                <w:rFonts w:ascii="Times New Roman" w:hAnsi="Times New Roman"/>
                <w:b/>
                <w:sz w:val="18"/>
                <w:szCs w:val="18"/>
              </w:rPr>
              <w:t>ommendations</w:t>
            </w:r>
          </w:p>
        </w:tc>
        <w:tc>
          <w:tcPr>
            <w:tcW w:w="3827" w:type="dxa"/>
            <w:shd w:val="pct15" w:color="auto" w:fill="auto"/>
          </w:tcPr>
          <w:p w:rsidR="009D4332" w:rsidRPr="000B7D6E" w:rsidRDefault="009D4332" w:rsidP="009D4332">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Analysis against objectives</w:t>
            </w:r>
          </w:p>
        </w:tc>
      </w:tr>
      <w:tr w:rsidR="009D4332" w:rsidRPr="00871EE0" w:rsidTr="009D4332">
        <w:trPr>
          <w:cantSplit/>
          <w:trHeight w:val="557"/>
        </w:trPr>
        <w:tc>
          <w:tcPr>
            <w:tcW w:w="3936" w:type="dxa"/>
          </w:tcPr>
          <w:p w:rsidR="009D4332" w:rsidRDefault="009D4332" w:rsidP="009D4332">
            <w:pPr>
              <w:pStyle w:val="Bullet-list"/>
              <w:tabs>
                <w:tab w:val="num" w:pos="567"/>
              </w:tabs>
              <w:spacing w:after="0" w:line="240" w:lineRule="auto"/>
              <w:ind w:left="0" w:firstLine="0"/>
              <w:jc w:val="left"/>
              <w:rPr>
                <w:rFonts w:ascii="Times New Roman" w:hAnsi="Times New Roman"/>
                <w:sz w:val="18"/>
                <w:szCs w:val="18"/>
              </w:rPr>
            </w:pPr>
          </w:p>
          <w:p w:rsidR="009D4332" w:rsidRDefault="009D4332" w:rsidP="009D4332">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 1: The entry tax formula should be amended to change the tax rate that applies to any income calculated by the adjustment, to the LTC shareholder’s personal tax rates.</w:t>
            </w:r>
          </w:p>
        </w:tc>
        <w:tc>
          <w:tcPr>
            <w:tcW w:w="1701" w:type="dxa"/>
          </w:tcPr>
          <w:p w:rsidR="009D4332" w:rsidRDefault="009D4332" w:rsidP="009D4332">
            <w:pPr>
              <w:pStyle w:val="Bullet-list"/>
              <w:tabs>
                <w:tab w:val="num" w:pos="567"/>
              </w:tabs>
              <w:spacing w:after="0" w:line="240" w:lineRule="auto"/>
              <w:ind w:left="0" w:firstLine="0"/>
              <w:rPr>
                <w:rFonts w:ascii="Times New Roman" w:hAnsi="Times New Roman"/>
                <w:sz w:val="18"/>
                <w:szCs w:val="18"/>
              </w:rPr>
            </w:pPr>
          </w:p>
          <w:p w:rsidR="009D4332" w:rsidRDefault="009D4332" w:rsidP="009D4332">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Recommended.</w:t>
            </w:r>
          </w:p>
        </w:tc>
        <w:tc>
          <w:tcPr>
            <w:tcW w:w="3827" w:type="dxa"/>
          </w:tcPr>
          <w:p w:rsidR="009D4332" w:rsidRDefault="009D4332" w:rsidP="009D4332">
            <w:pPr>
              <w:pStyle w:val="Bullet-list"/>
              <w:tabs>
                <w:tab w:val="num" w:pos="567"/>
              </w:tabs>
              <w:spacing w:after="0" w:line="240" w:lineRule="auto"/>
              <w:ind w:left="0" w:firstLine="0"/>
              <w:rPr>
                <w:rFonts w:ascii="Times New Roman" w:hAnsi="Times New Roman"/>
                <w:sz w:val="18"/>
                <w:szCs w:val="18"/>
              </w:rPr>
            </w:pPr>
          </w:p>
          <w:p w:rsidR="009D4332" w:rsidRPr="002A7574" w:rsidRDefault="00CF3834" w:rsidP="009D4332">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Overall efficiency</w:t>
            </w:r>
            <w:r w:rsidR="009D4332" w:rsidRPr="00C20580">
              <w:rPr>
                <w:rFonts w:ascii="Times New Roman" w:hAnsi="Times New Roman"/>
                <w:i/>
                <w:sz w:val="18"/>
                <w:szCs w:val="18"/>
              </w:rPr>
              <w:t xml:space="preserve">: </w:t>
            </w:r>
            <w:r w:rsidR="002A7574" w:rsidRPr="002A7574">
              <w:rPr>
                <w:rFonts w:ascii="Times New Roman" w:hAnsi="Times New Roman"/>
                <w:sz w:val="18"/>
                <w:szCs w:val="18"/>
              </w:rPr>
              <w:t>Meets objective</w:t>
            </w:r>
            <w:r w:rsidR="009D4332" w:rsidRPr="002A7574">
              <w:rPr>
                <w:rFonts w:ascii="Times New Roman" w:hAnsi="Times New Roman"/>
                <w:sz w:val="18"/>
                <w:szCs w:val="18"/>
              </w:rPr>
              <w:t>.</w:t>
            </w:r>
          </w:p>
          <w:p w:rsidR="009D4332" w:rsidRDefault="009D4332" w:rsidP="009D4332">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Fairness/neutrality:</w:t>
            </w:r>
            <w:r w:rsidR="002A7574">
              <w:rPr>
                <w:rFonts w:ascii="Times New Roman" w:hAnsi="Times New Roman"/>
                <w:sz w:val="18"/>
                <w:szCs w:val="18"/>
              </w:rPr>
              <w:t xml:space="preserve"> M</w:t>
            </w:r>
            <w:r>
              <w:rPr>
                <w:rFonts w:ascii="Times New Roman" w:hAnsi="Times New Roman"/>
                <w:sz w:val="18"/>
                <w:szCs w:val="18"/>
              </w:rPr>
              <w:t xml:space="preserve">eets objective, by </w:t>
            </w:r>
            <w:r w:rsidR="0036775B">
              <w:rPr>
                <w:rFonts w:ascii="Times New Roman" w:hAnsi="Times New Roman"/>
                <w:sz w:val="18"/>
                <w:szCs w:val="18"/>
              </w:rPr>
              <w:t>ensuring income is taxed at correct tax rates and minimising tax avoidance risk</w:t>
            </w:r>
            <w:r>
              <w:rPr>
                <w:rFonts w:ascii="Times New Roman" w:hAnsi="Times New Roman"/>
                <w:sz w:val="18"/>
                <w:szCs w:val="18"/>
              </w:rPr>
              <w:t>.</w:t>
            </w:r>
          </w:p>
          <w:p w:rsidR="009D4332" w:rsidRPr="00C20580" w:rsidRDefault="009D4332" w:rsidP="009D4332">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2A7574">
              <w:rPr>
                <w:rFonts w:ascii="Times New Roman" w:hAnsi="Times New Roman"/>
                <w:sz w:val="18"/>
                <w:szCs w:val="18"/>
              </w:rPr>
              <w:t>Mostly m</w:t>
            </w:r>
            <w:r w:rsidR="0036775B">
              <w:rPr>
                <w:rFonts w:ascii="Times New Roman" w:hAnsi="Times New Roman"/>
                <w:sz w:val="18"/>
                <w:szCs w:val="18"/>
              </w:rPr>
              <w:t>eets objective</w:t>
            </w:r>
            <w:r w:rsidR="002A7574">
              <w:rPr>
                <w:rFonts w:ascii="Times New Roman" w:hAnsi="Times New Roman"/>
                <w:sz w:val="18"/>
                <w:szCs w:val="18"/>
              </w:rPr>
              <w:t>.</w:t>
            </w:r>
          </w:p>
          <w:p w:rsidR="009D4332" w:rsidRDefault="009D4332" w:rsidP="009D4332">
            <w:pPr>
              <w:pStyle w:val="Bullet-list"/>
              <w:tabs>
                <w:tab w:val="num" w:pos="567"/>
              </w:tabs>
              <w:spacing w:after="0" w:line="240" w:lineRule="auto"/>
              <w:ind w:left="0" w:firstLine="0"/>
              <w:rPr>
                <w:rFonts w:ascii="Times New Roman" w:hAnsi="Times New Roman"/>
                <w:sz w:val="18"/>
                <w:szCs w:val="18"/>
              </w:rPr>
            </w:pPr>
          </w:p>
        </w:tc>
      </w:tr>
      <w:tr w:rsidR="009D4332" w:rsidRPr="00871EE0" w:rsidTr="009D4332">
        <w:trPr>
          <w:cantSplit/>
          <w:trHeight w:val="1407"/>
        </w:trPr>
        <w:tc>
          <w:tcPr>
            <w:tcW w:w="3936" w:type="dxa"/>
          </w:tcPr>
          <w:p w:rsidR="009D4332" w:rsidRDefault="009D4332" w:rsidP="009D4332">
            <w:pPr>
              <w:pStyle w:val="Bullet-list"/>
              <w:tabs>
                <w:tab w:val="num" w:pos="567"/>
              </w:tabs>
              <w:spacing w:after="0" w:line="240" w:lineRule="auto"/>
              <w:ind w:left="0" w:firstLine="0"/>
              <w:jc w:val="left"/>
              <w:rPr>
                <w:rFonts w:ascii="Times New Roman" w:hAnsi="Times New Roman"/>
                <w:sz w:val="18"/>
                <w:szCs w:val="18"/>
              </w:rPr>
            </w:pPr>
          </w:p>
          <w:p w:rsidR="009D4332" w:rsidRDefault="009D4332" w:rsidP="009D4332">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 2: The entry tax formula should not be amended to change the tax rate that applies to any income calculated by the adjustment (status quo).</w:t>
            </w:r>
          </w:p>
          <w:p w:rsidR="009D4332" w:rsidRDefault="009D4332" w:rsidP="009D4332">
            <w:pPr>
              <w:pStyle w:val="Bullet-list"/>
              <w:tabs>
                <w:tab w:val="num" w:pos="567"/>
              </w:tabs>
              <w:spacing w:after="0" w:line="240" w:lineRule="auto"/>
              <w:ind w:left="0" w:firstLine="0"/>
              <w:jc w:val="left"/>
              <w:rPr>
                <w:rFonts w:ascii="Times New Roman" w:hAnsi="Times New Roman"/>
                <w:sz w:val="18"/>
                <w:szCs w:val="18"/>
              </w:rPr>
            </w:pPr>
          </w:p>
        </w:tc>
        <w:tc>
          <w:tcPr>
            <w:tcW w:w="1701" w:type="dxa"/>
          </w:tcPr>
          <w:p w:rsidR="009D4332" w:rsidRDefault="009D4332" w:rsidP="009D4332">
            <w:pPr>
              <w:pStyle w:val="Bullet-list"/>
              <w:tabs>
                <w:tab w:val="num" w:pos="567"/>
              </w:tabs>
              <w:spacing w:after="0" w:line="240" w:lineRule="auto"/>
              <w:ind w:left="0" w:firstLine="0"/>
              <w:rPr>
                <w:rFonts w:ascii="Times New Roman" w:hAnsi="Times New Roman"/>
                <w:sz w:val="18"/>
                <w:szCs w:val="18"/>
              </w:rPr>
            </w:pPr>
          </w:p>
          <w:p w:rsidR="009D4332" w:rsidRDefault="009D4332" w:rsidP="009D4332">
            <w:pPr>
              <w:pStyle w:val="Bullet-list"/>
              <w:tabs>
                <w:tab w:val="num" w:pos="567"/>
              </w:tabs>
              <w:spacing w:after="0" w:line="240" w:lineRule="auto"/>
              <w:ind w:left="0" w:firstLine="0"/>
              <w:rPr>
                <w:rFonts w:ascii="Times New Roman" w:hAnsi="Times New Roman"/>
                <w:sz w:val="18"/>
                <w:szCs w:val="18"/>
              </w:rPr>
            </w:pPr>
            <w:r>
              <w:rPr>
                <w:rFonts w:ascii="Times New Roman" w:hAnsi="Times New Roman"/>
                <w:sz w:val="18"/>
                <w:szCs w:val="18"/>
              </w:rPr>
              <w:t>Not recommended.</w:t>
            </w:r>
          </w:p>
        </w:tc>
        <w:tc>
          <w:tcPr>
            <w:tcW w:w="3827" w:type="dxa"/>
          </w:tcPr>
          <w:p w:rsidR="009D4332" w:rsidRDefault="009D4332" w:rsidP="009D4332">
            <w:pPr>
              <w:pStyle w:val="Bullet-list"/>
              <w:tabs>
                <w:tab w:val="num" w:pos="567"/>
              </w:tabs>
              <w:spacing w:after="0" w:line="240" w:lineRule="auto"/>
              <w:ind w:left="0" w:firstLine="0"/>
              <w:rPr>
                <w:rFonts w:ascii="Times New Roman" w:hAnsi="Times New Roman"/>
                <w:sz w:val="18"/>
                <w:szCs w:val="18"/>
              </w:rPr>
            </w:pPr>
          </w:p>
          <w:p w:rsidR="009D4332" w:rsidRDefault="00CF3834" w:rsidP="009D4332">
            <w:pPr>
              <w:pStyle w:val="Bullet-list"/>
              <w:spacing w:after="0" w:line="240" w:lineRule="auto"/>
              <w:ind w:left="0" w:firstLine="0"/>
              <w:rPr>
                <w:rFonts w:ascii="Times New Roman" w:hAnsi="Times New Roman"/>
                <w:sz w:val="18"/>
                <w:szCs w:val="18"/>
              </w:rPr>
            </w:pPr>
            <w:r>
              <w:rPr>
                <w:rFonts w:ascii="Times New Roman" w:hAnsi="Times New Roman"/>
                <w:i/>
                <w:sz w:val="18"/>
                <w:szCs w:val="18"/>
              </w:rPr>
              <w:t>Overall efficiency</w:t>
            </w:r>
            <w:r w:rsidR="009D4332" w:rsidRPr="00C20580">
              <w:rPr>
                <w:rFonts w:ascii="Times New Roman" w:hAnsi="Times New Roman"/>
                <w:i/>
                <w:sz w:val="18"/>
                <w:szCs w:val="18"/>
              </w:rPr>
              <w:t xml:space="preserve">: </w:t>
            </w:r>
            <w:r w:rsidR="009D4332">
              <w:rPr>
                <w:rFonts w:ascii="Times New Roman" w:hAnsi="Times New Roman"/>
                <w:sz w:val="18"/>
                <w:szCs w:val="18"/>
              </w:rPr>
              <w:t>Does not meet objective.</w:t>
            </w:r>
          </w:p>
          <w:p w:rsidR="009D4332" w:rsidRDefault="009D4332" w:rsidP="009D4332">
            <w:pPr>
              <w:pStyle w:val="Bullet-list"/>
              <w:spacing w:after="0" w:line="240" w:lineRule="auto"/>
              <w:ind w:left="0" w:firstLine="0"/>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Does not meet objective</w:t>
            </w:r>
            <w:r w:rsidR="0036775B">
              <w:rPr>
                <w:rFonts w:ascii="Times New Roman" w:hAnsi="Times New Roman"/>
                <w:sz w:val="18"/>
                <w:szCs w:val="18"/>
              </w:rPr>
              <w:t>, as does not address unfairness in current over/under taxation depending on applicable personal tax rates</w:t>
            </w:r>
            <w:r>
              <w:rPr>
                <w:rFonts w:ascii="Times New Roman" w:hAnsi="Times New Roman"/>
                <w:sz w:val="18"/>
                <w:szCs w:val="18"/>
              </w:rPr>
              <w:t>.</w:t>
            </w:r>
          </w:p>
          <w:p w:rsidR="009D4332" w:rsidRDefault="009D4332" w:rsidP="002A7574">
            <w:pPr>
              <w:pStyle w:val="Bullet-list"/>
              <w:spacing w:after="0" w:line="240" w:lineRule="auto"/>
              <w:ind w:left="0" w:firstLine="0"/>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2A7574">
              <w:rPr>
                <w:rFonts w:ascii="Times New Roman" w:hAnsi="Times New Roman"/>
                <w:sz w:val="18"/>
                <w:szCs w:val="18"/>
              </w:rPr>
              <w:t xml:space="preserve">Does not meet objective.  No impact on compliance costs but may be enforcement costs. </w:t>
            </w:r>
          </w:p>
          <w:p w:rsidR="002A7574" w:rsidRDefault="002A7574" w:rsidP="002A7574">
            <w:pPr>
              <w:pStyle w:val="Bullet-list"/>
              <w:spacing w:after="0" w:line="240" w:lineRule="auto"/>
              <w:ind w:left="0" w:firstLine="0"/>
              <w:rPr>
                <w:rFonts w:ascii="Times New Roman" w:hAnsi="Times New Roman"/>
                <w:sz w:val="18"/>
                <w:szCs w:val="18"/>
              </w:rPr>
            </w:pPr>
          </w:p>
        </w:tc>
      </w:tr>
    </w:tbl>
    <w:p w:rsidR="009D4332" w:rsidRDefault="009D4332" w:rsidP="00CA079F">
      <w:pPr>
        <w:pStyle w:val="Bullet-list"/>
        <w:spacing w:after="0" w:line="240" w:lineRule="auto"/>
        <w:ind w:left="0" w:firstLine="0"/>
        <w:rPr>
          <w:rFonts w:ascii="Times New Roman" w:hAnsi="Times New Roman"/>
          <w:i/>
          <w:sz w:val="24"/>
          <w:szCs w:val="24"/>
        </w:rPr>
      </w:pPr>
    </w:p>
    <w:p w:rsidR="00DD387E" w:rsidRDefault="00DD387E" w:rsidP="00CA079F">
      <w:pPr>
        <w:pStyle w:val="Bullet-list"/>
        <w:spacing w:after="0" w:line="240" w:lineRule="auto"/>
        <w:ind w:left="0" w:firstLine="0"/>
        <w:rPr>
          <w:rFonts w:ascii="Times New Roman" w:hAnsi="Times New Roman"/>
          <w:i/>
          <w:sz w:val="24"/>
          <w:szCs w:val="24"/>
        </w:rPr>
      </w:pPr>
    </w:p>
    <w:p w:rsidR="005B0E9F" w:rsidRDefault="00CA079F" w:rsidP="00CA079F">
      <w:pPr>
        <w:pStyle w:val="Bullet-list"/>
        <w:spacing w:after="0" w:line="240" w:lineRule="auto"/>
        <w:ind w:left="0" w:firstLine="0"/>
        <w:rPr>
          <w:rFonts w:ascii="Times New Roman" w:hAnsi="Times New Roman"/>
          <w:i/>
          <w:sz w:val="24"/>
          <w:szCs w:val="24"/>
        </w:rPr>
      </w:pPr>
      <w:r w:rsidRPr="001F4DE5">
        <w:rPr>
          <w:rFonts w:ascii="Times New Roman" w:hAnsi="Times New Roman"/>
          <w:i/>
          <w:sz w:val="24"/>
          <w:szCs w:val="24"/>
        </w:rPr>
        <w:t>Debt remission in the LTC context</w:t>
      </w:r>
    </w:p>
    <w:p w:rsidR="005B0E9F" w:rsidRPr="001F4DE5" w:rsidRDefault="005B0E9F" w:rsidP="00CA079F">
      <w:pPr>
        <w:pStyle w:val="Bullet-list"/>
        <w:spacing w:after="0" w:line="240" w:lineRule="auto"/>
        <w:ind w:left="0" w:firstLine="0"/>
        <w:rPr>
          <w:rFonts w:ascii="Times New Roman" w:hAnsi="Times New Roman"/>
          <w:i/>
          <w:sz w:val="24"/>
          <w:szCs w:val="24"/>
        </w:rPr>
      </w:pPr>
    </w:p>
    <w:p w:rsidR="00DD387E" w:rsidRDefault="00DD387E" w:rsidP="00166E95">
      <w:pPr>
        <w:pStyle w:val="TRBodyText"/>
        <w:numPr>
          <w:ilvl w:val="0"/>
          <w:numId w:val="2"/>
        </w:numPr>
        <w:tabs>
          <w:tab w:val="clear" w:pos="360"/>
          <w:tab w:val="left" w:pos="0"/>
        </w:tabs>
        <w:ind w:left="0" w:firstLine="0"/>
        <w:rPr>
          <w:szCs w:val="24"/>
        </w:rPr>
      </w:pPr>
      <w:r>
        <w:rPr>
          <w:szCs w:val="24"/>
        </w:rPr>
        <w:t>Options to address the concern that the interaction of the financial arrangement rules and LTC rules results in unintended debt remission income for creditor-shareholders, are listed below:</w:t>
      </w:r>
    </w:p>
    <w:p w:rsidR="0036775B" w:rsidRDefault="0036775B" w:rsidP="0036775B">
      <w:pPr>
        <w:pStyle w:val="TRBodyText"/>
        <w:tabs>
          <w:tab w:val="left" w:pos="0"/>
        </w:tabs>
        <w:rPr>
          <w:szCs w:val="24"/>
        </w:rPr>
      </w:pPr>
    </w:p>
    <w:tbl>
      <w:tblPr>
        <w:tblStyle w:val="TableGrid"/>
        <w:tblW w:w="9464" w:type="dxa"/>
        <w:tblLook w:val="04A0" w:firstRow="1" w:lastRow="0" w:firstColumn="1" w:lastColumn="0" w:noHBand="0" w:noVBand="1"/>
      </w:tblPr>
      <w:tblGrid>
        <w:gridCol w:w="3936"/>
        <w:gridCol w:w="1701"/>
        <w:gridCol w:w="3827"/>
      </w:tblGrid>
      <w:tr w:rsidR="0036775B" w:rsidRPr="00871EE0" w:rsidTr="00284E77">
        <w:trPr>
          <w:cantSplit/>
          <w:trHeight w:val="274"/>
        </w:trPr>
        <w:tc>
          <w:tcPr>
            <w:tcW w:w="3936" w:type="dxa"/>
            <w:shd w:val="pct15" w:color="auto" w:fill="auto"/>
          </w:tcPr>
          <w:p w:rsidR="0036775B" w:rsidRDefault="0036775B" w:rsidP="00284E77">
            <w:pPr>
              <w:pStyle w:val="Bullet-list"/>
              <w:tabs>
                <w:tab w:val="num" w:pos="567"/>
              </w:tabs>
              <w:spacing w:after="0" w:line="240" w:lineRule="auto"/>
              <w:ind w:left="0" w:firstLine="0"/>
              <w:rPr>
                <w:rFonts w:ascii="Times New Roman" w:hAnsi="Times New Roman"/>
                <w:sz w:val="18"/>
                <w:szCs w:val="18"/>
              </w:rPr>
            </w:pPr>
            <w:r w:rsidRPr="000B7D6E">
              <w:rPr>
                <w:rFonts w:ascii="Times New Roman" w:hAnsi="Times New Roman"/>
                <w:b/>
                <w:sz w:val="18"/>
                <w:szCs w:val="18"/>
              </w:rPr>
              <w:t>Options:</w:t>
            </w:r>
          </w:p>
        </w:tc>
        <w:tc>
          <w:tcPr>
            <w:tcW w:w="1701" w:type="dxa"/>
            <w:shd w:val="pct15" w:color="auto" w:fill="auto"/>
          </w:tcPr>
          <w:p w:rsidR="0036775B" w:rsidRPr="000B7D6E" w:rsidRDefault="0036775B" w:rsidP="00284E77">
            <w:pPr>
              <w:pStyle w:val="Bullet-list"/>
              <w:tabs>
                <w:tab w:val="num" w:pos="567"/>
              </w:tabs>
              <w:spacing w:after="0" w:line="240" w:lineRule="auto"/>
              <w:ind w:left="0" w:firstLine="0"/>
              <w:rPr>
                <w:rFonts w:ascii="Times New Roman" w:hAnsi="Times New Roman"/>
                <w:b/>
                <w:sz w:val="18"/>
                <w:szCs w:val="18"/>
              </w:rPr>
            </w:pPr>
            <w:r w:rsidRPr="000B7D6E">
              <w:rPr>
                <w:rFonts w:ascii="Times New Roman" w:hAnsi="Times New Roman"/>
                <w:b/>
                <w:sz w:val="18"/>
                <w:szCs w:val="18"/>
              </w:rPr>
              <w:t>Re</w:t>
            </w:r>
            <w:r>
              <w:rPr>
                <w:rFonts w:ascii="Times New Roman" w:hAnsi="Times New Roman"/>
                <w:b/>
                <w:sz w:val="18"/>
                <w:szCs w:val="18"/>
              </w:rPr>
              <w:t>c</w:t>
            </w:r>
            <w:r w:rsidRPr="000B7D6E">
              <w:rPr>
                <w:rFonts w:ascii="Times New Roman" w:hAnsi="Times New Roman"/>
                <w:b/>
                <w:sz w:val="18"/>
                <w:szCs w:val="18"/>
              </w:rPr>
              <w:t>ommendations</w:t>
            </w:r>
          </w:p>
        </w:tc>
        <w:tc>
          <w:tcPr>
            <w:tcW w:w="3827" w:type="dxa"/>
            <w:shd w:val="pct15" w:color="auto" w:fill="auto"/>
          </w:tcPr>
          <w:p w:rsidR="0036775B" w:rsidRPr="000B7D6E" w:rsidRDefault="0036775B" w:rsidP="00284E77">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Analysis against objectives</w:t>
            </w:r>
          </w:p>
        </w:tc>
      </w:tr>
      <w:tr w:rsidR="0036775B" w:rsidRPr="00871EE0" w:rsidTr="00284E77">
        <w:trPr>
          <w:cantSplit/>
          <w:trHeight w:val="557"/>
        </w:trPr>
        <w:tc>
          <w:tcPr>
            <w:tcW w:w="3936" w:type="dxa"/>
          </w:tcPr>
          <w:p w:rsidR="0036775B" w:rsidRDefault="0036775B" w:rsidP="00284E77">
            <w:pPr>
              <w:pStyle w:val="Bullet-list"/>
              <w:tabs>
                <w:tab w:val="num" w:pos="567"/>
              </w:tabs>
              <w:spacing w:after="0" w:line="240" w:lineRule="auto"/>
              <w:ind w:left="0" w:firstLine="0"/>
              <w:jc w:val="left"/>
              <w:rPr>
                <w:rFonts w:ascii="Times New Roman" w:hAnsi="Times New Roman"/>
                <w:sz w:val="18"/>
                <w:szCs w:val="18"/>
              </w:rPr>
            </w:pPr>
          </w:p>
          <w:p w:rsidR="0036775B" w:rsidRDefault="0036775B" w:rsidP="00284E77">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 1: Debt remission income should not arise for the shareholder-creditor when the debt is forgiven.</w:t>
            </w:r>
          </w:p>
        </w:tc>
        <w:tc>
          <w:tcPr>
            <w:tcW w:w="1701" w:type="dxa"/>
          </w:tcPr>
          <w:p w:rsidR="0036775B" w:rsidRDefault="0036775B" w:rsidP="00284E77">
            <w:pPr>
              <w:pStyle w:val="Bullet-list"/>
              <w:tabs>
                <w:tab w:val="num" w:pos="567"/>
              </w:tabs>
              <w:spacing w:after="0" w:line="240" w:lineRule="auto"/>
              <w:ind w:left="0" w:firstLine="0"/>
              <w:jc w:val="left"/>
              <w:rPr>
                <w:rFonts w:ascii="Times New Roman" w:hAnsi="Times New Roman"/>
                <w:sz w:val="18"/>
                <w:szCs w:val="18"/>
              </w:rPr>
            </w:pPr>
          </w:p>
          <w:p w:rsidR="0036775B" w:rsidRDefault="0036775B" w:rsidP="00284E77">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Recommended.</w:t>
            </w:r>
          </w:p>
        </w:tc>
        <w:tc>
          <w:tcPr>
            <w:tcW w:w="3827" w:type="dxa"/>
          </w:tcPr>
          <w:p w:rsidR="0036775B" w:rsidRDefault="0036775B" w:rsidP="00284E77">
            <w:pPr>
              <w:pStyle w:val="Bullet-list"/>
              <w:tabs>
                <w:tab w:val="num" w:pos="567"/>
              </w:tabs>
              <w:spacing w:after="0" w:line="240" w:lineRule="auto"/>
              <w:ind w:left="0" w:firstLine="0"/>
              <w:jc w:val="left"/>
              <w:rPr>
                <w:rFonts w:ascii="Times New Roman" w:hAnsi="Times New Roman"/>
                <w:sz w:val="18"/>
                <w:szCs w:val="18"/>
              </w:rPr>
            </w:pPr>
          </w:p>
          <w:p w:rsidR="0036775B" w:rsidRDefault="00CF3834" w:rsidP="00284E77">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Overall efficiency</w:t>
            </w:r>
            <w:r w:rsidR="0036775B" w:rsidRPr="00C20580">
              <w:rPr>
                <w:rFonts w:ascii="Times New Roman" w:hAnsi="Times New Roman"/>
                <w:i/>
                <w:sz w:val="18"/>
                <w:szCs w:val="18"/>
              </w:rPr>
              <w:t xml:space="preserve">: </w:t>
            </w:r>
            <w:r w:rsidR="00400E52" w:rsidRPr="00400E52">
              <w:rPr>
                <w:rFonts w:ascii="Times New Roman" w:hAnsi="Times New Roman"/>
                <w:sz w:val="18"/>
                <w:szCs w:val="18"/>
              </w:rPr>
              <w:t>M</w:t>
            </w:r>
            <w:r w:rsidR="0036775B">
              <w:rPr>
                <w:rFonts w:ascii="Times New Roman" w:hAnsi="Times New Roman"/>
                <w:sz w:val="18"/>
                <w:szCs w:val="18"/>
              </w:rPr>
              <w:t>eets objective.</w:t>
            </w:r>
          </w:p>
          <w:p w:rsidR="0036775B" w:rsidRDefault="0036775B" w:rsidP="00284E77">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Fairness/neutrality:</w:t>
            </w:r>
            <w:r w:rsidR="00400E52">
              <w:rPr>
                <w:rFonts w:ascii="Times New Roman" w:hAnsi="Times New Roman"/>
                <w:sz w:val="18"/>
                <w:szCs w:val="18"/>
              </w:rPr>
              <w:t xml:space="preserve"> M</w:t>
            </w:r>
            <w:r>
              <w:rPr>
                <w:rFonts w:ascii="Times New Roman" w:hAnsi="Times New Roman"/>
                <w:sz w:val="18"/>
                <w:szCs w:val="18"/>
              </w:rPr>
              <w:t>eets objective.</w:t>
            </w:r>
          </w:p>
          <w:p w:rsidR="0036775B" w:rsidRPr="00C20580" w:rsidRDefault="0036775B" w:rsidP="00284E77">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400E52">
              <w:rPr>
                <w:rFonts w:ascii="Times New Roman" w:hAnsi="Times New Roman"/>
                <w:sz w:val="18"/>
                <w:szCs w:val="18"/>
              </w:rPr>
              <w:t>No impact.</w:t>
            </w:r>
          </w:p>
          <w:p w:rsidR="0036775B" w:rsidRDefault="0036775B" w:rsidP="00284E77">
            <w:pPr>
              <w:pStyle w:val="Bullet-list"/>
              <w:tabs>
                <w:tab w:val="num" w:pos="567"/>
              </w:tabs>
              <w:spacing w:after="0" w:line="240" w:lineRule="auto"/>
              <w:ind w:left="0" w:firstLine="0"/>
              <w:jc w:val="left"/>
              <w:rPr>
                <w:rFonts w:ascii="Times New Roman" w:hAnsi="Times New Roman"/>
                <w:sz w:val="18"/>
                <w:szCs w:val="18"/>
              </w:rPr>
            </w:pPr>
          </w:p>
        </w:tc>
      </w:tr>
      <w:tr w:rsidR="0036775B" w:rsidRPr="00871EE0" w:rsidTr="00284E77">
        <w:trPr>
          <w:cantSplit/>
          <w:trHeight w:val="1407"/>
        </w:trPr>
        <w:tc>
          <w:tcPr>
            <w:tcW w:w="3936" w:type="dxa"/>
          </w:tcPr>
          <w:p w:rsidR="0036775B" w:rsidRDefault="0036775B" w:rsidP="00284E77">
            <w:pPr>
              <w:pStyle w:val="Bullet-list"/>
              <w:tabs>
                <w:tab w:val="num" w:pos="567"/>
              </w:tabs>
              <w:spacing w:after="0" w:line="240" w:lineRule="auto"/>
              <w:ind w:left="0" w:firstLine="0"/>
              <w:jc w:val="left"/>
              <w:rPr>
                <w:rFonts w:ascii="Times New Roman" w:hAnsi="Times New Roman"/>
                <w:sz w:val="18"/>
                <w:szCs w:val="18"/>
              </w:rPr>
            </w:pPr>
          </w:p>
          <w:p w:rsidR="0036775B" w:rsidRDefault="0036775B" w:rsidP="00284E77">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 2: Debt remission income should arise for the shareholder-creditor when the debt is forgiven, but they should get a bad debt deduction to offset the income.</w:t>
            </w:r>
          </w:p>
          <w:p w:rsidR="0036775B" w:rsidRDefault="0036775B" w:rsidP="00284E77">
            <w:pPr>
              <w:pStyle w:val="Bullet-list"/>
              <w:tabs>
                <w:tab w:val="num" w:pos="567"/>
              </w:tabs>
              <w:spacing w:after="0" w:line="240" w:lineRule="auto"/>
              <w:ind w:left="0" w:firstLine="0"/>
              <w:jc w:val="left"/>
              <w:rPr>
                <w:rFonts w:ascii="Times New Roman" w:hAnsi="Times New Roman"/>
                <w:sz w:val="18"/>
                <w:szCs w:val="18"/>
              </w:rPr>
            </w:pPr>
          </w:p>
        </w:tc>
        <w:tc>
          <w:tcPr>
            <w:tcW w:w="1701" w:type="dxa"/>
          </w:tcPr>
          <w:p w:rsidR="0036775B" w:rsidRDefault="0036775B" w:rsidP="00284E77">
            <w:pPr>
              <w:pStyle w:val="Bullet-list"/>
              <w:tabs>
                <w:tab w:val="num" w:pos="567"/>
              </w:tabs>
              <w:spacing w:after="0" w:line="240" w:lineRule="auto"/>
              <w:ind w:left="0" w:firstLine="0"/>
              <w:jc w:val="left"/>
              <w:rPr>
                <w:rFonts w:ascii="Times New Roman" w:hAnsi="Times New Roman"/>
                <w:sz w:val="18"/>
                <w:szCs w:val="18"/>
              </w:rPr>
            </w:pPr>
          </w:p>
          <w:p w:rsidR="0036775B" w:rsidRDefault="0036775B" w:rsidP="00284E77">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Not recommended</w:t>
            </w:r>
          </w:p>
        </w:tc>
        <w:tc>
          <w:tcPr>
            <w:tcW w:w="3827" w:type="dxa"/>
          </w:tcPr>
          <w:p w:rsidR="0036775B" w:rsidRPr="00E07B23" w:rsidRDefault="0036775B" w:rsidP="00284E77">
            <w:pPr>
              <w:pStyle w:val="Bullet-list"/>
              <w:tabs>
                <w:tab w:val="num" w:pos="567"/>
              </w:tabs>
              <w:spacing w:after="0" w:line="240" w:lineRule="auto"/>
              <w:ind w:left="0" w:firstLine="0"/>
              <w:jc w:val="left"/>
              <w:rPr>
                <w:rFonts w:ascii="Times New Roman" w:hAnsi="Times New Roman"/>
                <w:sz w:val="18"/>
                <w:szCs w:val="18"/>
                <w:highlight w:val="yellow"/>
              </w:rPr>
            </w:pPr>
          </w:p>
          <w:p w:rsidR="0036775B" w:rsidRPr="00DB194C" w:rsidRDefault="00CF3834" w:rsidP="00284E77">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Overall efficiency</w:t>
            </w:r>
            <w:r w:rsidR="0036775B" w:rsidRPr="00DB194C">
              <w:rPr>
                <w:rFonts w:ascii="Times New Roman" w:hAnsi="Times New Roman"/>
                <w:i/>
                <w:sz w:val="18"/>
                <w:szCs w:val="18"/>
              </w:rPr>
              <w:t xml:space="preserve">: </w:t>
            </w:r>
            <w:r w:rsidR="0036775B">
              <w:rPr>
                <w:rFonts w:ascii="Times New Roman" w:hAnsi="Times New Roman"/>
                <w:sz w:val="18"/>
                <w:szCs w:val="18"/>
              </w:rPr>
              <w:t xml:space="preserve">Does not meet objective, as </w:t>
            </w:r>
            <w:r w:rsidR="00400E52">
              <w:rPr>
                <w:rFonts w:ascii="Times New Roman" w:hAnsi="Times New Roman"/>
                <w:sz w:val="18"/>
                <w:szCs w:val="18"/>
              </w:rPr>
              <w:t xml:space="preserve">it may remove one distortion but it </w:t>
            </w:r>
            <w:r w:rsidR="0036775B">
              <w:rPr>
                <w:rFonts w:ascii="Times New Roman" w:hAnsi="Times New Roman"/>
                <w:sz w:val="18"/>
                <w:szCs w:val="18"/>
              </w:rPr>
              <w:t>is inconsistent with the general treatment of capital losses</w:t>
            </w:r>
            <w:r w:rsidR="0036775B" w:rsidRPr="00DB194C">
              <w:rPr>
                <w:rFonts w:ascii="Times New Roman" w:hAnsi="Times New Roman"/>
                <w:sz w:val="18"/>
                <w:szCs w:val="18"/>
              </w:rPr>
              <w:t>.</w:t>
            </w:r>
          </w:p>
          <w:p w:rsidR="0036775B" w:rsidRPr="00DB194C" w:rsidRDefault="0036775B" w:rsidP="00284E77">
            <w:pPr>
              <w:pStyle w:val="Bullet-list"/>
              <w:spacing w:after="0" w:line="240" w:lineRule="auto"/>
              <w:ind w:left="0" w:firstLine="0"/>
              <w:jc w:val="left"/>
              <w:rPr>
                <w:rFonts w:ascii="Times New Roman" w:hAnsi="Times New Roman"/>
                <w:sz w:val="18"/>
                <w:szCs w:val="18"/>
              </w:rPr>
            </w:pPr>
            <w:r w:rsidRPr="00DB194C">
              <w:rPr>
                <w:rFonts w:ascii="Times New Roman" w:hAnsi="Times New Roman"/>
                <w:i/>
                <w:sz w:val="18"/>
                <w:szCs w:val="18"/>
              </w:rPr>
              <w:t>Fairness/neutrality:</w:t>
            </w:r>
            <w:r w:rsidRPr="00DB194C">
              <w:rPr>
                <w:rFonts w:ascii="Times New Roman" w:hAnsi="Times New Roman"/>
                <w:sz w:val="18"/>
                <w:szCs w:val="18"/>
              </w:rPr>
              <w:t xml:space="preserve"> M</w:t>
            </w:r>
            <w:r w:rsidR="00400E52">
              <w:rPr>
                <w:rFonts w:ascii="Times New Roman" w:hAnsi="Times New Roman"/>
                <w:sz w:val="18"/>
                <w:szCs w:val="18"/>
              </w:rPr>
              <w:t>ay not me</w:t>
            </w:r>
            <w:r w:rsidRPr="00DB194C">
              <w:rPr>
                <w:rFonts w:ascii="Times New Roman" w:hAnsi="Times New Roman"/>
                <w:sz w:val="18"/>
                <w:szCs w:val="18"/>
              </w:rPr>
              <w:t>et objective</w:t>
            </w:r>
            <w:r w:rsidR="00400E52">
              <w:rPr>
                <w:rFonts w:ascii="Times New Roman" w:hAnsi="Times New Roman"/>
                <w:sz w:val="18"/>
                <w:szCs w:val="18"/>
              </w:rPr>
              <w:t>.</w:t>
            </w:r>
            <w:r w:rsidRPr="00DB194C">
              <w:rPr>
                <w:rFonts w:ascii="Times New Roman" w:hAnsi="Times New Roman"/>
                <w:sz w:val="18"/>
                <w:szCs w:val="18"/>
              </w:rPr>
              <w:t xml:space="preserve"> </w:t>
            </w:r>
          </w:p>
          <w:p w:rsidR="0036775B" w:rsidRDefault="0036775B" w:rsidP="00284E77">
            <w:pPr>
              <w:pStyle w:val="Bullet-list"/>
              <w:spacing w:after="0" w:line="240" w:lineRule="auto"/>
              <w:ind w:left="0" w:firstLine="0"/>
              <w:jc w:val="left"/>
              <w:rPr>
                <w:rFonts w:ascii="Times New Roman" w:hAnsi="Times New Roman"/>
                <w:sz w:val="18"/>
                <w:szCs w:val="18"/>
              </w:rPr>
            </w:pPr>
            <w:r w:rsidRPr="00DB194C">
              <w:rPr>
                <w:rFonts w:ascii="Times New Roman" w:hAnsi="Times New Roman"/>
                <w:i/>
                <w:sz w:val="18"/>
                <w:szCs w:val="18"/>
              </w:rPr>
              <w:t>Efficiency in costs:</w:t>
            </w:r>
            <w:r w:rsidRPr="00DB194C">
              <w:rPr>
                <w:rFonts w:ascii="Times New Roman" w:hAnsi="Times New Roman"/>
                <w:sz w:val="18"/>
                <w:szCs w:val="18"/>
              </w:rPr>
              <w:t xml:space="preserve">  </w:t>
            </w:r>
            <w:r w:rsidR="00400E52">
              <w:rPr>
                <w:rFonts w:ascii="Times New Roman" w:hAnsi="Times New Roman"/>
                <w:sz w:val="18"/>
                <w:szCs w:val="18"/>
              </w:rPr>
              <w:t>No impact</w:t>
            </w:r>
            <w:r w:rsidRPr="00DB194C">
              <w:rPr>
                <w:rFonts w:ascii="Times New Roman" w:hAnsi="Times New Roman"/>
                <w:sz w:val="18"/>
                <w:szCs w:val="18"/>
              </w:rPr>
              <w:t xml:space="preserve">. </w:t>
            </w:r>
          </w:p>
          <w:p w:rsidR="0036775B" w:rsidRPr="00E07B23" w:rsidRDefault="0036775B" w:rsidP="00284E77">
            <w:pPr>
              <w:pStyle w:val="Bullet-list"/>
              <w:spacing w:after="0" w:line="240" w:lineRule="auto"/>
              <w:ind w:left="0" w:firstLine="0"/>
              <w:jc w:val="left"/>
              <w:rPr>
                <w:rFonts w:ascii="Times New Roman" w:hAnsi="Times New Roman"/>
                <w:sz w:val="18"/>
                <w:szCs w:val="18"/>
                <w:highlight w:val="yellow"/>
              </w:rPr>
            </w:pPr>
          </w:p>
        </w:tc>
      </w:tr>
      <w:tr w:rsidR="0036775B" w:rsidTr="00284E77">
        <w:trPr>
          <w:cantSplit/>
          <w:trHeight w:val="986"/>
        </w:trPr>
        <w:tc>
          <w:tcPr>
            <w:tcW w:w="3936" w:type="dxa"/>
          </w:tcPr>
          <w:p w:rsidR="0036775B" w:rsidRDefault="0036775B" w:rsidP="00284E77">
            <w:pPr>
              <w:pStyle w:val="Bullet-list"/>
              <w:tabs>
                <w:tab w:val="num" w:pos="567"/>
              </w:tabs>
              <w:spacing w:after="0" w:line="240" w:lineRule="auto"/>
              <w:ind w:left="0" w:firstLine="0"/>
              <w:jc w:val="left"/>
              <w:rPr>
                <w:rFonts w:ascii="Times New Roman" w:hAnsi="Times New Roman"/>
                <w:sz w:val="18"/>
                <w:szCs w:val="18"/>
              </w:rPr>
            </w:pPr>
          </w:p>
          <w:p w:rsidR="0036775B" w:rsidRDefault="0036775B" w:rsidP="00284E77">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 3: Debt remission income should arise for the shareholder-creditor when the debt is forgiven, and they should not get a bad debt deduction to offset the income (status quo).</w:t>
            </w:r>
          </w:p>
          <w:p w:rsidR="0036775B" w:rsidRDefault="0036775B" w:rsidP="00284E77">
            <w:pPr>
              <w:pStyle w:val="Bullet-list"/>
              <w:tabs>
                <w:tab w:val="num" w:pos="567"/>
              </w:tabs>
              <w:spacing w:after="0" w:line="240" w:lineRule="auto"/>
              <w:ind w:left="0" w:firstLine="0"/>
              <w:jc w:val="left"/>
              <w:rPr>
                <w:rFonts w:ascii="Times New Roman" w:hAnsi="Times New Roman"/>
                <w:sz w:val="18"/>
                <w:szCs w:val="18"/>
              </w:rPr>
            </w:pPr>
          </w:p>
        </w:tc>
        <w:tc>
          <w:tcPr>
            <w:tcW w:w="1701" w:type="dxa"/>
          </w:tcPr>
          <w:p w:rsidR="0036775B" w:rsidRDefault="0036775B" w:rsidP="00284E77">
            <w:pPr>
              <w:pStyle w:val="Bullet-list"/>
              <w:tabs>
                <w:tab w:val="num" w:pos="567"/>
              </w:tabs>
              <w:spacing w:after="0" w:line="240" w:lineRule="auto"/>
              <w:ind w:left="0" w:firstLine="0"/>
              <w:jc w:val="left"/>
              <w:rPr>
                <w:rFonts w:ascii="Times New Roman" w:hAnsi="Times New Roman"/>
                <w:sz w:val="18"/>
                <w:szCs w:val="18"/>
              </w:rPr>
            </w:pPr>
          </w:p>
          <w:p w:rsidR="0036775B" w:rsidRDefault="0036775B" w:rsidP="00284E77">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Not recommended</w:t>
            </w:r>
          </w:p>
        </w:tc>
        <w:tc>
          <w:tcPr>
            <w:tcW w:w="3827" w:type="dxa"/>
          </w:tcPr>
          <w:p w:rsidR="0036775B" w:rsidRPr="00E07B23" w:rsidRDefault="0036775B" w:rsidP="00284E77">
            <w:pPr>
              <w:pStyle w:val="Bullet-list"/>
              <w:spacing w:after="0" w:line="240" w:lineRule="auto"/>
              <w:ind w:left="0" w:firstLine="0"/>
              <w:jc w:val="left"/>
              <w:rPr>
                <w:rFonts w:ascii="Times New Roman" w:hAnsi="Times New Roman"/>
                <w:i/>
                <w:sz w:val="18"/>
                <w:szCs w:val="18"/>
                <w:highlight w:val="yellow"/>
              </w:rPr>
            </w:pPr>
          </w:p>
          <w:p w:rsidR="0036775B" w:rsidRPr="00DB194C" w:rsidRDefault="00CF3834" w:rsidP="00284E77">
            <w:pPr>
              <w:pStyle w:val="Bullet-list"/>
              <w:spacing w:after="0" w:line="240" w:lineRule="auto"/>
              <w:ind w:left="0" w:firstLine="0"/>
              <w:rPr>
                <w:rFonts w:ascii="Times New Roman" w:hAnsi="Times New Roman"/>
                <w:sz w:val="18"/>
                <w:szCs w:val="18"/>
              </w:rPr>
            </w:pPr>
            <w:r>
              <w:rPr>
                <w:rFonts w:ascii="Times New Roman" w:hAnsi="Times New Roman"/>
                <w:i/>
                <w:sz w:val="18"/>
                <w:szCs w:val="18"/>
              </w:rPr>
              <w:t>Overall efficiency</w:t>
            </w:r>
            <w:r w:rsidR="0036775B" w:rsidRPr="00DB194C">
              <w:rPr>
                <w:rFonts w:ascii="Times New Roman" w:hAnsi="Times New Roman"/>
                <w:i/>
                <w:sz w:val="18"/>
                <w:szCs w:val="18"/>
              </w:rPr>
              <w:t xml:space="preserve">: </w:t>
            </w:r>
            <w:r w:rsidR="0036775B" w:rsidRPr="00DB194C">
              <w:rPr>
                <w:rFonts w:ascii="Times New Roman" w:hAnsi="Times New Roman"/>
                <w:sz w:val="18"/>
                <w:szCs w:val="18"/>
              </w:rPr>
              <w:t>No effect.</w:t>
            </w:r>
          </w:p>
          <w:p w:rsidR="0036775B" w:rsidRPr="00DB194C" w:rsidRDefault="0036775B" w:rsidP="00284E77">
            <w:pPr>
              <w:pStyle w:val="Bullet-list"/>
              <w:spacing w:after="0" w:line="240" w:lineRule="auto"/>
              <w:ind w:left="0" w:firstLine="0"/>
              <w:rPr>
                <w:rFonts w:ascii="Times New Roman" w:hAnsi="Times New Roman"/>
                <w:sz w:val="18"/>
                <w:szCs w:val="18"/>
              </w:rPr>
            </w:pPr>
            <w:r w:rsidRPr="00DB194C">
              <w:rPr>
                <w:rFonts w:ascii="Times New Roman" w:hAnsi="Times New Roman"/>
                <w:i/>
                <w:sz w:val="18"/>
                <w:szCs w:val="18"/>
              </w:rPr>
              <w:t>Fairness/neutrality:</w:t>
            </w:r>
            <w:r w:rsidRPr="00DB194C">
              <w:rPr>
                <w:rFonts w:ascii="Times New Roman" w:hAnsi="Times New Roman"/>
                <w:sz w:val="18"/>
                <w:szCs w:val="18"/>
              </w:rPr>
              <w:t xml:space="preserve"> Does not meet objective.</w:t>
            </w:r>
          </w:p>
          <w:p w:rsidR="0036775B" w:rsidRPr="00DB194C" w:rsidRDefault="0036775B" w:rsidP="00284E77">
            <w:pPr>
              <w:pStyle w:val="Bullet-list"/>
              <w:spacing w:after="0" w:line="240" w:lineRule="auto"/>
              <w:ind w:left="0" w:firstLine="0"/>
              <w:rPr>
                <w:rFonts w:ascii="Times New Roman" w:hAnsi="Times New Roman"/>
                <w:sz w:val="18"/>
                <w:szCs w:val="18"/>
              </w:rPr>
            </w:pPr>
            <w:r w:rsidRPr="00DB194C">
              <w:rPr>
                <w:rFonts w:ascii="Times New Roman" w:hAnsi="Times New Roman"/>
                <w:i/>
                <w:sz w:val="18"/>
                <w:szCs w:val="18"/>
              </w:rPr>
              <w:t>Efficiency in costs:</w:t>
            </w:r>
            <w:r w:rsidR="00400E52">
              <w:rPr>
                <w:rFonts w:ascii="Times New Roman" w:hAnsi="Times New Roman"/>
                <w:sz w:val="18"/>
                <w:szCs w:val="18"/>
              </w:rPr>
              <w:t xml:space="preserve">  No impact</w:t>
            </w:r>
            <w:r w:rsidRPr="00DB194C">
              <w:rPr>
                <w:rFonts w:ascii="Times New Roman" w:hAnsi="Times New Roman"/>
                <w:sz w:val="18"/>
                <w:szCs w:val="18"/>
              </w:rPr>
              <w:t>.</w:t>
            </w:r>
          </w:p>
          <w:p w:rsidR="0036775B" w:rsidRPr="00E07B23" w:rsidRDefault="0036775B" w:rsidP="00284E77">
            <w:pPr>
              <w:pStyle w:val="Bullet-list"/>
              <w:spacing w:after="0" w:line="240" w:lineRule="auto"/>
              <w:ind w:left="0" w:firstLine="0"/>
              <w:rPr>
                <w:rFonts w:ascii="Times New Roman" w:hAnsi="Times New Roman"/>
                <w:sz w:val="18"/>
                <w:szCs w:val="18"/>
                <w:highlight w:val="yellow"/>
              </w:rPr>
            </w:pPr>
          </w:p>
        </w:tc>
      </w:tr>
    </w:tbl>
    <w:p w:rsidR="00284E77" w:rsidRDefault="00284E77" w:rsidP="00CA079F">
      <w:pPr>
        <w:rPr>
          <w:rFonts w:ascii="Times New Roman" w:hAnsi="Times New Roman"/>
          <w:i/>
          <w:sz w:val="24"/>
          <w:szCs w:val="24"/>
        </w:rPr>
      </w:pPr>
    </w:p>
    <w:p w:rsidR="00CA079F" w:rsidRPr="00CA079F" w:rsidRDefault="00CA079F" w:rsidP="00CA079F">
      <w:pPr>
        <w:rPr>
          <w:rFonts w:ascii="Times New Roman" w:hAnsi="Times New Roman"/>
          <w:sz w:val="24"/>
          <w:szCs w:val="24"/>
        </w:rPr>
      </w:pPr>
      <w:r w:rsidRPr="00CA079F">
        <w:rPr>
          <w:rFonts w:ascii="Times New Roman" w:hAnsi="Times New Roman"/>
          <w:i/>
          <w:sz w:val="24"/>
          <w:szCs w:val="24"/>
        </w:rPr>
        <w:t>QC status</w:t>
      </w:r>
    </w:p>
    <w:p w:rsidR="00DD387E" w:rsidRDefault="00DD387E" w:rsidP="00166E95">
      <w:pPr>
        <w:pStyle w:val="TRBodyText"/>
        <w:numPr>
          <w:ilvl w:val="0"/>
          <w:numId w:val="2"/>
        </w:numPr>
        <w:tabs>
          <w:tab w:val="clear" w:pos="360"/>
          <w:tab w:val="left" w:pos="0"/>
        </w:tabs>
        <w:ind w:left="0" w:firstLine="0"/>
        <w:rPr>
          <w:szCs w:val="24"/>
        </w:rPr>
      </w:pPr>
      <w:r>
        <w:rPr>
          <w:szCs w:val="24"/>
        </w:rPr>
        <w:t>Options for what should be done wi</w:t>
      </w:r>
      <w:r w:rsidR="008D7AE3">
        <w:rPr>
          <w:szCs w:val="24"/>
        </w:rPr>
        <w:t>th remaining grand-parented QCs</w:t>
      </w:r>
      <w:r>
        <w:rPr>
          <w:szCs w:val="24"/>
        </w:rPr>
        <w:t xml:space="preserve"> are listed below:</w:t>
      </w:r>
    </w:p>
    <w:p w:rsidR="00284E77" w:rsidRDefault="00284E77" w:rsidP="00284E77">
      <w:pPr>
        <w:pStyle w:val="TRBodyText"/>
        <w:tabs>
          <w:tab w:val="left" w:pos="0"/>
        </w:tabs>
        <w:rPr>
          <w:szCs w:val="24"/>
        </w:rPr>
      </w:pPr>
    </w:p>
    <w:tbl>
      <w:tblPr>
        <w:tblStyle w:val="TableGrid"/>
        <w:tblW w:w="9464" w:type="dxa"/>
        <w:tblLook w:val="04A0" w:firstRow="1" w:lastRow="0" w:firstColumn="1" w:lastColumn="0" w:noHBand="0" w:noVBand="1"/>
      </w:tblPr>
      <w:tblGrid>
        <w:gridCol w:w="3936"/>
        <w:gridCol w:w="1701"/>
        <w:gridCol w:w="3827"/>
      </w:tblGrid>
      <w:tr w:rsidR="00284E77" w:rsidRPr="00871EE0" w:rsidTr="00284E77">
        <w:trPr>
          <w:cantSplit/>
          <w:trHeight w:val="274"/>
        </w:trPr>
        <w:tc>
          <w:tcPr>
            <w:tcW w:w="3936" w:type="dxa"/>
            <w:shd w:val="pct15" w:color="auto" w:fill="auto"/>
          </w:tcPr>
          <w:p w:rsidR="00284E77" w:rsidRDefault="00284E77" w:rsidP="00284E77">
            <w:pPr>
              <w:pStyle w:val="Bullet-list"/>
              <w:tabs>
                <w:tab w:val="num" w:pos="567"/>
              </w:tabs>
              <w:spacing w:after="0" w:line="240" w:lineRule="auto"/>
              <w:ind w:left="0" w:firstLine="0"/>
              <w:rPr>
                <w:rFonts w:ascii="Times New Roman" w:hAnsi="Times New Roman"/>
                <w:sz w:val="18"/>
                <w:szCs w:val="18"/>
              </w:rPr>
            </w:pPr>
            <w:r w:rsidRPr="000B7D6E">
              <w:rPr>
                <w:rFonts w:ascii="Times New Roman" w:hAnsi="Times New Roman"/>
                <w:b/>
                <w:sz w:val="18"/>
                <w:szCs w:val="18"/>
              </w:rPr>
              <w:t>Options:</w:t>
            </w:r>
          </w:p>
        </w:tc>
        <w:tc>
          <w:tcPr>
            <w:tcW w:w="1701" w:type="dxa"/>
            <w:shd w:val="pct15" w:color="auto" w:fill="auto"/>
          </w:tcPr>
          <w:p w:rsidR="00284E77" w:rsidRPr="000B7D6E" w:rsidRDefault="00284E77" w:rsidP="00284E77">
            <w:pPr>
              <w:pStyle w:val="Bullet-list"/>
              <w:tabs>
                <w:tab w:val="num" w:pos="567"/>
              </w:tabs>
              <w:spacing w:after="0" w:line="240" w:lineRule="auto"/>
              <w:ind w:left="0" w:firstLine="0"/>
              <w:rPr>
                <w:rFonts w:ascii="Times New Roman" w:hAnsi="Times New Roman"/>
                <w:b/>
                <w:sz w:val="18"/>
                <w:szCs w:val="18"/>
              </w:rPr>
            </w:pPr>
            <w:r w:rsidRPr="000B7D6E">
              <w:rPr>
                <w:rFonts w:ascii="Times New Roman" w:hAnsi="Times New Roman"/>
                <w:b/>
                <w:sz w:val="18"/>
                <w:szCs w:val="18"/>
              </w:rPr>
              <w:t>Re</w:t>
            </w:r>
            <w:r>
              <w:rPr>
                <w:rFonts w:ascii="Times New Roman" w:hAnsi="Times New Roman"/>
                <w:b/>
                <w:sz w:val="18"/>
                <w:szCs w:val="18"/>
              </w:rPr>
              <w:t>c</w:t>
            </w:r>
            <w:r w:rsidRPr="000B7D6E">
              <w:rPr>
                <w:rFonts w:ascii="Times New Roman" w:hAnsi="Times New Roman"/>
                <w:b/>
                <w:sz w:val="18"/>
                <w:szCs w:val="18"/>
              </w:rPr>
              <w:t>ommendations</w:t>
            </w:r>
          </w:p>
        </w:tc>
        <w:tc>
          <w:tcPr>
            <w:tcW w:w="3827" w:type="dxa"/>
            <w:shd w:val="pct15" w:color="auto" w:fill="auto"/>
          </w:tcPr>
          <w:p w:rsidR="00284E77" w:rsidRPr="000B7D6E" w:rsidRDefault="00284E77" w:rsidP="00284E77">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Analysis against objectives</w:t>
            </w:r>
          </w:p>
        </w:tc>
      </w:tr>
      <w:tr w:rsidR="00284E77" w:rsidRPr="00871EE0" w:rsidTr="00284E77">
        <w:trPr>
          <w:cantSplit/>
          <w:trHeight w:val="557"/>
        </w:trPr>
        <w:tc>
          <w:tcPr>
            <w:tcW w:w="3936" w:type="dxa"/>
          </w:tcPr>
          <w:p w:rsidR="00284E77" w:rsidRDefault="00284E77" w:rsidP="00284E77">
            <w:pPr>
              <w:pStyle w:val="Bullet-list"/>
              <w:tabs>
                <w:tab w:val="num" w:pos="567"/>
              </w:tabs>
              <w:spacing w:after="0" w:line="240" w:lineRule="auto"/>
              <w:ind w:left="0" w:firstLine="0"/>
              <w:jc w:val="left"/>
              <w:rPr>
                <w:rFonts w:ascii="Times New Roman" w:hAnsi="Times New Roman"/>
                <w:sz w:val="18"/>
                <w:szCs w:val="18"/>
              </w:rPr>
            </w:pPr>
          </w:p>
          <w:p w:rsidR="00284E77" w:rsidRPr="002E6D3C" w:rsidRDefault="00284E77" w:rsidP="008D7AE3">
            <w:pPr>
              <w:pStyle w:val="Bullet-list"/>
              <w:tabs>
                <w:tab w:val="num" w:pos="567"/>
              </w:tabs>
              <w:spacing w:after="0" w:line="240" w:lineRule="auto"/>
              <w:ind w:left="0" w:firstLine="0"/>
              <w:jc w:val="left"/>
              <w:rPr>
                <w:rFonts w:ascii="Times New Roman" w:hAnsi="Times New Roman"/>
                <w:sz w:val="18"/>
                <w:szCs w:val="18"/>
              </w:rPr>
            </w:pPr>
            <w:r w:rsidRPr="002E6D3C">
              <w:rPr>
                <w:rFonts w:ascii="Times New Roman" w:hAnsi="Times New Roman"/>
                <w:sz w:val="18"/>
                <w:szCs w:val="18"/>
              </w:rPr>
              <w:t xml:space="preserve">Option 1: Repeal </w:t>
            </w:r>
            <w:r w:rsidR="008D7AE3">
              <w:rPr>
                <w:rFonts w:ascii="Times New Roman" w:hAnsi="Times New Roman"/>
                <w:sz w:val="18"/>
                <w:szCs w:val="18"/>
              </w:rPr>
              <w:t>the QC regime</w:t>
            </w:r>
            <w:r>
              <w:rPr>
                <w:rFonts w:ascii="Times New Roman" w:hAnsi="Times New Roman"/>
                <w:sz w:val="18"/>
                <w:szCs w:val="18"/>
              </w:rPr>
              <w:t>.</w:t>
            </w:r>
          </w:p>
        </w:tc>
        <w:tc>
          <w:tcPr>
            <w:tcW w:w="1701" w:type="dxa"/>
          </w:tcPr>
          <w:p w:rsidR="00284E77" w:rsidRDefault="00284E77" w:rsidP="00284E77">
            <w:pPr>
              <w:pStyle w:val="Bullet-list"/>
              <w:tabs>
                <w:tab w:val="num" w:pos="567"/>
              </w:tabs>
              <w:spacing w:after="0" w:line="240" w:lineRule="auto"/>
              <w:ind w:left="0" w:firstLine="0"/>
              <w:jc w:val="left"/>
              <w:rPr>
                <w:rFonts w:ascii="Times New Roman" w:hAnsi="Times New Roman"/>
                <w:sz w:val="18"/>
                <w:szCs w:val="18"/>
              </w:rPr>
            </w:pPr>
          </w:p>
          <w:p w:rsidR="00284E77" w:rsidRDefault="00284E77" w:rsidP="00284E77">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Not recommended.</w:t>
            </w:r>
          </w:p>
        </w:tc>
        <w:tc>
          <w:tcPr>
            <w:tcW w:w="3827" w:type="dxa"/>
          </w:tcPr>
          <w:p w:rsidR="00284E77" w:rsidRDefault="00284E77" w:rsidP="00284E77">
            <w:pPr>
              <w:pStyle w:val="Bullet-list"/>
              <w:tabs>
                <w:tab w:val="num" w:pos="567"/>
              </w:tabs>
              <w:spacing w:after="0" w:line="240" w:lineRule="auto"/>
              <w:ind w:left="0" w:firstLine="0"/>
              <w:jc w:val="left"/>
              <w:rPr>
                <w:rFonts w:ascii="Times New Roman" w:hAnsi="Times New Roman"/>
                <w:sz w:val="18"/>
                <w:szCs w:val="18"/>
              </w:rPr>
            </w:pPr>
          </w:p>
          <w:p w:rsidR="00284E77" w:rsidRDefault="00CF3834" w:rsidP="00284E77">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Overall efficiency</w:t>
            </w:r>
            <w:r w:rsidR="00284E77" w:rsidRPr="00C20580">
              <w:rPr>
                <w:rFonts w:ascii="Times New Roman" w:hAnsi="Times New Roman"/>
                <w:i/>
                <w:sz w:val="18"/>
                <w:szCs w:val="18"/>
              </w:rPr>
              <w:t xml:space="preserve">: </w:t>
            </w:r>
            <w:r w:rsidR="00284E77">
              <w:rPr>
                <w:rFonts w:ascii="Times New Roman" w:hAnsi="Times New Roman"/>
                <w:sz w:val="18"/>
                <w:szCs w:val="18"/>
              </w:rPr>
              <w:t>Meets objective by limiting the number of available structures</w:t>
            </w:r>
            <w:r w:rsidR="000237D5">
              <w:rPr>
                <w:rFonts w:ascii="Times New Roman" w:hAnsi="Times New Roman"/>
                <w:sz w:val="18"/>
                <w:szCs w:val="18"/>
              </w:rPr>
              <w:t>, but forces re-structuring for current QCs</w:t>
            </w:r>
            <w:r w:rsidR="00284E77">
              <w:rPr>
                <w:rFonts w:ascii="Times New Roman" w:hAnsi="Times New Roman"/>
                <w:sz w:val="18"/>
                <w:szCs w:val="18"/>
              </w:rPr>
              <w:t>.</w:t>
            </w:r>
          </w:p>
          <w:p w:rsidR="00284E77" w:rsidRDefault="00284E77" w:rsidP="00284E77">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Fairness/neutrality:</w:t>
            </w:r>
            <w:r w:rsidR="000237D5">
              <w:rPr>
                <w:rFonts w:ascii="Times New Roman" w:hAnsi="Times New Roman"/>
                <w:sz w:val="18"/>
                <w:szCs w:val="18"/>
              </w:rPr>
              <w:t xml:space="preserve"> Partly meets objective</w:t>
            </w:r>
            <w:r>
              <w:rPr>
                <w:rFonts w:ascii="Times New Roman" w:hAnsi="Times New Roman"/>
                <w:sz w:val="18"/>
                <w:szCs w:val="18"/>
              </w:rPr>
              <w:t>.</w:t>
            </w:r>
          </w:p>
          <w:p w:rsidR="00284E77" w:rsidRDefault="00284E77" w:rsidP="00284E77">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Pr>
                <w:rFonts w:ascii="Times New Roman" w:hAnsi="Times New Roman"/>
                <w:sz w:val="18"/>
                <w:szCs w:val="18"/>
              </w:rPr>
              <w:t>Does not meet objective as raises costs for current QCs which must convert.</w:t>
            </w:r>
          </w:p>
          <w:p w:rsidR="00284E77" w:rsidRDefault="00284E77" w:rsidP="00284E77">
            <w:pPr>
              <w:pStyle w:val="Bullet-list"/>
              <w:tabs>
                <w:tab w:val="num" w:pos="567"/>
              </w:tabs>
              <w:spacing w:after="0" w:line="240" w:lineRule="auto"/>
              <w:ind w:left="0" w:firstLine="0"/>
              <w:jc w:val="left"/>
              <w:rPr>
                <w:rFonts w:ascii="Times New Roman" w:hAnsi="Times New Roman"/>
                <w:sz w:val="18"/>
                <w:szCs w:val="18"/>
              </w:rPr>
            </w:pPr>
          </w:p>
        </w:tc>
      </w:tr>
      <w:tr w:rsidR="00284E77" w:rsidRPr="00871EE0" w:rsidTr="00284E77">
        <w:trPr>
          <w:cantSplit/>
          <w:trHeight w:val="1407"/>
        </w:trPr>
        <w:tc>
          <w:tcPr>
            <w:tcW w:w="3936" w:type="dxa"/>
          </w:tcPr>
          <w:p w:rsidR="00284E77" w:rsidRDefault="00284E77" w:rsidP="00284E77">
            <w:pPr>
              <w:pStyle w:val="Bullet-list"/>
              <w:tabs>
                <w:tab w:val="num" w:pos="567"/>
              </w:tabs>
              <w:spacing w:after="0" w:line="240" w:lineRule="auto"/>
              <w:ind w:left="0" w:firstLine="0"/>
              <w:jc w:val="left"/>
              <w:rPr>
                <w:rFonts w:ascii="Times New Roman" w:hAnsi="Times New Roman"/>
                <w:sz w:val="18"/>
                <w:szCs w:val="18"/>
              </w:rPr>
            </w:pPr>
          </w:p>
          <w:p w:rsidR="00284E77" w:rsidRDefault="00284E77" w:rsidP="00284E77">
            <w:pPr>
              <w:pStyle w:val="Bullet-list"/>
              <w:tabs>
                <w:tab w:val="num" w:pos="567"/>
              </w:tabs>
              <w:spacing w:after="0" w:line="240" w:lineRule="auto"/>
              <w:ind w:left="0" w:firstLine="0"/>
              <w:jc w:val="left"/>
              <w:rPr>
                <w:rFonts w:ascii="Times New Roman" w:hAnsi="Times New Roman"/>
                <w:sz w:val="18"/>
                <w:szCs w:val="18"/>
              </w:rPr>
            </w:pPr>
            <w:r w:rsidRPr="002E6D3C">
              <w:rPr>
                <w:rFonts w:ascii="Times New Roman" w:hAnsi="Times New Roman"/>
                <w:sz w:val="18"/>
                <w:szCs w:val="18"/>
              </w:rPr>
              <w:t>Option 2: Maintain grand</w:t>
            </w:r>
            <w:r w:rsidR="000237D5">
              <w:rPr>
                <w:rFonts w:ascii="Times New Roman" w:hAnsi="Times New Roman"/>
                <w:sz w:val="18"/>
                <w:szCs w:val="18"/>
              </w:rPr>
              <w:t>-</w:t>
            </w:r>
            <w:r w:rsidRPr="002E6D3C">
              <w:rPr>
                <w:rFonts w:ascii="Times New Roman" w:hAnsi="Times New Roman"/>
                <w:sz w:val="18"/>
                <w:szCs w:val="18"/>
              </w:rPr>
              <w:t>parenting but allow remaining QCs to continue</w:t>
            </w:r>
            <w:r>
              <w:rPr>
                <w:rFonts w:ascii="Times New Roman" w:hAnsi="Times New Roman"/>
                <w:sz w:val="18"/>
                <w:szCs w:val="18"/>
              </w:rPr>
              <w:t xml:space="preserve"> (status quo).</w:t>
            </w:r>
          </w:p>
          <w:p w:rsidR="00284E77" w:rsidRPr="002E6D3C" w:rsidRDefault="00284E77" w:rsidP="00284E77">
            <w:pPr>
              <w:pStyle w:val="Bullet-list"/>
              <w:tabs>
                <w:tab w:val="num" w:pos="567"/>
              </w:tabs>
              <w:spacing w:after="0" w:line="240" w:lineRule="auto"/>
              <w:ind w:left="0" w:firstLine="0"/>
              <w:jc w:val="left"/>
              <w:rPr>
                <w:rFonts w:ascii="Times New Roman" w:hAnsi="Times New Roman"/>
                <w:sz w:val="18"/>
                <w:szCs w:val="18"/>
              </w:rPr>
            </w:pPr>
          </w:p>
        </w:tc>
        <w:tc>
          <w:tcPr>
            <w:tcW w:w="1701" w:type="dxa"/>
          </w:tcPr>
          <w:p w:rsidR="00284E77" w:rsidRDefault="00284E77" w:rsidP="00284E77">
            <w:pPr>
              <w:pStyle w:val="Bullet-list"/>
              <w:tabs>
                <w:tab w:val="num" w:pos="567"/>
              </w:tabs>
              <w:spacing w:after="0" w:line="240" w:lineRule="auto"/>
              <w:ind w:left="0" w:firstLine="0"/>
              <w:jc w:val="left"/>
              <w:rPr>
                <w:rFonts w:ascii="Times New Roman" w:hAnsi="Times New Roman"/>
                <w:sz w:val="18"/>
                <w:szCs w:val="18"/>
              </w:rPr>
            </w:pPr>
          </w:p>
          <w:p w:rsidR="00284E77" w:rsidRDefault="00284E77" w:rsidP="00284E77">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Not recommended.</w:t>
            </w:r>
          </w:p>
        </w:tc>
        <w:tc>
          <w:tcPr>
            <w:tcW w:w="3827" w:type="dxa"/>
          </w:tcPr>
          <w:p w:rsidR="00284E77" w:rsidRDefault="00284E77" w:rsidP="00284E77">
            <w:pPr>
              <w:pStyle w:val="Bullet-list"/>
              <w:tabs>
                <w:tab w:val="num" w:pos="567"/>
              </w:tabs>
              <w:spacing w:after="0" w:line="240" w:lineRule="auto"/>
              <w:ind w:left="0" w:firstLine="0"/>
              <w:jc w:val="left"/>
              <w:rPr>
                <w:rFonts w:ascii="Times New Roman" w:hAnsi="Times New Roman"/>
                <w:sz w:val="18"/>
                <w:szCs w:val="18"/>
              </w:rPr>
            </w:pPr>
          </w:p>
          <w:p w:rsidR="00284E77" w:rsidRDefault="00CF3834" w:rsidP="00284E77">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Overall efficiency</w:t>
            </w:r>
            <w:r w:rsidR="00284E77" w:rsidRPr="00C20580">
              <w:rPr>
                <w:rFonts w:ascii="Times New Roman" w:hAnsi="Times New Roman"/>
                <w:i/>
                <w:sz w:val="18"/>
                <w:szCs w:val="18"/>
              </w:rPr>
              <w:t xml:space="preserve">: </w:t>
            </w:r>
            <w:r w:rsidR="00284E77">
              <w:rPr>
                <w:rFonts w:ascii="Times New Roman" w:hAnsi="Times New Roman"/>
                <w:sz w:val="18"/>
                <w:szCs w:val="18"/>
              </w:rPr>
              <w:t>Does not meet objective</w:t>
            </w:r>
            <w:r w:rsidR="000237D5">
              <w:rPr>
                <w:rFonts w:ascii="Times New Roman" w:hAnsi="Times New Roman"/>
                <w:sz w:val="18"/>
                <w:szCs w:val="18"/>
              </w:rPr>
              <w:t>,</w:t>
            </w:r>
            <w:r w:rsidR="00284E77">
              <w:rPr>
                <w:rFonts w:ascii="Times New Roman" w:hAnsi="Times New Roman"/>
                <w:sz w:val="18"/>
                <w:szCs w:val="18"/>
              </w:rPr>
              <w:t xml:space="preserve"> as allows </w:t>
            </w:r>
            <w:r w:rsidR="000237D5">
              <w:rPr>
                <w:rFonts w:ascii="Times New Roman" w:hAnsi="Times New Roman"/>
                <w:sz w:val="18"/>
                <w:szCs w:val="18"/>
              </w:rPr>
              <w:t xml:space="preserve">any tax advantage to be traded.  </w:t>
            </w:r>
            <w:r w:rsidR="00284E77">
              <w:rPr>
                <w:rFonts w:ascii="Times New Roman" w:hAnsi="Times New Roman"/>
                <w:i/>
                <w:sz w:val="18"/>
                <w:szCs w:val="18"/>
              </w:rPr>
              <w:t>Fairness/neutrality:</w:t>
            </w:r>
            <w:r w:rsidR="00284E77">
              <w:rPr>
                <w:rFonts w:ascii="Times New Roman" w:hAnsi="Times New Roman"/>
                <w:sz w:val="18"/>
                <w:szCs w:val="18"/>
              </w:rPr>
              <w:t xml:space="preserve"> Does not meet objective</w:t>
            </w:r>
            <w:r w:rsidR="000237D5">
              <w:rPr>
                <w:rFonts w:ascii="Times New Roman" w:hAnsi="Times New Roman"/>
                <w:sz w:val="18"/>
                <w:szCs w:val="18"/>
              </w:rPr>
              <w:t>, as allows QCs to maintain any tax advantage.</w:t>
            </w:r>
            <w:r w:rsidR="00321B56">
              <w:rPr>
                <w:rFonts w:ascii="Times New Roman" w:hAnsi="Times New Roman"/>
                <w:sz w:val="18"/>
                <w:szCs w:val="18"/>
              </w:rPr>
              <w:t xml:space="preserve"> </w:t>
            </w:r>
            <w:r w:rsidR="00284E77">
              <w:rPr>
                <w:rFonts w:ascii="Times New Roman" w:hAnsi="Times New Roman"/>
                <w:i/>
                <w:sz w:val="18"/>
                <w:szCs w:val="18"/>
              </w:rPr>
              <w:t>Efficiency in costs:</w:t>
            </w:r>
            <w:r w:rsidR="00284E77">
              <w:rPr>
                <w:rFonts w:ascii="Times New Roman" w:hAnsi="Times New Roman"/>
                <w:sz w:val="18"/>
                <w:szCs w:val="18"/>
              </w:rPr>
              <w:t xml:space="preserve"> </w:t>
            </w:r>
            <w:r w:rsidR="000237D5">
              <w:rPr>
                <w:rFonts w:ascii="Times New Roman" w:hAnsi="Times New Roman"/>
                <w:sz w:val="18"/>
                <w:szCs w:val="18"/>
              </w:rPr>
              <w:t>No impact</w:t>
            </w:r>
            <w:r w:rsidR="00321B56">
              <w:rPr>
                <w:rFonts w:ascii="Times New Roman" w:hAnsi="Times New Roman"/>
                <w:sz w:val="18"/>
                <w:szCs w:val="18"/>
              </w:rPr>
              <w:t>.</w:t>
            </w:r>
          </w:p>
          <w:p w:rsidR="00284E77" w:rsidRDefault="00284E77" w:rsidP="00284E77">
            <w:pPr>
              <w:pStyle w:val="Bullet-list"/>
              <w:tabs>
                <w:tab w:val="num" w:pos="567"/>
              </w:tabs>
              <w:spacing w:after="0" w:line="240" w:lineRule="auto"/>
              <w:ind w:left="0" w:firstLine="0"/>
              <w:jc w:val="left"/>
              <w:rPr>
                <w:rFonts w:ascii="Times New Roman" w:hAnsi="Times New Roman"/>
                <w:sz w:val="18"/>
                <w:szCs w:val="18"/>
              </w:rPr>
            </w:pPr>
          </w:p>
        </w:tc>
      </w:tr>
      <w:tr w:rsidR="00284E77" w:rsidTr="00284E77">
        <w:trPr>
          <w:cantSplit/>
          <w:trHeight w:val="986"/>
        </w:trPr>
        <w:tc>
          <w:tcPr>
            <w:tcW w:w="3936" w:type="dxa"/>
          </w:tcPr>
          <w:p w:rsidR="00284E77" w:rsidRDefault="00284E77" w:rsidP="00284E77">
            <w:pPr>
              <w:pStyle w:val="Bullet-list"/>
              <w:tabs>
                <w:tab w:val="num" w:pos="567"/>
              </w:tabs>
              <w:spacing w:after="0" w:line="240" w:lineRule="auto"/>
              <w:ind w:left="0" w:firstLine="0"/>
              <w:jc w:val="left"/>
              <w:rPr>
                <w:rFonts w:ascii="Times New Roman" w:hAnsi="Times New Roman"/>
                <w:sz w:val="18"/>
                <w:szCs w:val="18"/>
              </w:rPr>
            </w:pPr>
          </w:p>
          <w:p w:rsidR="00284E77" w:rsidRDefault="00284E77" w:rsidP="00284E77">
            <w:pPr>
              <w:pStyle w:val="Bullet-list"/>
              <w:tabs>
                <w:tab w:val="num" w:pos="567"/>
              </w:tabs>
              <w:spacing w:after="0" w:line="240" w:lineRule="auto"/>
              <w:ind w:left="0" w:firstLine="0"/>
              <w:jc w:val="left"/>
              <w:rPr>
                <w:rFonts w:ascii="Times New Roman" w:hAnsi="Times New Roman"/>
                <w:sz w:val="18"/>
                <w:szCs w:val="18"/>
              </w:rPr>
            </w:pPr>
            <w:r w:rsidRPr="002E6D3C">
              <w:rPr>
                <w:rFonts w:ascii="Times New Roman" w:hAnsi="Times New Roman"/>
                <w:sz w:val="18"/>
                <w:szCs w:val="18"/>
              </w:rPr>
              <w:t>Option 3:</w:t>
            </w:r>
            <w:r>
              <w:rPr>
                <w:rFonts w:ascii="Times New Roman" w:hAnsi="Times New Roman"/>
                <w:sz w:val="18"/>
                <w:szCs w:val="18"/>
              </w:rPr>
              <w:t xml:space="preserve"> </w:t>
            </w:r>
            <w:r w:rsidRPr="002E6D3C">
              <w:rPr>
                <w:rFonts w:ascii="Times New Roman" w:hAnsi="Times New Roman"/>
                <w:sz w:val="18"/>
                <w:szCs w:val="18"/>
              </w:rPr>
              <w:t>Allow remaining QCs to continue b</w:t>
            </w:r>
            <w:r>
              <w:rPr>
                <w:rFonts w:ascii="Times New Roman" w:hAnsi="Times New Roman"/>
                <w:sz w:val="18"/>
                <w:szCs w:val="18"/>
              </w:rPr>
              <w:t>ut QC status would be lost on the sale of any QC shares</w:t>
            </w:r>
            <w:r w:rsidRPr="002E6D3C">
              <w:rPr>
                <w:rFonts w:ascii="Times New Roman" w:hAnsi="Times New Roman"/>
                <w:sz w:val="18"/>
                <w:szCs w:val="18"/>
              </w:rPr>
              <w:t xml:space="preserve"> to new owners</w:t>
            </w:r>
            <w:r>
              <w:rPr>
                <w:rFonts w:ascii="Times New Roman" w:hAnsi="Times New Roman"/>
                <w:sz w:val="18"/>
                <w:szCs w:val="18"/>
              </w:rPr>
              <w:t>.</w:t>
            </w:r>
          </w:p>
          <w:p w:rsidR="00284E77" w:rsidRPr="002E6D3C" w:rsidRDefault="00284E77" w:rsidP="00284E77">
            <w:pPr>
              <w:pStyle w:val="Bullet-list"/>
              <w:tabs>
                <w:tab w:val="num" w:pos="567"/>
              </w:tabs>
              <w:spacing w:after="0" w:line="240" w:lineRule="auto"/>
              <w:ind w:left="0" w:firstLine="0"/>
              <w:jc w:val="left"/>
              <w:rPr>
                <w:rFonts w:ascii="Times New Roman" w:hAnsi="Times New Roman"/>
                <w:sz w:val="18"/>
                <w:szCs w:val="18"/>
              </w:rPr>
            </w:pPr>
          </w:p>
        </w:tc>
        <w:tc>
          <w:tcPr>
            <w:tcW w:w="1701" w:type="dxa"/>
          </w:tcPr>
          <w:p w:rsidR="00284E77" w:rsidRDefault="00284E77" w:rsidP="00284E77">
            <w:pPr>
              <w:pStyle w:val="Bullet-list"/>
              <w:tabs>
                <w:tab w:val="num" w:pos="567"/>
              </w:tabs>
              <w:spacing w:after="0" w:line="240" w:lineRule="auto"/>
              <w:ind w:left="0" w:firstLine="0"/>
              <w:jc w:val="left"/>
              <w:rPr>
                <w:rFonts w:ascii="Times New Roman" w:hAnsi="Times New Roman"/>
                <w:sz w:val="18"/>
                <w:szCs w:val="18"/>
              </w:rPr>
            </w:pPr>
          </w:p>
          <w:p w:rsidR="00284E77" w:rsidRDefault="00284E77" w:rsidP="00284E77">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Not recommended.</w:t>
            </w:r>
          </w:p>
        </w:tc>
        <w:tc>
          <w:tcPr>
            <w:tcW w:w="3827" w:type="dxa"/>
          </w:tcPr>
          <w:p w:rsidR="00284E77" w:rsidRDefault="00284E77" w:rsidP="00321B56">
            <w:pPr>
              <w:pStyle w:val="Bullet-list"/>
              <w:spacing w:after="0" w:line="240" w:lineRule="auto"/>
              <w:ind w:left="0" w:firstLine="0"/>
              <w:jc w:val="left"/>
              <w:rPr>
                <w:rFonts w:ascii="Times New Roman" w:hAnsi="Times New Roman"/>
                <w:i/>
                <w:sz w:val="18"/>
                <w:szCs w:val="18"/>
              </w:rPr>
            </w:pPr>
          </w:p>
          <w:p w:rsidR="00321B56" w:rsidRDefault="00CF3834" w:rsidP="00321B56">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Overall efficiency</w:t>
            </w:r>
            <w:r w:rsidR="00284E77" w:rsidRPr="00C20580">
              <w:rPr>
                <w:rFonts w:ascii="Times New Roman" w:hAnsi="Times New Roman"/>
                <w:i/>
                <w:sz w:val="18"/>
                <w:szCs w:val="18"/>
              </w:rPr>
              <w:t xml:space="preserve">: </w:t>
            </w:r>
            <w:r w:rsidR="000237D5" w:rsidRPr="000237D5">
              <w:rPr>
                <w:rFonts w:ascii="Times New Roman" w:hAnsi="Times New Roman"/>
                <w:sz w:val="18"/>
                <w:szCs w:val="18"/>
              </w:rPr>
              <w:t>Partly m</w:t>
            </w:r>
            <w:r w:rsidR="00321B56" w:rsidRPr="000237D5">
              <w:rPr>
                <w:rFonts w:ascii="Times New Roman" w:hAnsi="Times New Roman"/>
                <w:sz w:val="18"/>
                <w:szCs w:val="18"/>
              </w:rPr>
              <w:t>eets</w:t>
            </w:r>
            <w:r w:rsidR="00321B56">
              <w:rPr>
                <w:rFonts w:ascii="Times New Roman" w:hAnsi="Times New Roman"/>
                <w:sz w:val="18"/>
                <w:szCs w:val="18"/>
              </w:rPr>
              <w:t xml:space="preserve"> objective</w:t>
            </w:r>
            <w:r w:rsidR="000237D5">
              <w:rPr>
                <w:rFonts w:ascii="Times New Roman" w:hAnsi="Times New Roman"/>
                <w:sz w:val="18"/>
                <w:szCs w:val="18"/>
              </w:rPr>
              <w:t xml:space="preserve">, as </w:t>
            </w:r>
            <w:r w:rsidR="00F14C81">
              <w:rPr>
                <w:rFonts w:ascii="Times New Roman" w:hAnsi="Times New Roman"/>
                <w:sz w:val="18"/>
                <w:szCs w:val="18"/>
              </w:rPr>
              <w:t>continues any tax advantage but does remove scope for trading QCs.</w:t>
            </w:r>
          </w:p>
          <w:p w:rsidR="00321B56" w:rsidRDefault="00284E77" w:rsidP="00321B56">
            <w:pPr>
              <w:pStyle w:val="Bullet-list"/>
              <w:spacing w:after="0" w:line="240" w:lineRule="auto"/>
              <w:ind w:left="33" w:firstLine="0"/>
              <w:jc w:val="left"/>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w:t>
            </w:r>
            <w:r w:rsidR="00F14C81">
              <w:rPr>
                <w:rFonts w:ascii="Times New Roman" w:hAnsi="Times New Roman"/>
                <w:sz w:val="18"/>
                <w:szCs w:val="18"/>
              </w:rPr>
              <w:t>M</w:t>
            </w:r>
            <w:r w:rsidR="00321B56">
              <w:rPr>
                <w:rFonts w:ascii="Times New Roman" w:hAnsi="Times New Roman"/>
                <w:sz w:val="18"/>
                <w:szCs w:val="18"/>
              </w:rPr>
              <w:t>ay unfairly result in loss of QC status upon a shareholding change which is not tax-driven.</w:t>
            </w:r>
          </w:p>
          <w:p w:rsidR="00284E77" w:rsidRDefault="00284E77" w:rsidP="00321B56">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321B56">
              <w:rPr>
                <w:rFonts w:ascii="Times New Roman" w:hAnsi="Times New Roman"/>
                <w:sz w:val="18"/>
                <w:szCs w:val="18"/>
              </w:rPr>
              <w:t>Does not meet</w:t>
            </w:r>
            <w:r>
              <w:rPr>
                <w:rFonts w:ascii="Times New Roman" w:hAnsi="Times New Roman"/>
                <w:sz w:val="18"/>
                <w:szCs w:val="18"/>
              </w:rPr>
              <w:t xml:space="preserve"> objective</w:t>
            </w:r>
            <w:r w:rsidR="00BB2B2B">
              <w:rPr>
                <w:rFonts w:ascii="Times New Roman" w:hAnsi="Times New Roman"/>
                <w:sz w:val="18"/>
                <w:szCs w:val="18"/>
              </w:rPr>
              <w:t>,</w:t>
            </w:r>
            <w:r>
              <w:rPr>
                <w:rFonts w:ascii="Times New Roman" w:hAnsi="Times New Roman"/>
                <w:sz w:val="18"/>
                <w:szCs w:val="18"/>
              </w:rPr>
              <w:t xml:space="preserve"> as </w:t>
            </w:r>
            <w:r w:rsidR="00321B56">
              <w:rPr>
                <w:rFonts w:ascii="Times New Roman" w:hAnsi="Times New Roman"/>
                <w:sz w:val="18"/>
                <w:szCs w:val="18"/>
              </w:rPr>
              <w:t>may lead to increased costs from unintended loss of status.</w:t>
            </w:r>
          </w:p>
          <w:p w:rsidR="00321B56" w:rsidRDefault="00321B56" w:rsidP="00321B56">
            <w:pPr>
              <w:pStyle w:val="Bullet-list"/>
              <w:spacing w:after="0" w:line="240" w:lineRule="auto"/>
              <w:ind w:left="0" w:firstLine="0"/>
              <w:jc w:val="left"/>
              <w:rPr>
                <w:rFonts w:ascii="Times New Roman" w:hAnsi="Times New Roman"/>
                <w:sz w:val="18"/>
                <w:szCs w:val="18"/>
              </w:rPr>
            </w:pPr>
          </w:p>
        </w:tc>
      </w:tr>
      <w:tr w:rsidR="00284E77" w:rsidTr="00284E77">
        <w:trPr>
          <w:cantSplit/>
          <w:trHeight w:val="561"/>
        </w:trPr>
        <w:tc>
          <w:tcPr>
            <w:tcW w:w="3936" w:type="dxa"/>
          </w:tcPr>
          <w:p w:rsidR="00284E77" w:rsidRDefault="00284E77" w:rsidP="00284E77">
            <w:pPr>
              <w:pStyle w:val="Bullet-list"/>
              <w:tabs>
                <w:tab w:val="num" w:pos="567"/>
              </w:tabs>
              <w:spacing w:after="0" w:line="240" w:lineRule="auto"/>
              <w:ind w:left="0" w:firstLine="0"/>
              <w:jc w:val="left"/>
              <w:rPr>
                <w:rFonts w:ascii="Times New Roman" w:hAnsi="Times New Roman"/>
                <w:sz w:val="18"/>
                <w:szCs w:val="18"/>
              </w:rPr>
            </w:pPr>
          </w:p>
          <w:p w:rsidR="00284E77" w:rsidRDefault="00284E77" w:rsidP="00284E77">
            <w:pPr>
              <w:pStyle w:val="Bullet-list"/>
              <w:tabs>
                <w:tab w:val="num" w:pos="567"/>
              </w:tabs>
              <w:spacing w:after="0" w:line="240" w:lineRule="auto"/>
              <w:ind w:left="0" w:firstLine="0"/>
              <w:jc w:val="left"/>
              <w:rPr>
                <w:rFonts w:ascii="Times New Roman" w:hAnsi="Times New Roman"/>
                <w:sz w:val="18"/>
                <w:szCs w:val="18"/>
              </w:rPr>
            </w:pPr>
            <w:r>
              <w:rPr>
                <w:rFonts w:ascii="Times New Roman" w:hAnsi="Times New Roman"/>
                <w:sz w:val="18"/>
                <w:szCs w:val="18"/>
              </w:rPr>
              <w:t>Option 4</w:t>
            </w:r>
            <w:r w:rsidRPr="002E6D3C">
              <w:rPr>
                <w:rFonts w:ascii="Times New Roman" w:hAnsi="Times New Roman"/>
                <w:sz w:val="18"/>
                <w:szCs w:val="18"/>
              </w:rPr>
              <w:t>:</w:t>
            </w:r>
            <w:r>
              <w:rPr>
                <w:rFonts w:ascii="Times New Roman" w:hAnsi="Times New Roman"/>
                <w:sz w:val="18"/>
                <w:szCs w:val="18"/>
              </w:rPr>
              <w:t xml:space="preserve"> </w:t>
            </w:r>
            <w:r w:rsidRPr="002E6D3C">
              <w:rPr>
                <w:rFonts w:ascii="Times New Roman" w:hAnsi="Times New Roman"/>
                <w:sz w:val="18"/>
                <w:szCs w:val="18"/>
              </w:rPr>
              <w:t xml:space="preserve">Allow remaining QCs to continue but </w:t>
            </w:r>
            <w:r>
              <w:rPr>
                <w:rFonts w:ascii="Times New Roman" w:hAnsi="Times New Roman"/>
                <w:sz w:val="18"/>
                <w:szCs w:val="18"/>
              </w:rPr>
              <w:t xml:space="preserve">QC status would be lost if sufficient shares are </w:t>
            </w:r>
            <w:r w:rsidR="008D7AE3">
              <w:rPr>
                <w:rFonts w:ascii="Times New Roman" w:hAnsi="Times New Roman"/>
                <w:sz w:val="18"/>
                <w:szCs w:val="18"/>
              </w:rPr>
              <w:t xml:space="preserve">sold so </w:t>
            </w:r>
            <w:r>
              <w:rPr>
                <w:rFonts w:ascii="Times New Roman" w:hAnsi="Times New Roman"/>
                <w:sz w:val="18"/>
                <w:szCs w:val="18"/>
              </w:rPr>
              <w:t>that there has been a change of control.</w:t>
            </w:r>
            <w:r w:rsidR="00F14C81">
              <w:rPr>
                <w:rFonts w:ascii="Times New Roman" w:hAnsi="Times New Roman"/>
                <w:sz w:val="18"/>
                <w:szCs w:val="18"/>
              </w:rPr>
              <w:t xml:space="preserve">  </w:t>
            </w:r>
          </w:p>
          <w:p w:rsidR="00284E77" w:rsidRPr="002E6D3C" w:rsidRDefault="00284E77" w:rsidP="00284E77">
            <w:pPr>
              <w:pStyle w:val="Bullet-list"/>
              <w:tabs>
                <w:tab w:val="num" w:pos="567"/>
              </w:tabs>
              <w:spacing w:after="0" w:line="240" w:lineRule="auto"/>
              <w:ind w:left="0" w:firstLine="0"/>
              <w:jc w:val="left"/>
              <w:rPr>
                <w:rFonts w:ascii="Times New Roman" w:hAnsi="Times New Roman"/>
                <w:sz w:val="18"/>
                <w:szCs w:val="18"/>
              </w:rPr>
            </w:pPr>
          </w:p>
        </w:tc>
        <w:tc>
          <w:tcPr>
            <w:tcW w:w="1701" w:type="dxa"/>
          </w:tcPr>
          <w:p w:rsidR="00284E77" w:rsidRPr="002E6D3C" w:rsidRDefault="00284E77" w:rsidP="00284E77">
            <w:pPr>
              <w:pStyle w:val="Bullet-list"/>
              <w:tabs>
                <w:tab w:val="num" w:pos="567"/>
              </w:tabs>
              <w:spacing w:after="0" w:line="240" w:lineRule="auto"/>
              <w:ind w:left="0" w:firstLine="0"/>
              <w:jc w:val="left"/>
              <w:rPr>
                <w:rFonts w:ascii="Times New Roman" w:hAnsi="Times New Roman"/>
                <w:sz w:val="18"/>
                <w:szCs w:val="18"/>
              </w:rPr>
            </w:pPr>
          </w:p>
          <w:p w:rsidR="00284E77" w:rsidRPr="002E6D3C" w:rsidRDefault="00284E77" w:rsidP="00284E77">
            <w:pPr>
              <w:pStyle w:val="Bullet-list"/>
              <w:tabs>
                <w:tab w:val="num" w:pos="567"/>
              </w:tabs>
              <w:spacing w:after="0" w:line="240" w:lineRule="auto"/>
              <w:ind w:left="0" w:firstLine="0"/>
              <w:jc w:val="left"/>
              <w:rPr>
                <w:rFonts w:ascii="Times New Roman" w:hAnsi="Times New Roman"/>
                <w:sz w:val="18"/>
                <w:szCs w:val="18"/>
              </w:rPr>
            </w:pPr>
            <w:r w:rsidRPr="002E6D3C">
              <w:rPr>
                <w:rFonts w:ascii="Times New Roman" w:hAnsi="Times New Roman"/>
                <w:sz w:val="18"/>
                <w:szCs w:val="18"/>
              </w:rPr>
              <w:t>Recommended</w:t>
            </w:r>
          </w:p>
        </w:tc>
        <w:tc>
          <w:tcPr>
            <w:tcW w:w="3827" w:type="dxa"/>
          </w:tcPr>
          <w:p w:rsidR="00284E77" w:rsidRDefault="00284E77" w:rsidP="00321B56">
            <w:pPr>
              <w:pStyle w:val="Bullet-list"/>
              <w:spacing w:after="0" w:line="240" w:lineRule="auto"/>
              <w:ind w:left="0" w:firstLine="0"/>
              <w:jc w:val="left"/>
              <w:rPr>
                <w:rFonts w:ascii="Times New Roman" w:hAnsi="Times New Roman"/>
                <w:i/>
                <w:sz w:val="18"/>
                <w:szCs w:val="18"/>
              </w:rPr>
            </w:pPr>
          </w:p>
          <w:p w:rsidR="00321B56" w:rsidRDefault="00CF3834" w:rsidP="00321B56">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Overall efficiency</w:t>
            </w:r>
            <w:r w:rsidR="00321B56" w:rsidRPr="00C20580">
              <w:rPr>
                <w:rFonts w:ascii="Times New Roman" w:hAnsi="Times New Roman"/>
                <w:i/>
                <w:sz w:val="18"/>
                <w:szCs w:val="18"/>
              </w:rPr>
              <w:t xml:space="preserve">: </w:t>
            </w:r>
            <w:r w:rsidR="00BB2B2B" w:rsidRPr="000237D5">
              <w:rPr>
                <w:rFonts w:ascii="Times New Roman" w:hAnsi="Times New Roman"/>
                <w:sz w:val="18"/>
                <w:szCs w:val="18"/>
              </w:rPr>
              <w:t>Partly meets</w:t>
            </w:r>
            <w:r w:rsidR="00BB2B2B">
              <w:rPr>
                <w:rFonts w:ascii="Times New Roman" w:hAnsi="Times New Roman"/>
                <w:sz w:val="18"/>
                <w:szCs w:val="18"/>
              </w:rPr>
              <w:t xml:space="preserve"> objective, as continues any tax advantage but does remove scope for trading QCs.</w:t>
            </w:r>
          </w:p>
          <w:p w:rsidR="00321B56" w:rsidRDefault="00284E77" w:rsidP="00321B56">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Fairness/neutrality:</w:t>
            </w:r>
            <w:r>
              <w:rPr>
                <w:rFonts w:ascii="Times New Roman" w:hAnsi="Times New Roman"/>
                <w:sz w:val="18"/>
                <w:szCs w:val="18"/>
              </w:rPr>
              <w:t xml:space="preserve"> </w:t>
            </w:r>
            <w:r w:rsidR="00BB2B2B">
              <w:rPr>
                <w:rFonts w:ascii="Times New Roman" w:hAnsi="Times New Roman"/>
                <w:sz w:val="18"/>
                <w:szCs w:val="18"/>
              </w:rPr>
              <w:t>M</w:t>
            </w:r>
            <w:r w:rsidR="00321B56">
              <w:rPr>
                <w:rFonts w:ascii="Times New Roman" w:hAnsi="Times New Roman"/>
                <w:sz w:val="18"/>
                <w:szCs w:val="18"/>
              </w:rPr>
              <w:t>eets objective by adequately restricting QC trading without capturing minor changes</w:t>
            </w:r>
            <w:r w:rsidR="00BB2B2B">
              <w:rPr>
                <w:rFonts w:ascii="Times New Roman" w:hAnsi="Times New Roman"/>
                <w:sz w:val="18"/>
                <w:szCs w:val="18"/>
              </w:rPr>
              <w:t xml:space="preserve"> in shareholding</w:t>
            </w:r>
            <w:r w:rsidR="00321B56">
              <w:rPr>
                <w:rFonts w:ascii="Times New Roman" w:hAnsi="Times New Roman"/>
                <w:sz w:val="18"/>
                <w:szCs w:val="18"/>
              </w:rPr>
              <w:t xml:space="preserve">. </w:t>
            </w:r>
          </w:p>
          <w:p w:rsidR="00284E77" w:rsidRDefault="00284E77" w:rsidP="00BB2B2B">
            <w:pPr>
              <w:pStyle w:val="Bullet-list"/>
              <w:spacing w:after="0" w:line="240" w:lineRule="auto"/>
              <w:ind w:left="0" w:firstLine="0"/>
              <w:jc w:val="left"/>
              <w:rPr>
                <w:rFonts w:ascii="Times New Roman" w:hAnsi="Times New Roman"/>
                <w:sz w:val="18"/>
                <w:szCs w:val="18"/>
              </w:rPr>
            </w:pPr>
            <w:r>
              <w:rPr>
                <w:rFonts w:ascii="Times New Roman" w:hAnsi="Times New Roman"/>
                <w:i/>
                <w:sz w:val="18"/>
                <w:szCs w:val="18"/>
              </w:rPr>
              <w:t>Efficiency in costs:</w:t>
            </w:r>
            <w:r>
              <w:rPr>
                <w:rFonts w:ascii="Times New Roman" w:hAnsi="Times New Roman"/>
                <w:sz w:val="18"/>
                <w:szCs w:val="18"/>
              </w:rPr>
              <w:t xml:space="preserve"> </w:t>
            </w:r>
            <w:r w:rsidRPr="00C20580">
              <w:rPr>
                <w:rFonts w:ascii="Times New Roman" w:hAnsi="Times New Roman"/>
                <w:sz w:val="18"/>
                <w:szCs w:val="18"/>
              </w:rPr>
              <w:t xml:space="preserve"> </w:t>
            </w:r>
            <w:r w:rsidR="00BB2B2B">
              <w:rPr>
                <w:rFonts w:ascii="Times New Roman" w:hAnsi="Times New Roman"/>
                <w:sz w:val="18"/>
                <w:szCs w:val="18"/>
              </w:rPr>
              <w:t xml:space="preserve">Partly does not meet objective, as will be compliance costs if choose to sell sufficient shares to lose QC status.  </w:t>
            </w:r>
            <w:r w:rsidR="00321B56">
              <w:rPr>
                <w:rFonts w:ascii="Times New Roman" w:hAnsi="Times New Roman"/>
                <w:sz w:val="18"/>
                <w:szCs w:val="18"/>
              </w:rPr>
              <w:t xml:space="preserve"> </w:t>
            </w:r>
          </w:p>
          <w:p w:rsidR="00BB2B2B" w:rsidRDefault="00BB2B2B" w:rsidP="00BB2B2B">
            <w:pPr>
              <w:pStyle w:val="Bullet-list"/>
              <w:spacing w:after="0" w:line="240" w:lineRule="auto"/>
              <w:ind w:left="0" w:firstLine="0"/>
              <w:jc w:val="left"/>
              <w:rPr>
                <w:rFonts w:ascii="Times New Roman" w:hAnsi="Times New Roman"/>
                <w:sz w:val="18"/>
                <w:szCs w:val="18"/>
              </w:rPr>
            </w:pPr>
          </w:p>
        </w:tc>
      </w:tr>
    </w:tbl>
    <w:p w:rsidR="00CA079F" w:rsidRDefault="00CA079F" w:rsidP="00C9525B">
      <w:pPr>
        <w:pStyle w:val="Bullet-list"/>
        <w:tabs>
          <w:tab w:val="num" w:pos="567"/>
        </w:tabs>
        <w:spacing w:after="0" w:line="240" w:lineRule="auto"/>
        <w:ind w:left="0" w:firstLine="0"/>
        <w:rPr>
          <w:rFonts w:ascii="Times New Roman" w:hAnsi="Times New Roman"/>
          <w:sz w:val="24"/>
          <w:szCs w:val="24"/>
        </w:rPr>
      </w:pPr>
      <w:bookmarkStart w:id="22" w:name="_Toc244580366"/>
      <w:bookmarkStart w:id="23" w:name="_Toc244587042"/>
      <w:bookmarkStart w:id="24" w:name="_Toc244857276"/>
      <w:bookmarkStart w:id="25" w:name="_Toc244912541"/>
      <w:bookmarkStart w:id="26" w:name="_Toc244916998"/>
    </w:p>
    <w:p w:rsidR="00F26C4A" w:rsidRPr="00F26C4A" w:rsidRDefault="00F26C4A" w:rsidP="00F26C4A">
      <w:pPr>
        <w:pStyle w:val="RISheading"/>
        <w:rPr>
          <w:spacing w:val="0"/>
          <w:w w:val="100"/>
        </w:rPr>
      </w:pPr>
      <w:r w:rsidRPr="00F26C4A">
        <w:rPr>
          <w:spacing w:val="0"/>
          <w:w w:val="100"/>
        </w:rPr>
        <w:t>CONSULTATION</w:t>
      </w:r>
    </w:p>
    <w:p w:rsidR="00F26C4A" w:rsidRDefault="00F26C4A" w:rsidP="00F26C4A">
      <w:pPr>
        <w:pStyle w:val="ListParagraph"/>
        <w:rPr>
          <w:rFonts w:ascii="Times New Roman" w:hAnsi="Times New Roman"/>
          <w:sz w:val="24"/>
          <w:szCs w:val="24"/>
        </w:rPr>
      </w:pPr>
    </w:p>
    <w:p w:rsidR="006B4C0C" w:rsidRDefault="00F26C4A"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F26C4A">
        <w:rPr>
          <w:rFonts w:ascii="Times New Roman" w:hAnsi="Times New Roman"/>
          <w:sz w:val="24"/>
          <w:szCs w:val="24"/>
        </w:rPr>
        <w:t xml:space="preserve">As part of the review process, officials held a series of meetings with a representative group from CAANZ’s </w:t>
      </w:r>
      <w:r w:rsidR="00C9525B">
        <w:rPr>
          <w:rFonts w:ascii="Times New Roman" w:hAnsi="Times New Roman"/>
          <w:sz w:val="24"/>
          <w:szCs w:val="24"/>
        </w:rPr>
        <w:t>tax committee</w:t>
      </w:r>
      <w:r w:rsidRPr="00F26C4A">
        <w:rPr>
          <w:rFonts w:ascii="Times New Roman" w:hAnsi="Times New Roman"/>
          <w:sz w:val="24"/>
          <w:szCs w:val="24"/>
        </w:rPr>
        <w:t xml:space="preserve"> out of which the September 2015 issues paper</w:t>
      </w:r>
      <w:r w:rsidR="00C9525B">
        <w:rPr>
          <w:rFonts w:ascii="Times New Roman" w:hAnsi="Times New Roman"/>
          <w:sz w:val="24"/>
          <w:szCs w:val="24"/>
        </w:rPr>
        <w:t xml:space="preserve">, titled </w:t>
      </w:r>
      <w:proofErr w:type="gramStart"/>
      <w:r w:rsidR="00C9525B">
        <w:rPr>
          <w:rFonts w:ascii="Times New Roman" w:hAnsi="Times New Roman"/>
          <w:i/>
          <w:sz w:val="24"/>
          <w:szCs w:val="24"/>
        </w:rPr>
        <w:t>Closely</w:t>
      </w:r>
      <w:proofErr w:type="gramEnd"/>
      <w:r w:rsidR="00C9525B">
        <w:rPr>
          <w:rFonts w:ascii="Times New Roman" w:hAnsi="Times New Roman"/>
          <w:i/>
          <w:sz w:val="24"/>
          <w:szCs w:val="24"/>
        </w:rPr>
        <w:t xml:space="preserve"> held company taxation issues,</w:t>
      </w:r>
      <w:r w:rsidRPr="00F26C4A">
        <w:rPr>
          <w:rFonts w:ascii="Times New Roman" w:hAnsi="Times New Roman"/>
          <w:sz w:val="24"/>
          <w:szCs w:val="24"/>
        </w:rPr>
        <w:t xml:space="preserve"> was prepared.  </w:t>
      </w:r>
    </w:p>
    <w:p w:rsidR="00F26C4A" w:rsidRPr="00F26C4A" w:rsidRDefault="00F26C4A" w:rsidP="00EA65CA">
      <w:pPr>
        <w:pStyle w:val="ListParagraph"/>
        <w:rPr>
          <w:rFonts w:ascii="Times New Roman" w:hAnsi="Times New Roman"/>
          <w:sz w:val="24"/>
          <w:szCs w:val="24"/>
          <w:lang w:val="en-AU"/>
        </w:rPr>
      </w:pPr>
    </w:p>
    <w:p w:rsidR="00F26C4A" w:rsidRDefault="00F26C4A"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F26C4A">
        <w:rPr>
          <w:rFonts w:ascii="Times New Roman" w:hAnsi="Times New Roman"/>
          <w:sz w:val="24"/>
          <w:szCs w:val="24"/>
        </w:rPr>
        <w:t xml:space="preserve">Seventeen submissions were received in response to the issues paper, mainly from accounting firms plus CAANZ, the New Zealand Law Society and the Corporate Taxpayers Group.  </w:t>
      </w:r>
    </w:p>
    <w:p w:rsidR="00F26C4A" w:rsidRPr="00F26C4A" w:rsidRDefault="00F26C4A" w:rsidP="00EA65CA">
      <w:pPr>
        <w:pStyle w:val="ListParagraph"/>
        <w:rPr>
          <w:rFonts w:ascii="Times New Roman" w:hAnsi="Times New Roman"/>
          <w:sz w:val="24"/>
          <w:szCs w:val="24"/>
          <w:lang w:val="en-AU"/>
        </w:rPr>
      </w:pPr>
    </w:p>
    <w:p w:rsidR="00F26C4A" w:rsidRDefault="00F26C4A"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F26C4A">
        <w:rPr>
          <w:rFonts w:ascii="Times New Roman" w:hAnsi="Times New Roman"/>
          <w:sz w:val="24"/>
          <w:szCs w:val="24"/>
        </w:rPr>
        <w:t xml:space="preserve">Overall, the various proposed liberalisations of the current rules were strongly supported </w:t>
      </w:r>
      <w:r>
        <w:rPr>
          <w:rFonts w:ascii="Times New Roman" w:hAnsi="Times New Roman"/>
          <w:sz w:val="24"/>
          <w:szCs w:val="24"/>
        </w:rPr>
        <w:t>including the remedial amendments</w:t>
      </w:r>
      <w:r w:rsidR="002D40A4">
        <w:rPr>
          <w:rFonts w:ascii="Times New Roman" w:hAnsi="Times New Roman"/>
          <w:sz w:val="24"/>
          <w:szCs w:val="24"/>
        </w:rPr>
        <w:t xml:space="preserve">. </w:t>
      </w:r>
      <w:r w:rsidRPr="00F26C4A">
        <w:rPr>
          <w:rFonts w:ascii="Times New Roman" w:hAnsi="Times New Roman"/>
          <w:sz w:val="24"/>
          <w:szCs w:val="24"/>
        </w:rPr>
        <w:t xml:space="preserve"> </w:t>
      </w:r>
      <w:r w:rsidR="00C9525B">
        <w:rPr>
          <w:rFonts w:ascii="Times New Roman" w:hAnsi="Times New Roman"/>
          <w:sz w:val="24"/>
          <w:szCs w:val="24"/>
        </w:rPr>
        <w:t>H</w:t>
      </w:r>
      <w:r w:rsidR="002D40A4">
        <w:rPr>
          <w:rFonts w:ascii="Times New Roman" w:hAnsi="Times New Roman"/>
          <w:sz w:val="24"/>
          <w:szCs w:val="24"/>
        </w:rPr>
        <w:t>owever</w:t>
      </w:r>
      <w:r w:rsidR="00C9525B">
        <w:rPr>
          <w:rFonts w:ascii="Times New Roman" w:hAnsi="Times New Roman"/>
          <w:sz w:val="24"/>
          <w:szCs w:val="24"/>
        </w:rPr>
        <w:t>,</w:t>
      </w:r>
      <w:r w:rsidR="002D40A4">
        <w:rPr>
          <w:rFonts w:ascii="Times New Roman" w:hAnsi="Times New Roman"/>
          <w:sz w:val="24"/>
          <w:szCs w:val="24"/>
        </w:rPr>
        <w:t xml:space="preserve"> </w:t>
      </w:r>
      <w:r w:rsidR="00C9525B">
        <w:rPr>
          <w:rFonts w:ascii="Times New Roman" w:hAnsi="Times New Roman"/>
          <w:sz w:val="24"/>
          <w:szCs w:val="24"/>
        </w:rPr>
        <w:t xml:space="preserve">some submitters </w:t>
      </w:r>
      <w:r w:rsidR="002D40A4">
        <w:rPr>
          <w:rFonts w:ascii="Times New Roman" w:hAnsi="Times New Roman"/>
          <w:sz w:val="24"/>
          <w:szCs w:val="24"/>
        </w:rPr>
        <w:t xml:space="preserve">thought that the proposals </w:t>
      </w:r>
      <w:r w:rsidR="00C9525B">
        <w:rPr>
          <w:rFonts w:ascii="Times New Roman" w:hAnsi="Times New Roman"/>
          <w:sz w:val="24"/>
          <w:szCs w:val="24"/>
        </w:rPr>
        <w:t xml:space="preserve">in the issues paper </w:t>
      </w:r>
      <w:r w:rsidR="00C56701">
        <w:rPr>
          <w:rFonts w:ascii="Times New Roman" w:hAnsi="Times New Roman"/>
          <w:sz w:val="24"/>
          <w:szCs w:val="24"/>
        </w:rPr>
        <w:t>d</w:t>
      </w:r>
      <w:r w:rsidR="002D40A4">
        <w:rPr>
          <w:rFonts w:ascii="Times New Roman" w:hAnsi="Times New Roman"/>
          <w:sz w:val="24"/>
          <w:szCs w:val="24"/>
        </w:rPr>
        <w:t xml:space="preserve">id not go far enough.  </w:t>
      </w:r>
      <w:r>
        <w:rPr>
          <w:rFonts w:ascii="Times New Roman" w:hAnsi="Times New Roman"/>
          <w:sz w:val="24"/>
          <w:szCs w:val="24"/>
        </w:rPr>
        <w:t>Submitters were generally less supportive</w:t>
      </w:r>
      <w:r w:rsidR="00E3067B">
        <w:rPr>
          <w:rFonts w:ascii="Times New Roman" w:hAnsi="Times New Roman"/>
          <w:sz w:val="24"/>
          <w:szCs w:val="24"/>
        </w:rPr>
        <w:t xml:space="preserve"> </w:t>
      </w:r>
      <w:r>
        <w:rPr>
          <w:rFonts w:ascii="Times New Roman" w:hAnsi="Times New Roman"/>
          <w:sz w:val="24"/>
          <w:szCs w:val="24"/>
        </w:rPr>
        <w:t>of the proposals to t</w:t>
      </w:r>
      <w:r w:rsidRPr="00F26C4A">
        <w:rPr>
          <w:rFonts w:ascii="Times New Roman" w:hAnsi="Times New Roman"/>
          <w:sz w:val="24"/>
          <w:szCs w:val="24"/>
        </w:rPr>
        <w:t>ighten</w:t>
      </w:r>
      <w:r w:rsidR="00E3067B">
        <w:rPr>
          <w:rFonts w:ascii="Times New Roman" w:hAnsi="Times New Roman"/>
          <w:sz w:val="24"/>
          <w:szCs w:val="24"/>
        </w:rPr>
        <w:t xml:space="preserve"> </w:t>
      </w:r>
      <w:r w:rsidRPr="00F26C4A">
        <w:rPr>
          <w:rFonts w:ascii="Times New Roman" w:hAnsi="Times New Roman"/>
          <w:sz w:val="24"/>
          <w:szCs w:val="24"/>
        </w:rPr>
        <w:t>the rules on who could be</w:t>
      </w:r>
      <w:r w:rsidR="00E3067B">
        <w:rPr>
          <w:rFonts w:ascii="Times New Roman" w:hAnsi="Times New Roman"/>
          <w:sz w:val="24"/>
          <w:szCs w:val="24"/>
        </w:rPr>
        <w:t>come</w:t>
      </w:r>
      <w:r w:rsidRPr="00F26C4A">
        <w:rPr>
          <w:rFonts w:ascii="Times New Roman" w:hAnsi="Times New Roman"/>
          <w:sz w:val="24"/>
          <w:szCs w:val="24"/>
        </w:rPr>
        <w:t xml:space="preserve"> a LTC shareholder, designed to ensure the LTC regime was better targeted at the original intended </w:t>
      </w:r>
      <w:r w:rsidR="00E77C43">
        <w:rPr>
          <w:rFonts w:ascii="Times New Roman" w:hAnsi="Times New Roman"/>
          <w:sz w:val="24"/>
          <w:szCs w:val="24"/>
        </w:rPr>
        <w:t>target audience</w:t>
      </w:r>
      <w:r w:rsidR="00E3067B">
        <w:rPr>
          <w:rFonts w:ascii="Times New Roman" w:hAnsi="Times New Roman"/>
          <w:sz w:val="24"/>
          <w:szCs w:val="24"/>
        </w:rPr>
        <w:t>.</w:t>
      </w:r>
      <w:r w:rsidR="00E77C43">
        <w:rPr>
          <w:rFonts w:ascii="Times New Roman" w:hAnsi="Times New Roman"/>
          <w:sz w:val="24"/>
          <w:szCs w:val="24"/>
        </w:rPr>
        <w:t xml:space="preserve">  Our expectations are that the proposed </w:t>
      </w:r>
      <w:proofErr w:type="spellStart"/>
      <w:r w:rsidR="00E77C43">
        <w:rPr>
          <w:rFonts w:ascii="Times New Roman" w:hAnsi="Times New Roman"/>
          <w:sz w:val="24"/>
          <w:szCs w:val="24"/>
        </w:rPr>
        <w:t>tightenings</w:t>
      </w:r>
      <w:proofErr w:type="spellEnd"/>
      <w:r w:rsidR="00E77C43">
        <w:rPr>
          <w:rFonts w:ascii="Times New Roman" w:hAnsi="Times New Roman"/>
          <w:sz w:val="24"/>
          <w:szCs w:val="24"/>
        </w:rPr>
        <w:t xml:space="preserve"> would affect relatively few LTCs. </w:t>
      </w:r>
    </w:p>
    <w:p w:rsidR="00E3067B" w:rsidRPr="00F26C4A" w:rsidRDefault="00E3067B" w:rsidP="00EA65CA">
      <w:pPr>
        <w:pStyle w:val="Bullet-list"/>
        <w:tabs>
          <w:tab w:val="num" w:pos="567"/>
        </w:tabs>
        <w:spacing w:after="0" w:line="240" w:lineRule="auto"/>
        <w:ind w:left="0" w:firstLine="0"/>
        <w:jc w:val="both"/>
        <w:rPr>
          <w:rFonts w:ascii="Times New Roman" w:hAnsi="Times New Roman"/>
          <w:sz w:val="24"/>
          <w:szCs w:val="24"/>
        </w:rPr>
      </w:pPr>
    </w:p>
    <w:p w:rsidR="00E3067B" w:rsidRDefault="00F26C4A"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F26C4A">
        <w:rPr>
          <w:rFonts w:ascii="Times New Roman" w:hAnsi="Times New Roman"/>
          <w:sz w:val="24"/>
          <w:szCs w:val="24"/>
        </w:rPr>
        <w:t xml:space="preserve">The main submission points </w:t>
      </w:r>
      <w:r w:rsidR="00E3067B">
        <w:rPr>
          <w:rFonts w:ascii="Times New Roman" w:hAnsi="Times New Roman"/>
          <w:sz w:val="24"/>
          <w:szCs w:val="24"/>
        </w:rPr>
        <w:t xml:space="preserve">raised on </w:t>
      </w:r>
      <w:r w:rsidR="00E3067B" w:rsidRPr="00E3067B">
        <w:rPr>
          <w:rFonts w:ascii="Times New Roman" w:hAnsi="Times New Roman"/>
          <w:sz w:val="24"/>
          <w:szCs w:val="24"/>
        </w:rPr>
        <w:t xml:space="preserve">the LTC </w:t>
      </w:r>
      <w:r w:rsidR="00EB3036">
        <w:rPr>
          <w:rFonts w:ascii="Times New Roman" w:hAnsi="Times New Roman"/>
          <w:sz w:val="24"/>
          <w:szCs w:val="24"/>
        </w:rPr>
        <w:t xml:space="preserve">eligibility </w:t>
      </w:r>
      <w:r w:rsidR="00E3067B" w:rsidRPr="00E3067B">
        <w:rPr>
          <w:rFonts w:ascii="Times New Roman" w:hAnsi="Times New Roman"/>
          <w:sz w:val="24"/>
          <w:szCs w:val="24"/>
        </w:rPr>
        <w:t>criteria</w:t>
      </w:r>
      <w:r w:rsidR="00E3067B">
        <w:rPr>
          <w:rFonts w:ascii="Times New Roman" w:hAnsi="Times New Roman"/>
          <w:sz w:val="24"/>
          <w:szCs w:val="24"/>
        </w:rPr>
        <w:t xml:space="preserve"> included </w:t>
      </w:r>
      <w:r w:rsidR="00E3067B" w:rsidRPr="00E3067B">
        <w:rPr>
          <w:rFonts w:ascii="Times New Roman" w:hAnsi="Times New Roman"/>
          <w:sz w:val="24"/>
          <w:szCs w:val="24"/>
        </w:rPr>
        <w:t xml:space="preserve">general disagreement with the proposed tightening in the way that trustees and beneficiaries are counted when determining their eligibility as LTC owners, and the associated proposed preclusion of charities and Māori authorities from being LTC owners.  </w:t>
      </w:r>
    </w:p>
    <w:p w:rsidR="00E3067B" w:rsidRDefault="00E3067B" w:rsidP="00EA65CA">
      <w:pPr>
        <w:pStyle w:val="ListParagraph"/>
        <w:rPr>
          <w:szCs w:val="24"/>
        </w:rPr>
      </w:pPr>
    </w:p>
    <w:p w:rsidR="00E3067B" w:rsidRDefault="00E3067B"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E3067B">
        <w:rPr>
          <w:rFonts w:ascii="Times New Roman" w:hAnsi="Times New Roman"/>
          <w:sz w:val="24"/>
          <w:szCs w:val="24"/>
        </w:rPr>
        <w:t>In the view of submitters, the tightening was driven by officials’ concerns over situations that were unlikely, or were at the margin, but would impose additional compliance costs on a far wider group of LTCs and could increase the likelihood of in</w:t>
      </w:r>
      <w:r>
        <w:rPr>
          <w:rFonts w:ascii="Times New Roman" w:hAnsi="Times New Roman"/>
          <w:sz w:val="24"/>
          <w:szCs w:val="24"/>
        </w:rPr>
        <w:t xml:space="preserve">advertent loss of LTC status. </w:t>
      </w:r>
    </w:p>
    <w:p w:rsidR="00E3067B" w:rsidRPr="00E3067B" w:rsidRDefault="00E3067B" w:rsidP="00EA65CA">
      <w:pPr>
        <w:pStyle w:val="ListParagraph"/>
        <w:rPr>
          <w:rFonts w:ascii="Times New Roman" w:hAnsi="Times New Roman"/>
          <w:sz w:val="24"/>
          <w:szCs w:val="24"/>
          <w:lang w:val="en-AU"/>
        </w:rPr>
      </w:pPr>
    </w:p>
    <w:p w:rsidR="00E3067B" w:rsidRPr="00E3067B" w:rsidRDefault="00E3067B"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Submitters agreed</w:t>
      </w:r>
      <w:r w:rsidRPr="00E3067B">
        <w:rPr>
          <w:rFonts w:ascii="Times New Roman" w:hAnsi="Times New Roman"/>
          <w:sz w:val="24"/>
          <w:szCs w:val="24"/>
        </w:rPr>
        <w:t xml:space="preserve"> </w:t>
      </w:r>
      <w:r>
        <w:rPr>
          <w:rFonts w:ascii="Times New Roman" w:hAnsi="Times New Roman"/>
          <w:sz w:val="24"/>
          <w:szCs w:val="24"/>
        </w:rPr>
        <w:t xml:space="preserve">with the proposal to allow </w:t>
      </w:r>
      <w:r w:rsidRPr="00E3067B">
        <w:rPr>
          <w:rFonts w:ascii="Times New Roman" w:hAnsi="Times New Roman"/>
          <w:sz w:val="24"/>
          <w:szCs w:val="24"/>
        </w:rPr>
        <w:t>LTC</w:t>
      </w:r>
      <w:r>
        <w:rPr>
          <w:rFonts w:ascii="Times New Roman" w:hAnsi="Times New Roman"/>
          <w:sz w:val="24"/>
          <w:szCs w:val="24"/>
        </w:rPr>
        <w:t>s</w:t>
      </w:r>
      <w:r w:rsidRPr="00E3067B">
        <w:rPr>
          <w:rFonts w:ascii="Times New Roman" w:hAnsi="Times New Roman"/>
          <w:sz w:val="24"/>
          <w:szCs w:val="24"/>
        </w:rPr>
        <w:t xml:space="preserve"> to have more than one class of shares</w:t>
      </w:r>
      <w:r>
        <w:rPr>
          <w:rFonts w:ascii="Times New Roman" w:hAnsi="Times New Roman"/>
          <w:sz w:val="24"/>
          <w:szCs w:val="24"/>
        </w:rPr>
        <w:t xml:space="preserve"> and the removal, for most LTCs, of the </w:t>
      </w:r>
      <w:r w:rsidR="002F6CCF">
        <w:rPr>
          <w:rFonts w:ascii="Times New Roman" w:hAnsi="Times New Roman"/>
          <w:sz w:val="24"/>
          <w:szCs w:val="24"/>
        </w:rPr>
        <w:t>deduction</w:t>
      </w:r>
      <w:r>
        <w:rPr>
          <w:rFonts w:ascii="Times New Roman" w:hAnsi="Times New Roman"/>
          <w:sz w:val="24"/>
          <w:szCs w:val="24"/>
        </w:rPr>
        <w:t xml:space="preserve"> limitation rule.   Submitters had </w:t>
      </w:r>
      <w:r w:rsidRPr="00E3067B">
        <w:rPr>
          <w:rFonts w:ascii="Times New Roman" w:hAnsi="Times New Roman"/>
          <w:sz w:val="24"/>
          <w:szCs w:val="24"/>
        </w:rPr>
        <w:t xml:space="preserve">mixed views on whether there should be a restriction on the use of LTCs as a conduit vehicle for international investment.  Some suggested that this issue was better considered as part of the work on </w:t>
      </w:r>
      <w:r w:rsidR="002D40A4">
        <w:rPr>
          <w:rFonts w:ascii="Times New Roman" w:hAnsi="Times New Roman"/>
          <w:sz w:val="24"/>
          <w:szCs w:val="24"/>
        </w:rPr>
        <w:t xml:space="preserve">Base Erosion </w:t>
      </w:r>
      <w:r w:rsidR="00E77C43">
        <w:rPr>
          <w:rFonts w:ascii="Times New Roman" w:hAnsi="Times New Roman"/>
          <w:sz w:val="24"/>
          <w:szCs w:val="24"/>
        </w:rPr>
        <w:t xml:space="preserve">and </w:t>
      </w:r>
      <w:r w:rsidR="002D40A4">
        <w:rPr>
          <w:rFonts w:ascii="Times New Roman" w:hAnsi="Times New Roman"/>
          <w:sz w:val="24"/>
          <w:szCs w:val="24"/>
        </w:rPr>
        <w:t>Profit Shifting (</w:t>
      </w:r>
      <w:r w:rsidRPr="00E3067B">
        <w:rPr>
          <w:rFonts w:ascii="Times New Roman" w:hAnsi="Times New Roman"/>
          <w:sz w:val="24"/>
          <w:szCs w:val="24"/>
        </w:rPr>
        <w:t>BEPS</w:t>
      </w:r>
      <w:r w:rsidR="002D40A4">
        <w:rPr>
          <w:rFonts w:ascii="Times New Roman" w:hAnsi="Times New Roman"/>
          <w:sz w:val="24"/>
          <w:szCs w:val="24"/>
        </w:rPr>
        <w:t>)</w:t>
      </w:r>
      <w:r w:rsidRPr="00E3067B">
        <w:rPr>
          <w:rFonts w:ascii="Times New Roman" w:hAnsi="Times New Roman"/>
          <w:sz w:val="24"/>
          <w:szCs w:val="24"/>
        </w:rPr>
        <w:t xml:space="preserve"> or </w:t>
      </w:r>
      <w:proofErr w:type="gramStart"/>
      <w:r w:rsidRPr="00E3067B">
        <w:rPr>
          <w:rFonts w:ascii="Times New Roman" w:hAnsi="Times New Roman"/>
          <w:sz w:val="24"/>
          <w:szCs w:val="24"/>
        </w:rPr>
        <w:t>that better disclosure requirements</w:t>
      </w:r>
      <w:proofErr w:type="gramEnd"/>
      <w:r w:rsidRPr="00E3067B">
        <w:rPr>
          <w:rFonts w:ascii="Times New Roman" w:hAnsi="Times New Roman"/>
          <w:sz w:val="24"/>
          <w:szCs w:val="24"/>
        </w:rPr>
        <w:t xml:space="preserve"> could be used instead of the proposed threshold.  There were also technical comments on the design of the threshold.</w:t>
      </w:r>
      <w:r w:rsidRPr="00E3067B">
        <w:rPr>
          <w:szCs w:val="24"/>
        </w:rPr>
        <w:t xml:space="preserve">     </w:t>
      </w:r>
    </w:p>
    <w:p w:rsidR="00E3067B" w:rsidRDefault="00E3067B" w:rsidP="00EA65CA">
      <w:pPr>
        <w:pStyle w:val="ListParagraph"/>
        <w:rPr>
          <w:rFonts w:ascii="Times New Roman" w:hAnsi="Times New Roman"/>
          <w:sz w:val="24"/>
          <w:szCs w:val="24"/>
        </w:rPr>
      </w:pPr>
    </w:p>
    <w:p w:rsidR="00E3067B" w:rsidRDefault="00E3067B"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With regard to the proposals around the treatment of debt remission income in the LTC context, submitters were generally supportive. </w:t>
      </w:r>
    </w:p>
    <w:p w:rsidR="00E3067B" w:rsidRDefault="00E3067B" w:rsidP="00EA65CA">
      <w:pPr>
        <w:pStyle w:val="ListParagraph"/>
        <w:rPr>
          <w:rFonts w:eastAsiaTheme="minorHAnsi"/>
        </w:rPr>
      </w:pPr>
    </w:p>
    <w:p w:rsidR="00E1326E" w:rsidRDefault="00E3067B"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E3067B">
        <w:rPr>
          <w:rFonts w:ascii="Times New Roman" w:hAnsi="Times New Roman"/>
          <w:sz w:val="24"/>
          <w:szCs w:val="24"/>
        </w:rPr>
        <w:t xml:space="preserve">There was mixed support for the proposed changes to the </w:t>
      </w:r>
      <w:r w:rsidR="00C9525B">
        <w:rPr>
          <w:rFonts w:ascii="Times New Roman" w:hAnsi="Times New Roman"/>
          <w:sz w:val="24"/>
          <w:szCs w:val="24"/>
        </w:rPr>
        <w:t>“entry tax”</w:t>
      </w:r>
      <w:r>
        <w:rPr>
          <w:rFonts w:ascii="Times New Roman" w:hAnsi="Times New Roman"/>
          <w:sz w:val="24"/>
          <w:szCs w:val="24"/>
        </w:rPr>
        <w:t xml:space="preserve"> adjustment </w:t>
      </w:r>
      <w:r w:rsidRPr="00E3067B">
        <w:rPr>
          <w:rFonts w:ascii="Times New Roman" w:hAnsi="Times New Roman"/>
          <w:sz w:val="24"/>
          <w:szCs w:val="24"/>
        </w:rPr>
        <w:t>done at the time a company enters the LTC rules</w:t>
      </w:r>
      <w:r>
        <w:rPr>
          <w:rFonts w:ascii="Times New Roman" w:hAnsi="Times New Roman"/>
          <w:sz w:val="24"/>
          <w:szCs w:val="24"/>
        </w:rPr>
        <w:t xml:space="preserve">, with some submitters considering the adjustment as </w:t>
      </w:r>
      <w:r w:rsidRPr="00E3067B">
        <w:rPr>
          <w:rFonts w:ascii="Times New Roman" w:hAnsi="Times New Roman"/>
          <w:sz w:val="24"/>
          <w:szCs w:val="24"/>
        </w:rPr>
        <w:t xml:space="preserve">unduly punitive given that </w:t>
      </w:r>
      <w:r w:rsidR="00E1326E">
        <w:rPr>
          <w:rFonts w:ascii="Times New Roman" w:hAnsi="Times New Roman"/>
          <w:sz w:val="24"/>
          <w:szCs w:val="24"/>
        </w:rPr>
        <w:t xml:space="preserve">it requires tax to be paid with </w:t>
      </w:r>
      <w:r w:rsidRPr="00E3067B">
        <w:rPr>
          <w:rFonts w:ascii="Times New Roman" w:hAnsi="Times New Roman"/>
          <w:sz w:val="24"/>
          <w:szCs w:val="24"/>
        </w:rPr>
        <w:t xml:space="preserve">no actual distribution </w:t>
      </w:r>
      <w:r w:rsidR="00E1326E">
        <w:rPr>
          <w:rFonts w:ascii="Times New Roman" w:hAnsi="Times New Roman"/>
          <w:sz w:val="24"/>
          <w:szCs w:val="24"/>
        </w:rPr>
        <w:t>taking</w:t>
      </w:r>
      <w:r w:rsidRPr="00E3067B">
        <w:rPr>
          <w:rFonts w:ascii="Times New Roman" w:hAnsi="Times New Roman"/>
          <w:sz w:val="24"/>
          <w:szCs w:val="24"/>
        </w:rPr>
        <w:t xml:space="preserve"> place</w:t>
      </w:r>
      <w:r w:rsidR="00E1326E">
        <w:rPr>
          <w:rFonts w:ascii="Times New Roman" w:hAnsi="Times New Roman"/>
          <w:sz w:val="24"/>
          <w:szCs w:val="24"/>
        </w:rPr>
        <w:t xml:space="preserve">. </w:t>
      </w:r>
      <w:r w:rsidRPr="00E3067B">
        <w:rPr>
          <w:rFonts w:ascii="Times New Roman" w:hAnsi="Times New Roman"/>
          <w:sz w:val="24"/>
          <w:szCs w:val="24"/>
        </w:rPr>
        <w:t xml:space="preserve"> </w:t>
      </w:r>
    </w:p>
    <w:p w:rsidR="00E1326E" w:rsidRDefault="00E1326E" w:rsidP="00EA65CA">
      <w:pPr>
        <w:pStyle w:val="ListParagraph"/>
        <w:rPr>
          <w:rFonts w:ascii="Times New Roman" w:hAnsi="Times New Roman"/>
          <w:sz w:val="24"/>
          <w:szCs w:val="24"/>
        </w:rPr>
      </w:pPr>
    </w:p>
    <w:p w:rsidR="00E1326E" w:rsidRDefault="00E1326E"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Submitters were in agreement that QCs </w:t>
      </w:r>
      <w:r w:rsidRPr="00E1326E">
        <w:rPr>
          <w:rFonts w:ascii="Times New Roman" w:hAnsi="Times New Roman"/>
          <w:sz w:val="24"/>
          <w:szCs w:val="24"/>
        </w:rPr>
        <w:t xml:space="preserve">should be allowed to continue, but there was </w:t>
      </w:r>
      <w:r>
        <w:rPr>
          <w:rFonts w:ascii="Times New Roman" w:hAnsi="Times New Roman"/>
          <w:sz w:val="24"/>
          <w:szCs w:val="24"/>
        </w:rPr>
        <w:t xml:space="preserve">some </w:t>
      </w:r>
      <w:r w:rsidRPr="00E1326E">
        <w:rPr>
          <w:rFonts w:ascii="Times New Roman" w:hAnsi="Times New Roman"/>
          <w:sz w:val="24"/>
          <w:szCs w:val="24"/>
        </w:rPr>
        <w:t>debate over the merits of applying a requirement that QC status would be lost upon change of control of the company</w:t>
      </w:r>
      <w:r>
        <w:rPr>
          <w:rFonts w:ascii="Times New Roman" w:hAnsi="Times New Roman"/>
          <w:sz w:val="24"/>
          <w:szCs w:val="24"/>
        </w:rPr>
        <w:t>.</w:t>
      </w:r>
    </w:p>
    <w:p w:rsidR="00E1326E" w:rsidRDefault="00E1326E" w:rsidP="00EA65CA">
      <w:pPr>
        <w:pStyle w:val="ListParagraph"/>
        <w:rPr>
          <w:rFonts w:eastAsiaTheme="minorHAnsi"/>
        </w:rPr>
      </w:pPr>
    </w:p>
    <w:p w:rsidR="00E1326E" w:rsidRDefault="00E1326E"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E1326E">
        <w:rPr>
          <w:rFonts w:ascii="Times New Roman" w:hAnsi="Times New Roman"/>
          <w:sz w:val="24"/>
          <w:szCs w:val="24"/>
        </w:rPr>
        <w:t>T</w:t>
      </w:r>
      <w:r w:rsidR="00E3067B" w:rsidRPr="00E1326E">
        <w:rPr>
          <w:rFonts w:ascii="Times New Roman" w:hAnsi="Times New Roman"/>
          <w:sz w:val="24"/>
          <w:szCs w:val="24"/>
        </w:rPr>
        <w:t>he various proposa</w:t>
      </w:r>
      <w:r w:rsidRPr="00E1326E">
        <w:rPr>
          <w:rFonts w:ascii="Times New Roman" w:hAnsi="Times New Roman"/>
          <w:sz w:val="24"/>
          <w:szCs w:val="24"/>
        </w:rPr>
        <w:t>ls in relation to RWT and PAYE were generally supported.</w:t>
      </w:r>
      <w:r w:rsidR="00E3067B" w:rsidRPr="00E1326E">
        <w:rPr>
          <w:rFonts w:ascii="Times New Roman" w:hAnsi="Times New Roman"/>
          <w:sz w:val="24"/>
          <w:szCs w:val="24"/>
        </w:rPr>
        <w:t xml:space="preserve"> </w:t>
      </w:r>
      <w:r>
        <w:rPr>
          <w:rFonts w:ascii="Times New Roman" w:hAnsi="Times New Roman"/>
          <w:sz w:val="24"/>
          <w:szCs w:val="24"/>
        </w:rPr>
        <w:t xml:space="preserve"> </w:t>
      </w:r>
    </w:p>
    <w:p w:rsidR="00E1326E" w:rsidRDefault="00E1326E" w:rsidP="00EA65CA">
      <w:pPr>
        <w:pStyle w:val="ListParagraph"/>
        <w:rPr>
          <w:rFonts w:eastAsiaTheme="minorHAnsi"/>
        </w:rPr>
      </w:pPr>
    </w:p>
    <w:p w:rsidR="006B4C0C" w:rsidRPr="00E1326E" w:rsidRDefault="00E1326E" w:rsidP="00166E95">
      <w:pPr>
        <w:pStyle w:val="Bullet-list"/>
        <w:numPr>
          <w:ilvl w:val="0"/>
          <w:numId w:val="2"/>
        </w:numPr>
        <w:tabs>
          <w:tab w:val="num" w:pos="0"/>
        </w:tabs>
        <w:spacing w:after="0" w:line="240" w:lineRule="auto"/>
        <w:ind w:left="0" w:hanging="11"/>
        <w:jc w:val="both"/>
        <w:rPr>
          <w:rFonts w:ascii="Times New Roman" w:hAnsi="Times New Roman"/>
          <w:sz w:val="24"/>
          <w:szCs w:val="24"/>
        </w:rPr>
      </w:pPr>
      <w:r w:rsidRPr="00F522D0">
        <w:rPr>
          <w:rFonts w:ascii="Times New Roman" w:hAnsi="Times New Roman"/>
          <w:sz w:val="24"/>
          <w:szCs w:val="24"/>
        </w:rPr>
        <w:t>There was overall s</w:t>
      </w:r>
      <w:r w:rsidR="00E3067B" w:rsidRPr="00F522D0">
        <w:rPr>
          <w:rFonts w:ascii="Times New Roman" w:hAnsi="Times New Roman"/>
          <w:sz w:val="24"/>
          <w:szCs w:val="24"/>
        </w:rPr>
        <w:t xml:space="preserve">trong support for the proposed liberalisation of the tainted capital gains </w:t>
      </w:r>
      <w:r w:rsidRPr="00F522D0">
        <w:rPr>
          <w:rFonts w:ascii="Times New Roman" w:hAnsi="Times New Roman"/>
          <w:sz w:val="24"/>
          <w:szCs w:val="24"/>
        </w:rPr>
        <w:t>rule.</w:t>
      </w:r>
      <w:r w:rsidR="00E3067B" w:rsidRPr="00F522D0">
        <w:rPr>
          <w:rFonts w:ascii="Times New Roman" w:hAnsi="Times New Roman"/>
          <w:sz w:val="24"/>
          <w:szCs w:val="24"/>
        </w:rPr>
        <w:t xml:space="preserve">  </w:t>
      </w:r>
      <w:r w:rsidRPr="00F522D0">
        <w:rPr>
          <w:rFonts w:ascii="Times New Roman" w:hAnsi="Times New Roman"/>
          <w:sz w:val="24"/>
          <w:szCs w:val="24"/>
        </w:rPr>
        <w:t xml:space="preserve">We note that these submissions were on the limited </w:t>
      </w:r>
      <w:r w:rsidR="002D40A4">
        <w:rPr>
          <w:rFonts w:ascii="Times New Roman" w:hAnsi="Times New Roman"/>
          <w:sz w:val="24"/>
          <w:szCs w:val="24"/>
        </w:rPr>
        <w:t xml:space="preserve">liberalisation </w:t>
      </w:r>
      <w:r w:rsidRPr="00F522D0">
        <w:rPr>
          <w:rFonts w:ascii="Times New Roman" w:hAnsi="Times New Roman"/>
          <w:sz w:val="24"/>
          <w:szCs w:val="24"/>
        </w:rPr>
        <w:t>propos</w:t>
      </w:r>
      <w:r w:rsidR="002D40A4">
        <w:rPr>
          <w:rFonts w:ascii="Times New Roman" w:hAnsi="Times New Roman"/>
          <w:sz w:val="24"/>
          <w:szCs w:val="24"/>
        </w:rPr>
        <w:t>als</w:t>
      </w:r>
      <w:r w:rsidRPr="00F522D0">
        <w:rPr>
          <w:rFonts w:ascii="Times New Roman" w:hAnsi="Times New Roman"/>
          <w:sz w:val="24"/>
          <w:szCs w:val="24"/>
        </w:rPr>
        <w:t xml:space="preserve"> recommended </w:t>
      </w:r>
      <w:r w:rsidR="002D40A4">
        <w:rPr>
          <w:rFonts w:ascii="Times New Roman" w:hAnsi="Times New Roman"/>
          <w:sz w:val="24"/>
          <w:szCs w:val="24"/>
        </w:rPr>
        <w:t xml:space="preserve">in </w:t>
      </w:r>
      <w:r w:rsidRPr="00F522D0">
        <w:rPr>
          <w:rFonts w:ascii="Times New Roman" w:hAnsi="Times New Roman"/>
          <w:sz w:val="24"/>
          <w:szCs w:val="24"/>
        </w:rPr>
        <w:t xml:space="preserve">the issues paper.  Officials therefore expect that the wider proposal, as recommended under this RIS, will have </w:t>
      </w:r>
      <w:r w:rsidR="00F46C24">
        <w:rPr>
          <w:rFonts w:ascii="Times New Roman" w:hAnsi="Times New Roman"/>
          <w:sz w:val="24"/>
          <w:szCs w:val="24"/>
        </w:rPr>
        <w:t xml:space="preserve">even </w:t>
      </w:r>
      <w:r w:rsidRPr="00F522D0">
        <w:rPr>
          <w:rFonts w:ascii="Times New Roman" w:hAnsi="Times New Roman"/>
          <w:sz w:val="24"/>
          <w:szCs w:val="24"/>
        </w:rPr>
        <w:t>wide</w:t>
      </w:r>
      <w:r w:rsidR="00F46C24">
        <w:rPr>
          <w:rFonts w:ascii="Times New Roman" w:hAnsi="Times New Roman"/>
          <w:sz w:val="24"/>
          <w:szCs w:val="24"/>
        </w:rPr>
        <w:t>r</w:t>
      </w:r>
      <w:r w:rsidRPr="00F522D0">
        <w:rPr>
          <w:rFonts w:ascii="Times New Roman" w:hAnsi="Times New Roman"/>
          <w:sz w:val="24"/>
          <w:szCs w:val="24"/>
        </w:rPr>
        <w:t xml:space="preserve"> support. </w:t>
      </w:r>
    </w:p>
    <w:p w:rsidR="006B4C0C" w:rsidRPr="0079517C" w:rsidRDefault="006B4C0C" w:rsidP="00EA65CA">
      <w:pPr>
        <w:pStyle w:val="Bullet-list"/>
        <w:spacing w:after="0" w:line="240" w:lineRule="auto"/>
        <w:ind w:left="0" w:firstLine="0"/>
        <w:jc w:val="both"/>
        <w:rPr>
          <w:rFonts w:ascii="Times New Roman" w:hAnsi="Times New Roman"/>
          <w:sz w:val="24"/>
          <w:szCs w:val="24"/>
          <w:highlight w:val="yellow"/>
        </w:rPr>
      </w:pPr>
    </w:p>
    <w:p w:rsidR="006B4C0C" w:rsidRPr="00E1326E" w:rsidRDefault="006B4C0C" w:rsidP="00166E95">
      <w:pPr>
        <w:pStyle w:val="Bullet-list"/>
        <w:numPr>
          <w:ilvl w:val="0"/>
          <w:numId w:val="2"/>
        </w:numPr>
        <w:tabs>
          <w:tab w:val="num" w:pos="0"/>
        </w:tabs>
        <w:spacing w:after="0" w:line="240" w:lineRule="auto"/>
        <w:ind w:left="0" w:hanging="11"/>
        <w:jc w:val="both"/>
        <w:rPr>
          <w:rFonts w:ascii="Times New Roman" w:hAnsi="Times New Roman"/>
          <w:sz w:val="24"/>
          <w:szCs w:val="24"/>
        </w:rPr>
      </w:pPr>
      <w:r w:rsidRPr="00E1326E">
        <w:rPr>
          <w:rFonts w:ascii="Times New Roman" w:hAnsi="Times New Roman"/>
          <w:sz w:val="24"/>
          <w:szCs w:val="24"/>
        </w:rPr>
        <w:t>We have taken these comments into consideration in our design of the policy detai</w:t>
      </w:r>
      <w:r w:rsidR="00E1326E">
        <w:rPr>
          <w:rFonts w:ascii="Times New Roman" w:hAnsi="Times New Roman"/>
          <w:sz w:val="24"/>
          <w:szCs w:val="24"/>
        </w:rPr>
        <w:t xml:space="preserve">ls as discussed in this RIS. </w:t>
      </w:r>
      <w:bookmarkStart w:id="27" w:name="_Toc244580367"/>
      <w:bookmarkStart w:id="28" w:name="_Toc244587043"/>
      <w:bookmarkStart w:id="29" w:name="_Toc244857277"/>
      <w:bookmarkStart w:id="30" w:name="_Toc244912542"/>
      <w:bookmarkStart w:id="31" w:name="_Toc244916999"/>
    </w:p>
    <w:p w:rsidR="00CA079F" w:rsidRPr="00E1326E" w:rsidRDefault="006B4C0C" w:rsidP="00EA65CA">
      <w:pPr>
        <w:pStyle w:val="RISheading"/>
        <w:jc w:val="both"/>
        <w:rPr>
          <w:spacing w:val="0"/>
          <w:w w:val="100"/>
        </w:rPr>
      </w:pPr>
      <w:r w:rsidRPr="00E1326E">
        <w:rPr>
          <w:spacing w:val="0"/>
          <w:w w:val="100"/>
        </w:rPr>
        <w:t>CONCLUSIONS AND RECOMMENDATIONS</w:t>
      </w:r>
      <w:bookmarkEnd w:id="27"/>
      <w:bookmarkEnd w:id="28"/>
      <w:bookmarkEnd w:id="29"/>
      <w:bookmarkEnd w:id="30"/>
      <w:bookmarkEnd w:id="31"/>
    </w:p>
    <w:p w:rsidR="0045441E" w:rsidRDefault="00F522D0" w:rsidP="00166E95">
      <w:pPr>
        <w:pStyle w:val="Bullet-list"/>
        <w:numPr>
          <w:ilvl w:val="0"/>
          <w:numId w:val="2"/>
        </w:numPr>
        <w:tabs>
          <w:tab w:val="num" w:pos="567"/>
          <w:tab w:val="left" w:pos="709"/>
          <w:tab w:val="left" w:pos="5812"/>
        </w:tabs>
        <w:spacing w:after="0" w:line="240" w:lineRule="auto"/>
        <w:ind w:left="0" w:firstLine="0"/>
        <w:jc w:val="both"/>
        <w:rPr>
          <w:rFonts w:ascii="Times New Roman" w:hAnsi="Times New Roman"/>
          <w:sz w:val="24"/>
          <w:szCs w:val="24"/>
        </w:rPr>
      </w:pPr>
      <w:r w:rsidRPr="00F522D0">
        <w:rPr>
          <w:rFonts w:ascii="Times New Roman" w:hAnsi="Times New Roman"/>
          <w:sz w:val="24"/>
          <w:szCs w:val="24"/>
        </w:rPr>
        <w:t>We note that the majori</w:t>
      </w:r>
      <w:r w:rsidR="001974DD">
        <w:rPr>
          <w:rFonts w:ascii="Times New Roman" w:hAnsi="Times New Roman"/>
          <w:sz w:val="24"/>
          <w:szCs w:val="24"/>
        </w:rPr>
        <w:t>ty of the proposals recommended</w:t>
      </w:r>
      <w:r w:rsidR="002D40A4">
        <w:rPr>
          <w:rFonts w:ascii="Times New Roman" w:hAnsi="Times New Roman"/>
          <w:sz w:val="24"/>
          <w:szCs w:val="24"/>
        </w:rPr>
        <w:t xml:space="preserve"> below</w:t>
      </w:r>
      <w:r w:rsidRPr="00F522D0">
        <w:rPr>
          <w:rFonts w:ascii="Times New Roman" w:hAnsi="Times New Roman"/>
          <w:sz w:val="24"/>
          <w:szCs w:val="24"/>
        </w:rPr>
        <w:t xml:space="preserve"> were suggested in the officials</w:t>
      </w:r>
      <w:r w:rsidR="001974DD">
        <w:rPr>
          <w:rFonts w:ascii="Times New Roman" w:hAnsi="Times New Roman"/>
          <w:sz w:val="24"/>
          <w:szCs w:val="24"/>
        </w:rPr>
        <w:t>’</w:t>
      </w:r>
      <w:r w:rsidRPr="00F522D0">
        <w:rPr>
          <w:rFonts w:ascii="Times New Roman" w:hAnsi="Times New Roman"/>
          <w:sz w:val="24"/>
          <w:szCs w:val="24"/>
        </w:rPr>
        <w:t xml:space="preserve"> issues paper</w:t>
      </w:r>
      <w:r w:rsidR="001974DD">
        <w:rPr>
          <w:rFonts w:ascii="Times New Roman" w:hAnsi="Times New Roman"/>
          <w:sz w:val="24"/>
          <w:szCs w:val="24"/>
        </w:rPr>
        <w:t xml:space="preserve">, which contains </w:t>
      </w:r>
      <w:r w:rsidRPr="00F522D0">
        <w:rPr>
          <w:rFonts w:ascii="Times New Roman" w:hAnsi="Times New Roman"/>
          <w:sz w:val="24"/>
          <w:szCs w:val="24"/>
        </w:rPr>
        <w:t xml:space="preserve">additional background </w:t>
      </w:r>
      <w:r w:rsidR="002D40A4">
        <w:rPr>
          <w:rFonts w:ascii="Times New Roman" w:hAnsi="Times New Roman"/>
          <w:sz w:val="24"/>
          <w:szCs w:val="24"/>
        </w:rPr>
        <w:t>on</w:t>
      </w:r>
      <w:r w:rsidRPr="00F522D0">
        <w:rPr>
          <w:rFonts w:ascii="Times New Roman" w:hAnsi="Times New Roman"/>
          <w:sz w:val="24"/>
          <w:szCs w:val="24"/>
        </w:rPr>
        <w:t xml:space="preserve"> the issues and the proposed solutions. </w:t>
      </w:r>
    </w:p>
    <w:p w:rsidR="001974DD" w:rsidRDefault="001974DD" w:rsidP="00EA65CA">
      <w:pPr>
        <w:pStyle w:val="Bullet-list"/>
        <w:tabs>
          <w:tab w:val="num" w:pos="567"/>
          <w:tab w:val="left" w:pos="709"/>
          <w:tab w:val="left" w:pos="5812"/>
        </w:tabs>
        <w:spacing w:after="0" w:line="240" w:lineRule="auto"/>
        <w:ind w:left="0" w:firstLine="0"/>
        <w:jc w:val="both"/>
        <w:rPr>
          <w:rFonts w:ascii="Times New Roman" w:hAnsi="Times New Roman"/>
          <w:sz w:val="24"/>
          <w:szCs w:val="24"/>
        </w:rPr>
      </w:pPr>
    </w:p>
    <w:p w:rsidR="001974DD" w:rsidRDefault="003F3BC1" w:rsidP="00166E95">
      <w:pPr>
        <w:pStyle w:val="Bullet-list"/>
        <w:numPr>
          <w:ilvl w:val="0"/>
          <w:numId w:val="2"/>
        </w:numPr>
        <w:tabs>
          <w:tab w:val="num" w:pos="567"/>
          <w:tab w:val="left" w:pos="709"/>
          <w:tab w:val="left" w:pos="5812"/>
        </w:tabs>
        <w:spacing w:after="0" w:line="240" w:lineRule="auto"/>
        <w:ind w:left="0" w:firstLine="0"/>
        <w:jc w:val="both"/>
        <w:rPr>
          <w:rFonts w:ascii="Times New Roman" w:hAnsi="Times New Roman"/>
          <w:sz w:val="24"/>
          <w:szCs w:val="24"/>
        </w:rPr>
      </w:pPr>
      <w:r>
        <w:rPr>
          <w:rFonts w:ascii="Times New Roman" w:hAnsi="Times New Roman"/>
          <w:sz w:val="24"/>
          <w:szCs w:val="24"/>
        </w:rPr>
        <w:t>W</w:t>
      </w:r>
      <w:r w:rsidR="001974DD">
        <w:rPr>
          <w:rFonts w:ascii="Times New Roman" w:hAnsi="Times New Roman"/>
          <w:sz w:val="24"/>
          <w:szCs w:val="24"/>
        </w:rPr>
        <w:t xml:space="preserve">here the proposals have been modified as a result of the submissions received in response to the issues paper, additional comments </w:t>
      </w:r>
      <w:r>
        <w:rPr>
          <w:rFonts w:ascii="Times New Roman" w:hAnsi="Times New Roman"/>
          <w:sz w:val="24"/>
          <w:szCs w:val="24"/>
        </w:rPr>
        <w:t xml:space="preserve">have been </w:t>
      </w:r>
      <w:r w:rsidR="001974DD">
        <w:rPr>
          <w:rFonts w:ascii="Times New Roman" w:hAnsi="Times New Roman"/>
          <w:sz w:val="24"/>
          <w:szCs w:val="24"/>
        </w:rPr>
        <w:t xml:space="preserve">provided </w:t>
      </w:r>
      <w:r>
        <w:rPr>
          <w:rFonts w:ascii="Times New Roman" w:hAnsi="Times New Roman"/>
          <w:sz w:val="24"/>
          <w:szCs w:val="24"/>
        </w:rPr>
        <w:t xml:space="preserve">to </w:t>
      </w:r>
      <w:r w:rsidR="002D40A4">
        <w:rPr>
          <w:rFonts w:ascii="Times New Roman" w:hAnsi="Times New Roman"/>
          <w:sz w:val="24"/>
          <w:szCs w:val="24"/>
        </w:rPr>
        <w:t>outline</w:t>
      </w:r>
      <w:r>
        <w:rPr>
          <w:rFonts w:ascii="Times New Roman" w:hAnsi="Times New Roman"/>
          <w:sz w:val="24"/>
          <w:szCs w:val="24"/>
        </w:rPr>
        <w:t xml:space="preserve"> officials’ additional considerations</w:t>
      </w:r>
      <w:r w:rsidR="001974DD">
        <w:rPr>
          <w:rFonts w:ascii="Times New Roman" w:hAnsi="Times New Roman"/>
          <w:sz w:val="24"/>
          <w:szCs w:val="24"/>
        </w:rPr>
        <w:t>.</w:t>
      </w:r>
    </w:p>
    <w:p w:rsidR="001974DD" w:rsidRDefault="001974DD" w:rsidP="00EA65CA">
      <w:pPr>
        <w:pStyle w:val="Bullet-list"/>
        <w:tabs>
          <w:tab w:val="num" w:pos="567"/>
          <w:tab w:val="left" w:pos="709"/>
          <w:tab w:val="left" w:pos="5812"/>
        </w:tabs>
        <w:spacing w:after="0" w:line="240" w:lineRule="auto"/>
        <w:ind w:left="0" w:firstLine="0"/>
        <w:jc w:val="both"/>
        <w:rPr>
          <w:rFonts w:ascii="Times New Roman" w:hAnsi="Times New Roman"/>
          <w:sz w:val="24"/>
          <w:szCs w:val="24"/>
        </w:rPr>
      </w:pPr>
    </w:p>
    <w:p w:rsidR="00C9525B" w:rsidRPr="00C15E38" w:rsidRDefault="00C9525B" w:rsidP="00EA65CA">
      <w:pPr>
        <w:pStyle w:val="ListParagraph"/>
        <w:ind w:left="0"/>
        <w:rPr>
          <w:rFonts w:ascii="Times New Roman" w:hAnsi="Times New Roman"/>
          <w:b/>
          <w:i/>
          <w:sz w:val="24"/>
          <w:szCs w:val="24"/>
          <w:lang w:val="en-AU"/>
        </w:rPr>
      </w:pPr>
      <w:r w:rsidRPr="00C15E38">
        <w:rPr>
          <w:rFonts w:ascii="Times New Roman" w:hAnsi="Times New Roman"/>
          <w:b/>
          <w:i/>
          <w:sz w:val="24"/>
          <w:szCs w:val="24"/>
          <w:lang w:val="en-AU"/>
        </w:rPr>
        <w:t>Rules which impose unnecessary compliance costs</w:t>
      </w:r>
    </w:p>
    <w:p w:rsidR="00C9525B" w:rsidRDefault="00C9525B" w:rsidP="00EA65CA">
      <w:pPr>
        <w:pStyle w:val="Bullet-list"/>
        <w:tabs>
          <w:tab w:val="num" w:pos="567"/>
        </w:tabs>
        <w:spacing w:after="0" w:line="240" w:lineRule="auto"/>
        <w:ind w:left="0" w:firstLine="0"/>
        <w:jc w:val="both"/>
        <w:rPr>
          <w:rFonts w:ascii="Times New Roman" w:hAnsi="Times New Roman"/>
          <w:i/>
          <w:sz w:val="24"/>
          <w:szCs w:val="24"/>
        </w:rPr>
      </w:pPr>
    </w:p>
    <w:p w:rsidR="00C9525B" w:rsidRDefault="00C9525B" w:rsidP="00EA65CA">
      <w:pPr>
        <w:pStyle w:val="Bullet-list"/>
        <w:tabs>
          <w:tab w:val="num" w:pos="567"/>
        </w:tabs>
        <w:spacing w:after="0" w:line="240" w:lineRule="auto"/>
        <w:ind w:left="0" w:firstLine="0"/>
        <w:jc w:val="both"/>
        <w:rPr>
          <w:rFonts w:ascii="Times New Roman" w:hAnsi="Times New Roman"/>
          <w:i/>
          <w:sz w:val="24"/>
          <w:szCs w:val="24"/>
        </w:rPr>
      </w:pPr>
      <w:r w:rsidRPr="00931223">
        <w:rPr>
          <w:rFonts w:ascii="Times New Roman" w:hAnsi="Times New Roman"/>
          <w:i/>
          <w:sz w:val="24"/>
          <w:szCs w:val="24"/>
        </w:rPr>
        <w:t>Deduction limitation rule</w:t>
      </w:r>
    </w:p>
    <w:p w:rsidR="005F5058" w:rsidRDefault="005F5058" w:rsidP="00EA65CA">
      <w:pPr>
        <w:pStyle w:val="Bullet-list"/>
        <w:tabs>
          <w:tab w:val="num" w:pos="567"/>
        </w:tabs>
        <w:spacing w:after="0" w:line="240" w:lineRule="auto"/>
        <w:ind w:left="0" w:firstLine="0"/>
        <w:jc w:val="both"/>
        <w:rPr>
          <w:rFonts w:ascii="Times New Roman" w:hAnsi="Times New Roman"/>
          <w:i/>
          <w:sz w:val="24"/>
          <w:szCs w:val="24"/>
        </w:rPr>
      </w:pPr>
    </w:p>
    <w:p w:rsidR="005F5058" w:rsidRDefault="005F5058"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Officials recommend that, </w:t>
      </w:r>
      <w:r w:rsidRPr="005F5058">
        <w:rPr>
          <w:rFonts w:ascii="Times New Roman" w:hAnsi="Times New Roman"/>
          <w:sz w:val="24"/>
          <w:szCs w:val="24"/>
        </w:rPr>
        <w:t>except for LTCs that are in partnership or joint ventures, the LTC deduction limitation rule should be removed</w:t>
      </w:r>
      <w:r>
        <w:rPr>
          <w:rFonts w:ascii="Times New Roman" w:hAnsi="Times New Roman"/>
          <w:sz w:val="24"/>
          <w:szCs w:val="24"/>
        </w:rPr>
        <w:t xml:space="preserve"> and previously restricted deductions be released in the 2017/18 year. </w:t>
      </w:r>
    </w:p>
    <w:p w:rsidR="005F5058" w:rsidRDefault="005F5058" w:rsidP="00EA65CA">
      <w:pPr>
        <w:pStyle w:val="Bullet-list"/>
        <w:tabs>
          <w:tab w:val="num" w:pos="567"/>
        </w:tabs>
        <w:spacing w:after="0" w:line="240" w:lineRule="auto"/>
        <w:ind w:left="0" w:firstLine="0"/>
        <w:jc w:val="both"/>
        <w:rPr>
          <w:rFonts w:ascii="Times New Roman" w:hAnsi="Times New Roman"/>
          <w:sz w:val="24"/>
          <w:szCs w:val="24"/>
        </w:rPr>
      </w:pPr>
    </w:p>
    <w:p w:rsidR="005F5058" w:rsidRDefault="005F5058"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The removal of the deduction limitation rule is in response to general concern that the rule was not operating correctly, resulted in unnecessary compliance costs for very little eff</w:t>
      </w:r>
      <w:r w:rsidR="00E77C43">
        <w:rPr>
          <w:rFonts w:ascii="Times New Roman" w:hAnsi="Times New Roman"/>
          <w:sz w:val="24"/>
          <w:szCs w:val="24"/>
        </w:rPr>
        <w:t xml:space="preserve">ect and was overall unnecessary.  This </w:t>
      </w:r>
      <w:r>
        <w:rPr>
          <w:rFonts w:ascii="Times New Roman" w:hAnsi="Times New Roman"/>
          <w:sz w:val="24"/>
          <w:szCs w:val="24"/>
        </w:rPr>
        <w:t>was generally supported by submitters.</w:t>
      </w:r>
      <w:r w:rsidR="00E77C43">
        <w:rPr>
          <w:rFonts w:ascii="Times New Roman" w:hAnsi="Times New Roman"/>
          <w:sz w:val="24"/>
          <w:szCs w:val="24"/>
        </w:rPr>
        <w:t xml:space="preserve">  Instead reliance would be placed on other rules in the Income Tax Act, to preclude excessive deductions, including extending the anti-avoidance rule for partnerships of LTCs. </w:t>
      </w:r>
    </w:p>
    <w:p w:rsidR="00C9525B" w:rsidRDefault="00C9525B" w:rsidP="00EA65CA">
      <w:pPr>
        <w:pStyle w:val="Bullet-list"/>
        <w:spacing w:after="0" w:line="240" w:lineRule="auto"/>
        <w:ind w:left="0" w:firstLine="0"/>
        <w:jc w:val="both"/>
        <w:rPr>
          <w:rFonts w:ascii="Times New Roman" w:hAnsi="Times New Roman"/>
          <w:i/>
          <w:sz w:val="24"/>
          <w:szCs w:val="24"/>
        </w:rPr>
      </w:pPr>
    </w:p>
    <w:p w:rsidR="00C9525B" w:rsidRDefault="00C9525B" w:rsidP="00EA65CA">
      <w:pPr>
        <w:pStyle w:val="Bullet-list"/>
        <w:spacing w:after="0" w:line="240" w:lineRule="auto"/>
        <w:ind w:left="0" w:firstLine="0"/>
        <w:jc w:val="both"/>
        <w:rPr>
          <w:rFonts w:ascii="Times New Roman" w:hAnsi="Times New Roman"/>
          <w:i/>
          <w:sz w:val="24"/>
          <w:szCs w:val="24"/>
        </w:rPr>
      </w:pPr>
      <w:r w:rsidRPr="00517071">
        <w:rPr>
          <w:rFonts w:ascii="Times New Roman" w:hAnsi="Times New Roman"/>
          <w:i/>
          <w:sz w:val="24"/>
          <w:szCs w:val="24"/>
        </w:rPr>
        <w:t>RWT on dividends between comp</w:t>
      </w:r>
      <w:r w:rsidR="005F5058">
        <w:rPr>
          <w:rFonts w:ascii="Times New Roman" w:hAnsi="Times New Roman"/>
          <w:i/>
          <w:sz w:val="24"/>
          <w:szCs w:val="24"/>
        </w:rPr>
        <w:t>anies</w:t>
      </w:r>
    </w:p>
    <w:p w:rsidR="005F5058" w:rsidRDefault="005F5058" w:rsidP="00166E95">
      <w:pPr>
        <w:pStyle w:val="TRNormal"/>
        <w:numPr>
          <w:ilvl w:val="0"/>
          <w:numId w:val="2"/>
        </w:numPr>
        <w:tabs>
          <w:tab w:val="clear" w:pos="360"/>
          <w:tab w:val="num" w:pos="0"/>
        </w:tabs>
        <w:spacing w:before="320"/>
        <w:ind w:left="0" w:firstLine="0"/>
        <w:rPr>
          <w:szCs w:val="24"/>
          <w:lang w:val="en-AU" w:eastAsia="en-US"/>
        </w:rPr>
      </w:pPr>
      <w:r w:rsidRPr="000F4AE0">
        <w:rPr>
          <w:szCs w:val="24"/>
          <w:lang w:val="en-AU" w:eastAsia="en-US"/>
        </w:rPr>
        <w:t>Officials recommend the withholding of RWT by a company on a fully imputed dividend paid to another company should be made optional.  This proposal reflects the fact that the obligation to withhold RWT on a fully-imputed dividend paid to another company gives rise to unnecessary compliance costs and over</w:t>
      </w:r>
      <w:r>
        <w:rPr>
          <w:szCs w:val="24"/>
          <w:lang w:val="en-AU" w:eastAsia="en-US"/>
        </w:rPr>
        <w:t>-</w:t>
      </w:r>
      <w:r w:rsidRPr="000F4AE0">
        <w:rPr>
          <w:szCs w:val="24"/>
          <w:lang w:val="en-AU" w:eastAsia="en-US"/>
        </w:rPr>
        <w:t>taxation of the dividend.</w:t>
      </w:r>
      <w:r>
        <w:rPr>
          <w:szCs w:val="24"/>
          <w:lang w:val="en-AU" w:eastAsia="en-US"/>
        </w:rPr>
        <w:t xml:space="preserve">  </w:t>
      </w:r>
    </w:p>
    <w:p w:rsidR="005F5058" w:rsidRDefault="005F5058" w:rsidP="00166E95">
      <w:pPr>
        <w:pStyle w:val="TRNormal"/>
        <w:numPr>
          <w:ilvl w:val="0"/>
          <w:numId w:val="2"/>
        </w:numPr>
        <w:tabs>
          <w:tab w:val="clear" w:pos="360"/>
          <w:tab w:val="num" w:pos="0"/>
        </w:tabs>
        <w:spacing w:before="320"/>
        <w:ind w:left="0" w:firstLine="0"/>
        <w:rPr>
          <w:szCs w:val="24"/>
          <w:lang w:val="en-AU" w:eastAsia="en-US"/>
        </w:rPr>
      </w:pPr>
      <w:r>
        <w:rPr>
          <w:szCs w:val="24"/>
          <w:lang w:val="en-AU" w:eastAsia="en-US"/>
        </w:rPr>
        <w:t>The proposal recommends that the obligation to withhold should be optional in this circumstance. This optionality reflects the fact that for some taxpayers (particularly widely held taxpayers) a requirement to not withhold RWT on fully-imputed dividends may actually raise compliance costs, as they will need to first establish which shareholders are corporates and which are not and also to differentiate between these two groups within their systems.</w:t>
      </w:r>
    </w:p>
    <w:p w:rsidR="005F5058" w:rsidRDefault="005F5058" w:rsidP="00EA65CA">
      <w:pPr>
        <w:pStyle w:val="Bullet-list"/>
        <w:spacing w:after="0" w:line="240" w:lineRule="auto"/>
        <w:jc w:val="both"/>
        <w:rPr>
          <w:rFonts w:ascii="Times New Roman" w:hAnsi="Times New Roman"/>
          <w:i/>
          <w:sz w:val="24"/>
          <w:szCs w:val="24"/>
        </w:rPr>
      </w:pPr>
    </w:p>
    <w:p w:rsidR="00C9525B" w:rsidRPr="00931223" w:rsidRDefault="00C9525B" w:rsidP="00EA65CA">
      <w:pPr>
        <w:pStyle w:val="Bullet-list"/>
        <w:spacing w:after="0" w:line="240" w:lineRule="auto"/>
        <w:jc w:val="both"/>
        <w:rPr>
          <w:rFonts w:ascii="Times New Roman" w:hAnsi="Times New Roman"/>
          <w:i/>
          <w:sz w:val="24"/>
          <w:szCs w:val="24"/>
        </w:rPr>
      </w:pPr>
      <w:r w:rsidRPr="00931223">
        <w:rPr>
          <w:rFonts w:ascii="Times New Roman" w:hAnsi="Times New Roman"/>
          <w:i/>
          <w:sz w:val="24"/>
          <w:szCs w:val="24"/>
        </w:rPr>
        <w:t>RWT on concurrent cash and non-cash dividends</w:t>
      </w:r>
    </w:p>
    <w:p w:rsidR="003558FA" w:rsidRDefault="003558FA" w:rsidP="003558FA">
      <w:pPr>
        <w:pStyle w:val="TRNormal"/>
        <w:numPr>
          <w:ilvl w:val="0"/>
          <w:numId w:val="2"/>
        </w:numPr>
        <w:tabs>
          <w:tab w:val="clear" w:pos="360"/>
          <w:tab w:val="num" w:pos="0"/>
        </w:tabs>
        <w:spacing w:before="320"/>
        <w:ind w:left="0" w:firstLine="0"/>
        <w:rPr>
          <w:b/>
          <w:i/>
          <w:szCs w:val="24"/>
          <w:lang w:val="en-AU"/>
        </w:rPr>
      </w:pPr>
      <w:r>
        <w:rPr>
          <w:szCs w:val="24"/>
          <w:lang w:val="en-AU" w:eastAsia="en-US"/>
        </w:rPr>
        <w:t xml:space="preserve">The proposal recommends that </w:t>
      </w:r>
      <w:r w:rsidRPr="003558FA">
        <w:rPr>
          <w:szCs w:val="24"/>
          <w:lang w:val="en-AU" w:eastAsia="en-US"/>
        </w:rPr>
        <w:t xml:space="preserve">where cash and non-cash dividends are paid contemporaneously </w:t>
      </w:r>
      <w:r>
        <w:rPr>
          <w:szCs w:val="24"/>
          <w:lang w:val="en-AU" w:eastAsia="en-US"/>
        </w:rPr>
        <w:t xml:space="preserve">they </w:t>
      </w:r>
      <w:r w:rsidRPr="003558FA">
        <w:rPr>
          <w:szCs w:val="24"/>
          <w:lang w:val="en-AU" w:eastAsia="en-US"/>
        </w:rPr>
        <w:t xml:space="preserve">may be regarded as one dividend </w:t>
      </w:r>
      <w:r>
        <w:rPr>
          <w:szCs w:val="24"/>
          <w:lang w:val="en-AU" w:eastAsia="en-US"/>
        </w:rPr>
        <w:t xml:space="preserve">with respect to the obligation to withhold RWT, </w:t>
      </w:r>
      <w:r w:rsidRPr="003558FA">
        <w:rPr>
          <w:szCs w:val="24"/>
          <w:lang w:val="en-AU" w:eastAsia="en-US"/>
        </w:rPr>
        <w:t>so long as the cash component is sufficient to allow for the payment of the RW</w:t>
      </w:r>
      <w:r>
        <w:rPr>
          <w:szCs w:val="24"/>
          <w:lang w:val="en-AU" w:eastAsia="en-US"/>
        </w:rPr>
        <w:t>T on both.  This would address the current potential over-taxation of these dividends, and was supported by submitters.</w:t>
      </w:r>
    </w:p>
    <w:p w:rsidR="003558FA" w:rsidRPr="003558FA" w:rsidRDefault="003558FA" w:rsidP="003558FA">
      <w:pPr>
        <w:pStyle w:val="TRNormal"/>
        <w:spacing w:before="320"/>
        <w:rPr>
          <w:b/>
          <w:i/>
          <w:szCs w:val="24"/>
          <w:lang w:val="en-AU"/>
        </w:rPr>
      </w:pPr>
      <w:r w:rsidRPr="003558FA">
        <w:rPr>
          <w:b/>
          <w:i/>
          <w:szCs w:val="24"/>
          <w:lang w:val="en-AU"/>
        </w:rPr>
        <w:t xml:space="preserve"> </w:t>
      </w:r>
    </w:p>
    <w:p w:rsidR="00C9525B" w:rsidRPr="00C15E38" w:rsidRDefault="00C9525B" w:rsidP="00EA65CA">
      <w:pPr>
        <w:jc w:val="both"/>
        <w:rPr>
          <w:rFonts w:ascii="Times New Roman" w:hAnsi="Times New Roman"/>
          <w:b/>
          <w:i/>
          <w:sz w:val="24"/>
          <w:szCs w:val="24"/>
          <w:lang w:val="en-AU"/>
        </w:rPr>
      </w:pPr>
      <w:r w:rsidRPr="00C15E38">
        <w:rPr>
          <w:rFonts w:ascii="Times New Roman" w:hAnsi="Times New Roman"/>
          <w:b/>
          <w:i/>
          <w:sz w:val="24"/>
          <w:szCs w:val="24"/>
          <w:lang w:val="en-AU"/>
        </w:rPr>
        <w:t>Rules which restrict commercial practice</w:t>
      </w:r>
    </w:p>
    <w:p w:rsidR="00C9525B" w:rsidRPr="002F177E" w:rsidRDefault="00C9525B" w:rsidP="00EA65CA">
      <w:pPr>
        <w:pStyle w:val="Bullet-list"/>
        <w:spacing w:after="0" w:line="240" w:lineRule="auto"/>
        <w:jc w:val="both"/>
        <w:rPr>
          <w:rFonts w:ascii="Times New Roman" w:hAnsi="Times New Roman"/>
          <w:i/>
          <w:sz w:val="24"/>
          <w:szCs w:val="24"/>
        </w:rPr>
      </w:pPr>
      <w:r w:rsidRPr="002F177E">
        <w:rPr>
          <w:rFonts w:ascii="Times New Roman" w:hAnsi="Times New Roman"/>
          <w:i/>
          <w:sz w:val="24"/>
          <w:szCs w:val="24"/>
        </w:rPr>
        <w:t>LTC restriction on share classes</w:t>
      </w:r>
    </w:p>
    <w:p w:rsidR="00A9356E" w:rsidRPr="00DD797A" w:rsidRDefault="00A9356E" w:rsidP="00166E95">
      <w:pPr>
        <w:pStyle w:val="TRNormal"/>
        <w:numPr>
          <w:ilvl w:val="0"/>
          <w:numId w:val="2"/>
        </w:numPr>
        <w:tabs>
          <w:tab w:val="clear" w:pos="360"/>
          <w:tab w:val="num" w:pos="0"/>
        </w:tabs>
        <w:spacing w:before="320"/>
        <w:ind w:left="0" w:firstLine="0"/>
        <w:rPr>
          <w:szCs w:val="24"/>
        </w:rPr>
      </w:pPr>
      <w:r w:rsidRPr="000F4AE0">
        <w:rPr>
          <w:szCs w:val="24"/>
          <w:lang w:val="en-AU" w:eastAsia="en-US"/>
        </w:rPr>
        <w:t xml:space="preserve">Officials recommend </w:t>
      </w:r>
      <w:r>
        <w:rPr>
          <w:szCs w:val="24"/>
          <w:lang w:val="en-AU" w:eastAsia="en-US"/>
        </w:rPr>
        <w:t xml:space="preserve">that </w:t>
      </w:r>
      <w:r>
        <w:rPr>
          <w:szCs w:val="24"/>
        </w:rPr>
        <w:t>LTC shares</w:t>
      </w:r>
      <w:r w:rsidRPr="00DD797A">
        <w:rPr>
          <w:szCs w:val="24"/>
        </w:rPr>
        <w:t xml:space="preserve"> </w:t>
      </w:r>
      <w:r>
        <w:rPr>
          <w:szCs w:val="24"/>
        </w:rPr>
        <w:t xml:space="preserve">be allowed to </w:t>
      </w:r>
      <w:r w:rsidRPr="00DD797A">
        <w:rPr>
          <w:szCs w:val="24"/>
        </w:rPr>
        <w:t xml:space="preserve">have more than one class, provided </w:t>
      </w:r>
      <w:r>
        <w:rPr>
          <w:szCs w:val="24"/>
        </w:rPr>
        <w:t xml:space="preserve">that </w:t>
      </w:r>
      <w:r w:rsidRPr="00DD797A">
        <w:rPr>
          <w:szCs w:val="24"/>
        </w:rPr>
        <w:t>all shares have uniform en</w:t>
      </w:r>
      <w:r>
        <w:rPr>
          <w:szCs w:val="24"/>
        </w:rPr>
        <w:t>titlements to all distributions.  This will allow for l</w:t>
      </w:r>
      <w:r w:rsidRPr="00D92D48">
        <w:rPr>
          <w:szCs w:val="24"/>
        </w:rPr>
        <w:t>egitimate commercial structuring or generational planning</w:t>
      </w:r>
      <w:r>
        <w:rPr>
          <w:szCs w:val="24"/>
        </w:rPr>
        <w:t xml:space="preserve"> without compromising on the simplicity of the </w:t>
      </w:r>
      <w:r w:rsidR="004E3571">
        <w:rPr>
          <w:szCs w:val="24"/>
        </w:rPr>
        <w:t xml:space="preserve">income and expenditure attribution.  Submitters were widely supportive of this proposal. </w:t>
      </w:r>
    </w:p>
    <w:p w:rsidR="00C9525B" w:rsidRDefault="00C9525B" w:rsidP="00EA65CA">
      <w:pPr>
        <w:pStyle w:val="Bullet-list"/>
        <w:spacing w:after="0" w:line="240" w:lineRule="auto"/>
        <w:ind w:left="0" w:firstLine="0"/>
        <w:jc w:val="both"/>
        <w:rPr>
          <w:rFonts w:ascii="Times New Roman" w:hAnsi="Times New Roman"/>
          <w:i/>
          <w:sz w:val="24"/>
          <w:szCs w:val="24"/>
        </w:rPr>
      </w:pPr>
    </w:p>
    <w:p w:rsidR="00C9525B" w:rsidRDefault="00C9525B" w:rsidP="00EA65CA">
      <w:pPr>
        <w:pStyle w:val="Bullet-list"/>
        <w:spacing w:after="0" w:line="240" w:lineRule="auto"/>
        <w:ind w:left="0" w:firstLine="0"/>
        <w:jc w:val="both"/>
        <w:rPr>
          <w:rFonts w:ascii="Times New Roman" w:hAnsi="Times New Roman"/>
          <w:i/>
          <w:sz w:val="24"/>
          <w:szCs w:val="24"/>
        </w:rPr>
      </w:pPr>
      <w:r w:rsidRPr="002C0133">
        <w:rPr>
          <w:rFonts w:ascii="Times New Roman" w:hAnsi="Times New Roman"/>
          <w:i/>
          <w:sz w:val="24"/>
          <w:szCs w:val="24"/>
        </w:rPr>
        <w:t>Tainted capital gains</w:t>
      </w:r>
    </w:p>
    <w:p w:rsidR="005F5058" w:rsidRPr="00217709" w:rsidRDefault="005F5058" w:rsidP="00166E95">
      <w:pPr>
        <w:pStyle w:val="TRNormal"/>
        <w:numPr>
          <w:ilvl w:val="0"/>
          <w:numId w:val="2"/>
        </w:numPr>
        <w:tabs>
          <w:tab w:val="clear" w:pos="360"/>
          <w:tab w:val="num" w:pos="0"/>
        </w:tabs>
        <w:spacing w:before="320"/>
        <w:ind w:left="0" w:firstLine="0"/>
        <w:rPr>
          <w:szCs w:val="24"/>
          <w:lang w:val="en-AU" w:eastAsia="en-US"/>
        </w:rPr>
      </w:pPr>
      <w:r>
        <w:rPr>
          <w:szCs w:val="24"/>
        </w:rPr>
        <w:t xml:space="preserve">With regard to the </w:t>
      </w:r>
      <w:r w:rsidRPr="00E71794">
        <w:rPr>
          <w:szCs w:val="24"/>
        </w:rPr>
        <w:t xml:space="preserve">tainted </w:t>
      </w:r>
      <w:r>
        <w:rPr>
          <w:szCs w:val="24"/>
        </w:rPr>
        <w:t xml:space="preserve">capital gains </w:t>
      </w:r>
      <w:r w:rsidRPr="00E71794">
        <w:rPr>
          <w:szCs w:val="24"/>
        </w:rPr>
        <w:t>rule</w:t>
      </w:r>
      <w:r>
        <w:rPr>
          <w:szCs w:val="24"/>
        </w:rPr>
        <w:t>,</w:t>
      </w:r>
      <w:r w:rsidRPr="00E71794">
        <w:rPr>
          <w:szCs w:val="24"/>
        </w:rPr>
        <w:t xml:space="preserve"> </w:t>
      </w:r>
      <w:r>
        <w:rPr>
          <w:szCs w:val="24"/>
        </w:rPr>
        <w:t xml:space="preserve">officials have recommended that the rule’s application </w:t>
      </w:r>
      <w:r w:rsidRPr="00E71794">
        <w:rPr>
          <w:szCs w:val="24"/>
        </w:rPr>
        <w:t xml:space="preserve">be restricted to </w:t>
      </w:r>
      <w:r>
        <w:rPr>
          <w:szCs w:val="24"/>
        </w:rPr>
        <w:t xml:space="preserve">circumstances </w:t>
      </w:r>
      <w:r w:rsidRPr="00E71794">
        <w:rPr>
          <w:szCs w:val="24"/>
        </w:rPr>
        <w:t xml:space="preserve">where indirectly the </w:t>
      </w:r>
      <w:r w:rsidR="00E77C43">
        <w:rPr>
          <w:szCs w:val="24"/>
        </w:rPr>
        <w:t xml:space="preserve">shareholders of the </w:t>
      </w:r>
      <w:r w:rsidRPr="00E71794">
        <w:rPr>
          <w:szCs w:val="24"/>
        </w:rPr>
        <w:t>original owners still own at least 85% of the asset that gave rise to the tainted capital profit.</w:t>
      </w:r>
      <w:r>
        <w:rPr>
          <w:szCs w:val="24"/>
        </w:rPr>
        <w:t xml:space="preserve">  This proposal restricts the </w:t>
      </w:r>
      <w:r w:rsidRPr="00F679D1">
        <w:rPr>
          <w:rFonts w:eastAsiaTheme="minorHAnsi"/>
          <w:szCs w:val="24"/>
          <w:lang w:eastAsia="en-US"/>
        </w:rPr>
        <w:t xml:space="preserve">scope of the tainting rule </w:t>
      </w:r>
      <w:r>
        <w:rPr>
          <w:szCs w:val="24"/>
        </w:rPr>
        <w:t xml:space="preserve">significantly compared with the restriction as originally proposed.  In response to strong submissions that the proposals in the issues paper did not go far enough, officials did considerable further analysis on the need for the rule.  </w:t>
      </w:r>
    </w:p>
    <w:p w:rsidR="005F5058" w:rsidRDefault="005F5058" w:rsidP="00166E95">
      <w:pPr>
        <w:pStyle w:val="TRNormal"/>
        <w:numPr>
          <w:ilvl w:val="0"/>
          <w:numId w:val="2"/>
        </w:numPr>
        <w:tabs>
          <w:tab w:val="clear" w:pos="360"/>
          <w:tab w:val="num" w:pos="0"/>
        </w:tabs>
        <w:spacing w:before="320"/>
        <w:ind w:left="0" w:firstLine="0"/>
        <w:rPr>
          <w:szCs w:val="24"/>
        </w:rPr>
      </w:pPr>
      <w:r>
        <w:rPr>
          <w:szCs w:val="24"/>
        </w:rPr>
        <w:t xml:space="preserve">The rule has not been completely repealed, as was recommended by some submitters, because officials consider that it’s retention </w:t>
      </w:r>
      <w:r w:rsidRPr="00217709">
        <w:rPr>
          <w:szCs w:val="24"/>
        </w:rPr>
        <w:t xml:space="preserve">for transactions within a wholly-owned group of companies is appropriate.  </w:t>
      </w:r>
      <w:r>
        <w:rPr>
          <w:szCs w:val="24"/>
        </w:rPr>
        <w:t>In particular officials are concerned that repealing the rule would allow, i</w:t>
      </w:r>
      <w:r w:rsidRPr="00217709">
        <w:rPr>
          <w:szCs w:val="24"/>
        </w:rPr>
        <w:t>n a wholly-owned group</w:t>
      </w:r>
      <w:r>
        <w:rPr>
          <w:szCs w:val="24"/>
        </w:rPr>
        <w:t>,</w:t>
      </w:r>
      <w:r w:rsidRPr="00217709">
        <w:rPr>
          <w:szCs w:val="24"/>
        </w:rPr>
        <w:t xml:space="preserve"> </w:t>
      </w:r>
      <w:r>
        <w:rPr>
          <w:szCs w:val="24"/>
        </w:rPr>
        <w:t xml:space="preserve">for companies </w:t>
      </w:r>
      <w:r w:rsidRPr="00217709">
        <w:rPr>
          <w:szCs w:val="24"/>
        </w:rPr>
        <w:t>to realise capital profits and distribute them to share</w:t>
      </w:r>
      <w:r>
        <w:rPr>
          <w:szCs w:val="24"/>
        </w:rPr>
        <w:t xml:space="preserve">holders “in lieu of dividends”.  Officials have concerns over the ability to create </w:t>
      </w:r>
      <w:r w:rsidRPr="00217709">
        <w:rPr>
          <w:szCs w:val="24"/>
        </w:rPr>
        <w:t>“capital profit</w:t>
      </w:r>
      <w:r>
        <w:rPr>
          <w:szCs w:val="24"/>
        </w:rPr>
        <w:t>s</w:t>
      </w:r>
      <w:r w:rsidRPr="00217709">
        <w:rPr>
          <w:szCs w:val="24"/>
        </w:rPr>
        <w:t xml:space="preserve">” </w:t>
      </w:r>
      <w:r>
        <w:rPr>
          <w:szCs w:val="24"/>
        </w:rPr>
        <w:t xml:space="preserve">which are </w:t>
      </w:r>
      <w:r w:rsidRPr="00217709">
        <w:rPr>
          <w:szCs w:val="24"/>
        </w:rPr>
        <w:t>not real because the asset is still owned by the same shareholder(s) who own the wholly-owned group of companies</w:t>
      </w:r>
      <w:r>
        <w:rPr>
          <w:szCs w:val="24"/>
        </w:rPr>
        <w:t>.</w:t>
      </w:r>
    </w:p>
    <w:p w:rsidR="005F5058" w:rsidRPr="00217709" w:rsidRDefault="00E77C43" w:rsidP="00166E95">
      <w:pPr>
        <w:pStyle w:val="TRNormal"/>
        <w:numPr>
          <w:ilvl w:val="0"/>
          <w:numId w:val="2"/>
        </w:numPr>
        <w:tabs>
          <w:tab w:val="clear" w:pos="360"/>
          <w:tab w:val="num" w:pos="0"/>
        </w:tabs>
        <w:spacing w:before="320"/>
        <w:ind w:left="0" w:firstLine="0"/>
        <w:rPr>
          <w:szCs w:val="24"/>
        </w:rPr>
      </w:pPr>
      <w:r>
        <w:rPr>
          <w:szCs w:val="24"/>
        </w:rPr>
        <w:t>The intention is that the revised test would, however, enable the un-tainting of a gain on an asset that has been sold between two wholly-owned group companies when it is subsequently sold outside the group.</w:t>
      </w:r>
    </w:p>
    <w:p w:rsidR="00C9525B" w:rsidRDefault="00C9525B" w:rsidP="00EA65CA">
      <w:pPr>
        <w:pStyle w:val="Bullet-list"/>
        <w:spacing w:after="0" w:line="240" w:lineRule="auto"/>
        <w:jc w:val="both"/>
        <w:rPr>
          <w:rFonts w:ascii="Times New Roman" w:hAnsi="Times New Roman"/>
          <w:i/>
          <w:sz w:val="24"/>
          <w:szCs w:val="24"/>
        </w:rPr>
      </w:pPr>
    </w:p>
    <w:p w:rsidR="00C9525B" w:rsidRPr="00E244AD" w:rsidRDefault="00C9525B" w:rsidP="00EA65CA">
      <w:pPr>
        <w:pStyle w:val="Bullet-list"/>
        <w:spacing w:after="0" w:line="240" w:lineRule="auto"/>
        <w:jc w:val="both"/>
        <w:rPr>
          <w:rFonts w:ascii="Times New Roman" w:hAnsi="Times New Roman"/>
          <w:i/>
          <w:sz w:val="24"/>
          <w:szCs w:val="24"/>
        </w:rPr>
      </w:pPr>
      <w:r w:rsidRPr="00E244AD">
        <w:rPr>
          <w:rFonts w:ascii="Times New Roman" w:hAnsi="Times New Roman"/>
          <w:i/>
          <w:sz w:val="24"/>
          <w:szCs w:val="24"/>
        </w:rPr>
        <w:t>Options for taxing shareholder salaries</w:t>
      </w:r>
    </w:p>
    <w:p w:rsidR="005F5058" w:rsidRPr="00E71794" w:rsidRDefault="005F5058" w:rsidP="00166E95">
      <w:pPr>
        <w:pStyle w:val="TRNormal"/>
        <w:numPr>
          <w:ilvl w:val="0"/>
          <w:numId w:val="2"/>
        </w:numPr>
        <w:tabs>
          <w:tab w:val="clear" w:pos="360"/>
          <w:tab w:val="num" w:pos="0"/>
        </w:tabs>
        <w:spacing w:before="320"/>
        <w:ind w:left="0" w:firstLine="0"/>
        <w:rPr>
          <w:szCs w:val="24"/>
          <w:lang w:val="en-AU" w:eastAsia="en-US"/>
        </w:rPr>
      </w:pPr>
      <w:r>
        <w:rPr>
          <w:szCs w:val="24"/>
        </w:rPr>
        <w:t>It is recommended that s</w:t>
      </w:r>
      <w:r w:rsidRPr="000F4AE0">
        <w:rPr>
          <w:szCs w:val="24"/>
        </w:rPr>
        <w:t>alaries paid to shareholder-employees be able to be bifurcated so that the base salary is subject to PAYE and the varia</w:t>
      </w:r>
      <w:r>
        <w:rPr>
          <w:szCs w:val="24"/>
        </w:rPr>
        <w:t>ble amount is paid out pre-tax.  This proposal will allow for additional flexibility for shareholder-employees who may be unduly constrained by the current rules.  In order to ensure that the ability to switch between provisional tax and the PAYE system is not used inappropriately officials recommend that a restriction on flip-flopping is introduced at the same time.  The detail of how this restriction will work has not yet been resolved, but we note that interested parties will have an opportunity to provide feedback on this detail as part of the select committee submission process on the bill.</w:t>
      </w:r>
    </w:p>
    <w:p w:rsidR="00C9525B" w:rsidRDefault="00C9525B" w:rsidP="00EA65CA">
      <w:pPr>
        <w:jc w:val="both"/>
        <w:rPr>
          <w:rFonts w:ascii="Times New Roman" w:hAnsi="Times New Roman"/>
          <w:b/>
          <w:i/>
          <w:sz w:val="24"/>
          <w:szCs w:val="24"/>
          <w:lang w:val="en-AU"/>
        </w:rPr>
      </w:pPr>
    </w:p>
    <w:p w:rsidR="00C9525B" w:rsidRPr="00C15E38" w:rsidRDefault="00C9525B" w:rsidP="00EA65CA">
      <w:pPr>
        <w:jc w:val="both"/>
        <w:rPr>
          <w:rFonts w:ascii="Times New Roman" w:hAnsi="Times New Roman"/>
          <w:b/>
          <w:i/>
          <w:sz w:val="24"/>
          <w:szCs w:val="24"/>
          <w:lang w:val="en-AU"/>
        </w:rPr>
      </w:pPr>
      <w:r w:rsidRPr="00C15E38">
        <w:rPr>
          <w:rFonts w:ascii="Times New Roman" w:hAnsi="Times New Roman"/>
          <w:b/>
          <w:i/>
          <w:sz w:val="24"/>
          <w:szCs w:val="24"/>
          <w:lang w:val="en-AU"/>
        </w:rPr>
        <w:t>Rules which fail to achieve their intended policy objectives</w:t>
      </w:r>
    </w:p>
    <w:p w:rsidR="00C9525B" w:rsidRPr="00C56701" w:rsidRDefault="00C9525B" w:rsidP="00EA65CA">
      <w:pPr>
        <w:pStyle w:val="Bullet-list"/>
        <w:spacing w:after="0" w:line="240" w:lineRule="auto"/>
        <w:jc w:val="both"/>
        <w:rPr>
          <w:rFonts w:ascii="Times New Roman" w:hAnsi="Times New Roman"/>
          <w:i/>
          <w:sz w:val="24"/>
          <w:szCs w:val="24"/>
        </w:rPr>
      </w:pPr>
      <w:r w:rsidRPr="00EB3036">
        <w:rPr>
          <w:rFonts w:ascii="Times New Roman" w:hAnsi="Times New Roman"/>
          <w:i/>
          <w:sz w:val="24"/>
          <w:szCs w:val="24"/>
        </w:rPr>
        <w:t xml:space="preserve">LTC </w:t>
      </w:r>
      <w:r w:rsidR="00EB3036" w:rsidRPr="00EB3036">
        <w:rPr>
          <w:rFonts w:ascii="Times New Roman" w:hAnsi="Times New Roman"/>
          <w:i/>
          <w:sz w:val="24"/>
          <w:szCs w:val="24"/>
        </w:rPr>
        <w:t xml:space="preserve">eligibility </w:t>
      </w:r>
      <w:r w:rsidRPr="00C56701">
        <w:rPr>
          <w:rFonts w:ascii="Times New Roman" w:hAnsi="Times New Roman"/>
          <w:i/>
          <w:sz w:val="24"/>
          <w:szCs w:val="24"/>
        </w:rPr>
        <w:t>criteria</w:t>
      </w:r>
    </w:p>
    <w:p w:rsidR="00C9525B" w:rsidRDefault="00C9525B" w:rsidP="00EA65CA">
      <w:pPr>
        <w:pStyle w:val="Bullet-list"/>
        <w:spacing w:after="0" w:line="240" w:lineRule="auto"/>
        <w:jc w:val="both"/>
        <w:rPr>
          <w:rFonts w:ascii="Times New Roman" w:hAnsi="Times New Roman"/>
          <w:i/>
          <w:sz w:val="24"/>
          <w:szCs w:val="24"/>
        </w:rPr>
      </w:pPr>
    </w:p>
    <w:p w:rsidR="00C9525B" w:rsidRPr="00414CB6" w:rsidRDefault="00C9525B" w:rsidP="00166E95">
      <w:pPr>
        <w:pStyle w:val="Bullet-list"/>
        <w:numPr>
          <w:ilvl w:val="0"/>
          <w:numId w:val="2"/>
        </w:numPr>
        <w:tabs>
          <w:tab w:val="num" w:pos="567"/>
        </w:tabs>
        <w:spacing w:after="0" w:line="240" w:lineRule="auto"/>
        <w:ind w:left="0" w:firstLine="0"/>
        <w:jc w:val="both"/>
        <w:rPr>
          <w:rFonts w:ascii="Times New Roman" w:hAnsi="Times New Roman"/>
          <w:sz w:val="24"/>
          <w:szCs w:val="24"/>
          <w:lang w:val="en-NZ" w:eastAsia="en-AU"/>
        </w:rPr>
      </w:pPr>
      <w:r w:rsidRPr="00414CB6">
        <w:rPr>
          <w:rFonts w:ascii="Times New Roman" w:hAnsi="Times New Roman"/>
          <w:sz w:val="24"/>
          <w:szCs w:val="24"/>
          <w:lang w:val="en-NZ" w:eastAsia="en-AU"/>
        </w:rPr>
        <w:t xml:space="preserve">With respect to the rules which limit the type of entity that qualifies as a LTC, referred to as the </w:t>
      </w:r>
      <w:r w:rsidR="00EB3036" w:rsidRPr="00414CB6">
        <w:rPr>
          <w:rFonts w:ascii="Times New Roman" w:hAnsi="Times New Roman"/>
          <w:sz w:val="24"/>
          <w:szCs w:val="24"/>
          <w:lang w:val="en-NZ" w:eastAsia="en-AU"/>
        </w:rPr>
        <w:t xml:space="preserve">eligibility </w:t>
      </w:r>
      <w:r w:rsidRPr="00414CB6">
        <w:rPr>
          <w:rFonts w:ascii="Times New Roman" w:hAnsi="Times New Roman"/>
          <w:sz w:val="24"/>
          <w:szCs w:val="24"/>
          <w:lang w:val="en-NZ" w:eastAsia="en-AU"/>
        </w:rPr>
        <w:t xml:space="preserve">criteria, broadly officials consider general tightening is necessary to ensure that the rules are appropriately targeted.  The transparent tax treatment which applies to LTCs, and in particular the treatment of capital gains earned by the LTC, is a tax favourable treatment that should not be available to more widely held investment vehicles.   Many investors in widely held companies are ‘passive’ in the sense that the alternative to their holding shares in the company would be a bank deposit.  In such cases company tax treatment is appropriate as the company distributions are, like interest on bank deposits, taxable in the hands of the shareholders.  While there may be debate over whether drawing the boundary between individual and company treatment at five owners is appropriate, data suggests that in practice most closely held businesses have one or two owners which may be because, as noted earlier, close family groups are treated as one owner under the LTC rules.  </w:t>
      </w:r>
    </w:p>
    <w:p w:rsidR="00C9525B" w:rsidRDefault="00C9525B" w:rsidP="00EA65CA">
      <w:pPr>
        <w:pStyle w:val="Bullet-list"/>
        <w:tabs>
          <w:tab w:val="left" w:pos="709"/>
          <w:tab w:val="left" w:pos="5812"/>
        </w:tabs>
        <w:spacing w:after="0" w:line="240" w:lineRule="auto"/>
        <w:ind w:left="0" w:firstLine="0"/>
        <w:jc w:val="both"/>
        <w:rPr>
          <w:rFonts w:ascii="Times New Roman" w:hAnsi="Times New Roman"/>
          <w:sz w:val="24"/>
          <w:szCs w:val="24"/>
        </w:rPr>
      </w:pPr>
    </w:p>
    <w:p w:rsidR="00C9525B" w:rsidRDefault="00C9525B"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Officials therefore recommend proceeding with the LTC </w:t>
      </w:r>
      <w:r w:rsidR="00EB3036">
        <w:rPr>
          <w:rFonts w:ascii="Times New Roman" w:hAnsi="Times New Roman"/>
          <w:sz w:val="24"/>
          <w:szCs w:val="24"/>
        </w:rPr>
        <w:t xml:space="preserve">eligibility </w:t>
      </w:r>
      <w:r>
        <w:rPr>
          <w:rFonts w:ascii="Times New Roman" w:hAnsi="Times New Roman"/>
          <w:sz w:val="24"/>
          <w:szCs w:val="24"/>
        </w:rPr>
        <w:t>criteria proposals</w:t>
      </w:r>
      <w:r w:rsidR="00E77C43">
        <w:rPr>
          <w:rFonts w:ascii="Times New Roman" w:hAnsi="Times New Roman"/>
          <w:sz w:val="24"/>
          <w:szCs w:val="24"/>
        </w:rPr>
        <w:t xml:space="preserve">, with some modifications, </w:t>
      </w:r>
      <w:r>
        <w:rPr>
          <w:rFonts w:ascii="Times New Roman" w:hAnsi="Times New Roman"/>
          <w:sz w:val="24"/>
          <w:szCs w:val="24"/>
        </w:rPr>
        <w:t xml:space="preserve"> and specifically recommend that:</w:t>
      </w:r>
    </w:p>
    <w:p w:rsidR="00C9525B" w:rsidRPr="00DD797A" w:rsidRDefault="00C9525B" w:rsidP="00166E95">
      <w:pPr>
        <w:pStyle w:val="TRBodyTextChar"/>
        <w:numPr>
          <w:ilvl w:val="1"/>
          <w:numId w:val="11"/>
        </w:numPr>
        <w:tabs>
          <w:tab w:val="left" w:pos="5812"/>
        </w:tabs>
        <w:spacing w:before="120" w:after="120"/>
        <w:rPr>
          <w:szCs w:val="24"/>
        </w:rPr>
      </w:pPr>
      <w:r>
        <w:rPr>
          <w:szCs w:val="24"/>
        </w:rPr>
        <w:t>t</w:t>
      </w:r>
      <w:r w:rsidRPr="00DD797A">
        <w:rPr>
          <w:szCs w:val="24"/>
        </w:rPr>
        <w:t>hat the rules for trusts and counted owners be amended to have regard to all trust distributions</w:t>
      </w:r>
      <w:r w:rsidR="00E77C43">
        <w:rPr>
          <w:szCs w:val="24"/>
        </w:rPr>
        <w:t xml:space="preserve"> but using the current 3-4 year measurement period</w:t>
      </w:r>
      <w:r w:rsidRPr="00DD797A">
        <w:rPr>
          <w:szCs w:val="24"/>
        </w:rPr>
        <w:t>, with a transitional phase-in period;</w:t>
      </w:r>
    </w:p>
    <w:p w:rsidR="00C9525B" w:rsidRPr="00DD797A" w:rsidRDefault="00C9525B" w:rsidP="00166E95">
      <w:pPr>
        <w:pStyle w:val="TRBodyTextChar"/>
        <w:numPr>
          <w:ilvl w:val="1"/>
          <w:numId w:val="11"/>
        </w:numPr>
        <w:tabs>
          <w:tab w:val="left" w:pos="5812"/>
        </w:tabs>
        <w:spacing w:before="120" w:after="120"/>
        <w:rPr>
          <w:szCs w:val="24"/>
        </w:rPr>
      </w:pPr>
      <w:r>
        <w:rPr>
          <w:szCs w:val="24"/>
        </w:rPr>
        <w:t>t</w:t>
      </w:r>
      <w:r w:rsidRPr="00DD797A">
        <w:rPr>
          <w:szCs w:val="24"/>
        </w:rPr>
        <w:t>hat Māori authorities be excluded from owning a LTC, but that present Māori authority LTC arrangements be grand-parented;</w:t>
      </w:r>
    </w:p>
    <w:p w:rsidR="00C9525B" w:rsidRPr="00DD797A" w:rsidRDefault="00C9525B" w:rsidP="00166E95">
      <w:pPr>
        <w:pStyle w:val="TRBodyTextChar"/>
        <w:numPr>
          <w:ilvl w:val="1"/>
          <w:numId w:val="11"/>
        </w:numPr>
        <w:tabs>
          <w:tab w:val="left" w:pos="5812"/>
        </w:tabs>
        <w:spacing w:before="120" w:after="120"/>
        <w:rPr>
          <w:szCs w:val="24"/>
        </w:rPr>
      </w:pPr>
      <w:r>
        <w:rPr>
          <w:szCs w:val="24"/>
        </w:rPr>
        <w:t>t</w:t>
      </w:r>
      <w:r w:rsidRPr="00DD797A">
        <w:rPr>
          <w:szCs w:val="24"/>
        </w:rPr>
        <w:t xml:space="preserve">hat charities </w:t>
      </w:r>
      <w:r w:rsidR="00E77C43">
        <w:rPr>
          <w:szCs w:val="24"/>
        </w:rPr>
        <w:t xml:space="preserve">would be excluded from being shareholders in LTCs but would be </w:t>
      </w:r>
      <w:r w:rsidRPr="00DD797A">
        <w:rPr>
          <w:szCs w:val="24"/>
        </w:rPr>
        <w:t xml:space="preserve">beneficiaries </w:t>
      </w:r>
      <w:r w:rsidR="00E77C43">
        <w:rPr>
          <w:szCs w:val="24"/>
        </w:rPr>
        <w:t xml:space="preserve">of trusts shares in LTCs </w:t>
      </w:r>
      <w:r w:rsidRPr="00DD797A">
        <w:rPr>
          <w:szCs w:val="24"/>
        </w:rPr>
        <w:t xml:space="preserve">if they have </w:t>
      </w:r>
      <w:r w:rsidR="00E77C43">
        <w:rPr>
          <w:szCs w:val="24"/>
        </w:rPr>
        <w:t>no other interests in the trust</w:t>
      </w:r>
      <w:r w:rsidRPr="00DD797A">
        <w:rPr>
          <w:szCs w:val="24"/>
        </w:rPr>
        <w:t xml:space="preserve"> except that of being a residual beneficiary</w:t>
      </w:r>
      <w:r w:rsidR="00E77C43">
        <w:rPr>
          <w:szCs w:val="24"/>
        </w:rPr>
        <w:t xml:space="preserve"> in a wind up</w:t>
      </w:r>
      <w:r w:rsidRPr="00DD797A">
        <w:rPr>
          <w:szCs w:val="24"/>
        </w:rPr>
        <w:t xml:space="preserve">, </w:t>
      </w:r>
      <w:r w:rsidR="00E77C43">
        <w:rPr>
          <w:szCs w:val="24"/>
        </w:rPr>
        <w:t xml:space="preserve">or as a  genuine beneficiary and the distribution </w:t>
      </w:r>
      <w:r w:rsidRPr="00DD797A">
        <w:rPr>
          <w:szCs w:val="24"/>
        </w:rPr>
        <w:t>would be regarded as a donation if they were paid by a natural individual;</w:t>
      </w:r>
    </w:p>
    <w:p w:rsidR="00C9525B" w:rsidRDefault="00C9525B" w:rsidP="00166E95">
      <w:pPr>
        <w:pStyle w:val="TRBodyTextChar"/>
        <w:numPr>
          <w:ilvl w:val="1"/>
          <w:numId w:val="11"/>
        </w:numPr>
        <w:tabs>
          <w:tab w:val="left" w:pos="5812"/>
        </w:tabs>
        <w:spacing w:before="120" w:after="120"/>
        <w:rPr>
          <w:szCs w:val="24"/>
        </w:rPr>
      </w:pPr>
      <w:r>
        <w:rPr>
          <w:szCs w:val="24"/>
        </w:rPr>
        <w:t xml:space="preserve">that </w:t>
      </w:r>
      <w:r w:rsidRPr="00DD797A">
        <w:rPr>
          <w:szCs w:val="24"/>
        </w:rPr>
        <w:t>LTC status would be lost if more than 50 per cent of the shareholding in a LTC is held by non-residents and the LTC’s foreign income exceeds the greater of $10,000 and 20 per</w:t>
      </w:r>
      <w:r>
        <w:rPr>
          <w:szCs w:val="24"/>
        </w:rPr>
        <w:t xml:space="preserve"> cent of the LTC’s gross income; </w:t>
      </w:r>
    </w:p>
    <w:p w:rsidR="00C9525B" w:rsidRDefault="00C9525B" w:rsidP="00EA65CA">
      <w:pPr>
        <w:pStyle w:val="ListParagraph"/>
        <w:rPr>
          <w:rFonts w:ascii="Times New Roman" w:hAnsi="Times New Roman"/>
          <w:sz w:val="24"/>
          <w:szCs w:val="24"/>
        </w:rPr>
      </w:pPr>
    </w:p>
    <w:p w:rsidR="00C9525B" w:rsidRDefault="00C9525B" w:rsidP="00166E95">
      <w:pPr>
        <w:pStyle w:val="Bullet-list"/>
        <w:numPr>
          <w:ilvl w:val="0"/>
          <w:numId w:val="2"/>
        </w:numPr>
        <w:tabs>
          <w:tab w:val="num" w:pos="567"/>
          <w:tab w:val="left" w:pos="709"/>
          <w:tab w:val="left" w:pos="581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In response to concerns raised by submitters in relation to the proposed changes for trusts that own LTCs, we note that </w:t>
      </w:r>
      <w:r w:rsidRPr="00741FAF">
        <w:rPr>
          <w:rFonts w:ascii="Times New Roman" w:hAnsi="Times New Roman"/>
          <w:sz w:val="24"/>
          <w:szCs w:val="24"/>
        </w:rPr>
        <w:t xml:space="preserve">the proposed changes </w:t>
      </w:r>
      <w:r>
        <w:rPr>
          <w:rFonts w:ascii="Times New Roman" w:hAnsi="Times New Roman"/>
          <w:sz w:val="24"/>
          <w:szCs w:val="24"/>
        </w:rPr>
        <w:t xml:space="preserve">are unlikely to </w:t>
      </w:r>
      <w:r w:rsidRPr="00741FAF">
        <w:rPr>
          <w:rFonts w:ascii="Times New Roman" w:hAnsi="Times New Roman"/>
          <w:sz w:val="24"/>
          <w:szCs w:val="24"/>
        </w:rPr>
        <w:t xml:space="preserve">have </w:t>
      </w:r>
      <w:r>
        <w:rPr>
          <w:rFonts w:ascii="Times New Roman" w:hAnsi="Times New Roman"/>
          <w:sz w:val="24"/>
          <w:szCs w:val="24"/>
        </w:rPr>
        <w:t xml:space="preserve">great </w:t>
      </w:r>
      <w:r w:rsidRPr="00741FAF">
        <w:rPr>
          <w:rFonts w:ascii="Times New Roman" w:hAnsi="Times New Roman"/>
          <w:sz w:val="24"/>
          <w:szCs w:val="24"/>
        </w:rPr>
        <w:t>practical effect</w:t>
      </w:r>
      <w:r>
        <w:rPr>
          <w:rFonts w:ascii="Times New Roman" w:hAnsi="Times New Roman"/>
          <w:sz w:val="24"/>
          <w:szCs w:val="24"/>
        </w:rPr>
        <w:t xml:space="preserve"> given the ability to treat close family members as a single owner when</w:t>
      </w:r>
      <w:r w:rsidRPr="00741FAF">
        <w:rPr>
          <w:rFonts w:ascii="Times New Roman" w:hAnsi="Times New Roman"/>
          <w:sz w:val="24"/>
          <w:szCs w:val="24"/>
        </w:rPr>
        <w:t xml:space="preserve"> </w:t>
      </w:r>
      <w:r>
        <w:rPr>
          <w:rFonts w:ascii="Times New Roman" w:hAnsi="Times New Roman"/>
          <w:sz w:val="24"/>
          <w:szCs w:val="24"/>
        </w:rPr>
        <w:t xml:space="preserve">calculating </w:t>
      </w:r>
      <w:r w:rsidRPr="00741FAF">
        <w:rPr>
          <w:rFonts w:ascii="Times New Roman" w:hAnsi="Times New Roman"/>
          <w:sz w:val="24"/>
          <w:szCs w:val="24"/>
        </w:rPr>
        <w:t>the number of counted owners.</w:t>
      </w:r>
      <w:r>
        <w:rPr>
          <w:rFonts w:ascii="Times New Roman" w:hAnsi="Times New Roman"/>
          <w:sz w:val="24"/>
          <w:szCs w:val="24"/>
        </w:rPr>
        <w:t xml:space="preserve">  </w:t>
      </w:r>
    </w:p>
    <w:p w:rsidR="00C9525B" w:rsidRDefault="00C9525B" w:rsidP="00EA65CA">
      <w:pPr>
        <w:pStyle w:val="Bullet-list"/>
        <w:tabs>
          <w:tab w:val="num" w:pos="567"/>
          <w:tab w:val="left" w:pos="709"/>
          <w:tab w:val="left" w:pos="5812"/>
        </w:tabs>
        <w:spacing w:after="0" w:line="240" w:lineRule="auto"/>
        <w:ind w:left="0" w:firstLine="0"/>
        <w:jc w:val="both"/>
        <w:rPr>
          <w:rFonts w:ascii="Times New Roman" w:hAnsi="Times New Roman"/>
          <w:sz w:val="24"/>
          <w:szCs w:val="24"/>
        </w:rPr>
      </w:pPr>
    </w:p>
    <w:p w:rsidR="00C9525B" w:rsidRDefault="00C9525B" w:rsidP="00166E95">
      <w:pPr>
        <w:pStyle w:val="Bullet-list"/>
        <w:numPr>
          <w:ilvl w:val="0"/>
          <w:numId w:val="2"/>
        </w:numPr>
        <w:tabs>
          <w:tab w:val="num" w:pos="567"/>
          <w:tab w:val="left" w:pos="709"/>
          <w:tab w:val="left" w:pos="581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It should be noted that an additional proposal for extending the time period used for calculating ownership, to reduce the likelihood of rotating beneficiaries, was included in the </w:t>
      </w:r>
      <w:r w:rsidRPr="00414CB6">
        <w:rPr>
          <w:rFonts w:ascii="Times New Roman" w:hAnsi="Times New Roman"/>
          <w:sz w:val="24"/>
          <w:szCs w:val="24"/>
        </w:rPr>
        <w:t>officials’ issues paper, but is now no longer recommended.   This aspect is discussed further in Appendix 3.</w:t>
      </w:r>
    </w:p>
    <w:p w:rsidR="00C9525B" w:rsidRDefault="00C9525B" w:rsidP="00EA65CA">
      <w:pPr>
        <w:pStyle w:val="Bullet-list"/>
        <w:tabs>
          <w:tab w:val="left" w:pos="709"/>
          <w:tab w:val="left" w:pos="5812"/>
        </w:tabs>
        <w:spacing w:after="0" w:line="240" w:lineRule="auto"/>
        <w:ind w:left="0" w:firstLine="0"/>
        <w:jc w:val="both"/>
        <w:rPr>
          <w:rFonts w:ascii="Times New Roman" w:hAnsi="Times New Roman"/>
          <w:sz w:val="24"/>
          <w:szCs w:val="24"/>
        </w:rPr>
      </w:pPr>
    </w:p>
    <w:p w:rsidR="00C9525B" w:rsidRPr="00266D3A" w:rsidRDefault="00C9525B" w:rsidP="00166E95">
      <w:pPr>
        <w:pStyle w:val="Bullet-list"/>
        <w:numPr>
          <w:ilvl w:val="0"/>
          <w:numId w:val="2"/>
        </w:numPr>
        <w:tabs>
          <w:tab w:val="num" w:pos="567"/>
          <w:tab w:val="left" w:pos="709"/>
          <w:tab w:val="left" w:pos="5812"/>
        </w:tabs>
        <w:spacing w:after="0" w:line="240" w:lineRule="auto"/>
        <w:ind w:left="0" w:firstLine="0"/>
        <w:jc w:val="both"/>
        <w:rPr>
          <w:rFonts w:ascii="Times New Roman" w:hAnsi="Times New Roman"/>
          <w:sz w:val="24"/>
          <w:szCs w:val="24"/>
        </w:rPr>
      </w:pPr>
      <w:r w:rsidRPr="00C56701">
        <w:rPr>
          <w:rFonts w:ascii="Times New Roman" w:hAnsi="Times New Roman"/>
          <w:sz w:val="24"/>
          <w:szCs w:val="24"/>
        </w:rPr>
        <w:t>We note that the proposal to preclude charities from owning LTCs has changed from that originally proposed in the officials’ issues paper.  This is in response to submitters concerns that the proposal would unduly push LTCs owned by trusts with charitable beneficiaries</w:t>
      </w:r>
      <w:r w:rsidRPr="00741FAF">
        <w:rPr>
          <w:rFonts w:ascii="Times New Roman" w:hAnsi="Times New Roman"/>
          <w:sz w:val="24"/>
          <w:szCs w:val="24"/>
        </w:rPr>
        <w:t xml:space="preserve"> out of the LTC regime, despite the fact that the charitable beneficial ownership is not tax driven.  </w:t>
      </w:r>
      <w:r>
        <w:rPr>
          <w:rFonts w:ascii="Times New Roman" w:hAnsi="Times New Roman"/>
          <w:sz w:val="24"/>
          <w:szCs w:val="24"/>
        </w:rPr>
        <w:t xml:space="preserve">  The reason for tightening the rules in relation to charity interests is that charities are in effect widely held entities.</w:t>
      </w:r>
    </w:p>
    <w:p w:rsidR="00C9525B" w:rsidRPr="00266D3A" w:rsidRDefault="00C9525B" w:rsidP="00EA65CA">
      <w:pPr>
        <w:pStyle w:val="ListParagraph"/>
        <w:rPr>
          <w:rFonts w:ascii="Times New Roman" w:hAnsi="Times New Roman"/>
          <w:sz w:val="24"/>
          <w:szCs w:val="24"/>
          <w:lang w:val="en-AU"/>
        </w:rPr>
      </w:pPr>
    </w:p>
    <w:p w:rsidR="00C9525B" w:rsidRDefault="00C9525B" w:rsidP="00166E95">
      <w:pPr>
        <w:pStyle w:val="Bullet-list"/>
        <w:numPr>
          <w:ilvl w:val="0"/>
          <w:numId w:val="2"/>
        </w:numPr>
        <w:tabs>
          <w:tab w:val="num" w:pos="567"/>
          <w:tab w:val="left" w:pos="709"/>
          <w:tab w:val="left" w:pos="5812"/>
        </w:tabs>
        <w:spacing w:after="0" w:line="240" w:lineRule="auto"/>
        <w:ind w:left="0" w:firstLine="0"/>
        <w:jc w:val="both"/>
        <w:rPr>
          <w:rFonts w:ascii="Times New Roman" w:hAnsi="Times New Roman"/>
          <w:sz w:val="24"/>
          <w:szCs w:val="24"/>
        </w:rPr>
      </w:pPr>
      <w:r w:rsidRPr="00741FAF">
        <w:rPr>
          <w:rFonts w:ascii="Times New Roman" w:hAnsi="Times New Roman"/>
          <w:sz w:val="24"/>
          <w:szCs w:val="24"/>
        </w:rPr>
        <w:t>Officials now propose that rather than precluding charities from having an interest in a LTC, distributions to charities would be precluded except where the distribution was to a charity that had no influence over the LTC or trust from which they received the distributio</w:t>
      </w:r>
      <w:r w:rsidR="00E77C43">
        <w:rPr>
          <w:rFonts w:ascii="Times New Roman" w:hAnsi="Times New Roman"/>
          <w:sz w:val="24"/>
          <w:szCs w:val="24"/>
        </w:rPr>
        <w:t>n.</w:t>
      </w:r>
      <w:r w:rsidRPr="00741FAF">
        <w:rPr>
          <w:rFonts w:ascii="Times New Roman" w:hAnsi="Times New Roman"/>
          <w:sz w:val="24"/>
          <w:szCs w:val="24"/>
        </w:rPr>
        <w:t xml:space="preserve"> </w:t>
      </w:r>
      <w:r w:rsidR="00E77C43">
        <w:rPr>
          <w:rFonts w:ascii="Times New Roman" w:hAnsi="Times New Roman"/>
          <w:sz w:val="24"/>
          <w:szCs w:val="24"/>
        </w:rPr>
        <w:t xml:space="preserve"> I</w:t>
      </w:r>
      <w:r w:rsidRPr="00741FAF">
        <w:rPr>
          <w:rFonts w:ascii="Times New Roman" w:hAnsi="Times New Roman"/>
          <w:sz w:val="24"/>
          <w:szCs w:val="24"/>
        </w:rPr>
        <w:t xml:space="preserve">n effect the distribution would meet the key requirement for being a donation that to be a true gift it has to be freely given.  The mere existence of a true residual beneficiary capacity should not taint the outcome.   This approach would obviate the need for a safe-harbour threshold as originally proposed.   </w:t>
      </w:r>
    </w:p>
    <w:p w:rsidR="00C9525B" w:rsidRDefault="00C9525B" w:rsidP="00EA65CA">
      <w:pPr>
        <w:pStyle w:val="ListParagraph"/>
        <w:rPr>
          <w:rFonts w:ascii="Times New Roman" w:hAnsi="Times New Roman"/>
          <w:sz w:val="24"/>
          <w:szCs w:val="24"/>
        </w:rPr>
      </w:pPr>
    </w:p>
    <w:p w:rsidR="00C9525B" w:rsidRPr="00266D3A" w:rsidRDefault="00C9525B" w:rsidP="00166E95">
      <w:pPr>
        <w:pStyle w:val="Bullet-list"/>
        <w:numPr>
          <w:ilvl w:val="0"/>
          <w:numId w:val="2"/>
        </w:numPr>
        <w:tabs>
          <w:tab w:val="num" w:pos="567"/>
          <w:tab w:val="left" w:pos="709"/>
          <w:tab w:val="left" w:pos="5812"/>
        </w:tabs>
        <w:spacing w:after="0" w:line="240" w:lineRule="auto"/>
        <w:ind w:left="0" w:firstLine="0"/>
        <w:jc w:val="both"/>
        <w:rPr>
          <w:rFonts w:ascii="Times New Roman" w:hAnsi="Times New Roman"/>
          <w:sz w:val="24"/>
          <w:szCs w:val="24"/>
        </w:rPr>
      </w:pPr>
      <w:r>
        <w:rPr>
          <w:rFonts w:ascii="Times New Roman" w:hAnsi="Times New Roman"/>
          <w:sz w:val="24"/>
          <w:szCs w:val="24"/>
        </w:rPr>
        <w:t>Despite submissions raising concerns over the proposal to preclude Māori A</w:t>
      </w:r>
      <w:r w:rsidRPr="00266D3A">
        <w:rPr>
          <w:rFonts w:ascii="Times New Roman" w:hAnsi="Times New Roman"/>
          <w:sz w:val="24"/>
          <w:szCs w:val="24"/>
        </w:rPr>
        <w:t xml:space="preserve">uthorities </w:t>
      </w:r>
      <w:r>
        <w:rPr>
          <w:rFonts w:ascii="Times New Roman" w:hAnsi="Times New Roman"/>
          <w:sz w:val="24"/>
          <w:szCs w:val="24"/>
        </w:rPr>
        <w:t xml:space="preserve">from owning LTCs, officials consider the proposal </w:t>
      </w:r>
      <w:r w:rsidRPr="00266D3A">
        <w:rPr>
          <w:rFonts w:ascii="Times New Roman" w:hAnsi="Times New Roman"/>
          <w:sz w:val="24"/>
          <w:szCs w:val="24"/>
        </w:rPr>
        <w:t xml:space="preserve">should </w:t>
      </w:r>
      <w:r>
        <w:rPr>
          <w:rFonts w:ascii="Times New Roman" w:hAnsi="Times New Roman"/>
          <w:sz w:val="24"/>
          <w:szCs w:val="24"/>
        </w:rPr>
        <w:t xml:space="preserve">proceed.  As with charities, officials’ primary concern around the use of LTCs by </w:t>
      </w:r>
      <w:r w:rsidRPr="00266D3A">
        <w:rPr>
          <w:rFonts w:ascii="Times New Roman" w:hAnsi="Times New Roman"/>
          <w:sz w:val="24"/>
          <w:szCs w:val="24"/>
        </w:rPr>
        <w:t xml:space="preserve">Māori </w:t>
      </w:r>
      <w:r>
        <w:rPr>
          <w:rFonts w:ascii="Times New Roman" w:hAnsi="Times New Roman"/>
          <w:sz w:val="24"/>
          <w:szCs w:val="24"/>
        </w:rPr>
        <w:t>A</w:t>
      </w:r>
      <w:r w:rsidRPr="00266D3A">
        <w:rPr>
          <w:rFonts w:ascii="Times New Roman" w:hAnsi="Times New Roman"/>
          <w:sz w:val="24"/>
          <w:szCs w:val="24"/>
        </w:rPr>
        <w:t>uthorities</w:t>
      </w:r>
      <w:r>
        <w:rPr>
          <w:rFonts w:ascii="Times New Roman" w:hAnsi="Times New Roman"/>
          <w:sz w:val="24"/>
          <w:szCs w:val="24"/>
        </w:rPr>
        <w:t xml:space="preserve"> is that </w:t>
      </w:r>
      <w:r w:rsidRPr="00266D3A">
        <w:rPr>
          <w:rFonts w:ascii="Times New Roman" w:hAnsi="Times New Roman"/>
          <w:sz w:val="24"/>
          <w:szCs w:val="24"/>
        </w:rPr>
        <w:t xml:space="preserve">Māori </w:t>
      </w:r>
      <w:r>
        <w:rPr>
          <w:rFonts w:ascii="Times New Roman" w:hAnsi="Times New Roman"/>
          <w:sz w:val="24"/>
          <w:szCs w:val="24"/>
        </w:rPr>
        <w:t>A</w:t>
      </w:r>
      <w:r w:rsidRPr="00266D3A">
        <w:rPr>
          <w:rFonts w:ascii="Times New Roman" w:hAnsi="Times New Roman"/>
          <w:sz w:val="24"/>
          <w:szCs w:val="24"/>
        </w:rPr>
        <w:t xml:space="preserve">uthorities are in effect widely held entities and, therefore, not the target market for LTCs.  </w:t>
      </w:r>
      <w:r>
        <w:rPr>
          <w:rFonts w:ascii="Times New Roman" w:hAnsi="Times New Roman"/>
          <w:sz w:val="24"/>
          <w:szCs w:val="24"/>
        </w:rPr>
        <w:t xml:space="preserve">An alternative </w:t>
      </w:r>
      <w:r w:rsidRPr="00266D3A">
        <w:rPr>
          <w:rFonts w:ascii="Times New Roman" w:hAnsi="Times New Roman"/>
          <w:sz w:val="24"/>
          <w:szCs w:val="24"/>
        </w:rPr>
        <w:t>look-through vehicle</w:t>
      </w:r>
      <w:r>
        <w:rPr>
          <w:rFonts w:ascii="Times New Roman" w:hAnsi="Times New Roman"/>
          <w:sz w:val="24"/>
          <w:szCs w:val="24"/>
        </w:rPr>
        <w:t xml:space="preserve"> is available under the </w:t>
      </w:r>
      <w:r w:rsidRPr="00266D3A">
        <w:rPr>
          <w:rFonts w:ascii="Times New Roman" w:hAnsi="Times New Roman"/>
          <w:sz w:val="24"/>
          <w:szCs w:val="24"/>
        </w:rPr>
        <w:t>l</w:t>
      </w:r>
      <w:r>
        <w:rPr>
          <w:rFonts w:ascii="Times New Roman" w:hAnsi="Times New Roman"/>
          <w:sz w:val="24"/>
          <w:szCs w:val="24"/>
        </w:rPr>
        <w:t>imited partnership rules, use of limited partnerships in this circumstance</w:t>
      </w:r>
      <w:r w:rsidRPr="00266D3A">
        <w:rPr>
          <w:rFonts w:ascii="Times New Roman" w:hAnsi="Times New Roman"/>
          <w:sz w:val="24"/>
          <w:szCs w:val="24"/>
        </w:rPr>
        <w:t xml:space="preserve"> </w:t>
      </w:r>
      <w:r>
        <w:rPr>
          <w:rFonts w:ascii="Times New Roman" w:hAnsi="Times New Roman"/>
          <w:sz w:val="24"/>
          <w:szCs w:val="24"/>
        </w:rPr>
        <w:t xml:space="preserve">is </w:t>
      </w:r>
      <w:r w:rsidRPr="00266D3A">
        <w:rPr>
          <w:rFonts w:ascii="Times New Roman" w:hAnsi="Times New Roman"/>
          <w:sz w:val="24"/>
          <w:szCs w:val="24"/>
        </w:rPr>
        <w:t>more appropriate as they are designed for more widely held investment</w:t>
      </w:r>
      <w:r>
        <w:rPr>
          <w:rFonts w:ascii="Times New Roman" w:hAnsi="Times New Roman"/>
          <w:sz w:val="24"/>
          <w:szCs w:val="24"/>
        </w:rPr>
        <w:t>s</w:t>
      </w:r>
      <w:r w:rsidRPr="00266D3A">
        <w:rPr>
          <w:rFonts w:ascii="Times New Roman" w:hAnsi="Times New Roman"/>
          <w:sz w:val="24"/>
          <w:szCs w:val="24"/>
        </w:rPr>
        <w:t xml:space="preserve">.  </w:t>
      </w:r>
    </w:p>
    <w:p w:rsidR="00C9525B" w:rsidRPr="00266D3A" w:rsidRDefault="00C9525B" w:rsidP="00EA65CA">
      <w:pPr>
        <w:pStyle w:val="Bullet-list"/>
        <w:tabs>
          <w:tab w:val="num" w:pos="567"/>
          <w:tab w:val="left" w:pos="709"/>
          <w:tab w:val="left" w:pos="5812"/>
        </w:tabs>
        <w:spacing w:after="0" w:line="240" w:lineRule="auto"/>
        <w:ind w:left="0" w:firstLine="0"/>
        <w:jc w:val="both"/>
        <w:rPr>
          <w:rFonts w:ascii="Times New Roman" w:hAnsi="Times New Roman"/>
          <w:sz w:val="24"/>
          <w:szCs w:val="24"/>
        </w:rPr>
      </w:pPr>
    </w:p>
    <w:p w:rsidR="00C9525B" w:rsidRDefault="00C9525B"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312A3A">
        <w:rPr>
          <w:rFonts w:ascii="Times New Roman" w:hAnsi="Times New Roman"/>
          <w:sz w:val="24"/>
          <w:szCs w:val="24"/>
        </w:rPr>
        <w:t>In response to submitters</w:t>
      </w:r>
      <w:r w:rsidR="002A3056">
        <w:rPr>
          <w:rFonts w:ascii="Times New Roman" w:hAnsi="Times New Roman"/>
          <w:sz w:val="24"/>
          <w:szCs w:val="24"/>
        </w:rPr>
        <w:t>’</w:t>
      </w:r>
      <w:r w:rsidRPr="00312A3A">
        <w:rPr>
          <w:rFonts w:ascii="Times New Roman" w:hAnsi="Times New Roman"/>
          <w:sz w:val="24"/>
          <w:szCs w:val="24"/>
        </w:rPr>
        <w:t xml:space="preserve"> concerns </w:t>
      </w:r>
      <w:r>
        <w:rPr>
          <w:rFonts w:ascii="Times New Roman" w:hAnsi="Times New Roman"/>
          <w:sz w:val="24"/>
          <w:szCs w:val="24"/>
        </w:rPr>
        <w:t xml:space="preserve">that </w:t>
      </w:r>
      <w:r w:rsidRPr="00312A3A">
        <w:rPr>
          <w:rFonts w:ascii="Times New Roman" w:hAnsi="Times New Roman"/>
          <w:sz w:val="24"/>
          <w:szCs w:val="24"/>
        </w:rPr>
        <w:t>the proposals to restrict foreign income for foreign controlled LTCs</w:t>
      </w:r>
      <w:r>
        <w:rPr>
          <w:rFonts w:ascii="Times New Roman" w:hAnsi="Times New Roman"/>
          <w:sz w:val="24"/>
          <w:szCs w:val="24"/>
        </w:rPr>
        <w:t xml:space="preserve"> are targeting behaviour at the margins</w:t>
      </w:r>
      <w:r w:rsidRPr="00312A3A">
        <w:rPr>
          <w:rFonts w:ascii="Times New Roman" w:hAnsi="Times New Roman"/>
          <w:sz w:val="24"/>
          <w:szCs w:val="24"/>
        </w:rPr>
        <w:t xml:space="preserve">, officials consider the fact that there </w:t>
      </w:r>
      <w:r w:rsidRPr="00920A3D">
        <w:rPr>
          <w:rFonts w:ascii="Times New Roman" w:hAnsi="Times New Roman"/>
          <w:sz w:val="24"/>
          <w:szCs w:val="24"/>
        </w:rPr>
        <w:t xml:space="preserve">may currently be relatively little conduit activity through LTCs does not obviate the need to act now to address the reputational risk, rather than awaiting the wider BEPS work.  </w:t>
      </w:r>
    </w:p>
    <w:p w:rsidR="00C9525B" w:rsidRDefault="00C9525B" w:rsidP="00EA65CA">
      <w:pPr>
        <w:pStyle w:val="ListParagraph"/>
        <w:rPr>
          <w:rFonts w:ascii="Times New Roman" w:hAnsi="Times New Roman"/>
          <w:sz w:val="24"/>
          <w:szCs w:val="24"/>
        </w:rPr>
      </w:pPr>
    </w:p>
    <w:p w:rsidR="00C9525B" w:rsidRPr="00920A3D" w:rsidRDefault="00C9525B"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920A3D">
        <w:rPr>
          <w:rFonts w:ascii="Times New Roman" w:hAnsi="Times New Roman"/>
          <w:sz w:val="24"/>
          <w:szCs w:val="24"/>
        </w:rPr>
        <w:t xml:space="preserve">Submitters also questioned the commerciality of the applicable thresholds.  The thresholds are set to reflect the likely LTC target audience.  They are intended to provide flexibility for some degree of combined non-resident </w:t>
      </w:r>
      <w:r w:rsidR="00E77C43">
        <w:rPr>
          <w:rFonts w:ascii="Times New Roman" w:hAnsi="Times New Roman"/>
          <w:sz w:val="24"/>
          <w:szCs w:val="24"/>
        </w:rPr>
        <w:t>shareholding and foreign income</w:t>
      </w:r>
      <w:r w:rsidRPr="00920A3D">
        <w:rPr>
          <w:rFonts w:ascii="Times New Roman" w:hAnsi="Times New Roman"/>
          <w:sz w:val="24"/>
          <w:szCs w:val="24"/>
        </w:rPr>
        <w:t xml:space="preserve"> and should prevent a domestic family business inadvertently falling outside the rules through an owner emigrating.  </w:t>
      </w:r>
    </w:p>
    <w:p w:rsidR="00C9525B" w:rsidRPr="00A9736E" w:rsidRDefault="00C9525B" w:rsidP="00EA65CA">
      <w:pPr>
        <w:pStyle w:val="Bullet-list"/>
        <w:tabs>
          <w:tab w:val="num" w:pos="567"/>
        </w:tabs>
        <w:spacing w:after="0" w:line="240" w:lineRule="auto"/>
        <w:ind w:left="0" w:firstLine="0"/>
        <w:jc w:val="both"/>
        <w:rPr>
          <w:rFonts w:ascii="Times New Roman" w:hAnsi="Times New Roman"/>
          <w:sz w:val="24"/>
          <w:szCs w:val="24"/>
        </w:rPr>
      </w:pPr>
    </w:p>
    <w:p w:rsidR="00C9525B" w:rsidRDefault="00C9525B"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312A3A">
        <w:rPr>
          <w:rFonts w:ascii="Times New Roman" w:hAnsi="Times New Roman"/>
          <w:sz w:val="24"/>
          <w:szCs w:val="24"/>
        </w:rPr>
        <w:t xml:space="preserve">Overall this proposal is not expected to apply to all LTCs that derive foreign income.  Officials expect that the majority of LTCs earning foreign income will be predominantly New Zealand owned and, therefore, the rule will not apply.  For those LTCs that are currently used </w:t>
      </w:r>
      <w:r>
        <w:rPr>
          <w:rFonts w:ascii="Times New Roman" w:hAnsi="Times New Roman"/>
          <w:sz w:val="24"/>
          <w:szCs w:val="24"/>
        </w:rPr>
        <w:t xml:space="preserve">by non-residents purely as </w:t>
      </w:r>
      <w:r w:rsidRPr="00312A3A">
        <w:rPr>
          <w:rFonts w:ascii="Times New Roman" w:hAnsi="Times New Roman"/>
          <w:sz w:val="24"/>
          <w:szCs w:val="24"/>
        </w:rPr>
        <w:t xml:space="preserve">conduit investment vehicles the proposal is intended to be prohibitive. </w:t>
      </w:r>
    </w:p>
    <w:p w:rsidR="00FF5DF6" w:rsidRDefault="00FF5DF6" w:rsidP="00FF5DF6">
      <w:pPr>
        <w:pStyle w:val="ListParagraph"/>
        <w:rPr>
          <w:rFonts w:ascii="Times New Roman" w:hAnsi="Times New Roman"/>
          <w:sz w:val="24"/>
          <w:szCs w:val="24"/>
        </w:rPr>
      </w:pPr>
    </w:p>
    <w:p w:rsidR="00FF5DF6" w:rsidRDefault="00FF5DF6" w:rsidP="00FF5DF6">
      <w:pPr>
        <w:pStyle w:val="Bullet-list"/>
        <w:tabs>
          <w:tab w:val="num" w:pos="567"/>
        </w:tabs>
        <w:spacing w:after="0" w:line="240" w:lineRule="auto"/>
        <w:jc w:val="both"/>
        <w:rPr>
          <w:rFonts w:ascii="Times New Roman" w:hAnsi="Times New Roman"/>
          <w:sz w:val="24"/>
          <w:szCs w:val="24"/>
        </w:rPr>
      </w:pPr>
    </w:p>
    <w:p w:rsidR="00FF5DF6" w:rsidRDefault="00FF5DF6" w:rsidP="00FF5DF6">
      <w:pPr>
        <w:pStyle w:val="Bullet-list"/>
        <w:tabs>
          <w:tab w:val="num" w:pos="567"/>
        </w:tabs>
        <w:spacing w:after="0" w:line="240" w:lineRule="auto"/>
        <w:jc w:val="both"/>
        <w:rPr>
          <w:rFonts w:ascii="Times New Roman" w:hAnsi="Times New Roman"/>
          <w:sz w:val="24"/>
          <w:szCs w:val="24"/>
        </w:rPr>
      </w:pPr>
    </w:p>
    <w:p w:rsidR="00FF5DF6" w:rsidRDefault="00FF5DF6" w:rsidP="00FF5DF6">
      <w:pPr>
        <w:pStyle w:val="Bullet-list"/>
        <w:tabs>
          <w:tab w:val="num" w:pos="567"/>
        </w:tabs>
        <w:spacing w:after="0" w:line="240" w:lineRule="auto"/>
        <w:jc w:val="both"/>
        <w:rPr>
          <w:rFonts w:ascii="Times New Roman" w:hAnsi="Times New Roman"/>
          <w:sz w:val="24"/>
          <w:szCs w:val="24"/>
        </w:rPr>
      </w:pPr>
    </w:p>
    <w:p w:rsidR="00C9525B" w:rsidRDefault="00C9525B" w:rsidP="00EA65CA">
      <w:pPr>
        <w:pStyle w:val="ListParagraph"/>
        <w:rPr>
          <w:rFonts w:ascii="Times New Roman" w:hAnsi="Times New Roman"/>
          <w:sz w:val="24"/>
          <w:szCs w:val="24"/>
        </w:rPr>
      </w:pPr>
    </w:p>
    <w:p w:rsidR="00C9525B" w:rsidRDefault="00C9525B" w:rsidP="00EA65CA">
      <w:pPr>
        <w:pStyle w:val="Bullet-list"/>
        <w:spacing w:after="0" w:line="240" w:lineRule="auto"/>
        <w:jc w:val="both"/>
        <w:rPr>
          <w:rFonts w:ascii="Times New Roman" w:hAnsi="Times New Roman"/>
          <w:i/>
          <w:sz w:val="24"/>
          <w:szCs w:val="24"/>
        </w:rPr>
      </w:pPr>
      <w:r w:rsidRPr="00DA7484">
        <w:rPr>
          <w:rFonts w:ascii="Times New Roman" w:hAnsi="Times New Roman"/>
          <w:i/>
          <w:sz w:val="24"/>
          <w:szCs w:val="24"/>
        </w:rPr>
        <w:t>LTC entry tax</w:t>
      </w:r>
    </w:p>
    <w:p w:rsidR="00C9525B" w:rsidRDefault="00C9525B" w:rsidP="00EA65CA">
      <w:pPr>
        <w:pStyle w:val="Bullet-list"/>
        <w:spacing w:after="0" w:line="240" w:lineRule="auto"/>
        <w:ind w:left="0" w:firstLine="0"/>
        <w:jc w:val="both"/>
        <w:rPr>
          <w:rFonts w:ascii="Times New Roman" w:hAnsi="Times New Roman"/>
          <w:i/>
          <w:sz w:val="24"/>
          <w:szCs w:val="24"/>
        </w:rPr>
      </w:pPr>
    </w:p>
    <w:p w:rsidR="005F5058" w:rsidRDefault="005F5058"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Officials recommend the following changes to the LTC entry tax rules:</w:t>
      </w:r>
    </w:p>
    <w:p w:rsidR="005F5058" w:rsidRDefault="005F5058" w:rsidP="00166E95">
      <w:pPr>
        <w:pStyle w:val="TRBodyTextChar"/>
        <w:numPr>
          <w:ilvl w:val="1"/>
          <w:numId w:val="12"/>
        </w:numPr>
        <w:tabs>
          <w:tab w:val="left" w:pos="5812"/>
        </w:tabs>
        <w:spacing w:before="120" w:after="120"/>
        <w:rPr>
          <w:szCs w:val="24"/>
        </w:rPr>
      </w:pPr>
      <w:r w:rsidRPr="00DD797A">
        <w:rPr>
          <w:szCs w:val="24"/>
        </w:rPr>
        <w:t xml:space="preserve">that the income adjustment be modified so that all </w:t>
      </w:r>
      <w:r>
        <w:rPr>
          <w:szCs w:val="24"/>
        </w:rPr>
        <w:t>taxable</w:t>
      </w:r>
      <w:r w:rsidRPr="00DD797A">
        <w:rPr>
          <w:szCs w:val="24"/>
        </w:rPr>
        <w:t xml:space="preserve"> reserves are deemed to flow through to the owners and are</w:t>
      </w:r>
      <w:r>
        <w:rPr>
          <w:szCs w:val="24"/>
        </w:rPr>
        <w:t>,</w:t>
      </w:r>
      <w:r w:rsidRPr="00DD797A">
        <w:rPr>
          <w:szCs w:val="24"/>
        </w:rPr>
        <w:t xml:space="preserve"> therefore</w:t>
      </w:r>
      <w:r>
        <w:rPr>
          <w:szCs w:val="24"/>
        </w:rPr>
        <w:t>,</w:t>
      </w:r>
      <w:r w:rsidRPr="00DD797A">
        <w:rPr>
          <w:szCs w:val="24"/>
        </w:rPr>
        <w:t xml:space="preserve"> taxed at</w:t>
      </w:r>
      <w:r>
        <w:rPr>
          <w:szCs w:val="24"/>
        </w:rPr>
        <w:t xml:space="preserve"> the owners’ personal tax rates with imputation credits attached as appropriate;</w:t>
      </w:r>
      <w:r w:rsidRPr="009F28AA">
        <w:rPr>
          <w:szCs w:val="24"/>
        </w:rPr>
        <w:t xml:space="preserve"> </w:t>
      </w:r>
    </w:p>
    <w:p w:rsidR="005F5058" w:rsidRDefault="005F5058" w:rsidP="00166E95">
      <w:pPr>
        <w:pStyle w:val="TRBodyTextChar"/>
        <w:numPr>
          <w:ilvl w:val="1"/>
          <w:numId w:val="12"/>
        </w:numPr>
        <w:tabs>
          <w:tab w:val="left" w:pos="5812"/>
        </w:tabs>
        <w:spacing w:before="120" w:after="120"/>
        <w:rPr>
          <w:szCs w:val="24"/>
        </w:rPr>
      </w:pPr>
      <w:proofErr w:type="gramStart"/>
      <w:r w:rsidRPr="00DD797A">
        <w:rPr>
          <w:szCs w:val="24"/>
        </w:rPr>
        <w:t>that</w:t>
      </w:r>
      <w:proofErr w:type="gramEnd"/>
      <w:r w:rsidRPr="00DD797A">
        <w:rPr>
          <w:szCs w:val="24"/>
        </w:rPr>
        <w:t xml:space="preserve"> the income adjustment done at the time a QC becomes a LTC be modified so that the owners are taxed only to the extent they would be normally taxed on a </w:t>
      </w:r>
      <w:r>
        <w:rPr>
          <w:szCs w:val="24"/>
        </w:rPr>
        <w:t>liquidation of</w:t>
      </w:r>
      <w:r w:rsidRPr="00DD797A">
        <w:rPr>
          <w:szCs w:val="24"/>
        </w:rPr>
        <w:t xml:space="preserve"> the QC.</w:t>
      </w:r>
    </w:p>
    <w:p w:rsidR="005F5058" w:rsidRDefault="005F5058" w:rsidP="00EA65CA">
      <w:pPr>
        <w:pStyle w:val="ListParagraph"/>
        <w:rPr>
          <w:rFonts w:ascii="Times New Roman" w:hAnsi="Times New Roman"/>
          <w:sz w:val="24"/>
          <w:szCs w:val="24"/>
        </w:rPr>
      </w:pPr>
    </w:p>
    <w:p w:rsidR="005F5058" w:rsidRDefault="005F5058"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proposal to amend the entry tax formula, to tax the adjustment income at the shareholders’ personal tax rates rather than the company rate, is necessary to ensure that the LTC rules are not used to avoid the additional (potential 5%) tax.  It supports the integrity of the LTC regime, and the Income Tax Act.</w:t>
      </w:r>
    </w:p>
    <w:p w:rsidR="005F5058" w:rsidRDefault="005F5058" w:rsidP="00EA65CA">
      <w:pPr>
        <w:pStyle w:val="ListParagraph"/>
        <w:rPr>
          <w:rFonts w:ascii="Times New Roman" w:hAnsi="Times New Roman"/>
          <w:sz w:val="24"/>
          <w:szCs w:val="24"/>
        </w:rPr>
      </w:pPr>
    </w:p>
    <w:p w:rsidR="005F5058" w:rsidRDefault="005F5058"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remedial correction to the entry tax adjustment formula for QCs that convert to LTCs is necessary in order to ensure the LTC rules treat QC income consistently with the QC rules.</w:t>
      </w:r>
    </w:p>
    <w:p w:rsidR="005F5058" w:rsidRDefault="005F5058" w:rsidP="00EA65CA">
      <w:pPr>
        <w:pStyle w:val="Bullet-list"/>
        <w:tabs>
          <w:tab w:val="num" w:pos="567"/>
        </w:tabs>
        <w:spacing w:after="0" w:line="240" w:lineRule="auto"/>
        <w:ind w:left="0" w:firstLine="0"/>
        <w:jc w:val="both"/>
        <w:rPr>
          <w:rFonts w:ascii="Times New Roman" w:hAnsi="Times New Roman"/>
          <w:sz w:val="24"/>
          <w:szCs w:val="24"/>
        </w:rPr>
      </w:pPr>
    </w:p>
    <w:p w:rsidR="008D7AE3" w:rsidRDefault="008D7AE3" w:rsidP="00EA65CA">
      <w:pPr>
        <w:pStyle w:val="Bullet-list"/>
        <w:tabs>
          <w:tab w:val="num" w:pos="567"/>
        </w:tabs>
        <w:spacing w:after="0" w:line="240" w:lineRule="auto"/>
        <w:ind w:left="0" w:firstLine="0"/>
        <w:jc w:val="both"/>
        <w:rPr>
          <w:rFonts w:ascii="Times New Roman" w:hAnsi="Times New Roman"/>
          <w:sz w:val="24"/>
          <w:szCs w:val="24"/>
        </w:rPr>
      </w:pPr>
    </w:p>
    <w:p w:rsidR="00C9525B" w:rsidRPr="001F4DE5" w:rsidRDefault="00C9525B" w:rsidP="00EA65CA">
      <w:pPr>
        <w:pStyle w:val="Bullet-list"/>
        <w:spacing w:after="0" w:line="240" w:lineRule="auto"/>
        <w:ind w:left="0" w:firstLine="0"/>
        <w:jc w:val="both"/>
        <w:rPr>
          <w:rFonts w:ascii="Times New Roman" w:hAnsi="Times New Roman"/>
          <w:i/>
          <w:sz w:val="24"/>
          <w:szCs w:val="24"/>
        </w:rPr>
      </w:pPr>
      <w:r w:rsidRPr="001F4DE5">
        <w:rPr>
          <w:rFonts w:ascii="Times New Roman" w:hAnsi="Times New Roman"/>
          <w:i/>
          <w:sz w:val="24"/>
          <w:szCs w:val="24"/>
        </w:rPr>
        <w:t>Debt remission in the LTC context</w:t>
      </w:r>
    </w:p>
    <w:p w:rsidR="009001EA" w:rsidRDefault="009001EA" w:rsidP="00EA65CA">
      <w:pPr>
        <w:pStyle w:val="ListParagraph"/>
        <w:rPr>
          <w:szCs w:val="24"/>
        </w:rPr>
      </w:pPr>
    </w:p>
    <w:p w:rsidR="008D7AE3" w:rsidRDefault="0045441E"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9001EA">
        <w:rPr>
          <w:rFonts w:ascii="Times New Roman" w:hAnsi="Times New Roman"/>
          <w:sz w:val="24"/>
          <w:szCs w:val="24"/>
        </w:rPr>
        <w:t>With respect to the debt remission rules</w:t>
      </w:r>
      <w:r w:rsidR="009001EA" w:rsidRPr="009001EA">
        <w:rPr>
          <w:rFonts w:ascii="Times New Roman" w:hAnsi="Times New Roman"/>
          <w:sz w:val="24"/>
          <w:szCs w:val="24"/>
        </w:rPr>
        <w:t>, officials recommend the following</w:t>
      </w:r>
      <w:r w:rsidRPr="009001EA">
        <w:rPr>
          <w:rFonts w:ascii="Times New Roman" w:hAnsi="Times New Roman"/>
          <w:sz w:val="24"/>
          <w:szCs w:val="24"/>
        </w:rPr>
        <w:t>:</w:t>
      </w:r>
    </w:p>
    <w:p w:rsidR="008D7AE3" w:rsidRPr="008D7AE3" w:rsidRDefault="008D7AE3" w:rsidP="008D7AE3">
      <w:pPr>
        <w:pStyle w:val="Bullet-list"/>
        <w:tabs>
          <w:tab w:val="num" w:pos="567"/>
        </w:tabs>
        <w:spacing w:after="0" w:line="240" w:lineRule="auto"/>
        <w:ind w:left="0" w:firstLine="0"/>
        <w:jc w:val="both"/>
        <w:rPr>
          <w:rFonts w:ascii="Times New Roman" w:hAnsi="Times New Roman"/>
          <w:sz w:val="24"/>
          <w:szCs w:val="24"/>
        </w:rPr>
      </w:pPr>
    </w:p>
    <w:p w:rsidR="009001EA" w:rsidRPr="00DD797A" w:rsidRDefault="009001EA" w:rsidP="00166E95">
      <w:pPr>
        <w:pStyle w:val="TRBodyTextChar"/>
        <w:numPr>
          <w:ilvl w:val="0"/>
          <w:numId w:val="13"/>
        </w:numPr>
        <w:tabs>
          <w:tab w:val="left" w:pos="5812"/>
        </w:tabs>
        <w:rPr>
          <w:szCs w:val="24"/>
        </w:rPr>
      </w:pPr>
      <w:r>
        <w:rPr>
          <w:szCs w:val="24"/>
        </w:rPr>
        <w:t>t</w:t>
      </w:r>
      <w:r w:rsidRPr="00DD797A">
        <w:rPr>
          <w:szCs w:val="24"/>
        </w:rPr>
        <w:t>hat remission income no longer arise</w:t>
      </w:r>
      <w:r>
        <w:rPr>
          <w:szCs w:val="24"/>
        </w:rPr>
        <w:t>s</w:t>
      </w:r>
      <w:r w:rsidRPr="00DD797A">
        <w:rPr>
          <w:szCs w:val="24"/>
        </w:rPr>
        <w:t xml:space="preserve"> to a LTC owner who has lent to the LTC and subsequently has remitted the debt</w:t>
      </w:r>
      <w:r>
        <w:rPr>
          <w:szCs w:val="24"/>
        </w:rPr>
        <w:t>, with the change</w:t>
      </w:r>
      <w:r w:rsidRPr="0045441E">
        <w:rPr>
          <w:szCs w:val="24"/>
        </w:rPr>
        <w:t xml:space="preserve"> </w:t>
      </w:r>
      <w:r>
        <w:rPr>
          <w:szCs w:val="24"/>
        </w:rPr>
        <w:t xml:space="preserve">applying </w:t>
      </w:r>
      <w:r w:rsidRPr="00DD797A">
        <w:rPr>
          <w:szCs w:val="24"/>
        </w:rPr>
        <w:t xml:space="preserve">retrospectively </w:t>
      </w:r>
      <w:r>
        <w:rPr>
          <w:szCs w:val="24"/>
        </w:rPr>
        <w:t>from</w:t>
      </w:r>
      <w:r w:rsidRPr="00DD797A">
        <w:rPr>
          <w:szCs w:val="24"/>
        </w:rPr>
        <w:t xml:space="preserve"> the commencement of the LTC rules</w:t>
      </w:r>
      <w:r w:rsidR="001C4EC6" w:rsidRPr="001C4EC6">
        <w:rPr>
          <w:szCs w:val="24"/>
        </w:rPr>
        <w:t xml:space="preserve"> </w:t>
      </w:r>
      <w:r w:rsidR="001C4EC6">
        <w:rPr>
          <w:szCs w:val="24"/>
        </w:rPr>
        <w:t xml:space="preserve">(this approach should </w:t>
      </w:r>
      <w:r w:rsidR="001C4EC6" w:rsidRPr="00DD797A">
        <w:rPr>
          <w:szCs w:val="24"/>
        </w:rPr>
        <w:t>also apply to partners and their partn</w:t>
      </w:r>
      <w:r w:rsidR="001C4EC6">
        <w:rPr>
          <w:szCs w:val="24"/>
        </w:rPr>
        <w:t>erships or limited partnerships)</w:t>
      </w:r>
      <w:r w:rsidRPr="00DD797A">
        <w:rPr>
          <w:szCs w:val="24"/>
        </w:rPr>
        <w:t>;</w:t>
      </w:r>
    </w:p>
    <w:p w:rsidR="009001EA" w:rsidRPr="00DD797A" w:rsidRDefault="009001EA" w:rsidP="00166E95">
      <w:pPr>
        <w:pStyle w:val="TRBodyTextChar"/>
        <w:numPr>
          <w:ilvl w:val="0"/>
          <w:numId w:val="13"/>
        </w:numPr>
        <w:tabs>
          <w:tab w:val="left" w:pos="5812"/>
        </w:tabs>
        <w:rPr>
          <w:szCs w:val="24"/>
        </w:rPr>
      </w:pPr>
      <w:proofErr w:type="gramStart"/>
      <w:r>
        <w:rPr>
          <w:szCs w:val="24"/>
        </w:rPr>
        <w:t>a</w:t>
      </w:r>
      <w:proofErr w:type="gramEnd"/>
      <w:r w:rsidRPr="00DD797A">
        <w:rPr>
          <w:szCs w:val="24"/>
        </w:rPr>
        <w:t xml:space="preserve"> technical change to ensure the debt remission rules apply as intended in respect of other situations</w:t>
      </w:r>
      <w:r w:rsidRPr="0045441E">
        <w:rPr>
          <w:szCs w:val="24"/>
        </w:rPr>
        <w:t xml:space="preserve"> </w:t>
      </w:r>
      <w:r>
        <w:rPr>
          <w:szCs w:val="24"/>
        </w:rPr>
        <w:t>with the change</w:t>
      </w:r>
      <w:r w:rsidRPr="0045441E">
        <w:rPr>
          <w:szCs w:val="24"/>
        </w:rPr>
        <w:t xml:space="preserve"> </w:t>
      </w:r>
      <w:r>
        <w:rPr>
          <w:szCs w:val="24"/>
        </w:rPr>
        <w:t xml:space="preserve">applying </w:t>
      </w:r>
      <w:r w:rsidRPr="00DD797A">
        <w:rPr>
          <w:szCs w:val="24"/>
        </w:rPr>
        <w:t xml:space="preserve">retrospectively </w:t>
      </w:r>
      <w:r>
        <w:rPr>
          <w:szCs w:val="24"/>
        </w:rPr>
        <w:t>from</w:t>
      </w:r>
      <w:r w:rsidRPr="00DD797A">
        <w:rPr>
          <w:szCs w:val="24"/>
        </w:rPr>
        <w:t xml:space="preserve"> th</w:t>
      </w:r>
      <w:r>
        <w:rPr>
          <w:szCs w:val="24"/>
        </w:rPr>
        <w:t>e commencement of the LTC rules.</w:t>
      </w:r>
    </w:p>
    <w:p w:rsidR="009001EA" w:rsidRDefault="009001EA" w:rsidP="00EA65CA">
      <w:pPr>
        <w:pStyle w:val="ListParagraph"/>
        <w:rPr>
          <w:rFonts w:ascii="Times New Roman" w:hAnsi="Times New Roman"/>
          <w:sz w:val="24"/>
          <w:szCs w:val="24"/>
        </w:rPr>
      </w:pPr>
    </w:p>
    <w:p w:rsidR="005F5058" w:rsidRDefault="009001EA"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9001EA">
        <w:rPr>
          <w:rFonts w:ascii="Times New Roman" w:hAnsi="Times New Roman"/>
          <w:sz w:val="24"/>
          <w:szCs w:val="24"/>
        </w:rPr>
        <w:t>Both of these amendments are necessary to ensure that the debt remission rules operate as intended.  In response to submitters concerns</w:t>
      </w:r>
      <w:r w:rsidR="002A3056">
        <w:rPr>
          <w:rFonts w:ascii="Times New Roman" w:hAnsi="Times New Roman"/>
          <w:sz w:val="24"/>
          <w:szCs w:val="24"/>
        </w:rPr>
        <w:t>,</w:t>
      </w:r>
      <w:r w:rsidRPr="009001EA">
        <w:rPr>
          <w:rFonts w:ascii="Times New Roman" w:hAnsi="Times New Roman"/>
          <w:sz w:val="24"/>
          <w:szCs w:val="24"/>
        </w:rPr>
        <w:t xml:space="preserve"> officials recommend </w:t>
      </w:r>
      <w:r>
        <w:rPr>
          <w:rFonts w:ascii="Times New Roman" w:hAnsi="Times New Roman"/>
          <w:sz w:val="24"/>
          <w:szCs w:val="24"/>
        </w:rPr>
        <w:t xml:space="preserve">that </w:t>
      </w:r>
      <w:r w:rsidRPr="009001EA">
        <w:rPr>
          <w:rFonts w:ascii="Times New Roman" w:hAnsi="Times New Roman"/>
          <w:sz w:val="24"/>
          <w:szCs w:val="24"/>
        </w:rPr>
        <w:t xml:space="preserve">any taxable income </w:t>
      </w:r>
      <w:r w:rsidR="00381587">
        <w:rPr>
          <w:rFonts w:ascii="Times New Roman" w:hAnsi="Times New Roman"/>
          <w:sz w:val="24"/>
          <w:szCs w:val="24"/>
        </w:rPr>
        <w:t>that</w:t>
      </w:r>
      <w:r w:rsidRPr="009001EA">
        <w:rPr>
          <w:rFonts w:ascii="Times New Roman" w:hAnsi="Times New Roman"/>
          <w:sz w:val="24"/>
          <w:szCs w:val="24"/>
        </w:rPr>
        <w:t xml:space="preserve"> </w:t>
      </w:r>
      <w:r>
        <w:rPr>
          <w:rFonts w:ascii="Times New Roman" w:hAnsi="Times New Roman"/>
          <w:sz w:val="24"/>
          <w:szCs w:val="24"/>
        </w:rPr>
        <w:t>arises as a result of the r</w:t>
      </w:r>
      <w:r w:rsidR="00381587">
        <w:rPr>
          <w:rFonts w:ascii="Times New Roman" w:hAnsi="Times New Roman"/>
          <w:sz w:val="24"/>
          <w:szCs w:val="24"/>
        </w:rPr>
        <w:t>etrospective application of the second</w:t>
      </w:r>
      <w:r>
        <w:rPr>
          <w:rFonts w:ascii="Times New Roman" w:hAnsi="Times New Roman"/>
          <w:sz w:val="24"/>
          <w:szCs w:val="24"/>
        </w:rPr>
        <w:t xml:space="preserve"> </w:t>
      </w:r>
      <w:r w:rsidR="00381587">
        <w:rPr>
          <w:rFonts w:ascii="Times New Roman" w:hAnsi="Times New Roman"/>
          <w:sz w:val="24"/>
          <w:szCs w:val="24"/>
        </w:rPr>
        <w:t xml:space="preserve">point of the </w:t>
      </w:r>
      <w:r>
        <w:rPr>
          <w:rFonts w:ascii="Times New Roman" w:hAnsi="Times New Roman"/>
          <w:sz w:val="24"/>
          <w:szCs w:val="24"/>
        </w:rPr>
        <w:t xml:space="preserve">proposal </w:t>
      </w:r>
      <w:r w:rsidR="00381587">
        <w:rPr>
          <w:rFonts w:ascii="Times New Roman" w:hAnsi="Times New Roman"/>
          <w:sz w:val="24"/>
          <w:szCs w:val="24"/>
        </w:rPr>
        <w:t xml:space="preserve">to </w:t>
      </w:r>
      <w:r w:rsidRPr="009001EA">
        <w:rPr>
          <w:rFonts w:ascii="Times New Roman" w:hAnsi="Times New Roman"/>
          <w:sz w:val="24"/>
          <w:szCs w:val="24"/>
        </w:rPr>
        <w:t xml:space="preserve">years before the 2017–18 tax </w:t>
      </w:r>
      <w:proofErr w:type="gramStart"/>
      <w:r w:rsidRPr="009001EA">
        <w:rPr>
          <w:rFonts w:ascii="Times New Roman" w:hAnsi="Times New Roman"/>
          <w:sz w:val="24"/>
          <w:szCs w:val="24"/>
        </w:rPr>
        <w:t>year</w:t>
      </w:r>
      <w:proofErr w:type="gramEnd"/>
      <w:r w:rsidRPr="009001EA">
        <w:rPr>
          <w:rFonts w:ascii="Times New Roman" w:hAnsi="Times New Roman"/>
          <w:sz w:val="24"/>
          <w:szCs w:val="24"/>
        </w:rPr>
        <w:t xml:space="preserve"> be recognised prospectively in the 2017–18 tax year. </w:t>
      </w:r>
      <w:r>
        <w:rPr>
          <w:rFonts w:ascii="Times New Roman" w:hAnsi="Times New Roman"/>
          <w:sz w:val="24"/>
          <w:szCs w:val="24"/>
        </w:rPr>
        <w:t xml:space="preserve"> This will minimise the tax consequences for taxpayers who should have had remission income arise in line with the intended operation of the rules, but </w:t>
      </w:r>
      <w:r w:rsidR="00381587">
        <w:rPr>
          <w:rFonts w:ascii="Times New Roman" w:hAnsi="Times New Roman"/>
          <w:sz w:val="24"/>
          <w:szCs w:val="24"/>
        </w:rPr>
        <w:t>who took a different tax interpretation</w:t>
      </w:r>
      <w:r>
        <w:rPr>
          <w:rFonts w:ascii="Times New Roman" w:hAnsi="Times New Roman"/>
          <w:sz w:val="24"/>
          <w:szCs w:val="24"/>
        </w:rPr>
        <w:t xml:space="preserve">. </w:t>
      </w:r>
    </w:p>
    <w:p w:rsidR="005F5058" w:rsidRPr="005F5058" w:rsidRDefault="005F5058" w:rsidP="00EA65CA">
      <w:pPr>
        <w:pStyle w:val="Bullet-list"/>
        <w:spacing w:after="0" w:line="240" w:lineRule="auto"/>
        <w:ind w:left="0" w:firstLine="0"/>
        <w:jc w:val="both"/>
        <w:rPr>
          <w:rFonts w:ascii="Times New Roman" w:hAnsi="Times New Roman"/>
          <w:sz w:val="24"/>
          <w:szCs w:val="24"/>
        </w:rPr>
      </w:pPr>
    </w:p>
    <w:p w:rsidR="009001EA" w:rsidRPr="009001EA" w:rsidRDefault="005F5058" w:rsidP="00EA65CA">
      <w:pPr>
        <w:jc w:val="both"/>
        <w:rPr>
          <w:rFonts w:ascii="Times New Roman" w:hAnsi="Times New Roman"/>
          <w:sz w:val="24"/>
          <w:szCs w:val="24"/>
        </w:rPr>
      </w:pPr>
      <w:r w:rsidRPr="005F5058">
        <w:rPr>
          <w:rFonts w:ascii="Times New Roman" w:hAnsi="Times New Roman"/>
          <w:i/>
          <w:sz w:val="24"/>
          <w:szCs w:val="24"/>
        </w:rPr>
        <w:t>QC status</w:t>
      </w:r>
    </w:p>
    <w:p w:rsidR="002A7F9A" w:rsidRPr="002A7F9A" w:rsidRDefault="0045441E" w:rsidP="00166E95">
      <w:pPr>
        <w:pStyle w:val="Bullet-list"/>
        <w:numPr>
          <w:ilvl w:val="0"/>
          <w:numId w:val="2"/>
        </w:numPr>
        <w:tabs>
          <w:tab w:val="num" w:pos="567"/>
        </w:tabs>
        <w:spacing w:after="0" w:line="240" w:lineRule="auto"/>
        <w:ind w:left="0" w:firstLine="0"/>
        <w:jc w:val="both"/>
        <w:rPr>
          <w:szCs w:val="24"/>
        </w:rPr>
      </w:pPr>
      <w:r w:rsidRPr="009001EA">
        <w:rPr>
          <w:rFonts w:ascii="Times New Roman" w:hAnsi="Times New Roman"/>
          <w:sz w:val="24"/>
          <w:szCs w:val="24"/>
        </w:rPr>
        <w:t xml:space="preserve">With respect to </w:t>
      </w:r>
      <w:r w:rsidRPr="002A7F9A">
        <w:rPr>
          <w:rFonts w:ascii="Times New Roman" w:hAnsi="Times New Roman"/>
          <w:sz w:val="24"/>
          <w:szCs w:val="24"/>
        </w:rPr>
        <w:t>existing QCs</w:t>
      </w:r>
      <w:r w:rsidR="002A7F9A">
        <w:rPr>
          <w:rFonts w:ascii="Times New Roman" w:hAnsi="Times New Roman"/>
          <w:sz w:val="24"/>
          <w:szCs w:val="24"/>
        </w:rPr>
        <w:t xml:space="preserve"> offic</w:t>
      </w:r>
      <w:r w:rsidR="00381587">
        <w:rPr>
          <w:rFonts w:ascii="Times New Roman" w:hAnsi="Times New Roman"/>
          <w:sz w:val="24"/>
          <w:szCs w:val="24"/>
        </w:rPr>
        <w:t xml:space="preserve">ials have recommended that their QC status should </w:t>
      </w:r>
      <w:r w:rsidRPr="002A7F9A">
        <w:rPr>
          <w:rFonts w:ascii="Times New Roman" w:hAnsi="Times New Roman"/>
          <w:sz w:val="24"/>
          <w:szCs w:val="24"/>
        </w:rPr>
        <w:t>continue</w:t>
      </w:r>
      <w:r w:rsidR="002A7F9A">
        <w:rPr>
          <w:rFonts w:ascii="Times New Roman" w:hAnsi="Times New Roman"/>
          <w:sz w:val="24"/>
          <w:szCs w:val="24"/>
        </w:rPr>
        <w:t xml:space="preserve">.  This recommendation is based primarily on the understanding that </w:t>
      </w:r>
      <w:r w:rsidR="002A7F9A" w:rsidRPr="002A7F9A">
        <w:rPr>
          <w:rFonts w:ascii="Times New Roman" w:hAnsi="Times New Roman"/>
          <w:sz w:val="24"/>
          <w:szCs w:val="24"/>
        </w:rPr>
        <w:t>there are practical constraints, such as the tax rules on the disposal of a LTC interest, that act as an understandable impediment to their conversion.</w:t>
      </w:r>
      <w:r w:rsidR="002A7F9A">
        <w:t xml:space="preserve">  </w:t>
      </w:r>
      <w:r w:rsidR="002A7F9A">
        <w:rPr>
          <w:rFonts w:ascii="Times New Roman" w:hAnsi="Times New Roman"/>
          <w:sz w:val="24"/>
          <w:szCs w:val="24"/>
        </w:rPr>
        <w:t xml:space="preserve">To force all QCs to convert into ordinary companies or LTCs, by repealing the QC rules would result in significant costs for the owners </w:t>
      </w:r>
      <w:r w:rsidR="00381587">
        <w:rPr>
          <w:rFonts w:ascii="Times New Roman" w:hAnsi="Times New Roman"/>
          <w:sz w:val="24"/>
          <w:szCs w:val="24"/>
        </w:rPr>
        <w:t>of the</w:t>
      </w:r>
      <w:r w:rsidR="002A7F9A">
        <w:rPr>
          <w:rFonts w:ascii="Times New Roman" w:hAnsi="Times New Roman"/>
          <w:sz w:val="24"/>
          <w:szCs w:val="24"/>
        </w:rPr>
        <w:t xml:space="preserve"> remaining </w:t>
      </w:r>
      <w:r w:rsidR="00381587">
        <w:rPr>
          <w:rFonts w:ascii="Times New Roman" w:hAnsi="Times New Roman"/>
          <w:sz w:val="24"/>
          <w:szCs w:val="24"/>
        </w:rPr>
        <w:t xml:space="preserve">70,000 </w:t>
      </w:r>
      <w:r w:rsidR="002A7F9A">
        <w:rPr>
          <w:rFonts w:ascii="Times New Roman" w:hAnsi="Times New Roman"/>
          <w:sz w:val="24"/>
          <w:szCs w:val="24"/>
        </w:rPr>
        <w:t>QCs.</w:t>
      </w:r>
    </w:p>
    <w:p w:rsidR="002A7F9A" w:rsidRDefault="002A7F9A" w:rsidP="00EA65CA">
      <w:pPr>
        <w:pStyle w:val="ListParagraph"/>
        <w:rPr>
          <w:rFonts w:ascii="Times New Roman" w:hAnsi="Times New Roman"/>
          <w:sz w:val="24"/>
          <w:szCs w:val="24"/>
        </w:rPr>
      </w:pPr>
    </w:p>
    <w:p w:rsidR="002A7F9A" w:rsidRDefault="002A7F9A" w:rsidP="00166E95">
      <w:pPr>
        <w:pStyle w:val="Bullet-list"/>
        <w:numPr>
          <w:ilvl w:val="0"/>
          <w:numId w:val="2"/>
        </w:numPr>
        <w:tabs>
          <w:tab w:val="num" w:pos="567"/>
        </w:tabs>
        <w:spacing w:after="0" w:line="240" w:lineRule="auto"/>
        <w:ind w:left="0" w:firstLine="0"/>
        <w:jc w:val="both"/>
        <w:rPr>
          <w:szCs w:val="24"/>
        </w:rPr>
      </w:pPr>
      <w:r>
        <w:rPr>
          <w:rFonts w:ascii="Times New Roman" w:hAnsi="Times New Roman"/>
          <w:sz w:val="24"/>
          <w:szCs w:val="24"/>
        </w:rPr>
        <w:t>The proposal</w:t>
      </w:r>
      <w:r w:rsidR="0045441E" w:rsidRPr="002A7F9A">
        <w:rPr>
          <w:rFonts w:ascii="Times New Roman" w:hAnsi="Times New Roman"/>
          <w:sz w:val="24"/>
          <w:szCs w:val="24"/>
        </w:rPr>
        <w:t xml:space="preserve"> </w:t>
      </w:r>
      <w:r>
        <w:rPr>
          <w:rFonts w:ascii="Times New Roman" w:hAnsi="Times New Roman"/>
          <w:sz w:val="24"/>
          <w:szCs w:val="24"/>
        </w:rPr>
        <w:t xml:space="preserve">to restrict a change in </w:t>
      </w:r>
      <w:r w:rsidR="00381587">
        <w:rPr>
          <w:rFonts w:ascii="Times New Roman" w:hAnsi="Times New Roman"/>
          <w:sz w:val="24"/>
          <w:szCs w:val="24"/>
        </w:rPr>
        <w:t xml:space="preserve">control of the </w:t>
      </w:r>
      <w:r>
        <w:rPr>
          <w:rFonts w:ascii="Times New Roman" w:hAnsi="Times New Roman"/>
          <w:sz w:val="24"/>
          <w:szCs w:val="24"/>
        </w:rPr>
        <w:t xml:space="preserve">existing QCs is required in order to prevent QC trading and thereby ensure that the grandparented entities do not receive a permanent tax advantage.  </w:t>
      </w:r>
      <w:r w:rsidRPr="002A7F9A">
        <w:rPr>
          <w:rFonts w:ascii="Times New Roman" w:hAnsi="Times New Roman"/>
          <w:sz w:val="24"/>
          <w:szCs w:val="24"/>
        </w:rPr>
        <w:t xml:space="preserve">Officials have refined this proposal, in line with submissions, to ensure </w:t>
      </w:r>
      <w:r w:rsidR="0045441E" w:rsidRPr="002A7F9A">
        <w:rPr>
          <w:rFonts w:ascii="Times New Roman" w:hAnsi="Times New Roman"/>
          <w:sz w:val="24"/>
          <w:szCs w:val="24"/>
        </w:rPr>
        <w:t xml:space="preserve">that property relationship changes and shareholder deaths </w:t>
      </w:r>
      <w:r>
        <w:rPr>
          <w:rFonts w:ascii="Times New Roman" w:hAnsi="Times New Roman"/>
          <w:sz w:val="24"/>
          <w:szCs w:val="24"/>
        </w:rPr>
        <w:t xml:space="preserve">are </w:t>
      </w:r>
      <w:r w:rsidR="0045441E" w:rsidRPr="002A7F9A">
        <w:rPr>
          <w:rFonts w:ascii="Times New Roman" w:hAnsi="Times New Roman"/>
          <w:sz w:val="24"/>
          <w:szCs w:val="24"/>
        </w:rPr>
        <w:t>ignored whe</w:t>
      </w:r>
      <w:r w:rsidRPr="002A7F9A">
        <w:rPr>
          <w:rFonts w:ascii="Times New Roman" w:hAnsi="Times New Roman"/>
          <w:sz w:val="24"/>
          <w:szCs w:val="24"/>
        </w:rPr>
        <w:t>n measuring a change of control.</w:t>
      </w:r>
      <w:r w:rsidR="003955B1">
        <w:rPr>
          <w:szCs w:val="24"/>
        </w:rPr>
        <w:t xml:space="preserve">  </w:t>
      </w:r>
    </w:p>
    <w:p w:rsidR="003955B1" w:rsidRDefault="003955B1" w:rsidP="00EA65CA">
      <w:pPr>
        <w:pStyle w:val="Bullet-list"/>
        <w:spacing w:after="0" w:line="240" w:lineRule="auto"/>
        <w:ind w:left="0" w:firstLine="0"/>
        <w:jc w:val="both"/>
        <w:rPr>
          <w:szCs w:val="24"/>
        </w:rPr>
      </w:pPr>
    </w:p>
    <w:p w:rsidR="002A7F9A" w:rsidRPr="003955B1" w:rsidRDefault="003955B1"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3955B1">
        <w:rPr>
          <w:rFonts w:ascii="Times New Roman" w:hAnsi="Times New Roman"/>
          <w:sz w:val="24"/>
          <w:szCs w:val="24"/>
        </w:rPr>
        <w:t xml:space="preserve">Further, to ease compliance, officials have recommended that </w:t>
      </w:r>
      <w:r w:rsidR="002A7F9A" w:rsidRPr="003955B1">
        <w:rPr>
          <w:rFonts w:ascii="Times New Roman" w:hAnsi="Times New Roman"/>
          <w:sz w:val="24"/>
          <w:szCs w:val="24"/>
        </w:rPr>
        <w:t xml:space="preserve">the </w:t>
      </w:r>
      <w:r w:rsidRPr="003955B1">
        <w:rPr>
          <w:rFonts w:ascii="Times New Roman" w:hAnsi="Times New Roman"/>
          <w:sz w:val="24"/>
          <w:szCs w:val="24"/>
        </w:rPr>
        <w:t xml:space="preserve">change in control </w:t>
      </w:r>
      <w:r w:rsidR="002A7F9A" w:rsidRPr="003955B1">
        <w:rPr>
          <w:rFonts w:ascii="Times New Roman" w:hAnsi="Times New Roman"/>
          <w:sz w:val="24"/>
          <w:szCs w:val="24"/>
        </w:rPr>
        <w:t>test should only apply prospectively, to changes in shareholding from the date of enactment.</w:t>
      </w:r>
    </w:p>
    <w:p w:rsidR="0045441E" w:rsidRDefault="0045441E" w:rsidP="00EA65CA">
      <w:pPr>
        <w:pStyle w:val="Bullet-list"/>
        <w:tabs>
          <w:tab w:val="num" w:pos="567"/>
        </w:tabs>
        <w:spacing w:after="0" w:line="240" w:lineRule="auto"/>
        <w:ind w:left="0" w:firstLine="0"/>
        <w:jc w:val="both"/>
        <w:rPr>
          <w:rFonts w:ascii="Times New Roman" w:hAnsi="Times New Roman"/>
          <w:sz w:val="24"/>
          <w:szCs w:val="24"/>
        </w:rPr>
      </w:pPr>
    </w:p>
    <w:p w:rsidR="00414CB6" w:rsidRDefault="00414CB6" w:rsidP="00EA65CA">
      <w:pPr>
        <w:pStyle w:val="Bullet-list"/>
        <w:tabs>
          <w:tab w:val="num" w:pos="567"/>
        </w:tabs>
        <w:spacing w:after="0" w:line="240" w:lineRule="auto"/>
        <w:ind w:left="0" w:firstLine="0"/>
        <w:jc w:val="both"/>
        <w:rPr>
          <w:rFonts w:ascii="Times New Roman" w:hAnsi="Times New Roman"/>
          <w:sz w:val="24"/>
          <w:szCs w:val="24"/>
        </w:rPr>
      </w:pPr>
    </w:p>
    <w:p w:rsidR="0045441E" w:rsidRPr="00E1326E" w:rsidRDefault="0045441E" w:rsidP="00EA65CA">
      <w:pPr>
        <w:pStyle w:val="RISheading"/>
        <w:jc w:val="both"/>
        <w:rPr>
          <w:spacing w:val="0"/>
          <w:w w:val="100"/>
        </w:rPr>
      </w:pPr>
      <w:r w:rsidRPr="00E1326E">
        <w:rPr>
          <w:spacing w:val="0"/>
          <w:w w:val="100"/>
        </w:rPr>
        <w:t xml:space="preserve">IMPLEMENTATION </w:t>
      </w:r>
    </w:p>
    <w:p w:rsidR="0045441E" w:rsidRDefault="0045441E" w:rsidP="00EA65CA">
      <w:pPr>
        <w:pStyle w:val="Bullet-list"/>
        <w:tabs>
          <w:tab w:val="num" w:pos="567"/>
        </w:tabs>
        <w:spacing w:after="0" w:line="240" w:lineRule="auto"/>
        <w:ind w:left="0" w:firstLine="0"/>
        <w:jc w:val="both"/>
        <w:rPr>
          <w:rFonts w:ascii="Times New Roman" w:hAnsi="Times New Roman"/>
          <w:sz w:val="24"/>
          <w:szCs w:val="24"/>
        </w:rPr>
      </w:pPr>
    </w:p>
    <w:p w:rsidR="00C56701" w:rsidRDefault="006B4C0C" w:rsidP="00166E95">
      <w:pPr>
        <w:pStyle w:val="Bullet-list"/>
        <w:numPr>
          <w:ilvl w:val="0"/>
          <w:numId w:val="2"/>
        </w:numPr>
        <w:tabs>
          <w:tab w:val="clear" w:pos="360"/>
          <w:tab w:val="num" w:pos="0"/>
        </w:tabs>
        <w:spacing w:after="0" w:line="240" w:lineRule="auto"/>
        <w:ind w:left="0" w:firstLine="0"/>
        <w:jc w:val="both"/>
        <w:rPr>
          <w:rFonts w:ascii="Times New Roman" w:hAnsi="Times New Roman"/>
          <w:sz w:val="24"/>
          <w:szCs w:val="24"/>
        </w:rPr>
      </w:pPr>
      <w:r w:rsidRPr="0045441E">
        <w:rPr>
          <w:rFonts w:ascii="Times New Roman" w:hAnsi="Times New Roman"/>
          <w:sz w:val="24"/>
          <w:szCs w:val="24"/>
        </w:rPr>
        <w:t>If approved, the preferred option</w:t>
      </w:r>
      <w:r w:rsidR="0045441E">
        <w:rPr>
          <w:rFonts w:ascii="Times New Roman" w:hAnsi="Times New Roman"/>
          <w:sz w:val="24"/>
          <w:szCs w:val="24"/>
        </w:rPr>
        <w:t>s</w:t>
      </w:r>
      <w:r w:rsidRPr="0045441E">
        <w:rPr>
          <w:rFonts w:ascii="Times New Roman" w:hAnsi="Times New Roman"/>
          <w:sz w:val="24"/>
          <w:szCs w:val="24"/>
        </w:rPr>
        <w:t xml:space="preserve"> will </w:t>
      </w:r>
      <w:r w:rsidR="00C56701">
        <w:rPr>
          <w:rFonts w:ascii="Times New Roman" w:hAnsi="Times New Roman"/>
          <w:sz w:val="24"/>
          <w:szCs w:val="24"/>
        </w:rPr>
        <w:t xml:space="preserve">primarily </w:t>
      </w:r>
      <w:r w:rsidRPr="0045441E">
        <w:rPr>
          <w:rFonts w:ascii="Times New Roman" w:hAnsi="Times New Roman"/>
          <w:sz w:val="24"/>
          <w:szCs w:val="24"/>
        </w:rPr>
        <w:t>require cha</w:t>
      </w:r>
      <w:r w:rsidR="0045441E">
        <w:rPr>
          <w:rFonts w:ascii="Times New Roman" w:hAnsi="Times New Roman"/>
          <w:sz w:val="24"/>
          <w:szCs w:val="24"/>
        </w:rPr>
        <w:t>nges to the Income Tax Act 2007</w:t>
      </w:r>
      <w:r w:rsidR="005F5058">
        <w:rPr>
          <w:rFonts w:ascii="Times New Roman" w:hAnsi="Times New Roman"/>
          <w:sz w:val="24"/>
          <w:szCs w:val="24"/>
        </w:rPr>
        <w:t>.</w:t>
      </w:r>
    </w:p>
    <w:p w:rsidR="005F5058" w:rsidRDefault="005F5058" w:rsidP="00EA65CA">
      <w:pPr>
        <w:pStyle w:val="Bullet-list"/>
        <w:tabs>
          <w:tab w:val="num" w:pos="567"/>
        </w:tabs>
        <w:spacing w:after="0" w:line="240" w:lineRule="auto"/>
        <w:ind w:left="0" w:firstLine="0"/>
        <w:jc w:val="both"/>
        <w:rPr>
          <w:rFonts w:ascii="Times New Roman" w:hAnsi="Times New Roman"/>
          <w:sz w:val="24"/>
          <w:szCs w:val="24"/>
        </w:rPr>
      </w:pPr>
    </w:p>
    <w:p w:rsidR="005F5058" w:rsidRPr="005F5058" w:rsidRDefault="005F5058"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Officials </w:t>
      </w:r>
      <w:r w:rsidRPr="0045441E">
        <w:rPr>
          <w:rFonts w:ascii="Times New Roman" w:hAnsi="Times New Roman"/>
          <w:sz w:val="24"/>
          <w:szCs w:val="24"/>
        </w:rPr>
        <w:t xml:space="preserve">recommend any legislative changes be included in the taxation bill scheduled for introduction in March 2016 and apply, unless otherwise stated, from the commencement of the 2017–18 income year.  </w:t>
      </w:r>
    </w:p>
    <w:p w:rsidR="0045441E" w:rsidRDefault="00C56701" w:rsidP="00EA65CA">
      <w:pPr>
        <w:pStyle w:val="Bullet-list"/>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p>
    <w:p w:rsidR="003F3987" w:rsidRDefault="006B4C0C"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45441E">
        <w:rPr>
          <w:rFonts w:ascii="Times New Roman" w:hAnsi="Times New Roman"/>
          <w:sz w:val="24"/>
          <w:szCs w:val="24"/>
        </w:rPr>
        <w:t>When introduced into Parliament, a commentary on the bill will be released explaining the amendments and further explanation of their effect will be contain</w:t>
      </w:r>
      <w:r w:rsidR="0028142B">
        <w:rPr>
          <w:rFonts w:ascii="Times New Roman" w:hAnsi="Times New Roman"/>
          <w:sz w:val="24"/>
          <w:szCs w:val="24"/>
        </w:rPr>
        <w:t xml:space="preserve">ed in Inland Revenue’s </w:t>
      </w:r>
      <w:r w:rsidRPr="0045441E">
        <w:rPr>
          <w:rFonts w:ascii="Times New Roman" w:hAnsi="Times New Roman"/>
          <w:sz w:val="24"/>
          <w:szCs w:val="24"/>
        </w:rPr>
        <w:t>Tax Information Bulletin, which would be released shortly after the bill receives Royal assent.</w:t>
      </w:r>
    </w:p>
    <w:p w:rsidR="003F3987" w:rsidRDefault="003F3987" w:rsidP="00EA65CA">
      <w:pPr>
        <w:pStyle w:val="ListParagraph"/>
      </w:pPr>
    </w:p>
    <w:p w:rsidR="006B4C0C" w:rsidRPr="003F3987" w:rsidRDefault="006B4C0C"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3F3987">
        <w:rPr>
          <w:rFonts w:ascii="Times New Roman" w:hAnsi="Times New Roman"/>
          <w:sz w:val="24"/>
          <w:szCs w:val="24"/>
        </w:rPr>
        <w:t xml:space="preserve">Inland Revenue will administer the proposed changes.  Enforcement of the changes would be managed by Inland Revenue as business as usual.  </w:t>
      </w:r>
    </w:p>
    <w:p w:rsidR="006B4C0C" w:rsidRPr="00E1326E" w:rsidRDefault="006B4C0C" w:rsidP="00EA65CA">
      <w:pPr>
        <w:pStyle w:val="Bullet-list"/>
        <w:spacing w:after="0" w:line="240" w:lineRule="auto"/>
        <w:ind w:left="0" w:firstLine="0"/>
        <w:jc w:val="both"/>
        <w:rPr>
          <w:rFonts w:ascii="Times New Roman" w:hAnsi="Times New Roman"/>
          <w:sz w:val="24"/>
          <w:szCs w:val="24"/>
        </w:rPr>
      </w:pPr>
    </w:p>
    <w:p w:rsidR="006B4C0C" w:rsidRPr="00E1326E" w:rsidRDefault="006B4C0C" w:rsidP="00EA65CA">
      <w:pPr>
        <w:pStyle w:val="RISheading"/>
        <w:jc w:val="both"/>
        <w:rPr>
          <w:spacing w:val="0"/>
          <w:w w:val="100"/>
        </w:rPr>
      </w:pPr>
      <w:bookmarkStart w:id="32" w:name="_Toc244580369"/>
      <w:bookmarkStart w:id="33" w:name="_Toc244587045"/>
      <w:bookmarkStart w:id="34" w:name="_Toc244857279"/>
      <w:bookmarkStart w:id="35" w:name="_Toc244912544"/>
      <w:bookmarkStart w:id="36" w:name="_Toc244917001"/>
      <w:r w:rsidRPr="00E1326E">
        <w:rPr>
          <w:spacing w:val="0"/>
          <w:w w:val="100"/>
        </w:rPr>
        <w:t>MONITORING, EVALUATION AND REVIEW</w:t>
      </w:r>
      <w:bookmarkEnd w:id="32"/>
      <w:bookmarkEnd w:id="33"/>
      <w:bookmarkEnd w:id="34"/>
      <w:bookmarkEnd w:id="35"/>
      <w:bookmarkEnd w:id="36"/>
    </w:p>
    <w:p w:rsidR="006B4C0C" w:rsidRPr="003F3987" w:rsidRDefault="006B4C0C"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3F3987">
        <w:rPr>
          <w:rFonts w:ascii="Times New Roman" w:hAnsi="Times New Roman"/>
          <w:sz w:val="24"/>
          <w:szCs w:val="24"/>
        </w:rPr>
        <w:t xml:space="preserve">In general, Inland Revenue monitoring, evaluation and review of </w:t>
      </w:r>
      <w:r w:rsidR="003F3987">
        <w:rPr>
          <w:rFonts w:ascii="Times New Roman" w:hAnsi="Times New Roman"/>
          <w:sz w:val="24"/>
          <w:szCs w:val="24"/>
        </w:rPr>
        <w:t xml:space="preserve">these proposals </w:t>
      </w:r>
      <w:r w:rsidRPr="003F3987">
        <w:rPr>
          <w:rFonts w:ascii="Times New Roman" w:hAnsi="Times New Roman"/>
          <w:sz w:val="24"/>
          <w:szCs w:val="24"/>
        </w:rPr>
        <w:t>would take place under the generic tax policy process (GTPP).  The GTPP is a multi-stage policy process that has been used to design tax policy (and subsequently social policy administered by Inland Revenue) in New Zealand since 1995.</w:t>
      </w:r>
    </w:p>
    <w:p w:rsidR="006B4C0C" w:rsidRPr="003F3987" w:rsidRDefault="006B4C0C" w:rsidP="00EA65CA">
      <w:pPr>
        <w:pStyle w:val="TRBodyText"/>
        <w:ind w:left="360"/>
        <w:rPr>
          <w:szCs w:val="24"/>
          <w:lang w:val="en-AU" w:eastAsia="en-US"/>
        </w:rPr>
      </w:pPr>
    </w:p>
    <w:p w:rsidR="006B4C0C" w:rsidRPr="003F3987" w:rsidRDefault="006B4C0C" w:rsidP="00166E95">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3F3987">
        <w:rPr>
          <w:rFonts w:ascii="Times New Roman" w:hAnsi="Times New Roman"/>
          <w:sz w:val="24"/>
          <w:szCs w:val="24"/>
        </w:rPr>
        <w:t>The final step in the process is the implementation and review stage, which involves post-implementation review of legislation and the identification of remedial issues.  Opportunities for external consultation are built into this stage.  In practice, any changes identified as necessary would be added to the tax policy work programme, and proposals would go through the GTPP.</w:t>
      </w:r>
    </w:p>
    <w:p w:rsidR="006B4C0C" w:rsidRPr="00E1326E" w:rsidRDefault="006B4C0C" w:rsidP="00EA65CA">
      <w:pPr>
        <w:pStyle w:val="Bullet-list"/>
        <w:tabs>
          <w:tab w:val="num" w:pos="567"/>
        </w:tabs>
        <w:spacing w:after="0" w:line="240" w:lineRule="auto"/>
        <w:ind w:left="0" w:firstLine="0"/>
        <w:jc w:val="both"/>
        <w:rPr>
          <w:rFonts w:ascii="Times New Roman" w:hAnsi="Times New Roman"/>
          <w:sz w:val="24"/>
          <w:szCs w:val="24"/>
        </w:rPr>
      </w:pPr>
    </w:p>
    <w:p w:rsidR="006B4C0C" w:rsidRPr="00E1326E" w:rsidRDefault="006B4C0C" w:rsidP="00EA65CA">
      <w:pPr>
        <w:pStyle w:val="Bullet-list"/>
        <w:spacing w:after="0" w:line="240" w:lineRule="auto"/>
        <w:ind w:left="0" w:firstLine="0"/>
        <w:jc w:val="both"/>
        <w:rPr>
          <w:rFonts w:ascii="Times New Roman" w:hAnsi="Times New Roman"/>
          <w:sz w:val="24"/>
          <w:szCs w:val="24"/>
        </w:rPr>
      </w:pPr>
    </w:p>
    <w:p w:rsidR="006B4C0C" w:rsidRPr="0079517C" w:rsidRDefault="006B4C0C" w:rsidP="00172593">
      <w:pPr>
        <w:pStyle w:val="Bullet-list"/>
        <w:spacing w:after="0" w:line="240" w:lineRule="auto"/>
        <w:ind w:left="0" w:firstLine="0"/>
        <w:jc w:val="both"/>
        <w:rPr>
          <w:rFonts w:ascii="Times New Roman" w:hAnsi="Times New Roman"/>
          <w:sz w:val="24"/>
          <w:szCs w:val="24"/>
          <w:highlight w:val="yellow"/>
        </w:rPr>
        <w:sectPr w:rsidR="006B4C0C" w:rsidRPr="0079517C" w:rsidSect="00D3741C">
          <w:footerReference w:type="default" r:id="rId9"/>
          <w:pgSz w:w="11907" w:h="16840" w:code="9"/>
          <w:pgMar w:top="1134" w:right="1418" w:bottom="1134" w:left="1418" w:header="567" w:footer="567" w:gutter="0"/>
          <w:pgNumType w:start="1"/>
          <w:cols w:space="720"/>
          <w:docGrid w:linePitch="360"/>
        </w:sectPr>
      </w:pPr>
    </w:p>
    <w:bookmarkEnd w:id="22"/>
    <w:bookmarkEnd w:id="23"/>
    <w:bookmarkEnd w:id="24"/>
    <w:bookmarkEnd w:id="25"/>
    <w:bookmarkEnd w:id="26"/>
    <w:p w:rsidR="00166E95" w:rsidRDefault="00166E95" w:rsidP="00166E95">
      <w:pPr>
        <w:spacing w:after="0" w:line="240" w:lineRule="auto"/>
        <w:rPr>
          <w:rFonts w:ascii="Times New Roman" w:hAnsi="Times New Roman"/>
          <w:b/>
          <w:sz w:val="24"/>
        </w:rPr>
      </w:pPr>
      <w:r>
        <w:rPr>
          <w:rFonts w:ascii="Times New Roman" w:hAnsi="Times New Roman"/>
          <w:b/>
          <w:sz w:val="24"/>
        </w:rPr>
        <w:t xml:space="preserve">Appendix 1:  </w:t>
      </w:r>
      <w:r w:rsidRPr="00B00509">
        <w:rPr>
          <w:rFonts w:ascii="Times New Roman" w:hAnsi="Times New Roman"/>
          <w:b/>
          <w:sz w:val="24"/>
        </w:rPr>
        <w:t>Analysis of options</w:t>
      </w:r>
    </w:p>
    <w:p w:rsidR="00166E95" w:rsidRDefault="00166E95" w:rsidP="00166E95">
      <w:pPr>
        <w:spacing w:after="0" w:line="240" w:lineRule="auto"/>
        <w:rPr>
          <w:rFonts w:ascii="Times New Roman" w:hAnsi="Times New Roman"/>
          <w:b/>
          <w:sz w:val="24"/>
        </w:rPr>
      </w:pPr>
    </w:p>
    <w:tbl>
      <w:tblPr>
        <w:tblStyle w:val="TableGrid"/>
        <w:tblW w:w="14885" w:type="dxa"/>
        <w:tblInd w:w="-318" w:type="dxa"/>
        <w:tblLayout w:type="fixed"/>
        <w:tblLook w:val="04A0" w:firstRow="1" w:lastRow="0" w:firstColumn="1" w:lastColumn="0" w:noHBand="0" w:noVBand="1"/>
      </w:tblPr>
      <w:tblGrid>
        <w:gridCol w:w="2553"/>
        <w:gridCol w:w="2693"/>
        <w:gridCol w:w="4961"/>
        <w:gridCol w:w="4678"/>
      </w:tblGrid>
      <w:tr w:rsidR="00166E95" w:rsidRPr="00C548C6" w:rsidTr="000B3690">
        <w:trPr>
          <w:cantSplit/>
          <w:trHeight w:val="202"/>
          <w:tblHeader/>
        </w:trPr>
        <w:tc>
          <w:tcPr>
            <w:tcW w:w="2553"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sidRPr="00C548C6">
              <w:rPr>
                <w:rFonts w:ascii="Times New Roman" w:hAnsi="Times New Roman"/>
                <w:b/>
                <w:sz w:val="18"/>
                <w:szCs w:val="18"/>
              </w:rPr>
              <w:t>Issue</w:t>
            </w:r>
          </w:p>
        </w:tc>
        <w:tc>
          <w:tcPr>
            <w:tcW w:w="2693"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sidRPr="00C548C6">
              <w:rPr>
                <w:rFonts w:ascii="Times New Roman" w:hAnsi="Times New Roman"/>
                <w:b/>
                <w:sz w:val="18"/>
                <w:szCs w:val="18"/>
              </w:rPr>
              <w:t xml:space="preserve">Options </w:t>
            </w:r>
          </w:p>
        </w:tc>
        <w:tc>
          <w:tcPr>
            <w:tcW w:w="4961"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sidRPr="00C548C6">
              <w:rPr>
                <w:rFonts w:ascii="Times New Roman" w:hAnsi="Times New Roman"/>
                <w:b/>
                <w:sz w:val="18"/>
                <w:szCs w:val="18"/>
              </w:rPr>
              <w:t>Benefits</w:t>
            </w:r>
          </w:p>
        </w:tc>
        <w:tc>
          <w:tcPr>
            <w:tcW w:w="4678"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sidRPr="00C548C6">
              <w:rPr>
                <w:rFonts w:ascii="Times New Roman" w:hAnsi="Times New Roman"/>
                <w:b/>
                <w:sz w:val="18"/>
                <w:szCs w:val="18"/>
              </w:rPr>
              <w:t>Costs/Risks</w:t>
            </w:r>
          </w:p>
        </w:tc>
      </w:tr>
      <w:tr w:rsidR="00166E95" w:rsidRPr="00C548C6" w:rsidTr="000B3690">
        <w:trPr>
          <w:cantSplit/>
          <w:trHeight w:val="202"/>
        </w:trPr>
        <w:tc>
          <w:tcPr>
            <w:tcW w:w="2553" w:type="dxa"/>
            <w:tcBorders>
              <w:bottom w:val="single" w:sz="4" w:space="0" w:color="auto"/>
            </w:tcBorders>
            <w:shd w:val="pct40"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b/>
                <w:i/>
                <w:color w:val="FFFFFF" w:themeColor="background1"/>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i/>
                <w:color w:val="FFFFFF" w:themeColor="background1"/>
                <w:sz w:val="18"/>
                <w:szCs w:val="18"/>
              </w:rPr>
            </w:pPr>
            <w:r w:rsidRPr="00C548C6">
              <w:rPr>
                <w:rFonts w:ascii="Times New Roman" w:hAnsi="Times New Roman"/>
                <w:b/>
                <w:i/>
                <w:color w:val="FFFFFF" w:themeColor="background1"/>
                <w:sz w:val="18"/>
                <w:szCs w:val="18"/>
              </w:rPr>
              <w:t>Theme</w:t>
            </w:r>
          </w:p>
        </w:tc>
        <w:tc>
          <w:tcPr>
            <w:tcW w:w="12332" w:type="dxa"/>
            <w:gridSpan w:val="3"/>
            <w:shd w:val="pct40" w:color="auto" w:fill="auto"/>
          </w:tcPr>
          <w:p w:rsidR="00166E95" w:rsidRPr="00C548C6" w:rsidRDefault="00166E95" w:rsidP="000B3690">
            <w:pPr>
              <w:pStyle w:val="Bullet-list"/>
              <w:tabs>
                <w:tab w:val="num" w:pos="567"/>
              </w:tabs>
              <w:spacing w:after="0" w:line="240" w:lineRule="auto"/>
              <w:ind w:left="0" w:firstLine="0"/>
              <w:jc w:val="center"/>
              <w:rPr>
                <w:rFonts w:ascii="Times New Roman" w:hAnsi="Times New Roman"/>
                <w:b/>
                <w:i/>
                <w:color w:val="FFFFFF" w:themeColor="background1"/>
                <w:sz w:val="18"/>
                <w:szCs w:val="18"/>
              </w:rPr>
            </w:pPr>
          </w:p>
          <w:p w:rsidR="00166E95" w:rsidRPr="00C548C6" w:rsidRDefault="00166E95" w:rsidP="000B3690">
            <w:pPr>
              <w:pStyle w:val="Bullet-list"/>
              <w:tabs>
                <w:tab w:val="num" w:pos="567"/>
              </w:tabs>
              <w:spacing w:after="0" w:line="240" w:lineRule="auto"/>
              <w:ind w:left="0" w:firstLine="0"/>
              <w:jc w:val="center"/>
              <w:rPr>
                <w:rFonts w:ascii="Times New Roman" w:hAnsi="Times New Roman"/>
                <w:b/>
                <w:i/>
                <w:color w:val="FFFFFF" w:themeColor="background1"/>
                <w:sz w:val="18"/>
                <w:szCs w:val="18"/>
              </w:rPr>
            </w:pPr>
            <w:r w:rsidRPr="00C548C6">
              <w:rPr>
                <w:rFonts w:ascii="Times New Roman" w:hAnsi="Times New Roman"/>
                <w:b/>
                <w:i/>
                <w:color w:val="FFFFFF" w:themeColor="background1"/>
                <w:sz w:val="18"/>
                <w:szCs w:val="18"/>
              </w:rPr>
              <w:t>Rules which impose unnecessary compliance costs</w:t>
            </w:r>
          </w:p>
          <w:p w:rsidR="00166E95" w:rsidRPr="00C548C6" w:rsidRDefault="00166E95" w:rsidP="000B3690">
            <w:pPr>
              <w:pStyle w:val="Bullet-list"/>
              <w:tabs>
                <w:tab w:val="num" w:pos="567"/>
              </w:tabs>
              <w:spacing w:after="0" w:line="240" w:lineRule="auto"/>
              <w:ind w:left="0" w:firstLine="0"/>
              <w:jc w:val="center"/>
              <w:rPr>
                <w:rFonts w:ascii="Times New Roman" w:hAnsi="Times New Roman"/>
                <w:b/>
                <w:i/>
                <w:color w:val="FFFFFF" w:themeColor="background1"/>
                <w:sz w:val="18"/>
                <w:szCs w:val="18"/>
              </w:rPr>
            </w:pPr>
          </w:p>
        </w:tc>
      </w:tr>
      <w:tr w:rsidR="00166E95" w:rsidRPr="00C548C6" w:rsidTr="000B3690">
        <w:trPr>
          <w:cantSplit/>
          <w:trHeight w:val="1606"/>
        </w:trPr>
        <w:tc>
          <w:tcPr>
            <w:tcW w:w="2553" w:type="dxa"/>
            <w:vMerge w:val="restart"/>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r w:rsidRPr="00C548C6">
              <w:rPr>
                <w:rFonts w:ascii="Times New Roman" w:hAnsi="Times New Roman"/>
                <w:b/>
                <w:sz w:val="18"/>
                <w:szCs w:val="18"/>
              </w:rPr>
              <w:t>The deduction limitation rule:</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This rule restricts a look-through owner’s ability to claim LTC deductions in excess of the money they have invested in the business. Is the rule necessary?</w:t>
            </w: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1: Repeal the rule – entirely.</w:t>
            </w:r>
          </w:p>
        </w:tc>
        <w:tc>
          <w:tcPr>
            <w:tcW w:w="4961" w:type="dxa"/>
          </w:tcPr>
          <w:p w:rsidR="00166E95" w:rsidRPr="00C548C6" w:rsidRDefault="00166E95" w:rsidP="000B3690">
            <w:pPr>
              <w:pStyle w:val="Bullet-list"/>
              <w:spacing w:after="0" w:line="240" w:lineRule="auto"/>
              <w:ind w:left="14" w:hanging="14"/>
              <w:jc w:val="left"/>
              <w:rPr>
                <w:rFonts w:ascii="Times New Roman" w:hAnsi="Times New Roman"/>
                <w:sz w:val="18"/>
                <w:szCs w:val="18"/>
              </w:rPr>
            </w:pPr>
          </w:p>
          <w:p w:rsidR="00166E95" w:rsidRPr="00C548C6" w:rsidRDefault="00166E95" w:rsidP="000B3690">
            <w:pPr>
              <w:pStyle w:val="Bullet-list"/>
              <w:spacing w:after="0" w:line="240" w:lineRule="auto"/>
              <w:ind w:left="14" w:hanging="14"/>
              <w:jc w:val="left"/>
              <w:rPr>
                <w:rFonts w:ascii="Times New Roman" w:hAnsi="Times New Roman"/>
                <w:sz w:val="18"/>
                <w:szCs w:val="18"/>
              </w:rPr>
            </w:pPr>
            <w:r w:rsidRPr="00C548C6">
              <w:rPr>
                <w:rFonts w:ascii="Times New Roman" w:hAnsi="Times New Roman"/>
                <w:sz w:val="18"/>
                <w:szCs w:val="18"/>
              </w:rPr>
              <w:t>Completely reduces compliance costs, as the rule no longer exists.</w:t>
            </w: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Creates potential for avoidance of the deduction limitation rule which applies to limited partnerships, which are structural substitutes for groups of LTCs acting together.</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Limited partnerships and their close substitutes are considered to be the areas of highest risk of excessive deductions.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Gives rise to a fiscal cost of $17m in the 2017-18 year. This is due to the fact that deductions will no longer be restricted and can be offset against owners’ other income.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2: Repeal the rule except for LTCs operating in partnership or joint venture with other LTCs, and make some technical clarifications to the rule for those still covered by it.</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Reduces the compliance costs associated with compliance for the majority of LTCs.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Supports the integrity of the deduction-limitation rule which applies to limited partnerships, which are structural substitutes for groups of LTCs acting together.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Does not remove compliance costs for the small number of LTCs which are acting together in partnership or joint venture with other LTCs.  But there are close substitutes for limited partnerships which are subject to an equivalent rule.</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Fiscal costs same as option 1.</w:t>
            </w:r>
          </w:p>
          <w:p w:rsidR="00166E95" w:rsidRPr="00C548C6" w:rsidRDefault="00166E95" w:rsidP="000B3690">
            <w:pPr>
              <w:pStyle w:val="Bullet-list"/>
              <w:tabs>
                <w:tab w:val="num" w:pos="567"/>
              </w:tabs>
              <w:spacing w:after="0" w:line="240" w:lineRule="auto"/>
              <w:ind w:left="0" w:firstLine="0"/>
              <w:rPr>
                <w:rFonts w:ascii="Times New Roman" w:hAnsi="Times New Roman"/>
                <w:sz w:val="18"/>
                <w:szCs w:val="18"/>
              </w:rPr>
            </w:pPr>
          </w:p>
        </w:tc>
      </w:tr>
      <w:tr w:rsidR="00166E95" w:rsidRPr="00C548C6" w:rsidTr="000B3690">
        <w:trPr>
          <w:cantSplit/>
          <w:trHeight w:val="1762"/>
        </w:trPr>
        <w:tc>
          <w:tcPr>
            <w:tcW w:w="2553" w:type="dxa"/>
            <w:vMerge/>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3: Maintain the rule but make some technical clarifications to the rule for those still covered by it.</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Addresses some concerns over unintended outcomes. Though officials suspect that, it would not be possible to perfect the rule without introducing significant complexity.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highlight w:val="yellow"/>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Reduces some uncertainty at the margin where the technical errors applied.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highlight w:val="yellow"/>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Does not relieve the compliance costs as the rule would still need to be applied by all LTCs.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May give rise to a fiscal cost.  This proposal has not been fully forecasted as the implications would depend on how the technical issues are resolved.  Overall we would expect the fiscal cost to be less so than for option 2.</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106"/>
        </w:trPr>
        <w:tc>
          <w:tcPr>
            <w:tcW w:w="2553" w:type="dxa"/>
            <w:vMerge/>
            <w:tcBorders>
              <w:bottom w:val="single" w:sz="4" w:space="0" w:color="auto"/>
            </w:tcBorders>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4: Maintain the status quo.</w:t>
            </w:r>
          </w:p>
        </w:tc>
        <w:tc>
          <w:tcPr>
            <w:tcW w:w="4961"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Does not give rise to a fiscal cost.</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No legislative change is required.</w:t>
            </w:r>
          </w:p>
        </w:tc>
        <w:tc>
          <w:tcPr>
            <w:tcW w:w="4678"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Does not reduce compliance costs.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Would not resolve concerns over technical errors in the rule.</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val="restart"/>
          </w:tcPr>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r w:rsidRPr="00C548C6">
              <w:rPr>
                <w:rFonts w:ascii="Times New Roman" w:hAnsi="Times New Roman"/>
                <w:b/>
                <w:sz w:val="18"/>
                <w:szCs w:val="18"/>
              </w:rPr>
              <w:t>The deduction limitation rule:</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If the rule is amended or repealed, what should happen to previously restricted deductions?</w:t>
            </w: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1: Repeal the rule in part (refer option 2 above) and release previously restricted deductions in one lump at a particular point.</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Allows for quick use of previously restricted deductions.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Avoids the compliance and administrative costs associated with re-stating past periods. </w:t>
            </w: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Does not address the tax impact of having deferred the deductions in the interim for the few owners (around 1%) that have suspended deductions.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Gives rise to a fiscal cost of $17m in the 2017-18 year. This is due to the fact that deductions will no longer be restricted and can be offset against owners’ other income.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tcPr>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2: Repeal the rule in part (refer option 2 above) and require restatement of prior period returns on the basis that the rule had not existed.</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Allows for the recognition of previously restricted deductions.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Addresses the tax impact of having deferred the deductions in the interim for the few owners (around 1%) that have suspended deductions.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The need to re-state past periods increases compliance and administrative costs.  Overall, the increased administrative and compliance costs are unlikely to outweigh the benefits to the few owners (around 1%) that have suspended deductions.  In other words, the economic costs are likely to outweigh the economic benefits.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Fiscal cost, as per option 1 above, except the 2017-18 cost would be spread retrospectively across past periods.</w:t>
            </w:r>
          </w:p>
          <w:p w:rsidR="00166E95" w:rsidRPr="00C548C6" w:rsidRDefault="00166E95" w:rsidP="000B3690">
            <w:pPr>
              <w:pStyle w:val="Bullet-list"/>
              <w:tabs>
                <w:tab w:val="num" w:pos="567"/>
              </w:tabs>
              <w:spacing w:after="0" w:line="240" w:lineRule="auto"/>
              <w:ind w:left="0" w:firstLine="0"/>
              <w:rPr>
                <w:rFonts w:ascii="Times New Roman" w:hAnsi="Times New Roman"/>
                <w:sz w:val="18"/>
                <w:szCs w:val="18"/>
              </w:rPr>
            </w:pPr>
          </w:p>
        </w:tc>
      </w:tr>
      <w:tr w:rsidR="00166E95" w:rsidRPr="00C548C6" w:rsidTr="000B3690">
        <w:trPr>
          <w:cantSplit/>
          <w:trHeight w:val="2474"/>
        </w:trPr>
        <w:tc>
          <w:tcPr>
            <w:tcW w:w="2553" w:type="dxa"/>
            <w:vMerge/>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3: Repeal the rule in part (refer option 2 above) and gradually release previously restricted deductions over three years.</w:t>
            </w:r>
          </w:p>
        </w:tc>
        <w:tc>
          <w:tcPr>
            <w:tcW w:w="4961"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Spreads the fiscal cost.</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Does not create additional compliance and administrative costs incurred in re-stating past periods.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For some, may not be much different than full release in 2017/18, when there is insufficient other income to apply deductions against.</w:t>
            </w:r>
          </w:p>
        </w:tc>
        <w:tc>
          <w:tcPr>
            <w:tcW w:w="4678"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Minor additional compliance and administration costs relative to full release of deductions in 2017/18.</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Delays utilisation of deductions that have been effectively freed-up.</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Gives rise to a fiscal cost, as per option 1 above except the effect may be spread across three periods.</w:t>
            </w:r>
          </w:p>
        </w:tc>
      </w:tr>
      <w:tr w:rsidR="00166E95" w:rsidRPr="00C548C6" w:rsidTr="000B3690">
        <w:trPr>
          <w:cantSplit/>
          <w:trHeight w:val="2739"/>
        </w:trPr>
        <w:tc>
          <w:tcPr>
            <w:tcW w:w="2553" w:type="dxa"/>
            <w:vMerge w:val="restart"/>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r w:rsidRPr="00C548C6">
              <w:rPr>
                <w:rFonts w:ascii="Times New Roman" w:hAnsi="Times New Roman"/>
                <w:b/>
                <w:sz w:val="18"/>
                <w:szCs w:val="18"/>
              </w:rPr>
              <w:t>Dividend rules:  RWT on dividends between companies</w:t>
            </w: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Should the RWT obligation to withhold 5% on fully-imputed dividends paid between all companies be removed?</w:t>
            </w:r>
          </w:p>
        </w:tc>
        <w:tc>
          <w:tcPr>
            <w:tcW w:w="2693"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1: The obligation to account for RWT on all fully-imputed dividends paid between companies should be removed.</w:t>
            </w:r>
          </w:p>
        </w:tc>
        <w:tc>
          <w:tcPr>
            <w:tcW w:w="4961"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Eliminates the current over-taxation of dividends paid between companies.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Reduces compliance costs for some companies that pay fully-imputed dividends to other companies.</w:t>
            </w:r>
          </w:p>
        </w:tc>
        <w:tc>
          <w:tcPr>
            <w:tcW w:w="4678"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Potential increase in compliance costs for paying companies, by requiring them to:</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166E95">
            <w:pPr>
              <w:pStyle w:val="Bullet-list"/>
              <w:numPr>
                <w:ilvl w:val="0"/>
                <w:numId w:val="16"/>
              </w:numPr>
              <w:spacing w:after="0" w:line="240" w:lineRule="auto"/>
              <w:jc w:val="left"/>
              <w:rPr>
                <w:rFonts w:ascii="Times New Roman" w:hAnsi="Times New Roman"/>
                <w:sz w:val="18"/>
                <w:szCs w:val="18"/>
              </w:rPr>
            </w:pPr>
            <w:r w:rsidRPr="00C548C6">
              <w:rPr>
                <w:rFonts w:ascii="Times New Roman" w:hAnsi="Times New Roman"/>
                <w:sz w:val="18"/>
                <w:szCs w:val="18"/>
              </w:rPr>
              <w:t>establish whether or not shareholders are corporate (which can be difficult for widely held companies); and</w:t>
            </w:r>
          </w:p>
          <w:p w:rsidR="00166E95" w:rsidRPr="00C548C6" w:rsidRDefault="00166E95" w:rsidP="00166E95">
            <w:pPr>
              <w:pStyle w:val="Bullet-list"/>
              <w:numPr>
                <w:ilvl w:val="0"/>
                <w:numId w:val="16"/>
              </w:numPr>
              <w:spacing w:after="0" w:line="240" w:lineRule="auto"/>
              <w:jc w:val="left"/>
              <w:rPr>
                <w:rFonts w:ascii="Times New Roman" w:hAnsi="Times New Roman"/>
                <w:sz w:val="18"/>
                <w:szCs w:val="18"/>
              </w:rPr>
            </w:pPr>
            <w:proofErr w:type="gramStart"/>
            <w:r w:rsidRPr="00C548C6">
              <w:rPr>
                <w:rFonts w:ascii="Times New Roman" w:hAnsi="Times New Roman"/>
                <w:sz w:val="18"/>
                <w:szCs w:val="18"/>
              </w:rPr>
              <w:t>differentiate</w:t>
            </w:r>
            <w:proofErr w:type="gramEnd"/>
            <w:r w:rsidRPr="00C548C6">
              <w:rPr>
                <w:rFonts w:ascii="Times New Roman" w:hAnsi="Times New Roman"/>
                <w:sz w:val="18"/>
                <w:szCs w:val="18"/>
              </w:rPr>
              <w:t xml:space="preserve"> between corporate and non-corporate recipients in their systems (i.e. in order to ensure RWT is withheld only on dividends to non-corporate).</w:t>
            </w:r>
          </w:p>
          <w:p w:rsidR="00166E95" w:rsidRPr="00C548C6" w:rsidRDefault="00166E95" w:rsidP="000B3690">
            <w:pPr>
              <w:pStyle w:val="Bullet-list"/>
              <w:spacing w:after="0" w:line="240" w:lineRule="auto"/>
              <w:ind w:left="36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spacing w:after="0" w:line="240" w:lineRule="auto"/>
              <w:ind w:left="0" w:firstLine="0"/>
              <w:jc w:val="left"/>
              <w:rPr>
                <w:rFonts w:ascii="Times New Roman" w:hAnsi="Times New Roman"/>
                <w:sz w:val="18"/>
                <w:szCs w:val="18"/>
              </w:rPr>
            </w:pPr>
          </w:p>
          <w:p w:rsidR="00166E95" w:rsidRPr="00C548C6" w:rsidRDefault="00166E95" w:rsidP="000B3690">
            <w:pPr>
              <w:pStyle w:val="Bullet-list"/>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Fiscal cost of $9m in first year of operation. </w:t>
            </w:r>
          </w:p>
          <w:p w:rsidR="00166E95" w:rsidRPr="00C548C6" w:rsidRDefault="00166E95" w:rsidP="000B3690">
            <w:pPr>
              <w:pStyle w:val="Bullet-list"/>
              <w:spacing w:after="0" w:line="240" w:lineRule="auto"/>
              <w:ind w:left="0" w:firstLine="0"/>
              <w:jc w:val="left"/>
              <w:rPr>
                <w:rFonts w:ascii="Times New Roman" w:hAnsi="Times New Roman"/>
                <w:sz w:val="18"/>
                <w:szCs w:val="18"/>
              </w:rPr>
            </w:pPr>
          </w:p>
        </w:tc>
      </w:tr>
      <w:tr w:rsidR="00166E95" w:rsidRPr="00C548C6" w:rsidTr="000B3690">
        <w:trPr>
          <w:cantSplit/>
          <w:trHeight w:val="1856"/>
        </w:trPr>
        <w:tc>
          <w:tcPr>
            <w:tcW w:w="2553" w:type="dxa"/>
            <w:vMerge/>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2: The obligation to account for RWT on all fully-imputed dividends paid between companies should be optional.</w:t>
            </w:r>
          </w:p>
        </w:tc>
        <w:tc>
          <w:tcPr>
            <w:tcW w:w="4961"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Alleviates the current over-taxation of dividends paid between companies.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Reduces compliance costs for all companies that choose to not account for the RWT and does not increase compliance costs for other companies who cannot or choose not to identify which shareholders are corporate. </w:t>
            </w:r>
          </w:p>
        </w:tc>
        <w:tc>
          <w:tcPr>
            <w:tcW w:w="4678"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Fiscal cost same as option 1. </w:t>
            </w:r>
          </w:p>
        </w:tc>
      </w:tr>
      <w:tr w:rsidR="00166E95" w:rsidRPr="00C548C6" w:rsidTr="000B3690">
        <w:trPr>
          <w:cantSplit/>
          <w:trHeight w:val="1765"/>
        </w:trPr>
        <w:tc>
          <w:tcPr>
            <w:tcW w:w="2553" w:type="dxa"/>
            <w:vMerge/>
            <w:tcBorders>
              <w:bottom w:val="single" w:sz="4" w:space="0" w:color="auto"/>
            </w:tcBorders>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3: The obligation to account for RWT on all fully-imputed dividends paid between companies should be maintained (status quo).</w:t>
            </w:r>
          </w:p>
        </w:tc>
        <w:tc>
          <w:tcPr>
            <w:tcW w:w="4961"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No fiscal implications.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Does not require paying companies to establish which shareholders are corporate and/or differentiate between corporate and non-corporate recipients.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No legislative change is required.</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Does not eliminate nor alleviate the current over-taxation of dividends paid between companies.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Does not reduce compliance costs associated with the obligation to withhold RWT on fully-imputed dividends paid between companies.</w:t>
            </w:r>
          </w:p>
        </w:tc>
      </w:tr>
      <w:tr w:rsidR="00166E95" w:rsidRPr="00C548C6" w:rsidTr="000B3690">
        <w:trPr>
          <w:cantSplit/>
          <w:trHeight w:val="3396"/>
        </w:trPr>
        <w:tc>
          <w:tcPr>
            <w:tcW w:w="2553" w:type="dxa"/>
            <w:vMerge w:val="restart"/>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spacing w:after="0" w:line="240" w:lineRule="auto"/>
              <w:ind w:left="0" w:firstLine="0"/>
              <w:jc w:val="left"/>
              <w:rPr>
                <w:rFonts w:ascii="Times New Roman" w:hAnsi="Times New Roman"/>
                <w:i/>
                <w:sz w:val="18"/>
                <w:szCs w:val="18"/>
              </w:rPr>
            </w:pPr>
            <w:r w:rsidRPr="00C548C6">
              <w:rPr>
                <w:rFonts w:ascii="Times New Roman" w:hAnsi="Times New Roman"/>
                <w:b/>
                <w:sz w:val="18"/>
                <w:szCs w:val="18"/>
              </w:rPr>
              <w:t>Dividend rules: RWT on concurrent cash and non-cash dividends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Should a company paying cash and a non-cash dividends concurrently, be able to opt to treat the two dividends as a single dividend, for the purposes of the RWT obligations when the cash dividend is sufficient to cover the RWT due?</w:t>
            </w:r>
          </w:p>
        </w:tc>
        <w:tc>
          <w:tcPr>
            <w:tcW w:w="2693"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1: A taxpayer should be able to opt to treat cash and non-cash dividends paid concurrently as a single dividend, when the cash dividend is sufficient to cover the RWT obligations for both dividends.</w:t>
            </w:r>
          </w:p>
        </w:tc>
        <w:tc>
          <w:tcPr>
            <w:tcW w:w="4961"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Addresses the concern that the current rule over-taxes the non-cash dividend (as a result of the gross up requirement) in these circumstances.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Reduces the compliance and administrative costs associated with the refund of the over-taxation.</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Does not affect the RWT payment, as the RWT due on both dividends is covered in the cash dividend. </w:t>
            </w:r>
          </w:p>
        </w:tc>
        <w:tc>
          <w:tcPr>
            <w:tcW w:w="4678"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980"/>
        </w:trPr>
        <w:tc>
          <w:tcPr>
            <w:tcW w:w="2553" w:type="dxa"/>
            <w:vMerge/>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2: A taxpayer should not be able to opt to treat cash and non-cash dividends paid concurrently as a single dividend, with the two dividends remaining separate for the purposes of the RWT obligations (status quo).</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Default="00166E95" w:rsidP="000B3690">
            <w:pPr>
              <w:pStyle w:val="Bullet-list"/>
              <w:tabs>
                <w:tab w:val="num" w:pos="567"/>
              </w:tabs>
              <w:spacing w:after="0" w:line="240" w:lineRule="auto"/>
              <w:ind w:left="0" w:firstLine="0"/>
              <w:rPr>
                <w:rFonts w:ascii="Times New Roman" w:hAnsi="Times New Roman"/>
                <w:sz w:val="18"/>
                <w:szCs w:val="18"/>
              </w:rPr>
            </w:pPr>
          </w:p>
          <w:p w:rsidR="00C548C6" w:rsidRDefault="00C548C6" w:rsidP="000B3690">
            <w:pPr>
              <w:pStyle w:val="Bullet-list"/>
              <w:tabs>
                <w:tab w:val="num" w:pos="567"/>
              </w:tabs>
              <w:spacing w:after="0" w:line="240" w:lineRule="auto"/>
              <w:ind w:left="0" w:firstLine="0"/>
              <w:rPr>
                <w:rFonts w:ascii="Times New Roman" w:hAnsi="Times New Roman"/>
                <w:sz w:val="18"/>
                <w:szCs w:val="18"/>
              </w:rPr>
            </w:pPr>
          </w:p>
          <w:p w:rsidR="00C548C6" w:rsidRDefault="00C548C6" w:rsidP="000B3690">
            <w:pPr>
              <w:pStyle w:val="Bullet-list"/>
              <w:tabs>
                <w:tab w:val="num" w:pos="567"/>
              </w:tabs>
              <w:spacing w:after="0" w:line="240" w:lineRule="auto"/>
              <w:ind w:left="0" w:firstLine="0"/>
              <w:rPr>
                <w:rFonts w:ascii="Times New Roman" w:hAnsi="Times New Roman"/>
                <w:sz w:val="18"/>
                <w:szCs w:val="18"/>
              </w:rPr>
            </w:pPr>
          </w:p>
          <w:p w:rsidR="00C548C6" w:rsidRDefault="00C548C6" w:rsidP="000B3690">
            <w:pPr>
              <w:pStyle w:val="Bullet-list"/>
              <w:tabs>
                <w:tab w:val="num" w:pos="567"/>
              </w:tabs>
              <w:spacing w:after="0" w:line="240" w:lineRule="auto"/>
              <w:ind w:left="0" w:firstLine="0"/>
              <w:rPr>
                <w:rFonts w:ascii="Times New Roman" w:hAnsi="Times New Roman"/>
                <w:sz w:val="18"/>
                <w:szCs w:val="18"/>
              </w:rPr>
            </w:pPr>
          </w:p>
          <w:p w:rsidR="00C548C6" w:rsidRPr="00C548C6" w:rsidRDefault="00C548C6" w:rsidP="000B3690">
            <w:pPr>
              <w:pStyle w:val="Bullet-list"/>
              <w:tabs>
                <w:tab w:val="num" w:pos="567"/>
              </w:tabs>
              <w:spacing w:after="0" w:line="240" w:lineRule="auto"/>
              <w:ind w:left="0" w:firstLine="0"/>
              <w:rPr>
                <w:rFonts w:ascii="Times New Roman" w:hAnsi="Times New Roman"/>
                <w:sz w:val="18"/>
                <w:szCs w:val="18"/>
              </w:rPr>
            </w:pPr>
          </w:p>
        </w:tc>
        <w:tc>
          <w:tcPr>
            <w:tcW w:w="4961"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No legislative change is required.</w:t>
            </w:r>
          </w:p>
        </w:tc>
        <w:tc>
          <w:tcPr>
            <w:tcW w:w="4678"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Does not address the concern that the current rule over-taxes the non-cash dividend (as a result of the gross up requirement) which may then require a refund if credit cannot be used against the tax liability on other income.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632"/>
        </w:trPr>
        <w:tc>
          <w:tcPr>
            <w:tcW w:w="2553" w:type="dxa"/>
            <w:tcBorders>
              <w:bottom w:val="single" w:sz="4" w:space="0" w:color="auto"/>
            </w:tcBorders>
            <w:shd w:val="pct40"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b/>
                <w:i/>
                <w:color w:val="FFFFFF" w:themeColor="background1"/>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i/>
                <w:color w:val="FFFFFF" w:themeColor="background1"/>
                <w:sz w:val="18"/>
                <w:szCs w:val="18"/>
              </w:rPr>
            </w:pPr>
            <w:r w:rsidRPr="00C548C6">
              <w:rPr>
                <w:rFonts w:ascii="Times New Roman" w:hAnsi="Times New Roman"/>
                <w:b/>
                <w:i/>
                <w:color w:val="FFFFFF" w:themeColor="background1"/>
                <w:sz w:val="18"/>
                <w:szCs w:val="18"/>
              </w:rPr>
              <w:t>Theme</w:t>
            </w:r>
          </w:p>
        </w:tc>
        <w:tc>
          <w:tcPr>
            <w:tcW w:w="12332" w:type="dxa"/>
            <w:gridSpan w:val="3"/>
            <w:shd w:val="pct40" w:color="auto" w:fill="auto"/>
          </w:tcPr>
          <w:p w:rsidR="00166E95" w:rsidRPr="00C548C6" w:rsidRDefault="00166E95" w:rsidP="000B3690">
            <w:pPr>
              <w:pStyle w:val="Bullet-list"/>
              <w:tabs>
                <w:tab w:val="num" w:pos="567"/>
              </w:tabs>
              <w:spacing w:after="0" w:line="240" w:lineRule="auto"/>
              <w:ind w:left="0" w:firstLine="0"/>
              <w:jc w:val="center"/>
              <w:rPr>
                <w:rFonts w:ascii="Times New Roman" w:hAnsi="Times New Roman"/>
                <w:b/>
                <w:i/>
                <w:color w:val="FFFFFF" w:themeColor="background1"/>
                <w:sz w:val="18"/>
                <w:szCs w:val="18"/>
              </w:rPr>
            </w:pPr>
          </w:p>
          <w:p w:rsidR="00166E95" w:rsidRPr="00C548C6" w:rsidRDefault="00166E95" w:rsidP="000B3690">
            <w:pPr>
              <w:pStyle w:val="Bullet-list"/>
              <w:tabs>
                <w:tab w:val="num" w:pos="567"/>
              </w:tabs>
              <w:spacing w:after="0" w:line="240" w:lineRule="auto"/>
              <w:ind w:left="0" w:firstLine="0"/>
              <w:jc w:val="center"/>
              <w:rPr>
                <w:rFonts w:ascii="Times New Roman" w:hAnsi="Times New Roman"/>
                <w:b/>
                <w:i/>
                <w:color w:val="FFFFFF" w:themeColor="background1"/>
                <w:sz w:val="18"/>
                <w:szCs w:val="18"/>
              </w:rPr>
            </w:pPr>
            <w:r w:rsidRPr="00C548C6">
              <w:rPr>
                <w:rFonts w:ascii="Times New Roman" w:hAnsi="Times New Roman"/>
                <w:b/>
                <w:i/>
                <w:color w:val="FFFFFF" w:themeColor="background1"/>
                <w:sz w:val="18"/>
                <w:szCs w:val="18"/>
              </w:rPr>
              <w:t>Rules which restrict commercial practice</w:t>
            </w:r>
          </w:p>
        </w:tc>
      </w:tr>
      <w:tr w:rsidR="00166E95" w:rsidRPr="00C548C6" w:rsidTr="000B3690">
        <w:trPr>
          <w:cantSplit/>
          <w:trHeight w:val="1762"/>
        </w:trPr>
        <w:tc>
          <w:tcPr>
            <w:tcW w:w="2553" w:type="dxa"/>
            <w:vMerge w:val="restart"/>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r w:rsidRPr="00C548C6">
              <w:rPr>
                <w:rFonts w:ascii="Times New Roman" w:hAnsi="Times New Roman"/>
                <w:b/>
                <w:sz w:val="18"/>
                <w:szCs w:val="18"/>
              </w:rPr>
              <w:t>LTC restriction on share classes</w:t>
            </w: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Should LTCs be allowed to have more than one class of shares?</w:t>
            </w: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1: LTCs should have the option of having more than one share class.</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Allows for flexibility in succession planning and acceptable corporate structuring.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spacing w:line="240" w:lineRule="auto"/>
              <w:jc w:val="left"/>
              <w:rPr>
                <w:rFonts w:ascii="Times New Roman" w:hAnsi="Times New Roman"/>
                <w:sz w:val="18"/>
                <w:szCs w:val="18"/>
                <w:lang w:val="en-AU" w:eastAsia="en-NZ"/>
              </w:rPr>
            </w:pPr>
            <w:r w:rsidRPr="00C548C6">
              <w:rPr>
                <w:rFonts w:ascii="Times New Roman" w:hAnsi="Times New Roman"/>
                <w:sz w:val="18"/>
                <w:szCs w:val="18"/>
                <w:lang w:val="en-AU" w:eastAsia="en-NZ"/>
              </w:rPr>
              <w:t>Remove the need for share class restructuring for companies that have existing share class differentiation and therefore cannot elect into the LTC regime currently. This would also remove what officials consider may be a deterrent to more grandparented QCs transitioning to LTCs.</w:t>
            </w: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lang w:val="en-GB" w:eastAsia="en-GB"/>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spacing w:line="240" w:lineRule="auto"/>
              <w:jc w:val="left"/>
              <w:rPr>
                <w:rFonts w:ascii="Times New Roman" w:hAnsi="Times New Roman"/>
                <w:sz w:val="18"/>
                <w:szCs w:val="18"/>
                <w:lang w:val="en-AU" w:eastAsia="en-NZ"/>
              </w:rPr>
            </w:pPr>
            <w:r w:rsidRPr="00C548C6">
              <w:rPr>
                <w:rFonts w:ascii="Times New Roman" w:hAnsi="Times New Roman"/>
                <w:sz w:val="18"/>
                <w:szCs w:val="18"/>
                <w:lang w:val="en-AU" w:eastAsia="en-NZ"/>
              </w:rPr>
              <w:t xml:space="preserve">Compromises on the simplicity of income/expenditure attribution from the LTC, by allowing for differentiation in share class entitlements to income/expenditure, which may lead to more compliance costs. </w:t>
            </w:r>
          </w:p>
          <w:p w:rsidR="00166E95" w:rsidRPr="00C548C6" w:rsidRDefault="00166E95" w:rsidP="000B3690">
            <w:pPr>
              <w:jc w:val="left"/>
              <w:rPr>
                <w:rFonts w:ascii="Times New Roman" w:hAnsi="Times New Roman"/>
                <w:sz w:val="18"/>
                <w:szCs w:val="18"/>
              </w:rPr>
            </w:pPr>
          </w:p>
        </w:tc>
      </w:tr>
      <w:tr w:rsidR="00166E95" w:rsidRPr="00C548C6" w:rsidTr="000B3690">
        <w:trPr>
          <w:cantSplit/>
          <w:trHeight w:val="1762"/>
        </w:trPr>
        <w:tc>
          <w:tcPr>
            <w:tcW w:w="2553" w:type="dxa"/>
            <w:vMerge/>
            <w:shd w:val="pct15" w:color="auto" w:fill="auto"/>
            <w:vAlign w:val="center"/>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2: A LTC should be able to have more than one class of shares provided all shares still have uniform entitlements to distributions from the LTC (i.e. differentiate on voting rights only).</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Allows for better flexibility in succession planning and acceptable corporate structuring, without compromising on the simplicity of income/expenditure attribution from the LTC.</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roofErr w:type="gramStart"/>
            <w:r w:rsidRPr="00C548C6">
              <w:rPr>
                <w:rFonts w:ascii="Times New Roman" w:hAnsi="Times New Roman"/>
                <w:sz w:val="18"/>
                <w:szCs w:val="18"/>
              </w:rPr>
              <w:t>Goes some way towards removing the need for share class restructuring in companies wanting</w:t>
            </w:r>
            <w:proofErr w:type="gramEnd"/>
            <w:r w:rsidRPr="00C548C6">
              <w:rPr>
                <w:rFonts w:ascii="Times New Roman" w:hAnsi="Times New Roman"/>
                <w:sz w:val="18"/>
                <w:szCs w:val="18"/>
              </w:rPr>
              <w:t xml:space="preserve"> to elect into the LTC regime (to the extent that the differentiation is only related to voting rights) including grandparented QCs transitioning to LTCs.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Chapter8"/>
              <w:numPr>
                <w:ilvl w:val="0"/>
                <w:numId w:val="0"/>
              </w:numPr>
              <w:tabs>
                <w:tab w:val="left" w:pos="720"/>
              </w:tabs>
              <w:ind w:left="851"/>
              <w:jc w:val="left"/>
              <w:rPr>
                <w:rFonts w:eastAsiaTheme="minorHAnsi"/>
                <w:sz w:val="18"/>
                <w:szCs w:val="18"/>
              </w:rPr>
            </w:pPr>
          </w:p>
          <w:p w:rsidR="00166E95" w:rsidRPr="00C548C6" w:rsidRDefault="00166E95" w:rsidP="000B3690">
            <w:pPr>
              <w:spacing w:line="240" w:lineRule="auto"/>
              <w:jc w:val="left"/>
              <w:rPr>
                <w:rFonts w:ascii="Times New Roman" w:hAnsi="Times New Roman"/>
                <w:sz w:val="18"/>
                <w:szCs w:val="18"/>
                <w:lang w:val="en-AU" w:eastAsia="en-NZ"/>
              </w:rPr>
            </w:pPr>
            <w:r w:rsidRPr="00C548C6">
              <w:rPr>
                <w:rFonts w:ascii="Times New Roman" w:hAnsi="Times New Roman"/>
                <w:sz w:val="18"/>
                <w:szCs w:val="18"/>
                <w:lang w:val="en-AU" w:eastAsia="en-NZ"/>
              </w:rPr>
              <w:t>For companies whose classes of shares differ for more than just voting rights, this option would not be of benefit.</w:t>
            </w:r>
          </w:p>
          <w:p w:rsidR="00166E95" w:rsidRPr="00C548C6" w:rsidRDefault="00166E95" w:rsidP="000B3690">
            <w:pPr>
              <w:spacing w:line="240" w:lineRule="auto"/>
              <w:jc w:val="left"/>
              <w:rPr>
                <w:rFonts w:ascii="Times New Roman" w:hAnsi="Times New Roman"/>
                <w:sz w:val="18"/>
                <w:szCs w:val="18"/>
                <w:lang w:val="en-AU" w:eastAsia="en-NZ"/>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shd w:val="pct15" w:color="auto" w:fill="auto"/>
            <w:vAlign w:val="center"/>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3: LTCs should continue to be restricted to having just one share class (status quo).</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No legislative change is required.</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Does not allow for flexibility in succession planning and acceptable corporate structuring.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Does not allow for companies that have existing share class differentiation to elect into the LTC regime, which may therefore continue to be a deterrent to more grandparented QCs transitioning to LTCs.</w:t>
            </w:r>
          </w:p>
        </w:tc>
      </w:tr>
      <w:tr w:rsidR="00166E95" w:rsidRPr="00C548C6" w:rsidTr="000B3690">
        <w:trPr>
          <w:cantSplit/>
          <w:trHeight w:val="1762"/>
        </w:trPr>
        <w:tc>
          <w:tcPr>
            <w:tcW w:w="2553" w:type="dxa"/>
            <w:vMerge w:val="restart"/>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r w:rsidRPr="00C548C6">
              <w:rPr>
                <w:rFonts w:ascii="Times New Roman" w:hAnsi="Times New Roman"/>
                <w:b/>
                <w:sz w:val="18"/>
                <w:szCs w:val="18"/>
              </w:rPr>
              <w:t>Tainted capital gains rule:</w:t>
            </w: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Should the rule be repealed?</w:t>
            </w: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1: Repeal the rule.</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Removes the overreach imposed by the current rule.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highlight w:val="yellow"/>
              </w:rPr>
            </w:pPr>
            <w:r w:rsidRPr="00C548C6">
              <w:rPr>
                <w:rFonts w:ascii="Times New Roman" w:hAnsi="Times New Roman"/>
                <w:sz w:val="18"/>
                <w:szCs w:val="18"/>
              </w:rPr>
              <w:t xml:space="preserve">Facilitates corporate restructuring. </w:t>
            </w: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Removes the protection that the current rule provides against non-market transactions (for example intra-group sales used to inflate capital profits or dividend strips to transfer cash from one company to another) and the other tax rules, which could apply, are considered to not offer sufficient alternative protection in these cases.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Freeing up corporate restructuring may encourage tax driven structuring, which is undesirable.</w:t>
            </w:r>
          </w:p>
          <w:p w:rsidR="00166E95" w:rsidRPr="00C548C6" w:rsidRDefault="00166E95" w:rsidP="000B3690">
            <w:pPr>
              <w:pStyle w:val="Chapter8"/>
              <w:numPr>
                <w:ilvl w:val="0"/>
                <w:numId w:val="0"/>
              </w:numPr>
              <w:ind w:left="851"/>
              <w:jc w:val="left"/>
              <w:rPr>
                <w:rFonts w:eastAsiaTheme="minorHAnsi"/>
                <w:b/>
                <w:sz w:val="18"/>
                <w:szCs w:val="18"/>
              </w:rPr>
            </w:pPr>
          </w:p>
        </w:tc>
      </w:tr>
      <w:tr w:rsidR="00166E95" w:rsidRPr="00C548C6" w:rsidTr="000B3690">
        <w:trPr>
          <w:cantSplit/>
          <w:trHeight w:val="1762"/>
        </w:trPr>
        <w:tc>
          <w:tcPr>
            <w:tcW w:w="2553" w:type="dxa"/>
            <w:vMerge/>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2: Restrict the rules to apply only to the wholly-owned group context.</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Addresses some of the overreach imposed by the current rule.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Facilitates some corporate restructuring, (i.e. not in the wholly-owned group situation).</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Preserves the protection that the current rule provides against non-market transactions (for example intra-group sales used to inflate capital profits or dividend strips to transfer cash from one company to another) which are more likely in the wholly-owned group context.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Freeing up corporate restructuring (outside of wholly-owned group) may still encourage tax driven structuring, which is undesirable.</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Removes the protection provided by the current rule against non-market transactions outside of wholly-owned groups.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Option 3: Restrict the rules to apply only to the wholly owned group context and to sales of assets where less than 15% of the asset has been sold to a third party (i.e. 85% of the asset is held by the original owners).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Addresses some of the overreach imposed by the current rule.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Facilitates some corporate restructuring, (outside of the wholly-owned group circumstance, and when asset ownership has not changed by more than 15%).</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Provides scope for trading of assets between associates.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Bolsters other tax rules by providing protection against non-market transactions and payments in lieu of dividends through material third partly involvement (15%) bolsters other tax rules.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Provides certainty with the bright-line 15% threshold.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Chapter8"/>
              <w:numPr>
                <w:ilvl w:val="0"/>
                <w:numId w:val="0"/>
              </w:numPr>
              <w:jc w:val="left"/>
              <w:rPr>
                <w:rFonts w:eastAsiaTheme="minorHAnsi"/>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May still encourage tax driven structuring, which is undesirable.  The requirement for a 15% change in ownership of the underlying asset provides some comfort that the price paid for the asset is genuine (i.e. limits the ability to generate inflated gains even outside of the wholly-owned group context).</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The 15% threshold might be considered arbitrary.</w:t>
            </w:r>
          </w:p>
        </w:tc>
      </w:tr>
      <w:tr w:rsidR="00166E95" w:rsidRPr="00C548C6" w:rsidTr="000B3690">
        <w:trPr>
          <w:cantSplit/>
          <w:trHeight w:val="1762"/>
        </w:trPr>
        <w:tc>
          <w:tcPr>
            <w:tcW w:w="2553" w:type="dxa"/>
            <w:vMerge/>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4: Do not repeal the rule (status quo).</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No legislative change is required.</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Chapter8"/>
              <w:numPr>
                <w:ilvl w:val="0"/>
                <w:numId w:val="0"/>
              </w:numPr>
              <w:jc w:val="left"/>
              <w:rPr>
                <w:rFonts w:eastAsiaTheme="minorHAnsi"/>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Does not address the concern that the current rule has overreach, and can taint genuine gains made on transfers to associates.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Does not address the concern that the current rule unduly restricts legitimate commercial restructuring.</w:t>
            </w:r>
          </w:p>
        </w:tc>
      </w:tr>
      <w:tr w:rsidR="00166E95" w:rsidRPr="00C548C6" w:rsidTr="000B3690">
        <w:trPr>
          <w:cantSplit/>
          <w:trHeight w:val="1762"/>
        </w:trPr>
        <w:tc>
          <w:tcPr>
            <w:tcW w:w="2553" w:type="dxa"/>
            <w:vMerge w:val="restart"/>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r w:rsidRPr="00C548C6">
              <w:rPr>
                <w:rFonts w:ascii="Times New Roman" w:hAnsi="Times New Roman"/>
                <w:b/>
                <w:sz w:val="18"/>
                <w:szCs w:val="18"/>
              </w:rPr>
              <w:t>Options for taxing shareholder salaries: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Should shareholder salaries for shareholder-employees who do not receive regular amounts or do not get paid in regular periods, be subject to PAYE, provisional tax or a mix of both?</w:t>
            </w: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1: Shareholder employees should be able to choose between a mix of PAYE and provisional tax on their salaries, and the choice of method is unrestricted period to period.</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Allows for flexibility in taxation approach, to reflect a shareholder-employee’s individual circumstances. This can lead to reduced compliance costs for both employee and employer (by not requiring shareholder employees to structure their arrangements around the tax consequences). </w:t>
            </w:r>
          </w:p>
          <w:p w:rsidR="00166E95" w:rsidRPr="00C548C6" w:rsidRDefault="00166E95" w:rsidP="000B3690">
            <w:pPr>
              <w:pStyle w:val="Bullet-list"/>
              <w:spacing w:after="0" w:line="240" w:lineRule="auto"/>
              <w:ind w:left="360" w:firstLine="0"/>
              <w:jc w:val="left"/>
              <w:rPr>
                <w:rFonts w:ascii="Times New Roman" w:hAnsi="Times New Roman"/>
                <w:sz w:val="18"/>
                <w:szCs w:val="18"/>
              </w:rPr>
            </w:pPr>
          </w:p>
          <w:p w:rsidR="00166E95" w:rsidRPr="00C548C6" w:rsidRDefault="00166E95" w:rsidP="000B3690">
            <w:pPr>
              <w:pStyle w:val="Bullet-list"/>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Is an optional proposal, therefore, it will not result in any additional compliance costs for taxpayers who do not wish to use this option. </w:t>
            </w: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Would allow flip-flopping between methods from year to year which may allow manipulation of provisional tax requirements and may lead to additional compliance costs for employees and their employers.  However as this is an optional proposal, this additional cost will only arise for taxpayers who choose to apply the mixed methods. </w:t>
            </w:r>
          </w:p>
          <w:p w:rsidR="00166E95" w:rsidRPr="00C548C6" w:rsidRDefault="00166E95" w:rsidP="000B3690">
            <w:pPr>
              <w:pStyle w:val="Bullet-list"/>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2: Shareholder employees should be able to choose between a mix of PAYE and provisional tax on their salaries, and the choice of method is restricted period to period to prevent flip-flopping between methods in succeeding periods.</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Allows for flexibility in taxation approach, to reflect a shareholder-employee’s individual circumstances which can lead to reduced compliance costs for both employee and employer. </w:t>
            </w:r>
          </w:p>
          <w:p w:rsidR="00166E95" w:rsidRPr="00C548C6" w:rsidRDefault="00166E95" w:rsidP="000B3690">
            <w:pPr>
              <w:pStyle w:val="Bullet-list"/>
              <w:spacing w:after="0" w:line="240" w:lineRule="auto"/>
              <w:ind w:left="360" w:firstLine="0"/>
              <w:jc w:val="left"/>
              <w:rPr>
                <w:rFonts w:ascii="Times New Roman" w:hAnsi="Times New Roman"/>
                <w:sz w:val="18"/>
                <w:szCs w:val="18"/>
              </w:rPr>
            </w:pPr>
          </w:p>
          <w:p w:rsidR="00166E95" w:rsidRPr="00C548C6" w:rsidRDefault="00166E95" w:rsidP="000B3690">
            <w:pPr>
              <w:pStyle w:val="Bullet-list"/>
              <w:spacing w:after="0" w:line="240" w:lineRule="auto"/>
              <w:ind w:left="0" w:firstLine="34"/>
              <w:jc w:val="left"/>
              <w:rPr>
                <w:rFonts w:ascii="Times New Roman" w:hAnsi="Times New Roman"/>
                <w:sz w:val="18"/>
                <w:szCs w:val="18"/>
              </w:rPr>
            </w:pPr>
            <w:r w:rsidRPr="00C548C6">
              <w:rPr>
                <w:rFonts w:ascii="Times New Roman" w:hAnsi="Times New Roman"/>
                <w:sz w:val="18"/>
                <w:szCs w:val="18"/>
              </w:rPr>
              <w:t xml:space="preserve">Is an optional proposal, therefore, will not result in any additional compliance costs for taxpayers who do not wish to use this </w:t>
            </w:r>
            <w:proofErr w:type="gramStart"/>
            <w:r w:rsidRPr="00C548C6">
              <w:rPr>
                <w:rFonts w:ascii="Times New Roman" w:hAnsi="Times New Roman"/>
                <w:sz w:val="18"/>
                <w:szCs w:val="18"/>
              </w:rPr>
              <w:t>option.</w:t>
            </w:r>
            <w:proofErr w:type="gramEnd"/>
          </w:p>
          <w:p w:rsidR="00166E95" w:rsidRPr="00C548C6" w:rsidRDefault="00166E95" w:rsidP="000B3690">
            <w:pPr>
              <w:pStyle w:val="Bullet-list"/>
              <w:spacing w:after="0" w:line="240" w:lineRule="auto"/>
              <w:ind w:left="0" w:firstLine="34"/>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Would prevent potential manipulation of provisional tax liabilities that might arise from flip-flopping between PAYE and provisional tax.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Changes between methods may lead to additional compliance costs as employees and their employers adjust to the change.  </w:t>
            </w:r>
          </w:p>
          <w:p w:rsidR="00166E95" w:rsidRPr="00C548C6" w:rsidRDefault="00166E95" w:rsidP="000B3690">
            <w:pPr>
              <w:pStyle w:val="Bullet-list"/>
              <w:spacing w:after="0" w:line="240" w:lineRule="auto"/>
              <w:ind w:left="0" w:firstLine="0"/>
              <w:jc w:val="left"/>
              <w:rPr>
                <w:rFonts w:ascii="Times New Roman" w:hAnsi="Times New Roman"/>
                <w:sz w:val="18"/>
                <w:szCs w:val="18"/>
              </w:rPr>
            </w:pPr>
          </w:p>
          <w:p w:rsidR="00166E95" w:rsidRPr="00C548C6" w:rsidRDefault="00166E95" w:rsidP="000B3690">
            <w:pPr>
              <w:pStyle w:val="Bullet-list"/>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However as this additional cost will only arise for taxpayers who choose to apply the mixed methods. </w:t>
            </w:r>
          </w:p>
          <w:p w:rsidR="00166E95" w:rsidRPr="00C548C6" w:rsidRDefault="00166E95" w:rsidP="000B3690">
            <w:pPr>
              <w:pStyle w:val="Bullet-list"/>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Chapter8"/>
              <w:numPr>
                <w:ilvl w:val="0"/>
                <w:numId w:val="0"/>
              </w:numPr>
              <w:jc w:val="left"/>
              <w:rPr>
                <w:rFonts w:eastAsiaTheme="minorHAnsi"/>
                <w:sz w:val="18"/>
                <w:szCs w:val="18"/>
              </w:rPr>
            </w:pPr>
          </w:p>
        </w:tc>
      </w:tr>
      <w:tr w:rsidR="00166E95" w:rsidRPr="00C548C6" w:rsidTr="000B3690">
        <w:trPr>
          <w:cantSplit/>
          <w:trHeight w:val="1762"/>
        </w:trPr>
        <w:tc>
          <w:tcPr>
            <w:tcW w:w="2553" w:type="dxa"/>
            <w:vMerge/>
            <w:tcBorders>
              <w:bottom w:val="single" w:sz="4" w:space="0" w:color="auto"/>
            </w:tcBorders>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3: Shareholder salaries should be subject to either PAYE or provisional tax, but not both (status quo).</w:t>
            </w:r>
          </w:p>
        </w:tc>
        <w:tc>
          <w:tcPr>
            <w:tcW w:w="4961"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Applying only one approach to taxation of income, can simplify compliance for the employer.</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No legislative change is required.</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Chapter8"/>
              <w:numPr>
                <w:ilvl w:val="0"/>
                <w:numId w:val="0"/>
              </w:numPr>
              <w:jc w:val="left"/>
              <w:rPr>
                <w:rFonts w:eastAsiaTheme="minorHAnsi"/>
                <w:sz w:val="18"/>
                <w:szCs w:val="18"/>
              </w:rPr>
            </w:pPr>
            <w:r w:rsidRPr="00C548C6">
              <w:rPr>
                <w:sz w:val="18"/>
                <w:szCs w:val="18"/>
              </w:rPr>
              <w:t>Does not allow for flexibility in taxation approach, which can lead to additional compliance costs (by forcing shareholder employees to structure their arrangements around the tax consequences) for both employee and employer.</w:t>
            </w:r>
          </w:p>
        </w:tc>
      </w:tr>
      <w:tr w:rsidR="00166E95" w:rsidRPr="00C548C6" w:rsidTr="000B3690">
        <w:trPr>
          <w:cantSplit/>
          <w:trHeight w:val="552"/>
        </w:trPr>
        <w:tc>
          <w:tcPr>
            <w:tcW w:w="2553" w:type="dxa"/>
            <w:shd w:val="pct40"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b/>
                <w:i/>
                <w:color w:val="FFFFFF" w:themeColor="background1"/>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i/>
                <w:color w:val="FFFFFF" w:themeColor="background1"/>
                <w:sz w:val="18"/>
                <w:szCs w:val="18"/>
              </w:rPr>
            </w:pPr>
            <w:r w:rsidRPr="00C548C6">
              <w:rPr>
                <w:rFonts w:ascii="Times New Roman" w:hAnsi="Times New Roman"/>
                <w:b/>
                <w:i/>
                <w:color w:val="FFFFFF" w:themeColor="background1"/>
                <w:sz w:val="18"/>
                <w:szCs w:val="18"/>
              </w:rPr>
              <w:t>Theme</w:t>
            </w:r>
          </w:p>
        </w:tc>
        <w:tc>
          <w:tcPr>
            <w:tcW w:w="12332" w:type="dxa"/>
            <w:gridSpan w:val="3"/>
            <w:shd w:val="pct40" w:color="auto" w:fill="auto"/>
          </w:tcPr>
          <w:p w:rsidR="00166E95" w:rsidRPr="00C548C6" w:rsidRDefault="00166E95" w:rsidP="000B3690">
            <w:pPr>
              <w:pStyle w:val="Bullet-list"/>
              <w:tabs>
                <w:tab w:val="num" w:pos="567"/>
              </w:tabs>
              <w:spacing w:after="0" w:line="240" w:lineRule="auto"/>
              <w:ind w:left="0" w:firstLine="0"/>
              <w:jc w:val="center"/>
              <w:rPr>
                <w:rFonts w:ascii="Times New Roman" w:hAnsi="Times New Roman"/>
                <w:b/>
                <w:i/>
                <w:color w:val="FFFFFF" w:themeColor="background1"/>
                <w:sz w:val="18"/>
                <w:szCs w:val="18"/>
              </w:rPr>
            </w:pPr>
          </w:p>
          <w:p w:rsidR="00166E95" w:rsidRPr="00C548C6" w:rsidRDefault="00166E95" w:rsidP="000B3690">
            <w:pPr>
              <w:pStyle w:val="Bullet-list"/>
              <w:tabs>
                <w:tab w:val="num" w:pos="567"/>
              </w:tabs>
              <w:spacing w:after="0" w:line="240" w:lineRule="auto"/>
              <w:ind w:left="0" w:firstLine="0"/>
              <w:jc w:val="center"/>
              <w:rPr>
                <w:rFonts w:ascii="Times New Roman" w:hAnsi="Times New Roman"/>
                <w:b/>
                <w:i/>
                <w:color w:val="FFFFFF" w:themeColor="background1"/>
                <w:sz w:val="18"/>
                <w:szCs w:val="18"/>
              </w:rPr>
            </w:pPr>
            <w:r w:rsidRPr="00C548C6">
              <w:rPr>
                <w:rFonts w:ascii="Times New Roman" w:hAnsi="Times New Roman"/>
                <w:b/>
                <w:i/>
                <w:color w:val="FFFFFF" w:themeColor="background1"/>
                <w:sz w:val="18"/>
                <w:szCs w:val="18"/>
              </w:rPr>
              <w:t>Rules which fail to achieve their intended policy objectives</w:t>
            </w:r>
          </w:p>
          <w:p w:rsidR="00166E95" w:rsidRPr="00C548C6" w:rsidRDefault="00166E95" w:rsidP="000B3690">
            <w:pPr>
              <w:pStyle w:val="Bullet-list"/>
              <w:tabs>
                <w:tab w:val="num" w:pos="567"/>
              </w:tabs>
              <w:spacing w:after="0" w:line="240" w:lineRule="auto"/>
              <w:ind w:left="0" w:firstLine="0"/>
              <w:jc w:val="center"/>
              <w:rPr>
                <w:rFonts w:ascii="Times New Roman" w:hAnsi="Times New Roman"/>
                <w:b/>
                <w:color w:val="FFFFFF" w:themeColor="background1"/>
                <w:sz w:val="18"/>
                <w:szCs w:val="18"/>
              </w:rPr>
            </w:pPr>
          </w:p>
        </w:tc>
      </w:tr>
      <w:tr w:rsidR="00166E95" w:rsidRPr="00C548C6" w:rsidTr="000B3690">
        <w:trPr>
          <w:cantSplit/>
          <w:trHeight w:val="1762"/>
        </w:trPr>
        <w:tc>
          <w:tcPr>
            <w:tcW w:w="2553" w:type="dxa"/>
            <w:vMerge w:val="restart"/>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r w:rsidRPr="00C548C6">
              <w:rPr>
                <w:rFonts w:ascii="Times New Roman" w:hAnsi="Times New Roman"/>
                <w:b/>
                <w:sz w:val="18"/>
                <w:szCs w:val="18"/>
              </w:rPr>
              <w:t>LTC eligibility criteria: LTCs owned by trusts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For LTCs owned by trusts is the integrity of the ‘look-through counted owner’ limitation undermined by the application of the rule to distributions of beneficiary income only?</w:t>
            </w: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1: Extend the ‘look-through counted owners’ test to include all beneficiaries who receive any distributions (whether as beneficiary income or trustee income, corpus or capital) from LTC shareholding</w:t>
            </w:r>
            <w:r w:rsidRPr="00C548C6" w:rsidDel="002758FB">
              <w:rPr>
                <w:rFonts w:ascii="Times New Roman" w:hAnsi="Times New Roman"/>
                <w:sz w:val="18"/>
                <w:szCs w:val="18"/>
              </w:rPr>
              <w:t xml:space="preserve"> </w:t>
            </w:r>
            <w:r w:rsidRPr="00C548C6">
              <w:rPr>
                <w:rFonts w:ascii="Times New Roman" w:hAnsi="Times New Roman"/>
                <w:sz w:val="18"/>
                <w:szCs w:val="18"/>
              </w:rPr>
              <w:t>trusts.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Supports the integrity of the rules by:</w:t>
            </w:r>
          </w:p>
          <w:p w:rsidR="00166E95" w:rsidRPr="00C548C6" w:rsidRDefault="00166E95" w:rsidP="00166E95">
            <w:pPr>
              <w:pStyle w:val="Bullet-list"/>
              <w:numPr>
                <w:ilvl w:val="0"/>
                <w:numId w:val="14"/>
              </w:numPr>
              <w:spacing w:after="0" w:line="240" w:lineRule="auto"/>
              <w:jc w:val="left"/>
              <w:rPr>
                <w:rFonts w:ascii="Times New Roman" w:hAnsi="Times New Roman"/>
                <w:sz w:val="18"/>
                <w:szCs w:val="18"/>
              </w:rPr>
            </w:pPr>
            <w:r w:rsidRPr="00C548C6">
              <w:rPr>
                <w:rFonts w:ascii="Times New Roman" w:hAnsi="Times New Roman"/>
                <w:sz w:val="18"/>
                <w:szCs w:val="18"/>
              </w:rPr>
              <w:t xml:space="preserve">including all ‘look-through owners’ who benefit economically from the LTC ownership; </w:t>
            </w:r>
          </w:p>
          <w:p w:rsidR="00166E95" w:rsidRPr="00C548C6" w:rsidRDefault="00166E95" w:rsidP="00166E95">
            <w:pPr>
              <w:pStyle w:val="Bullet-list"/>
              <w:numPr>
                <w:ilvl w:val="0"/>
                <w:numId w:val="14"/>
              </w:numPr>
              <w:spacing w:after="0" w:line="240" w:lineRule="auto"/>
              <w:jc w:val="left"/>
              <w:rPr>
                <w:rFonts w:ascii="Times New Roman" w:hAnsi="Times New Roman"/>
                <w:sz w:val="18"/>
                <w:szCs w:val="18"/>
              </w:rPr>
            </w:pPr>
            <w:r w:rsidRPr="00C548C6">
              <w:rPr>
                <w:rFonts w:ascii="Times New Roman" w:hAnsi="Times New Roman"/>
                <w:sz w:val="18"/>
                <w:szCs w:val="18"/>
              </w:rPr>
              <w:t>recognising the fungibility of money; and</w:t>
            </w:r>
          </w:p>
          <w:p w:rsidR="00166E95" w:rsidRPr="00C548C6" w:rsidRDefault="00166E95" w:rsidP="00166E95">
            <w:pPr>
              <w:pStyle w:val="Bullet-list"/>
              <w:numPr>
                <w:ilvl w:val="0"/>
                <w:numId w:val="14"/>
              </w:numPr>
              <w:spacing w:after="0" w:line="240" w:lineRule="auto"/>
              <w:jc w:val="left"/>
              <w:rPr>
                <w:rFonts w:ascii="Times New Roman" w:hAnsi="Times New Roman"/>
                <w:sz w:val="18"/>
                <w:szCs w:val="18"/>
              </w:rPr>
            </w:pPr>
            <w:proofErr w:type="gramStart"/>
            <w:r w:rsidRPr="00C548C6">
              <w:rPr>
                <w:rFonts w:ascii="Times New Roman" w:hAnsi="Times New Roman"/>
                <w:sz w:val="18"/>
                <w:szCs w:val="18"/>
              </w:rPr>
              <w:t>preventing</w:t>
            </w:r>
            <w:proofErr w:type="gramEnd"/>
            <w:r w:rsidRPr="00C548C6">
              <w:rPr>
                <w:rFonts w:ascii="Times New Roman" w:hAnsi="Times New Roman"/>
                <w:sz w:val="18"/>
                <w:szCs w:val="18"/>
              </w:rPr>
              <w:t xml:space="preserve"> the streaming of certain types of income to selected beneficiaries. </w:t>
            </w:r>
          </w:p>
          <w:p w:rsidR="00166E95" w:rsidRPr="00C548C6" w:rsidRDefault="00166E95" w:rsidP="000B3690">
            <w:pPr>
              <w:pStyle w:val="Bullet-list"/>
              <w:spacing w:after="0" w:line="240" w:lineRule="auto"/>
              <w:ind w:left="360" w:firstLine="0"/>
              <w:jc w:val="left"/>
              <w:rPr>
                <w:rFonts w:ascii="Times New Roman" w:hAnsi="Times New Roman"/>
                <w:sz w:val="18"/>
                <w:szCs w:val="18"/>
              </w:rPr>
            </w:pPr>
          </w:p>
          <w:p w:rsidR="00166E95" w:rsidRPr="00C548C6" w:rsidRDefault="00166E95" w:rsidP="000B3690">
            <w:pPr>
              <w:pStyle w:val="Bullet-list"/>
              <w:spacing w:after="0" w:line="240" w:lineRule="auto"/>
              <w:ind w:left="14" w:hanging="14"/>
              <w:jc w:val="left"/>
              <w:rPr>
                <w:rFonts w:ascii="Times New Roman" w:hAnsi="Times New Roman"/>
                <w:sz w:val="18"/>
                <w:szCs w:val="18"/>
              </w:rPr>
            </w:pPr>
            <w:r w:rsidRPr="00C548C6">
              <w:rPr>
                <w:rFonts w:ascii="Times New Roman" w:hAnsi="Times New Roman"/>
                <w:sz w:val="18"/>
                <w:szCs w:val="18"/>
              </w:rPr>
              <w:t xml:space="preserve">Is not expected to disproportionally disadvantage current structures or induce tax driven behavioural changes because of the fact that the majority of LTCs currently have only one or two counted owners (assisted by the ability to treat close relatives as a single owner). </w:t>
            </w:r>
          </w:p>
          <w:p w:rsidR="00166E95" w:rsidRPr="00C548C6" w:rsidRDefault="00166E95" w:rsidP="000B3690">
            <w:pPr>
              <w:pStyle w:val="Bullet-list"/>
              <w:spacing w:after="0" w:line="240" w:lineRule="auto"/>
              <w:ind w:left="14" w:hanging="14"/>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Potential to lead to some additional compliance costs for trustees given the need to keep accurate records of all distributions not just beneficiary income distributions.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Potentially increases risk of inadvertent breach by trustees who are not careful to count all distributions of trust income, corpus or capital.  However we note that this is not a material risk for family trusts which make up a high proportion of all trusts.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This risk can also be ameliorated in the first instance by providing a transitional period.</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2: Remain with status quo, and count only distributions of beneficiary income from LTC interests.</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No increase in compliance costs.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No increase in risk of inadvertent breach.</w:t>
            </w: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Fails to recognise the reality that a person who does not receive beneficiary income can nevertheless benefit from a trust owning LTC shares.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Improves the integrity of the eligibility</w:t>
            </w:r>
            <w:r w:rsidRPr="00C548C6">
              <w:rPr>
                <w:rFonts w:ascii="Times New Roman" w:hAnsi="Times New Roman"/>
                <w:b/>
                <w:sz w:val="18"/>
                <w:szCs w:val="18"/>
              </w:rPr>
              <w:t xml:space="preserve"> </w:t>
            </w:r>
            <w:r w:rsidRPr="00C548C6">
              <w:rPr>
                <w:rFonts w:ascii="Times New Roman" w:hAnsi="Times New Roman"/>
                <w:sz w:val="18"/>
                <w:szCs w:val="18"/>
              </w:rPr>
              <w:t>criteria as could effectively allow for more than 5 LTC owners.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val="restart"/>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r w:rsidRPr="00C548C6">
              <w:rPr>
                <w:rFonts w:ascii="Times New Roman" w:hAnsi="Times New Roman"/>
                <w:b/>
                <w:sz w:val="18"/>
                <w:szCs w:val="18"/>
              </w:rPr>
              <w:t>LTC eligibility criteria: LTCs owned by corporates</w:t>
            </w: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Should trusts that own LTCs be allowed to have corporate beneficiaries, given that direct ownership of a LTC by a corporate (non-LTC) is prohibited?</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1: Trusts that own LTCs should not be allowed to have corporate beneficiaries.</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Supports the integrity of the prohibition on corporate ownership of LTCs.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Reinforces the objective of ensuring that LTCs are not able to be widely held.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This would result in many LTCs failing the eligibility</w:t>
            </w:r>
            <w:r w:rsidRPr="00C548C6">
              <w:rPr>
                <w:rFonts w:ascii="Times New Roman" w:hAnsi="Times New Roman"/>
                <w:b/>
                <w:sz w:val="18"/>
                <w:szCs w:val="18"/>
              </w:rPr>
              <w:t xml:space="preserve"> </w:t>
            </w:r>
            <w:r w:rsidRPr="00C548C6">
              <w:rPr>
                <w:rFonts w:ascii="Times New Roman" w:hAnsi="Times New Roman"/>
                <w:sz w:val="18"/>
                <w:szCs w:val="18"/>
              </w:rPr>
              <w:t>criteria, as many LTCs are owned by trusts which have corporate beneficiaries.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Would result in some restructuring, for LTCs owned by trusts with corporate beneficiaries, </w:t>
            </w:r>
            <w:proofErr w:type="gramStart"/>
            <w:r w:rsidRPr="00C548C6">
              <w:rPr>
                <w:rFonts w:ascii="Times New Roman" w:hAnsi="Times New Roman"/>
                <w:sz w:val="18"/>
                <w:szCs w:val="18"/>
              </w:rPr>
              <w:t>which</w:t>
            </w:r>
            <w:proofErr w:type="gramEnd"/>
            <w:r w:rsidRPr="00C548C6">
              <w:rPr>
                <w:rFonts w:ascii="Times New Roman" w:hAnsi="Times New Roman"/>
                <w:sz w:val="18"/>
                <w:szCs w:val="18"/>
              </w:rPr>
              <w:t xml:space="preserve"> may result in additional compliance costs (incurred in the restructure) and/or tax costs (incurred due to the consequences of LTC share disposal).</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2: Trusts that own LTCs should be allowed to have corporate beneficiaries so long as no distributions are made to those corporate beneficiaries.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Supports the integrity of the prohibition on corporate ownership of LTCs by restricting the economic benefits of LTC ownership from flowing through to corporate beneficiaries.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Does not result in restructuring of existing structures, as corporate beneficiaries in and of themselves do not cause the LTC to fail the eligibility criteria, so long as no distributions are made to those beneficiaries.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By not allowing for any distributions to corporate beneficiaries, including ones where the total number of counted owners (including all shareholders of the corporate beneficiary) is below 5, this proposal would preclude distribution to those corporates that meet the LTC requirements but who have not elected into the LTC rules.  Currently such distributions are allowed.</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It will result in some trusts incurring costs in restructuring to remove corporate beneficiaries and/or tax costs (incurred due to the consequences of LTC share disposal). </w:t>
            </w:r>
          </w:p>
          <w:p w:rsidR="00166E95" w:rsidRPr="00C548C6" w:rsidRDefault="00166E95" w:rsidP="000B3690">
            <w:pPr>
              <w:pStyle w:val="Bullet-list"/>
              <w:spacing w:after="0" w:line="240" w:lineRule="auto"/>
              <w:ind w:left="33" w:hanging="33"/>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spacing w:after="0" w:line="240" w:lineRule="auto"/>
              <w:ind w:left="33" w:hanging="33"/>
              <w:jc w:val="left"/>
              <w:rPr>
                <w:rFonts w:ascii="Times New Roman" w:hAnsi="Times New Roman"/>
                <w:sz w:val="18"/>
                <w:szCs w:val="18"/>
              </w:rPr>
            </w:pPr>
          </w:p>
        </w:tc>
      </w:tr>
      <w:tr w:rsidR="00166E95" w:rsidRPr="00C548C6" w:rsidTr="000B3690">
        <w:trPr>
          <w:cantSplit/>
          <w:trHeight w:val="1762"/>
        </w:trPr>
        <w:tc>
          <w:tcPr>
            <w:tcW w:w="2553" w:type="dxa"/>
            <w:vMerge/>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3: Trusts that own LTCs should be allowed to have corporate beneficiaries.</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Allows for broader use of the LTC regime.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Has no effect on existing or future structures.</w:t>
            </w: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Undermines the policy intent that LTCs should not be widely held vehicles.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Poses a risk to the tax base by encouraging planning opportunities involving corporates.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Option 4: Trusts that own LTCs should be allowed to have corporate beneficiaries, only if the total number of counted owners (including all shareholders of the corporate beneficiary) remains below 5(status quo).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Has no effect on existing or future structures as is current requirement.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No legislative change is required.</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Partly meets objective of LTCs not being able to be widely held. </w:t>
            </w: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The integrity of the prohibition on corporate ownership of LTCs continues to be undermined.</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Only partly meets objective of ensuring LTCs are not able to be widely held. </w:t>
            </w:r>
          </w:p>
        </w:tc>
      </w:tr>
      <w:tr w:rsidR="00166E95" w:rsidRPr="00C548C6" w:rsidTr="000B3690">
        <w:trPr>
          <w:cantSplit/>
          <w:trHeight w:val="1762"/>
        </w:trPr>
        <w:tc>
          <w:tcPr>
            <w:tcW w:w="2553" w:type="dxa"/>
            <w:vMerge w:val="restart"/>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r w:rsidRPr="00C548C6">
              <w:rPr>
                <w:rFonts w:ascii="Times New Roman" w:hAnsi="Times New Roman"/>
                <w:b/>
                <w:sz w:val="18"/>
                <w:szCs w:val="18"/>
              </w:rPr>
              <w:t>Eligibility criteria: LTCs owned by charities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Should a charity be precluded from owning a LTC (which is ordinarily reserved for closely held businesses) either directly or indirectly (as a beneficiary of a trust) because a charity typically has a wide pool of beneficiaries?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Option 1: Charities are precluded from owning LTCs directly or indirectly. </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Achieves the goal of ensuring that LTCs are not able to be held by what is effectively a wide pool of beneficiaries.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This may discourage donations, which is contrary to Government policy.</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This would result in many LTCs failing the eligibility</w:t>
            </w:r>
            <w:r w:rsidRPr="00C548C6">
              <w:rPr>
                <w:rFonts w:ascii="Times New Roman" w:hAnsi="Times New Roman"/>
                <w:b/>
                <w:sz w:val="18"/>
                <w:szCs w:val="18"/>
              </w:rPr>
              <w:t xml:space="preserve"> </w:t>
            </w:r>
            <w:r w:rsidRPr="00C548C6">
              <w:rPr>
                <w:rFonts w:ascii="Times New Roman" w:hAnsi="Times New Roman"/>
                <w:sz w:val="18"/>
                <w:szCs w:val="18"/>
              </w:rPr>
              <w:t>criteria, as many LTCs are owned by family trusts which commonly have residual charitable beneficiaries.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This could lead to increased compliance costs (incurred in the restructure) and/or tax costs (incurred due to the consequences of LTC share disposal) as taxpayers restructure to ensure LTC eligibility is maintained (for example by settling a separate LTC owning trust).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 </w:t>
            </w:r>
          </w:p>
        </w:tc>
      </w:tr>
      <w:tr w:rsidR="00166E95" w:rsidRPr="00C548C6" w:rsidTr="000B3690">
        <w:trPr>
          <w:cantSplit/>
          <w:trHeight w:val="1762"/>
        </w:trPr>
        <w:tc>
          <w:tcPr>
            <w:tcW w:w="2553" w:type="dxa"/>
            <w:vMerge/>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2: Charities are precluded from owning LTCs either directly or indirectly, but are allowed to make charitable distributions (capped at 10 % of net LTC income received by the trust in the year).</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Assists the goal of ensuring that LTCs are not able to be held by what is effectively a wide pool of beneficiaries, by strengthening the rule.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Allows for some charitable donations.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The 10% threshold is arbitrary and may discourage large donations, which is contrary to Government policy.</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This would result in many LTCs failing the eligibility</w:t>
            </w:r>
            <w:r w:rsidRPr="00C548C6">
              <w:rPr>
                <w:rFonts w:ascii="Times New Roman" w:hAnsi="Times New Roman"/>
                <w:b/>
                <w:sz w:val="18"/>
                <w:szCs w:val="18"/>
              </w:rPr>
              <w:t xml:space="preserve"> </w:t>
            </w:r>
            <w:r w:rsidRPr="00C548C6">
              <w:rPr>
                <w:rFonts w:ascii="Times New Roman" w:hAnsi="Times New Roman"/>
                <w:sz w:val="18"/>
                <w:szCs w:val="18"/>
              </w:rPr>
              <w:t>criteria, as many LTCs are owned by family trusts which commonly have residual charitable beneficiaries which would lead to additional compliance costs (incurred in the restructure) and/or tax costs (incurred due to the consequences of LTC share disposal).</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Option 3: Charities are precluded from owning LTCs directly, but not precluded from indirectly benefiting from the LTC as either residual beneficiary of a LTC owning trust, or ordinary beneficiaries when the charity has no influence over the LTC or trust (in effect any distribution is a true gift which is freely given).  </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Assists the goal of ensuring that LTCs are not able to be held by what is effectively a wide pool of beneficiaries, by strengthening the rule.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Allows for unlimited (genuine) charitable donations.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Does not force many LTCs out of the regime (by failing the eligibility</w:t>
            </w:r>
            <w:r w:rsidRPr="00C548C6">
              <w:rPr>
                <w:rFonts w:ascii="Times New Roman" w:hAnsi="Times New Roman"/>
                <w:b/>
                <w:sz w:val="18"/>
                <w:szCs w:val="18"/>
              </w:rPr>
              <w:t xml:space="preserve"> </w:t>
            </w:r>
            <w:r w:rsidRPr="00C548C6">
              <w:rPr>
                <w:rFonts w:ascii="Times New Roman" w:hAnsi="Times New Roman"/>
                <w:sz w:val="18"/>
                <w:szCs w:val="18"/>
              </w:rPr>
              <w:t>criteria), by allowing residual charitable beneficiaries.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Would not necessitate extensive restructuring, (based on submissions received the majority of LTCs have only got charitable owners as beneficiaries of owning trusts).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Would result in some restructuring, for charities which own LTCs directly, which would lead to additional compliance costs.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4: Charities should be able to own LTC interests (status quo).</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Allows for unlimited charitable donations.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Has no effect on existing structures.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No legislative change is required.</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Does not achieve the goal of ensuring that LTCs are not able to be held by what is effectively a wide pool of beneficiaries.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May encourage more charities to use LTCs.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val="restart"/>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r w:rsidRPr="00C548C6">
              <w:rPr>
                <w:rFonts w:ascii="Times New Roman" w:hAnsi="Times New Roman"/>
                <w:b/>
                <w:sz w:val="18"/>
                <w:szCs w:val="18"/>
              </w:rPr>
              <w:t>Eligibility criteria: LTCs owned by</w:t>
            </w:r>
            <w:r w:rsidRPr="00C548C6">
              <w:rPr>
                <w:rFonts w:ascii="Times New Roman" w:hAnsi="Times New Roman"/>
                <w:sz w:val="18"/>
                <w:szCs w:val="18"/>
              </w:rPr>
              <w:t xml:space="preserve"> </w:t>
            </w:r>
            <w:r w:rsidRPr="00C548C6">
              <w:rPr>
                <w:rFonts w:ascii="Times New Roman" w:hAnsi="Times New Roman"/>
                <w:b/>
                <w:sz w:val="18"/>
                <w:szCs w:val="18"/>
              </w:rPr>
              <w:t>Māori Authority</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Should a M</w:t>
            </w:r>
            <w:r w:rsidRPr="00C548C6">
              <w:rPr>
                <w:rFonts w:ascii="Times New Roman" w:eastAsiaTheme="minorHAnsi" w:hAnsi="Times New Roman"/>
                <w:sz w:val="18"/>
                <w:szCs w:val="18"/>
              </w:rPr>
              <w:t>ā</w:t>
            </w:r>
            <w:r w:rsidRPr="00C548C6">
              <w:rPr>
                <w:rFonts w:ascii="Times New Roman" w:hAnsi="Times New Roman"/>
                <w:sz w:val="18"/>
                <w:szCs w:val="18"/>
              </w:rPr>
              <w:t>ori Authority be precluded from owning a LTC (which is ordinarily reserved for closely held businesses) either directly or indirectly (as a beneficiary of a trust) because a M</w:t>
            </w:r>
            <w:r w:rsidRPr="00C548C6">
              <w:rPr>
                <w:rFonts w:ascii="Times New Roman" w:eastAsiaTheme="minorHAnsi" w:hAnsi="Times New Roman"/>
                <w:sz w:val="18"/>
                <w:szCs w:val="18"/>
              </w:rPr>
              <w:t xml:space="preserve">āori Authority </w:t>
            </w:r>
            <w:r w:rsidRPr="00C548C6">
              <w:rPr>
                <w:rFonts w:ascii="Times New Roman" w:hAnsi="Times New Roman"/>
                <w:sz w:val="18"/>
                <w:szCs w:val="18"/>
              </w:rPr>
              <w:t>typically has a wide pool of beneficiaries?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1:  M</w:t>
            </w:r>
            <w:r w:rsidRPr="00C548C6">
              <w:rPr>
                <w:rFonts w:ascii="Times New Roman" w:eastAsiaTheme="minorHAnsi" w:hAnsi="Times New Roman"/>
                <w:sz w:val="18"/>
                <w:szCs w:val="18"/>
              </w:rPr>
              <w:t xml:space="preserve">āori Authorities </w:t>
            </w:r>
            <w:r w:rsidRPr="00C548C6">
              <w:rPr>
                <w:rFonts w:ascii="Times New Roman" w:hAnsi="Times New Roman"/>
                <w:sz w:val="18"/>
                <w:szCs w:val="18"/>
              </w:rPr>
              <w:t>are precluded from owning LTCs directly or indirectly.</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Achieves the goal of ensuring that LTCs are not able to be held by what is effectively a wide pool of beneficiaries.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To achieve equivalent transparent tax treatment, M</w:t>
            </w:r>
            <w:r w:rsidRPr="00C548C6">
              <w:rPr>
                <w:rFonts w:ascii="Times New Roman" w:eastAsiaTheme="minorHAnsi" w:hAnsi="Times New Roman"/>
                <w:sz w:val="18"/>
                <w:szCs w:val="18"/>
              </w:rPr>
              <w:t>āori Authorities would have to use limited partnerships, which are intended for use as widely held investment vehicles.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For M</w:t>
            </w:r>
            <w:r w:rsidRPr="00C548C6">
              <w:rPr>
                <w:rFonts w:ascii="Times New Roman" w:eastAsiaTheme="minorHAnsi" w:hAnsi="Times New Roman"/>
                <w:sz w:val="18"/>
                <w:szCs w:val="18"/>
              </w:rPr>
              <w:t>āori Authorities</w:t>
            </w:r>
            <w:r w:rsidRPr="00C548C6">
              <w:rPr>
                <w:rFonts w:ascii="Times New Roman" w:hAnsi="Times New Roman"/>
                <w:sz w:val="18"/>
                <w:szCs w:val="18"/>
              </w:rPr>
              <w:t xml:space="preserve"> which currently own LTCs directly, this proposal would result in restructuring their separate business operation to either:</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166E95">
            <w:pPr>
              <w:pStyle w:val="Bullet-list"/>
              <w:numPr>
                <w:ilvl w:val="0"/>
                <w:numId w:val="15"/>
              </w:numPr>
              <w:spacing w:after="0" w:line="240" w:lineRule="auto"/>
              <w:jc w:val="left"/>
              <w:rPr>
                <w:rFonts w:ascii="Times New Roman" w:hAnsi="Times New Roman"/>
                <w:sz w:val="18"/>
                <w:szCs w:val="18"/>
              </w:rPr>
            </w:pPr>
            <w:r w:rsidRPr="00C548C6">
              <w:rPr>
                <w:rFonts w:ascii="Times New Roman" w:hAnsi="Times New Roman"/>
                <w:sz w:val="18"/>
                <w:szCs w:val="18"/>
              </w:rPr>
              <w:t>an alternative look-through vehicle to achieve the same outcome, which may result in compliance cost; or</w:t>
            </w:r>
          </w:p>
          <w:p w:rsidR="00166E95" w:rsidRPr="00C548C6" w:rsidRDefault="00166E95" w:rsidP="00166E95">
            <w:pPr>
              <w:pStyle w:val="Bullet-list"/>
              <w:numPr>
                <w:ilvl w:val="0"/>
                <w:numId w:val="15"/>
              </w:numPr>
              <w:spacing w:after="0" w:line="240" w:lineRule="auto"/>
              <w:jc w:val="left"/>
              <w:rPr>
                <w:rFonts w:ascii="Times New Roman" w:hAnsi="Times New Roman"/>
                <w:sz w:val="18"/>
                <w:szCs w:val="18"/>
              </w:rPr>
            </w:pPr>
            <w:proofErr w:type="gramStart"/>
            <w:r w:rsidRPr="00C548C6">
              <w:rPr>
                <w:rFonts w:ascii="Times New Roman" w:hAnsi="Times New Roman"/>
                <w:sz w:val="18"/>
                <w:szCs w:val="18"/>
              </w:rPr>
              <w:t>to</w:t>
            </w:r>
            <w:proofErr w:type="gramEnd"/>
            <w:r w:rsidRPr="00C548C6">
              <w:rPr>
                <w:rFonts w:ascii="Times New Roman" w:hAnsi="Times New Roman"/>
                <w:sz w:val="18"/>
                <w:szCs w:val="18"/>
              </w:rPr>
              <w:t xml:space="preserve"> a standard company in which case there will be situations in which excess imputation credits cannot be readily utilised. </w:t>
            </w:r>
          </w:p>
          <w:p w:rsidR="00166E95" w:rsidRPr="00C548C6" w:rsidRDefault="00166E95" w:rsidP="000B3690">
            <w:pPr>
              <w:pStyle w:val="Bullet-list"/>
              <w:spacing w:after="0" w:line="240" w:lineRule="auto"/>
              <w:ind w:left="36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spacing w:after="0" w:line="240" w:lineRule="auto"/>
              <w:ind w:left="360" w:firstLine="0"/>
              <w:jc w:val="left"/>
              <w:rPr>
                <w:rFonts w:ascii="Times New Roman" w:hAnsi="Times New Roman"/>
                <w:sz w:val="18"/>
                <w:szCs w:val="18"/>
              </w:rPr>
            </w:pPr>
          </w:p>
        </w:tc>
      </w:tr>
      <w:tr w:rsidR="00166E95" w:rsidRPr="00C548C6" w:rsidTr="000B3690">
        <w:trPr>
          <w:cantSplit/>
          <w:trHeight w:val="1762"/>
        </w:trPr>
        <w:tc>
          <w:tcPr>
            <w:tcW w:w="2553" w:type="dxa"/>
            <w:vMerge/>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2:  M</w:t>
            </w:r>
            <w:r w:rsidRPr="00C548C6">
              <w:rPr>
                <w:rFonts w:ascii="Times New Roman" w:eastAsiaTheme="minorHAnsi" w:hAnsi="Times New Roman"/>
                <w:sz w:val="18"/>
                <w:szCs w:val="18"/>
              </w:rPr>
              <w:t xml:space="preserve">āori Authorities </w:t>
            </w:r>
            <w:r w:rsidRPr="00C548C6">
              <w:rPr>
                <w:rFonts w:ascii="Times New Roman" w:hAnsi="Times New Roman"/>
                <w:sz w:val="18"/>
                <w:szCs w:val="18"/>
              </w:rPr>
              <w:t>are precluded from owning LTCs directly or indirectly, but existing structures are grand-parented.</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Achieves the goal of ensuring that LTCs are not able to be held by what is effectively a wide pool of beneficiaries.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Saves M</w:t>
            </w:r>
            <w:r w:rsidRPr="00C548C6">
              <w:rPr>
                <w:rFonts w:ascii="Times New Roman" w:eastAsiaTheme="minorHAnsi" w:hAnsi="Times New Roman"/>
                <w:sz w:val="18"/>
                <w:szCs w:val="18"/>
              </w:rPr>
              <w:t>āori Authorities the cost of restructuring their current LTC interests.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May provide M</w:t>
            </w:r>
            <w:r w:rsidRPr="00C548C6">
              <w:rPr>
                <w:rFonts w:ascii="Times New Roman" w:eastAsiaTheme="minorHAnsi" w:hAnsi="Times New Roman"/>
                <w:sz w:val="18"/>
                <w:szCs w:val="18"/>
              </w:rPr>
              <w:t>āori Authorities</w:t>
            </w:r>
            <w:r w:rsidRPr="00C548C6">
              <w:rPr>
                <w:rFonts w:ascii="Times New Roman" w:hAnsi="Times New Roman"/>
                <w:sz w:val="18"/>
                <w:szCs w:val="18"/>
              </w:rPr>
              <w:t xml:space="preserve"> which currently own LTCs with some small advantage (through lower on-going operational costs) over M</w:t>
            </w:r>
            <w:r w:rsidRPr="00C548C6">
              <w:rPr>
                <w:rFonts w:ascii="Times New Roman" w:eastAsiaTheme="minorHAnsi" w:hAnsi="Times New Roman"/>
                <w:sz w:val="18"/>
                <w:szCs w:val="18"/>
              </w:rPr>
              <w:t>āori Authorities</w:t>
            </w:r>
            <w:r w:rsidRPr="00C548C6">
              <w:rPr>
                <w:rFonts w:ascii="Times New Roman" w:hAnsi="Times New Roman"/>
                <w:sz w:val="18"/>
                <w:szCs w:val="18"/>
              </w:rPr>
              <w:t xml:space="preserve"> which do not currently own LTCs.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3:  M</w:t>
            </w:r>
            <w:r w:rsidRPr="00C548C6">
              <w:rPr>
                <w:rFonts w:ascii="Times New Roman" w:eastAsiaTheme="minorHAnsi" w:hAnsi="Times New Roman"/>
                <w:sz w:val="18"/>
                <w:szCs w:val="18"/>
              </w:rPr>
              <w:t xml:space="preserve">āori Authorities </w:t>
            </w:r>
            <w:r w:rsidRPr="00C548C6">
              <w:rPr>
                <w:rFonts w:ascii="Times New Roman" w:hAnsi="Times New Roman"/>
                <w:sz w:val="18"/>
                <w:szCs w:val="18"/>
              </w:rPr>
              <w:t>are not precluded from owning LTCs directly or indirectly (status quo).</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Has no effect on existing or future structures.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No legislative change is required.</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Does not achieve the goal of ensuring that LTCs are not able to be held by what is effectively a wide pool of beneficiaries.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val="restart"/>
          </w:tcPr>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r w:rsidRPr="00C548C6">
              <w:rPr>
                <w:rFonts w:ascii="Times New Roman" w:hAnsi="Times New Roman"/>
                <w:b/>
                <w:sz w:val="18"/>
                <w:szCs w:val="18"/>
              </w:rPr>
              <w:t>Eligibility criteria: International aspects</w:t>
            </w: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r w:rsidRPr="00C548C6">
              <w:rPr>
                <w:rFonts w:ascii="Times New Roman" w:hAnsi="Times New Roman"/>
                <w:sz w:val="18"/>
                <w:szCs w:val="18"/>
              </w:rPr>
              <w:t>How should the use of LTCs as conduit investment vehicles (i.e. foreign investors earning foreign income through the LTC) be limited?</w:t>
            </w: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p w:rsidR="00166E95" w:rsidRPr="00C548C6" w:rsidRDefault="00166E95" w:rsidP="000B3690">
            <w:pPr>
              <w:pStyle w:val="Bullet-list"/>
              <w:tabs>
                <w:tab w:val="num" w:pos="567"/>
              </w:tabs>
              <w:spacing w:after="0" w:line="240" w:lineRule="auto"/>
              <w:ind w:left="0"/>
              <w:jc w:val="left"/>
              <w:rPr>
                <w:rFonts w:ascii="Times New Roman" w:hAnsi="Times New Roman"/>
                <w:b/>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1: Foreign owners should not be able to own LTCs at all.</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Addresses the reputational risk posed by the use of LTCs as conduit investment vehicles.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Restricts inbound investment into New Zealand through LTCs entirely, not just in the conduit circumstance.</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This would result in many LTCs failing the eligibility</w:t>
            </w:r>
            <w:r w:rsidRPr="00C548C6">
              <w:rPr>
                <w:rFonts w:ascii="Times New Roman" w:hAnsi="Times New Roman"/>
                <w:b/>
                <w:sz w:val="18"/>
                <w:szCs w:val="18"/>
              </w:rPr>
              <w:t xml:space="preserve"> </w:t>
            </w:r>
            <w:r w:rsidRPr="00C548C6">
              <w:rPr>
                <w:rFonts w:ascii="Times New Roman" w:hAnsi="Times New Roman"/>
                <w:sz w:val="18"/>
                <w:szCs w:val="18"/>
              </w:rPr>
              <w:t>criteria, as many LTCs are in some part foreign owned, which would lead to additional compliance costs (incurred in restructuring affairs) and/or tax costs (incurred due to the consequences of LTC share disposal).</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Would result in LTC status being lost where a resident becomes a non-resident for tax purposes.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tcPr>
          <w:p w:rsidR="00166E95" w:rsidRPr="00C548C6" w:rsidRDefault="00166E95" w:rsidP="000B3690">
            <w:pPr>
              <w:pStyle w:val="Bullet-list"/>
              <w:tabs>
                <w:tab w:val="num" w:pos="567"/>
              </w:tabs>
              <w:spacing w:after="0" w:line="240" w:lineRule="auto"/>
              <w:ind w:left="0"/>
              <w:jc w:val="left"/>
              <w:rPr>
                <w:rFonts w:ascii="Times New Roman" w:hAnsi="Times New Roman"/>
                <w:b/>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Options 2: Foreign owners should be able to own LTCs but not earn any foreign income.</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Addresses the reputational risk posed by the use of LTCs as conduit investment vehicles.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Best aligns with the intended use of LTCs as domestically focussed investment vehicles.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Restricts outbound investment by all LTCs, not just in the conduit circumstance.</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This would result in many existing LTCs failing the test unless owners can easily dispose of foreign investments, which would lead to additional costs in restructuring affairs and/or tax costs through the disposal of LTCs shares).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tcPr>
          <w:p w:rsidR="00166E95" w:rsidRPr="00C548C6" w:rsidRDefault="00166E95" w:rsidP="000B3690">
            <w:pPr>
              <w:pStyle w:val="Bullet-list"/>
              <w:tabs>
                <w:tab w:val="num" w:pos="567"/>
              </w:tabs>
              <w:spacing w:after="0" w:line="240" w:lineRule="auto"/>
              <w:ind w:left="0"/>
              <w:jc w:val="left"/>
              <w:rPr>
                <w:rFonts w:ascii="Times New Roman" w:hAnsi="Times New Roman"/>
                <w:b/>
                <w:sz w:val="18"/>
                <w:szCs w:val="18"/>
              </w:rPr>
            </w:pPr>
          </w:p>
        </w:tc>
        <w:tc>
          <w:tcPr>
            <w:tcW w:w="2693"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3: Foreign owners should be able to own LTCs, but LTCs that are foreign controlled (i.e. 50% foreign owned) should only be able to earn a limited amount of foreign income.</w:t>
            </w:r>
          </w:p>
        </w:tc>
        <w:tc>
          <w:tcPr>
            <w:tcW w:w="4961"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Addresses the reputational risk posed by the use of LTCs as conduit investment vehicles.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Does not overly restrict inbound investment (by not restricting foreign ownership of LTCs), or outbound investment.</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Ensures LTC use is better aligned with their intended use as primarily domestically focussed investment vehicles.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Introducing foreign income restrictions and foreign ownership restrictions can increase compliance costs as LTC owners need to check/ensure compliance.  However we note that the application of the proposal is limited to foreign controlled LTCs, which is likely to be very few.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4: Foreign ownership of LTCs should not be restricted and the ability to earn foreign income should not be restricted (status quo).</w:t>
            </w:r>
          </w:p>
        </w:tc>
        <w:tc>
          <w:tcPr>
            <w:tcW w:w="4961"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Has no effect on existing or future structures.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Does not restrict inbound or outbound investment.</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No legislative change is required.</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Does not address the reputational risks posed by the use of LTCs as conduit investment vehicles.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val="restart"/>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r w:rsidRPr="00C548C6">
              <w:rPr>
                <w:rFonts w:ascii="Times New Roman" w:hAnsi="Times New Roman"/>
                <w:b/>
                <w:sz w:val="18"/>
                <w:szCs w:val="18"/>
              </w:rPr>
              <w:t>LTC entry tax</w:t>
            </w: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Should the entry tax formula be amended to change the tax rate that applies to any income calculated by the adjustment?</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1: The entry tax formula should be amended to change the tax rate that applies to any income calculated by the adjustment, to the LTC shareholder’s personal tax rates.</w:t>
            </w:r>
          </w:p>
        </w:tc>
        <w:tc>
          <w:tcPr>
            <w:tcW w:w="4961"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Promotes equity by addressing the tax advantage which is currently only available to shareholders whose personal tax rate exceeds 28% (those on the 30% or 33% marginal tax rate).  Equally addresses the tax disadvantage for shareholders with personal tax rates below 28%.</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Creates certainty and reduces enforcement costs, by preventing the potential for avoidance of tax by cashed up companies who elect into the LTC regime and then subsequently liquidate.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Gives rise to a small fiscal gain.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tcBorders>
              <w:bottom w:val="single" w:sz="4" w:space="0" w:color="auto"/>
            </w:tcBorders>
            <w:shd w:val="pct15" w:color="auto" w:fill="auto"/>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2: The entry tax formula should not be amended to change the tax rate that applies to any income calculated by the adjustment (status quo).</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961"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No legislative change is required.</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Does not address the potential over or under-taxation of shareholders (depending on their personal tax rates) which the current formula causes.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Does not resolve uncertainty over when a company that elects into the LTC regime and then subsequently </w:t>
            </w:r>
            <w:proofErr w:type="gramStart"/>
            <w:r w:rsidRPr="00C548C6">
              <w:rPr>
                <w:rFonts w:ascii="Times New Roman" w:hAnsi="Times New Roman"/>
                <w:sz w:val="18"/>
                <w:szCs w:val="18"/>
              </w:rPr>
              <w:t>liquidates,</w:t>
            </w:r>
            <w:proofErr w:type="gramEnd"/>
            <w:r w:rsidRPr="00C548C6">
              <w:rPr>
                <w:rFonts w:ascii="Times New Roman" w:hAnsi="Times New Roman"/>
                <w:sz w:val="18"/>
                <w:szCs w:val="18"/>
              </w:rPr>
              <w:t xml:space="preserve"> will be challenged on tax avoidance grounds.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Does not reduce enforcement costs associated with disputes on whether a company that elects into the LTC regime and then subsequently liquidates is guilty of tax avoidance. </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val="restart"/>
          </w:tcPr>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r w:rsidRPr="00C548C6">
              <w:rPr>
                <w:rFonts w:ascii="Times New Roman" w:hAnsi="Times New Roman"/>
                <w:b/>
                <w:sz w:val="18"/>
                <w:szCs w:val="18"/>
              </w:rPr>
              <w:t>Debt remission in LTC context:</w:t>
            </w: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When </w:t>
            </w:r>
            <w:proofErr w:type="gramStart"/>
            <w:r w:rsidRPr="00C548C6">
              <w:rPr>
                <w:rFonts w:ascii="Times New Roman" w:hAnsi="Times New Roman"/>
                <w:sz w:val="18"/>
                <w:szCs w:val="18"/>
              </w:rPr>
              <w:t>a shareholder</w:t>
            </w:r>
            <w:proofErr w:type="gramEnd"/>
            <w:r w:rsidRPr="00C548C6">
              <w:rPr>
                <w:rFonts w:ascii="Times New Roman" w:hAnsi="Times New Roman"/>
                <w:sz w:val="18"/>
                <w:szCs w:val="18"/>
              </w:rPr>
              <w:t xml:space="preserve"> loans money to their LTC and the debt is subsequently forgiven; should debt remission income arise for the shareholder-creditor? </w:t>
            </w: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b/>
                <w:sz w:val="18"/>
                <w:szCs w:val="18"/>
              </w:rPr>
            </w:pPr>
          </w:p>
        </w:tc>
        <w:tc>
          <w:tcPr>
            <w:tcW w:w="2693"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1: Debt remission income should not arise for the shareholder-creditor when the debt is forgiven.</w:t>
            </w:r>
          </w:p>
        </w:tc>
        <w:tc>
          <w:tcPr>
            <w:tcW w:w="4961"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Addresses the current over-taxation in the hands of the owner who remitted the debt.</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Is conceptually </w:t>
            </w:r>
            <w:proofErr w:type="gramStart"/>
            <w:r w:rsidRPr="00C548C6">
              <w:rPr>
                <w:rFonts w:ascii="Times New Roman" w:hAnsi="Times New Roman"/>
                <w:sz w:val="18"/>
                <w:szCs w:val="18"/>
              </w:rPr>
              <w:t>more sound</w:t>
            </w:r>
            <w:proofErr w:type="gramEnd"/>
            <w:r w:rsidRPr="00C548C6">
              <w:rPr>
                <w:rFonts w:ascii="Times New Roman" w:hAnsi="Times New Roman"/>
                <w:sz w:val="18"/>
                <w:szCs w:val="18"/>
              </w:rPr>
              <w:t xml:space="preserve"> than allowing the bad debt deduction, given that the deduction represents a capital loss.</w:t>
            </w:r>
          </w:p>
        </w:tc>
        <w:tc>
          <w:tcPr>
            <w:tcW w:w="4678"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r>
      <w:tr w:rsidR="00166E95" w:rsidRPr="00C548C6" w:rsidTr="000B3690">
        <w:trPr>
          <w:cantSplit/>
          <w:trHeight w:val="1762"/>
        </w:trPr>
        <w:tc>
          <w:tcPr>
            <w:tcW w:w="2553" w:type="dxa"/>
            <w:vMerge/>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2: Debt remission income should arise for the shareholder-creditor when the debt is forgiven, but they should get a bad debt deduction to offset the income.</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961"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Addresses the current over-taxation in the hands of the owner who remitted the debt, by allowing the deduction.</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  In particular this changes the approach from the more general debt remission project which addresses the remission income. Any change in approach would be counter-productive and confusing.</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Conceptually this proposal purports to give the shareholder-creditor a deduction for what is in reality a capital loss.  Bad debt deductions are usually limited to debts held on revenue account.  This proposal therefore diverges from the capital/revenue boundary in this context.</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The deduction would have to be limited to the amount of remission income assigned to the shareholder-creditor as otherwise they would get recognition of the full economic loss for the debt which would not match the transfer to the other LTC owners (that is despite the fact that the other owners would be taxed on the transfer as debt remission income).</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 </w:t>
            </w:r>
          </w:p>
        </w:tc>
      </w:tr>
      <w:tr w:rsidR="00166E95" w:rsidRPr="00C548C6" w:rsidTr="000B3690">
        <w:trPr>
          <w:cantSplit/>
          <w:trHeight w:val="1762"/>
        </w:trPr>
        <w:tc>
          <w:tcPr>
            <w:tcW w:w="2553" w:type="dxa"/>
            <w:vMerge/>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2693"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3: Debt remission income should arise for the shareholder-creditor when the debt is forgiven, and they should not get a bad debt deduction to offset the income (status quo).</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961"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No legislative change is required.</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tcBorders>
              <w:bottom w:val="single" w:sz="4" w:space="0" w:color="auto"/>
            </w:tcBorders>
          </w:tcPr>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Does not address the current over-taxation in the hands of the owner who remitted the debt.</w:t>
            </w: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p>
          <w:p w:rsidR="00166E95" w:rsidRPr="00C548C6" w:rsidRDefault="00166E95"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Does not allow a deduction for the economic loss to the shareholder-creditor. </w:t>
            </w:r>
          </w:p>
        </w:tc>
      </w:tr>
      <w:tr w:rsidR="00D86403" w:rsidRPr="00C548C6" w:rsidTr="000B3690">
        <w:trPr>
          <w:cantSplit/>
          <w:trHeight w:val="625"/>
        </w:trPr>
        <w:tc>
          <w:tcPr>
            <w:tcW w:w="2553" w:type="dxa"/>
            <w:vMerge w:val="restart"/>
            <w:shd w:val="pct15" w:color="auto" w:fill="auto"/>
          </w:tcPr>
          <w:p w:rsidR="00D86403" w:rsidRPr="00C548C6" w:rsidRDefault="00D86403" w:rsidP="000B3690">
            <w:pPr>
              <w:pStyle w:val="Bullet-list"/>
              <w:tabs>
                <w:tab w:val="num" w:pos="567"/>
              </w:tabs>
              <w:spacing w:after="0" w:line="240" w:lineRule="auto"/>
              <w:ind w:left="0" w:firstLine="0"/>
              <w:jc w:val="left"/>
              <w:rPr>
                <w:rFonts w:ascii="Times New Roman" w:hAnsi="Times New Roman"/>
                <w:i/>
                <w:sz w:val="18"/>
                <w:szCs w:val="18"/>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b/>
                <w:i/>
                <w:sz w:val="18"/>
                <w:szCs w:val="18"/>
              </w:rPr>
            </w:pPr>
            <w:r w:rsidRPr="00C548C6">
              <w:rPr>
                <w:rFonts w:ascii="Times New Roman" w:hAnsi="Times New Roman"/>
                <w:b/>
                <w:i/>
                <w:sz w:val="18"/>
                <w:szCs w:val="18"/>
              </w:rPr>
              <w:t>QC Status:</w:t>
            </w:r>
          </w:p>
          <w:p w:rsidR="00D86403" w:rsidRPr="00C548C6" w:rsidRDefault="00D86403" w:rsidP="000B3690">
            <w:pPr>
              <w:pStyle w:val="Bullet-list"/>
              <w:tabs>
                <w:tab w:val="num" w:pos="567"/>
              </w:tabs>
              <w:spacing w:after="0" w:line="240" w:lineRule="auto"/>
              <w:ind w:left="0" w:firstLine="0"/>
              <w:jc w:val="left"/>
              <w:rPr>
                <w:rFonts w:ascii="Times New Roman" w:hAnsi="Times New Roman"/>
                <w:b/>
                <w:i/>
                <w:sz w:val="18"/>
                <w:szCs w:val="18"/>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Should all grandparented QCs be repealed? </w:t>
            </w:r>
          </w:p>
        </w:tc>
        <w:tc>
          <w:tcPr>
            <w:tcW w:w="2693" w:type="dxa"/>
            <w:shd w:val="clear" w:color="auto" w:fill="auto"/>
          </w:tcPr>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1: Repeal all QCs.</w:t>
            </w:r>
          </w:p>
        </w:tc>
        <w:tc>
          <w:tcPr>
            <w:tcW w:w="4961" w:type="dxa"/>
            <w:shd w:val="clear" w:color="auto" w:fill="auto"/>
          </w:tcPr>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Limits the number of available vehicles for closely held companies, which minimises the potential for tax driven structuring.</w:t>
            </w: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Chapter8"/>
              <w:numPr>
                <w:ilvl w:val="0"/>
                <w:numId w:val="0"/>
              </w:numPr>
              <w:jc w:val="left"/>
              <w:rPr>
                <w:sz w:val="18"/>
                <w:szCs w:val="18"/>
                <w:lang w:val="en-AU" w:eastAsia="en-NZ"/>
              </w:rPr>
            </w:pPr>
            <w:r w:rsidRPr="00C548C6">
              <w:rPr>
                <w:sz w:val="18"/>
                <w:szCs w:val="18"/>
                <w:lang w:val="en-AU" w:eastAsia="en-NZ"/>
              </w:rPr>
              <w:t>Addresses the concern that existing QCs may have a permanent tax advantage when compared to non-QCs.</w:t>
            </w: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tc>
        <w:tc>
          <w:tcPr>
            <w:tcW w:w="4678" w:type="dxa"/>
            <w:shd w:val="clear" w:color="auto" w:fill="auto"/>
          </w:tcPr>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D86403" w:rsidRPr="00C548C6" w:rsidRDefault="00D86403" w:rsidP="000B3690">
            <w:pPr>
              <w:pStyle w:val="Chapter8"/>
              <w:numPr>
                <w:ilvl w:val="0"/>
                <w:numId w:val="0"/>
              </w:numPr>
              <w:ind w:left="851"/>
              <w:jc w:val="left"/>
              <w:rPr>
                <w:rFonts w:eastAsiaTheme="minorHAnsi"/>
                <w:sz w:val="18"/>
                <w:szCs w:val="18"/>
              </w:rPr>
            </w:pPr>
          </w:p>
          <w:p w:rsidR="00D86403" w:rsidRPr="00C548C6" w:rsidRDefault="00D86403" w:rsidP="000B3690">
            <w:pPr>
              <w:pStyle w:val="Chapter8"/>
              <w:numPr>
                <w:ilvl w:val="0"/>
                <w:numId w:val="0"/>
              </w:numPr>
              <w:jc w:val="left"/>
              <w:rPr>
                <w:sz w:val="18"/>
                <w:szCs w:val="18"/>
                <w:lang w:val="en-AU" w:eastAsia="en-NZ"/>
              </w:rPr>
            </w:pPr>
            <w:r w:rsidRPr="00C548C6">
              <w:rPr>
                <w:sz w:val="18"/>
                <w:szCs w:val="18"/>
                <w:lang w:val="en-AU" w:eastAsia="en-NZ"/>
              </w:rPr>
              <w:t>Would give rise to significant compliance costs for QCs that would have to convert to either LTCs or ordinary companies.</w:t>
            </w:r>
          </w:p>
          <w:p w:rsidR="00D86403" w:rsidRPr="00C548C6" w:rsidRDefault="00D86403" w:rsidP="000B3690">
            <w:pPr>
              <w:pStyle w:val="Chapter8"/>
              <w:numPr>
                <w:ilvl w:val="0"/>
                <w:numId w:val="0"/>
              </w:numPr>
              <w:jc w:val="left"/>
              <w:rPr>
                <w:rFonts w:eastAsiaTheme="minorHAnsi"/>
                <w:sz w:val="18"/>
                <w:szCs w:val="18"/>
              </w:rPr>
            </w:pPr>
          </w:p>
          <w:p w:rsidR="00D86403" w:rsidRPr="00C548C6" w:rsidRDefault="00D86403" w:rsidP="000B3690">
            <w:pPr>
              <w:pStyle w:val="Chapter8"/>
              <w:numPr>
                <w:ilvl w:val="0"/>
                <w:numId w:val="0"/>
              </w:numPr>
              <w:jc w:val="left"/>
              <w:rPr>
                <w:rFonts w:eastAsiaTheme="minorHAnsi"/>
                <w:sz w:val="18"/>
                <w:szCs w:val="18"/>
              </w:rPr>
            </w:pPr>
          </w:p>
        </w:tc>
      </w:tr>
      <w:tr w:rsidR="00D86403" w:rsidRPr="00C548C6" w:rsidTr="000B3690">
        <w:trPr>
          <w:cantSplit/>
          <w:trHeight w:val="625"/>
        </w:trPr>
        <w:tc>
          <w:tcPr>
            <w:tcW w:w="2553" w:type="dxa"/>
            <w:vMerge/>
            <w:shd w:val="pct15" w:color="auto" w:fill="auto"/>
          </w:tcPr>
          <w:p w:rsidR="00D86403" w:rsidRPr="00C548C6" w:rsidRDefault="00D86403" w:rsidP="000B3690">
            <w:pPr>
              <w:pStyle w:val="Bullet-list"/>
              <w:tabs>
                <w:tab w:val="num" w:pos="567"/>
              </w:tabs>
              <w:spacing w:after="0" w:line="240" w:lineRule="auto"/>
              <w:ind w:left="0" w:firstLine="0"/>
              <w:jc w:val="left"/>
              <w:rPr>
                <w:rFonts w:ascii="Times New Roman" w:hAnsi="Times New Roman"/>
                <w:i/>
                <w:sz w:val="18"/>
                <w:szCs w:val="18"/>
              </w:rPr>
            </w:pPr>
          </w:p>
        </w:tc>
        <w:tc>
          <w:tcPr>
            <w:tcW w:w="2693" w:type="dxa"/>
            <w:shd w:val="clear" w:color="auto" w:fill="auto"/>
          </w:tcPr>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2: Maintain grandparenting but allow remaining QCs to continue (status quo).</w:t>
            </w: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tc>
        <w:tc>
          <w:tcPr>
            <w:tcW w:w="4961" w:type="dxa"/>
            <w:shd w:val="clear" w:color="auto" w:fill="auto"/>
          </w:tcPr>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No legislative change is required.</w:t>
            </w: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Chapter8"/>
              <w:numPr>
                <w:ilvl w:val="0"/>
                <w:numId w:val="0"/>
              </w:numPr>
              <w:jc w:val="left"/>
              <w:rPr>
                <w:sz w:val="18"/>
                <w:szCs w:val="18"/>
                <w:lang w:val="en-AU" w:eastAsia="en-NZ"/>
              </w:rPr>
            </w:pPr>
            <w:r w:rsidRPr="00C548C6">
              <w:rPr>
                <w:sz w:val="18"/>
                <w:szCs w:val="18"/>
                <w:lang w:val="en-AU" w:eastAsia="en-NZ"/>
              </w:rPr>
              <w:t>Does not impose additional compliance costs by forcing conversion of current QCs.</w:t>
            </w:r>
          </w:p>
          <w:p w:rsidR="00D86403" w:rsidRPr="00C548C6" w:rsidRDefault="00D86403" w:rsidP="000B3690">
            <w:pPr>
              <w:pStyle w:val="Bullet-list"/>
              <w:tabs>
                <w:tab w:val="num" w:pos="567"/>
              </w:tabs>
              <w:spacing w:after="0" w:line="240" w:lineRule="auto"/>
              <w:ind w:left="0" w:firstLine="0"/>
              <w:jc w:val="left"/>
              <w:rPr>
                <w:rFonts w:ascii="Times New Roman" w:hAnsi="Times New Roman"/>
                <w:i/>
                <w:sz w:val="18"/>
                <w:szCs w:val="18"/>
              </w:rPr>
            </w:pPr>
          </w:p>
        </w:tc>
        <w:tc>
          <w:tcPr>
            <w:tcW w:w="4678" w:type="dxa"/>
            <w:shd w:val="clear" w:color="auto" w:fill="auto"/>
          </w:tcPr>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Chapter8"/>
              <w:numPr>
                <w:ilvl w:val="0"/>
                <w:numId w:val="0"/>
              </w:numPr>
              <w:jc w:val="left"/>
              <w:rPr>
                <w:sz w:val="18"/>
                <w:szCs w:val="18"/>
                <w:lang w:val="en-AU" w:eastAsia="en-NZ"/>
              </w:rPr>
            </w:pPr>
            <w:r w:rsidRPr="00C548C6">
              <w:rPr>
                <w:sz w:val="18"/>
                <w:szCs w:val="18"/>
                <w:lang w:val="en-AU" w:eastAsia="en-NZ"/>
              </w:rPr>
              <w:t>Does not address the concern that existing QCs may have a permanent tax advantage when compared to non-QCs.</w:t>
            </w:r>
          </w:p>
          <w:p w:rsidR="00D86403" w:rsidRPr="00C548C6" w:rsidRDefault="00D86403" w:rsidP="000B3690">
            <w:pPr>
              <w:pStyle w:val="Chapter8"/>
              <w:numPr>
                <w:ilvl w:val="0"/>
                <w:numId w:val="0"/>
              </w:numPr>
              <w:jc w:val="left"/>
              <w:rPr>
                <w:sz w:val="18"/>
                <w:szCs w:val="18"/>
                <w:lang w:val="en-AU" w:eastAsia="en-NZ"/>
              </w:rPr>
            </w:pPr>
          </w:p>
          <w:p w:rsidR="00D86403" w:rsidRPr="00C548C6" w:rsidRDefault="00D86403" w:rsidP="000B3690">
            <w:pPr>
              <w:pStyle w:val="Chapter8"/>
              <w:numPr>
                <w:ilvl w:val="0"/>
                <w:numId w:val="0"/>
              </w:numPr>
              <w:jc w:val="left"/>
              <w:rPr>
                <w:sz w:val="18"/>
                <w:szCs w:val="18"/>
                <w:lang w:val="en-AU" w:eastAsia="en-NZ"/>
              </w:rPr>
            </w:pPr>
            <w:r w:rsidRPr="00C548C6">
              <w:rPr>
                <w:sz w:val="18"/>
                <w:szCs w:val="18"/>
                <w:lang w:val="en-AU" w:eastAsia="en-NZ"/>
              </w:rPr>
              <w:t xml:space="preserve">Allows for trading of QCs which undermines Parliament’s intention to grandparent the regime. </w:t>
            </w:r>
          </w:p>
          <w:p w:rsidR="00D86403" w:rsidRPr="00C548C6" w:rsidRDefault="00D86403" w:rsidP="000B3690">
            <w:pPr>
              <w:pStyle w:val="Chapter8"/>
              <w:numPr>
                <w:ilvl w:val="0"/>
                <w:numId w:val="0"/>
              </w:numPr>
              <w:jc w:val="left"/>
              <w:rPr>
                <w:sz w:val="18"/>
                <w:szCs w:val="18"/>
              </w:rPr>
            </w:pPr>
          </w:p>
        </w:tc>
      </w:tr>
      <w:tr w:rsidR="00D86403" w:rsidRPr="00C548C6" w:rsidTr="000B3690">
        <w:trPr>
          <w:cantSplit/>
          <w:trHeight w:val="625"/>
        </w:trPr>
        <w:tc>
          <w:tcPr>
            <w:tcW w:w="2553" w:type="dxa"/>
            <w:vMerge/>
            <w:shd w:val="pct15" w:color="auto" w:fill="auto"/>
          </w:tcPr>
          <w:p w:rsidR="00D86403" w:rsidRPr="00C548C6" w:rsidRDefault="00D86403" w:rsidP="000B3690">
            <w:pPr>
              <w:pStyle w:val="Bullet-list"/>
              <w:tabs>
                <w:tab w:val="num" w:pos="567"/>
              </w:tabs>
              <w:spacing w:after="0" w:line="240" w:lineRule="auto"/>
              <w:ind w:left="0" w:firstLine="0"/>
              <w:jc w:val="left"/>
              <w:rPr>
                <w:rFonts w:ascii="Times New Roman" w:hAnsi="Times New Roman"/>
                <w:i/>
                <w:sz w:val="18"/>
                <w:szCs w:val="18"/>
              </w:rPr>
            </w:pPr>
          </w:p>
        </w:tc>
        <w:tc>
          <w:tcPr>
            <w:tcW w:w="2693" w:type="dxa"/>
            <w:shd w:val="clear" w:color="auto" w:fill="auto"/>
          </w:tcPr>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3: Allow remaining QCs to continue but QC status would be lost on the sale of any QC shares to new owners.</w:t>
            </w: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tc>
        <w:tc>
          <w:tcPr>
            <w:tcW w:w="4961" w:type="dxa"/>
            <w:shd w:val="clear" w:color="auto" w:fill="auto"/>
          </w:tcPr>
          <w:p w:rsidR="00D86403" w:rsidRPr="00C548C6" w:rsidRDefault="00D86403" w:rsidP="000B3690">
            <w:pPr>
              <w:pStyle w:val="Chapter8"/>
              <w:numPr>
                <w:ilvl w:val="0"/>
                <w:numId w:val="0"/>
              </w:numPr>
              <w:jc w:val="left"/>
              <w:rPr>
                <w:sz w:val="18"/>
                <w:szCs w:val="18"/>
                <w:lang w:val="en-AU" w:eastAsia="en-NZ"/>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 xml:space="preserve">Limits the life of the QC regime to the business span of existing QCs. </w:t>
            </w: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Chapter8"/>
              <w:numPr>
                <w:ilvl w:val="0"/>
                <w:numId w:val="0"/>
              </w:numPr>
              <w:jc w:val="left"/>
              <w:rPr>
                <w:sz w:val="18"/>
                <w:szCs w:val="18"/>
                <w:lang w:val="en-AU" w:eastAsia="en-NZ"/>
              </w:rPr>
            </w:pPr>
            <w:r w:rsidRPr="00C548C6">
              <w:rPr>
                <w:sz w:val="18"/>
                <w:szCs w:val="18"/>
                <w:lang w:val="en-AU" w:eastAsia="en-NZ"/>
              </w:rPr>
              <w:t xml:space="preserve">Prohibits any trading of QCs which supports Parliament’s intention to grandparent the regime. </w:t>
            </w:r>
          </w:p>
          <w:p w:rsidR="00D86403" w:rsidRPr="00C548C6" w:rsidRDefault="00D86403" w:rsidP="000B3690">
            <w:pPr>
              <w:pStyle w:val="Chapter8"/>
              <w:numPr>
                <w:ilvl w:val="0"/>
                <w:numId w:val="0"/>
              </w:numPr>
              <w:jc w:val="left"/>
              <w:rPr>
                <w:sz w:val="18"/>
                <w:szCs w:val="18"/>
                <w:lang w:val="en-AU" w:eastAsia="en-NZ"/>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Eliminates the potential for tax driven structuring with respect to existing QCs.</w:t>
            </w:r>
          </w:p>
          <w:p w:rsidR="00D86403" w:rsidRPr="00C548C6" w:rsidRDefault="00D86403" w:rsidP="000B3690">
            <w:pPr>
              <w:pStyle w:val="Chapter8"/>
              <w:numPr>
                <w:ilvl w:val="0"/>
                <w:numId w:val="0"/>
              </w:numPr>
              <w:jc w:val="left"/>
              <w:rPr>
                <w:sz w:val="18"/>
                <w:szCs w:val="18"/>
                <w:lang w:val="en-AU" w:eastAsia="en-NZ"/>
              </w:rPr>
            </w:pPr>
          </w:p>
          <w:p w:rsidR="00D86403" w:rsidRPr="00C548C6" w:rsidRDefault="00D86403" w:rsidP="000B3690">
            <w:pPr>
              <w:pStyle w:val="Chapter8"/>
              <w:numPr>
                <w:ilvl w:val="0"/>
                <w:numId w:val="0"/>
              </w:numPr>
              <w:jc w:val="left"/>
              <w:rPr>
                <w:sz w:val="18"/>
                <w:szCs w:val="18"/>
                <w:lang w:val="en-AU" w:eastAsia="en-NZ"/>
              </w:rPr>
            </w:pPr>
            <w:r w:rsidRPr="00C548C6">
              <w:rPr>
                <w:sz w:val="18"/>
                <w:szCs w:val="18"/>
                <w:lang w:val="en-AU" w:eastAsia="en-NZ"/>
              </w:rPr>
              <w:t>Addresses the concern that existing QCs may have a permanent tax advantage when compared to non-QCs, by making the tax advantage available only to existing QC owners.</w:t>
            </w:r>
          </w:p>
          <w:p w:rsidR="00D86403" w:rsidRPr="00C548C6" w:rsidRDefault="00D86403" w:rsidP="000B3690">
            <w:pPr>
              <w:pStyle w:val="Chapter8"/>
              <w:numPr>
                <w:ilvl w:val="0"/>
                <w:numId w:val="0"/>
              </w:numPr>
              <w:jc w:val="left"/>
              <w:rPr>
                <w:sz w:val="18"/>
                <w:szCs w:val="18"/>
                <w:lang w:val="en-AU" w:eastAsia="en-NZ"/>
              </w:rPr>
            </w:pPr>
          </w:p>
          <w:p w:rsidR="00D86403" w:rsidRPr="00C548C6" w:rsidRDefault="00D86403" w:rsidP="000B3690">
            <w:pPr>
              <w:pStyle w:val="Chapter8"/>
              <w:numPr>
                <w:ilvl w:val="0"/>
                <w:numId w:val="0"/>
              </w:numPr>
              <w:jc w:val="left"/>
              <w:rPr>
                <w:sz w:val="18"/>
                <w:szCs w:val="18"/>
                <w:lang w:val="en-AU" w:eastAsia="en-NZ"/>
              </w:rPr>
            </w:pPr>
            <w:r w:rsidRPr="00C548C6">
              <w:rPr>
                <w:sz w:val="18"/>
                <w:szCs w:val="18"/>
                <w:lang w:val="en-AU" w:eastAsia="en-NZ"/>
              </w:rPr>
              <w:t>Does not impose additional compliance costs by forcing conversion of current QCs.</w:t>
            </w:r>
          </w:p>
          <w:p w:rsidR="00D86403" w:rsidRPr="00C548C6" w:rsidRDefault="00D86403" w:rsidP="000B3690">
            <w:pPr>
              <w:pStyle w:val="Bullet-list"/>
              <w:tabs>
                <w:tab w:val="num" w:pos="567"/>
              </w:tabs>
              <w:spacing w:after="0" w:line="240" w:lineRule="auto"/>
              <w:ind w:left="0" w:firstLine="0"/>
              <w:jc w:val="left"/>
              <w:rPr>
                <w:rFonts w:ascii="Times New Roman" w:hAnsi="Times New Roman"/>
                <w:i/>
                <w:sz w:val="18"/>
                <w:szCs w:val="18"/>
              </w:rPr>
            </w:pPr>
          </w:p>
        </w:tc>
        <w:tc>
          <w:tcPr>
            <w:tcW w:w="4678" w:type="dxa"/>
            <w:shd w:val="clear" w:color="auto" w:fill="auto"/>
          </w:tcPr>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Does not allow for any commercial restructuring (which may not necessarily be tax driven).</w:t>
            </w: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Increases risk that a QC may inadvertently lose status upon the ‘transfer’ of a single share.</w:t>
            </w: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Should exclude share transfers as a result of a relationship property settlement or death of a shareholder.</w:t>
            </w:r>
          </w:p>
          <w:p w:rsidR="00D86403" w:rsidRPr="00C548C6" w:rsidRDefault="00D86403" w:rsidP="000B3690">
            <w:pPr>
              <w:pStyle w:val="Bullet-list"/>
              <w:tabs>
                <w:tab w:val="num" w:pos="567"/>
              </w:tabs>
              <w:spacing w:after="0" w:line="240" w:lineRule="auto"/>
              <w:ind w:left="0" w:firstLine="0"/>
              <w:jc w:val="left"/>
              <w:rPr>
                <w:rFonts w:ascii="Times New Roman" w:hAnsi="Times New Roman"/>
                <w:i/>
                <w:sz w:val="18"/>
                <w:szCs w:val="18"/>
              </w:rPr>
            </w:pPr>
          </w:p>
        </w:tc>
      </w:tr>
      <w:tr w:rsidR="00D86403" w:rsidRPr="00C548C6" w:rsidTr="000B3690">
        <w:trPr>
          <w:cantSplit/>
          <w:trHeight w:val="625"/>
        </w:trPr>
        <w:tc>
          <w:tcPr>
            <w:tcW w:w="2553" w:type="dxa"/>
            <w:vMerge/>
            <w:shd w:val="clear" w:color="auto" w:fill="auto"/>
          </w:tcPr>
          <w:p w:rsidR="00D86403" w:rsidRPr="00C548C6" w:rsidRDefault="00D86403" w:rsidP="000B3690">
            <w:pPr>
              <w:pStyle w:val="Bullet-list"/>
              <w:tabs>
                <w:tab w:val="num" w:pos="567"/>
              </w:tabs>
              <w:spacing w:after="0" w:line="240" w:lineRule="auto"/>
              <w:ind w:left="0" w:firstLine="0"/>
              <w:jc w:val="left"/>
              <w:rPr>
                <w:rFonts w:ascii="Times New Roman" w:hAnsi="Times New Roman"/>
                <w:i/>
                <w:sz w:val="18"/>
                <w:szCs w:val="18"/>
              </w:rPr>
            </w:pPr>
          </w:p>
        </w:tc>
        <w:tc>
          <w:tcPr>
            <w:tcW w:w="2693" w:type="dxa"/>
            <w:shd w:val="clear" w:color="auto" w:fill="auto"/>
          </w:tcPr>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Option 4: Allow remaining QCs to continue but QC status would be lost if sufficient shares are sold so that there has been a change of control.</w:t>
            </w: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tc>
        <w:tc>
          <w:tcPr>
            <w:tcW w:w="4961" w:type="dxa"/>
            <w:shd w:val="clear" w:color="auto" w:fill="auto"/>
          </w:tcPr>
          <w:p w:rsidR="00D86403" w:rsidRPr="00C548C6" w:rsidRDefault="00D86403" w:rsidP="000B3690">
            <w:pPr>
              <w:pStyle w:val="Bullet-list"/>
              <w:tabs>
                <w:tab w:val="num" w:pos="567"/>
              </w:tabs>
              <w:spacing w:after="0" w:line="240" w:lineRule="auto"/>
              <w:ind w:left="0" w:firstLine="0"/>
              <w:jc w:val="left"/>
              <w:rPr>
                <w:rFonts w:ascii="Times New Roman" w:hAnsi="Times New Roman"/>
                <w:i/>
                <w:sz w:val="18"/>
                <w:szCs w:val="18"/>
              </w:rPr>
            </w:pPr>
          </w:p>
          <w:p w:rsidR="00D86403" w:rsidRPr="00C548C6" w:rsidRDefault="00D86403" w:rsidP="000B3690">
            <w:pPr>
              <w:pStyle w:val="Chapter8"/>
              <w:numPr>
                <w:ilvl w:val="0"/>
                <w:numId w:val="0"/>
              </w:numPr>
              <w:jc w:val="left"/>
              <w:rPr>
                <w:sz w:val="18"/>
                <w:szCs w:val="18"/>
                <w:lang w:val="en-AU" w:eastAsia="en-NZ"/>
              </w:rPr>
            </w:pPr>
            <w:r w:rsidRPr="00C548C6">
              <w:rPr>
                <w:sz w:val="18"/>
                <w:szCs w:val="18"/>
                <w:lang w:val="en-AU" w:eastAsia="en-NZ"/>
              </w:rPr>
              <w:t xml:space="preserve">Prohibits any trading of QCs which supports Parliament’s intention to grandparent the regime. </w:t>
            </w: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Minimises the potential for tax driven structuring with respect to existing QCs, while allowing for some commercial restructuring (which may not necessarily be tax driven).</w:t>
            </w:r>
          </w:p>
          <w:p w:rsidR="00D86403" w:rsidRPr="00C548C6" w:rsidRDefault="00D86403" w:rsidP="000B3690">
            <w:pPr>
              <w:pStyle w:val="Chapter8"/>
              <w:numPr>
                <w:ilvl w:val="0"/>
                <w:numId w:val="0"/>
              </w:numPr>
              <w:jc w:val="left"/>
              <w:rPr>
                <w:sz w:val="18"/>
                <w:szCs w:val="18"/>
                <w:lang w:val="en-AU" w:eastAsia="en-NZ"/>
              </w:rPr>
            </w:pPr>
          </w:p>
          <w:p w:rsidR="00D86403" w:rsidRPr="00C548C6" w:rsidRDefault="00D86403" w:rsidP="000B3690">
            <w:pPr>
              <w:pStyle w:val="Chapter8"/>
              <w:numPr>
                <w:ilvl w:val="0"/>
                <w:numId w:val="0"/>
              </w:numPr>
              <w:jc w:val="left"/>
              <w:rPr>
                <w:sz w:val="18"/>
                <w:szCs w:val="18"/>
                <w:lang w:val="en-AU" w:eastAsia="en-NZ"/>
              </w:rPr>
            </w:pPr>
            <w:r w:rsidRPr="00C548C6">
              <w:rPr>
                <w:sz w:val="18"/>
                <w:szCs w:val="18"/>
                <w:lang w:val="en-AU" w:eastAsia="en-NZ"/>
              </w:rPr>
              <w:t>Addresses the concern that existing QCs may have a permanent tax advantage when compared to non-QCs, by making the tax advantage available primarily to existing QC owners.</w:t>
            </w:r>
          </w:p>
          <w:p w:rsidR="00D86403" w:rsidRPr="00C548C6" w:rsidRDefault="00D86403" w:rsidP="000B3690">
            <w:pPr>
              <w:pStyle w:val="Chapter8"/>
              <w:numPr>
                <w:ilvl w:val="0"/>
                <w:numId w:val="0"/>
              </w:numPr>
              <w:jc w:val="left"/>
              <w:rPr>
                <w:sz w:val="18"/>
                <w:szCs w:val="18"/>
                <w:lang w:val="en-AU" w:eastAsia="en-NZ"/>
              </w:rPr>
            </w:pPr>
          </w:p>
          <w:p w:rsidR="00D86403" w:rsidRPr="00C548C6" w:rsidRDefault="00D86403" w:rsidP="000B3690">
            <w:pPr>
              <w:pStyle w:val="Chapter8"/>
              <w:numPr>
                <w:ilvl w:val="0"/>
                <w:numId w:val="0"/>
              </w:numPr>
              <w:jc w:val="left"/>
              <w:rPr>
                <w:sz w:val="18"/>
                <w:szCs w:val="18"/>
                <w:lang w:val="en-AU" w:eastAsia="en-NZ"/>
              </w:rPr>
            </w:pPr>
            <w:r w:rsidRPr="00C548C6">
              <w:rPr>
                <w:sz w:val="18"/>
                <w:szCs w:val="18"/>
                <w:lang w:val="en-AU" w:eastAsia="en-NZ"/>
              </w:rPr>
              <w:t>Does not create a risk of inadvertent loss of QC status, as it requires a significant change.</w:t>
            </w:r>
          </w:p>
          <w:p w:rsidR="00D86403" w:rsidRPr="00C548C6" w:rsidRDefault="00D86403" w:rsidP="000B3690">
            <w:pPr>
              <w:pStyle w:val="Chapter8"/>
              <w:numPr>
                <w:ilvl w:val="0"/>
                <w:numId w:val="0"/>
              </w:numPr>
              <w:jc w:val="left"/>
              <w:rPr>
                <w:sz w:val="18"/>
                <w:szCs w:val="18"/>
                <w:lang w:val="en-AU" w:eastAsia="en-NZ"/>
              </w:rPr>
            </w:pPr>
          </w:p>
          <w:p w:rsidR="00D86403" w:rsidRPr="00C548C6" w:rsidRDefault="00D86403" w:rsidP="000B3690">
            <w:pPr>
              <w:pStyle w:val="Chapter8"/>
              <w:numPr>
                <w:ilvl w:val="0"/>
                <w:numId w:val="0"/>
              </w:numPr>
              <w:jc w:val="left"/>
              <w:rPr>
                <w:sz w:val="18"/>
                <w:szCs w:val="18"/>
                <w:lang w:val="en-AU" w:eastAsia="en-NZ"/>
              </w:rPr>
            </w:pPr>
            <w:r w:rsidRPr="00C548C6">
              <w:rPr>
                <w:sz w:val="18"/>
                <w:szCs w:val="18"/>
                <w:lang w:val="en-AU" w:eastAsia="en-NZ"/>
              </w:rPr>
              <w:t>Does not impose additional compliance costs by forcing conversion of current QCs.</w:t>
            </w:r>
          </w:p>
          <w:p w:rsidR="00D86403" w:rsidRPr="00C548C6" w:rsidRDefault="00D86403" w:rsidP="000B3690">
            <w:pPr>
              <w:pStyle w:val="Bullet-list"/>
              <w:tabs>
                <w:tab w:val="num" w:pos="567"/>
              </w:tabs>
              <w:spacing w:after="0" w:line="240" w:lineRule="auto"/>
              <w:ind w:left="0" w:firstLine="0"/>
              <w:jc w:val="left"/>
              <w:rPr>
                <w:rFonts w:ascii="Times New Roman" w:hAnsi="Times New Roman"/>
                <w:i/>
                <w:sz w:val="18"/>
                <w:szCs w:val="18"/>
              </w:rPr>
            </w:pPr>
          </w:p>
        </w:tc>
        <w:tc>
          <w:tcPr>
            <w:tcW w:w="4678" w:type="dxa"/>
            <w:shd w:val="clear" w:color="auto" w:fill="auto"/>
          </w:tcPr>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Requires legislative changes.</w:t>
            </w: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p>
          <w:p w:rsidR="00D86403" w:rsidRPr="00C548C6" w:rsidRDefault="00D86403" w:rsidP="000B3690">
            <w:pPr>
              <w:pStyle w:val="Bullet-list"/>
              <w:tabs>
                <w:tab w:val="num" w:pos="567"/>
              </w:tabs>
              <w:spacing w:after="0" w:line="240" w:lineRule="auto"/>
              <w:ind w:left="0" w:firstLine="0"/>
              <w:jc w:val="left"/>
              <w:rPr>
                <w:rFonts w:ascii="Times New Roman" w:hAnsi="Times New Roman"/>
                <w:sz w:val="18"/>
                <w:szCs w:val="18"/>
              </w:rPr>
            </w:pPr>
            <w:r w:rsidRPr="00C548C6">
              <w:rPr>
                <w:rFonts w:ascii="Times New Roman" w:hAnsi="Times New Roman"/>
                <w:sz w:val="18"/>
                <w:szCs w:val="18"/>
              </w:rPr>
              <w:t>Should exclude share transfers as a result of a relationship property settlement or death of a shareholder.</w:t>
            </w:r>
          </w:p>
          <w:p w:rsidR="00D86403" w:rsidRPr="00C548C6" w:rsidRDefault="00D86403" w:rsidP="000B3690">
            <w:pPr>
              <w:pStyle w:val="Bullet-list"/>
              <w:tabs>
                <w:tab w:val="num" w:pos="567"/>
              </w:tabs>
              <w:spacing w:after="0" w:line="240" w:lineRule="auto"/>
              <w:ind w:left="0" w:firstLine="0"/>
              <w:jc w:val="left"/>
              <w:rPr>
                <w:rFonts w:ascii="Times New Roman" w:hAnsi="Times New Roman"/>
                <w:i/>
                <w:sz w:val="18"/>
                <w:szCs w:val="18"/>
              </w:rPr>
            </w:pPr>
          </w:p>
        </w:tc>
      </w:tr>
    </w:tbl>
    <w:p w:rsidR="00166E95" w:rsidRDefault="00166E95" w:rsidP="00166E95">
      <w:pPr>
        <w:spacing w:after="0" w:line="240" w:lineRule="auto"/>
        <w:ind w:left="-284"/>
        <w:rPr>
          <w:rFonts w:ascii="Times New Roman" w:hAnsi="Times New Roman"/>
          <w:b/>
          <w:sz w:val="24"/>
        </w:rPr>
      </w:pPr>
      <w:r>
        <w:rPr>
          <w:rFonts w:ascii="Times New Roman" w:hAnsi="Times New Roman"/>
          <w:b/>
          <w:sz w:val="24"/>
        </w:rPr>
        <w:t>Appendix 2:  An</w:t>
      </w:r>
      <w:r w:rsidRPr="00CD3998">
        <w:rPr>
          <w:rFonts w:ascii="Times New Roman" w:hAnsi="Times New Roman"/>
          <w:b/>
          <w:sz w:val="24"/>
        </w:rPr>
        <w:t>alysis of remedial issues identified for amendment</w:t>
      </w:r>
    </w:p>
    <w:p w:rsidR="00166E95" w:rsidRPr="00CD3998" w:rsidRDefault="00166E95" w:rsidP="00166E95">
      <w:pPr>
        <w:spacing w:after="0" w:line="240" w:lineRule="auto"/>
        <w:rPr>
          <w:rFonts w:ascii="Times New Roman" w:hAnsi="Times New Roman"/>
          <w:b/>
          <w:sz w:val="24"/>
        </w:rPr>
      </w:pPr>
    </w:p>
    <w:tbl>
      <w:tblPr>
        <w:tblStyle w:val="TableGrid"/>
        <w:tblW w:w="14927" w:type="dxa"/>
        <w:tblLook w:val="04A0" w:firstRow="1" w:lastRow="0" w:firstColumn="1" w:lastColumn="0" w:noHBand="0" w:noVBand="1"/>
      </w:tblPr>
      <w:tblGrid>
        <w:gridCol w:w="1461"/>
        <w:gridCol w:w="3969"/>
        <w:gridCol w:w="3827"/>
        <w:gridCol w:w="3402"/>
        <w:gridCol w:w="2268"/>
      </w:tblGrid>
      <w:tr w:rsidR="00166E95" w:rsidRPr="00C548C6" w:rsidTr="00166E95">
        <w:trPr>
          <w:trHeight w:val="354"/>
          <w:tblHeader/>
        </w:trPr>
        <w:tc>
          <w:tcPr>
            <w:tcW w:w="1461" w:type="dxa"/>
            <w:shd w:val="pct25" w:color="auto" w:fill="auto"/>
          </w:tcPr>
          <w:p w:rsidR="00166E95" w:rsidRPr="00C548C6" w:rsidRDefault="00166E95" w:rsidP="000B3690">
            <w:pPr>
              <w:spacing w:line="240" w:lineRule="auto"/>
              <w:rPr>
                <w:rFonts w:ascii="Times New Roman" w:hAnsi="Times New Roman"/>
                <w:b/>
                <w:sz w:val="18"/>
                <w:szCs w:val="18"/>
              </w:rPr>
            </w:pPr>
            <w:r w:rsidRPr="00C548C6">
              <w:rPr>
                <w:rFonts w:ascii="Times New Roman" w:hAnsi="Times New Roman"/>
                <w:b/>
                <w:sz w:val="18"/>
                <w:szCs w:val="18"/>
              </w:rPr>
              <w:t>Keyword</w:t>
            </w:r>
          </w:p>
        </w:tc>
        <w:tc>
          <w:tcPr>
            <w:tcW w:w="3969" w:type="dxa"/>
            <w:shd w:val="pct25" w:color="auto" w:fill="auto"/>
          </w:tcPr>
          <w:p w:rsidR="00166E95" w:rsidRPr="00C548C6" w:rsidRDefault="00166E95" w:rsidP="000B3690">
            <w:pPr>
              <w:spacing w:line="240" w:lineRule="auto"/>
              <w:rPr>
                <w:rFonts w:ascii="Times New Roman" w:hAnsi="Times New Roman"/>
                <w:b/>
                <w:sz w:val="18"/>
                <w:szCs w:val="18"/>
              </w:rPr>
            </w:pPr>
            <w:r w:rsidRPr="00C548C6">
              <w:rPr>
                <w:rFonts w:ascii="Times New Roman" w:hAnsi="Times New Roman"/>
                <w:b/>
                <w:sz w:val="18"/>
                <w:szCs w:val="18"/>
              </w:rPr>
              <w:t>Issue</w:t>
            </w:r>
          </w:p>
        </w:tc>
        <w:tc>
          <w:tcPr>
            <w:tcW w:w="3827" w:type="dxa"/>
            <w:shd w:val="pct25" w:color="auto" w:fill="auto"/>
          </w:tcPr>
          <w:p w:rsidR="00166E95" w:rsidRPr="00C548C6" w:rsidRDefault="00166E95" w:rsidP="000B3690">
            <w:pPr>
              <w:spacing w:line="240" w:lineRule="auto"/>
              <w:rPr>
                <w:rFonts w:ascii="Times New Roman" w:hAnsi="Times New Roman"/>
                <w:b/>
                <w:sz w:val="18"/>
                <w:szCs w:val="18"/>
              </w:rPr>
            </w:pPr>
            <w:r w:rsidRPr="00C548C6">
              <w:rPr>
                <w:rFonts w:ascii="Times New Roman" w:hAnsi="Times New Roman"/>
                <w:b/>
                <w:sz w:val="18"/>
                <w:szCs w:val="18"/>
              </w:rPr>
              <w:t xml:space="preserve">Proposal </w:t>
            </w:r>
          </w:p>
        </w:tc>
        <w:tc>
          <w:tcPr>
            <w:tcW w:w="3402" w:type="dxa"/>
            <w:shd w:val="pct25" w:color="auto" w:fill="auto"/>
          </w:tcPr>
          <w:p w:rsidR="00166E95" w:rsidRPr="00C548C6" w:rsidRDefault="00166E95" w:rsidP="000B3690">
            <w:pPr>
              <w:spacing w:line="240" w:lineRule="auto"/>
              <w:rPr>
                <w:rFonts w:ascii="Times New Roman" w:hAnsi="Times New Roman"/>
                <w:b/>
                <w:sz w:val="18"/>
                <w:szCs w:val="18"/>
              </w:rPr>
            </w:pPr>
            <w:r w:rsidRPr="00C548C6">
              <w:rPr>
                <w:rFonts w:ascii="Times New Roman" w:hAnsi="Times New Roman"/>
                <w:b/>
                <w:sz w:val="18"/>
                <w:szCs w:val="18"/>
              </w:rPr>
              <w:t>Comments</w:t>
            </w:r>
          </w:p>
        </w:tc>
        <w:tc>
          <w:tcPr>
            <w:tcW w:w="2268" w:type="dxa"/>
            <w:shd w:val="pct25" w:color="auto" w:fill="auto"/>
          </w:tcPr>
          <w:p w:rsidR="00166E95" w:rsidRPr="00C548C6" w:rsidRDefault="00166E95" w:rsidP="000B3690">
            <w:pPr>
              <w:spacing w:line="240" w:lineRule="auto"/>
              <w:jc w:val="left"/>
              <w:rPr>
                <w:rFonts w:ascii="Times New Roman" w:hAnsi="Times New Roman"/>
                <w:b/>
                <w:sz w:val="18"/>
                <w:szCs w:val="18"/>
              </w:rPr>
            </w:pPr>
            <w:r w:rsidRPr="00C548C6">
              <w:rPr>
                <w:rFonts w:ascii="Times New Roman" w:hAnsi="Times New Roman"/>
                <w:b/>
                <w:sz w:val="18"/>
                <w:szCs w:val="18"/>
              </w:rPr>
              <w:t>Nature of proposal</w:t>
            </w:r>
          </w:p>
        </w:tc>
      </w:tr>
      <w:tr w:rsidR="00166E95" w:rsidRPr="00C548C6" w:rsidTr="00166E95">
        <w:tc>
          <w:tcPr>
            <w:tcW w:w="1461" w:type="dxa"/>
          </w:tcPr>
          <w:p w:rsidR="00166E95" w:rsidRPr="00C548C6" w:rsidRDefault="00166E95" w:rsidP="00166E95">
            <w:pPr>
              <w:pStyle w:val="ListParagraph"/>
              <w:ind w:left="0"/>
              <w:jc w:val="left"/>
              <w:rPr>
                <w:rFonts w:ascii="Times New Roman" w:eastAsiaTheme="minorHAnsi" w:hAnsi="Times New Roman"/>
                <w:sz w:val="18"/>
                <w:szCs w:val="18"/>
                <w:lang w:val="en-GB" w:eastAsia="en-GB"/>
              </w:rPr>
            </w:pPr>
          </w:p>
          <w:p w:rsidR="00166E95" w:rsidRPr="00C548C6" w:rsidRDefault="00166E95" w:rsidP="00166E95">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QCs and LTC entry tax</w:t>
            </w:r>
          </w:p>
        </w:tc>
        <w:tc>
          <w:tcPr>
            <w:tcW w:w="3969" w:type="dxa"/>
          </w:tcPr>
          <w:p w:rsidR="00166E95" w:rsidRPr="00C548C6" w:rsidRDefault="00166E95" w:rsidP="00166E95">
            <w:pPr>
              <w:pStyle w:val="ListParagraph"/>
              <w:ind w:left="0"/>
              <w:jc w:val="left"/>
              <w:rPr>
                <w:rFonts w:ascii="Times New Roman" w:eastAsiaTheme="minorHAnsi" w:hAnsi="Times New Roman"/>
                <w:sz w:val="18"/>
                <w:szCs w:val="18"/>
                <w:lang w:val="en-GB" w:eastAsia="en-GB"/>
              </w:rPr>
            </w:pPr>
          </w:p>
          <w:p w:rsidR="00166E95" w:rsidRDefault="00166E95" w:rsidP="00166E95">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 xml:space="preserve">The QC rules allow for tax free distribution of capital gains and other un-imputed earnings, which are treated as exempt dividends when distributed to QC shareholders.  The entry tax formula will apply to tax all un-imputed retained earnings except eligible capital profits, which for QCs which elect into the LTC rules means that tax is incorrectly overcharged to the extent that the earnings are not eligible capital profits.  </w:t>
            </w:r>
          </w:p>
          <w:p w:rsidR="00C548C6" w:rsidRPr="00C548C6" w:rsidRDefault="00C548C6" w:rsidP="00166E95">
            <w:pPr>
              <w:pStyle w:val="ListParagraph"/>
              <w:ind w:left="0"/>
              <w:jc w:val="left"/>
              <w:rPr>
                <w:rFonts w:ascii="Times New Roman" w:eastAsiaTheme="minorHAnsi" w:hAnsi="Times New Roman"/>
                <w:sz w:val="18"/>
                <w:szCs w:val="18"/>
                <w:lang w:val="en-GB" w:eastAsia="en-GB"/>
              </w:rPr>
            </w:pPr>
          </w:p>
          <w:p w:rsidR="00166E95" w:rsidRPr="00C548C6" w:rsidRDefault="00166E95" w:rsidP="00166E95">
            <w:pPr>
              <w:pStyle w:val="ListParagraph"/>
              <w:ind w:left="0"/>
              <w:jc w:val="left"/>
              <w:rPr>
                <w:rFonts w:ascii="Times New Roman" w:eastAsiaTheme="minorHAnsi" w:hAnsi="Times New Roman"/>
                <w:sz w:val="18"/>
                <w:szCs w:val="18"/>
                <w:lang w:val="en-GB" w:eastAsia="en-GB"/>
              </w:rPr>
            </w:pPr>
          </w:p>
        </w:tc>
        <w:tc>
          <w:tcPr>
            <w:tcW w:w="3827" w:type="dxa"/>
          </w:tcPr>
          <w:p w:rsidR="00166E95" w:rsidRPr="00C548C6" w:rsidRDefault="00166E95" w:rsidP="00166E95">
            <w:pPr>
              <w:pStyle w:val="ListParagraph"/>
              <w:ind w:left="0"/>
              <w:jc w:val="left"/>
              <w:rPr>
                <w:rFonts w:ascii="Times New Roman" w:hAnsi="Times New Roman"/>
                <w:b/>
                <w:sz w:val="18"/>
                <w:szCs w:val="18"/>
              </w:rPr>
            </w:pPr>
          </w:p>
          <w:p w:rsidR="00166E95" w:rsidRPr="00C548C6" w:rsidRDefault="00166E95" w:rsidP="00166E95">
            <w:pPr>
              <w:spacing w:after="200" w:line="240" w:lineRule="auto"/>
              <w:contextualSpacing/>
              <w:jc w:val="left"/>
              <w:rPr>
                <w:rFonts w:ascii="Times New Roman" w:eastAsiaTheme="minorHAnsi" w:hAnsi="Times New Roman"/>
                <w:sz w:val="18"/>
                <w:szCs w:val="18"/>
                <w:lang w:val="en-NZ" w:eastAsia="en-US"/>
              </w:rPr>
            </w:pPr>
            <w:r w:rsidRPr="00C548C6">
              <w:rPr>
                <w:rFonts w:ascii="Times New Roman" w:eastAsiaTheme="minorHAnsi" w:hAnsi="Times New Roman"/>
                <w:sz w:val="18"/>
                <w:szCs w:val="18"/>
              </w:rPr>
              <w:t>Officials recommend that the adjustment formula is amended to ensure that QCs electing into the LTC regime do not get overtaxed.</w:t>
            </w:r>
            <w:r w:rsidRPr="00C548C6">
              <w:rPr>
                <w:rFonts w:ascii="Times New Roman" w:eastAsiaTheme="minorHAnsi" w:hAnsi="Times New Roman"/>
                <w:sz w:val="18"/>
                <w:szCs w:val="18"/>
                <w:lang w:val="en-NZ" w:eastAsia="en-US"/>
              </w:rPr>
              <w:t xml:space="preserve">  This would mean that reserves that are would be untaxed if distributed prior to conversion, are untaxed on conversion under the entry formula.  </w:t>
            </w:r>
          </w:p>
          <w:p w:rsidR="00166E95" w:rsidRPr="00C548C6" w:rsidRDefault="00166E95" w:rsidP="00166E95">
            <w:pPr>
              <w:pStyle w:val="ListParagraph"/>
              <w:ind w:left="0"/>
              <w:jc w:val="left"/>
              <w:rPr>
                <w:rFonts w:ascii="Times New Roman" w:hAnsi="Times New Roman"/>
                <w:b/>
                <w:sz w:val="18"/>
                <w:szCs w:val="18"/>
              </w:rPr>
            </w:pPr>
          </w:p>
        </w:tc>
        <w:tc>
          <w:tcPr>
            <w:tcW w:w="3402" w:type="dxa"/>
          </w:tcPr>
          <w:p w:rsidR="00166E95" w:rsidRPr="00C548C6" w:rsidRDefault="00166E95" w:rsidP="00166E95">
            <w:pPr>
              <w:spacing w:after="200" w:line="276" w:lineRule="auto"/>
              <w:ind w:left="567"/>
              <w:contextualSpacing/>
              <w:jc w:val="left"/>
              <w:rPr>
                <w:rFonts w:ascii="Times New Roman" w:eastAsiaTheme="minorHAnsi" w:hAnsi="Times New Roman"/>
                <w:sz w:val="18"/>
                <w:szCs w:val="18"/>
                <w:lang w:val="en-NZ" w:eastAsia="en-US"/>
              </w:rPr>
            </w:pPr>
          </w:p>
          <w:p w:rsidR="00166E95" w:rsidRPr="00C548C6" w:rsidRDefault="00166E95" w:rsidP="00166E95">
            <w:pPr>
              <w:spacing w:after="200" w:line="276" w:lineRule="auto"/>
              <w:contextualSpacing/>
              <w:jc w:val="left"/>
              <w:rPr>
                <w:rFonts w:ascii="Times New Roman" w:hAnsi="Times New Roman"/>
                <w:sz w:val="18"/>
                <w:szCs w:val="18"/>
              </w:rPr>
            </w:pPr>
            <w:r w:rsidRPr="00C548C6">
              <w:rPr>
                <w:rFonts w:ascii="Times New Roman" w:eastAsiaTheme="minorHAnsi" w:hAnsi="Times New Roman"/>
                <w:sz w:val="18"/>
                <w:szCs w:val="18"/>
              </w:rPr>
              <w:t>This technical error may be discouraging some QCs from converting to LTCs.  Fixing this error may therefore result in more QCs converting to LTCs.</w:t>
            </w:r>
          </w:p>
        </w:tc>
        <w:tc>
          <w:tcPr>
            <w:tcW w:w="2268" w:type="dxa"/>
          </w:tcPr>
          <w:p w:rsidR="00166E95" w:rsidRPr="00C548C6" w:rsidRDefault="00166E95" w:rsidP="00166E95">
            <w:pPr>
              <w:spacing w:line="240" w:lineRule="auto"/>
              <w:ind w:left="360"/>
              <w:jc w:val="left"/>
              <w:rPr>
                <w:rFonts w:ascii="Times New Roman" w:hAnsi="Times New Roman"/>
                <w:sz w:val="18"/>
                <w:szCs w:val="18"/>
              </w:rPr>
            </w:pPr>
          </w:p>
          <w:p w:rsidR="00166E95" w:rsidRPr="00C548C6" w:rsidRDefault="00166E95" w:rsidP="00166E95">
            <w:pPr>
              <w:spacing w:line="240" w:lineRule="auto"/>
              <w:jc w:val="left"/>
              <w:rPr>
                <w:rFonts w:ascii="Times New Roman" w:hAnsi="Times New Roman"/>
                <w:sz w:val="18"/>
                <w:szCs w:val="18"/>
              </w:rPr>
            </w:pPr>
            <w:r w:rsidRPr="00C548C6">
              <w:rPr>
                <w:rFonts w:ascii="Times New Roman" w:hAnsi="Times New Roman"/>
                <w:sz w:val="18"/>
                <w:szCs w:val="18"/>
              </w:rPr>
              <w:t>Technical</w:t>
            </w:r>
          </w:p>
        </w:tc>
      </w:tr>
      <w:tr w:rsidR="00166E95" w:rsidRPr="00C548C6" w:rsidTr="00166E95">
        <w:tc>
          <w:tcPr>
            <w:tcW w:w="1461" w:type="dxa"/>
          </w:tcPr>
          <w:p w:rsidR="00166E95" w:rsidRPr="00C548C6" w:rsidRDefault="00166E95" w:rsidP="00166E95">
            <w:pPr>
              <w:pStyle w:val="ListParagraph"/>
              <w:ind w:left="0"/>
              <w:jc w:val="left"/>
              <w:rPr>
                <w:rFonts w:ascii="Times New Roman" w:eastAsiaTheme="minorHAnsi" w:hAnsi="Times New Roman"/>
                <w:sz w:val="18"/>
                <w:szCs w:val="18"/>
                <w:lang w:val="en-GB" w:eastAsia="en-GB"/>
              </w:rPr>
            </w:pPr>
          </w:p>
          <w:p w:rsidR="00166E95" w:rsidRPr="00C548C6" w:rsidRDefault="00166E95" w:rsidP="00166E95">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Asset value upon LTC entry</w:t>
            </w:r>
          </w:p>
        </w:tc>
        <w:tc>
          <w:tcPr>
            <w:tcW w:w="3969" w:type="dxa"/>
          </w:tcPr>
          <w:p w:rsidR="00166E95" w:rsidRPr="00C548C6" w:rsidRDefault="00166E95" w:rsidP="00166E95">
            <w:pPr>
              <w:pStyle w:val="ListParagraph"/>
              <w:ind w:left="0"/>
              <w:jc w:val="left"/>
              <w:rPr>
                <w:rFonts w:ascii="Times New Roman" w:eastAsiaTheme="minorHAnsi" w:hAnsi="Times New Roman"/>
                <w:sz w:val="18"/>
                <w:szCs w:val="18"/>
                <w:lang w:val="en-GB" w:eastAsia="en-GB"/>
              </w:rPr>
            </w:pPr>
          </w:p>
          <w:p w:rsidR="00166E95" w:rsidRPr="00C548C6" w:rsidRDefault="00166E95" w:rsidP="00166E95">
            <w:pPr>
              <w:pStyle w:val="ListParagraph"/>
              <w:ind w:left="0"/>
              <w:jc w:val="left"/>
              <w:rPr>
                <w:rFonts w:ascii="Times New Roman" w:hAnsi="Times New Roman"/>
                <w:sz w:val="18"/>
                <w:szCs w:val="18"/>
              </w:rPr>
            </w:pPr>
            <w:r w:rsidRPr="00C548C6">
              <w:rPr>
                <w:rFonts w:ascii="Times New Roman" w:eastAsiaTheme="minorHAnsi" w:hAnsi="Times New Roman"/>
                <w:sz w:val="18"/>
                <w:szCs w:val="18"/>
                <w:lang w:val="en-GB" w:eastAsia="en-GB"/>
              </w:rPr>
              <w:t>There is technical doubt about which asset values to use (cost/market value/something</w:t>
            </w:r>
            <w:r w:rsidRPr="00C548C6">
              <w:rPr>
                <w:rFonts w:ascii="Times New Roman" w:eastAsiaTheme="minorHAnsi" w:hAnsi="Times New Roman"/>
                <w:sz w:val="18"/>
                <w:szCs w:val="18"/>
              </w:rPr>
              <w:t xml:space="preserve"> else) when a company elects into the LTC regime.  </w:t>
            </w:r>
          </w:p>
        </w:tc>
        <w:tc>
          <w:tcPr>
            <w:tcW w:w="3827" w:type="dxa"/>
          </w:tcPr>
          <w:p w:rsidR="00166E95" w:rsidRPr="00C548C6" w:rsidRDefault="00166E95" w:rsidP="00166E95">
            <w:pPr>
              <w:pStyle w:val="ListParagraph"/>
              <w:ind w:left="0"/>
              <w:jc w:val="left"/>
              <w:rPr>
                <w:rFonts w:ascii="Times New Roman" w:eastAsiaTheme="minorHAnsi" w:hAnsi="Times New Roman"/>
                <w:sz w:val="18"/>
                <w:szCs w:val="18"/>
                <w:lang w:val="en-GB" w:eastAsia="en-GB"/>
              </w:rPr>
            </w:pPr>
          </w:p>
          <w:p w:rsidR="00166E95" w:rsidRPr="00C548C6" w:rsidRDefault="00166E95" w:rsidP="00166E95">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 xml:space="preserve">Officials recommend that the law be clarified so that the tax book value of assets and liabilities of a company that elects into the LTC regime are the opening tax book values for the LTC.  This amendment should be made retrospective to the commencement of the LTC regime (that is, from the commencement of the 2011–12 tax year).  </w:t>
            </w:r>
          </w:p>
          <w:p w:rsidR="00166E95" w:rsidRPr="00C548C6" w:rsidRDefault="00166E95" w:rsidP="00166E95">
            <w:pPr>
              <w:pStyle w:val="ListParagraph"/>
              <w:ind w:left="0"/>
              <w:jc w:val="left"/>
              <w:rPr>
                <w:rFonts w:ascii="Times New Roman" w:eastAsiaTheme="minorHAnsi" w:hAnsi="Times New Roman"/>
                <w:sz w:val="18"/>
                <w:szCs w:val="18"/>
                <w:lang w:val="en-GB" w:eastAsia="en-GB"/>
              </w:rPr>
            </w:pPr>
          </w:p>
          <w:p w:rsidR="00166E95" w:rsidRDefault="00166E95" w:rsidP="00166E95">
            <w:pPr>
              <w:pStyle w:val="ListParagraph"/>
              <w:ind w:left="0"/>
              <w:jc w:val="left"/>
              <w:rPr>
                <w:rFonts w:ascii="Times New Roman" w:eastAsiaTheme="minorHAnsi" w:hAnsi="Times New Roman"/>
                <w:sz w:val="18"/>
                <w:szCs w:val="18"/>
                <w:lang w:val="en-GB" w:eastAsia="en-GB"/>
              </w:rPr>
            </w:pPr>
          </w:p>
          <w:p w:rsidR="00C548C6" w:rsidRPr="00C548C6" w:rsidRDefault="00C548C6" w:rsidP="00166E95">
            <w:pPr>
              <w:pStyle w:val="ListParagraph"/>
              <w:ind w:left="0"/>
              <w:jc w:val="left"/>
              <w:rPr>
                <w:rFonts w:ascii="Times New Roman" w:eastAsiaTheme="minorHAnsi" w:hAnsi="Times New Roman"/>
                <w:sz w:val="18"/>
                <w:szCs w:val="18"/>
                <w:lang w:val="en-GB" w:eastAsia="en-GB"/>
              </w:rPr>
            </w:pPr>
          </w:p>
          <w:p w:rsidR="00166E95" w:rsidRPr="00C548C6" w:rsidRDefault="00166E95" w:rsidP="00166E95">
            <w:pPr>
              <w:pStyle w:val="ListParagraph"/>
              <w:ind w:left="0"/>
              <w:jc w:val="left"/>
              <w:rPr>
                <w:rFonts w:ascii="Times New Roman" w:eastAsiaTheme="minorHAnsi" w:hAnsi="Times New Roman"/>
                <w:sz w:val="18"/>
                <w:szCs w:val="18"/>
                <w:lang w:val="en-GB" w:eastAsia="en-GB"/>
              </w:rPr>
            </w:pPr>
          </w:p>
        </w:tc>
        <w:tc>
          <w:tcPr>
            <w:tcW w:w="3402" w:type="dxa"/>
          </w:tcPr>
          <w:p w:rsidR="00166E95" w:rsidRPr="00C548C6" w:rsidRDefault="00166E95" w:rsidP="00166E95">
            <w:pPr>
              <w:pStyle w:val="ListParagraph"/>
              <w:ind w:left="0"/>
              <w:jc w:val="left"/>
              <w:rPr>
                <w:rFonts w:ascii="Times New Roman" w:eastAsiaTheme="minorHAnsi" w:hAnsi="Times New Roman"/>
                <w:sz w:val="18"/>
                <w:szCs w:val="18"/>
                <w:lang w:val="en-GB" w:eastAsia="en-GB"/>
              </w:rPr>
            </w:pPr>
          </w:p>
          <w:p w:rsidR="00166E95" w:rsidRPr="00C548C6" w:rsidRDefault="00166E95" w:rsidP="00166E95">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 xml:space="preserve">The policy intent is that the company’s tax book values roll over into the LTC, and the LTC election tax is calculated on this basis.   Officials are not aware of any taxpayer that has not used tax book values.  However, this is not made clear in the legislation.  </w:t>
            </w:r>
          </w:p>
          <w:p w:rsidR="00166E95" w:rsidRPr="00C548C6" w:rsidRDefault="00166E95" w:rsidP="00166E95">
            <w:pPr>
              <w:pStyle w:val="ListParagraph"/>
              <w:ind w:left="0"/>
              <w:jc w:val="left"/>
              <w:rPr>
                <w:rFonts w:ascii="Times New Roman" w:eastAsiaTheme="minorHAnsi" w:hAnsi="Times New Roman"/>
                <w:sz w:val="18"/>
                <w:szCs w:val="18"/>
                <w:lang w:val="en-GB" w:eastAsia="en-GB"/>
              </w:rPr>
            </w:pPr>
          </w:p>
          <w:p w:rsidR="00166E95" w:rsidRPr="00C548C6" w:rsidRDefault="00166E95" w:rsidP="00166E95">
            <w:pPr>
              <w:pStyle w:val="ListParagraph"/>
              <w:ind w:left="0"/>
              <w:jc w:val="left"/>
              <w:rPr>
                <w:rFonts w:ascii="Times New Roman" w:eastAsiaTheme="minorHAnsi" w:hAnsi="Times New Roman"/>
                <w:sz w:val="18"/>
                <w:szCs w:val="18"/>
                <w:lang w:val="en-GB" w:eastAsia="en-GB"/>
              </w:rPr>
            </w:pPr>
          </w:p>
        </w:tc>
        <w:tc>
          <w:tcPr>
            <w:tcW w:w="2268" w:type="dxa"/>
          </w:tcPr>
          <w:p w:rsidR="00166E95" w:rsidRPr="00C548C6" w:rsidRDefault="00166E95" w:rsidP="00166E95">
            <w:pPr>
              <w:pStyle w:val="ListParagraph"/>
              <w:ind w:left="0"/>
              <w:jc w:val="left"/>
              <w:rPr>
                <w:rFonts w:ascii="Times New Roman" w:eastAsiaTheme="minorHAnsi" w:hAnsi="Times New Roman"/>
                <w:sz w:val="18"/>
                <w:szCs w:val="18"/>
                <w:lang w:val="en-GB" w:eastAsia="en-GB"/>
              </w:rPr>
            </w:pPr>
          </w:p>
          <w:p w:rsidR="00166E95" w:rsidRPr="00C548C6" w:rsidRDefault="00166E95" w:rsidP="00166E95">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Remedial</w:t>
            </w:r>
          </w:p>
        </w:tc>
      </w:tr>
      <w:tr w:rsidR="00166E95" w:rsidRPr="00C548C6" w:rsidTr="00166E95">
        <w:tc>
          <w:tcPr>
            <w:tcW w:w="1461"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Backdated dividends and shareholder current accounts</w:t>
            </w:r>
          </w:p>
        </w:tc>
        <w:tc>
          <w:tcPr>
            <w:tcW w:w="3969"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 xml:space="preserve">There is a concessionary rule which enables dividends to be paid to shareholders to clear their overdrawn current accounts with their dividends being regarded as being paid on the 1st day of an income year so long as the dividend is fully tax paid (that is RWT does not need to be deducted).  </w:t>
            </w:r>
          </w:p>
          <w:p w:rsidR="00166E95"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 xml:space="preserve">However, due to the company tax rate being decreased, all dividends incur at least 5%RWT and the concessional backdating cannot apply. </w:t>
            </w:r>
          </w:p>
          <w:p w:rsidR="00C548C6" w:rsidRDefault="00C548C6" w:rsidP="000B3690">
            <w:pPr>
              <w:pStyle w:val="ListParagraph"/>
              <w:ind w:left="0"/>
              <w:jc w:val="left"/>
              <w:rPr>
                <w:rFonts w:ascii="Times New Roman" w:eastAsiaTheme="minorHAnsi" w:hAnsi="Times New Roman"/>
                <w:sz w:val="18"/>
                <w:szCs w:val="18"/>
                <w:lang w:val="en-GB" w:eastAsia="en-GB"/>
              </w:rPr>
            </w:pPr>
          </w:p>
          <w:p w:rsidR="00C548C6" w:rsidRDefault="00C548C6" w:rsidP="000B3690">
            <w:pPr>
              <w:pStyle w:val="ListParagraph"/>
              <w:ind w:left="0"/>
              <w:jc w:val="left"/>
              <w:rPr>
                <w:rFonts w:ascii="Times New Roman" w:eastAsiaTheme="minorHAnsi" w:hAnsi="Times New Roman"/>
                <w:sz w:val="18"/>
                <w:szCs w:val="18"/>
                <w:lang w:val="en-GB" w:eastAsia="en-GB"/>
              </w:rPr>
            </w:pPr>
          </w:p>
          <w:p w:rsidR="00C548C6" w:rsidRPr="00C548C6" w:rsidRDefault="00C548C6"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p>
        </w:tc>
        <w:tc>
          <w:tcPr>
            <w:tcW w:w="3827"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 xml:space="preserve">Officials recommend that the rule is amended to allow dividends that are fully imputed (to 28%) to qualify for back dating to the 1st day of the income year, for shareholder current account purposes.  </w:t>
            </w:r>
          </w:p>
        </w:tc>
        <w:tc>
          <w:tcPr>
            <w:tcW w:w="3402"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Anecdotally, taxpayers appear to observing this rule in the breech when the dividend is fully imputed.</w:t>
            </w:r>
          </w:p>
          <w:p w:rsidR="00166E95" w:rsidRPr="00C548C6" w:rsidRDefault="00166E95" w:rsidP="000B3690">
            <w:pPr>
              <w:pStyle w:val="ListParagraph"/>
              <w:ind w:left="0"/>
              <w:jc w:val="left"/>
              <w:rPr>
                <w:rFonts w:ascii="Times New Roman" w:eastAsiaTheme="minorHAnsi" w:hAnsi="Times New Roman"/>
                <w:sz w:val="18"/>
                <w:szCs w:val="18"/>
                <w:lang w:val="en-GB" w:eastAsia="en-GB"/>
              </w:rPr>
            </w:pPr>
          </w:p>
        </w:tc>
        <w:tc>
          <w:tcPr>
            <w:tcW w:w="2268"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Remedial</w:t>
            </w:r>
          </w:p>
        </w:tc>
      </w:tr>
      <w:tr w:rsidR="00166E95" w:rsidRPr="00C548C6" w:rsidTr="00166E95">
        <w:tc>
          <w:tcPr>
            <w:tcW w:w="1461"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 xml:space="preserve">Debt remission upon exit from LTC regime or liquidation </w:t>
            </w:r>
          </w:p>
        </w:tc>
        <w:tc>
          <w:tcPr>
            <w:tcW w:w="3969"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 xml:space="preserve">When a LTC elects out of the regime or enters liquidation, the LTC is deemed to have disposed of all of its financial arrangements at market value and there should be debt remission income on any unpaid third party debt. The LTC legislation that governs LTCs liquidating or exiting the LTC regime (treated as a deemed liquidation) is not sufficiently clear and in insolvency situations where the remission of third party debt is likely to happen, some LTC owners are not returning the debt remission income as was contemplated.  </w:t>
            </w:r>
          </w:p>
        </w:tc>
        <w:tc>
          <w:tcPr>
            <w:tcW w:w="3827"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Officials recommend that a retrospective amendment is made to ensure that the debt remission income rules apply as intended. This would mean that remission income should arise for LTC owners when they either liquidate or elect to take their company out of the LTC rules.</w:t>
            </w:r>
          </w:p>
          <w:p w:rsidR="00166E95" w:rsidRPr="00C548C6" w:rsidRDefault="00166E95" w:rsidP="000B3690">
            <w:pPr>
              <w:pStyle w:val="ListParagraph"/>
              <w:ind w:left="0"/>
              <w:jc w:val="left"/>
              <w:rPr>
                <w:rFonts w:ascii="Times New Roman" w:eastAsiaTheme="minorHAnsi" w:hAnsi="Times New Roman"/>
                <w:sz w:val="18"/>
                <w:szCs w:val="18"/>
                <w:lang w:val="en-GB" w:eastAsia="en-GB"/>
              </w:rPr>
            </w:pPr>
          </w:p>
        </w:tc>
        <w:tc>
          <w:tcPr>
            <w:tcW w:w="3402"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 xml:space="preserve">This is a technical change, as remission income was always intended to arise.  The issue is around the market value of any impaired third party loans at the time of disposal, with some practitioners arguing that the market value of a </w:t>
            </w:r>
            <w:proofErr w:type="gramStart"/>
            <w:r w:rsidRPr="00C548C6">
              <w:rPr>
                <w:rFonts w:ascii="Times New Roman" w:eastAsiaTheme="minorHAnsi" w:hAnsi="Times New Roman"/>
                <w:sz w:val="18"/>
                <w:szCs w:val="18"/>
                <w:lang w:val="en-GB" w:eastAsia="en-GB"/>
              </w:rPr>
              <w:t>loan,</w:t>
            </w:r>
            <w:proofErr w:type="gramEnd"/>
            <w:r w:rsidRPr="00C548C6">
              <w:rPr>
                <w:rFonts w:ascii="Times New Roman" w:eastAsiaTheme="minorHAnsi" w:hAnsi="Times New Roman"/>
                <w:sz w:val="18"/>
                <w:szCs w:val="18"/>
                <w:lang w:val="en-GB" w:eastAsia="en-GB"/>
              </w:rPr>
              <w:t xml:space="preserve"> distressed or not, is the present value of its future cash flows without considering its distressed impairment.  This approach ignores the risk associated with the loan.</w:t>
            </w:r>
          </w:p>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Ensuring, that the debt remission rules work as intended is particularly important if, as recommended the deduction limitation rule is largely removed.</w:t>
            </w:r>
          </w:p>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This proposal is expected to be fiscally positive.  The retrospective application of the rule may mean that taxpayers who did not apply the rule as intended may have tax due on amounts remitted from the 2011-12 onwards.  To ease compliance and to limit the adverse tax consequences for these taxpayers (for example exposure to UOMI, penalties and the need to restate prior periods), officials have recommended that any income arising  as a result of the retrospective application of this remedial will be included in the 2018-19 income year.</w:t>
            </w:r>
          </w:p>
          <w:p w:rsidR="00166E95" w:rsidRPr="00C548C6" w:rsidRDefault="00166E95" w:rsidP="000B3690">
            <w:pPr>
              <w:pStyle w:val="ListParagraph"/>
              <w:ind w:left="0"/>
              <w:jc w:val="left"/>
              <w:rPr>
                <w:rFonts w:ascii="Times New Roman" w:eastAsiaTheme="minorHAnsi" w:hAnsi="Times New Roman"/>
                <w:sz w:val="18"/>
                <w:szCs w:val="18"/>
                <w:lang w:val="en-GB" w:eastAsia="en-GB"/>
              </w:rPr>
            </w:pPr>
          </w:p>
        </w:tc>
        <w:tc>
          <w:tcPr>
            <w:tcW w:w="2268"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rPr>
            </w:pPr>
            <w:r w:rsidRPr="00C548C6">
              <w:rPr>
                <w:rFonts w:ascii="Times New Roman" w:eastAsiaTheme="minorHAnsi" w:hAnsi="Times New Roman"/>
                <w:sz w:val="18"/>
                <w:szCs w:val="18"/>
                <w:lang w:val="en-GB" w:eastAsia="en-GB"/>
              </w:rPr>
              <w:t>Remedial</w:t>
            </w:r>
          </w:p>
        </w:tc>
      </w:tr>
    </w:tbl>
    <w:p w:rsidR="00166E95" w:rsidRPr="00977D42" w:rsidRDefault="00166E95" w:rsidP="00166E95">
      <w:pPr>
        <w:spacing w:line="240" w:lineRule="auto"/>
        <w:rPr>
          <w:rFonts w:ascii="Times New Roman" w:hAnsi="Times New Roman"/>
          <w:sz w:val="20"/>
        </w:rPr>
      </w:pPr>
    </w:p>
    <w:p w:rsidR="00166E95" w:rsidRDefault="00166E95" w:rsidP="00166E95">
      <w:pPr>
        <w:spacing w:after="200" w:line="276" w:lineRule="auto"/>
        <w:rPr>
          <w:rFonts w:ascii="Times New Roman" w:hAnsi="Times New Roman"/>
          <w:b/>
          <w:sz w:val="24"/>
        </w:rPr>
      </w:pPr>
      <w:r>
        <w:rPr>
          <w:rFonts w:ascii="Times New Roman" w:hAnsi="Times New Roman"/>
          <w:b/>
          <w:sz w:val="24"/>
        </w:rPr>
        <w:br w:type="page"/>
      </w:r>
    </w:p>
    <w:p w:rsidR="00166E95" w:rsidRDefault="00166E95" w:rsidP="00166E95">
      <w:pPr>
        <w:spacing w:after="0" w:line="240" w:lineRule="auto"/>
        <w:rPr>
          <w:rFonts w:ascii="Times New Roman" w:hAnsi="Times New Roman"/>
          <w:b/>
          <w:sz w:val="24"/>
          <w:szCs w:val="24"/>
        </w:rPr>
      </w:pPr>
      <w:r>
        <w:rPr>
          <w:rFonts w:ascii="Times New Roman" w:hAnsi="Times New Roman"/>
          <w:b/>
          <w:sz w:val="24"/>
        </w:rPr>
        <w:t xml:space="preserve">Appendix 3:  </w:t>
      </w:r>
      <w:r>
        <w:rPr>
          <w:rFonts w:ascii="Times New Roman" w:hAnsi="Times New Roman"/>
          <w:b/>
          <w:sz w:val="24"/>
          <w:szCs w:val="24"/>
        </w:rPr>
        <w:t>Analysis of i</w:t>
      </w:r>
      <w:r w:rsidRPr="00FD04A2">
        <w:rPr>
          <w:rFonts w:ascii="Times New Roman" w:hAnsi="Times New Roman"/>
          <w:b/>
          <w:sz w:val="24"/>
          <w:szCs w:val="24"/>
        </w:rPr>
        <w:t>ssues not progressed</w:t>
      </w:r>
    </w:p>
    <w:p w:rsidR="00166E95" w:rsidRPr="00BB4246" w:rsidRDefault="00166E95" w:rsidP="00166E95">
      <w:pPr>
        <w:spacing w:after="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2943"/>
        <w:gridCol w:w="1701"/>
        <w:gridCol w:w="1865"/>
        <w:gridCol w:w="7665"/>
      </w:tblGrid>
      <w:tr w:rsidR="00166E95" w:rsidRPr="00C548C6" w:rsidTr="000B3690">
        <w:trPr>
          <w:tblHeader/>
        </w:trPr>
        <w:tc>
          <w:tcPr>
            <w:tcW w:w="2943" w:type="dxa"/>
            <w:shd w:val="pct25" w:color="auto" w:fill="auto"/>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b/>
                <w:sz w:val="18"/>
                <w:szCs w:val="18"/>
                <w:lang w:val="en-GB" w:eastAsia="en-GB"/>
              </w:rPr>
            </w:pPr>
            <w:r w:rsidRPr="00C548C6">
              <w:rPr>
                <w:rFonts w:ascii="Times New Roman" w:eastAsiaTheme="minorHAnsi" w:hAnsi="Times New Roman"/>
                <w:b/>
                <w:sz w:val="18"/>
                <w:szCs w:val="18"/>
                <w:lang w:val="en-GB" w:eastAsia="en-GB"/>
              </w:rPr>
              <w:t>Proposal</w:t>
            </w:r>
          </w:p>
          <w:p w:rsidR="00166E95" w:rsidRPr="00C548C6" w:rsidRDefault="00166E95" w:rsidP="000B3690">
            <w:pPr>
              <w:pStyle w:val="ListParagraph"/>
              <w:ind w:left="0"/>
              <w:jc w:val="left"/>
              <w:rPr>
                <w:rFonts w:ascii="Times New Roman" w:hAnsi="Times New Roman"/>
                <w:b/>
                <w:sz w:val="18"/>
                <w:szCs w:val="18"/>
              </w:rPr>
            </w:pPr>
          </w:p>
        </w:tc>
        <w:tc>
          <w:tcPr>
            <w:tcW w:w="1701" w:type="dxa"/>
            <w:shd w:val="pct25" w:color="auto" w:fill="auto"/>
          </w:tcPr>
          <w:p w:rsidR="00166E95" w:rsidRPr="00C548C6" w:rsidRDefault="00166E95" w:rsidP="000B3690">
            <w:pPr>
              <w:pStyle w:val="ListParagraph"/>
              <w:ind w:left="0"/>
              <w:jc w:val="left"/>
              <w:rPr>
                <w:rFonts w:ascii="Times New Roman" w:eastAsiaTheme="minorHAnsi" w:hAnsi="Times New Roman"/>
                <w:b/>
                <w:sz w:val="18"/>
                <w:szCs w:val="18"/>
                <w:lang w:val="en-GB" w:eastAsia="en-GB"/>
              </w:rPr>
            </w:pPr>
          </w:p>
          <w:p w:rsidR="00166E95" w:rsidRPr="00C548C6" w:rsidRDefault="00166E95" w:rsidP="000B3690">
            <w:pPr>
              <w:pStyle w:val="ListParagraph"/>
              <w:ind w:left="0"/>
              <w:jc w:val="left"/>
              <w:rPr>
                <w:rFonts w:ascii="Times New Roman" w:eastAsiaTheme="minorHAnsi" w:hAnsi="Times New Roman"/>
                <w:b/>
                <w:sz w:val="18"/>
                <w:szCs w:val="18"/>
                <w:lang w:val="en-GB" w:eastAsia="en-GB"/>
              </w:rPr>
            </w:pPr>
            <w:r w:rsidRPr="00C548C6">
              <w:rPr>
                <w:rFonts w:ascii="Times New Roman" w:eastAsiaTheme="minorHAnsi" w:hAnsi="Times New Roman"/>
                <w:b/>
                <w:sz w:val="18"/>
                <w:szCs w:val="18"/>
                <w:lang w:val="en-GB" w:eastAsia="en-GB"/>
              </w:rPr>
              <w:t>Origin</w:t>
            </w:r>
          </w:p>
        </w:tc>
        <w:tc>
          <w:tcPr>
            <w:tcW w:w="1865" w:type="dxa"/>
            <w:shd w:val="pct25" w:color="auto" w:fill="auto"/>
          </w:tcPr>
          <w:p w:rsidR="00166E95" w:rsidRPr="00C548C6" w:rsidRDefault="00166E95" w:rsidP="000B3690">
            <w:pPr>
              <w:pStyle w:val="ListParagraph"/>
              <w:ind w:left="0"/>
              <w:jc w:val="left"/>
              <w:rPr>
                <w:rFonts w:ascii="Times New Roman" w:eastAsiaTheme="minorHAnsi" w:hAnsi="Times New Roman"/>
                <w:b/>
                <w:sz w:val="18"/>
                <w:szCs w:val="18"/>
                <w:lang w:val="en-GB" w:eastAsia="en-GB"/>
              </w:rPr>
            </w:pPr>
          </w:p>
          <w:p w:rsidR="00166E95" w:rsidRPr="00C548C6" w:rsidRDefault="00166E95" w:rsidP="000B3690">
            <w:pPr>
              <w:pStyle w:val="ListParagraph"/>
              <w:ind w:left="0"/>
              <w:jc w:val="left"/>
              <w:rPr>
                <w:rFonts w:ascii="Times New Roman" w:eastAsiaTheme="minorHAnsi" w:hAnsi="Times New Roman"/>
                <w:b/>
                <w:sz w:val="18"/>
                <w:szCs w:val="18"/>
                <w:lang w:val="en-GB" w:eastAsia="en-GB"/>
              </w:rPr>
            </w:pPr>
            <w:r w:rsidRPr="00C548C6">
              <w:rPr>
                <w:rFonts w:ascii="Times New Roman" w:eastAsiaTheme="minorHAnsi" w:hAnsi="Times New Roman"/>
                <w:b/>
                <w:sz w:val="18"/>
                <w:szCs w:val="18"/>
                <w:lang w:val="en-GB" w:eastAsia="en-GB"/>
              </w:rPr>
              <w:t>Decision</w:t>
            </w:r>
          </w:p>
        </w:tc>
        <w:tc>
          <w:tcPr>
            <w:tcW w:w="7665" w:type="dxa"/>
            <w:shd w:val="pct25" w:color="auto" w:fill="auto"/>
          </w:tcPr>
          <w:p w:rsidR="00166E95" w:rsidRPr="00C548C6" w:rsidRDefault="00166E95" w:rsidP="000B3690">
            <w:pPr>
              <w:pStyle w:val="ListParagraph"/>
              <w:ind w:left="0"/>
              <w:jc w:val="left"/>
              <w:rPr>
                <w:rFonts w:ascii="Times New Roman" w:eastAsiaTheme="minorHAnsi" w:hAnsi="Times New Roman"/>
                <w:b/>
                <w:sz w:val="18"/>
                <w:szCs w:val="18"/>
                <w:lang w:val="en-GB" w:eastAsia="en-GB"/>
              </w:rPr>
            </w:pPr>
          </w:p>
          <w:p w:rsidR="00166E95" w:rsidRPr="00C548C6" w:rsidRDefault="00166E95" w:rsidP="000B3690">
            <w:pPr>
              <w:pStyle w:val="ListParagraph"/>
              <w:ind w:left="0"/>
              <w:jc w:val="left"/>
              <w:rPr>
                <w:rFonts w:ascii="Times New Roman" w:eastAsiaTheme="minorHAnsi" w:hAnsi="Times New Roman"/>
                <w:b/>
                <w:sz w:val="18"/>
                <w:szCs w:val="18"/>
                <w:lang w:val="en-GB" w:eastAsia="en-GB"/>
              </w:rPr>
            </w:pPr>
            <w:r w:rsidRPr="00C548C6">
              <w:rPr>
                <w:rFonts w:ascii="Times New Roman" w:eastAsiaTheme="minorHAnsi" w:hAnsi="Times New Roman"/>
                <w:b/>
                <w:sz w:val="18"/>
                <w:szCs w:val="18"/>
                <w:lang w:val="en-GB" w:eastAsia="en-GB"/>
              </w:rPr>
              <w:t>Comments</w:t>
            </w:r>
          </w:p>
        </w:tc>
      </w:tr>
      <w:tr w:rsidR="00166E95" w:rsidRPr="00C548C6" w:rsidTr="000B3690">
        <w:tc>
          <w:tcPr>
            <w:tcW w:w="2943" w:type="dxa"/>
          </w:tcPr>
          <w:p w:rsidR="00166E95" w:rsidRPr="00C548C6" w:rsidRDefault="00166E95" w:rsidP="00166E95">
            <w:pPr>
              <w:pStyle w:val="ListParagraph"/>
              <w:ind w:left="0"/>
              <w:jc w:val="left"/>
              <w:rPr>
                <w:rFonts w:ascii="Times New Roman" w:eastAsiaTheme="minorHAnsi" w:hAnsi="Times New Roman"/>
                <w:sz w:val="18"/>
                <w:szCs w:val="18"/>
                <w:lang w:val="en-GB" w:eastAsia="en-GB"/>
              </w:rPr>
            </w:pPr>
          </w:p>
          <w:p w:rsidR="00166E95" w:rsidRPr="00C548C6" w:rsidRDefault="00166E95" w:rsidP="00166E95">
            <w:pPr>
              <w:spacing w:line="240" w:lineRule="auto"/>
              <w:jc w:val="left"/>
              <w:rPr>
                <w:rFonts w:ascii="Times New Roman" w:hAnsi="Times New Roman"/>
                <w:sz w:val="18"/>
                <w:szCs w:val="18"/>
              </w:rPr>
            </w:pPr>
            <w:r w:rsidRPr="00C548C6">
              <w:rPr>
                <w:rFonts w:ascii="Times New Roman" w:hAnsi="Times New Roman"/>
                <w:sz w:val="18"/>
                <w:szCs w:val="18"/>
              </w:rPr>
              <w:t xml:space="preserve">Companies should be able to distribute capital gains tax free during the course of business, not just on liquidation. </w:t>
            </w:r>
          </w:p>
        </w:tc>
        <w:tc>
          <w:tcPr>
            <w:tcW w:w="1701" w:type="dxa"/>
          </w:tcPr>
          <w:p w:rsidR="00166E95" w:rsidRPr="00C548C6" w:rsidRDefault="00166E95" w:rsidP="00166E95">
            <w:pPr>
              <w:pStyle w:val="ListParagraph"/>
              <w:ind w:left="0"/>
              <w:jc w:val="left"/>
              <w:rPr>
                <w:rFonts w:ascii="Times New Roman" w:eastAsiaTheme="minorHAnsi" w:hAnsi="Times New Roman"/>
                <w:sz w:val="18"/>
                <w:szCs w:val="18"/>
                <w:lang w:val="en-GB" w:eastAsia="en-GB"/>
              </w:rPr>
            </w:pPr>
          </w:p>
          <w:p w:rsidR="00166E95" w:rsidRPr="00C548C6" w:rsidRDefault="00166E95" w:rsidP="00166E95">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Raised by submitters</w:t>
            </w:r>
          </w:p>
        </w:tc>
        <w:tc>
          <w:tcPr>
            <w:tcW w:w="1865" w:type="dxa"/>
          </w:tcPr>
          <w:p w:rsidR="00166E95" w:rsidRPr="00C548C6" w:rsidRDefault="00166E95" w:rsidP="00166E95">
            <w:pPr>
              <w:pStyle w:val="ListParagraph"/>
              <w:ind w:left="0"/>
              <w:jc w:val="left"/>
              <w:rPr>
                <w:rFonts w:ascii="Times New Roman" w:eastAsiaTheme="minorHAnsi" w:hAnsi="Times New Roman"/>
                <w:sz w:val="18"/>
                <w:szCs w:val="18"/>
                <w:lang w:val="en-GB" w:eastAsia="en-GB"/>
              </w:rPr>
            </w:pPr>
          </w:p>
          <w:p w:rsidR="00166E95" w:rsidRPr="00C548C6" w:rsidRDefault="00166E95" w:rsidP="00166E95">
            <w:pPr>
              <w:pStyle w:val="ListParagraph"/>
              <w:ind w:left="0"/>
              <w:jc w:val="left"/>
              <w:rPr>
                <w:rFonts w:ascii="Times New Roman" w:hAnsi="Times New Roman"/>
                <w:sz w:val="18"/>
                <w:szCs w:val="18"/>
              </w:rPr>
            </w:pPr>
            <w:r w:rsidRPr="00C548C6">
              <w:rPr>
                <w:rFonts w:ascii="Times New Roman" w:eastAsiaTheme="minorHAnsi" w:hAnsi="Times New Roman"/>
                <w:sz w:val="18"/>
                <w:szCs w:val="18"/>
                <w:lang w:val="en-GB" w:eastAsia="en-GB"/>
              </w:rPr>
              <w:t>Proposal to be considered for inclusion in the tax policy work programme.</w:t>
            </w:r>
          </w:p>
        </w:tc>
        <w:tc>
          <w:tcPr>
            <w:tcW w:w="7665" w:type="dxa"/>
          </w:tcPr>
          <w:p w:rsidR="00166E95" w:rsidRPr="00C548C6" w:rsidRDefault="00166E95" w:rsidP="00166E95">
            <w:pPr>
              <w:pStyle w:val="ListParagraph"/>
              <w:ind w:left="0"/>
              <w:jc w:val="left"/>
              <w:rPr>
                <w:rFonts w:ascii="Times New Roman" w:eastAsiaTheme="minorHAnsi" w:hAnsi="Times New Roman"/>
                <w:sz w:val="18"/>
                <w:szCs w:val="18"/>
                <w:lang w:val="en-GB" w:eastAsia="en-GB"/>
              </w:rPr>
            </w:pPr>
          </w:p>
          <w:p w:rsidR="00166E95" w:rsidRPr="00C548C6" w:rsidRDefault="00166E95" w:rsidP="00166E95">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Officials consider that the wider policy issue of capital gain distributions outside of the LTC and QC context is complex and cannot be looked at purely in isolation as part of the closely held companies review.  Further work on this issue would be better handled through the standard tax policy work programme process at some future date.</w:t>
            </w:r>
          </w:p>
          <w:p w:rsidR="00166E95" w:rsidRPr="00C548C6" w:rsidRDefault="00166E95" w:rsidP="00166E95">
            <w:pPr>
              <w:pStyle w:val="ListParagraph"/>
              <w:ind w:left="0"/>
              <w:jc w:val="left"/>
              <w:rPr>
                <w:rFonts w:ascii="Times New Roman" w:eastAsiaTheme="minorHAnsi" w:hAnsi="Times New Roman"/>
                <w:sz w:val="18"/>
                <w:szCs w:val="18"/>
                <w:lang w:val="en-GB" w:eastAsia="en-GB"/>
              </w:rPr>
            </w:pPr>
          </w:p>
          <w:p w:rsidR="00166E95" w:rsidRPr="00C548C6" w:rsidRDefault="00166E95" w:rsidP="00166E95">
            <w:pPr>
              <w:pStyle w:val="ListParagraph"/>
              <w:ind w:left="0"/>
              <w:jc w:val="left"/>
              <w:rPr>
                <w:rFonts w:ascii="Times New Roman" w:hAnsi="Times New Roman"/>
                <w:sz w:val="18"/>
                <w:szCs w:val="18"/>
              </w:rPr>
            </w:pPr>
          </w:p>
        </w:tc>
      </w:tr>
      <w:tr w:rsidR="00166E95" w:rsidRPr="00C548C6" w:rsidTr="000B3690">
        <w:tc>
          <w:tcPr>
            <w:tcW w:w="2943"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Close companies should be able to elect out of RWT obligations on dividends and interest, subject to director’s guarantee</w:t>
            </w:r>
          </w:p>
        </w:tc>
        <w:tc>
          <w:tcPr>
            <w:tcW w:w="1701"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 xml:space="preserve">Discussed by officials in the </w:t>
            </w:r>
            <w:r w:rsidRPr="00C548C6">
              <w:rPr>
                <w:rFonts w:ascii="Times New Roman" w:eastAsiaTheme="minorHAnsi" w:hAnsi="Times New Roman"/>
                <w:i/>
                <w:sz w:val="18"/>
                <w:szCs w:val="18"/>
                <w:lang w:val="en-GB" w:eastAsia="en-GB"/>
              </w:rPr>
              <w:t>Closely held company taxation</w:t>
            </w:r>
            <w:r w:rsidRPr="00C548C6">
              <w:rPr>
                <w:rFonts w:ascii="Times New Roman" w:eastAsiaTheme="minorHAnsi" w:hAnsi="Times New Roman"/>
                <w:sz w:val="18"/>
                <w:szCs w:val="18"/>
                <w:lang w:val="en-GB" w:eastAsia="en-GB"/>
              </w:rPr>
              <w:t xml:space="preserve"> issues paper</w:t>
            </w:r>
          </w:p>
          <w:p w:rsidR="00166E95" w:rsidRPr="00C548C6" w:rsidRDefault="00166E95" w:rsidP="000B3690">
            <w:pPr>
              <w:pStyle w:val="ListParagraph"/>
              <w:ind w:left="0"/>
              <w:jc w:val="left"/>
              <w:rPr>
                <w:rFonts w:ascii="Times New Roman" w:eastAsiaTheme="minorHAnsi" w:hAnsi="Times New Roman"/>
                <w:sz w:val="18"/>
                <w:szCs w:val="18"/>
              </w:rPr>
            </w:pPr>
          </w:p>
        </w:tc>
        <w:tc>
          <w:tcPr>
            <w:tcW w:w="1865"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 xml:space="preserve">Proposal to be considered as part of </w:t>
            </w:r>
            <w:r w:rsidRPr="00C548C6">
              <w:rPr>
                <w:rFonts w:ascii="Times New Roman" w:eastAsiaTheme="minorHAnsi" w:hAnsi="Times New Roman"/>
                <w:i/>
                <w:sz w:val="18"/>
                <w:szCs w:val="18"/>
                <w:lang w:val="en-GB" w:eastAsia="en-GB"/>
              </w:rPr>
              <w:t>Making Tax Simpler.</w:t>
            </w:r>
          </w:p>
        </w:tc>
        <w:tc>
          <w:tcPr>
            <w:tcW w:w="7665"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This proposal would give rise to significant fiscal costs resulting from the deferral of tax from one period to the next.  Officials consider that this proposal would best be considered in the wider context of the work being undertaken to streamline business tax processes, as discussed in the Government discussion document titled Making Tax Simpler A Green Paper (released in March 2015).</w:t>
            </w:r>
          </w:p>
          <w:p w:rsidR="00166E95" w:rsidRPr="00C548C6" w:rsidRDefault="00166E95" w:rsidP="000B3690">
            <w:pPr>
              <w:pStyle w:val="ListParagraph"/>
              <w:ind w:left="0"/>
              <w:jc w:val="left"/>
              <w:rPr>
                <w:rFonts w:ascii="Times New Roman" w:hAnsi="Times New Roman"/>
                <w:sz w:val="18"/>
                <w:szCs w:val="18"/>
              </w:rPr>
            </w:pPr>
          </w:p>
        </w:tc>
      </w:tr>
      <w:tr w:rsidR="00166E95" w:rsidRPr="00C548C6" w:rsidTr="000B3690">
        <w:tc>
          <w:tcPr>
            <w:tcW w:w="2943"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Extend the measurement period when counting beneficiaries who receive LTC income distributions from a trust that owns a LTC</w:t>
            </w:r>
          </w:p>
        </w:tc>
        <w:tc>
          <w:tcPr>
            <w:tcW w:w="1701"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 xml:space="preserve">Discussed by officials in the Closely held company taxation issues paper </w:t>
            </w:r>
          </w:p>
        </w:tc>
        <w:tc>
          <w:tcPr>
            <w:tcW w:w="1865"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Proposal should not be progressed.</w:t>
            </w:r>
          </w:p>
          <w:p w:rsidR="00166E95" w:rsidRPr="00C548C6" w:rsidRDefault="00166E95" w:rsidP="000B3690">
            <w:pPr>
              <w:pStyle w:val="ListParagraph"/>
              <w:ind w:left="0"/>
              <w:jc w:val="left"/>
              <w:rPr>
                <w:rFonts w:ascii="Times New Roman" w:eastAsiaTheme="minorHAnsi" w:hAnsi="Times New Roman"/>
                <w:sz w:val="18"/>
                <w:szCs w:val="18"/>
                <w:lang w:val="en-GB" w:eastAsia="en-GB"/>
              </w:rPr>
            </w:pPr>
          </w:p>
        </w:tc>
        <w:tc>
          <w:tcPr>
            <w:tcW w:w="7665"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 xml:space="preserve">This was one of two proposals recommended in the issues paper with regard to counting beneficiaries for the purposes of determining the number of LTC owners.  Officials were concerned that the current 3-4 year measurement period provided the potential to ‘rotate’ beneficiaries so as to undermine the 5 or fewer look-through counted owner limitation and suggested extending the measurement period to 6 years, in line with general record keeping requirements.  Submissions were concerned that this extension would create undue compliance costs. In response, officials recommend keeping this aspect under review to see if churning proves to be an issue in practice and if need be the matter could be addressed by an anti-avoidance rule.   </w:t>
            </w:r>
          </w:p>
          <w:p w:rsidR="00C548C6" w:rsidRPr="00C548C6" w:rsidRDefault="00C548C6" w:rsidP="000B3690">
            <w:pPr>
              <w:pStyle w:val="ListParagraph"/>
              <w:ind w:left="0"/>
              <w:jc w:val="left"/>
              <w:rPr>
                <w:rFonts w:ascii="Times New Roman" w:eastAsiaTheme="minorHAnsi" w:hAnsi="Times New Roman"/>
                <w:sz w:val="18"/>
                <w:szCs w:val="18"/>
                <w:lang w:val="en-GB" w:eastAsia="en-GB"/>
              </w:rPr>
            </w:pPr>
          </w:p>
        </w:tc>
      </w:tr>
      <w:tr w:rsidR="00166E95" w:rsidRPr="00C548C6" w:rsidTr="000B3690">
        <w:tc>
          <w:tcPr>
            <w:tcW w:w="2943"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LTC elections should not be able to be revoked by a single shareholder, and the Commissioner should have more discretion to apply late or incomplete LTC elections retrospectively.</w:t>
            </w:r>
          </w:p>
        </w:tc>
        <w:tc>
          <w:tcPr>
            <w:tcW w:w="1701"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Raised by submitters</w:t>
            </w:r>
          </w:p>
        </w:tc>
        <w:tc>
          <w:tcPr>
            <w:tcW w:w="1865"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Proposals should not be progressed.</w:t>
            </w:r>
          </w:p>
        </w:tc>
        <w:tc>
          <w:tcPr>
            <w:tcW w:w="7665"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Officials consider that given all look-through owners are personally responsible for the tax on the company’s business profits, it would not be appropriate to change the rules to restrict an owner’s ability to elect out of the regime.  The risk of an unintended revocation is addressed both by shareholders having the ability to structure agreements to provide additional protections, as well as by the Commissioner’s discretionary power to disregard a revocation notice in circumstances where the owner who made the revocation is subsequently bought out.  Further, as all look-through owners are personally responsible for the tax on the company’s business profits, officials consider that it would not be appropriate for the Commissioner’s current discretionary power to accept late elections and apply them retrospectively, to be extended in the way suggested by the submission.</w:t>
            </w:r>
          </w:p>
          <w:p w:rsidR="00166E95" w:rsidRDefault="00166E95" w:rsidP="000B3690">
            <w:pPr>
              <w:pStyle w:val="ListParagraph"/>
              <w:ind w:left="0"/>
              <w:jc w:val="left"/>
              <w:rPr>
                <w:rFonts w:ascii="Times New Roman" w:hAnsi="Times New Roman"/>
                <w:sz w:val="18"/>
                <w:szCs w:val="18"/>
              </w:rPr>
            </w:pPr>
          </w:p>
          <w:p w:rsidR="00C548C6" w:rsidRDefault="00C548C6" w:rsidP="000B3690">
            <w:pPr>
              <w:pStyle w:val="ListParagraph"/>
              <w:ind w:left="0"/>
              <w:jc w:val="left"/>
              <w:rPr>
                <w:rFonts w:ascii="Times New Roman" w:hAnsi="Times New Roman"/>
                <w:sz w:val="18"/>
                <w:szCs w:val="18"/>
              </w:rPr>
            </w:pPr>
          </w:p>
          <w:p w:rsidR="00C548C6" w:rsidRPr="00C548C6" w:rsidRDefault="00C548C6" w:rsidP="000B3690">
            <w:pPr>
              <w:pStyle w:val="ListParagraph"/>
              <w:ind w:left="0"/>
              <w:jc w:val="left"/>
              <w:rPr>
                <w:rFonts w:ascii="Times New Roman" w:hAnsi="Times New Roman"/>
                <w:sz w:val="18"/>
                <w:szCs w:val="18"/>
              </w:rPr>
            </w:pPr>
          </w:p>
        </w:tc>
      </w:tr>
      <w:tr w:rsidR="00166E95" w:rsidRPr="00C548C6" w:rsidTr="000B3690">
        <w:trPr>
          <w:trHeight w:val="85"/>
        </w:trPr>
        <w:tc>
          <w:tcPr>
            <w:tcW w:w="2943"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The definition of close company, which refers to companies with five or fewer natural person shareholders, should be clarified to address the concern that at present the definition allegedly excludes companies owned by trusts, which is a common structure for many of New Zealand’s small businesses.</w:t>
            </w:r>
          </w:p>
        </w:tc>
        <w:tc>
          <w:tcPr>
            <w:tcW w:w="1701"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Raised by submitters</w:t>
            </w:r>
          </w:p>
        </w:tc>
        <w:tc>
          <w:tcPr>
            <w:tcW w:w="1865"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Proposals should be considered for inclusion in the tax policy work programme as a separately project.</w:t>
            </w:r>
          </w:p>
        </w:tc>
        <w:tc>
          <w:tcPr>
            <w:tcW w:w="7665"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 xml:space="preserve">Given the time required to adequately consider the extensive use of the definition in different contexts throughout the legislation, officials have recommended that this issue should be progressed as a separate project.  In the meanwhile Inland Revenue is considering issuing further guidance on point. </w:t>
            </w:r>
          </w:p>
        </w:tc>
      </w:tr>
      <w:tr w:rsidR="00166E95" w:rsidRPr="00C548C6" w:rsidTr="000B3690">
        <w:tc>
          <w:tcPr>
            <w:tcW w:w="2943"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The extent of LTC transparency should be clarified.</w:t>
            </w:r>
          </w:p>
          <w:p w:rsidR="00166E95" w:rsidRPr="00C548C6" w:rsidRDefault="00166E95" w:rsidP="000B3690">
            <w:pPr>
              <w:pStyle w:val="ListParagraph"/>
              <w:ind w:left="0"/>
              <w:jc w:val="left"/>
              <w:rPr>
                <w:rFonts w:ascii="Times New Roman" w:eastAsiaTheme="minorHAnsi" w:hAnsi="Times New Roman"/>
                <w:sz w:val="18"/>
                <w:szCs w:val="18"/>
                <w:lang w:val="en-GB" w:eastAsia="en-GB"/>
              </w:rPr>
            </w:pPr>
          </w:p>
        </w:tc>
        <w:tc>
          <w:tcPr>
            <w:tcW w:w="1701"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Raised by submitters</w:t>
            </w:r>
          </w:p>
        </w:tc>
        <w:tc>
          <w:tcPr>
            <w:tcW w:w="1865"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 xml:space="preserve">Further consideration deferred for the time being. </w:t>
            </w:r>
          </w:p>
        </w:tc>
        <w:tc>
          <w:tcPr>
            <w:tcW w:w="7665" w:type="dxa"/>
          </w:tcPr>
          <w:p w:rsidR="00166E95" w:rsidRPr="00C548C6" w:rsidRDefault="00166E95" w:rsidP="000B3690">
            <w:pPr>
              <w:pStyle w:val="ListParagraph"/>
              <w:ind w:left="0"/>
              <w:jc w:val="left"/>
              <w:rPr>
                <w:rFonts w:ascii="Times New Roman" w:eastAsiaTheme="minorHAnsi" w:hAnsi="Times New Roman"/>
                <w:sz w:val="18"/>
                <w:szCs w:val="18"/>
                <w:lang w:val="en-GB" w:eastAsia="en-GB"/>
              </w:rPr>
            </w:pPr>
          </w:p>
          <w:p w:rsidR="00166E95" w:rsidRPr="00C548C6" w:rsidRDefault="00166E95" w:rsidP="000B3690">
            <w:pPr>
              <w:pStyle w:val="ListParagraph"/>
              <w:ind w:left="0"/>
              <w:jc w:val="left"/>
              <w:rPr>
                <w:rFonts w:ascii="Times New Roman" w:eastAsiaTheme="minorHAnsi" w:hAnsi="Times New Roman"/>
                <w:sz w:val="18"/>
                <w:szCs w:val="18"/>
                <w:lang w:val="en-GB" w:eastAsia="en-GB"/>
              </w:rPr>
            </w:pPr>
            <w:r w:rsidRPr="00C548C6">
              <w:rPr>
                <w:rFonts w:ascii="Times New Roman" w:eastAsiaTheme="minorHAnsi" w:hAnsi="Times New Roman"/>
                <w:sz w:val="18"/>
                <w:szCs w:val="18"/>
                <w:lang w:val="en-GB" w:eastAsia="en-GB"/>
              </w:rPr>
              <w:t>There is case law on the treatment of partners in partnerships which could assist in the interpretation of the LTC rules which have been modelled on the partnership tax provisions.  However, this will not assist for a LTC with a single shareholder.  Officials agree that LTC transparency should be an area for further consideration, but consider the issue a low priority given that the key issue, debt remission income, is being addressed.</w:t>
            </w:r>
          </w:p>
          <w:p w:rsidR="00166E95" w:rsidRPr="00C548C6" w:rsidRDefault="00166E95" w:rsidP="000B3690">
            <w:pPr>
              <w:pStyle w:val="ListParagraph"/>
              <w:ind w:left="0"/>
              <w:jc w:val="left"/>
              <w:rPr>
                <w:rFonts w:ascii="Times New Roman" w:eastAsiaTheme="minorHAnsi" w:hAnsi="Times New Roman"/>
                <w:sz w:val="18"/>
                <w:szCs w:val="18"/>
                <w:lang w:val="en-GB" w:eastAsia="en-GB"/>
              </w:rPr>
            </w:pPr>
          </w:p>
        </w:tc>
      </w:tr>
    </w:tbl>
    <w:p w:rsidR="00166E95" w:rsidRPr="00D8013D" w:rsidRDefault="00166E95" w:rsidP="00166E95">
      <w:pPr>
        <w:spacing w:after="0" w:line="240" w:lineRule="auto"/>
        <w:rPr>
          <w:rFonts w:ascii="Verdana" w:hAnsi="Verdana"/>
          <w:sz w:val="20"/>
        </w:rPr>
      </w:pPr>
    </w:p>
    <w:p w:rsidR="00166E95" w:rsidRDefault="00166E95" w:rsidP="00166E95">
      <w:pPr>
        <w:spacing w:after="0" w:line="240" w:lineRule="auto"/>
        <w:rPr>
          <w:rFonts w:ascii="Times New Roman" w:hAnsi="Times New Roman"/>
          <w:b/>
          <w:sz w:val="24"/>
        </w:rPr>
      </w:pPr>
    </w:p>
    <w:p w:rsidR="00594805" w:rsidRPr="00953E08" w:rsidRDefault="00594805" w:rsidP="00594805">
      <w:pPr>
        <w:spacing w:after="0" w:line="240" w:lineRule="auto"/>
        <w:rPr>
          <w:rFonts w:ascii="Times New Roman" w:hAnsi="Times New Roman"/>
          <w:sz w:val="24"/>
          <w:szCs w:val="24"/>
          <w:lang w:val="en-NZ" w:eastAsia="en-AU"/>
        </w:rPr>
      </w:pPr>
    </w:p>
    <w:sectPr w:rsidR="00594805" w:rsidRPr="00953E08" w:rsidSect="000B3690">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EF" w:rsidRDefault="005A37EF" w:rsidP="00F72085">
      <w:r>
        <w:separator/>
      </w:r>
    </w:p>
  </w:endnote>
  <w:endnote w:type="continuationSeparator" w:id="0">
    <w:p w:rsidR="005A37EF" w:rsidRDefault="005A37EF"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02384418"/>
      <w:docPartObj>
        <w:docPartGallery w:val="Page Numbers (Bottom of Page)"/>
        <w:docPartUnique/>
      </w:docPartObj>
    </w:sdtPr>
    <w:sdtEndPr>
      <w:rPr>
        <w:rFonts w:ascii="Times New Roman" w:hAnsi="Times New Roman"/>
        <w:noProof/>
      </w:rPr>
    </w:sdtEndPr>
    <w:sdtContent>
      <w:p w:rsidR="005A37EF" w:rsidRPr="00C548C6" w:rsidRDefault="005A37EF">
        <w:pPr>
          <w:pStyle w:val="Footer"/>
          <w:rPr>
            <w:rFonts w:ascii="Times New Roman" w:hAnsi="Times New Roman"/>
          </w:rPr>
        </w:pPr>
        <w:r w:rsidRPr="00C548C6">
          <w:rPr>
            <w:rFonts w:ascii="Times New Roman" w:hAnsi="Times New Roman"/>
            <w:noProof w:val="0"/>
          </w:rPr>
          <w:fldChar w:fldCharType="begin"/>
        </w:r>
        <w:r w:rsidRPr="00C548C6">
          <w:rPr>
            <w:rFonts w:ascii="Times New Roman" w:hAnsi="Times New Roman"/>
          </w:rPr>
          <w:instrText xml:space="preserve"> PAGE   \* MERGEFORMAT </w:instrText>
        </w:r>
        <w:r w:rsidRPr="00C548C6">
          <w:rPr>
            <w:rFonts w:ascii="Times New Roman" w:hAnsi="Times New Roman"/>
            <w:noProof w:val="0"/>
          </w:rPr>
          <w:fldChar w:fldCharType="separate"/>
        </w:r>
        <w:r w:rsidR="003922AD">
          <w:rPr>
            <w:rFonts w:ascii="Times New Roman" w:hAnsi="Times New Roman"/>
          </w:rPr>
          <w:t>27</w:t>
        </w:r>
        <w:r w:rsidRPr="00C548C6">
          <w:rPr>
            <w:rFonts w:ascii="Times New Roman" w:hAnsi="Times New Roman"/>
          </w:rPr>
          <w:fldChar w:fldCharType="end"/>
        </w:r>
      </w:p>
    </w:sdtContent>
  </w:sdt>
  <w:p w:rsidR="005A37EF" w:rsidRDefault="005A3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90665"/>
      <w:docPartObj>
        <w:docPartGallery w:val="Page Numbers (Bottom of Page)"/>
        <w:docPartUnique/>
      </w:docPartObj>
    </w:sdtPr>
    <w:sdtEndPr/>
    <w:sdtContent>
      <w:p w:rsidR="005A37EF" w:rsidRDefault="005A37EF">
        <w:pPr>
          <w:pStyle w:val="Footer"/>
        </w:pPr>
        <w:r>
          <w:fldChar w:fldCharType="begin"/>
        </w:r>
        <w:r>
          <w:instrText xml:space="preserve"> PAGE   \* MERGEFORMAT </w:instrText>
        </w:r>
        <w:r>
          <w:fldChar w:fldCharType="separate"/>
        </w:r>
        <w:r w:rsidR="003922AD">
          <w:t>47</w:t>
        </w:r>
        <w:r>
          <w:fldChar w:fldCharType="end"/>
        </w:r>
      </w:p>
    </w:sdtContent>
  </w:sdt>
  <w:p w:rsidR="005A37EF" w:rsidRDefault="005A3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EF" w:rsidRDefault="005A37EF" w:rsidP="00F72085">
      <w:r>
        <w:separator/>
      </w:r>
    </w:p>
  </w:footnote>
  <w:footnote w:type="continuationSeparator" w:id="0">
    <w:p w:rsidR="005A37EF" w:rsidRDefault="005A37EF" w:rsidP="00F72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AF3"/>
    <w:multiLevelType w:val="hybridMultilevel"/>
    <w:tmpl w:val="8A1863D8"/>
    <w:lvl w:ilvl="0" w:tplc="49302404">
      <w:start w:val="1"/>
      <w:numFmt w:val="decimal"/>
      <w:lvlText w:val="%1."/>
      <w:lvlJc w:val="left"/>
      <w:pPr>
        <w:tabs>
          <w:tab w:val="num" w:pos="360"/>
        </w:tabs>
        <w:ind w:left="360" w:hanging="360"/>
      </w:pPr>
      <w:rPr>
        <w:b w:val="0"/>
      </w:rPr>
    </w:lvl>
    <w:lvl w:ilvl="1" w:tplc="14090001">
      <w:start w:val="1"/>
      <w:numFmt w:val="bullet"/>
      <w:lvlText w:val=""/>
      <w:lvlJc w:val="left"/>
      <w:pPr>
        <w:tabs>
          <w:tab w:val="num" w:pos="1080"/>
        </w:tabs>
        <w:ind w:left="1080" w:hanging="360"/>
      </w:pPr>
      <w:rPr>
        <w:rFonts w:ascii="Symbol" w:hAnsi="Symbol" w:hint="default"/>
        <w:b w:val="0"/>
      </w:rPr>
    </w:lvl>
    <w:lvl w:ilvl="2" w:tplc="14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670033C"/>
    <w:multiLevelType w:val="hybridMultilevel"/>
    <w:tmpl w:val="286C22BC"/>
    <w:lvl w:ilvl="0" w:tplc="FB128CA0">
      <w:start w:val="1"/>
      <w:numFmt w:val="decimal"/>
      <w:lvlText w:val="%1."/>
      <w:lvlJc w:val="left"/>
      <w:pPr>
        <w:tabs>
          <w:tab w:val="num" w:pos="360"/>
        </w:tabs>
        <w:ind w:left="360" w:hanging="360"/>
      </w:pPr>
      <w:rPr>
        <w:rFonts w:ascii="Times New Roman" w:hAnsi="Times New Roman" w:cs="Times New Roman" w:hint="default"/>
        <w:b w:val="0"/>
        <w:i w:val="0"/>
      </w:rPr>
    </w:lvl>
    <w:lvl w:ilvl="1" w:tplc="14090001">
      <w:start w:val="1"/>
      <w:numFmt w:val="bullet"/>
      <w:lvlText w:val=""/>
      <w:lvlJc w:val="left"/>
      <w:pPr>
        <w:tabs>
          <w:tab w:val="num" w:pos="1080"/>
        </w:tabs>
        <w:ind w:left="1080" w:hanging="360"/>
      </w:pPr>
      <w:rPr>
        <w:rFonts w:ascii="Symbol" w:hAnsi="Symbol" w:hint="default"/>
        <w:b w:val="0"/>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20715569"/>
    <w:multiLevelType w:val="hybridMultilevel"/>
    <w:tmpl w:val="DABAB9A4"/>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E18126A"/>
    <w:multiLevelType w:val="hybridMultilevel"/>
    <w:tmpl w:val="2786AC0E"/>
    <w:lvl w:ilvl="0" w:tplc="49302404">
      <w:start w:val="1"/>
      <w:numFmt w:val="decimal"/>
      <w:lvlText w:val="%1."/>
      <w:lvlJc w:val="left"/>
      <w:pPr>
        <w:tabs>
          <w:tab w:val="num" w:pos="360"/>
        </w:tabs>
        <w:ind w:left="360" w:hanging="360"/>
      </w:pPr>
      <w:rPr>
        <w:b w:val="0"/>
      </w:rPr>
    </w:lvl>
    <w:lvl w:ilvl="1" w:tplc="14090001">
      <w:start w:val="1"/>
      <w:numFmt w:val="bullet"/>
      <w:lvlText w:val=""/>
      <w:lvlJc w:val="left"/>
      <w:pPr>
        <w:tabs>
          <w:tab w:val="num" w:pos="1080"/>
        </w:tabs>
        <w:ind w:left="1080" w:hanging="360"/>
      </w:pPr>
      <w:rPr>
        <w:rFonts w:ascii="Symbol" w:hAnsi="Symbol" w:hint="default"/>
        <w:b w:val="0"/>
      </w:rPr>
    </w:lvl>
    <w:lvl w:ilvl="2" w:tplc="14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nsid w:val="335F0215"/>
    <w:multiLevelType w:val="hybridMultilevel"/>
    <w:tmpl w:val="6DAE2AD2"/>
    <w:lvl w:ilvl="0" w:tplc="2E3AE100">
      <w:start w:val="1"/>
      <w:numFmt w:val="decimal"/>
      <w:pStyle w:val="Numberparagraph"/>
      <w:lvlText w:val="%1."/>
      <w:lvlJc w:val="left"/>
      <w:pPr>
        <w:ind w:left="502"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AC42CAE"/>
    <w:multiLevelType w:val="multilevel"/>
    <w:tmpl w:val="EF46162A"/>
    <w:lvl w:ilvl="0">
      <w:start w:val="1"/>
      <w:numFmt w:val="lowerLetter"/>
      <w:lvlText w:val="%1)"/>
      <w:lvlJc w:val="left"/>
      <w:pPr>
        <w:ind w:left="360" w:hanging="360"/>
      </w:pPr>
    </w:lvl>
    <w:lvl w:ilvl="1">
      <w:start w:val="1"/>
      <w:numFmt w:val="lowerRoman"/>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53665D3"/>
    <w:multiLevelType w:val="hybridMultilevel"/>
    <w:tmpl w:val="2CBED4F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nsid w:val="46864BCC"/>
    <w:multiLevelType w:val="hybridMultilevel"/>
    <w:tmpl w:val="B3F426CE"/>
    <w:lvl w:ilvl="0" w:tplc="04187DEA">
      <w:start w:val="1"/>
      <w:numFmt w:val="bullet"/>
      <w:pStyle w:val="Bullets3"/>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0">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nsid w:val="565B3A18"/>
    <w:multiLevelType w:val="hybridMultilevel"/>
    <w:tmpl w:val="DB5A8C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640C6943"/>
    <w:multiLevelType w:val="singleLevel"/>
    <w:tmpl w:val="2368CBD2"/>
    <w:lvl w:ilvl="0">
      <w:start w:val="1"/>
      <w:numFmt w:val="decimal"/>
      <w:pStyle w:val="Chapter3"/>
      <w:lvlText w:val="3.%1"/>
      <w:lvlJc w:val="left"/>
      <w:pPr>
        <w:tabs>
          <w:tab w:val="num" w:pos="851"/>
        </w:tabs>
        <w:ind w:left="851" w:hanging="851"/>
      </w:pPr>
      <w:rPr>
        <w:rFonts w:hint="default"/>
      </w:rPr>
    </w:lvl>
  </w:abstractNum>
  <w:abstractNum w:abstractNumId="13">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nsid w:val="6B4C16DD"/>
    <w:multiLevelType w:val="hybridMultilevel"/>
    <w:tmpl w:val="B7ACEA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6B557726"/>
    <w:multiLevelType w:val="hybridMultilevel"/>
    <w:tmpl w:val="A5460864"/>
    <w:lvl w:ilvl="0" w:tplc="B3F2B942">
      <w:start w:val="1"/>
      <w:numFmt w:val="decimal"/>
      <w:pStyle w:val="Chapter1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17">
    <w:nsid w:val="774854B5"/>
    <w:multiLevelType w:val="hybridMultilevel"/>
    <w:tmpl w:val="85A0C1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6"/>
  </w:num>
  <w:num w:numId="4">
    <w:abstractNumId w:val="6"/>
  </w:num>
  <w:num w:numId="5">
    <w:abstractNumId w:val="9"/>
  </w:num>
  <w:num w:numId="6">
    <w:abstractNumId w:val="10"/>
  </w:num>
  <w:num w:numId="7">
    <w:abstractNumId w:val="15"/>
  </w:num>
  <w:num w:numId="8">
    <w:abstractNumId w:val="12"/>
  </w:num>
  <w:num w:numId="9">
    <w:abstractNumId w:val="13"/>
  </w:num>
  <w:num w:numId="10">
    <w:abstractNumId w:val="1"/>
  </w:num>
  <w:num w:numId="11">
    <w:abstractNumId w:val="4"/>
  </w:num>
  <w:num w:numId="12">
    <w:abstractNumId w:val="0"/>
  </w:num>
  <w:num w:numId="13">
    <w:abstractNumId w:val="8"/>
  </w:num>
  <w:num w:numId="14">
    <w:abstractNumId w:val="17"/>
  </w:num>
  <w:num w:numId="15">
    <w:abstractNumId w:val="11"/>
  </w:num>
  <w:num w:numId="16">
    <w:abstractNumId w:val="14"/>
  </w:num>
  <w:num w:numId="17">
    <w:abstractNumId w:val="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F4"/>
    <w:rsid w:val="00000383"/>
    <w:rsid w:val="00001539"/>
    <w:rsid w:val="00002433"/>
    <w:rsid w:val="000037F4"/>
    <w:rsid w:val="00004A8A"/>
    <w:rsid w:val="00005DC9"/>
    <w:rsid w:val="00007DE8"/>
    <w:rsid w:val="00010986"/>
    <w:rsid w:val="00010F7D"/>
    <w:rsid w:val="00012338"/>
    <w:rsid w:val="00012466"/>
    <w:rsid w:val="00013829"/>
    <w:rsid w:val="00013A18"/>
    <w:rsid w:val="00013B77"/>
    <w:rsid w:val="00014196"/>
    <w:rsid w:val="000147DC"/>
    <w:rsid w:val="00015072"/>
    <w:rsid w:val="00016722"/>
    <w:rsid w:val="0002068B"/>
    <w:rsid w:val="000232EB"/>
    <w:rsid w:val="000237D5"/>
    <w:rsid w:val="00023BAB"/>
    <w:rsid w:val="00023EA6"/>
    <w:rsid w:val="00024B22"/>
    <w:rsid w:val="0002568E"/>
    <w:rsid w:val="00025954"/>
    <w:rsid w:val="00030890"/>
    <w:rsid w:val="00030DEA"/>
    <w:rsid w:val="00033950"/>
    <w:rsid w:val="000343E7"/>
    <w:rsid w:val="00035185"/>
    <w:rsid w:val="00036A3D"/>
    <w:rsid w:val="00036EE4"/>
    <w:rsid w:val="00041469"/>
    <w:rsid w:val="00041CD1"/>
    <w:rsid w:val="00041EA6"/>
    <w:rsid w:val="0004221C"/>
    <w:rsid w:val="00042E6C"/>
    <w:rsid w:val="000431FE"/>
    <w:rsid w:val="000435AD"/>
    <w:rsid w:val="00045AFC"/>
    <w:rsid w:val="00046F46"/>
    <w:rsid w:val="00047559"/>
    <w:rsid w:val="000523FC"/>
    <w:rsid w:val="000526E4"/>
    <w:rsid w:val="0005434D"/>
    <w:rsid w:val="000545DC"/>
    <w:rsid w:val="0005503E"/>
    <w:rsid w:val="00055373"/>
    <w:rsid w:val="00055D70"/>
    <w:rsid w:val="00056263"/>
    <w:rsid w:val="00056AAA"/>
    <w:rsid w:val="00056AE0"/>
    <w:rsid w:val="00056E3D"/>
    <w:rsid w:val="00056F77"/>
    <w:rsid w:val="0005761E"/>
    <w:rsid w:val="00057AC4"/>
    <w:rsid w:val="00060069"/>
    <w:rsid w:val="000606D4"/>
    <w:rsid w:val="00060712"/>
    <w:rsid w:val="00060AAB"/>
    <w:rsid w:val="00060CD3"/>
    <w:rsid w:val="00062D38"/>
    <w:rsid w:val="000655B2"/>
    <w:rsid w:val="00070193"/>
    <w:rsid w:val="00073A19"/>
    <w:rsid w:val="00073F31"/>
    <w:rsid w:val="000745D3"/>
    <w:rsid w:val="00074B13"/>
    <w:rsid w:val="00074D02"/>
    <w:rsid w:val="0007562B"/>
    <w:rsid w:val="00077DD2"/>
    <w:rsid w:val="00080CE0"/>
    <w:rsid w:val="00080DE3"/>
    <w:rsid w:val="00082653"/>
    <w:rsid w:val="00082ABC"/>
    <w:rsid w:val="00083ADB"/>
    <w:rsid w:val="00085660"/>
    <w:rsid w:val="00086007"/>
    <w:rsid w:val="000863E2"/>
    <w:rsid w:val="00086898"/>
    <w:rsid w:val="0008712F"/>
    <w:rsid w:val="00087C41"/>
    <w:rsid w:val="00092656"/>
    <w:rsid w:val="00092D0D"/>
    <w:rsid w:val="00094A48"/>
    <w:rsid w:val="00095446"/>
    <w:rsid w:val="00096BFA"/>
    <w:rsid w:val="000A073E"/>
    <w:rsid w:val="000A20D1"/>
    <w:rsid w:val="000A39F4"/>
    <w:rsid w:val="000A43F8"/>
    <w:rsid w:val="000A4419"/>
    <w:rsid w:val="000A67DC"/>
    <w:rsid w:val="000B005C"/>
    <w:rsid w:val="000B01CC"/>
    <w:rsid w:val="000B0480"/>
    <w:rsid w:val="000B0615"/>
    <w:rsid w:val="000B0C12"/>
    <w:rsid w:val="000B0D42"/>
    <w:rsid w:val="000B16BF"/>
    <w:rsid w:val="000B2052"/>
    <w:rsid w:val="000B3690"/>
    <w:rsid w:val="000B568D"/>
    <w:rsid w:val="000B5B1E"/>
    <w:rsid w:val="000B7D6E"/>
    <w:rsid w:val="000C0719"/>
    <w:rsid w:val="000C0912"/>
    <w:rsid w:val="000C2669"/>
    <w:rsid w:val="000C26E9"/>
    <w:rsid w:val="000C3EB5"/>
    <w:rsid w:val="000C43B6"/>
    <w:rsid w:val="000C684B"/>
    <w:rsid w:val="000C6EED"/>
    <w:rsid w:val="000C79FD"/>
    <w:rsid w:val="000D012A"/>
    <w:rsid w:val="000D0FA0"/>
    <w:rsid w:val="000D2A6B"/>
    <w:rsid w:val="000D31FE"/>
    <w:rsid w:val="000D5E01"/>
    <w:rsid w:val="000D62B1"/>
    <w:rsid w:val="000D6393"/>
    <w:rsid w:val="000D670A"/>
    <w:rsid w:val="000D77C0"/>
    <w:rsid w:val="000D788D"/>
    <w:rsid w:val="000D7C12"/>
    <w:rsid w:val="000E0036"/>
    <w:rsid w:val="000E2BC4"/>
    <w:rsid w:val="000E310A"/>
    <w:rsid w:val="000E3979"/>
    <w:rsid w:val="000E3CE1"/>
    <w:rsid w:val="000E4210"/>
    <w:rsid w:val="000E73FF"/>
    <w:rsid w:val="000E7C1C"/>
    <w:rsid w:val="000F03B0"/>
    <w:rsid w:val="000F162C"/>
    <w:rsid w:val="000F3333"/>
    <w:rsid w:val="000F4AE0"/>
    <w:rsid w:val="000F66E9"/>
    <w:rsid w:val="000F6F99"/>
    <w:rsid w:val="000F7020"/>
    <w:rsid w:val="001012BB"/>
    <w:rsid w:val="00101A24"/>
    <w:rsid w:val="001122EB"/>
    <w:rsid w:val="00113146"/>
    <w:rsid w:val="00114F56"/>
    <w:rsid w:val="00115425"/>
    <w:rsid w:val="001158BA"/>
    <w:rsid w:val="00115F4F"/>
    <w:rsid w:val="00116006"/>
    <w:rsid w:val="00116B51"/>
    <w:rsid w:val="00120D13"/>
    <w:rsid w:val="001234C6"/>
    <w:rsid w:val="0012410B"/>
    <w:rsid w:val="00125812"/>
    <w:rsid w:val="00125ADD"/>
    <w:rsid w:val="00126CD1"/>
    <w:rsid w:val="00127757"/>
    <w:rsid w:val="00130E8F"/>
    <w:rsid w:val="001336E3"/>
    <w:rsid w:val="001339BB"/>
    <w:rsid w:val="001346FC"/>
    <w:rsid w:val="00136EED"/>
    <w:rsid w:val="00141B20"/>
    <w:rsid w:val="00141D39"/>
    <w:rsid w:val="00142051"/>
    <w:rsid w:val="001432D6"/>
    <w:rsid w:val="00143398"/>
    <w:rsid w:val="00143437"/>
    <w:rsid w:val="00144369"/>
    <w:rsid w:val="00144ADC"/>
    <w:rsid w:val="00144BBB"/>
    <w:rsid w:val="00145E24"/>
    <w:rsid w:val="00146FC1"/>
    <w:rsid w:val="00150932"/>
    <w:rsid w:val="00152D49"/>
    <w:rsid w:val="00155DB0"/>
    <w:rsid w:val="00157E18"/>
    <w:rsid w:val="00161022"/>
    <w:rsid w:val="00161358"/>
    <w:rsid w:val="001620EB"/>
    <w:rsid w:val="0016538E"/>
    <w:rsid w:val="00165493"/>
    <w:rsid w:val="001667C9"/>
    <w:rsid w:val="00166A7A"/>
    <w:rsid w:val="00166C49"/>
    <w:rsid w:val="00166E95"/>
    <w:rsid w:val="001674EB"/>
    <w:rsid w:val="00167EE1"/>
    <w:rsid w:val="001705C4"/>
    <w:rsid w:val="00171281"/>
    <w:rsid w:val="001712D6"/>
    <w:rsid w:val="00171B5A"/>
    <w:rsid w:val="00172593"/>
    <w:rsid w:val="001726B0"/>
    <w:rsid w:val="00175644"/>
    <w:rsid w:val="001767C7"/>
    <w:rsid w:val="001800AF"/>
    <w:rsid w:val="00180A3B"/>
    <w:rsid w:val="00180BD5"/>
    <w:rsid w:val="00180D17"/>
    <w:rsid w:val="00183D99"/>
    <w:rsid w:val="00183EB1"/>
    <w:rsid w:val="00184219"/>
    <w:rsid w:val="0018444E"/>
    <w:rsid w:val="00185884"/>
    <w:rsid w:val="00186A19"/>
    <w:rsid w:val="001901C1"/>
    <w:rsid w:val="00190331"/>
    <w:rsid w:val="00190779"/>
    <w:rsid w:val="0019141D"/>
    <w:rsid w:val="00191B67"/>
    <w:rsid w:val="00191EEC"/>
    <w:rsid w:val="00194873"/>
    <w:rsid w:val="00194B8A"/>
    <w:rsid w:val="00194CF9"/>
    <w:rsid w:val="00195263"/>
    <w:rsid w:val="00197273"/>
    <w:rsid w:val="001974DD"/>
    <w:rsid w:val="001975EA"/>
    <w:rsid w:val="001A13C8"/>
    <w:rsid w:val="001A1C61"/>
    <w:rsid w:val="001A1DFB"/>
    <w:rsid w:val="001A5694"/>
    <w:rsid w:val="001A5BEE"/>
    <w:rsid w:val="001B0726"/>
    <w:rsid w:val="001B0A7A"/>
    <w:rsid w:val="001B0DF0"/>
    <w:rsid w:val="001B1938"/>
    <w:rsid w:val="001B1A87"/>
    <w:rsid w:val="001B1BDF"/>
    <w:rsid w:val="001B24D5"/>
    <w:rsid w:val="001B2869"/>
    <w:rsid w:val="001B3F6D"/>
    <w:rsid w:val="001B3F81"/>
    <w:rsid w:val="001B4E6C"/>
    <w:rsid w:val="001B54FC"/>
    <w:rsid w:val="001B7122"/>
    <w:rsid w:val="001C0CF6"/>
    <w:rsid w:val="001C12BF"/>
    <w:rsid w:val="001C2214"/>
    <w:rsid w:val="001C2524"/>
    <w:rsid w:val="001C41C2"/>
    <w:rsid w:val="001C4EC6"/>
    <w:rsid w:val="001C6912"/>
    <w:rsid w:val="001D0A46"/>
    <w:rsid w:val="001D22ED"/>
    <w:rsid w:val="001D3440"/>
    <w:rsid w:val="001D37FB"/>
    <w:rsid w:val="001D4D62"/>
    <w:rsid w:val="001D53A8"/>
    <w:rsid w:val="001D7325"/>
    <w:rsid w:val="001E12C8"/>
    <w:rsid w:val="001E1A8F"/>
    <w:rsid w:val="001E6AFE"/>
    <w:rsid w:val="001F0773"/>
    <w:rsid w:val="001F0DD3"/>
    <w:rsid w:val="001F1711"/>
    <w:rsid w:val="001F1A2D"/>
    <w:rsid w:val="001F21CB"/>
    <w:rsid w:val="001F4DE5"/>
    <w:rsid w:val="001F4E68"/>
    <w:rsid w:val="001F6750"/>
    <w:rsid w:val="001F6774"/>
    <w:rsid w:val="001F772B"/>
    <w:rsid w:val="001F7B7E"/>
    <w:rsid w:val="00200311"/>
    <w:rsid w:val="002008D1"/>
    <w:rsid w:val="00202E20"/>
    <w:rsid w:val="002036AA"/>
    <w:rsid w:val="00203789"/>
    <w:rsid w:val="00203BCA"/>
    <w:rsid w:val="00204A66"/>
    <w:rsid w:val="00205334"/>
    <w:rsid w:val="002108FB"/>
    <w:rsid w:val="00213B41"/>
    <w:rsid w:val="00216DB5"/>
    <w:rsid w:val="00216F08"/>
    <w:rsid w:val="00217709"/>
    <w:rsid w:val="00217A19"/>
    <w:rsid w:val="00222CA5"/>
    <w:rsid w:val="00223298"/>
    <w:rsid w:val="00224834"/>
    <w:rsid w:val="00224A1F"/>
    <w:rsid w:val="00224BD6"/>
    <w:rsid w:val="002253E9"/>
    <w:rsid w:val="002258FC"/>
    <w:rsid w:val="00226226"/>
    <w:rsid w:val="00227D78"/>
    <w:rsid w:val="00227FE4"/>
    <w:rsid w:val="0023117B"/>
    <w:rsid w:val="002317B4"/>
    <w:rsid w:val="002331A0"/>
    <w:rsid w:val="00233DC9"/>
    <w:rsid w:val="0023447D"/>
    <w:rsid w:val="002346B9"/>
    <w:rsid w:val="0023708B"/>
    <w:rsid w:val="00237318"/>
    <w:rsid w:val="00237FE9"/>
    <w:rsid w:val="0024128C"/>
    <w:rsid w:val="00245DA0"/>
    <w:rsid w:val="00247ADA"/>
    <w:rsid w:val="00251406"/>
    <w:rsid w:val="0025372A"/>
    <w:rsid w:val="00253F06"/>
    <w:rsid w:val="00255371"/>
    <w:rsid w:val="00257836"/>
    <w:rsid w:val="0026085B"/>
    <w:rsid w:val="00261BB9"/>
    <w:rsid w:val="00264EEE"/>
    <w:rsid w:val="0026530E"/>
    <w:rsid w:val="00265DED"/>
    <w:rsid w:val="00265E6C"/>
    <w:rsid w:val="00266A30"/>
    <w:rsid w:val="00266D3A"/>
    <w:rsid w:val="0026794D"/>
    <w:rsid w:val="00267FAB"/>
    <w:rsid w:val="00270CAF"/>
    <w:rsid w:val="002712C8"/>
    <w:rsid w:val="002719ED"/>
    <w:rsid w:val="00271EB7"/>
    <w:rsid w:val="0027239E"/>
    <w:rsid w:val="00272E82"/>
    <w:rsid w:val="002737FA"/>
    <w:rsid w:val="00273D5C"/>
    <w:rsid w:val="00273ECF"/>
    <w:rsid w:val="00274BE1"/>
    <w:rsid w:val="00275209"/>
    <w:rsid w:val="0027527B"/>
    <w:rsid w:val="00275B26"/>
    <w:rsid w:val="00276C02"/>
    <w:rsid w:val="0027706F"/>
    <w:rsid w:val="0028142B"/>
    <w:rsid w:val="00281580"/>
    <w:rsid w:val="00282DD1"/>
    <w:rsid w:val="00283259"/>
    <w:rsid w:val="00283AC8"/>
    <w:rsid w:val="00283AFA"/>
    <w:rsid w:val="00283D22"/>
    <w:rsid w:val="00284E77"/>
    <w:rsid w:val="00287942"/>
    <w:rsid w:val="00292783"/>
    <w:rsid w:val="0029399F"/>
    <w:rsid w:val="00293E21"/>
    <w:rsid w:val="00295264"/>
    <w:rsid w:val="00295DFA"/>
    <w:rsid w:val="00296404"/>
    <w:rsid w:val="0029649F"/>
    <w:rsid w:val="002A05D3"/>
    <w:rsid w:val="002A06C6"/>
    <w:rsid w:val="002A107A"/>
    <w:rsid w:val="002A3056"/>
    <w:rsid w:val="002A535E"/>
    <w:rsid w:val="002A5881"/>
    <w:rsid w:val="002A5DBD"/>
    <w:rsid w:val="002A5E7A"/>
    <w:rsid w:val="002A7574"/>
    <w:rsid w:val="002A7F9A"/>
    <w:rsid w:val="002B0025"/>
    <w:rsid w:val="002B0801"/>
    <w:rsid w:val="002B0A3F"/>
    <w:rsid w:val="002B15BC"/>
    <w:rsid w:val="002B5324"/>
    <w:rsid w:val="002B56E7"/>
    <w:rsid w:val="002B5823"/>
    <w:rsid w:val="002B733A"/>
    <w:rsid w:val="002B7F4A"/>
    <w:rsid w:val="002C0074"/>
    <w:rsid w:val="002C097E"/>
    <w:rsid w:val="002C2315"/>
    <w:rsid w:val="002C301D"/>
    <w:rsid w:val="002C4A38"/>
    <w:rsid w:val="002C65B8"/>
    <w:rsid w:val="002C7023"/>
    <w:rsid w:val="002C734D"/>
    <w:rsid w:val="002C744C"/>
    <w:rsid w:val="002D01BF"/>
    <w:rsid w:val="002D0FAA"/>
    <w:rsid w:val="002D15DC"/>
    <w:rsid w:val="002D2101"/>
    <w:rsid w:val="002D3E81"/>
    <w:rsid w:val="002D40A4"/>
    <w:rsid w:val="002D4AC3"/>
    <w:rsid w:val="002D52A0"/>
    <w:rsid w:val="002D61EC"/>
    <w:rsid w:val="002D6691"/>
    <w:rsid w:val="002E0169"/>
    <w:rsid w:val="002E062E"/>
    <w:rsid w:val="002E1226"/>
    <w:rsid w:val="002E1D30"/>
    <w:rsid w:val="002E2631"/>
    <w:rsid w:val="002E2678"/>
    <w:rsid w:val="002E28C6"/>
    <w:rsid w:val="002E4DB3"/>
    <w:rsid w:val="002E6D37"/>
    <w:rsid w:val="002E79A6"/>
    <w:rsid w:val="002F10BF"/>
    <w:rsid w:val="002F110D"/>
    <w:rsid w:val="002F13CC"/>
    <w:rsid w:val="002F177E"/>
    <w:rsid w:val="002F32BD"/>
    <w:rsid w:val="002F4026"/>
    <w:rsid w:val="002F4407"/>
    <w:rsid w:val="002F5A1A"/>
    <w:rsid w:val="002F6CCF"/>
    <w:rsid w:val="002F6E67"/>
    <w:rsid w:val="002F71F1"/>
    <w:rsid w:val="002F7C03"/>
    <w:rsid w:val="0030111A"/>
    <w:rsid w:val="003020F3"/>
    <w:rsid w:val="003022D4"/>
    <w:rsid w:val="003038AC"/>
    <w:rsid w:val="00305726"/>
    <w:rsid w:val="00306E9B"/>
    <w:rsid w:val="003076FA"/>
    <w:rsid w:val="00310D70"/>
    <w:rsid w:val="0031214B"/>
    <w:rsid w:val="00312A3A"/>
    <w:rsid w:val="00313720"/>
    <w:rsid w:val="00313F3E"/>
    <w:rsid w:val="00314A19"/>
    <w:rsid w:val="00315307"/>
    <w:rsid w:val="00315D17"/>
    <w:rsid w:val="00316A1F"/>
    <w:rsid w:val="00316B54"/>
    <w:rsid w:val="003176BB"/>
    <w:rsid w:val="00317A8D"/>
    <w:rsid w:val="00317E1A"/>
    <w:rsid w:val="00320A3C"/>
    <w:rsid w:val="00321B56"/>
    <w:rsid w:val="003232C2"/>
    <w:rsid w:val="00323328"/>
    <w:rsid w:val="003237B0"/>
    <w:rsid w:val="0032503F"/>
    <w:rsid w:val="003262CE"/>
    <w:rsid w:val="003264ED"/>
    <w:rsid w:val="0032782F"/>
    <w:rsid w:val="003308B4"/>
    <w:rsid w:val="00333209"/>
    <w:rsid w:val="00334A4E"/>
    <w:rsid w:val="003352EF"/>
    <w:rsid w:val="003418C0"/>
    <w:rsid w:val="003424A8"/>
    <w:rsid w:val="003425F7"/>
    <w:rsid w:val="00343012"/>
    <w:rsid w:val="00343233"/>
    <w:rsid w:val="00343B25"/>
    <w:rsid w:val="003441E3"/>
    <w:rsid w:val="003445EA"/>
    <w:rsid w:val="00344B0B"/>
    <w:rsid w:val="00345646"/>
    <w:rsid w:val="00350175"/>
    <w:rsid w:val="00350BFA"/>
    <w:rsid w:val="00351EC0"/>
    <w:rsid w:val="00352990"/>
    <w:rsid w:val="00353113"/>
    <w:rsid w:val="00353518"/>
    <w:rsid w:val="003558FA"/>
    <w:rsid w:val="00355DAA"/>
    <w:rsid w:val="003613F4"/>
    <w:rsid w:val="00361819"/>
    <w:rsid w:val="00361F3D"/>
    <w:rsid w:val="00362E2F"/>
    <w:rsid w:val="00362FE1"/>
    <w:rsid w:val="00363DCE"/>
    <w:rsid w:val="00364DE2"/>
    <w:rsid w:val="00365680"/>
    <w:rsid w:val="00366A1A"/>
    <w:rsid w:val="00366A4C"/>
    <w:rsid w:val="0036775B"/>
    <w:rsid w:val="00367B6E"/>
    <w:rsid w:val="00370B2E"/>
    <w:rsid w:val="00371916"/>
    <w:rsid w:val="00372D68"/>
    <w:rsid w:val="0037447C"/>
    <w:rsid w:val="0037458C"/>
    <w:rsid w:val="00374E9A"/>
    <w:rsid w:val="00375E7C"/>
    <w:rsid w:val="00375FFD"/>
    <w:rsid w:val="00381587"/>
    <w:rsid w:val="00381DB8"/>
    <w:rsid w:val="00381E12"/>
    <w:rsid w:val="003826A0"/>
    <w:rsid w:val="00383462"/>
    <w:rsid w:val="00384B58"/>
    <w:rsid w:val="00385683"/>
    <w:rsid w:val="00385EC1"/>
    <w:rsid w:val="00386DD1"/>
    <w:rsid w:val="00387CA4"/>
    <w:rsid w:val="00391389"/>
    <w:rsid w:val="00391E64"/>
    <w:rsid w:val="003922AD"/>
    <w:rsid w:val="003955B1"/>
    <w:rsid w:val="00395750"/>
    <w:rsid w:val="0039581F"/>
    <w:rsid w:val="00396861"/>
    <w:rsid w:val="003969E6"/>
    <w:rsid w:val="0039783E"/>
    <w:rsid w:val="003A0009"/>
    <w:rsid w:val="003A0E47"/>
    <w:rsid w:val="003A4360"/>
    <w:rsid w:val="003A68AA"/>
    <w:rsid w:val="003A7561"/>
    <w:rsid w:val="003A76E4"/>
    <w:rsid w:val="003B09F2"/>
    <w:rsid w:val="003B1384"/>
    <w:rsid w:val="003B1CA7"/>
    <w:rsid w:val="003B3427"/>
    <w:rsid w:val="003B35B8"/>
    <w:rsid w:val="003B4A9D"/>
    <w:rsid w:val="003B4B13"/>
    <w:rsid w:val="003B4D2C"/>
    <w:rsid w:val="003B53A6"/>
    <w:rsid w:val="003C0785"/>
    <w:rsid w:val="003C10E5"/>
    <w:rsid w:val="003C1764"/>
    <w:rsid w:val="003C3AD0"/>
    <w:rsid w:val="003C722C"/>
    <w:rsid w:val="003C7985"/>
    <w:rsid w:val="003C7CAC"/>
    <w:rsid w:val="003C7E67"/>
    <w:rsid w:val="003D20ED"/>
    <w:rsid w:val="003D3636"/>
    <w:rsid w:val="003D4ED7"/>
    <w:rsid w:val="003D6531"/>
    <w:rsid w:val="003D6C84"/>
    <w:rsid w:val="003E017A"/>
    <w:rsid w:val="003E12B1"/>
    <w:rsid w:val="003E1FAF"/>
    <w:rsid w:val="003E20B9"/>
    <w:rsid w:val="003E3836"/>
    <w:rsid w:val="003E39B9"/>
    <w:rsid w:val="003E4AC8"/>
    <w:rsid w:val="003E4BB4"/>
    <w:rsid w:val="003E5BD4"/>
    <w:rsid w:val="003E68B5"/>
    <w:rsid w:val="003F101E"/>
    <w:rsid w:val="003F14AC"/>
    <w:rsid w:val="003F27A7"/>
    <w:rsid w:val="003F2D09"/>
    <w:rsid w:val="003F34BF"/>
    <w:rsid w:val="003F37EA"/>
    <w:rsid w:val="003F3987"/>
    <w:rsid w:val="003F3BC1"/>
    <w:rsid w:val="003F47F5"/>
    <w:rsid w:val="003F503B"/>
    <w:rsid w:val="003F59CC"/>
    <w:rsid w:val="003F5CE8"/>
    <w:rsid w:val="003F5E57"/>
    <w:rsid w:val="003F5F10"/>
    <w:rsid w:val="003F5F9D"/>
    <w:rsid w:val="003F7001"/>
    <w:rsid w:val="003F7652"/>
    <w:rsid w:val="003F76FB"/>
    <w:rsid w:val="003F7EDA"/>
    <w:rsid w:val="00400E52"/>
    <w:rsid w:val="00401D87"/>
    <w:rsid w:val="00402BF8"/>
    <w:rsid w:val="00403755"/>
    <w:rsid w:val="0040387F"/>
    <w:rsid w:val="00406227"/>
    <w:rsid w:val="00407D3B"/>
    <w:rsid w:val="00410DC8"/>
    <w:rsid w:val="0041363C"/>
    <w:rsid w:val="00413DF1"/>
    <w:rsid w:val="00414CB6"/>
    <w:rsid w:val="00414E9A"/>
    <w:rsid w:val="00415CC4"/>
    <w:rsid w:val="00415FD6"/>
    <w:rsid w:val="0041696F"/>
    <w:rsid w:val="00420D4C"/>
    <w:rsid w:val="00420F55"/>
    <w:rsid w:val="00423B79"/>
    <w:rsid w:val="004240D2"/>
    <w:rsid w:val="00424ADF"/>
    <w:rsid w:val="004303B8"/>
    <w:rsid w:val="00431677"/>
    <w:rsid w:val="00432726"/>
    <w:rsid w:val="00433183"/>
    <w:rsid w:val="00433AED"/>
    <w:rsid w:val="004342F0"/>
    <w:rsid w:val="004353DD"/>
    <w:rsid w:val="00435F4A"/>
    <w:rsid w:val="00437C49"/>
    <w:rsid w:val="00440DF1"/>
    <w:rsid w:val="0044117C"/>
    <w:rsid w:val="004418F2"/>
    <w:rsid w:val="00443662"/>
    <w:rsid w:val="00443DF2"/>
    <w:rsid w:val="00444E78"/>
    <w:rsid w:val="004455A5"/>
    <w:rsid w:val="00445911"/>
    <w:rsid w:val="00445F4D"/>
    <w:rsid w:val="00446050"/>
    <w:rsid w:val="00446FC1"/>
    <w:rsid w:val="00447C26"/>
    <w:rsid w:val="00447F1A"/>
    <w:rsid w:val="0045085A"/>
    <w:rsid w:val="00450CBA"/>
    <w:rsid w:val="0045110A"/>
    <w:rsid w:val="00452DA2"/>
    <w:rsid w:val="004532A3"/>
    <w:rsid w:val="00453719"/>
    <w:rsid w:val="0045441E"/>
    <w:rsid w:val="00455363"/>
    <w:rsid w:val="00455A7D"/>
    <w:rsid w:val="00456326"/>
    <w:rsid w:val="00456B8F"/>
    <w:rsid w:val="00457045"/>
    <w:rsid w:val="00457132"/>
    <w:rsid w:val="004574C4"/>
    <w:rsid w:val="00457A91"/>
    <w:rsid w:val="004604E9"/>
    <w:rsid w:val="00460A55"/>
    <w:rsid w:val="004610FB"/>
    <w:rsid w:val="0046180A"/>
    <w:rsid w:val="00462BC6"/>
    <w:rsid w:val="00463FEB"/>
    <w:rsid w:val="004660F2"/>
    <w:rsid w:val="00470C11"/>
    <w:rsid w:val="00471759"/>
    <w:rsid w:val="0047175C"/>
    <w:rsid w:val="004721E0"/>
    <w:rsid w:val="00472F9C"/>
    <w:rsid w:val="00473803"/>
    <w:rsid w:val="00474936"/>
    <w:rsid w:val="004755FE"/>
    <w:rsid w:val="004759BF"/>
    <w:rsid w:val="00476857"/>
    <w:rsid w:val="00476B4E"/>
    <w:rsid w:val="0047782F"/>
    <w:rsid w:val="004828C6"/>
    <w:rsid w:val="00483CCE"/>
    <w:rsid w:val="00484675"/>
    <w:rsid w:val="004846E2"/>
    <w:rsid w:val="00484F33"/>
    <w:rsid w:val="004869CF"/>
    <w:rsid w:val="00487545"/>
    <w:rsid w:val="00490239"/>
    <w:rsid w:val="00490B1D"/>
    <w:rsid w:val="00491DC5"/>
    <w:rsid w:val="004923CD"/>
    <w:rsid w:val="004929EC"/>
    <w:rsid w:val="004935F6"/>
    <w:rsid w:val="00493B10"/>
    <w:rsid w:val="00493F24"/>
    <w:rsid w:val="004947F5"/>
    <w:rsid w:val="00495017"/>
    <w:rsid w:val="0049615F"/>
    <w:rsid w:val="00496DEE"/>
    <w:rsid w:val="004971EF"/>
    <w:rsid w:val="004A2043"/>
    <w:rsid w:val="004A25C4"/>
    <w:rsid w:val="004A2FD9"/>
    <w:rsid w:val="004A51CB"/>
    <w:rsid w:val="004A5D55"/>
    <w:rsid w:val="004A6D51"/>
    <w:rsid w:val="004B03BE"/>
    <w:rsid w:val="004B0460"/>
    <w:rsid w:val="004B0A80"/>
    <w:rsid w:val="004B1950"/>
    <w:rsid w:val="004B2839"/>
    <w:rsid w:val="004B300A"/>
    <w:rsid w:val="004B4E7B"/>
    <w:rsid w:val="004B7418"/>
    <w:rsid w:val="004B78FA"/>
    <w:rsid w:val="004C0FBA"/>
    <w:rsid w:val="004C1080"/>
    <w:rsid w:val="004C2243"/>
    <w:rsid w:val="004C2B29"/>
    <w:rsid w:val="004C3F7B"/>
    <w:rsid w:val="004C3FD4"/>
    <w:rsid w:val="004C4916"/>
    <w:rsid w:val="004C512F"/>
    <w:rsid w:val="004C6A1A"/>
    <w:rsid w:val="004C78C4"/>
    <w:rsid w:val="004D2B88"/>
    <w:rsid w:val="004D2EB8"/>
    <w:rsid w:val="004D3A3F"/>
    <w:rsid w:val="004D512D"/>
    <w:rsid w:val="004D58A1"/>
    <w:rsid w:val="004D5D38"/>
    <w:rsid w:val="004D5F74"/>
    <w:rsid w:val="004D6ED4"/>
    <w:rsid w:val="004E10E0"/>
    <w:rsid w:val="004E198A"/>
    <w:rsid w:val="004E2A32"/>
    <w:rsid w:val="004E3061"/>
    <w:rsid w:val="004E3571"/>
    <w:rsid w:val="004E3F7E"/>
    <w:rsid w:val="004E5642"/>
    <w:rsid w:val="004E67E6"/>
    <w:rsid w:val="004E6853"/>
    <w:rsid w:val="004F0E40"/>
    <w:rsid w:val="004F19CD"/>
    <w:rsid w:val="004F1F6E"/>
    <w:rsid w:val="004F245D"/>
    <w:rsid w:val="004F5E93"/>
    <w:rsid w:val="004F603D"/>
    <w:rsid w:val="004F6545"/>
    <w:rsid w:val="004F6D32"/>
    <w:rsid w:val="004F6FC8"/>
    <w:rsid w:val="0050046F"/>
    <w:rsid w:val="00500EEF"/>
    <w:rsid w:val="005015CE"/>
    <w:rsid w:val="00501BD9"/>
    <w:rsid w:val="00503A35"/>
    <w:rsid w:val="005041A7"/>
    <w:rsid w:val="00504E3C"/>
    <w:rsid w:val="0050600F"/>
    <w:rsid w:val="00506456"/>
    <w:rsid w:val="00506825"/>
    <w:rsid w:val="00506FA2"/>
    <w:rsid w:val="00507196"/>
    <w:rsid w:val="005103B1"/>
    <w:rsid w:val="00511BB6"/>
    <w:rsid w:val="00512971"/>
    <w:rsid w:val="00515680"/>
    <w:rsid w:val="0051697E"/>
    <w:rsid w:val="00517071"/>
    <w:rsid w:val="005173F5"/>
    <w:rsid w:val="00517D7F"/>
    <w:rsid w:val="00517E7D"/>
    <w:rsid w:val="00520779"/>
    <w:rsid w:val="005216EB"/>
    <w:rsid w:val="00521E8C"/>
    <w:rsid w:val="00522774"/>
    <w:rsid w:val="00523AAC"/>
    <w:rsid w:val="00523CF5"/>
    <w:rsid w:val="005246FD"/>
    <w:rsid w:val="005252F0"/>
    <w:rsid w:val="00525A4C"/>
    <w:rsid w:val="00525C51"/>
    <w:rsid w:val="00530196"/>
    <w:rsid w:val="00530417"/>
    <w:rsid w:val="00530B0F"/>
    <w:rsid w:val="00532095"/>
    <w:rsid w:val="005321B7"/>
    <w:rsid w:val="005328C3"/>
    <w:rsid w:val="0053379A"/>
    <w:rsid w:val="005337D5"/>
    <w:rsid w:val="00533D1F"/>
    <w:rsid w:val="0053679A"/>
    <w:rsid w:val="00536C66"/>
    <w:rsid w:val="0054067C"/>
    <w:rsid w:val="00541C62"/>
    <w:rsid w:val="005437B7"/>
    <w:rsid w:val="00543E03"/>
    <w:rsid w:val="00544ED0"/>
    <w:rsid w:val="00545F4F"/>
    <w:rsid w:val="00545F60"/>
    <w:rsid w:val="00547754"/>
    <w:rsid w:val="0054782B"/>
    <w:rsid w:val="00547B9C"/>
    <w:rsid w:val="0055051C"/>
    <w:rsid w:val="00550BD7"/>
    <w:rsid w:val="005520E3"/>
    <w:rsid w:val="005536BC"/>
    <w:rsid w:val="005544E5"/>
    <w:rsid w:val="00554B2A"/>
    <w:rsid w:val="00554B2F"/>
    <w:rsid w:val="00557118"/>
    <w:rsid w:val="00557409"/>
    <w:rsid w:val="005612C1"/>
    <w:rsid w:val="00562BC9"/>
    <w:rsid w:val="0056357E"/>
    <w:rsid w:val="00563B07"/>
    <w:rsid w:val="00564874"/>
    <w:rsid w:val="00566834"/>
    <w:rsid w:val="005668F0"/>
    <w:rsid w:val="005677E2"/>
    <w:rsid w:val="0056783D"/>
    <w:rsid w:val="00567937"/>
    <w:rsid w:val="0057019F"/>
    <w:rsid w:val="005704E5"/>
    <w:rsid w:val="00570549"/>
    <w:rsid w:val="0057101F"/>
    <w:rsid w:val="00571A9D"/>
    <w:rsid w:val="00571BA5"/>
    <w:rsid w:val="00573B85"/>
    <w:rsid w:val="00574342"/>
    <w:rsid w:val="005754DE"/>
    <w:rsid w:val="005758DA"/>
    <w:rsid w:val="00576798"/>
    <w:rsid w:val="00580450"/>
    <w:rsid w:val="00580CDE"/>
    <w:rsid w:val="00581009"/>
    <w:rsid w:val="005819B2"/>
    <w:rsid w:val="00582409"/>
    <w:rsid w:val="00582DC6"/>
    <w:rsid w:val="00583F9C"/>
    <w:rsid w:val="00585F5E"/>
    <w:rsid w:val="00586B4E"/>
    <w:rsid w:val="00586DC7"/>
    <w:rsid w:val="00590BD9"/>
    <w:rsid w:val="00590D92"/>
    <w:rsid w:val="00591D93"/>
    <w:rsid w:val="00591EC5"/>
    <w:rsid w:val="00593561"/>
    <w:rsid w:val="00594805"/>
    <w:rsid w:val="00596392"/>
    <w:rsid w:val="00596EAD"/>
    <w:rsid w:val="00597DFE"/>
    <w:rsid w:val="00597FAF"/>
    <w:rsid w:val="005A13E7"/>
    <w:rsid w:val="005A196E"/>
    <w:rsid w:val="005A1A42"/>
    <w:rsid w:val="005A262D"/>
    <w:rsid w:val="005A37EF"/>
    <w:rsid w:val="005A3D06"/>
    <w:rsid w:val="005A3DA9"/>
    <w:rsid w:val="005A62E6"/>
    <w:rsid w:val="005A6CC1"/>
    <w:rsid w:val="005A6CCD"/>
    <w:rsid w:val="005A7107"/>
    <w:rsid w:val="005B0E9F"/>
    <w:rsid w:val="005B174D"/>
    <w:rsid w:val="005B1762"/>
    <w:rsid w:val="005B29AF"/>
    <w:rsid w:val="005B39D2"/>
    <w:rsid w:val="005B3B36"/>
    <w:rsid w:val="005B545C"/>
    <w:rsid w:val="005B55F8"/>
    <w:rsid w:val="005B5924"/>
    <w:rsid w:val="005B6561"/>
    <w:rsid w:val="005B7E96"/>
    <w:rsid w:val="005C0312"/>
    <w:rsid w:val="005C0453"/>
    <w:rsid w:val="005C21D1"/>
    <w:rsid w:val="005C24B6"/>
    <w:rsid w:val="005C29FA"/>
    <w:rsid w:val="005C363D"/>
    <w:rsid w:val="005C3E40"/>
    <w:rsid w:val="005C5F92"/>
    <w:rsid w:val="005C639B"/>
    <w:rsid w:val="005C6EDB"/>
    <w:rsid w:val="005D0763"/>
    <w:rsid w:val="005D0FD8"/>
    <w:rsid w:val="005D3DE0"/>
    <w:rsid w:val="005D4C84"/>
    <w:rsid w:val="005D57F3"/>
    <w:rsid w:val="005D67EA"/>
    <w:rsid w:val="005E0B96"/>
    <w:rsid w:val="005E4156"/>
    <w:rsid w:val="005E6DB6"/>
    <w:rsid w:val="005E7559"/>
    <w:rsid w:val="005F2C40"/>
    <w:rsid w:val="005F4DCE"/>
    <w:rsid w:val="005F5058"/>
    <w:rsid w:val="005F5FC9"/>
    <w:rsid w:val="005F79E5"/>
    <w:rsid w:val="00600FAB"/>
    <w:rsid w:val="0060184B"/>
    <w:rsid w:val="00601931"/>
    <w:rsid w:val="00601A52"/>
    <w:rsid w:val="00601BE0"/>
    <w:rsid w:val="00602E73"/>
    <w:rsid w:val="00603627"/>
    <w:rsid w:val="006036A6"/>
    <w:rsid w:val="00603E2B"/>
    <w:rsid w:val="00603FA8"/>
    <w:rsid w:val="00604F90"/>
    <w:rsid w:val="006050DD"/>
    <w:rsid w:val="006062EF"/>
    <w:rsid w:val="0061025C"/>
    <w:rsid w:val="00610DB8"/>
    <w:rsid w:val="006121E5"/>
    <w:rsid w:val="00612693"/>
    <w:rsid w:val="00612D19"/>
    <w:rsid w:val="00612EB3"/>
    <w:rsid w:val="0061317B"/>
    <w:rsid w:val="00613972"/>
    <w:rsid w:val="006159F2"/>
    <w:rsid w:val="00615E70"/>
    <w:rsid w:val="006170F2"/>
    <w:rsid w:val="00617398"/>
    <w:rsid w:val="0061761D"/>
    <w:rsid w:val="006207E9"/>
    <w:rsid w:val="00621E70"/>
    <w:rsid w:val="00624118"/>
    <w:rsid w:val="006243EC"/>
    <w:rsid w:val="00626B7E"/>
    <w:rsid w:val="00632BA7"/>
    <w:rsid w:val="00632C89"/>
    <w:rsid w:val="00632E8C"/>
    <w:rsid w:val="00634F11"/>
    <w:rsid w:val="006359F5"/>
    <w:rsid w:val="00635A18"/>
    <w:rsid w:val="006371BF"/>
    <w:rsid w:val="006377D3"/>
    <w:rsid w:val="00637BB7"/>
    <w:rsid w:val="0064296A"/>
    <w:rsid w:val="00642ADD"/>
    <w:rsid w:val="00643396"/>
    <w:rsid w:val="00643788"/>
    <w:rsid w:val="0064402C"/>
    <w:rsid w:val="006445A2"/>
    <w:rsid w:val="00645C45"/>
    <w:rsid w:val="00646179"/>
    <w:rsid w:val="006464FD"/>
    <w:rsid w:val="006474EE"/>
    <w:rsid w:val="0064763A"/>
    <w:rsid w:val="006515B1"/>
    <w:rsid w:val="006531F3"/>
    <w:rsid w:val="00653A2A"/>
    <w:rsid w:val="006544DB"/>
    <w:rsid w:val="00655305"/>
    <w:rsid w:val="00656647"/>
    <w:rsid w:val="0065713B"/>
    <w:rsid w:val="0065713C"/>
    <w:rsid w:val="0065773E"/>
    <w:rsid w:val="00660B1F"/>
    <w:rsid w:val="00661AE0"/>
    <w:rsid w:val="00661AF4"/>
    <w:rsid w:val="00662194"/>
    <w:rsid w:val="0066263B"/>
    <w:rsid w:val="006637FA"/>
    <w:rsid w:val="00663B0B"/>
    <w:rsid w:val="00663B17"/>
    <w:rsid w:val="00666A40"/>
    <w:rsid w:val="00671424"/>
    <w:rsid w:val="00674BBD"/>
    <w:rsid w:val="006755C1"/>
    <w:rsid w:val="00675A28"/>
    <w:rsid w:val="00676159"/>
    <w:rsid w:val="006772A7"/>
    <w:rsid w:val="006772CA"/>
    <w:rsid w:val="00677EE9"/>
    <w:rsid w:val="006804CF"/>
    <w:rsid w:val="00681DDA"/>
    <w:rsid w:val="006822DA"/>
    <w:rsid w:val="00682473"/>
    <w:rsid w:val="006829A8"/>
    <w:rsid w:val="00682FBC"/>
    <w:rsid w:val="00683A57"/>
    <w:rsid w:val="0068449E"/>
    <w:rsid w:val="00684A4C"/>
    <w:rsid w:val="006873EA"/>
    <w:rsid w:val="00692162"/>
    <w:rsid w:val="00693024"/>
    <w:rsid w:val="00694ABE"/>
    <w:rsid w:val="00694E49"/>
    <w:rsid w:val="006A0E74"/>
    <w:rsid w:val="006A0FE1"/>
    <w:rsid w:val="006A218F"/>
    <w:rsid w:val="006A3F76"/>
    <w:rsid w:val="006A4054"/>
    <w:rsid w:val="006A40A1"/>
    <w:rsid w:val="006A5C00"/>
    <w:rsid w:val="006A6165"/>
    <w:rsid w:val="006A6392"/>
    <w:rsid w:val="006A732D"/>
    <w:rsid w:val="006A7E28"/>
    <w:rsid w:val="006B0D1E"/>
    <w:rsid w:val="006B2116"/>
    <w:rsid w:val="006B2982"/>
    <w:rsid w:val="006B35BE"/>
    <w:rsid w:val="006B4C0C"/>
    <w:rsid w:val="006C0A4C"/>
    <w:rsid w:val="006C0A50"/>
    <w:rsid w:val="006C1B43"/>
    <w:rsid w:val="006C1D7C"/>
    <w:rsid w:val="006C3765"/>
    <w:rsid w:val="006C39BF"/>
    <w:rsid w:val="006C4775"/>
    <w:rsid w:val="006C5E14"/>
    <w:rsid w:val="006C6FA2"/>
    <w:rsid w:val="006C7000"/>
    <w:rsid w:val="006C7763"/>
    <w:rsid w:val="006D012B"/>
    <w:rsid w:val="006D12A7"/>
    <w:rsid w:val="006D2BD5"/>
    <w:rsid w:val="006D3ECE"/>
    <w:rsid w:val="006D4E45"/>
    <w:rsid w:val="006D5350"/>
    <w:rsid w:val="006D5650"/>
    <w:rsid w:val="006D6301"/>
    <w:rsid w:val="006D79EE"/>
    <w:rsid w:val="006E0317"/>
    <w:rsid w:val="006E0511"/>
    <w:rsid w:val="006E12C1"/>
    <w:rsid w:val="006E1C30"/>
    <w:rsid w:val="006E2038"/>
    <w:rsid w:val="006E3E4A"/>
    <w:rsid w:val="006E5580"/>
    <w:rsid w:val="006E607F"/>
    <w:rsid w:val="006E719F"/>
    <w:rsid w:val="006E7DC2"/>
    <w:rsid w:val="006F0D73"/>
    <w:rsid w:val="006F1342"/>
    <w:rsid w:val="006F3D80"/>
    <w:rsid w:val="006F3EF5"/>
    <w:rsid w:val="006F48A1"/>
    <w:rsid w:val="006F49F0"/>
    <w:rsid w:val="0070184A"/>
    <w:rsid w:val="00702E8D"/>
    <w:rsid w:val="0070360B"/>
    <w:rsid w:val="00704726"/>
    <w:rsid w:val="007053E7"/>
    <w:rsid w:val="0070569D"/>
    <w:rsid w:val="00705884"/>
    <w:rsid w:val="00705BD1"/>
    <w:rsid w:val="007063F2"/>
    <w:rsid w:val="00706E77"/>
    <w:rsid w:val="007075B8"/>
    <w:rsid w:val="00707B2E"/>
    <w:rsid w:val="00710B00"/>
    <w:rsid w:val="00711471"/>
    <w:rsid w:val="00712398"/>
    <w:rsid w:val="00716DEA"/>
    <w:rsid w:val="00717D63"/>
    <w:rsid w:val="00720DDD"/>
    <w:rsid w:val="0072105B"/>
    <w:rsid w:val="0072284E"/>
    <w:rsid w:val="00723508"/>
    <w:rsid w:val="00724006"/>
    <w:rsid w:val="0073286C"/>
    <w:rsid w:val="007328CC"/>
    <w:rsid w:val="007330DF"/>
    <w:rsid w:val="00733260"/>
    <w:rsid w:val="00735070"/>
    <w:rsid w:val="00735AD3"/>
    <w:rsid w:val="00736072"/>
    <w:rsid w:val="007364DA"/>
    <w:rsid w:val="007409D2"/>
    <w:rsid w:val="00741FAF"/>
    <w:rsid w:val="00742173"/>
    <w:rsid w:val="00742222"/>
    <w:rsid w:val="0074232C"/>
    <w:rsid w:val="00743EA9"/>
    <w:rsid w:val="007449B3"/>
    <w:rsid w:val="00744ECA"/>
    <w:rsid w:val="0074529C"/>
    <w:rsid w:val="00747ECC"/>
    <w:rsid w:val="00750BF8"/>
    <w:rsid w:val="00750E2F"/>
    <w:rsid w:val="007515BC"/>
    <w:rsid w:val="00753328"/>
    <w:rsid w:val="00753433"/>
    <w:rsid w:val="00754E11"/>
    <w:rsid w:val="00756097"/>
    <w:rsid w:val="00762E12"/>
    <w:rsid w:val="00764F3A"/>
    <w:rsid w:val="00765CC1"/>
    <w:rsid w:val="007669BA"/>
    <w:rsid w:val="00770261"/>
    <w:rsid w:val="007712EA"/>
    <w:rsid w:val="00772439"/>
    <w:rsid w:val="00772FC6"/>
    <w:rsid w:val="00773ACD"/>
    <w:rsid w:val="007768C5"/>
    <w:rsid w:val="0077715B"/>
    <w:rsid w:val="007773BD"/>
    <w:rsid w:val="0077757A"/>
    <w:rsid w:val="007776B1"/>
    <w:rsid w:val="00777B72"/>
    <w:rsid w:val="00777EEE"/>
    <w:rsid w:val="007811C0"/>
    <w:rsid w:val="007819CF"/>
    <w:rsid w:val="0078263F"/>
    <w:rsid w:val="0078289B"/>
    <w:rsid w:val="00783657"/>
    <w:rsid w:val="00786840"/>
    <w:rsid w:val="00790852"/>
    <w:rsid w:val="00790EEE"/>
    <w:rsid w:val="00791304"/>
    <w:rsid w:val="00791677"/>
    <w:rsid w:val="00791E8E"/>
    <w:rsid w:val="007931A9"/>
    <w:rsid w:val="00794E52"/>
    <w:rsid w:val="00794E6C"/>
    <w:rsid w:val="0079517C"/>
    <w:rsid w:val="007952A7"/>
    <w:rsid w:val="007959FC"/>
    <w:rsid w:val="00796982"/>
    <w:rsid w:val="007A02C7"/>
    <w:rsid w:val="007A05C6"/>
    <w:rsid w:val="007A2C70"/>
    <w:rsid w:val="007A3407"/>
    <w:rsid w:val="007A375D"/>
    <w:rsid w:val="007A5826"/>
    <w:rsid w:val="007A657A"/>
    <w:rsid w:val="007B249F"/>
    <w:rsid w:val="007B4330"/>
    <w:rsid w:val="007B435A"/>
    <w:rsid w:val="007B5D7E"/>
    <w:rsid w:val="007B788E"/>
    <w:rsid w:val="007C1078"/>
    <w:rsid w:val="007C17B1"/>
    <w:rsid w:val="007C43BB"/>
    <w:rsid w:val="007C6ED9"/>
    <w:rsid w:val="007C737B"/>
    <w:rsid w:val="007D1D13"/>
    <w:rsid w:val="007D20FF"/>
    <w:rsid w:val="007D27E5"/>
    <w:rsid w:val="007D36F2"/>
    <w:rsid w:val="007D3B6C"/>
    <w:rsid w:val="007D57DC"/>
    <w:rsid w:val="007E00A1"/>
    <w:rsid w:val="007E2570"/>
    <w:rsid w:val="007E2BB1"/>
    <w:rsid w:val="007E2F2D"/>
    <w:rsid w:val="007E3A3A"/>
    <w:rsid w:val="007E3C1B"/>
    <w:rsid w:val="007E6D47"/>
    <w:rsid w:val="007E71C7"/>
    <w:rsid w:val="007F0096"/>
    <w:rsid w:val="007F110F"/>
    <w:rsid w:val="007F2BB3"/>
    <w:rsid w:val="007F35FA"/>
    <w:rsid w:val="007F3724"/>
    <w:rsid w:val="007F4330"/>
    <w:rsid w:val="007F45A7"/>
    <w:rsid w:val="007F4C1B"/>
    <w:rsid w:val="007F590F"/>
    <w:rsid w:val="007F62A9"/>
    <w:rsid w:val="008022F1"/>
    <w:rsid w:val="0080288A"/>
    <w:rsid w:val="00802E2A"/>
    <w:rsid w:val="00803569"/>
    <w:rsid w:val="008049CE"/>
    <w:rsid w:val="00807058"/>
    <w:rsid w:val="0080739F"/>
    <w:rsid w:val="0080758E"/>
    <w:rsid w:val="0081025E"/>
    <w:rsid w:val="00812261"/>
    <w:rsid w:val="008124E6"/>
    <w:rsid w:val="00812B72"/>
    <w:rsid w:val="00813360"/>
    <w:rsid w:val="00813620"/>
    <w:rsid w:val="00816F3A"/>
    <w:rsid w:val="008171ED"/>
    <w:rsid w:val="00820926"/>
    <w:rsid w:val="00820A94"/>
    <w:rsid w:val="00820D3E"/>
    <w:rsid w:val="00822DB3"/>
    <w:rsid w:val="00823B52"/>
    <w:rsid w:val="00823B90"/>
    <w:rsid w:val="008304E8"/>
    <w:rsid w:val="00831ACA"/>
    <w:rsid w:val="00831AD5"/>
    <w:rsid w:val="00831BAA"/>
    <w:rsid w:val="00831E32"/>
    <w:rsid w:val="00834C7B"/>
    <w:rsid w:val="00836367"/>
    <w:rsid w:val="008375CF"/>
    <w:rsid w:val="00841A8D"/>
    <w:rsid w:val="008425D5"/>
    <w:rsid w:val="00843D20"/>
    <w:rsid w:val="00844454"/>
    <w:rsid w:val="00846841"/>
    <w:rsid w:val="00847192"/>
    <w:rsid w:val="0084731D"/>
    <w:rsid w:val="00850142"/>
    <w:rsid w:val="00850F4F"/>
    <w:rsid w:val="008511D0"/>
    <w:rsid w:val="0085159A"/>
    <w:rsid w:val="00857420"/>
    <w:rsid w:val="0085773A"/>
    <w:rsid w:val="008603F1"/>
    <w:rsid w:val="00860CCE"/>
    <w:rsid w:val="0086197D"/>
    <w:rsid w:val="00862540"/>
    <w:rsid w:val="00862551"/>
    <w:rsid w:val="0086294E"/>
    <w:rsid w:val="00863459"/>
    <w:rsid w:val="008637E1"/>
    <w:rsid w:val="0086489B"/>
    <w:rsid w:val="008669BF"/>
    <w:rsid w:val="00867A71"/>
    <w:rsid w:val="00867E68"/>
    <w:rsid w:val="00872CDA"/>
    <w:rsid w:val="0087340F"/>
    <w:rsid w:val="0087391C"/>
    <w:rsid w:val="00873D37"/>
    <w:rsid w:val="00874188"/>
    <w:rsid w:val="008761E6"/>
    <w:rsid w:val="00876879"/>
    <w:rsid w:val="00880208"/>
    <w:rsid w:val="0088302D"/>
    <w:rsid w:val="008830FE"/>
    <w:rsid w:val="00883A51"/>
    <w:rsid w:val="008841C7"/>
    <w:rsid w:val="00885271"/>
    <w:rsid w:val="008859DA"/>
    <w:rsid w:val="00885C28"/>
    <w:rsid w:val="00885F6B"/>
    <w:rsid w:val="008866E0"/>
    <w:rsid w:val="00887803"/>
    <w:rsid w:val="00887ABA"/>
    <w:rsid w:val="00891481"/>
    <w:rsid w:val="00892E5C"/>
    <w:rsid w:val="00893A34"/>
    <w:rsid w:val="00893F1F"/>
    <w:rsid w:val="00897964"/>
    <w:rsid w:val="008A2903"/>
    <w:rsid w:val="008A2ECB"/>
    <w:rsid w:val="008A41D1"/>
    <w:rsid w:val="008A4D1A"/>
    <w:rsid w:val="008A6B32"/>
    <w:rsid w:val="008A6D57"/>
    <w:rsid w:val="008A6F58"/>
    <w:rsid w:val="008A743C"/>
    <w:rsid w:val="008A7DEB"/>
    <w:rsid w:val="008B1B01"/>
    <w:rsid w:val="008B39F2"/>
    <w:rsid w:val="008B492F"/>
    <w:rsid w:val="008B656B"/>
    <w:rsid w:val="008B7CC7"/>
    <w:rsid w:val="008C0BAD"/>
    <w:rsid w:val="008C1654"/>
    <w:rsid w:val="008C2E66"/>
    <w:rsid w:val="008C3BBF"/>
    <w:rsid w:val="008C3CF3"/>
    <w:rsid w:val="008C4059"/>
    <w:rsid w:val="008C4B6C"/>
    <w:rsid w:val="008C5061"/>
    <w:rsid w:val="008D321E"/>
    <w:rsid w:val="008D4069"/>
    <w:rsid w:val="008D4C74"/>
    <w:rsid w:val="008D578D"/>
    <w:rsid w:val="008D6F8D"/>
    <w:rsid w:val="008D7AE3"/>
    <w:rsid w:val="008E0799"/>
    <w:rsid w:val="008E144C"/>
    <w:rsid w:val="008E1524"/>
    <w:rsid w:val="008E1751"/>
    <w:rsid w:val="008E32E8"/>
    <w:rsid w:val="008E35D5"/>
    <w:rsid w:val="008E499D"/>
    <w:rsid w:val="008E6B5C"/>
    <w:rsid w:val="008F129B"/>
    <w:rsid w:val="008F1742"/>
    <w:rsid w:val="008F2FF5"/>
    <w:rsid w:val="008F3401"/>
    <w:rsid w:val="008F45DD"/>
    <w:rsid w:val="008F524F"/>
    <w:rsid w:val="008F546B"/>
    <w:rsid w:val="008F5E16"/>
    <w:rsid w:val="008F7F16"/>
    <w:rsid w:val="009001EA"/>
    <w:rsid w:val="009008F6"/>
    <w:rsid w:val="00900F50"/>
    <w:rsid w:val="009011FA"/>
    <w:rsid w:val="00903A46"/>
    <w:rsid w:val="00907EF1"/>
    <w:rsid w:val="00910A71"/>
    <w:rsid w:val="009112D6"/>
    <w:rsid w:val="00911779"/>
    <w:rsid w:val="00912583"/>
    <w:rsid w:val="00912697"/>
    <w:rsid w:val="00912FE6"/>
    <w:rsid w:val="0091537A"/>
    <w:rsid w:val="0091613C"/>
    <w:rsid w:val="00916AA9"/>
    <w:rsid w:val="00917703"/>
    <w:rsid w:val="00920A3D"/>
    <w:rsid w:val="00921613"/>
    <w:rsid w:val="00921AD9"/>
    <w:rsid w:val="00922DFB"/>
    <w:rsid w:val="00924DAD"/>
    <w:rsid w:val="00924EF9"/>
    <w:rsid w:val="00926B17"/>
    <w:rsid w:val="00926D6C"/>
    <w:rsid w:val="00931139"/>
    <w:rsid w:val="00931186"/>
    <w:rsid w:val="00931223"/>
    <w:rsid w:val="00931321"/>
    <w:rsid w:val="00931C60"/>
    <w:rsid w:val="00932330"/>
    <w:rsid w:val="009366A0"/>
    <w:rsid w:val="009407EE"/>
    <w:rsid w:val="009435A2"/>
    <w:rsid w:val="00943B26"/>
    <w:rsid w:val="0094644A"/>
    <w:rsid w:val="00950357"/>
    <w:rsid w:val="009506AA"/>
    <w:rsid w:val="009518CF"/>
    <w:rsid w:val="0095200D"/>
    <w:rsid w:val="00953E08"/>
    <w:rsid w:val="009542D3"/>
    <w:rsid w:val="00956DA6"/>
    <w:rsid w:val="009575E3"/>
    <w:rsid w:val="00957F52"/>
    <w:rsid w:val="00960387"/>
    <w:rsid w:val="00961C3D"/>
    <w:rsid w:val="00961DC0"/>
    <w:rsid w:val="00962484"/>
    <w:rsid w:val="0096278C"/>
    <w:rsid w:val="00963AEF"/>
    <w:rsid w:val="009643C4"/>
    <w:rsid w:val="00967BAA"/>
    <w:rsid w:val="00970DF3"/>
    <w:rsid w:val="009731FB"/>
    <w:rsid w:val="00975870"/>
    <w:rsid w:val="00975CDC"/>
    <w:rsid w:val="009768F2"/>
    <w:rsid w:val="00981A56"/>
    <w:rsid w:val="00983242"/>
    <w:rsid w:val="00983700"/>
    <w:rsid w:val="00984467"/>
    <w:rsid w:val="00984705"/>
    <w:rsid w:val="0098563C"/>
    <w:rsid w:val="0098603E"/>
    <w:rsid w:val="00986F53"/>
    <w:rsid w:val="00987C06"/>
    <w:rsid w:val="009901AE"/>
    <w:rsid w:val="0099053A"/>
    <w:rsid w:val="009918E8"/>
    <w:rsid w:val="00991ACC"/>
    <w:rsid w:val="00992345"/>
    <w:rsid w:val="00993572"/>
    <w:rsid w:val="009948AE"/>
    <w:rsid w:val="00995D58"/>
    <w:rsid w:val="0099604A"/>
    <w:rsid w:val="009962FE"/>
    <w:rsid w:val="00997E46"/>
    <w:rsid w:val="009A0E5A"/>
    <w:rsid w:val="009A1F84"/>
    <w:rsid w:val="009A237B"/>
    <w:rsid w:val="009A23EE"/>
    <w:rsid w:val="009A2C24"/>
    <w:rsid w:val="009A4293"/>
    <w:rsid w:val="009A6068"/>
    <w:rsid w:val="009B0464"/>
    <w:rsid w:val="009B1209"/>
    <w:rsid w:val="009B3886"/>
    <w:rsid w:val="009B3F9B"/>
    <w:rsid w:val="009B4464"/>
    <w:rsid w:val="009B4985"/>
    <w:rsid w:val="009B5ED9"/>
    <w:rsid w:val="009B687E"/>
    <w:rsid w:val="009B78C5"/>
    <w:rsid w:val="009C2266"/>
    <w:rsid w:val="009C4DC5"/>
    <w:rsid w:val="009C4F2E"/>
    <w:rsid w:val="009C5262"/>
    <w:rsid w:val="009C6B0A"/>
    <w:rsid w:val="009D07A9"/>
    <w:rsid w:val="009D176F"/>
    <w:rsid w:val="009D4332"/>
    <w:rsid w:val="009D5186"/>
    <w:rsid w:val="009D5865"/>
    <w:rsid w:val="009D5E4C"/>
    <w:rsid w:val="009D6D25"/>
    <w:rsid w:val="009E03FB"/>
    <w:rsid w:val="009E17B9"/>
    <w:rsid w:val="009E39BD"/>
    <w:rsid w:val="009E56D2"/>
    <w:rsid w:val="009F06E5"/>
    <w:rsid w:val="009F09E6"/>
    <w:rsid w:val="009F39B2"/>
    <w:rsid w:val="009F5659"/>
    <w:rsid w:val="009F630C"/>
    <w:rsid w:val="009F7B9A"/>
    <w:rsid w:val="009F7F75"/>
    <w:rsid w:val="00A01FCD"/>
    <w:rsid w:val="00A0358C"/>
    <w:rsid w:val="00A03704"/>
    <w:rsid w:val="00A05AD3"/>
    <w:rsid w:val="00A0639B"/>
    <w:rsid w:val="00A067D6"/>
    <w:rsid w:val="00A06AC7"/>
    <w:rsid w:val="00A11347"/>
    <w:rsid w:val="00A11C67"/>
    <w:rsid w:val="00A12961"/>
    <w:rsid w:val="00A136AC"/>
    <w:rsid w:val="00A13885"/>
    <w:rsid w:val="00A144CF"/>
    <w:rsid w:val="00A154A5"/>
    <w:rsid w:val="00A169B4"/>
    <w:rsid w:val="00A16CD8"/>
    <w:rsid w:val="00A178DF"/>
    <w:rsid w:val="00A20C92"/>
    <w:rsid w:val="00A214BF"/>
    <w:rsid w:val="00A227F2"/>
    <w:rsid w:val="00A240B1"/>
    <w:rsid w:val="00A241BD"/>
    <w:rsid w:val="00A260E7"/>
    <w:rsid w:val="00A2777E"/>
    <w:rsid w:val="00A3103A"/>
    <w:rsid w:val="00A31268"/>
    <w:rsid w:val="00A31E8F"/>
    <w:rsid w:val="00A34474"/>
    <w:rsid w:val="00A3580A"/>
    <w:rsid w:val="00A40AF3"/>
    <w:rsid w:val="00A41E37"/>
    <w:rsid w:val="00A41FC7"/>
    <w:rsid w:val="00A41FDB"/>
    <w:rsid w:val="00A44EB9"/>
    <w:rsid w:val="00A458F0"/>
    <w:rsid w:val="00A46A67"/>
    <w:rsid w:val="00A474F8"/>
    <w:rsid w:val="00A51CC9"/>
    <w:rsid w:val="00A51EF6"/>
    <w:rsid w:val="00A52763"/>
    <w:rsid w:val="00A52964"/>
    <w:rsid w:val="00A541BB"/>
    <w:rsid w:val="00A56C2E"/>
    <w:rsid w:val="00A60C96"/>
    <w:rsid w:val="00A637DD"/>
    <w:rsid w:val="00A644CD"/>
    <w:rsid w:val="00A648E8"/>
    <w:rsid w:val="00A65EA6"/>
    <w:rsid w:val="00A71573"/>
    <w:rsid w:val="00A72D91"/>
    <w:rsid w:val="00A73D4B"/>
    <w:rsid w:val="00A748A3"/>
    <w:rsid w:val="00A761FA"/>
    <w:rsid w:val="00A771C0"/>
    <w:rsid w:val="00A80CA4"/>
    <w:rsid w:val="00A81192"/>
    <w:rsid w:val="00A81297"/>
    <w:rsid w:val="00A82A72"/>
    <w:rsid w:val="00A85A08"/>
    <w:rsid w:val="00A86724"/>
    <w:rsid w:val="00A8672D"/>
    <w:rsid w:val="00A90B0E"/>
    <w:rsid w:val="00A90B93"/>
    <w:rsid w:val="00A92E1D"/>
    <w:rsid w:val="00A9356E"/>
    <w:rsid w:val="00A94F1D"/>
    <w:rsid w:val="00A95810"/>
    <w:rsid w:val="00A95DA6"/>
    <w:rsid w:val="00A97006"/>
    <w:rsid w:val="00A9736E"/>
    <w:rsid w:val="00A97DC2"/>
    <w:rsid w:val="00AA0305"/>
    <w:rsid w:val="00AA1525"/>
    <w:rsid w:val="00AA1E55"/>
    <w:rsid w:val="00AA2A15"/>
    <w:rsid w:val="00AA2A96"/>
    <w:rsid w:val="00AA2B71"/>
    <w:rsid w:val="00AA42A7"/>
    <w:rsid w:val="00AA50D5"/>
    <w:rsid w:val="00AA714E"/>
    <w:rsid w:val="00AB1C8B"/>
    <w:rsid w:val="00AB4B80"/>
    <w:rsid w:val="00AB594E"/>
    <w:rsid w:val="00AB7678"/>
    <w:rsid w:val="00AC014E"/>
    <w:rsid w:val="00AC238D"/>
    <w:rsid w:val="00AC4B7F"/>
    <w:rsid w:val="00AC5361"/>
    <w:rsid w:val="00AC7238"/>
    <w:rsid w:val="00AC73B4"/>
    <w:rsid w:val="00AC7BEB"/>
    <w:rsid w:val="00AC7C05"/>
    <w:rsid w:val="00AD162D"/>
    <w:rsid w:val="00AD16E4"/>
    <w:rsid w:val="00AD17BA"/>
    <w:rsid w:val="00AD2189"/>
    <w:rsid w:val="00AD2C02"/>
    <w:rsid w:val="00AD31A9"/>
    <w:rsid w:val="00AD5287"/>
    <w:rsid w:val="00AD6CF5"/>
    <w:rsid w:val="00AD7847"/>
    <w:rsid w:val="00AE097A"/>
    <w:rsid w:val="00AE1B5A"/>
    <w:rsid w:val="00AE2151"/>
    <w:rsid w:val="00AE249D"/>
    <w:rsid w:val="00AE31B0"/>
    <w:rsid w:val="00AE3EC0"/>
    <w:rsid w:val="00AE6FC4"/>
    <w:rsid w:val="00AF0479"/>
    <w:rsid w:val="00AF26A2"/>
    <w:rsid w:val="00AF386C"/>
    <w:rsid w:val="00AF3DFB"/>
    <w:rsid w:val="00AF411C"/>
    <w:rsid w:val="00AF4B64"/>
    <w:rsid w:val="00AF7EC6"/>
    <w:rsid w:val="00B0198F"/>
    <w:rsid w:val="00B01B51"/>
    <w:rsid w:val="00B03333"/>
    <w:rsid w:val="00B033B6"/>
    <w:rsid w:val="00B0379D"/>
    <w:rsid w:val="00B03854"/>
    <w:rsid w:val="00B0406A"/>
    <w:rsid w:val="00B06841"/>
    <w:rsid w:val="00B06B03"/>
    <w:rsid w:val="00B07D2C"/>
    <w:rsid w:val="00B07DB6"/>
    <w:rsid w:val="00B113E5"/>
    <w:rsid w:val="00B1162D"/>
    <w:rsid w:val="00B1174A"/>
    <w:rsid w:val="00B11E8F"/>
    <w:rsid w:val="00B14C06"/>
    <w:rsid w:val="00B152DD"/>
    <w:rsid w:val="00B153F0"/>
    <w:rsid w:val="00B162A3"/>
    <w:rsid w:val="00B17ECC"/>
    <w:rsid w:val="00B21CD9"/>
    <w:rsid w:val="00B23398"/>
    <w:rsid w:val="00B245B0"/>
    <w:rsid w:val="00B24F53"/>
    <w:rsid w:val="00B26BEB"/>
    <w:rsid w:val="00B26E56"/>
    <w:rsid w:val="00B31879"/>
    <w:rsid w:val="00B3311C"/>
    <w:rsid w:val="00B33125"/>
    <w:rsid w:val="00B34A3B"/>
    <w:rsid w:val="00B355C5"/>
    <w:rsid w:val="00B3673D"/>
    <w:rsid w:val="00B44C6C"/>
    <w:rsid w:val="00B4757F"/>
    <w:rsid w:val="00B5187A"/>
    <w:rsid w:val="00B5229A"/>
    <w:rsid w:val="00B52E33"/>
    <w:rsid w:val="00B544F2"/>
    <w:rsid w:val="00B55CD1"/>
    <w:rsid w:val="00B605F9"/>
    <w:rsid w:val="00B61C67"/>
    <w:rsid w:val="00B61D88"/>
    <w:rsid w:val="00B629BA"/>
    <w:rsid w:val="00B6314D"/>
    <w:rsid w:val="00B64BD8"/>
    <w:rsid w:val="00B65142"/>
    <w:rsid w:val="00B656A0"/>
    <w:rsid w:val="00B70EFF"/>
    <w:rsid w:val="00B713DA"/>
    <w:rsid w:val="00B71654"/>
    <w:rsid w:val="00B727C2"/>
    <w:rsid w:val="00B738C7"/>
    <w:rsid w:val="00B747AC"/>
    <w:rsid w:val="00B75E1D"/>
    <w:rsid w:val="00B77124"/>
    <w:rsid w:val="00B8023E"/>
    <w:rsid w:val="00B82106"/>
    <w:rsid w:val="00B8239E"/>
    <w:rsid w:val="00B82526"/>
    <w:rsid w:val="00B825AE"/>
    <w:rsid w:val="00B82809"/>
    <w:rsid w:val="00B87915"/>
    <w:rsid w:val="00B9084D"/>
    <w:rsid w:val="00B91224"/>
    <w:rsid w:val="00B91420"/>
    <w:rsid w:val="00B92DEC"/>
    <w:rsid w:val="00B93D5F"/>
    <w:rsid w:val="00B949DD"/>
    <w:rsid w:val="00B9525A"/>
    <w:rsid w:val="00BA015D"/>
    <w:rsid w:val="00BA02AC"/>
    <w:rsid w:val="00BA064C"/>
    <w:rsid w:val="00BA08F9"/>
    <w:rsid w:val="00BA0C85"/>
    <w:rsid w:val="00BA1B22"/>
    <w:rsid w:val="00BA4091"/>
    <w:rsid w:val="00BA4735"/>
    <w:rsid w:val="00BA54D5"/>
    <w:rsid w:val="00BA5E76"/>
    <w:rsid w:val="00BA7691"/>
    <w:rsid w:val="00BB1C94"/>
    <w:rsid w:val="00BB2B2B"/>
    <w:rsid w:val="00BB2DB8"/>
    <w:rsid w:val="00BB3A50"/>
    <w:rsid w:val="00BB4D9B"/>
    <w:rsid w:val="00BB647C"/>
    <w:rsid w:val="00BC0C83"/>
    <w:rsid w:val="00BC326C"/>
    <w:rsid w:val="00BC33E7"/>
    <w:rsid w:val="00BC5A0A"/>
    <w:rsid w:val="00BC61B1"/>
    <w:rsid w:val="00BC74B2"/>
    <w:rsid w:val="00BD1F16"/>
    <w:rsid w:val="00BD201F"/>
    <w:rsid w:val="00BD2542"/>
    <w:rsid w:val="00BD27A9"/>
    <w:rsid w:val="00BD3A44"/>
    <w:rsid w:val="00BD55D3"/>
    <w:rsid w:val="00BD787F"/>
    <w:rsid w:val="00BD7E26"/>
    <w:rsid w:val="00BE00F2"/>
    <w:rsid w:val="00BE209A"/>
    <w:rsid w:val="00BE2293"/>
    <w:rsid w:val="00BE2455"/>
    <w:rsid w:val="00BE24AF"/>
    <w:rsid w:val="00BE37DF"/>
    <w:rsid w:val="00BE37E1"/>
    <w:rsid w:val="00BE41D4"/>
    <w:rsid w:val="00BE4B28"/>
    <w:rsid w:val="00BE4ED0"/>
    <w:rsid w:val="00BE57F6"/>
    <w:rsid w:val="00BE6E5D"/>
    <w:rsid w:val="00BE7220"/>
    <w:rsid w:val="00BF021D"/>
    <w:rsid w:val="00BF2D80"/>
    <w:rsid w:val="00BF2DF2"/>
    <w:rsid w:val="00BF32A0"/>
    <w:rsid w:val="00BF34A5"/>
    <w:rsid w:val="00BF3828"/>
    <w:rsid w:val="00BF3BB5"/>
    <w:rsid w:val="00BF4F4D"/>
    <w:rsid w:val="00BF5144"/>
    <w:rsid w:val="00BF5B99"/>
    <w:rsid w:val="00BF5E9D"/>
    <w:rsid w:val="00C00747"/>
    <w:rsid w:val="00C01116"/>
    <w:rsid w:val="00C02336"/>
    <w:rsid w:val="00C04254"/>
    <w:rsid w:val="00C043A7"/>
    <w:rsid w:val="00C044F1"/>
    <w:rsid w:val="00C050D3"/>
    <w:rsid w:val="00C10374"/>
    <w:rsid w:val="00C11674"/>
    <w:rsid w:val="00C12840"/>
    <w:rsid w:val="00C13480"/>
    <w:rsid w:val="00C1593D"/>
    <w:rsid w:val="00C15E38"/>
    <w:rsid w:val="00C172E3"/>
    <w:rsid w:val="00C20580"/>
    <w:rsid w:val="00C217D7"/>
    <w:rsid w:val="00C21910"/>
    <w:rsid w:val="00C22372"/>
    <w:rsid w:val="00C22791"/>
    <w:rsid w:val="00C244FF"/>
    <w:rsid w:val="00C250B3"/>
    <w:rsid w:val="00C268EB"/>
    <w:rsid w:val="00C27FC3"/>
    <w:rsid w:val="00C33D51"/>
    <w:rsid w:val="00C34065"/>
    <w:rsid w:val="00C35BF3"/>
    <w:rsid w:val="00C3670D"/>
    <w:rsid w:val="00C374DA"/>
    <w:rsid w:val="00C41370"/>
    <w:rsid w:val="00C41EED"/>
    <w:rsid w:val="00C442B6"/>
    <w:rsid w:val="00C459A1"/>
    <w:rsid w:val="00C47A2B"/>
    <w:rsid w:val="00C5096F"/>
    <w:rsid w:val="00C50CC6"/>
    <w:rsid w:val="00C5229E"/>
    <w:rsid w:val="00C5302D"/>
    <w:rsid w:val="00C5403F"/>
    <w:rsid w:val="00C548C6"/>
    <w:rsid w:val="00C55956"/>
    <w:rsid w:val="00C55CDD"/>
    <w:rsid w:val="00C56701"/>
    <w:rsid w:val="00C5787F"/>
    <w:rsid w:val="00C57E44"/>
    <w:rsid w:val="00C60E71"/>
    <w:rsid w:val="00C61A6F"/>
    <w:rsid w:val="00C62F4A"/>
    <w:rsid w:val="00C6318D"/>
    <w:rsid w:val="00C634DB"/>
    <w:rsid w:val="00C635C4"/>
    <w:rsid w:val="00C63883"/>
    <w:rsid w:val="00C64BB8"/>
    <w:rsid w:val="00C64E09"/>
    <w:rsid w:val="00C65D79"/>
    <w:rsid w:val="00C66506"/>
    <w:rsid w:val="00C70641"/>
    <w:rsid w:val="00C72EF0"/>
    <w:rsid w:val="00C7318D"/>
    <w:rsid w:val="00C74CC2"/>
    <w:rsid w:val="00C74D19"/>
    <w:rsid w:val="00C76487"/>
    <w:rsid w:val="00C77322"/>
    <w:rsid w:val="00C77ACD"/>
    <w:rsid w:val="00C81584"/>
    <w:rsid w:val="00C82FC1"/>
    <w:rsid w:val="00C83726"/>
    <w:rsid w:val="00C85536"/>
    <w:rsid w:val="00C85D70"/>
    <w:rsid w:val="00C9240D"/>
    <w:rsid w:val="00C9525B"/>
    <w:rsid w:val="00C96565"/>
    <w:rsid w:val="00C975F3"/>
    <w:rsid w:val="00C9766A"/>
    <w:rsid w:val="00C9795B"/>
    <w:rsid w:val="00CA079F"/>
    <w:rsid w:val="00CA1310"/>
    <w:rsid w:val="00CA27D5"/>
    <w:rsid w:val="00CA2EE8"/>
    <w:rsid w:val="00CA3336"/>
    <w:rsid w:val="00CA3630"/>
    <w:rsid w:val="00CA49A2"/>
    <w:rsid w:val="00CA4D80"/>
    <w:rsid w:val="00CA552A"/>
    <w:rsid w:val="00CA55AC"/>
    <w:rsid w:val="00CA5DA4"/>
    <w:rsid w:val="00CA6831"/>
    <w:rsid w:val="00CA683E"/>
    <w:rsid w:val="00CA68C0"/>
    <w:rsid w:val="00CB0179"/>
    <w:rsid w:val="00CB0C87"/>
    <w:rsid w:val="00CB2278"/>
    <w:rsid w:val="00CB354D"/>
    <w:rsid w:val="00CB42F0"/>
    <w:rsid w:val="00CB6BD8"/>
    <w:rsid w:val="00CB74C1"/>
    <w:rsid w:val="00CB7F60"/>
    <w:rsid w:val="00CC0031"/>
    <w:rsid w:val="00CC0FF9"/>
    <w:rsid w:val="00CC1B2D"/>
    <w:rsid w:val="00CC2C4F"/>
    <w:rsid w:val="00CC3FDF"/>
    <w:rsid w:val="00CC60B9"/>
    <w:rsid w:val="00CD011B"/>
    <w:rsid w:val="00CD1628"/>
    <w:rsid w:val="00CD2712"/>
    <w:rsid w:val="00CD35A0"/>
    <w:rsid w:val="00CD41EE"/>
    <w:rsid w:val="00CD476F"/>
    <w:rsid w:val="00CD664F"/>
    <w:rsid w:val="00CD7158"/>
    <w:rsid w:val="00CD7C95"/>
    <w:rsid w:val="00CE3D5E"/>
    <w:rsid w:val="00CE49E7"/>
    <w:rsid w:val="00CE642E"/>
    <w:rsid w:val="00CF034B"/>
    <w:rsid w:val="00CF1510"/>
    <w:rsid w:val="00CF32E9"/>
    <w:rsid w:val="00CF345C"/>
    <w:rsid w:val="00CF3834"/>
    <w:rsid w:val="00CF3BF3"/>
    <w:rsid w:val="00CF4E94"/>
    <w:rsid w:val="00CF56C1"/>
    <w:rsid w:val="00CF75BA"/>
    <w:rsid w:val="00D00652"/>
    <w:rsid w:val="00D0100E"/>
    <w:rsid w:val="00D010E3"/>
    <w:rsid w:val="00D01A19"/>
    <w:rsid w:val="00D02E90"/>
    <w:rsid w:val="00D0482D"/>
    <w:rsid w:val="00D05810"/>
    <w:rsid w:val="00D0630C"/>
    <w:rsid w:val="00D10925"/>
    <w:rsid w:val="00D1347B"/>
    <w:rsid w:val="00D13C1B"/>
    <w:rsid w:val="00D15ADE"/>
    <w:rsid w:val="00D20416"/>
    <w:rsid w:val="00D20CCF"/>
    <w:rsid w:val="00D21942"/>
    <w:rsid w:val="00D22B65"/>
    <w:rsid w:val="00D23682"/>
    <w:rsid w:val="00D24935"/>
    <w:rsid w:val="00D26114"/>
    <w:rsid w:val="00D30BD9"/>
    <w:rsid w:val="00D30C9F"/>
    <w:rsid w:val="00D31275"/>
    <w:rsid w:val="00D3196B"/>
    <w:rsid w:val="00D324FC"/>
    <w:rsid w:val="00D3563F"/>
    <w:rsid w:val="00D35F36"/>
    <w:rsid w:val="00D3741C"/>
    <w:rsid w:val="00D378DF"/>
    <w:rsid w:val="00D401D9"/>
    <w:rsid w:val="00D41322"/>
    <w:rsid w:val="00D41A14"/>
    <w:rsid w:val="00D4242B"/>
    <w:rsid w:val="00D42B0C"/>
    <w:rsid w:val="00D47AC5"/>
    <w:rsid w:val="00D5090D"/>
    <w:rsid w:val="00D5113F"/>
    <w:rsid w:val="00D52351"/>
    <w:rsid w:val="00D54F2C"/>
    <w:rsid w:val="00D557B6"/>
    <w:rsid w:val="00D56336"/>
    <w:rsid w:val="00D56BA7"/>
    <w:rsid w:val="00D576E9"/>
    <w:rsid w:val="00D5781D"/>
    <w:rsid w:val="00D617EF"/>
    <w:rsid w:val="00D62ECD"/>
    <w:rsid w:val="00D65CF2"/>
    <w:rsid w:val="00D6642E"/>
    <w:rsid w:val="00D6682C"/>
    <w:rsid w:val="00D66CF8"/>
    <w:rsid w:val="00D66DB5"/>
    <w:rsid w:val="00D67F9B"/>
    <w:rsid w:val="00D7008D"/>
    <w:rsid w:val="00D7086E"/>
    <w:rsid w:val="00D70C49"/>
    <w:rsid w:val="00D70F3A"/>
    <w:rsid w:val="00D71EDD"/>
    <w:rsid w:val="00D72BEF"/>
    <w:rsid w:val="00D72C62"/>
    <w:rsid w:val="00D73886"/>
    <w:rsid w:val="00D76AB8"/>
    <w:rsid w:val="00D772B3"/>
    <w:rsid w:val="00D77A52"/>
    <w:rsid w:val="00D81B58"/>
    <w:rsid w:val="00D81C14"/>
    <w:rsid w:val="00D832D5"/>
    <w:rsid w:val="00D83376"/>
    <w:rsid w:val="00D8452E"/>
    <w:rsid w:val="00D84B5D"/>
    <w:rsid w:val="00D853FF"/>
    <w:rsid w:val="00D86403"/>
    <w:rsid w:val="00D86A1E"/>
    <w:rsid w:val="00D8705F"/>
    <w:rsid w:val="00D87A07"/>
    <w:rsid w:val="00D92A15"/>
    <w:rsid w:val="00D92D48"/>
    <w:rsid w:val="00D934FF"/>
    <w:rsid w:val="00D943DD"/>
    <w:rsid w:val="00D957C0"/>
    <w:rsid w:val="00D965FE"/>
    <w:rsid w:val="00DA0546"/>
    <w:rsid w:val="00DA1332"/>
    <w:rsid w:val="00DA377B"/>
    <w:rsid w:val="00DA48F6"/>
    <w:rsid w:val="00DA5238"/>
    <w:rsid w:val="00DA53C1"/>
    <w:rsid w:val="00DA5621"/>
    <w:rsid w:val="00DA5B67"/>
    <w:rsid w:val="00DA7484"/>
    <w:rsid w:val="00DA7A2A"/>
    <w:rsid w:val="00DA7ECD"/>
    <w:rsid w:val="00DB09E4"/>
    <w:rsid w:val="00DB194C"/>
    <w:rsid w:val="00DB2D17"/>
    <w:rsid w:val="00DB5E4D"/>
    <w:rsid w:val="00DB5F9F"/>
    <w:rsid w:val="00DB6D1F"/>
    <w:rsid w:val="00DC11CB"/>
    <w:rsid w:val="00DC13EA"/>
    <w:rsid w:val="00DC1BB7"/>
    <w:rsid w:val="00DC3ADA"/>
    <w:rsid w:val="00DC4A0B"/>
    <w:rsid w:val="00DC4D66"/>
    <w:rsid w:val="00DC73B8"/>
    <w:rsid w:val="00DC78F4"/>
    <w:rsid w:val="00DD026E"/>
    <w:rsid w:val="00DD0438"/>
    <w:rsid w:val="00DD110D"/>
    <w:rsid w:val="00DD1715"/>
    <w:rsid w:val="00DD2C4D"/>
    <w:rsid w:val="00DD35FE"/>
    <w:rsid w:val="00DD37BF"/>
    <w:rsid w:val="00DD387E"/>
    <w:rsid w:val="00DD4340"/>
    <w:rsid w:val="00DD44AD"/>
    <w:rsid w:val="00DD45F6"/>
    <w:rsid w:val="00DD4D01"/>
    <w:rsid w:val="00DD5596"/>
    <w:rsid w:val="00DD5A7F"/>
    <w:rsid w:val="00DD6B23"/>
    <w:rsid w:val="00DE1E06"/>
    <w:rsid w:val="00DE342A"/>
    <w:rsid w:val="00DE48C3"/>
    <w:rsid w:val="00DE493A"/>
    <w:rsid w:val="00DE5099"/>
    <w:rsid w:val="00DE58AE"/>
    <w:rsid w:val="00DE7190"/>
    <w:rsid w:val="00DF0EF1"/>
    <w:rsid w:val="00DF1157"/>
    <w:rsid w:val="00DF178D"/>
    <w:rsid w:val="00DF2711"/>
    <w:rsid w:val="00DF2E2D"/>
    <w:rsid w:val="00DF38C7"/>
    <w:rsid w:val="00DF4392"/>
    <w:rsid w:val="00DF4E1F"/>
    <w:rsid w:val="00DF69A1"/>
    <w:rsid w:val="00DF6DE1"/>
    <w:rsid w:val="00DF752E"/>
    <w:rsid w:val="00E0035B"/>
    <w:rsid w:val="00E0083F"/>
    <w:rsid w:val="00E00956"/>
    <w:rsid w:val="00E011B3"/>
    <w:rsid w:val="00E01A14"/>
    <w:rsid w:val="00E01A51"/>
    <w:rsid w:val="00E02EE2"/>
    <w:rsid w:val="00E04B3B"/>
    <w:rsid w:val="00E04D61"/>
    <w:rsid w:val="00E05109"/>
    <w:rsid w:val="00E05894"/>
    <w:rsid w:val="00E0642C"/>
    <w:rsid w:val="00E06BD0"/>
    <w:rsid w:val="00E07B23"/>
    <w:rsid w:val="00E109E0"/>
    <w:rsid w:val="00E11C47"/>
    <w:rsid w:val="00E1326E"/>
    <w:rsid w:val="00E13499"/>
    <w:rsid w:val="00E1364D"/>
    <w:rsid w:val="00E14FA3"/>
    <w:rsid w:val="00E151B6"/>
    <w:rsid w:val="00E153CF"/>
    <w:rsid w:val="00E1543D"/>
    <w:rsid w:val="00E15D9B"/>
    <w:rsid w:val="00E169B1"/>
    <w:rsid w:val="00E17572"/>
    <w:rsid w:val="00E176F6"/>
    <w:rsid w:val="00E177EE"/>
    <w:rsid w:val="00E20465"/>
    <w:rsid w:val="00E204AA"/>
    <w:rsid w:val="00E244AD"/>
    <w:rsid w:val="00E245F0"/>
    <w:rsid w:val="00E2566D"/>
    <w:rsid w:val="00E27820"/>
    <w:rsid w:val="00E304B3"/>
    <w:rsid w:val="00E3067B"/>
    <w:rsid w:val="00E31E73"/>
    <w:rsid w:val="00E32827"/>
    <w:rsid w:val="00E329AF"/>
    <w:rsid w:val="00E342B0"/>
    <w:rsid w:val="00E350B7"/>
    <w:rsid w:val="00E356BA"/>
    <w:rsid w:val="00E37D1E"/>
    <w:rsid w:val="00E37D9A"/>
    <w:rsid w:val="00E40979"/>
    <w:rsid w:val="00E435B7"/>
    <w:rsid w:val="00E43A26"/>
    <w:rsid w:val="00E4651A"/>
    <w:rsid w:val="00E466D8"/>
    <w:rsid w:val="00E4680B"/>
    <w:rsid w:val="00E46AF2"/>
    <w:rsid w:val="00E47557"/>
    <w:rsid w:val="00E503F7"/>
    <w:rsid w:val="00E52D23"/>
    <w:rsid w:val="00E5543F"/>
    <w:rsid w:val="00E6140D"/>
    <w:rsid w:val="00E61F52"/>
    <w:rsid w:val="00E6414B"/>
    <w:rsid w:val="00E6465B"/>
    <w:rsid w:val="00E64851"/>
    <w:rsid w:val="00E67C51"/>
    <w:rsid w:val="00E70BD3"/>
    <w:rsid w:val="00E71783"/>
    <w:rsid w:val="00E71794"/>
    <w:rsid w:val="00E71967"/>
    <w:rsid w:val="00E7237E"/>
    <w:rsid w:val="00E72A5A"/>
    <w:rsid w:val="00E72D5C"/>
    <w:rsid w:val="00E735B1"/>
    <w:rsid w:val="00E73BE0"/>
    <w:rsid w:val="00E741ED"/>
    <w:rsid w:val="00E770AD"/>
    <w:rsid w:val="00E77C43"/>
    <w:rsid w:val="00E77FD2"/>
    <w:rsid w:val="00E81DCB"/>
    <w:rsid w:val="00E85206"/>
    <w:rsid w:val="00E90B31"/>
    <w:rsid w:val="00E90BDF"/>
    <w:rsid w:val="00E929ED"/>
    <w:rsid w:val="00E940AC"/>
    <w:rsid w:val="00E94A46"/>
    <w:rsid w:val="00E94F36"/>
    <w:rsid w:val="00E95883"/>
    <w:rsid w:val="00E97C66"/>
    <w:rsid w:val="00EA258A"/>
    <w:rsid w:val="00EA447E"/>
    <w:rsid w:val="00EA4DBC"/>
    <w:rsid w:val="00EA50AB"/>
    <w:rsid w:val="00EA65CA"/>
    <w:rsid w:val="00EA7613"/>
    <w:rsid w:val="00EA7CA9"/>
    <w:rsid w:val="00EB037F"/>
    <w:rsid w:val="00EB10EA"/>
    <w:rsid w:val="00EB1595"/>
    <w:rsid w:val="00EB3036"/>
    <w:rsid w:val="00EB31AB"/>
    <w:rsid w:val="00EB4EFE"/>
    <w:rsid w:val="00EB5751"/>
    <w:rsid w:val="00EC175E"/>
    <w:rsid w:val="00EC22D7"/>
    <w:rsid w:val="00EC245A"/>
    <w:rsid w:val="00EC3661"/>
    <w:rsid w:val="00EC4BAE"/>
    <w:rsid w:val="00EC5B7C"/>
    <w:rsid w:val="00EC5D37"/>
    <w:rsid w:val="00EC6A3F"/>
    <w:rsid w:val="00ED2391"/>
    <w:rsid w:val="00ED2F22"/>
    <w:rsid w:val="00ED3DA3"/>
    <w:rsid w:val="00ED507C"/>
    <w:rsid w:val="00EE16D4"/>
    <w:rsid w:val="00EE6411"/>
    <w:rsid w:val="00EE66C7"/>
    <w:rsid w:val="00EE6B2F"/>
    <w:rsid w:val="00EE6BA3"/>
    <w:rsid w:val="00EE70C3"/>
    <w:rsid w:val="00EF02F8"/>
    <w:rsid w:val="00EF03F0"/>
    <w:rsid w:val="00EF0400"/>
    <w:rsid w:val="00EF1E39"/>
    <w:rsid w:val="00EF5730"/>
    <w:rsid w:val="00EF5C83"/>
    <w:rsid w:val="00EF7D7A"/>
    <w:rsid w:val="00F002B2"/>
    <w:rsid w:val="00F00AC2"/>
    <w:rsid w:val="00F01C27"/>
    <w:rsid w:val="00F0204B"/>
    <w:rsid w:val="00F03B3D"/>
    <w:rsid w:val="00F04992"/>
    <w:rsid w:val="00F05177"/>
    <w:rsid w:val="00F05F3F"/>
    <w:rsid w:val="00F0601A"/>
    <w:rsid w:val="00F06C8D"/>
    <w:rsid w:val="00F0724E"/>
    <w:rsid w:val="00F1004C"/>
    <w:rsid w:val="00F12DAA"/>
    <w:rsid w:val="00F12FA2"/>
    <w:rsid w:val="00F1392C"/>
    <w:rsid w:val="00F14C67"/>
    <w:rsid w:val="00F14C81"/>
    <w:rsid w:val="00F15518"/>
    <w:rsid w:val="00F162F4"/>
    <w:rsid w:val="00F17616"/>
    <w:rsid w:val="00F22E5F"/>
    <w:rsid w:val="00F233B0"/>
    <w:rsid w:val="00F24E5E"/>
    <w:rsid w:val="00F25D76"/>
    <w:rsid w:val="00F26C4A"/>
    <w:rsid w:val="00F26DA9"/>
    <w:rsid w:val="00F30BA3"/>
    <w:rsid w:val="00F31D64"/>
    <w:rsid w:val="00F33537"/>
    <w:rsid w:val="00F33736"/>
    <w:rsid w:val="00F33B09"/>
    <w:rsid w:val="00F3434E"/>
    <w:rsid w:val="00F358FC"/>
    <w:rsid w:val="00F36D4A"/>
    <w:rsid w:val="00F376EB"/>
    <w:rsid w:val="00F37FE5"/>
    <w:rsid w:val="00F40EC2"/>
    <w:rsid w:val="00F40EFA"/>
    <w:rsid w:val="00F41545"/>
    <w:rsid w:val="00F41EEA"/>
    <w:rsid w:val="00F42C05"/>
    <w:rsid w:val="00F4341D"/>
    <w:rsid w:val="00F4545C"/>
    <w:rsid w:val="00F45E80"/>
    <w:rsid w:val="00F46C24"/>
    <w:rsid w:val="00F50177"/>
    <w:rsid w:val="00F51132"/>
    <w:rsid w:val="00F51CC5"/>
    <w:rsid w:val="00F51E46"/>
    <w:rsid w:val="00F51F90"/>
    <w:rsid w:val="00F522D0"/>
    <w:rsid w:val="00F561BA"/>
    <w:rsid w:val="00F567BF"/>
    <w:rsid w:val="00F56AC0"/>
    <w:rsid w:val="00F56E55"/>
    <w:rsid w:val="00F56F0E"/>
    <w:rsid w:val="00F56F47"/>
    <w:rsid w:val="00F57335"/>
    <w:rsid w:val="00F57A39"/>
    <w:rsid w:val="00F61F72"/>
    <w:rsid w:val="00F62680"/>
    <w:rsid w:val="00F63723"/>
    <w:rsid w:val="00F63BA4"/>
    <w:rsid w:val="00F65E9E"/>
    <w:rsid w:val="00F67126"/>
    <w:rsid w:val="00F7025D"/>
    <w:rsid w:val="00F72085"/>
    <w:rsid w:val="00F7360F"/>
    <w:rsid w:val="00F73FF5"/>
    <w:rsid w:val="00F74EFB"/>
    <w:rsid w:val="00F7685E"/>
    <w:rsid w:val="00F76F54"/>
    <w:rsid w:val="00F7712A"/>
    <w:rsid w:val="00F77955"/>
    <w:rsid w:val="00F803F8"/>
    <w:rsid w:val="00F8144D"/>
    <w:rsid w:val="00F82B0E"/>
    <w:rsid w:val="00F8415B"/>
    <w:rsid w:val="00F84424"/>
    <w:rsid w:val="00F869F8"/>
    <w:rsid w:val="00F86B46"/>
    <w:rsid w:val="00F86BE3"/>
    <w:rsid w:val="00F90EFD"/>
    <w:rsid w:val="00F92332"/>
    <w:rsid w:val="00F926D8"/>
    <w:rsid w:val="00F93F4C"/>
    <w:rsid w:val="00F95106"/>
    <w:rsid w:val="00F9535B"/>
    <w:rsid w:val="00F95758"/>
    <w:rsid w:val="00F95DE8"/>
    <w:rsid w:val="00F962C7"/>
    <w:rsid w:val="00F96FD2"/>
    <w:rsid w:val="00F9780A"/>
    <w:rsid w:val="00FA06AC"/>
    <w:rsid w:val="00FA0E40"/>
    <w:rsid w:val="00FA13F8"/>
    <w:rsid w:val="00FA1906"/>
    <w:rsid w:val="00FA2EC0"/>
    <w:rsid w:val="00FA31AD"/>
    <w:rsid w:val="00FA3F1F"/>
    <w:rsid w:val="00FA47E1"/>
    <w:rsid w:val="00FA4EA3"/>
    <w:rsid w:val="00FB0933"/>
    <w:rsid w:val="00FB13E0"/>
    <w:rsid w:val="00FB38D6"/>
    <w:rsid w:val="00FB4CA8"/>
    <w:rsid w:val="00FB5077"/>
    <w:rsid w:val="00FB5EBA"/>
    <w:rsid w:val="00FB6B34"/>
    <w:rsid w:val="00FC07C4"/>
    <w:rsid w:val="00FC083B"/>
    <w:rsid w:val="00FC1619"/>
    <w:rsid w:val="00FC19E8"/>
    <w:rsid w:val="00FC22CF"/>
    <w:rsid w:val="00FC3B31"/>
    <w:rsid w:val="00FC43D1"/>
    <w:rsid w:val="00FC4541"/>
    <w:rsid w:val="00FC4958"/>
    <w:rsid w:val="00FC4BC6"/>
    <w:rsid w:val="00FC5866"/>
    <w:rsid w:val="00FC5B63"/>
    <w:rsid w:val="00FC5E53"/>
    <w:rsid w:val="00FC6A52"/>
    <w:rsid w:val="00FD0BDA"/>
    <w:rsid w:val="00FD3EB9"/>
    <w:rsid w:val="00FD4975"/>
    <w:rsid w:val="00FD4992"/>
    <w:rsid w:val="00FD4A19"/>
    <w:rsid w:val="00FD79FF"/>
    <w:rsid w:val="00FE297B"/>
    <w:rsid w:val="00FE3880"/>
    <w:rsid w:val="00FE47DF"/>
    <w:rsid w:val="00FE7555"/>
    <w:rsid w:val="00FE75DD"/>
    <w:rsid w:val="00FF0C5F"/>
    <w:rsid w:val="00FF0CC1"/>
    <w:rsid w:val="00FF1B1A"/>
    <w:rsid w:val="00FF253E"/>
    <w:rsid w:val="00FF274C"/>
    <w:rsid w:val="00FF2B67"/>
    <w:rsid w:val="00FF354D"/>
    <w:rsid w:val="00FF5DF6"/>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Normal">
    <w:name w:val="_TRNormal"/>
    <w:link w:val="TRNormalChar"/>
    <w:rsid w:val="00BC326C"/>
    <w:pPr>
      <w:spacing w:line="300" w:lineRule="atLeast"/>
      <w:jc w:val="both"/>
    </w:pPr>
    <w:rPr>
      <w:sz w:val="24"/>
      <w:lang w:eastAsia="en-AU"/>
    </w:rPr>
  </w:style>
  <w:style w:type="paragraph" w:customStyle="1" w:styleId="TRBodyText">
    <w:name w:val="_TRBody Text"/>
    <w:link w:val="TRBodyTextChar1"/>
    <w:rsid w:val="008B1B01"/>
    <w:pPr>
      <w:spacing w:line="300" w:lineRule="atLeast"/>
      <w:jc w:val="both"/>
    </w:pPr>
    <w:rPr>
      <w:sz w:val="24"/>
      <w:lang w:eastAsia="en-AU"/>
    </w:rPr>
  </w:style>
  <w:style w:type="paragraph" w:customStyle="1" w:styleId="TRListBullet">
    <w:name w:val="_TRList Bullet"/>
    <w:basedOn w:val="TRNormal"/>
    <w:rsid w:val="008B1B01"/>
    <w:pPr>
      <w:numPr>
        <w:numId w:val="3"/>
      </w:numPr>
      <w:spacing w:after="200"/>
    </w:pPr>
  </w:style>
  <w:style w:type="character" w:customStyle="1" w:styleId="TRBodyTextChar1">
    <w:name w:val="_TRBody Text Char1"/>
    <w:link w:val="TRBodyText"/>
    <w:rsid w:val="008B1B01"/>
    <w:rPr>
      <w:sz w:val="24"/>
      <w:lang w:eastAsia="en-AU"/>
    </w:rPr>
  </w:style>
  <w:style w:type="character" w:customStyle="1" w:styleId="TRNormalChar">
    <w:name w:val="_TRNormal Char"/>
    <w:basedOn w:val="DefaultParagraphFont"/>
    <w:link w:val="TRNormal"/>
    <w:rsid w:val="008B1B01"/>
    <w:rPr>
      <w:sz w:val="24"/>
      <w:lang w:eastAsia="en-AU"/>
    </w:rPr>
  </w:style>
  <w:style w:type="paragraph" w:customStyle="1" w:styleId="Numberparagraph">
    <w:name w:val="Number paragraph"/>
    <w:basedOn w:val="Normal"/>
    <w:qFormat/>
    <w:rsid w:val="005A1A42"/>
    <w:pPr>
      <w:numPr>
        <w:numId w:val="4"/>
      </w:numPr>
      <w:tabs>
        <w:tab w:val="left" w:pos="567"/>
      </w:tabs>
      <w:spacing w:after="0" w:line="240" w:lineRule="auto"/>
      <w:ind w:left="0" w:firstLine="0"/>
      <w:jc w:val="both"/>
    </w:pPr>
    <w:rPr>
      <w:rFonts w:ascii="Times New Roman" w:hAnsi="Times New Roman"/>
      <w:sz w:val="24"/>
      <w:szCs w:val="24"/>
      <w:lang w:val="en-NZ" w:eastAsia="en-AU"/>
    </w:rPr>
  </w:style>
  <w:style w:type="paragraph" w:customStyle="1" w:styleId="TRHeading2">
    <w:name w:val="_TRHeading 2"/>
    <w:basedOn w:val="Normal"/>
    <w:next w:val="TRNormal"/>
    <w:rsid w:val="00D3741C"/>
    <w:pPr>
      <w:keepNext/>
      <w:widowControl w:val="0"/>
      <w:spacing w:before="560" w:after="360" w:line="240" w:lineRule="auto"/>
    </w:pPr>
    <w:rPr>
      <w:rFonts w:ascii="Times New Roman" w:hAnsi="Times New Roman"/>
      <w:b/>
      <w:sz w:val="24"/>
      <w:lang w:val="en-NZ" w:eastAsia="en-AU"/>
    </w:rPr>
  </w:style>
  <w:style w:type="paragraph" w:customStyle="1" w:styleId="TRHeading3">
    <w:name w:val="_TRHeading 3"/>
    <w:basedOn w:val="TRHeading2"/>
    <w:next w:val="TRNormal"/>
    <w:rsid w:val="00D3741C"/>
    <w:rPr>
      <w:i/>
    </w:rPr>
  </w:style>
  <w:style w:type="paragraph" w:customStyle="1" w:styleId="Chapter9">
    <w:name w:val="Chapter 9"/>
    <w:link w:val="Chapter9Char"/>
    <w:rsid w:val="00013829"/>
    <w:pPr>
      <w:numPr>
        <w:numId w:val="6"/>
      </w:numPr>
      <w:tabs>
        <w:tab w:val="clear" w:pos="567"/>
        <w:tab w:val="num" w:pos="851"/>
      </w:tabs>
      <w:ind w:left="851" w:hanging="851"/>
      <w:jc w:val="both"/>
    </w:pPr>
    <w:rPr>
      <w:sz w:val="24"/>
      <w:szCs w:val="24"/>
      <w:lang w:val="en-AU" w:eastAsia="en-AU"/>
    </w:rPr>
  </w:style>
  <w:style w:type="character" w:customStyle="1" w:styleId="Chapter9Char">
    <w:name w:val="Chapter 9 Char"/>
    <w:basedOn w:val="DefaultParagraphFont"/>
    <w:link w:val="Chapter9"/>
    <w:rsid w:val="00013829"/>
    <w:rPr>
      <w:sz w:val="24"/>
      <w:szCs w:val="24"/>
      <w:lang w:val="en-AU" w:eastAsia="en-AU"/>
    </w:rPr>
  </w:style>
  <w:style w:type="paragraph" w:customStyle="1" w:styleId="Chapter10">
    <w:name w:val="Chapter 10"/>
    <w:rsid w:val="00013829"/>
    <w:pPr>
      <w:numPr>
        <w:numId w:val="7"/>
      </w:numPr>
      <w:tabs>
        <w:tab w:val="clear" w:pos="567"/>
        <w:tab w:val="num" w:pos="851"/>
      </w:tabs>
      <w:ind w:left="851" w:hanging="851"/>
    </w:pPr>
    <w:rPr>
      <w:sz w:val="24"/>
      <w:szCs w:val="24"/>
      <w:lang w:val="en-AU" w:eastAsia="en-AU"/>
    </w:rPr>
  </w:style>
  <w:style w:type="paragraph" w:customStyle="1" w:styleId="Bullets3">
    <w:name w:val="Bullets3"/>
    <w:basedOn w:val="Normal"/>
    <w:rsid w:val="00013829"/>
    <w:pPr>
      <w:numPr>
        <w:numId w:val="5"/>
      </w:numPr>
      <w:tabs>
        <w:tab w:val="clear" w:pos="567"/>
        <w:tab w:val="left" w:pos="1418"/>
      </w:tabs>
      <w:spacing w:after="0" w:line="240" w:lineRule="auto"/>
      <w:ind w:left="567"/>
      <w:jc w:val="both"/>
    </w:pPr>
    <w:rPr>
      <w:rFonts w:ascii="Times New Roman" w:hAnsi="Times New Roman"/>
      <w:sz w:val="24"/>
      <w:lang w:eastAsia="en-AU"/>
    </w:rPr>
  </w:style>
  <w:style w:type="paragraph" w:customStyle="1" w:styleId="Bullets">
    <w:name w:val="Bullets"/>
    <w:basedOn w:val="Bullets3"/>
    <w:qFormat/>
    <w:rsid w:val="00013829"/>
    <w:pPr>
      <w:tabs>
        <w:tab w:val="num" w:pos="567"/>
      </w:tabs>
      <w:spacing w:after="140"/>
      <w:ind w:left="1418"/>
    </w:pPr>
  </w:style>
  <w:style w:type="paragraph" w:customStyle="1" w:styleId="Chapter3">
    <w:name w:val="Chapter 3"/>
    <w:link w:val="Chapter3Char1"/>
    <w:qFormat/>
    <w:rsid w:val="004E5642"/>
    <w:pPr>
      <w:numPr>
        <w:numId w:val="8"/>
      </w:numPr>
      <w:jc w:val="both"/>
    </w:pPr>
    <w:rPr>
      <w:snapToGrid w:val="0"/>
      <w:sz w:val="24"/>
      <w:lang w:eastAsia="en-US"/>
    </w:rPr>
  </w:style>
  <w:style w:type="character" w:customStyle="1" w:styleId="Chapter3Char1">
    <w:name w:val="Chapter 3 Char1"/>
    <w:link w:val="Chapter3"/>
    <w:rsid w:val="004E5642"/>
    <w:rPr>
      <w:snapToGrid w:val="0"/>
      <w:sz w:val="24"/>
      <w:lang w:eastAsia="en-US"/>
    </w:rPr>
  </w:style>
  <w:style w:type="paragraph" w:customStyle="1" w:styleId="Chapter8">
    <w:name w:val="Chapter 8"/>
    <w:link w:val="Chapter8Char"/>
    <w:rsid w:val="00042E6C"/>
    <w:pPr>
      <w:numPr>
        <w:numId w:val="9"/>
      </w:numPr>
      <w:ind w:left="851" w:hanging="851"/>
      <w:jc w:val="both"/>
    </w:pPr>
    <w:rPr>
      <w:sz w:val="24"/>
      <w:szCs w:val="24"/>
      <w:lang w:eastAsia="en-AU"/>
    </w:rPr>
  </w:style>
  <w:style w:type="character" w:customStyle="1" w:styleId="Chapter8Char">
    <w:name w:val="Chapter 8 Char"/>
    <w:link w:val="Chapter8"/>
    <w:rsid w:val="00042E6C"/>
    <w:rPr>
      <w:sz w:val="24"/>
      <w:szCs w:val="24"/>
      <w:lang w:eastAsia="en-AU"/>
    </w:rPr>
  </w:style>
  <w:style w:type="paragraph" w:customStyle="1" w:styleId="Chapter6">
    <w:name w:val="Chapter 6"/>
    <w:link w:val="Chapter6Char"/>
    <w:rsid w:val="00F42C05"/>
    <w:pPr>
      <w:numPr>
        <w:numId w:val="10"/>
      </w:numPr>
      <w:jc w:val="both"/>
    </w:pPr>
    <w:rPr>
      <w:sz w:val="24"/>
      <w:lang w:eastAsia="en-AU"/>
    </w:rPr>
  </w:style>
  <w:style w:type="character" w:customStyle="1" w:styleId="Chapter6Char">
    <w:name w:val="Chapter 6 Char"/>
    <w:link w:val="Chapter6"/>
    <w:rsid w:val="00F42C05"/>
    <w:rPr>
      <w:sz w:val="24"/>
      <w:lang w:eastAsia="en-AU"/>
    </w:rPr>
  </w:style>
  <w:style w:type="paragraph" w:customStyle="1" w:styleId="TRBodyTextChar">
    <w:name w:val="_TRBody Text Char"/>
    <w:link w:val="TRBodyTextCharChar"/>
    <w:rsid w:val="0045441E"/>
    <w:pPr>
      <w:spacing w:line="300" w:lineRule="atLeast"/>
      <w:jc w:val="both"/>
    </w:pPr>
    <w:rPr>
      <w:sz w:val="24"/>
      <w:lang w:eastAsia="en-AU"/>
    </w:rPr>
  </w:style>
  <w:style w:type="character" w:customStyle="1" w:styleId="TRBodyTextCharChar">
    <w:name w:val="_TRBody Text Char Char"/>
    <w:basedOn w:val="DefaultParagraphFont"/>
    <w:link w:val="TRBodyTextChar"/>
    <w:rsid w:val="0045441E"/>
    <w:rPr>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Normal">
    <w:name w:val="_TRNormal"/>
    <w:link w:val="TRNormalChar"/>
    <w:rsid w:val="00BC326C"/>
    <w:pPr>
      <w:spacing w:line="300" w:lineRule="atLeast"/>
      <w:jc w:val="both"/>
    </w:pPr>
    <w:rPr>
      <w:sz w:val="24"/>
      <w:lang w:eastAsia="en-AU"/>
    </w:rPr>
  </w:style>
  <w:style w:type="paragraph" w:customStyle="1" w:styleId="TRBodyText">
    <w:name w:val="_TRBody Text"/>
    <w:link w:val="TRBodyTextChar1"/>
    <w:rsid w:val="008B1B01"/>
    <w:pPr>
      <w:spacing w:line="300" w:lineRule="atLeast"/>
      <w:jc w:val="both"/>
    </w:pPr>
    <w:rPr>
      <w:sz w:val="24"/>
      <w:lang w:eastAsia="en-AU"/>
    </w:rPr>
  </w:style>
  <w:style w:type="paragraph" w:customStyle="1" w:styleId="TRListBullet">
    <w:name w:val="_TRList Bullet"/>
    <w:basedOn w:val="TRNormal"/>
    <w:rsid w:val="008B1B01"/>
    <w:pPr>
      <w:numPr>
        <w:numId w:val="3"/>
      </w:numPr>
      <w:spacing w:after="200"/>
    </w:pPr>
  </w:style>
  <w:style w:type="character" w:customStyle="1" w:styleId="TRBodyTextChar1">
    <w:name w:val="_TRBody Text Char1"/>
    <w:link w:val="TRBodyText"/>
    <w:rsid w:val="008B1B01"/>
    <w:rPr>
      <w:sz w:val="24"/>
      <w:lang w:eastAsia="en-AU"/>
    </w:rPr>
  </w:style>
  <w:style w:type="character" w:customStyle="1" w:styleId="TRNormalChar">
    <w:name w:val="_TRNormal Char"/>
    <w:basedOn w:val="DefaultParagraphFont"/>
    <w:link w:val="TRNormal"/>
    <w:rsid w:val="008B1B01"/>
    <w:rPr>
      <w:sz w:val="24"/>
      <w:lang w:eastAsia="en-AU"/>
    </w:rPr>
  </w:style>
  <w:style w:type="paragraph" w:customStyle="1" w:styleId="Numberparagraph">
    <w:name w:val="Number paragraph"/>
    <w:basedOn w:val="Normal"/>
    <w:qFormat/>
    <w:rsid w:val="005A1A42"/>
    <w:pPr>
      <w:numPr>
        <w:numId w:val="4"/>
      </w:numPr>
      <w:tabs>
        <w:tab w:val="left" w:pos="567"/>
      </w:tabs>
      <w:spacing w:after="0" w:line="240" w:lineRule="auto"/>
      <w:ind w:left="0" w:firstLine="0"/>
      <w:jc w:val="both"/>
    </w:pPr>
    <w:rPr>
      <w:rFonts w:ascii="Times New Roman" w:hAnsi="Times New Roman"/>
      <w:sz w:val="24"/>
      <w:szCs w:val="24"/>
      <w:lang w:val="en-NZ" w:eastAsia="en-AU"/>
    </w:rPr>
  </w:style>
  <w:style w:type="paragraph" w:customStyle="1" w:styleId="TRHeading2">
    <w:name w:val="_TRHeading 2"/>
    <w:basedOn w:val="Normal"/>
    <w:next w:val="TRNormal"/>
    <w:rsid w:val="00D3741C"/>
    <w:pPr>
      <w:keepNext/>
      <w:widowControl w:val="0"/>
      <w:spacing w:before="560" w:after="360" w:line="240" w:lineRule="auto"/>
    </w:pPr>
    <w:rPr>
      <w:rFonts w:ascii="Times New Roman" w:hAnsi="Times New Roman"/>
      <w:b/>
      <w:sz w:val="24"/>
      <w:lang w:val="en-NZ" w:eastAsia="en-AU"/>
    </w:rPr>
  </w:style>
  <w:style w:type="paragraph" w:customStyle="1" w:styleId="TRHeading3">
    <w:name w:val="_TRHeading 3"/>
    <w:basedOn w:val="TRHeading2"/>
    <w:next w:val="TRNormal"/>
    <w:rsid w:val="00D3741C"/>
    <w:rPr>
      <w:i/>
    </w:rPr>
  </w:style>
  <w:style w:type="paragraph" w:customStyle="1" w:styleId="Chapter9">
    <w:name w:val="Chapter 9"/>
    <w:link w:val="Chapter9Char"/>
    <w:rsid w:val="00013829"/>
    <w:pPr>
      <w:numPr>
        <w:numId w:val="6"/>
      </w:numPr>
      <w:tabs>
        <w:tab w:val="clear" w:pos="567"/>
        <w:tab w:val="num" w:pos="851"/>
      </w:tabs>
      <w:ind w:left="851" w:hanging="851"/>
      <w:jc w:val="both"/>
    </w:pPr>
    <w:rPr>
      <w:sz w:val="24"/>
      <w:szCs w:val="24"/>
      <w:lang w:val="en-AU" w:eastAsia="en-AU"/>
    </w:rPr>
  </w:style>
  <w:style w:type="character" w:customStyle="1" w:styleId="Chapter9Char">
    <w:name w:val="Chapter 9 Char"/>
    <w:basedOn w:val="DefaultParagraphFont"/>
    <w:link w:val="Chapter9"/>
    <w:rsid w:val="00013829"/>
    <w:rPr>
      <w:sz w:val="24"/>
      <w:szCs w:val="24"/>
      <w:lang w:val="en-AU" w:eastAsia="en-AU"/>
    </w:rPr>
  </w:style>
  <w:style w:type="paragraph" w:customStyle="1" w:styleId="Chapter10">
    <w:name w:val="Chapter 10"/>
    <w:rsid w:val="00013829"/>
    <w:pPr>
      <w:numPr>
        <w:numId w:val="7"/>
      </w:numPr>
      <w:tabs>
        <w:tab w:val="clear" w:pos="567"/>
        <w:tab w:val="num" w:pos="851"/>
      </w:tabs>
      <w:ind w:left="851" w:hanging="851"/>
    </w:pPr>
    <w:rPr>
      <w:sz w:val="24"/>
      <w:szCs w:val="24"/>
      <w:lang w:val="en-AU" w:eastAsia="en-AU"/>
    </w:rPr>
  </w:style>
  <w:style w:type="paragraph" w:customStyle="1" w:styleId="Bullets3">
    <w:name w:val="Bullets3"/>
    <w:basedOn w:val="Normal"/>
    <w:rsid w:val="00013829"/>
    <w:pPr>
      <w:numPr>
        <w:numId w:val="5"/>
      </w:numPr>
      <w:tabs>
        <w:tab w:val="clear" w:pos="567"/>
        <w:tab w:val="left" w:pos="1418"/>
      </w:tabs>
      <w:spacing w:after="0" w:line="240" w:lineRule="auto"/>
      <w:ind w:left="567"/>
      <w:jc w:val="both"/>
    </w:pPr>
    <w:rPr>
      <w:rFonts w:ascii="Times New Roman" w:hAnsi="Times New Roman"/>
      <w:sz w:val="24"/>
      <w:lang w:eastAsia="en-AU"/>
    </w:rPr>
  </w:style>
  <w:style w:type="paragraph" w:customStyle="1" w:styleId="Bullets">
    <w:name w:val="Bullets"/>
    <w:basedOn w:val="Bullets3"/>
    <w:qFormat/>
    <w:rsid w:val="00013829"/>
    <w:pPr>
      <w:tabs>
        <w:tab w:val="num" w:pos="567"/>
      </w:tabs>
      <w:spacing w:after="140"/>
      <w:ind w:left="1418"/>
    </w:pPr>
  </w:style>
  <w:style w:type="paragraph" w:customStyle="1" w:styleId="Chapter3">
    <w:name w:val="Chapter 3"/>
    <w:link w:val="Chapter3Char1"/>
    <w:qFormat/>
    <w:rsid w:val="004E5642"/>
    <w:pPr>
      <w:numPr>
        <w:numId w:val="8"/>
      </w:numPr>
      <w:jc w:val="both"/>
    </w:pPr>
    <w:rPr>
      <w:snapToGrid w:val="0"/>
      <w:sz w:val="24"/>
      <w:lang w:eastAsia="en-US"/>
    </w:rPr>
  </w:style>
  <w:style w:type="character" w:customStyle="1" w:styleId="Chapter3Char1">
    <w:name w:val="Chapter 3 Char1"/>
    <w:link w:val="Chapter3"/>
    <w:rsid w:val="004E5642"/>
    <w:rPr>
      <w:snapToGrid w:val="0"/>
      <w:sz w:val="24"/>
      <w:lang w:eastAsia="en-US"/>
    </w:rPr>
  </w:style>
  <w:style w:type="paragraph" w:customStyle="1" w:styleId="Chapter8">
    <w:name w:val="Chapter 8"/>
    <w:link w:val="Chapter8Char"/>
    <w:rsid w:val="00042E6C"/>
    <w:pPr>
      <w:numPr>
        <w:numId w:val="9"/>
      </w:numPr>
      <w:ind w:left="851" w:hanging="851"/>
      <w:jc w:val="both"/>
    </w:pPr>
    <w:rPr>
      <w:sz w:val="24"/>
      <w:szCs w:val="24"/>
      <w:lang w:eastAsia="en-AU"/>
    </w:rPr>
  </w:style>
  <w:style w:type="character" w:customStyle="1" w:styleId="Chapter8Char">
    <w:name w:val="Chapter 8 Char"/>
    <w:link w:val="Chapter8"/>
    <w:rsid w:val="00042E6C"/>
    <w:rPr>
      <w:sz w:val="24"/>
      <w:szCs w:val="24"/>
      <w:lang w:eastAsia="en-AU"/>
    </w:rPr>
  </w:style>
  <w:style w:type="paragraph" w:customStyle="1" w:styleId="Chapter6">
    <w:name w:val="Chapter 6"/>
    <w:link w:val="Chapter6Char"/>
    <w:rsid w:val="00F42C05"/>
    <w:pPr>
      <w:numPr>
        <w:numId w:val="10"/>
      </w:numPr>
      <w:jc w:val="both"/>
    </w:pPr>
    <w:rPr>
      <w:sz w:val="24"/>
      <w:lang w:eastAsia="en-AU"/>
    </w:rPr>
  </w:style>
  <w:style w:type="character" w:customStyle="1" w:styleId="Chapter6Char">
    <w:name w:val="Chapter 6 Char"/>
    <w:link w:val="Chapter6"/>
    <w:rsid w:val="00F42C05"/>
    <w:rPr>
      <w:sz w:val="24"/>
      <w:lang w:eastAsia="en-AU"/>
    </w:rPr>
  </w:style>
  <w:style w:type="paragraph" w:customStyle="1" w:styleId="TRBodyTextChar">
    <w:name w:val="_TRBody Text Char"/>
    <w:link w:val="TRBodyTextCharChar"/>
    <w:rsid w:val="0045441E"/>
    <w:pPr>
      <w:spacing w:line="300" w:lineRule="atLeast"/>
      <w:jc w:val="both"/>
    </w:pPr>
    <w:rPr>
      <w:sz w:val="24"/>
      <w:lang w:eastAsia="en-AU"/>
    </w:rPr>
  </w:style>
  <w:style w:type="character" w:customStyle="1" w:styleId="TRBodyTextCharChar">
    <w:name w:val="_TRBody Text Char Char"/>
    <w:basedOn w:val="DefaultParagraphFont"/>
    <w:link w:val="TRBodyTextChar"/>
    <w:rsid w:val="0045441E"/>
    <w:rPr>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390347172">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88113">
      <w:bodyDiv w:val="1"/>
      <w:marLeft w:val="0"/>
      <w:marRight w:val="0"/>
      <w:marTop w:val="0"/>
      <w:marBottom w:val="0"/>
      <w:divBdr>
        <w:top w:val="none" w:sz="0" w:space="0" w:color="auto"/>
        <w:left w:val="none" w:sz="0" w:space="0" w:color="auto"/>
        <w:bottom w:val="none" w:sz="0" w:space="0" w:color="auto"/>
        <w:right w:val="none" w:sz="0" w:space="0" w:color="auto"/>
      </w:divBdr>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52A4-D9D4-43B1-BA69-9701D300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18538</Words>
  <Characters>101920</Characters>
  <Application>Microsoft Office Word</Application>
  <DocSecurity>0</DocSecurity>
  <Lines>3397</Lines>
  <Paragraphs>1065</Paragraphs>
  <ScaleCrop>false</ScaleCrop>
  <HeadingPairs>
    <vt:vector size="2" baseType="variant">
      <vt:variant>
        <vt:lpstr>Title</vt:lpstr>
      </vt:variant>
      <vt:variant>
        <vt:i4>1</vt:i4>
      </vt:variant>
    </vt:vector>
  </HeadingPairs>
  <TitlesOfParts>
    <vt:vector size="1" baseType="lpstr">
      <vt:lpstr>Regulatory impact statement - Review of closely held company taxation (December 2015)</vt:lpstr>
    </vt:vector>
  </TitlesOfParts>
  <Company>Inland Revenue</Company>
  <LinksUpToDate>false</LinksUpToDate>
  <CharactersWithSpaces>119393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Review of closely held company taxation (December 2015)</dc:title>
  <dc:creator>Policy and Strategy</dc:creator>
  <dc:description>Published May 2016.</dc:description>
  <cp:lastModifiedBy>David Nind</cp:lastModifiedBy>
  <cp:revision>2</cp:revision>
  <dcterms:created xsi:type="dcterms:W3CDTF">2016-05-02T21:42:00Z</dcterms:created>
  <dcterms:modified xsi:type="dcterms:W3CDTF">2016-05-02T21:43:00Z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