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F6" w:rsidRPr="00EA20F6" w:rsidRDefault="00EA20F6" w:rsidP="00EA20F6">
      <w:pPr>
        <w:pStyle w:val="ListParagraph"/>
        <w:ind w:left="0" w:right="170"/>
        <w:contextualSpacing w:val="0"/>
        <w:jc w:val="center"/>
        <w:rPr>
          <w:rFonts w:ascii="Times New Roman" w:hAnsi="Times New Roman"/>
          <w:b/>
          <w:sz w:val="32"/>
          <w:szCs w:val="24"/>
        </w:rPr>
      </w:pPr>
      <w:bookmarkStart w:id="0" w:name="_GoBack"/>
      <w:bookmarkEnd w:id="0"/>
      <w:r w:rsidRPr="00EA20F6">
        <w:rPr>
          <w:rFonts w:ascii="Times New Roman" w:hAnsi="Times New Roman"/>
          <w:b/>
          <w:sz w:val="32"/>
          <w:szCs w:val="24"/>
        </w:rPr>
        <w:t>Regulatory Impact Statement</w:t>
      </w:r>
    </w:p>
    <w:p w:rsidR="00EA20F6" w:rsidRDefault="00EA20F6" w:rsidP="00C74B45">
      <w:pPr>
        <w:pStyle w:val="ListParagraph"/>
        <w:ind w:left="0" w:right="170"/>
        <w:contextualSpacing w:val="0"/>
        <w:rPr>
          <w:rFonts w:ascii="Times New Roman" w:hAnsi="Times New Roman"/>
          <w:sz w:val="24"/>
          <w:szCs w:val="24"/>
        </w:rPr>
      </w:pPr>
    </w:p>
    <w:p w:rsidR="00EA20F6" w:rsidRPr="00EA20F6" w:rsidRDefault="00EA20F6" w:rsidP="00C74B45">
      <w:pPr>
        <w:pStyle w:val="ListParagraph"/>
        <w:ind w:left="0" w:right="170"/>
        <w:contextualSpacing w:val="0"/>
        <w:rPr>
          <w:rFonts w:ascii="Times New Roman" w:hAnsi="Times New Roman"/>
          <w:b/>
          <w:sz w:val="24"/>
          <w:szCs w:val="24"/>
        </w:rPr>
      </w:pPr>
      <w:r w:rsidRPr="00EA20F6">
        <w:rPr>
          <w:rFonts w:ascii="Times New Roman" w:hAnsi="Times New Roman"/>
          <w:b/>
          <w:sz w:val="24"/>
          <w:szCs w:val="24"/>
        </w:rPr>
        <w:t>Loss grouping and imputation credits</w:t>
      </w:r>
    </w:p>
    <w:p w:rsidR="00EA20F6" w:rsidRDefault="00EA20F6" w:rsidP="00C74B45">
      <w:pPr>
        <w:pStyle w:val="ListParagraph"/>
        <w:ind w:left="0" w:right="170"/>
        <w:contextualSpacing w:val="0"/>
        <w:rPr>
          <w:rFonts w:ascii="Times New Roman" w:hAnsi="Times New Roman"/>
          <w:sz w:val="24"/>
          <w:szCs w:val="24"/>
        </w:rPr>
      </w:pPr>
    </w:p>
    <w:p w:rsidR="00EA20F6" w:rsidRPr="00EA20F6" w:rsidRDefault="00EA20F6" w:rsidP="00C74B45">
      <w:pPr>
        <w:pStyle w:val="ListParagraph"/>
        <w:ind w:left="0" w:right="170"/>
        <w:contextualSpacing w:val="0"/>
        <w:rPr>
          <w:rFonts w:ascii="Times New Roman" w:hAnsi="Times New Roman"/>
          <w:b/>
          <w:sz w:val="24"/>
          <w:szCs w:val="24"/>
        </w:rPr>
      </w:pPr>
      <w:r w:rsidRPr="00EA20F6">
        <w:rPr>
          <w:rFonts w:ascii="Times New Roman" w:hAnsi="Times New Roman"/>
          <w:b/>
          <w:sz w:val="24"/>
          <w:szCs w:val="24"/>
        </w:rPr>
        <w:t>Agency Disclosure Statement</w:t>
      </w:r>
    </w:p>
    <w:p w:rsidR="00EA20F6" w:rsidRDefault="00EA20F6" w:rsidP="00C74B45">
      <w:pPr>
        <w:pStyle w:val="ListParagraph"/>
        <w:ind w:left="0" w:right="170"/>
        <w:contextualSpacing w:val="0"/>
        <w:rPr>
          <w:rFonts w:ascii="Times New Roman" w:hAnsi="Times New Roman"/>
          <w:sz w:val="24"/>
          <w:szCs w:val="24"/>
        </w:rPr>
      </w:pPr>
    </w:p>
    <w:p w:rsidR="000545DC" w:rsidRPr="004342F0" w:rsidRDefault="000545DC" w:rsidP="00C74B45">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w:t>
      </w:r>
      <w:r w:rsidR="00450C17">
        <w:rPr>
          <w:rFonts w:ascii="Times New Roman" w:hAnsi="Times New Roman"/>
          <w:sz w:val="24"/>
          <w:szCs w:val="24"/>
        </w:rPr>
        <w:t xml:space="preserve">(RIS) </w:t>
      </w:r>
      <w:r w:rsidRPr="004342F0">
        <w:rPr>
          <w:rFonts w:ascii="Times New Roman" w:hAnsi="Times New Roman"/>
          <w:sz w:val="24"/>
          <w:szCs w:val="24"/>
        </w:rPr>
        <w:t xml:space="preserve">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rsidR="004342F0" w:rsidRPr="004342F0" w:rsidRDefault="004342F0" w:rsidP="00C74B45">
      <w:pPr>
        <w:pStyle w:val="ListParagraph"/>
        <w:ind w:left="0" w:right="170"/>
        <w:contextualSpacing w:val="0"/>
        <w:rPr>
          <w:rFonts w:ascii="Times New Roman" w:hAnsi="Times New Roman"/>
          <w:sz w:val="24"/>
          <w:szCs w:val="24"/>
        </w:rPr>
      </w:pPr>
    </w:p>
    <w:p w:rsidR="00336B32" w:rsidRDefault="000545DC" w:rsidP="00C74B45">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It provides an analysis of options to </w:t>
      </w:r>
      <w:r w:rsidR="005E480B">
        <w:rPr>
          <w:rFonts w:ascii="Times New Roman" w:hAnsi="Times New Roman"/>
          <w:sz w:val="24"/>
          <w:szCs w:val="24"/>
        </w:rPr>
        <w:t xml:space="preserve">address the </w:t>
      </w:r>
      <w:r w:rsidR="00336B32">
        <w:rPr>
          <w:rFonts w:ascii="Times New Roman" w:hAnsi="Times New Roman"/>
          <w:sz w:val="24"/>
          <w:szCs w:val="24"/>
        </w:rPr>
        <w:t>current tax disadvantage created by the interaction of the loss grouping and dividend imputation rules for non-wholly owned companies that are part of a commonly-owned group</w:t>
      </w:r>
      <w:r w:rsidR="009E0E8F">
        <w:rPr>
          <w:rFonts w:ascii="Times New Roman" w:hAnsi="Times New Roman"/>
          <w:sz w:val="24"/>
          <w:szCs w:val="24"/>
        </w:rPr>
        <w:t>.</w:t>
      </w:r>
      <w:r w:rsidR="00B24B14">
        <w:rPr>
          <w:rFonts w:ascii="Times New Roman" w:hAnsi="Times New Roman"/>
          <w:sz w:val="24"/>
          <w:szCs w:val="24"/>
        </w:rPr>
        <w:t xml:space="preserve">  </w:t>
      </w:r>
      <w:r w:rsidR="00E14A4D">
        <w:rPr>
          <w:rFonts w:ascii="Times New Roman" w:hAnsi="Times New Roman"/>
          <w:sz w:val="24"/>
          <w:szCs w:val="24"/>
        </w:rPr>
        <w:t>This tax disadvantage arises from the claw-back of the benefit of loss grouping when the recipient of the loss doesn’t have sufficient imputation credits to impute a dividend to its shareholders resulting in additional tax being required to be paid.</w:t>
      </w:r>
    </w:p>
    <w:p w:rsidR="00336B32" w:rsidRDefault="00336B32" w:rsidP="00C74B45">
      <w:pPr>
        <w:pStyle w:val="ListParagraph"/>
        <w:ind w:left="0" w:right="170"/>
        <w:contextualSpacing w:val="0"/>
        <w:rPr>
          <w:rFonts w:ascii="Times New Roman" w:hAnsi="Times New Roman"/>
          <w:sz w:val="24"/>
          <w:szCs w:val="24"/>
        </w:rPr>
      </w:pPr>
    </w:p>
    <w:p w:rsidR="00336B32" w:rsidRDefault="009B50E9" w:rsidP="00C74B45">
      <w:pPr>
        <w:pStyle w:val="ListParagraph"/>
        <w:ind w:left="0" w:right="170"/>
        <w:contextualSpacing w:val="0"/>
        <w:rPr>
          <w:rFonts w:ascii="Times New Roman" w:hAnsi="Times New Roman"/>
          <w:sz w:val="24"/>
          <w:szCs w:val="24"/>
        </w:rPr>
      </w:pPr>
      <w:r>
        <w:rPr>
          <w:rFonts w:ascii="Times New Roman" w:hAnsi="Times New Roman"/>
          <w:sz w:val="24"/>
          <w:szCs w:val="24"/>
        </w:rPr>
        <w:t xml:space="preserve">The tax disadvantage is an unintended outcome of the interaction between the </w:t>
      </w:r>
      <w:r w:rsidR="00EA20F6">
        <w:rPr>
          <w:rFonts w:ascii="Times New Roman" w:hAnsi="Times New Roman"/>
          <w:sz w:val="24"/>
          <w:szCs w:val="24"/>
        </w:rPr>
        <w:t xml:space="preserve">two sets of </w:t>
      </w:r>
      <w:r>
        <w:rPr>
          <w:rFonts w:ascii="Times New Roman" w:hAnsi="Times New Roman"/>
          <w:sz w:val="24"/>
          <w:szCs w:val="24"/>
        </w:rPr>
        <w:t xml:space="preserve">rules, is inconsistent with </w:t>
      </w:r>
      <w:r w:rsidR="00EA20F6">
        <w:rPr>
          <w:rFonts w:ascii="Times New Roman" w:hAnsi="Times New Roman"/>
          <w:sz w:val="24"/>
          <w:szCs w:val="24"/>
        </w:rPr>
        <w:t xml:space="preserve">current </w:t>
      </w:r>
      <w:r>
        <w:rPr>
          <w:rFonts w:ascii="Times New Roman" w:hAnsi="Times New Roman"/>
          <w:sz w:val="24"/>
          <w:szCs w:val="24"/>
        </w:rPr>
        <w:t xml:space="preserve">tax settings and leads to sub-optimal decision making (i.e. it </w:t>
      </w:r>
      <w:r w:rsidR="00EA20F6">
        <w:rPr>
          <w:rFonts w:ascii="Times New Roman" w:hAnsi="Times New Roman"/>
          <w:sz w:val="24"/>
          <w:szCs w:val="24"/>
        </w:rPr>
        <w:t xml:space="preserve">creates an incentive for </w:t>
      </w:r>
      <w:r>
        <w:rPr>
          <w:rFonts w:ascii="Times New Roman" w:hAnsi="Times New Roman"/>
          <w:sz w:val="24"/>
          <w:szCs w:val="24"/>
        </w:rPr>
        <w:t>100</w:t>
      </w:r>
      <w:r w:rsidR="00EA20F6">
        <w:rPr>
          <w:rFonts w:ascii="Times New Roman" w:hAnsi="Times New Roman"/>
          <w:sz w:val="24"/>
          <w:szCs w:val="24"/>
        </w:rPr>
        <w:t xml:space="preserve"> percent, rather than partial, corporate acquisitions in circumstances where this may not be the most economically efficient outcome</w:t>
      </w:r>
      <w:r w:rsidR="00DB4628">
        <w:rPr>
          <w:rFonts w:ascii="Times New Roman" w:hAnsi="Times New Roman"/>
          <w:sz w:val="24"/>
          <w:szCs w:val="24"/>
        </w:rPr>
        <w:t>)</w:t>
      </w:r>
      <w:r w:rsidR="00EA20F6">
        <w:rPr>
          <w:rFonts w:ascii="Times New Roman" w:hAnsi="Times New Roman"/>
          <w:sz w:val="24"/>
          <w:szCs w:val="24"/>
        </w:rPr>
        <w:t xml:space="preserve">.  </w:t>
      </w:r>
    </w:p>
    <w:p w:rsidR="00336B32" w:rsidRDefault="00336B32" w:rsidP="00C74B45">
      <w:pPr>
        <w:pStyle w:val="ListParagraph"/>
        <w:ind w:left="0" w:right="170"/>
        <w:contextualSpacing w:val="0"/>
        <w:rPr>
          <w:rFonts w:ascii="Times New Roman" w:hAnsi="Times New Roman"/>
          <w:sz w:val="24"/>
          <w:szCs w:val="24"/>
        </w:rPr>
      </w:pPr>
    </w:p>
    <w:p w:rsidR="00BE4CCA" w:rsidRDefault="00336B32" w:rsidP="00BE4CCA">
      <w:pPr>
        <w:pStyle w:val="ListParagraph"/>
        <w:ind w:left="0" w:right="170"/>
        <w:contextualSpacing w:val="0"/>
        <w:rPr>
          <w:rFonts w:ascii="Times New Roman" w:hAnsi="Times New Roman"/>
          <w:sz w:val="24"/>
          <w:szCs w:val="24"/>
        </w:rPr>
      </w:pPr>
      <w:r>
        <w:rPr>
          <w:rFonts w:ascii="Times New Roman" w:hAnsi="Times New Roman"/>
          <w:sz w:val="24"/>
          <w:szCs w:val="24"/>
        </w:rPr>
        <w:t xml:space="preserve">Analysis of the status quo involved reviewing a sample of the population of all companies that </w:t>
      </w:r>
      <w:r w:rsidR="00DB4628">
        <w:rPr>
          <w:rFonts w:ascii="Times New Roman" w:hAnsi="Times New Roman"/>
          <w:sz w:val="24"/>
          <w:szCs w:val="24"/>
        </w:rPr>
        <w:t>undertook a loss offset or subvention payment</w:t>
      </w:r>
      <w:r>
        <w:rPr>
          <w:rFonts w:ascii="Times New Roman" w:hAnsi="Times New Roman"/>
          <w:sz w:val="24"/>
          <w:szCs w:val="24"/>
        </w:rPr>
        <w:t>.  This sample was reviewed to check the ownership structure and</w:t>
      </w:r>
      <w:r w:rsidR="00E14A4D">
        <w:rPr>
          <w:rFonts w:ascii="Times New Roman" w:hAnsi="Times New Roman"/>
          <w:sz w:val="24"/>
          <w:szCs w:val="24"/>
        </w:rPr>
        <w:t>,</w:t>
      </w:r>
      <w:r>
        <w:rPr>
          <w:rFonts w:ascii="Times New Roman" w:hAnsi="Times New Roman"/>
          <w:sz w:val="24"/>
          <w:szCs w:val="24"/>
        </w:rPr>
        <w:t xml:space="preserve"> if these companies were non-wholly owned</w:t>
      </w:r>
      <w:r w:rsidR="00E14A4D">
        <w:rPr>
          <w:rFonts w:ascii="Times New Roman" w:hAnsi="Times New Roman"/>
          <w:sz w:val="24"/>
          <w:szCs w:val="24"/>
        </w:rPr>
        <w:t>,</w:t>
      </w:r>
      <w:r>
        <w:rPr>
          <w:rFonts w:ascii="Times New Roman" w:hAnsi="Times New Roman"/>
          <w:sz w:val="24"/>
          <w:szCs w:val="24"/>
        </w:rPr>
        <w:t xml:space="preserve"> whether they</w:t>
      </w:r>
      <w:r w:rsidR="00E14A4D">
        <w:rPr>
          <w:rFonts w:ascii="Times New Roman" w:hAnsi="Times New Roman"/>
          <w:sz w:val="24"/>
          <w:szCs w:val="24"/>
        </w:rPr>
        <w:t xml:space="preserve"> paid unimputed dividends to their</w:t>
      </w:r>
      <w:r>
        <w:rPr>
          <w:rFonts w:ascii="Times New Roman" w:hAnsi="Times New Roman"/>
          <w:sz w:val="24"/>
          <w:szCs w:val="24"/>
        </w:rPr>
        <w:t xml:space="preserve"> shareholders.</w:t>
      </w:r>
    </w:p>
    <w:p w:rsidR="00BE4CCA" w:rsidRDefault="00BE4CCA" w:rsidP="00BE4CCA">
      <w:pPr>
        <w:pStyle w:val="ListParagraph"/>
        <w:ind w:left="0" w:right="170"/>
        <w:contextualSpacing w:val="0"/>
        <w:rPr>
          <w:rFonts w:ascii="Times New Roman" w:hAnsi="Times New Roman"/>
          <w:sz w:val="24"/>
          <w:szCs w:val="24"/>
        </w:rPr>
      </w:pPr>
    </w:p>
    <w:p w:rsidR="00BE4CCA" w:rsidRDefault="00336B32" w:rsidP="00BE4CCA">
      <w:pPr>
        <w:pStyle w:val="ListParagraph"/>
        <w:ind w:left="0" w:right="170"/>
        <w:contextualSpacing w:val="0"/>
        <w:rPr>
          <w:rFonts w:ascii="Times New Roman" w:hAnsi="Times New Roman"/>
          <w:sz w:val="24"/>
          <w:szCs w:val="24"/>
        </w:rPr>
      </w:pPr>
      <w:r>
        <w:rPr>
          <w:rFonts w:ascii="Times New Roman" w:hAnsi="Times New Roman"/>
          <w:sz w:val="24"/>
          <w:szCs w:val="24"/>
        </w:rPr>
        <w:t>There are two key constraints on</w:t>
      </w:r>
      <w:r w:rsidR="00BE4CCA">
        <w:rPr>
          <w:rFonts w:ascii="Times New Roman" w:hAnsi="Times New Roman"/>
          <w:sz w:val="24"/>
          <w:szCs w:val="24"/>
        </w:rPr>
        <w:t xml:space="preserve"> the analysis:</w:t>
      </w:r>
    </w:p>
    <w:p w:rsidR="00BE4CCA" w:rsidRDefault="00BE4CCA" w:rsidP="00BE4CCA">
      <w:pPr>
        <w:pStyle w:val="ListParagraph"/>
        <w:ind w:left="0" w:right="170"/>
        <w:contextualSpacing w:val="0"/>
        <w:rPr>
          <w:rFonts w:ascii="Times New Roman" w:hAnsi="Times New Roman"/>
          <w:sz w:val="24"/>
          <w:szCs w:val="24"/>
        </w:rPr>
      </w:pPr>
    </w:p>
    <w:p w:rsidR="001D0096" w:rsidRDefault="00EC3F32" w:rsidP="00DB4628">
      <w:pPr>
        <w:pStyle w:val="ListParagraph"/>
        <w:numPr>
          <w:ilvl w:val="0"/>
          <w:numId w:val="14"/>
        </w:numPr>
        <w:ind w:right="170"/>
        <w:contextualSpacing w:val="0"/>
        <w:rPr>
          <w:rFonts w:ascii="Times New Roman" w:hAnsi="Times New Roman"/>
          <w:sz w:val="24"/>
          <w:szCs w:val="24"/>
        </w:rPr>
      </w:pPr>
      <w:r w:rsidRPr="001D0096">
        <w:rPr>
          <w:rFonts w:ascii="Times New Roman" w:hAnsi="Times New Roman"/>
          <w:sz w:val="24"/>
          <w:szCs w:val="24"/>
        </w:rPr>
        <w:t xml:space="preserve">Because of data limitations </w:t>
      </w:r>
      <w:r w:rsidR="00CB20BC">
        <w:rPr>
          <w:rFonts w:ascii="Times New Roman" w:hAnsi="Times New Roman"/>
          <w:sz w:val="24"/>
          <w:szCs w:val="24"/>
        </w:rPr>
        <w:t xml:space="preserve">it </w:t>
      </w:r>
      <w:r w:rsidRPr="001D0096">
        <w:rPr>
          <w:rFonts w:ascii="Times New Roman" w:hAnsi="Times New Roman"/>
          <w:sz w:val="24"/>
          <w:szCs w:val="24"/>
        </w:rPr>
        <w:t xml:space="preserve">is not possible to ascertain the  reasons why companies may be paying unimputed dividends or </w:t>
      </w:r>
      <w:r w:rsidR="009B50E9" w:rsidRPr="001D0096">
        <w:rPr>
          <w:rFonts w:ascii="Times New Roman" w:hAnsi="Times New Roman"/>
          <w:sz w:val="24"/>
          <w:szCs w:val="24"/>
        </w:rPr>
        <w:t xml:space="preserve">how many companies are choosing to remain </w:t>
      </w:r>
      <w:r w:rsidRPr="001D0096">
        <w:rPr>
          <w:rFonts w:ascii="Times New Roman" w:hAnsi="Times New Roman"/>
          <w:sz w:val="24"/>
          <w:szCs w:val="24"/>
        </w:rPr>
        <w:t xml:space="preserve">in a </w:t>
      </w:r>
      <w:r w:rsidR="009B50E9" w:rsidRPr="001D0096">
        <w:rPr>
          <w:rFonts w:ascii="Times New Roman" w:hAnsi="Times New Roman"/>
          <w:sz w:val="24"/>
          <w:szCs w:val="24"/>
        </w:rPr>
        <w:t xml:space="preserve">wholly-owned </w:t>
      </w:r>
      <w:r w:rsidRPr="001D0096">
        <w:rPr>
          <w:rFonts w:ascii="Times New Roman" w:hAnsi="Times New Roman"/>
          <w:sz w:val="24"/>
          <w:szCs w:val="24"/>
        </w:rPr>
        <w:t xml:space="preserve">group structure in order to </w:t>
      </w:r>
      <w:r w:rsidR="00DB4628">
        <w:rPr>
          <w:rFonts w:ascii="Times New Roman" w:hAnsi="Times New Roman"/>
          <w:sz w:val="24"/>
          <w:szCs w:val="24"/>
        </w:rPr>
        <w:t>prevent</w:t>
      </w:r>
      <w:r w:rsidR="00DB4628" w:rsidRPr="001D0096">
        <w:rPr>
          <w:rFonts w:ascii="Times New Roman" w:hAnsi="Times New Roman"/>
          <w:sz w:val="24"/>
          <w:szCs w:val="24"/>
        </w:rPr>
        <w:t xml:space="preserve"> </w:t>
      </w:r>
      <w:r w:rsidRPr="001D0096">
        <w:rPr>
          <w:rFonts w:ascii="Times New Roman" w:hAnsi="Times New Roman"/>
          <w:sz w:val="24"/>
          <w:szCs w:val="24"/>
        </w:rPr>
        <w:t xml:space="preserve">the </w:t>
      </w:r>
      <w:r w:rsidR="009B50E9" w:rsidRPr="00450C17">
        <w:rPr>
          <w:rFonts w:ascii="Times New Roman" w:hAnsi="Times New Roman"/>
          <w:sz w:val="24"/>
          <w:szCs w:val="24"/>
        </w:rPr>
        <w:t>tax disadvantag</w:t>
      </w:r>
      <w:r w:rsidR="009B50E9" w:rsidRPr="004C2B79">
        <w:rPr>
          <w:rFonts w:ascii="Times New Roman" w:hAnsi="Times New Roman"/>
          <w:sz w:val="24"/>
          <w:szCs w:val="24"/>
        </w:rPr>
        <w:t>e</w:t>
      </w:r>
      <w:r w:rsidR="00DB4628">
        <w:rPr>
          <w:rFonts w:ascii="Times New Roman" w:hAnsi="Times New Roman"/>
          <w:sz w:val="24"/>
          <w:szCs w:val="24"/>
        </w:rPr>
        <w:t xml:space="preserve"> arising</w:t>
      </w:r>
      <w:r w:rsidR="009B50E9" w:rsidRPr="004C2B79">
        <w:rPr>
          <w:rFonts w:ascii="Times New Roman" w:hAnsi="Times New Roman"/>
          <w:sz w:val="24"/>
          <w:szCs w:val="24"/>
        </w:rPr>
        <w:t xml:space="preserve">.  </w:t>
      </w:r>
      <w:r w:rsidRPr="004C2B79">
        <w:rPr>
          <w:rFonts w:ascii="Times New Roman" w:hAnsi="Times New Roman"/>
          <w:sz w:val="24"/>
          <w:szCs w:val="24"/>
        </w:rPr>
        <w:t xml:space="preserve">Consequently, it is not possible to </w:t>
      </w:r>
      <w:r w:rsidR="00572CCE" w:rsidRPr="004C2B79">
        <w:rPr>
          <w:rFonts w:ascii="Times New Roman" w:hAnsi="Times New Roman"/>
          <w:sz w:val="24"/>
          <w:szCs w:val="24"/>
        </w:rPr>
        <w:t xml:space="preserve">determine </w:t>
      </w:r>
      <w:r w:rsidRPr="004C2B79">
        <w:rPr>
          <w:rFonts w:ascii="Times New Roman" w:hAnsi="Times New Roman"/>
          <w:sz w:val="24"/>
          <w:szCs w:val="24"/>
        </w:rPr>
        <w:t>the full extent of the problem</w:t>
      </w:r>
      <w:r w:rsidR="009B50E9" w:rsidRPr="004C2B79">
        <w:rPr>
          <w:rFonts w:ascii="Times New Roman" w:hAnsi="Times New Roman"/>
          <w:sz w:val="24"/>
          <w:szCs w:val="24"/>
        </w:rPr>
        <w:t>.</w:t>
      </w:r>
    </w:p>
    <w:p w:rsidR="001D0096" w:rsidRDefault="001D0096" w:rsidP="00BE4CCA">
      <w:pPr>
        <w:pStyle w:val="ListParagraph"/>
        <w:ind w:left="0" w:right="170"/>
        <w:contextualSpacing w:val="0"/>
        <w:rPr>
          <w:rFonts w:ascii="Times New Roman" w:hAnsi="Times New Roman"/>
          <w:sz w:val="24"/>
          <w:szCs w:val="24"/>
        </w:rPr>
      </w:pPr>
    </w:p>
    <w:p w:rsidR="00395608" w:rsidRPr="004342F0" w:rsidRDefault="00572CCE" w:rsidP="001D0096">
      <w:pPr>
        <w:pStyle w:val="ListParagraph"/>
        <w:numPr>
          <w:ilvl w:val="0"/>
          <w:numId w:val="13"/>
        </w:numPr>
        <w:ind w:right="170"/>
        <w:contextualSpacing w:val="0"/>
        <w:rPr>
          <w:rFonts w:ascii="Times New Roman" w:hAnsi="Times New Roman"/>
          <w:sz w:val="24"/>
          <w:szCs w:val="24"/>
        </w:rPr>
      </w:pPr>
      <w:r w:rsidRPr="00572CCE">
        <w:rPr>
          <w:rFonts w:ascii="Times New Roman" w:hAnsi="Times New Roman"/>
          <w:sz w:val="24"/>
          <w:szCs w:val="24"/>
          <w:lang w:val="en-GB"/>
        </w:rPr>
        <w:t xml:space="preserve">A number of assumptions </w:t>
      </w:r>
      <w:r w:rsidR="00CB20BC">
        <w:rPr>
          <w:rFonts w:ascii="Times New Roman" w:hAnsi="Times New Roman"/>
          <w:sz w:val="24"/>
          <w:szCs w:val="24"/>
          <w:lang w:val="en-GB"/>
        </w:rPr>
        <w:t xml:space="preserve">were made in order </w:t>
      </w:r>
      <w:r w:rsidRPr="00572CCE">
        <w:rPr>
          <w:rFonts w:ascii="Times New Roman" w:hAnsi="Times New Roman"/>
          <w:sz w:val="24"/>
          <w:szCs w:val="24"/>
          <w:lang w:val="en-GB"/>
        </w:rPr>
        <w:t xml:space="preserve">to determine the </w:t>
      </w:r>
      <w:r w:rsidR="00CB20BC">
        <w:rPr>
          <w:rFonts w:ascii="Times New Roman" w:hAnsi="Times New Roman"/>
          <w:sz w:val="24"/>
          <w:szCs w:val="24"/>
          <w:lang w:val="en-GB"/>
        </w:rPr>
        <w:t xml:space="preserve">likely </w:t>
      </w:r>
      <w:r w:rsidRPr="00572CCE">
        <w:rPr>
          <w:rFonts w:ascii="Times New Roman" w:hAnsi="Times New Roman"/>
          <w:sz w:val="24"/>
          <w:szCs w:val="24"/>
          <w:lang w:val="en-GB"/>
        </w:rPr>
        <w:t xml:space="preserve">fiscal impact.  </w:t>
      </w:r>
      <w:r>
        <w:rPr>
          <w:rFonts w:ascii="Times New Roman" w:hAnsi="Times New Roman"/>
          <w:sz w:val="24"/>
          <w:szCs w:val="24"/>
        </w:rPr>
        <w:t xml:space="preserve">The </w:t>
      </w:r>
      <w:r w:rsidR="009B50E9">
        <w:rPr>
          <w:rFonts w:ascii="Times New Roman" w:hAnsi="Times New Roman"/>
          <w:sz w:val="24"/>
          <w:szCs w:val="24"/>
        </w:rPr>
        <w:t>tax disadvantage</w:t>
      </w:r>
      <w:r w:rsidR="00395608">
        <w:rPr>
          <w:rFonts w:ascii="Times New Roman" w:hAnsi="Times New Roman"/>
          <w:sz w:val="24"/>
          <w:szCs w:val="24"/>
        </w:rPr>
        <w:t xml:space="preserve"> does not appear to raise significant tax </w:t>
      </w:r>
      <w:r w:rsidR="009E0E8F">
        <w:rPr>
          <w:rFonts w:ascii="Times New Roman" w:hAnsi="Times New Roman"/>
          <w:sz w:val="24"/>
          <w:szCs w:val="24"/>
        </w:rPr>
        <w:t xml:space="preserve">revenue </w:t>
      </w:r>
      <w:r w:rsidR="00395608">
        <w:rPr>
          <w:rFonts w:ascii="Times New Roman" w:hAnsi="Times New Roman"/>
          <w:sz w:val="24"/>
          <w:szCs w:val="24"/>
        </w:rPr>
        <w:t xml:space="preserve">as taxpayers </w:t>
      </w:r>
      <w:r w:rsidR="001C0F8D">
        <w:rPr>
          <w:rFonts w:ascii="Times New Roman" w:hAnsi="Times New Roman"/>
          <w:sz w:val="24"/>
          <w:szCs w:val="24"/>
        </w:rPr>
        <w:t xml:space="preserve">can </w:t>
      </w:r>
      <w:r w:rsidR="00395608">
        <w:rPr>
          <w:rFonts w:ascii="Times New Roman" w:hAnsi="Times New Roman"/>
          <w:sz w:val="24"/>
          <w:szCs w:val="24"/>
        </w:rPr>
        <w:t xml:space="preserve">structure their affairs to </w:t>
      </w:r>
      <w:r w:rsidR="001C0F8D">
        <w:rPr>
          <w:rFonts w:ascii="Times New Roman" w:hAnsi="Times New Roman"/>
          <w:sz w:val="24"/>
          <w:szCs w:val="24"/>
        </w:rPr>
        <w:t>prevent</w:t>
      </w:r>
      <w:r w:rsidR="00395608">
        <w:rPr>
          <w:rFonts w:ascii="Times New Roman" w:hAnsi="Times New Roman"/>
          <w:sz w:val="24"/>
          <w:szCs w:val="24"/>
        </w:rPr>
        <w:t xml:space="preserve"> the taxation of unimputed dividends.  </w:t>
      </w:r>
      <w:r w:rsidR="009E0E8F">
        <w:rPr>
          <w:rFonts w:ascii="Times New Roman" w:hAnsi="Times New Roman"/>
          <w:sz w:val="24"/>
          <w:szCs w:val="24"/>
        </w:rPr>
        <w:t>Structuring o</w:t>
      </w:r>
      <w:r w:rsidR="00395608">
        <w:rPr>
          <w:rFonts w:ascii="Times New Roman" w:hAnsi="Times New Roman"/>
          <w:sz w:val="24"/>
          <w:szCs w:val="24"/>
        </w:rPr>
        <w:t>ptions to achieve this include: staying as a wholly</w:t>
      </w:r>
      <w:r w:rsidR="009E0E8F">
        <w:rPr>
          <w:rFonts w:ascii="Times New Roman" w:hAnsi="Times New Roman"/>
          <w:sz w:val="24"/>
          <w:szCs w:val="24"/>
        </w:rPr>
        <w:t>-</w:t>
      </w:r>
      <w:r w:rsidR="00395608">
        <w:rPr>
          <w:rFonts w:ascii="Times New Roman" w:hAnsi="Times New Roman"/>
          <w:sz w:val="24"/>
          <w:szCs w:val="24"/>
        </w:rPr>
        <w:t xml:space="preserve">owned group; not paying dividends; not </w:t>
      </w:r>
      <w:r w:rsidR="009E0E8F">
        <w:rPr>
          <w:rFonts w:ascii="Times New Roman" w:hAnsi="Times New Roman"/>
          <w:sz w:val="24"/>
          <w:szCs w:val="24"/>
        </w:rPr>
        <w:t xml:space="preserve">grouping </w:t>
      </w:r>
      <w:r w:rsidR="00395608">
        <w:rPr>
          <w:rFonts w:ascii="Times New Roman" w:hAnsi="Times New Roman"/>
          <w:sz w:val="24"/>
          <w:szCs w:val="24"/>
        </w:rPr>
        <w:t xml:space="preserve">losses; </w:t>
      </w:r>
      <w:r w:rsidR="00743221">
        <w:rPr>
          <w:rFonts w:ascii="Times New Roman" w:hAnsi="Times New Roman"/>
          <w:sz w:val="24"/>
          <w:szCs w:val="24"/>
        </w:rPr>
        <w:t xml:space="preserve">or </w:t>
      </w:r>
      <w:r w:rsidR="00395608">
        <w:rPr>
          <w:rFonts w:ascii="Times New Roman" w:hAnsi="Times New Roman"/>
          <w:sz w:val="24"/>
          <w:szCs w:val="24"/>
        </w:rPr>
        <w:t xml:space="preserve">accessing imputation credits from another source.  </w:t>
      </w:r>
      <w:r w:rsidR="00B84FA6">
        <w:rPr>
          <w:rFonts w:ascii="Times New Roman" w:hAnsi="Times New Roman"/>
          <w:sz w:val="24"/>
          <w:szCs w:val="24"/>
        </w:rPr>
        <w:t xml:space="preserve">The options in this RIS </w:t>
      </w:r>
      <w:r w:rsidR="00846A07">
        <w:rPr>
          <w:rFonts w:ascii="Times New Roman" w:hAnsi="Times New Roman"/>
          <w:sz w:val="24"/>
          <w:szCs w:val="24"/>
        </w:rPr>
        <w:t xml:space="preserve">may decrease </w:t>
      </w:r>
      <w:r w:rsidR="009E0E8F">
        <w:rPr>
          <w:rFonts w:ascii="Times New Roman" w:hAnsi="Times New Roman"/>
          <w:sz w:val="24"/>
          <w:szCs w:val="24"/>
        </w:rPr>
        <w:t xml:space="preserve">tax revenue </w:t>
      </w:r>
      <w:r w:rsidR="00846A07">
        <w:rPr>
          <w:rFonts w:ascii="Times New Roman" w:hAnsi="Times New Roman"/>
          <w:sz w:val="24"/>
          <w:szCs w:val="24"/>
        </w:rPr>
        <w:t>(</w:t>
      </w:r>
      <w:r w:rsidR="00B84FA6">
        <w:rPr>
          <w:rFonts w:ascii="Times New Roman" w:hAnsi="Times New Roman"/>
          <w:sz w:val="24"/>
          <w:szCs w:val="24"/>
        </w:rPr>
        <w:t xml:space="preserve">owing </w:t>
      </w:r>
      <w:r w:rsidR="00846A07">
        <w:rPr>
          <w:rFonts w:ascii="Times New Roman" w:hAnsi="Times New Roman"/>
          <w:sz w:val="24"/>
          <w:szCs w:val="24"/>
        </w:rPr>
        <w:t xml:space="preserve">to unimputed dividends becoming imputed) or increase </w:t>
      </w:r>
      <w:r w:rsidR="009E0E8F">
        <w:rPr>
          <w:rFonts w:ascii="Times New Roman" w:hAnsi="Times New Roman"/>
          <w:sz w:val="24"/>
          <w:szCs w:val="24"/>
        </w:rPr>
        <w:t xml:space="preserve">tax revenue </w:t>
      </w:r>
      <w:r w:rsidR="00846A07">
        <w:rPr>
          <w:rFonts w:ascii="Times New Roman" w:hAnsi="Times New Roman"/>
          <w:sz w:val="24"/>
          <w:szCs w:val="24"/>
        </w:rPr>
        <w:t>(</w:t>
      </w:r>
      <w:r w:rsidR="00B84FA6">
        <w:rPr>
          <w:rFonts w:ascii="Times New Roman" w:hAnsi="Times New Roman"/>
          <w:sz w:val="24"/>
          <w:szCs w:val="24"/>
        </w:rPr>
        <w:t xml:space="preserve">because </w:t>
      </w:r>
      <w:r w:rsidR="00846A07">
        <w:rPr>
          <w:rFonts w:ascii="Times New Roman" w:hAnsi="Times New Roman"/>
          <w:sz w:val="24"/>
          <w:szCs w:val="24"/>
        </w:rPr>
        <w:t xml:space="preserve">new imputed dividends </w:t>
      </w:r>
      <w:r w:rsidR="00B84FA6">
        <w:rPr>
          <w:rFonts w:ascii="Times New Roman" w:hAnsi="Times New Roman"/>
          <w:sz w:val="24"/>
          <w:szCs w:val="24"/>
        </w:rPr>
        <w:t xml:space="preserve">may be </w:t>
      </w:r>
      <w:r w:rsidR="00846A07">
        <w:rPr>
          <w:rFonts w:ascii="Times New Roman" w:hAnsi="Times New Roman"/>
          <w:sz w:val="24"/>
          <w:szCs w:val="24"/>
        </w:rPr>
        <w:t xml:space="preserve">paid to a person </w:t>
      </w:r>
      <w:r w:rsidR="00B84FA6">
        <w:rPr>
          <w:rFonts w:ascii="Times New Roman" w:hAnsi="Times New Roman"/>
          <w:sz w:val="24"/>
          <w:szCs w:val="24"/>
        </w:rPr>
        <w:t xml:space="preserve">on a tax rate </w:t>
      </w:r>
      <w:r w:rsidR="00846A07">
        <w:rPr>
          <w:rFonts w:ascii="Times New Roman" w:hAnsi="Times New Roman"/>
          <w:sz w:val="24"/>
          <w:szCs w:val="24"/>
        </w:rPr>
        <w:t>higher than 28</w:t>
      </w:r>
      <w:r w:rsidR="00B84FA6">
        <w:rPr>
          <w:rFonts w:ascii="Times New Roman" w:hAnsi="Times New Roman"/>
          <w:sz w:val="24"/>
          <w:szCs w:val="24"/>
        </w:rPr>
        <w:t xml:space="preserve"> percent</w:t>
      </w:r>
      <w:r w:rsidR="00846A07">
        <w:rPr>
          <w:rFonts w:ascii="Times New Roman" w:hAnsi="Times New Roman"/>
          <w:sz w:val="24"/>
          <w:szCs w:val="24"/>
        </w:rPr>
        <w:t>)</w:t>
      </w:r>
      <w:r w:rsidR="00B84FA6">
        <w:rPr>
          <w:rFonts w:ascii="Times New Roman" w:hAnsi="Times New Roman"/>
          <w:sz w:val="24"/>
          <w:szCs w:val="24"/>
        </w:rPr>
        <w:t xml:space="preserve">. </w:t>
      </w:r>
      <w:r w:rsidR="00846A07">
        <w:rPr>
          <w:rFonts w:ascii="Times New Roman" w:hAnsi="Times New Roman"/>
          <w:sz w:val="24"/>
          <w:szCs w:val="24"/>
        </w:rPr>
        <w:t xml:space="preserve"> The fiscal estimates </w:t>
      </w:r>
      <w:r>
        <w:rPr>
          <w:rFonts w:ascii="Times New Roman" w:hAnsi="Times New Roman"/>
          <w:sz w:val="24"/>
          <w:szCs w:val="24"/>
        </w:rPr>
        <w:t xml:space="preserve">were </w:t>
      </w:r>
      <w:r w:rsidR="00B4430D">
        <w:rPr>
          <w:rFonts w:ascii="Times New Roman" w:hAnsi="Times New Roman"/>
          <w:sz w:val="24"/>
          <w:szCs w:val="24"/>
        </w:rPr>
        <w:t>refined following</w:t>
      </w:r>
      <w:r w:rsidR="00846A07">
        <w:rPr>
          <w:rFonts w:ascii="Times New Roman" w:hAnsi="Times New Roman"/>
          <w:sz w:val="24"/>
          <w:szCs w:val="24"/>
        </w:rPr>
        <w:t xml:space="preserve"> targeted private sector consultation.</w:t>
      </w:r>
    </w:p>
    <w:p w:rsidR="00385EC1" w:rsidRDefault="00385EC1" w:rsidP="00C74B45">
      <w:pPr>
        <w:pStyle w:val="Text"/>
        <w:spacing w:before="0" w:after="0" w:line="240" w:lineRule="auto"/>
        <w:ind w:right="170"/>
        <w:rPr>
          <w:rFonts w:ascii="Times New Roman" w:hAnsi="Times New Roman"/>
          <w:sz w:val="24"/>
          <w:szCs w:val="24"/>
          <w:lang w:val="en-NZ"/>
        </w:rPr>
      </w:pPr>
    </w:p>
    <w:p w:rsidR="001D0096" w:rsidRDefault="001D0096" w:rsidP="00C74B45">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A range of options have been considered and measured against the </w:t>
      </w:r>
      <w:r w:rsidR="00CB20BC">
        <w:rPr>
          <w:rFonts w:ascii="Times New Roman" w:hAnsi="Times New Roman"/>
          <w:sz w:val="24"/>
          <w:szCs w:val="24"/>
          <w:lang w:val="en-NZ"/>
        </w:rPr>
        <w:t xml:space="preserve">criteria </w:t>
      </w:r>
      <w:r>
        <w:rPr>
          <w:rFonts w:ascii="Times New Roman" w:hAnsi="Times New Roman"/>
          <w:sz w:val="24"/>
          <w:szCs w:val="24"/>
          <w:lang w:val="en-NZ"/>
        </w:rPr>
        <w:t xml:space="preserve">of </w:t>
      </w:r>
      <w:r w:rsidR="00CB20BC">
        <w:rPr>
          <w:rFonts w:ascii="Times New Roman" w:hAnsi="Times New Roman"/>
          <w:sz w:val="24"/>
          <w:szCs w:val="24"/>
          <w:lang w:val="en-NZ"/>
        </w:rPr>
        <w:t>economic efficiency, fairness and integrity and coherence</w:t>
      </w:r>
      <w:r>
        <w:rPr>
          <w:rFonts w:ascii="Times New Roman" w:hAnsi="Times New Roman"/>
          <w:sz w:val="24"/>
          <w:szCs w:val="24"/>
          <w:lang w:val="en-NZ"/>
        </w:rPr>
        <w:t xml:space="preserve"> whilst minimising compliance costs for taxpayers and disruption to current practices and administrative costs for Inland Revenue.  There are no </w:t>
      </w:r>
      <w:r w:rsidR="00CB20BC">
        <w:rPr>
          <w:rFonts w:ascii="Times New Roman" w:hAnsi="Times New Roman"/>
          <w:sz w:val="24"/>
          <w:szCs w:val="24"/>
          <w:lang w:val="en-NZ"/>
        </w:rPr>
        <w:t xml:space="preserve">environmental, social </w:t>
      </w:r>
      <w:r>
        <w:rPr>
          <w:rFonts w:ascii="Times New Roman" w:hAnsi="Times New Roman"/>
          <w:sz w:val="24"/>
          <w:szCs w:val="24"/>
          <w:lang w:val="en-NZ"/>
        </w:rPr>
        <w:t xml:space="preserve">or cultural impacts from the recommended </w:t>
      </w:r>
      <w:r w:rsidR="00CB20BC">
        <w:rPr>
          <w:rFonts w:ascii="Times New Roman" w:hAnsi="Times New Roman"/>
          <w:sz w:val="24"/>
          <w:szCs w:val="24"/>
          <w:lang w:val="en-NZ"/>
        </w:rPr>
        <w:t>changes.</w:t>
      </w:r>
    </w:p>
    <w:p w:rsidR="001D0096" w:rsidRDefault="001D0096" w:rsidP="00C74B45">
      <w:pPr>
        <w:pStyle w:val="Text"/>
        <w:spacing w:before="0" w:after="0" w:line="240" w:lineRule="auto"/>
        <w:ind w:right="170"/>
        <w:rPr>
          <w:rFonts w:ascii="Times New Roman" w:hAnsi="Times New Roman"/>
          <w:sz w:val="24"/>
          <w:szCs w:val="24"/>
          <w:lang w:val="en-NZ"/>
        </w:rPr>
      </w:pPr>
    </w:p>
    <w:p w:rsidR="001D0096" w:rsidRDefault="00846A07" w:rsidP="00C74B45">
      <w:pPr>
        <w:pStyle w:val="Text"/>
        <w:spacing w:before="0" w:after="0" w:line="240" w:lineRule="auto"/>
        <w:ind w:right="170"/>
        <w:rPr>
          <w:rFonts w:ascii="Times New Roman" w:hAnsi="Times New Roman"/>
          <w:sz w:val="24"/>
          <w:szCs w:val="24"/>
          <w:lang w:val="en-NZ"/>
        </w:rPr>
      </w:pPr>
      <w:r w:rsidRPr="00846A07">
        <w:rPr>
          <w:rFonts w:ascii="Times New Roman" w:hAnsi="Times New Roman"/>
          <w:sz w:val="24"/>
          <w:szCs w:val="24"/>
          <w:lang w:val="en-NZ"/>
        </w:rPr>
        <w:t>Inland Revenue is of the view that</w:t>
      </w:r>
      <w:r w:rsidR="001C0F8D">
        <w:rPr>
          <w:rFonts w:ascii="Times New Roman" w:hAnsi="Times New Roman"/>
          <w:sz w:val="24"/>
          <w:szCs w:val="24"/>
          <w:lang w:val="en-NZ"/>
        </w:rPr>
        <w:t>, aside from the lack of information on current ownership structures and dividend payment behaviour, and the difficult</w:t>
      </w:r>
      <w:r w:rsidR="00FA70CF">
        <w:rPr>
          <w:rFonts w:ascii="Times New Roman" w:hAnsi="Times New Roman"/>
          <w:sz w:val="24"/>
          <w:szCs w:val="24"/>
          <w:lang w:val="en-NZ"/>
        </w:rPr>
        <w:t>y</w:t>
      </w:r>
      <w:r w:rsidR="001C0F8D">
        <w:rPr>
          <w:rFonts w:ascii="Times New Roman" w:hAnsi="Times New Roman"/>
          <w:sz w:val="24"/>
          <w:szCs w:val="24"/>
          <w:lang w:val="en-NZ"/>
        </w:rPr>
        <w:t xml:space="preserve"> with fiscal estimates, described above,</w:t>
      </w:r>
      <w:r w:rsidRPr="00846A07">
        <w:rPr>
          <w:rFonts w:ascii="Times New Roman" w:hAnsi="Times New Roman"/>
          <w:sz w:val="24"/>
          <w:szCs w:val="24"/>
          <w:lang w:val="en-NZ"/>
        </w:rPr>
        <w:t xml:space="preserve"> there are no </w:t>
      </w:r>
      <w:r w:rsidR="001C0F8D">
        <w:rPr>
          <w:rFonts w:ascii="Times New Roman" w:hAnsi="Times New Roman"/>
          <w:sz w:val="24"/>
          <w:szCs w:val="24"/>
          <w:lang w:val="en-NZ"/>
        </w:rPr>
        <w:t xml:space="preserve">other </w:t>
      </w:r>
      <w:r w:rsidRPr="00846A07">
        <w:rPr>
          <w:rFonts w:ascii="Times New Roman" w:hAnsi="Times New Roman"/>
          <w:sz w:val="24"/>
          <w:szCs w:val="24"/>
          <w:lang w:val="en-NZ"/>
        </w:rPr>
        <w:t>significant constraints, caveats and uncertainties concerning the regulatory analysis undertaken.</w:t>
      </w:r>
    </w:p>
    <w:p w:rsidR="001D0096" w:rsidRDefault="001D0096" w:rsidP="00C74B45">
      <w:pPr>
        <w:pStyle w:val="Text"/>
        <w:spacing w:before="0" w:after="0" w:line="240" w:lineRule="auto"/>
        <w:ind w:right="170"/>
        <w:rPr>
          <w:rFonts w:ascii="Times New Roman" w:hAnsi="Times New Roman"/>
          <w:sz w:val="24"/>
          <w:szCs w:val="24"/>
          <w:lang w:val="en-NZ"/>
        </w:rPr>
      </w:pPr>
    </w:p>
    <w:p w:rsidR="00846A07" w:rsidRPr="004342F0" w:rsidRDefault="00846A07" w:rsidP="00C74B45">
      <w:pPr>
        <w:pStyle w:val="Text"/>
        <w:spacing w:before="0" w:after="0" w:line="240" w:lineRule="auto"/>
        <w:ind w:right="170"/>
        <w:rPr>
          <w:rFonts w:ascii="Times New Roman" w:hAnsi="Times New Roman"/>
          <w:sz w:val="24"/>
          <w:szCs w:val="24"/>
          <w:lang w:val="en-NZ"/>
        </w:rPr>
      </w:pPr>
      <w:r w:rsidRPr="00846A07">
        <w:rPr>
          <w:rFonts w:ascii="Times New Roman" w:hAnsi="Times New Roman"/>
          <w:sz w:val="24"/>
          <w:szCs w:val="24"/>
          <w:lang w:val="en-NZ"/>
        </w:rPr>
        <w:lastRenderedPageBreak/>
        <w:t xml:space="preserve">None of the policy options </w:t>
      </w:r>
      <w:r w:rsidR="001D0096">
        <w:rPr>
          <w:rFonts w:ascii="Times New Roman" w:hAnsi="Times New Roman"/>
          <w:sz w:val="24"/>
          <w:szCs w:val="24"/>
          <w:lang w:val="en-NZ"/>
        </w:rPr>
        <w:t xml:space="preserve">identified is expected to </w:t>
      </w:r>
      <w:r w:rsidRPr="00846A07">
        <w:rPr>
          <w:rFonts w:ascii="Times New Roman" w:hAnsi="Times New Roman"/>
          <w:sz w:val="24"/>
          <w:szCs w:val="24"/>
          <w:lang w:val="en-NZ"/>
        </w:rPr>
        <w:t>restrict market competition, reduce the incentives for businesses to innovate and invest, unduly impair private property rights or override fundamental common law principles.</w:t>
      </w:r>
    </w:p>
    <w:p w:rsidR="004342F0" w:rsidRDefault="004342F0" w:rsidP="00C74B45">
      <w:pPr>
        <w:pStyle w:val="Text"/>
        <w:spacing w:before="0" w:after="0" w:line="240" w:lineRule="auto"/>
        <w:ind w:right="170"/>
        <w:rPr>
          <w:rFonts w:ascii="Times New Roman" w:hAnsi="Times New Roman"/>
          <w:sz w:val="24"/>
          <w:szCs w:val="24"/>
          <w:lang w:val="en-NZ"/>
        </w:rPr>
      </w:pPr>
    </w:p>
    <w:p w:rsidR="002750FB" w:rsidRDefault="002750FB" w:rsidP="00C74B45">
      <w:pPr>
        <w:pStyle w:val="Text"/>
        <w:spacing w:before="0" w:after="0" w:line="240" w:lineRule="auto"/>
        <w:ind w:right="170"/>
        <w:rPr>
          <w:rFonts w:ascii="Times New Roman" w:hAnsi="Times New Roman"/>
          <w:sz w:val="24"/>
          <w:szCs w:val="24"/>
          <w:lang w:val="en-NZ"/>
        </w:rPr>
      </w:pPr>
    </w:p>
    <w:p w:rsidR="007B5C19" w:rsidRDefault="007B5C19" w:rsidP="00C74B45">
      <w:pPr>
        <w:pStyle w:val="Text"/>
        <w:spacing w:before="0" w:after="0" w:line="240" w:lineRule="auto"/>
        <w:ind w:right="170"/>
        <w:rPr>
          <w:rFonts w:ascii="Times New Roman" w:hAnsi="Times New Roman"/>
          <w:sz w:val="24"/>
          <w:szCs w:val="24"/>
          <w:lang w:val="en-NZ"/>
        </w:rPr>
      </w:pPr>
    </w:p>
    <w:p w:rsidR="007B5C19" w:rsidRDefault="007B5C19" w:rsidP="00C74B45">
      <w:pPr>
        <w:pStyle w:val="Text"/>
        <w:spacing w:before="0" w:after="0" w:line="240" w:lineRule="auto"/>
        <w:ind w:right="170"/>
        <w:rPr>
          <w:rFonts w:ascii="Times New Roman" w:hAnsi="Times New Roman"/>
          <w:sz w:val="24"/>
          <w:szCs w:val="24"/>
          <w:lang w:val="en-NZ"/>
        </w:rPr>
      </w:pPr>
    </w:p>
    <w:p w:rsidR="007B5C19" w:rsidRDefault="007B5C19" w:rsidP="00C74B45">
      <w:pPr>
        <w:pStyle w:val="Text"/>
        <w:spacing w:before="0" w:after="0" w:line="240" w:lineRule="auto"/>
        <w:ind w:right="170"/>
        <w:rPr>
          <w:rFonts w:ascii="Times New Roman" w:hAnsi="Times New Roman"/>
          <w:sz w:val="24"/>
          <w:szCs w:val="24"/>
          <w:lang w:val="en-NZ"/>
        </w:rPr>
      </w:pPr>
    </w:p>
    <w:p w:rsidR="007B5C19" w:rsidRPr="004342F0" w:rsidRDefault="007B5C19" w:rsidP="00C74B45">
      <w:pPr>
        <w:pStyle w:val="Text"/>
        <w:spacing w:before="0" w:after="0" w:line="240" w:lineRule="auto"/>
        <w:ind w:right="170"/>
        <w:rPr>
          <w:rFonts w:ascii="Times New Roman" w:hAnsi="Times New Roman"/>
          <w:sz w:val="24"/>
          <w:szCs w:val="24"/>
          <w:lang w:val="en-NZ"/>
        </w:rPr>
      </w:pPr>
    </w:p>
    <w:p w:rsidR="00085660" w:rsidRPr="004342F0" w:rsidRDefault="002111E5" w:rsidP="00C74B45">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Peter Frawley</w:t>
      </w:r>
    </w:p>
    <w:p w:rsidR="009F7B9A" w:rsidRPr="004342F0" w:rsidRDefault="002111E5" w:rsidP="00C74B45">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w:t>
      </w:r>
      <w:r w:rsidR="005A62E6">
        <w:rPr>
          <w:rFonts w:ascii="Times New Roman" w:hAnsi="Times New Roman"/>
          <w:sz w:val="24"/>
          <w:szCs w:val="24"/>
          <w:lang w:val="en-NZ"/>
        </w:rPr>
        <w:t>, Policy and Strategy</w:t>
      </w:r>
    </w:p>
    <w:p w:rsidR="001C6912" w:rsidRPr="004342F0" w:rsidRDefault="001C6912" w:rsidP="00C74B45">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rsidR="000545DC" w:rsidRPr="004342F0" w:rsidRDefault="000545DC" w:rsidP="00C74B45">
      <w:pPr>
        <w:pStyle w:val="Text"/>
        <w:tabs>
          <w:tab w:val="left" w:pos="567"/>
        </w:tabs>
        <w:spacing w:before="0" w:after="0" w:line="240" w:lineRule="auto"/>
        <w:ind w:right="170"/>
        <w:rPr>
          <w:rFonts w:ascii="Times New Roman" w:hAnsi="Times New Roman"/>
          <w:sz w:val="24"/>
          <w:szCs w:val="24"/>
          <w:lang w:val="en-NZ"/>
        </w:rPr>
      </w:pPr>
    </w:p>
    <w:p w:rsidR="000545DC" w:rsidRPr="004342F0" w:rsidRDefault="00B925EC" w:rsidP="00C74B45">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20</w:t>
      </w:r>
      <w:r w:rsidR="002111E5">
        <w:rPr>
          <w:rFonts w:ascii="Times New Roman" w:hAnsi="Times New Roman"/>
          <w:sz w:val="24"/>
          <w:szCs w:val="24"/>
          <w:lang w:val="en-NZ"/>
        </w:rPr>
        <w:t xml:space="preserve"> November 2015</w:t>
      </w:r>
    </w:p>
    <w:p w:rsidR="000545DC" w:rsidRPr="004342F0" w:rsidRDefault="001C6912" w:rsidP="00C74B45">
      <w:pPr>
        <w:pStyle w:val="RISheading"/>
        <w:jc w:val="both"/>
        <w:rPr>
          <w:spacing w:val="0"/>
          <w:w w:val="100"/>
        </w:rPr>
      </w:pPr>
      <w:bookmarkStart w:id="1" w:name="_Toc244580363"/>
      <w:bookmarkStart w:id="2" w:name="_Toc244587039"/>
      <w:bookmarkStart w:id="3" w:name="_Toc244857273"/>
      <w:bookmarkStart w:id="4" w:name="_Toc244912538"/>
      <w:bookmarkStart w:id="5" w:name="_Toc244916995"/>
      <w:r w:rsidRPr="004342F0">
        <w:rPr>
          <w:spacing w:val="0"/>
          <w:w w:val="100"/>
        </w:rPr>
        <w:br w:type="page"/>
      </w:r>
      <w:r w:rsidRPr="004342F0">
        <w:rPr>
          <w:spacing w:val="0"/>
          <w:w w:val="100"/>
        </w:rPr>
        <w:lastRenderedPageBreak/>
        <w:t>STATUS QUO AND PROBLEM DEFINITION</w:t>
      </w:r>
      <w:bookmarkEnd w:id="1"/>
      <w:bookmarkEnd w:id="2"/>
      <w:bookmarkEnd w:id="3"/>
      <w:bookmarkEnd w:id="4"/>
      <w:bookmarkEnd w:id="5"/>
    </w:p>
    <w:p w:rsidR="002864B9"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450C17">
        <w:rPr>
          <w:rFonts w:ascii="Times New Roman" w:hAnsi="Times New Roman"/>
          <w:sz w:val="24"/>
          <w:szCs w:val="24"/>
        </w:rPr>
        <w:t xml:space="preserve">The question addressed in this </w:t>
      </w:r>
      <w:r w:rsidR="004C2B79">
        <w:rPr>
          <w:rFonts w:ascii="Times New Roman" w:hAnsi="Times New Roman"/>
          <w:sz w:val="24"/>
          <w:szCs w:val="24"/>
        </w:rPr>
        <w:t>RIS</w:t>
      </w:r>
      <w:r w:rsidR="00450C17">
        <w:rPr>
          <w:rFonts w:ascii="Times New Roman" w:hAnsi="Times New Roman"/>
          <w:sz w:val="24"/>
          <w:szCs w:val="24"/>
        </w:rPr>
        <w:t xml:space="preserve"> is how to </w:t>
      </w:r>
      <w:r w:rsidR="004C2B79">
        <w:rPr>
          <w:rFonts w:ascii="Times New Roman" w:hAnsi="Times New Roman"/>
          <w:sz w:val="24"/>
          <w:szCs w:val="24"/>
        </w:rPr>
        <w:t xml:space="preserve">deal </w:t>
      </w:r>
      <w:r w:rsidR="00450C17">
        <w:rPr>
          <w:rFonts w:ascii="Times New Roman" w:hAnsi="Times New Roman"/>
          <w:sz w:val="24"/>
          <w:szCs w:val="24"/>
        </w:rPr>
        <w:t xml:space="preserve">with the </w:t>
      </w:r>
      <w:r w:rsidR="00172969">
        <w:rPr>
          <w:rFonts w:ascii="Times New Roman" w:hAnsi="Times New Roman"/>
          <w:sz w:val="24"/>
          <w:szCs w:val="24"/>
        </w:rPr>
        <w:t xml:space="preserve">tax disadvantage that occurs when </w:t>
      </w:r>
      <w:r w:rsidR="00450C17">
        <w:rPr>
          <w:rFonts w:ascii="Times New Roman" w:hAnsi="Times New Roman"/>
          <w:sz w:val="24"/>
          <w:szCs w:val="24"/>
        </w:rPr>
        <w:t xml:space="preserve">the loss grouping and dividend imputation </w:t>
      </w:r>
      <w:r w:rsidR="00172969">
        <w:rPr>
          <w:rFonts w:ascii="Times New Roman" w:hAnsi="Times New Roman"/>
          <w:sz w:val="24"/>
          <w:szCs w:val="24"/>
        </w:rPr>
        <w:t xml:space="preserve">rules </w:t>
      </w:r>
      <w:r w:rsidR="004C2B79">
        <w:rPr>
          <w:rFonts w:ascii="Times New Roman" w:hAnsi="Times New Roman"/>
          <w:sz w:val="24"/>
          <w:szCs w:val="24"/>
        </w:rPr>
        <w:t xml:space="preserve">in the Income Tax Act 2007 </w:t>
      </w:r>
      <w:r w:rsidR="00172969">
        <w:rPr>
          <w:rFonts w:ascii="Times New Roman" w:hAnsi="Times New Roman"/>
          <w:sz w:val="24"/>
          <w:szCs w:val="24"/>
        </w:rPr>
        <w:t>are applied by a non-wholly owned group</w:t>
      </w:r>
      <w:r w:rsidR="00450C17">
        <w:rPr>
          <w:rFonts w:ascii="Times New Roman" w:hAnsi="Times New Roman"/>
          <w:sz w:val="24"/>
          <w:szCs w:val="24"/>
        </w:rPr>
        <w:t xml:space="preserve"> of companies</w:t>
      </w:r>
      <w:r w:rsidR="00172969">
        <w:rPr>
          <w:rFonts w:ascii="Times New Roman" w:hAnsi="Times New Roman"/>
          <w:sz w:val="24"/>
          <w:szCs w:val="24"/>
        </w:rPr>
        <w:t>.</w:t>
      </w:r>
    </w:p>
    <w:p w:rsidR="00172969" w:rsidRDefault="00172969" w:rsidP="00C74B45">
      <w:pPr>
        <w:pStyle w:val="Bullet-list"/>
        <w:spacing w:after="0" w:line="240" w:lineRule="auto"/>
        <w:jc w:val="both"/>
        <w:rPr>
          <w:rFonts w:ascii="Times New Roman" w:hAnsi="Times New Roman"/>
          <w:sz w:val="24"/>
          <w:szCs w:val="24"/>
        </w:rPr>
      </w:pPr>
    </w:p>
    <w:p w:rsidR="00172969" w:rsidRPr="008364DE" w:rsidRDefault="00CB20BC" w:rsidP="00C74B45">
      <w:pPr>
        <w:pStyle w:val="Bullet-list"/>
        <w:spacing w:after="0" w:line="240" w:lineRule="auto"/>
        <w:jc w:val="both"/>
        <w:rPr>
          <w:rFonts w:ascii="Times New Roman" w:hAnsi="Times New Roman"/>
          <w:b/>
          <w:sz w:val="24"/>
          <w:szCs w:val="24"/>
        </w:rPr>
      </w:pPr>
      <w:r>
        <w:rPr>
          <w:rFonts w:ascii="Times New Roman" w:hAnsi="Times New Roman"/>
          <w:b/>
          <w:sz w:val="24"/>
          <w:szCs w:val="24"/>
        </w:rPr>
        <w:t>Loss offset</w:t>
      </w:r>
    </w:p>
    <w:p w:rsidR="00172969" w:rsidRDefault="00172969" w:rsidP="00C74B45">
      <w:pPr>
        <w:pStyle w:val="Bullet-list"/>
        <w:spacing w:after="0" w:line="240" w:lineRule="auto"/>
        <w:ind w:left="0" w:firstLine="0"/>
        <w:jc w:val="both"/>
        <w:rPr>
          <w:rFonts w:ascii="Times New Roman" w:hAnsi="Times New Roman"/>
          <w:sz w:val="24"/>
          <w:szCs w:val="24"/>
        </w:rPr>
      </w:pPr>
    </w:p>
    <w:p w:rsidR="002111E5"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2111E5">
        <w:rPr>
          <w:rFonts w:ascii="Times New Roman" w:hAnsi="Times New Roman"/>
          <w:sz w:val="24"/>
          <w:szCs w:val="24"/>
        </w:rPr>
        <w:t xml:space="preserve">A company that has at least 66 percent of shareholders the same as another company is referred to as being </w:t>
      </w:r>
      <w:r w:rsidR="00450C17">
        <w:rPr>
          <w:rFonts w:ascii="Times New Roman" w:hAnsi="Times New Roman"/>
          <w:sz w:val="24"/>
          <w:szCs w:val="24"/>
        </w:rPr>
        <w:t>“</w:t>
      </w:r>
      <w:r w:rsidR="00454B5B">
        <w:rPr>
          <w:rFonts w:ascii="Times New Roman" w:hAnsi="Times New Roman"/>
          <w:sz w:val="24"/>
          <w:szCs w:val="24"/>
        </w:rPr>
        <w:t>commonly-</w:t>
      </w:r>
      <w:r w:rsidR="002111E5">
        <w:rPr>
          <w:rFonts w:ascii="Times New Roman" w:hAnsi="Times New Roman"/>
          <w:sz w:val="24"/>
          <w:szCs w:val="24"/>
        </w:rPr>
        <w:t>owned</w:t>
      </w:r>
      <w:r w:rsidR="00450C17">
        <w:rPr>
          <w:rFonts w:ascii="Times New Roman" w:hAnsi="Times New Roman"/>
          <w:sz w:val="24"/>
          <w:szCs w:val="24"/>
        </w:rPr>
        <w:t>”</w:t>
      </w:r>
      <w:r w:rsidR="002111E5">
        <w:rPr>
          <w:rFonts w:ascii="Times New Roman" w:hAnsi="Times New Roman"/>
          <w:sz w:val="24"/>
          <w:szCs w:val="24"/>
        </w:rPr>
        <w:t xml:space="preserve">.  A company </w:t>
      </w:r>
      <w:r w:rsidR="00337E9E">
        <w:rPr>
          <w:rFonts w:ascii="Times New Roman" w:hAnsi="Times New Roman"/>
          <w:sz w:val="24"/>
          <w:szCs w:val="24"/>
        </w:rPr>
        <w:t xml:space="preserve">(“the loss company”) </w:t>
      </w:r>
      <w:r w:rsidR="002111E5">
        <w:rPr>
          <w:rFonts w:ascii="Times New Roman" w:hAnsi="Times New Roman"/>
          <w:sz w:val="24"/>
          <w:szCs w:val="24"/>
        </w:rPr>
        <w:t xml:space="preserve">can transfer the benefit of a loss incurred to a </w:t>
      </w:r>
      <w:r w:rsidR="00454B5B">
        <w:rPr>
          <w:rFonts w:ascii="Times New Roman" w:hAnsi="Times New Roman"/>
          <w:sz w:val="24"/>
          <w:szCs w:val="24"/>
        </w:rPr>
        <w:t>commonly-</w:t>
      </w:r>
      <w:r w:rsidR="002111E5">
        <w:rPr>
          <w:rFonts w:ascii="Times New Roman" w:hAnsi="Times New Roman"/>
          <w:sz w:val="24"/>
          <w:szCs w:val="24"/>
        </w:rPr>
        <w:t xml:space="preserve">owned company </w:t>
      </w:r>
      <w:r w:rsidR="00337E9E">
        <w:rPr>
          <w:rFonts w:ascii="Times New Roman" w:hAnsi="Times New Roman"/>
          <w:sz w:val="24"/>
          <w:szCs w:val="24"/>
        </w:rPr>
        <w:t xml:space="preserve">(“the profit company”) </w:t>
      </w:r>
      <w:r w:rsidR="002111E5">
        <w:rPr>
          <w:rFonts w:ascii="Times New Roman" w:hAnsi="Times New Roman"/>
          <w:sz w:val="24"/>
          <w:szCs w:val="24"/>
        </w:rPr>
        <w:t>by undertaking a loss offset or receiving a subvention payment</w:t>
      </w:r>
      <w:r w:rsidR="007351E7">
        <w:rPr>
          <w:rFonts w:ascii="Times New Roman" w:hAnsi="Times New Roman"/>
          <w:sz w:val="24"/>
          <w:szCs w:val="24"/>
        </w:rPr>
        <w:t xml:space="preserve"> (“a loss transfer”)</w:t>
      </w:r>
      <w:r w:rsidR="0061373B">
        <w:rPr>
          <w:rFonts w:ascii="Times New Roman" w:hAnsi="Times New Roman"/>
          <w:sz w:val="24"/>
          <w:szCs w:val="24"/>
        </w:rPr>
        <w:t>.</w:t>
      </w:r>
    </w:p>
    <w:p w:rsidR="00450C17" w:rsidRDefault="00450C17" w:rsidP="00C74B45">
      <w:pPr>
        <w:pStyle w:val="Bullet-list"/>
        <w:spacing w:after="0" w:line="240" w:lineRule="auto"/>
        <w:ind w:left="0" w:firstLine="0"/>
        <w:jc w:val="both"/>
        <w:rPr>
          <w:rFonts w:ascii="Times New Roman" w:hAnsi="Times New Roman"/>
          <w:sz w:val="24"/>
          <w:szCs w:val="24"/>
        </w:rPr>
      </w:pPr>
    </w:p>
    <w:p w:rsidR="00B4430D" w:rsidRDefault="00450C17" w:rsidP="00C74B45">
      <w:pPr>
        <w:pStyle w:val="Bullet-list"/>
        <w:spacing w:after="0" w:line="240" w:lineRule="auto"/>
        <w:ind w:left="0" w:firstLine="0"/>
        <w:jc w:val="both"/>
        <w:rPr>
          <w:rFonts w:ascii="Times New Roman" w:hAnsi="Times New Roman"/>
          <w:sz w:val="24"/>
          <w:szCs w:val="24"/>
        </w:rPr>
      </w:pPr>
      <w:r w:rsidRPr="00450C17">
        <w:rPr>
          <w:rFonts w:ascii="Times New Roman" w:hAnsi="Times New Roman"/>
          <w:sz w:val="24"/>
          <w:szCs w:val="24"/>
          <w:lang w:val="en-NZ"/>
        </w:rPr>
        <w:fldChar w:fldCharType="begin"/>
      </w:r>
      <w:r w:rsidRPr="00450C17">
        <w:rPr>
          <w:rFonts w:ascii="Times New Roman" w:hAnsi="Times New Roman"/>
          <w:sz w:val="24"/>
          <w:szCs w:val="24"/>
          <w:lang w:val="en-NZ"/>
        </w:rPr>
        <w:instrText xml:space="preserve"> AUTONUM  </w:instrText>
      </w:r>
      <w:r w:rsidRPr="00450C17">
        <w:rPr>
          <w:rFonts w:ascii="Times New Roman" w:hAnsi="Times New Roman"/>
          <w:sz w:val="24"/>
          <w:szCs w:val="24"/>
        </w:rPr>
        <w:fldChar w:fldCharType="end"/>
      </w:r>
      <w:r w:rsidRPr="00450C17">
        <w:rPr>
          <w:rFonts w:ascii="Times New Roman" w:hAnsi="Times New Roman"/>
          <w:sz w:val="24"/>
          <w:szCs w:val="24"/>
          <w:lang w:val="en-NZ"/>
        </w:rPr>
        <w:tab/>
      </w:r>
      <w:r>
        <w:rPr>
          <w:rFonts w:ascii="Times New Roman" w:hAnsi="Times New Roman"/>
          <w:sz w:val="24"/>
          <w:szCs w:val="24"/>
        </w:rPr>
        <w:t xml:space="preserve">A </w:t>
      </w:r>
      <w:r w:rsidR="00B4430D">
        <w:rPr>
          <w:rFonts w:ascii="Times New Roman" w:hAnsi="Times New Roman"/>
          <w:sz w:val="24"/>
          <w:szCs w:val="24"/>
        </w:rPr>
        <w:t>loss offset has the effect of reducing the loss of one company and decreasing the taxable profit of another company within a commonly-owned group</w:t>
      </w:r>
      <w:r w:rsidR="00FD48D0">
        <w:rPr>
          <w:rFonts w:ascii="Times New Roman" w:hAnsi="Times New Roman"/>
          <w:sz w:val="24"/>
          <w:szCs w:val="24"/>
        </w:rPr>
        <w:t xml:space="preserve"> by an equivalent amount</w:t>
      </w:r>
      <w:r w:rsidR="00B4430D">
        <w:rPr>
          <w:rFonts w:ascii="Times New Roman" w:hAnsi="Times New Roman"/>
          <w:sz w:val="24"/>
          <w:szCs w:val="24"/>
        </w:rPr>
        <w:t xml:space="preserve">.  A subvention payment achieves the same effect </w:t>
      </w:r>
      <w:r w:rsidR="00FD48D0">
        <w:rPr>
          <w:rFonts w:ascii="Times New Roman" w:hAnsi="Times New Roman"/>
          <w:sz w:val="24"/>
          <w:szCs w:val="24"/>
        </w:rPr>
        <w:t>by the profit</w:t>
      </w:r>
      <w:r w:rsidR="00B4430D">
        <w:rPr>
          <w:rFonts w:ascii="Times New Roman" w:hAnsi="Times New Roman"/>
          <w:sz w:val="24"/>
          <w:szCs w:val="24"/>
        </w:rPr>
        <w:t xml:space="preserve"> company making a deductible payment (and therefore reducing </w:t>
      </w:r>
      <w:r w:rsidR="00172969">
        <w:rPr>
          <w:rFonts w:ascii="Times New Roman" w:hAnsi="Times New Roman"/>
          <w:sz w:val="24"/>
          <w:szCs w:val="24"/>
        </w:rPr>
        <w:t>its</w:t>
      </w:r>
      <w:r w:rsidR="00B4430D">
        <w:rPr>
          <w:rFonts w:ascii="Times New Roman" w:hAnsi="Times New Roman"/>
          <w:sz w:val="24"/>
          <w:szCs w:val="24"/>
        </w:rPr>
        <w:t xml:space="preserve"> </w:t>
      </w:r>
      <w:r w:rsidR="00F81269">
        <w:rPr>
          <w:rFonts w:ascii="Times New Roman" w:hAnsi="Times New Roman"/>
          <w:sz w:val="24"/>
          <w:szCs w:val="24"/>
        </w:rPr>
        <w:t>net</w:t>
      </w:r>
      <w:r>
        <w:rPr>
          <w:rFonts w:ascii="Times New Roman" w:hAnsi="Times New Roman"/>
          <w:sz w:val="24"/>
          <w:szCs w:val="24"/>
        </w:rPr>
        <w:t xml:space="preserve"> </w:t>
      </w:r>
      <w:r w:rsidR="00B4430D">
        <w:rPr>
          <w:rFonts w:ascii="Times New Roman" w:hAnsi="Times New Roman"/>
          <w:sz w:val="24"/>
          <w:szCs w:val="24"/>
        </w:rPr>
        <w:t>income) to another company in a commonly-owned group</w:t>
      </w:r>
      <w:r w:rsidR="00FD48D0">
        <w:rPr>
          <w:rFonts w:ascii="Times New Roman" w:hAnsi="Times New Roman"/>
          <w:sz w:val="24"/>
          <w:szCs w:val="24"/>
        </w:rPr>
        <w:t>.  The subvention payment is assessable to the loss company</w:t>
      </w:r>
      <w:r w:rsidR="00B4430D">
        <w:rPr>
          <w:rFonts w:ascii="Times New Roman" w:hAnsi="Times New Roman"/>
          <w:sz w:val="24"/>
          <w:szCs w:val="24"/>
        </w:rPr>
        <w:t xml:space="preserve"> and reduces </w:t>
      </w:r>
      <w:r w:rsidR="00FD48D0">
        <w:rPr>
          <w:rFonts w:ascii="Times New Roman" w:hAnsi="Times New Roman"/>
          <w:sz w:val="24"/>
          <w:szCs w:val="24"/>
        </w:rPr>
        <w:t>it</w:t>
      </w:r>
      <w:r w:rsidR="00B4430D">
        <w:rPr>
          <w:rFonts w:ascii="Times New Roman" w:hAnsi="Times New Roman"/>
          <w:sz w:val="24"/>
          <w:szCs w:val="24"/>
        </w:rPr>
        <w:t>s loss.</w:t>
      </w:r>
      <w:r w:rsidR="00E14A4D">
        <w:rPr>
          <w:rFonts w:ascii="Times New Roman" w:hAnsi="Times New Roman"/>
          <w:sz w:val="24"/>
          <w:szCs w:val="24"/>
        </w:rPr>
        <w:t xml:space="preserve">  Taxpayers in a commonly-owned group can use any combination of loss offsets and subvention payments to transfer the benefit of a loss.  The examples in this RIS apply a subvention payment equal to the tax value of the total loss transfer and a loss offset for the balance, this combination provides the loss company with a cash compensation for the value of the losses they have transferred.</w:t>
      </w:r>
    </w:p>
    <w:p w:rsidR="0061373B" w:rsidRDefault="0061373B" w:rsidP="00C74B45">
      <w:pPr>
        <w:pStyle w:val="Bullet-list"/>
        <w:spacing w:after="0" w:line="240" w:lineRule="auto"/>
        <w:ind w:left="0" w:firstLine="0"/>
        <w:jc w:val="both"/>
        <w:rPr>
          <w:rFonts w:ascii="Times New Roman" w:hAnsi="Times New Roman"/>
          <w:sz w:val="24"/>
          <w:szCs w:val="24"/>
        </w:rPr>
      </w:pPr>
    </w:p>
    <w:p w:rsidR="000812DE"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61373B">
        <w:rPr>
          <w:rFonts w:ascii="Times New Roman" w:hAnsi="Times New Roman"/>
          <w:sz w:val="24"/>
          <w:szCs w:val="24"/>
        </w:rPr>
        <w:t>When considered as a group</w:t>
      </w:r>
      <w:r w:rsidR="00454B5B">
        <w:rPr>
          <w:rFonts w:ascii="Times New Roman" w:hAnsi="Times New Roman"/>
          <w:sz w:val="24"/>
          <w:szCs w:val="24"/>
        </w:rPr>
        <w:t>,</w:t>
      </w:r>
      <w:r w:rsidR="0061373B">
        <w:rPr>
          <w:rFonts w:ascii="Times New Roman" w:hAnsi="Times New Roman"/>
          <w:sz w:val="24"/>
          <w:szCs w:val="24"/>
        </w:rPr>
        <w:t xml:space="preserve"> the </w:t>
      </w:r>
      <w:r w:rsidR="007351E7">
        <w:rPr>
          <w:rFonts w:ascii="Times New Roman" w:hAnsi="Times New Roman"/>
          <w:sz w:val="24"/>
          <w:szCs w:val="24"/>
        </w:rPr>
        <w:t xml:space="preserve">loss </w:t>
      </w:r>
      <w:r w:rsidR="0061373B">
        <w:rPr>
          <w:rFonts w:ascii="Times New Roman" w:hAnsi="Times New Roman"/>
          <w:sz w:val="24"/>
          <w:szCs w:val="24"/>
        </w:rPr>
        <w:t xml:space="preserve">transfer will reduce income tax payments required in the current year but will make </w:t>
      </w:r>
      <w:r w:rsidR="00C34229">
        <w:rPr>
          <w:rFonts w:ascii="Times New Roman" w:hAnsi="Times New Roman"/>
          <w:sz w:val="24"/>
          <w:szCs w:val="24"/>
        </w:rPr>
        <w:t>fewer losses</w:t>
      </w:r>
      <w:r w:rsidR="0061373B">
        <w:rPr>
          <w:rFonts w:ascii="Times New Roman" w:hAnsi="Times New Roman"/>
          <w:sz w:val="24"/>
          <w:szCs w:val="24"/>
        </w:rPr>
        <w:t xml:space="preserve"> available to offset against future year profits.  This reduction in income tax payments means the profit company will generate </w:t>
      </w:r>
      <w:r w:rsidR="00454B5B">
        <w:rPr>
          <w:rFonts w:ascii="Times New Roman" w:hAnsi="Times New Roman"/>
          <w:sz w:val="24"/>
          <w:szCs w:val="24"/>
        </w:rPr>
        <w:t xml:space="preserve">fewer </w:t>
      </w:r>
      <w:r w:rsidR="0061373B">
        <w:rPr>
          <w:rFonts w:ascii="Times New Roman" w:hAnsi="Times New Roman"/>
          <w:sz w:val="24"/>
          <w:szCs w:val="24"/>
        </w:rPr>
        <w:t>imputation credits than if the loss had not been transferred.</w:t>
      </w:r>
      <w:r w:rsidR="000812DE" w:rsidRPr="000812DE">
        <w:rPr>
          <w:rFonts w:ascii="Times New Roman" w:hAnsi="Times New Roman"/>
          <w:sz w:val="24"/>
          <w:szCs w:val="24"/>
        </w:rPr>
        <w:t xml:space="preserve"> </w:t>
      </w:r>
    </w:p>
    <w:p w:rsidR="00427026" w:rsidRDefault="00427026" w:rsidP="00C74B45">
      <w:pPr>
        <w:pStyle w:val="Bullet-list"/>
        <w:spacing w:after="0" w:line="240" w:lineRule="auto"/>
        <w:ind w:left="0" w:firstLine="0"/>
        <w:jc w:val="both"/>
        <w:rPr>
          <w:rFonts w:ascii="Times New Roman" w:hAnsi="Times New Roman"/>
          <w:sz w:val="24"/>
          <w:szCs w:val="24"/>
        </w:rPr>
      </w:pPr>
    </w:p>
    <w:p w:rsidR="00427026"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0812DE">
        <w:rPr>
          <w:rFonts w:ascii="Times New Roman" w:hAnsi="Times New Roman"/>
          <w:sz w:val="24"/>
          <w:szCs w:val="24"/>
        </w:rPr>
        <w:t>Loss transfers between</w:t>
      </w:r>
      <w:r w:rsidR="000812DE" w:rsidRPr="007D06EA">
        <w:rPr>
          <w:rFonts w:ascii="Times New Roman" w:hAnsi="Times New Roman"/>
          <w:sz w:val="24"/>
          <w:szCs w:val="24"/>
        </w:rPr>
        <w:t xml:space="preserve"> companies with “substantially the same” shareholders or under common control was originally </w:t>
      </w:r>
      <w:r w:rsidR="00450C17">
        <w:rPr>
          <w:rFonts w:ascii="Times New Roman" w:hAnsi="Times New Roman"/>
          <w:sz w:val="24"/>
          <w:szCs w:val="24"/>
        </w:rPr>
        <w:t xml:space="preserve">introduced in </w:t>
      </w:r>
      <w:r w:rsidR="00DB4628">
        <w:rPr>
          <w:rFonts w:ascii="Times New Roman" w:hAnsi="Times New Roman"/>
          <w:sz w:val="24"/>
          <w:szCs w:val="24"/>
        </w:rPr>
        <w:t xml:space="preserve">the Land and Income Tax Act </w:t>
      </w:r>
      <w:r w:rsidR="00450C17">
        <w:rPr>
          <w:rFonts w:ascii="Times New Roman" w:hAnsi="Times New Roman"/>
          <w:sz w:val="24"/>
          <w:szCs w:val="24"/>
        </w:rPr>
        <w:t xml:space="preserve">1954 as </w:t>
      </w:r>
      <w:r w:rsidR="000812DE" w:rsidRPr="007D06EA">
        <w:rPr>
          <w:rFonts w:ascii="Times New Roman" w:hAnsi="Times New Roman"/>
          <w:sz w:val="24"/>
          <w:szCs w:val="24"/>
        </w:rPr>
        <w:t xml:space="preserve">an anti-avoidance </w:t>
      </w:r>
      <w:r w:rsidR="00450C17">
        <w:rPr>
          <w:rFonts w:ascii="Times New Roman" w:hAnsi="Times New Roman"/>
          <w:sz w:val="24"/>
          <w:szCs w:val="24"/>
        </w:rPr>
        <w:t>measure</w:t>
      </w:r>
      <w:r w:rsidR="00DB4628">
        <w:rPr>
          <w:rFonts w:ascii="Times New Roman" w:hAnsi="Times New Roman"/>
          <w:sz w:val="24"/>
          <w:szCs w:val="24"/>
        </w:rPr>
        <w:t xml:space="preserve"> when New Zealand had a progressive company tax rate</w:t>
      </w:r>
      <w:r w:rsidR="00450C17">
        <w:rPr>
          <w:rFonts w:ascii="Times New Roman" w:hAnsi="Times New Roman"/>
          <w:sz w:val="24"/>
          <w:szCs w:val="24"/>
        </w:rPr>
        <w:t xml:space="preserve">. It </w:t>
      </w:r>
      <w:r w:rsidR="000812DE" w:rsidRPr="007D06EA">
        <w:rPr>
          <w:rFonts w:ascii="Times New Roman" w:hAnsi="Times New Roman"/>
          <w:sz w:val="24"/>
          <w:szCs w:val="24"/>
        </w:rPr>
        <w:t xml:space="preserve">was designed to prevent a business being broken into a number of separate companies to avoid </w:t>
      </w:r>
      <w:r>
        <w:rPr>
          <w:rFonts w:ascii="Times New Roman" w:hAnsi="Times New Roman"/>
          <w:sz w:val="24"/>
          <w:szCs w:val="24"/>
        </w:rPr>
        <w:t>the higher marginal tax rates.</w:t>
      </w:r>
    </w:p>
    <w:p w:rsidR="00427026" w:rsidRDefault="00427026" w:rsidP="00C74B45">
      <w:pPr>
        <w:pStyle w:val="Bullet-list"/>
        <w:spacing w:after="0" w:line="240" w:lineRule="auto"/>
        <w:ind w:left="0" w:firstLine="0"/>
        <w:jc w:val="both"/>
        <w:rPr>
          <w:rFonts w:ascii="Times New Roman" w:hAnsi="Times New Roman"/>
          <w:sz w:val="24"/>
          <w:szCs w:val="24"/>
        </w:rPr>
      </w:pPr>
    </w:p>
    <w:p w:rsidR="000812DE"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0C7563">
        <w:rPr>
          <w:rFonts w:ascii="Times New Roman" w:hAnsi="Times New Roman"/>
          <w:sz w:val="24"/>
          <w:szCs w:val="24"/>
        </w:rPr>
        <w:t>I</w:t>
      </w:r>
      <w:r w:rsidR="000812DE" w:rsidRPr="007D06EA">
        <w:rPr>
          <w:rFonts w:ascii="Times New Roman" w:hAnsi="Times New Roman"/>
          <w:sz w:val="24"/>
          <w:szCs w:val="24"/>
        </w:rPr>
        <w:t>n 1968</w:t>
      </w:r>
      <w:r w:rsidR="000C7563">
        <w:rPr>
          <w:rFonts w:ascii="Times New Roman" w:hAnsi="Times New Roman"/>
          <w:sz w:val="24"/>
          <w:szCs w:val="24"/>
        </w:rPr>
        <w:t xml:space="preserve"> the law was amended</w:t>
      </w:r>
      <w:r w:rsidR="000812DE" w:rsidRPr="007D06EA">
        <w:rPr>
          <w:rFonts w:ascii="Times New Roman" w:hAnsi="Times New Roman"/>
          <w:sz w:val="24"/>
          <w:szCs w:val="24"/>
        </w:rPr>
        <w:t xml:space="preserve"> </w:t>
      </w:r>
      <w:r w:rsidR="000C7563">
        <w:rPr>
          <w:rFonts w:ascii="Times New Roman" w:hAnsi="Times New Roman"/>
          <w:sz w:val="24"/>
          <w:szCs w:val="24"/>
        </w:rPr>
        <w:t xml:space="preserve">so that </w:t>
      </w:r>
      <w:r w:rsidR="000812DE" w:rsidRPr="007D06EA">
        <w:rPr>
          <w:rFonts w:ascii="Times New Roman" w:hAnsi="Times New Roman"/>
          <w:sz w:val="24"/>
          <w:szCs w:val="24"/>
        </w:rPr>
        <w:t xml:space="preserve">the Commissioner </w:t>
      </w:r>
      <w:r w:rsidR="00E634FA">
        <w:rPr>
          <w:rFonts w:ascii="Times New Roman" w:hAnsi="Times New Roman"/>
          <w:sz w:val="24"/>
          <w:szCs w:val="24"/>
        </w:rPr>
        <w:t xml:space="preserve">of Inland Revenue </w:t>
      </w:r>
      <w:r w:rsidR="000812DE" w:rsidRPr="007D06EA">
        <w:rPr>
          <w:rFonts w:ascii="Times New Roman" w:hAnsi="Times New Roman"/>
          <w:sz w:val="24"/>
          <w:szCs w:val="24"/>
        </w:rPr>
        <w:t xml:space="preserve">no longer had to invoke avoidance to assess group companies (now defined to be companies with </w:t>
      </w:r>
      <w:r w:rsidR="00DB4628">
        <w:rPr>
          <w:rFonts w:ascii="Times New Roman" w:hAnsi="Times New Roman"/>
          <w:sz w:val="24"/>
          <w:szCs w:val="24"/>
        </w:rPr>
        <w:t>2/3</w:t>
      </w:r>
      <w:r w:rsidR="00DB4628" w:rsidRPr="00C7057E">
        <w:rPr>
          <w:rFonts w:ascii="Times New Roman" w:hAnsi="Times New Roman"/>
          <w:sz w:val="24"/>
          <w:szCs w:val="24"/>
          <w:vertAlign w:val="superscript"/>
        </w:rPr>
        <w:t>rds</w:t>
      </w:r>
      <w:r w:rsidR="00DB4628">
        <w:rPr>
          <w:rFonts w:ascii="Times New Roman" w:hAnsi="Times New Roman"/>
          <w:sz w:val="24"/>
          <w:szCs w:val="24"/>
        </w:rPr>
        <w:t xml:space="preserve"> </w:t>
      </w:r>
      <w:r w:rsidR="000812DE" w:rsidRPr="007D06EA">
        <w:rPr>
          <w:rFonts w:ascii="Times New Roman" w:hAnsi="Times New Roman"/>
          <w:sz w:val="24"/>
          <w:szCs w:val="24"/>
        </w:rPr>
        <w:t>common ownership) at the tax rate that would apply to the aggregate taxable income of the group.  The corollary of this automatic aggregation of group income was the ability of group companies to use subvention payments to group tax losses.  It was originally proposed that grouping of income would occur at 50</w:t>
      </w:r>
      <w:r w:rsidR="000C7563">
        <w:rPr>
          <w:rFonts w:ascii="Times New Roman" w:hAnsi="Times New Roman"/>
          <w:sz w:val="24"/>
          <w:szCs w:val="24"/>
        </w:rPr>
        <w:t xml:space="preserve"> percent</w:t>
      </w:r>
      <w:r w:rsidR="000812DE" w:rsidRPr="007D06EA">
        <w:rPr>
          <w:rFonts w:ascii="Times New Roman" w:hAnsi="Times New Roman"/>
          <w:sz w:val="24"/>
          <w:szCs w:val="24"/>
        </w:rPr>
        <w:t xml:space="preserve"> commonality and subvention payments could be made at 75</w:t>
      </w:r>
      <w:r w:rsidR="000C7563">
        <w:rPr>
          <w:rFonts w:ascii="Times New Roman" w:hAnsi="Times New Roman"/>
          <w:sz w:val="24"/>
          <w:szCs w:val="24"/>
        </w:rPr>
        <w:t xml:space="preserve"> percent</w:t>
      </w:r>
      <w:r w:rsidR="000812DE" w:rsidRPr="007D06EA">
        <w:rPr>
          <w:rFonts w:ascii="Times New Roman" w:hAnsi="Times New Roman"/>
          <w:sz w:val="24"/>
          <w:szCs w:val="24"/>
        </w:rPr>
        <w:t xml:space="preserve"> commonality.  Ultimately, the </w:t>
      </w:r>
      <w:r w:rsidR="00DB4628">
        <w:rPr>
          <w:rFonts w:ascii="Times New Roman" w:hAnsi="Times New Roman"/>
          <w:sz w:val="24"/>
          <w:szCs w:val="24"/>
        </w:rPr>
        <w:t>2/3</w:t>
      </w:r>
      <w:r w:rsidR="00DB4628" w:rsidRPr="00C7057E">
        <w:rPr>
          <w:rFonts w:ascii="Times New Roman" w:hAnsi="Times New Roman"/>
          <w:sz w:val="24"/>
          <w:szCs w:val="24"/>
          <w:vertAlign w:val="superscript"/>
        </w:rPr>
        <w:t>rds</w:t>
      </w:r>
      <w:r w:rsidR="00DB4628">
        <w:rPr>
          <w:rFonts w:ascii="Times New Roman" w:hAnsi="Times New Roman"/>
          <w:sz w:val="24"/>
          <w:szCs w:val="24"/>
        </w:rPr>
        <w:t xml:space="preserve"> </w:t>
      </w:r>
      <w:r w:rsidR="000812DE" w:rsidRPr="007D06EA">
        <w:rPr>
          <w:rFonts w:ascii="Times New Roman" w:hAnsi="Times New Roman"/>
          <w:sz w:val="24"/>
          <w:szCs w:val="24"/>
        </w:rPr>
        <w:t>threshold was adopted for both income and losses.  New Zealand’s 66</w:t>
      </w:r>
      <w:r w:rsidR="000C7563">
        <w:rPr>
          <w:rFonts w:ascii="Times New Roman" w:hAnsi="Times New Roman"/>
          <w:sz w:val="24"/>
          <w:szCs w:val="24"/>
        </w:rPr>
        <w:t xml:space="preserve"> percent</w:t>
      </w:r>
      <w:r w:rsidR="000812DE" w:rsidRPr="007D06EA">
        <w:rPr>
          <w:rFonts w:ascii="Times New Roman" w:hAnsi="Times New Roman"/>
          <w:sz w:val="24"/>
          <w:szCs w:val="24"/>
        </w:rPr>
        <w:t xml:space="preserve"> commonality threshold for loss grouping is substantially lower than other OECD countries – notably Australia which only allows grouping within a consolidated group (which requires 100</w:t>
      </w:r>
      <w:r w:rsidR="000C7563">
        <w:rPr>
          <w:rFonts w:ascii="Times New Roman" w:hAnsi="Times New Roman"/>
          <w:sz w:val="24"/>
          <w:szCs w:val="24"/>
        </w:rPr>
        <w:t xml:space="preserve"> percent</w:t>
      </w:r>
      <w:r w:rsidR="000812DE" w:rsidRPr="007D06EA">
        <w:rPr>
          <w:rFonts w:ascii="Times New Roman" w:hAnsi="Times New Roman"/>
          <w:sz w:val="24"/>
          <w:szCs w:val="24"/>
        </w:rPr>
        <w:t xml:space="preserve"> common ownership).</w:t>
      </w:r>
    </w:p>
    <w:p w:rsidR="00427026" w:rsidRDefault="00427026" w:rsidP="00C74B45">
      <w:pPr>
        <w:pStyle w:val="Bullet-list"/>
        <w:spacing w:after="0" w:line="240" w:lineRule="auto"/>
        <w:jc w:val="both"/>
        <w:rPr>
          <w:rFonts w:ascii="Times New Roman" w:hAnsi="Times New Roman"/>
          <w:sz w:val="24"/>
          <w:szCs w:val="24"/>
        </w:rPr>
      </w:pPr>
    </w:p>
    <w:p w:rsidR="00427026" w:rsidRDefault="00427026" w:rsidP="00C74B45">
      <w:pPr>
        <w:pStyle w:val="Bullet-list"/>
        <w:spacing w:after="0" w:line="240" w:lineRule="auto"/>
        <w:jc w:val="both"/>
        <w:rPr>
          <w:rFonts w:ascii="Times New Roman" w:hAnsi="Times New Roman"/>
          <w:sz w:val="24"/>
          <w:szCs w:val="24"/>
        </w:rPr>
      </w:pPr>
    </w:p>
    <w:p w:rsidR="00C7057E" w:rsidRDefault="00C7057E" w:rsidP="00C74B45">
      <w:pPr>
        <w:pStyle w:val="Bullet-list"/>
        <w:spacing w:after="0" w:line="240" w:lineRule="auto"/>
        <w:jc w:val="both"/>
        <w:rPr>
          <w:rFonts w:ascii="Times New Roman" w:hAnsi="Times New Roman"/>
          <w:sz w:val="24"/>
          <w:szCs w:val="24"/>
        </w:rPr>
      </w:pPr>
    </w:p>
    <w:p w:rsidR="00C7057E" w:rsidRDefault="00C7057E" w:rsidP="00C74B45">
      <w:pPr>
        <w:pStyle w:val="Bullet-list"/>
        <w:spacing w:after="0" w:line="240" w:lineRule="auto"/>
        <w:jc w:val="both"/>
        <w:rPr>
          <w:rFonts w:ascii="Times New Roman" w:hAnsi="Times New Roman"/>
          <w:sz w:val="24"/>
          <w:szCs w:val="24"/>
        </w:rPr>
      </w:pPr>
    </w:p>
    <w:p w:rsidR="00C7057E" w:rsidRDefault="00C7057E" w:rsidP="00C74B45">
      <w:pPr>
        <w:pStyle w:val="Bullet-list"/>
        <w:spacing w:after="0" w:line="240" w:lineRule="auto"/>
        <w:jc w:val="both"/>
        <w:rPr>
          <w:rFonts w:ascii="Times New Roman" w:hAnsi="Times New Roman"/>
          <w:sz w:val="24"/>
          <w:szCs w:val="24"/>
        </w:rPr>
      </w:pPr>
    </w:p>
    <w:p w:rsidR="00C7057E" w:rsidRDefault="00C7057E" w:rsidP="00C74B45">
      <w:pPr>
        <w:pStyle w:val="Bullet-list"/>
        <w:spacing w:after="0" w:line="240" w:lineRule="auto"/>
        <w:jc w:val="both"/>
        <w:rPr>
          <w:rFonts w:ascii="Times New Roman" w:hAnsi="Times New Roman"/>
          <w:sz w:val="24"/>
          <w:szCs w:val="24"/>
        </w:rPr>
      </w:pPr>
    </w:p>
    <w:p w:rsidR="00C7057E" w:rsidRPr="00427026" w:rsidRDefault="00C7057E" w:rsidP="00C74B45">
      <w:pPr>
        <w:pStyle w:val="Bullet-list"/>
        <w:spacing w:after="0" w:line="240" w:lineRule="auto"/>
        <w:jc w:val="both"/>
        <w:rPr>
          <w:rFonts w:ascii="Times New Roman" w:hAnsi="Times New Roman"/>
          <w:sz w:val="24"/>
          <w:szCs w:val="24"/>
        </w:rPr>
      </w:pPr>
    </w:p>
    <w:p w:rsidR="00172969" w:rsidRPr="008364DE" w:rsidRDefault="00427026" w:rsidP="00C74B45">
      <w:pPr>
        <w:pStyle w:val="Bullet-list"/>
        <w:spacing w:after="0" w:line="240" w:lineRule="auto"/>
        <w:jc w:val="both"/>
        <w:rPr>
          <w:rFonts w:ascii="Times New Roman" w:hAnsi="Times New Roman"/>
          <w:b/>
          <w:sz w:val="24"/>
          <w:szCs w:val="24"/>
        </w:rPr>
      </w:pPr>
      <w:r>
        <w:rPr>
          <w:rFonts w:ascii="Times New Roman" w:hAnsi="Times New Roman"/>
          <w:b/>
          <w:sz w:val="24"/>
          <w:szCs w:val="24"/>
        </w:rPr>
        <w:t>Dividend i</w:t>
      </w:r>
      <w:r w:rsidR="00CB20BC">
        <w:rPr>
          <w:rFonts w:ascii="Times New Roman" w:hAnsi="Times New Roman"/>
          <w:b/>
          <w:sz w:val="24"/>
          <w:szCs w:val="24"/>
        </w:rPr>
        <w:t>mputation</w:t>
      </w:r>
    </w:p>
    <w:p w:rsidR="00427026" w:rsidRDefault="00427026" w:rsidP="00C74B45">
      <w:pPr>
        <w:pStyle w:val="Bullet-list"/>
        <w:spacing w:after="0" w:line="240" w:lineRule="auto"/>
        <w:ind w:left="0" w:firstLine="0"/>
        <w:jc w:val="both"/>
        <w:rPr>
          <w:rFonts w:ascii="Times New Roman" w:hAnsi="Times New Roman"/>
          <w:sz w:val="24"/>
          <w:szCs w:val="24"/>
        </w:rPr>
      </w:pPr>
    </w:p>
    <w:p w:rsidR="00B4430D"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B4430D">
        <w:rPr>
          <w:rFonts w:ascii="Times New Roman" w:hAnsi="Times New Roman"/>
          <w:sz w:val="24"/>
          <w:szCs w:val="24"/>
        </w:rPr>
        <w:t xml:space="preserve">Imputation credits represent </w:t>
      </w:r>
      <w:r w:rsidR="00126378">
        <w:rPr>
          <w:rFonts w:ascii="Times New Roman" w:hAnsi="Times New Roman"/>
          <w:sz w:val="24"/>
          <w:szCs w:val="24"/>
        </w:rPr>
        <w:t xml:space="preserve">a credit for </w:t>
      </w:r>
      <w:r w:rsidR="00B4430D">
        <w:rPr>
          <w:rFonts w:ascii="Times New Roman" w:hAnsi="Times New Roman"/>
          <w:sz w:val="24"/>
          <w:szCs w:val="24"/>
        </w:rPr>
        <w:t xml:space="preserve">income tax paid </w:t>
      </w:r>
      <w:r w:rsidR="00FA70CF">
        <w:rPr>
          <w:rFonts w:ascii="Times New Roman" w:hAnsi="Times New Roman"/>
          <w:sz w:val="24"/>
          <w:szCs w:val="24"/>
        </w:rPr>
        <w:t xml:space="preserve">by a company </w:t>
      </w:r>
      <w:r w:rsidR="00B4430D">
        <w:rPr>
          <w:rFonts w:ascii="Times New Roman" w:hAnsi="Times New Roman"/>
          <w:sz w:val="24"/>
          <w:szCs w:val="24"/>
        </w:rPr>
        <w:t xml:space="preserve">and can be attached to a dividend paid by </w:t>
      </w:r>
      <w:r w:rsidR="00FA70CF">
        <w:rPr>
          <w:rFonts w:ascii="Times New Roman" w:hAnsi="Times New Roman"/>
          <w:sz w:val="24"/>
          <w:szCs w:val="24"/>
        </w:rPr>
        <w:t>the</w:t>
      </w:r>
      <w:r w:rsidR="00B4430D">
        <w:rPr>
          <w:rFonts w:ascii="Times New Roman" w:hAnsi="Times New Roman"/>
          <w:sz w:val="24"/>
          <w:szCs w:val="24"/>
        </w:rPr>
        <w:t xml:space="preserve"> company to its shareholders.  Imputation credits are also </w:t>
      </w:r>
      <w:r w:rsidR="00126378">
        <w:rPr>
          <w:rFonts w:ascii="Times New Roman" w:hAnsi="Times New Roman"/>
          <w:sz w:val="24"/>
          <w:szCs w:val="24"/>
        </w:rPr>
        <w:t>assessable</w:t>
      </w:r>
      <w:r w:rsidR="00B4430D">
        <w:rPr>
          <w:rFonts w:ascii="Times New Roman" w:hAnsi="Times New Roman"/>
          <w:sz w:val="24"/>
          <w:szCs w:val="24"/>
        </w:rPr>
        <w:t xml:space="preserve"> to the owner of the company receiving the dividend</w:t>
      </w:r>
      <w:r w:rsidR="00FD48D0">
        <w:rPr>
          <w:rFonts w:ascii="Times New Roman" w:hAnsi="Times New Roman"/>
          <w:sz w:val="24"/>
          <w:szCs w:val="24"/>
        </w:rPr>
        <w:t>,</w:t>
      </w:r>
      <w:r w:rsidR="00B4430D">
        <w:rPr>
          <w:rFonts w:ascii="Times New Roman" w:hAnsi="Times New Roman"/>
          <w:sz w:val="24"/>
          <w:szCs w:val="24"/>
        </w:rPr>
        <w:t xml:space="preserve"> but are a credit against tax payable.  This </w:t>
      </w:r>
      <w:r w:rsidR="00126378">
        <w:rPr>
          <w:rFonts w:ascii="Times New Roman" w:hAnsi="Times New Roman"/>
          <w:sz w:val="24"/>
          <w:szCs w:val="24"/>
        </w:rPr>
        <w:t>system allows</w:t>
      </w:r>
      <w:r w:rsidR="00B4430D">
        <w:rPr>
          <w:rFonts w:ascii="Times New Roman" w:hAnsi="Times New Roman"/>
          <w:sz w:val="24"/>
          <w:szCs w:val="24"/>
        </w:rPr>
        <w:t xml:space="preserve"> the value of tax paid by a company to reduce the tax liability of its shareholders so that the same income stream is not taxed twice.  When a company </w:t>
      </w:r>
      <w:r w:rsidR="00126378">
        <w:rPr>
          <w:rFonts w:ascii="Times New Roman" w:hAnsi="Times New Roman"/>
          <w:sz w:val="24"/>
          <w:szCs w:val="24"/>
        </w:rPr>
        <w:t xml:space="preserve">pays a dividend that has imputation credits attached equal to the company tax rate this dividend is known as </w:t>
      </w:r>
      <w:r w:rsidR="00FD48D0">
        <w:rPr>
          <w:rFonts w:ascii="Times New Roman" w:hAnsi="Times New Roman"/>
          <w:sz w:val="24"/>
          <w:szCs w:val="24"/>
        </w:rPr>
        <w:t xml:space="preserve">a </w:t>
      </w:r>
      <w:r w:rsidR="00126378">
        <w:rPr>
          <w:rFonts w:ascii="Times New Roman" w:hAnsi="Times New Roman"/>
          <w:sz w:val="24"/>
          <w:szCs w:val="24"/>
        </w:rPr>
        <w:t>fully imputed</w:t>
      </w:r>
      <w:r w:rsidR="00FD48D0">
        <w:rPr>
          <w:rFonts w:ascii="Times New Roman" w:hAnsi="Times New Roman"/>
          <w:sz w:val="24"/>
          <w:szCs w:val="24"/>
        </w:rPr>
        <w:t xml:space="preserve"> dividend</w:t>
      </w:r>
      <w:r w:rsidR="00126378">
        <w:rPr>
          <w:rFonts w:ascii="Times New Roman" w:hAnsi="Times New Roman"/>
          <w:sz w:val="24"/>
          <w:szCs w:val="24"/>
        </w:rPr>
        <w:t>.  When some imputation credits are attached</w:t>
      </w:r>
      <w:r w:rsidR="00FD48D0">
        <w:rPr>
          <w:rFonts w:ascii="Times New Roman" w:hAnsi="Times New Roman"/>
          <w:sz w:val="24"/>
          <w:szCs w:val="24"/>
        </w:rPr>
        <w:t>, but less than the full company tax rate,</w:t>
      </w:r>
      <w:r w:rsidR="00126378">
        <w:rPr>
          <w:rFonts w:ascii="Times New Roman" w:hAnsi="Times New Roman"/>
          <w:sz w:val="24"/>
          <w:szCs w:val="24"/>
        </w:rPr>
        <w:t xml:space="preserve"> this is known as </w:t>
      </w:r>
      <w:r w:rsidR="00FD48D0">
        <w:rPr>
          <w:rFonts w:ascii="Times New Roman" w:hAnsi="Times New Roman"/>
          <w:sz w:val="24"/>
          <w:szCs w:val="24"/>
        </w:rPr>
        <w:t xml:space="preserve">a </w:t>
      </w:r>
      <w:r w:rsidR="00126378">
        <w:rPr>
          <w:rFonts w:ascii="Times New Roman" w:hAnsi="Times New Roman"/>
          <w:sz w:val="24"/>
          <w:szCs w:val="24"/>
        </w:rPr>
        <w:t>partially imputed</w:t>
      </w:r>
      <w:r w:rsidR="00FD48D0">
        <w:rPr>
          <w:rFonts w:ascii="Times New Roman" w:hAnsi="Times New Roman"/>
          <w:sz w:val="24"/>
          <w:szCs w:val="24"/>
        </w:rPr>
        <w:t xml:space="preserve"> dividend</w:t>
      </w:r>
      <w:r w:rsidR="00126378">
        <w:rPr>
          <w:rFonts w:ascii="Times New Roman" w:hAnsi="Times New Roman"/>
          <w:sz w:val="24"/>
          <w:szCs w:val="24"/>
        </w:rPr>
        <w:t>.</w:t>
      </w:r>
    </w:p>
    <w:p w:rsidR="00427026" w:rsidRDefault="00427026" w:rsidP="00C74B45">
      <w:pPr>
        <w:pStyle w:val="Bullet-list"/>
        <w:spacing w:after="0" w:line="240" w:lineRule="auto"/>
        <w:ind w:left="0" w:firstLine="0"/>
        <w:jc w:val="both"/>
        <w:rPr>
          <w:rFonts w:ascii="Times New Roman" w:hAnsi="Times New Roman"/>
          <w:sz w:val="24"/>
          <w:szCs w:val="24"/>
          <w:lang w:val="en-NZ"/>
        </w:rPr>
      </w:pPr>
    </w:p>
    <w:p w:rsidR="005C1DF3"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C34229">
        <w:rPr>
          <w:rFonts w:ascii="Times New Roman" w:hAnsi="Times New Roman"/>
          <w:sz w:val="24"/>
          <w:szCs w:val="24"/>
        </w:rPr>
        <w:t>When th</w:t>
      </w:r>
      <w:r w:rsidR="00337E9E">
        <w:rPr>
          <w:rFonts w:ascii="Times New Roman" w:hAnsi="Times New Roman"/>
          <w:sz w:val="24"/>
          <w:szCs w:val="24"/>
        </w:rPr>
        <w:t>e</w:t>
      </w:r>
      <w:r w:rsidR="00C34229">
        <w:rPr>
          <w:rFonts w:ascii="Times New Roman" w:hAnsi="Times New Roman"/>
          <w:sz w:val="24"/>
          <w:szCs w:val="24"/>
        </w:rPr>
        <w:t xml:space="preserve"> profit company pays a dividend to its shareholders it will often have insufficient imputation credits to fully impute the dividend</w:t>
      </w:r>
      <w:r w:rsidR="00172969">
        <w:rPr>
          <w:rFonts w:ascii="Times New Roman" w:hAnsi="Times New Roman"/>
          <w:sz w:val="24"/>
          <w:szCs w:val="24"/>
        </w:rPr>
        <w:t xml:space="preserve"> because the losses transferred mean less tax has been paid by the profit company</w:t>
      </w:r>
      <w:r w:rsidR="00C34229">
        <w:rPr>
          <w:rFonts w:ascii="Times New Roman" w:hAnsi="Times New Roman"/>
          <w:sz w:val="24"/>
          <w:szCs w:val="24"/>
        </w:rPr>
        <w:t xml:space="preserve">.  The shareholder will therefore have to pay </w:t>
      </w:r>
      <w:r w:rsidR="00172969">
        <w:rPr>
          <w:rFonts w:ascii="Times New Roman" w:hAnsi="Times New Roman"/>
          <w:sz w:val="24"/>
          <w:szCs w:val="24"/>
        </w:rPr>
        <w:t xml:space="preserve">more </w:t>
      </w:r>
      <w:r w:rsidR="00C34229">
        <w:rPr>
          <w:rFonts w:ascii="Times New Roman" w:hAnsi="Times New Roman"/>
          <w:sz w:val="24"/>
          <w:szCs w:val="24"/>
        </w:rPr>
        <w:t xml:space="preserve">income tax compared to if the dividend was fully imputed.  </w:t>
      </w:r>
      <w:r w:rsidR="00337E9E">
        <w:rPr>
          <w:rFonts w:ascii="Times New Roman" w:hAnsi="Times New Roman"/>
          <w:sz w:val="24"/>
          <w:szCs w:val="24"/>
        </w:rPr>
        <w:t xml:space="preserve">When the </w:t>
      </w:r>
      <w:r w:rsidR="00454B5B">
        <w:rPr>
          <w:rFonts w:ascii="Times New Roman" w:hAnsi="Times New Roman"/>
          <w:sz w:val="24"/>
          <w:szCs w:val="24"/>
        </w:rPr>
        <w:t>commonly-</w:t>
      </w:r>
      <w:r w:rsidR="00337E9E">
        <w:rPr>
          <w:rFonts w:ascii="Times New Roman" w:hAnsi="Times New Roman"/>
          <w:sz w:val="24"/>
          <w:szCs w:val="24"/>
        </w:rPr>
        <w:t xml:space="preserve">owned </w:t>
      </w:r>
      <w:r w:rsidR="00C34229">
        <w:rPr>
          <w:rFonts w:ascii="Times New Roman" w:hAnsi="Times New Roman"/>
          <w:sz w:val="24"/>
          <w:szCs w:val="24"/>
        </w:rPr>
        <w:t>group</w:t>
      </w:r>
      <w:r w:rsidR="00337E9E">
        <w:rPr>
          <w:rFonts w:ascii="Times New Roman" w:hAnsi="Times New Roman"/>
          <w:sz w:val="24"/>
          <w:szCs w:val="24"/>
        </w:rPr>
        <w:t xml:space="preserve"> and its shareholders are </w:t>
      </w:r>
      <w:r w:rsidR="00C34229">
        <w:rPr>
          <w:rFonts w:ascii="Times New Roman" w:hAnsi="Times New Roman"/>
          <w:sz w:val="24"/>
          <w:szCs w:val="24"/>
        </w:rPr>
        <w:t>considered as a whole</w:t>
      </w:r>
      <w:r w:rsidR="00BC1CA0">
        <w:rPr>
          <w:rFonts w:ascii="Times New Roman" w:hAnsi="Times New Roman"/>
          <w:sz w:val="24"/>
          <w:szCs w:val="24"/>
        </w:rPr>
        <w:t>,</w:t>
      </w:r>
      <w:r w:rsidR="00C34229">
        <w:rPr>
          <w:rFonts w:ascii="Times New Roman" w:hAnsi="Times New Roman"/>
          <w:sz w:val="24"/>
          <w:szCs w:val="24"/>
        </w:rPr>
        <w:t xml:space="preserve"> more tax </w:t>
      </w:r>
      <w:r w:rsidR="00337E9E">
        <w:rPr>
          <w:rFonts w:ascii="Times New Roman" w:hAnsi="Times New Roman"/>
          <w:sz w:val="24"/>
          <w:szCs w:val="24"/>
        </w:rPr>
        <w:t xml:space="preserve">will be paid </w:t>
      </w:r>
      <w:r w:rsidR="00C34229">
        <w:rPr>
          <w:rFonts w:ascii="Times New Roman" w:hAnsi="Times New Roman"/>
          <w:sz w:val="24"/>
          <w:szCs w:val="24"/>
        </w:rPr>
        <w:t>than if the loss was not transferred</w:t>
      </w:r>
      <w:r w:rsidR="00337E9E">
        <w:rPr>
          <w:rFonts w:ascii="Times New Roman" w:hAnsi="Times New Roman"/>
          <w:sz w:val="24"/>
          <w:szCs w:val="24"/>
        </w:rPr>
        <w:t>.</w:t>
      </w:r>
      <w:r w:rsidR="005C1DF3">
        <w:rPr>
          <w:rFonts w:ascii="Times New Roman" w:hAnsi="Times New Roman"/>
          <w:sz w:val="24"/>
          <w:szCs w:val="24"/>
        </w:rPr>
        <w:t xml:space="preserve">  </w:t>
      </w:r>
    </w:p>
    <w:p w:rsidR="00427026" w:rsidRDefault="00427026" w:rsidP="00C74B45">
      <w:pPr>
        <w:pStyle w:val="Bullet-list"/>
        <w:spacing w:after="0" w:line="240" w:lineRule="auto"/>
        <w:ind w:left="0" w:firstLine="0"/>
        <w:jc w:val="both"/>
        <w:rPr>
          <w:rFonts w:ascii="Times New Roman" w:hAnsi="Times New Roman"/>
          <w:sz w:val="24"/>
          <w:szCs w:val="24"/>
          <w:lang w:val="en-NZ"/>
        </w:rPr>
      </w:pPr>
    </w:p>
    <w:p w:rsidR="00CB20BC" w:rsidRDefault="00CB20BC" w:rsidP="00C74B45">
      <w:pPr>
        <w:pStyle w:val="Bullet-list"/>
        <w:spacing w:after="0" w:line="240" w:lineRule="auto"/>
        <w:ind w:left="0" w:firstLine="0"/>
        <w:jc w:val="both"/>
        <w:rPr>
          <w:rFonts w:ascii="Times New Roman" w:hAnsi="Times New Roman"/>
          <w:sz w:val="24"/>
          <w:szCs w:val="24"/>
          <w:lang w:val="en-NZ"/>
        </w:rPr>
      </w:pPr>
    </w:p>
    <w:p w:rsidR="00CB20BC" w:rsidRPr="00CB20BC" w:rsidRDefault="00CB20BC" w:rsidP="00C74B45">
      <w:pPr>
        <w:pStyle w:val="Bullet-list"/>
        <w:spacing w:after="0" w:line="240" w:lineRule="auto"/>
        <w:ind w:left="0" w:firstLine="0"/>
        <w:jc w:val="both"/>
        <w:rPr>
          <w:rFonts w:ascii="Times New Roman" w:hAnsi="Times New Roman"/>
          <w:b/>
          <w:sz w:val="24"/>
          <w:szCs w:val="24"/>
          <w:lang w:val="en-NZ"/>
        </w:rPr>
      </w:pPr>
      <w:r w:rsidRPr="00CB20BC">
        <w:rPr>
          <w:rFonts w:ascii="Times New Roman" w:hAnsi="Times New Roman"/>
          <w:b/>
          <w:sz w:val="24"/>
          <w:szCs w:val="24"/>
          <w:lang w:val="en-NZ"/>
        </w:rPr>
        <w:t>The problem</w:t>
      </w:r>
    </w:p>
    <w:p w:rsidR="00CB20BC" w:rsidRDefault="00CB20BC" w:rsidP="00C74B45">
      <w:pPr>
        <w:pStyle w:val="Bullet-list"/>
        <w:spacing w:after="0" w:line="240" w:lineRule="auto"/>
        <w:ind w:left="0" w:firstLine="0"/>
        <w:jc w:val="both"/>
        <w:rPr>
          <w:rFonts w:ascii="Times New Roman" w:hAnsi="Times New Roman"/>
          <w:sz w:val="24"/>
          <w:szCs w:val="24"/>
          <w:lang w:val="en-NZ"/>
        </w:rPr>
      </w:pPr>
    </w:p>
    <w:p w:rsidR="00183337"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0C7563">
        <w:rPr>
          <w:rFonts w:ascii="Times New Roman" w:hAnsi="Times New Roman"/>
          <w:sz w:val="24"/>
          <w:szCs w:val="24"/>
          <w:lang w:val="en-NZ"/>
        </w:rPr>
        <w:t xml:space="preserve">Example 1 illustrates how </w:t>
      </w:r>
      <w:r w:rsidR="005C1DF3">
        <w:rPr>
          <w:rFonts w:ascii="Times New Roman" w:hAnsi="Times New Roman"/>
          <w:sz w:val="24"/>
          <w:szCs w:val="24"/>
        </w:rPr>
        <w:t>the additional tax arises</w:t>
      </w:r>
      <w:r w:rsidR="000C7563">
        <w:rPr>
          <w:rFonts w:ascii="Times New Roman" w:hAnsi="Times New Roman"/>
          <w:sz w:val="24"/>
          <w:szCs w:val="24"/>
        </w:rPr>
        <w:t>.</w:t>
      </w:r>
      <w:r w:rsidR="005C1DF3">
        <w:rPr>
          <w:rFonts w:ascii="Times New Roman" w:hAnsi="Times New Roman"/>
          <w:sz w:val="24"/>
          <w:szCs w:val="24"/>
        </w:rPr>
        <w:t xml:space="preserve"> </w:t>
      </w:r>
      <w:r w:rsidR="000C7563">
        <w:rPr>
          <w:rFonts w:ascii="Times New Roman" w:hAnsi="Times New Roman"/>
          <w:sz w:val="24"/>
          <w:szCs w:val="24"/>
        </w:rPr>
        <w:t xml:space="preserve"> In this example a loss company has a 90 percent shareholding in a profit company (which makes it eligible to group losses</w:t>
      </w:r>
      <w:r w:rsidR="00DB4628">
        <w:rPr>
          <w:rFonts w:ascii="Times New Roman" w:hAnsi="Times New Roman"/>
          <w:sz w:val="24"/>
          <w:szCs w:val="24"/>
        </w:rPr>
        <w:t>)</w:t>
      </w:r>
      <w:r w:rsidR="000C7563">
        <w:rPr>
          <w:rFonts w:ascii="Times New Roman" w:hAnsi="Times New Roman"/>
          <w:sz w:val="24"/>
          <w:szCs w:val="24"/>
        </w:rPr>
        <w:t xml:space="preserve">.  All shareholders are assumed to be on a 28 percent tax rate in order to simplify the example.  </w:t>
      </w:r>
    </w:p>
    <w:p w:rsidR="000C7563" w:rsidRDefault="000C7563" w:rsidP="00CB20BC">
      <w:pPr>
        <w:pStyle w:val="Bullet-list"/>
        <w:spacing w:after="0" w:line="240" w:lineRule="auto"/>
        <w:ind w:left="0" w:firstLine="0"/>
        <w:jc w:val="both"/>
      </w:pPr>
    </w:p>
    <w:p w:rsidR="00CB20BC" w:rsidRPr="00183337" w:rsidRDefault="00CB20BC" w:rsidP="00DB4628">
      <w:pPr>
        <w:pStyle w:val="Bullet-list"/>
        <w:spacing w:after="0" w:line="240" w:lineRule="auto"/>
        <w:ind w:left="0" w:firstLine="0"/>
        <w:jc w:val="both"/>
      </w:pPr>
    </w:p>
    <w:p w:rsidR="00172969" w:rsidRPr="00060531" w:rsidRDefault="00172969" w:rsidP="00CB20BC">
      <w:pPr>
        <w:pStyle w:val="ListParagraph"/>
        <w:ind w:left="360"/>
        <w:rPr>
          <w:rFonts w:ascii="Times New Roman" w:hAnsi="Times New Roman"/>
          <w:i/>
          <w:sz w:val="24"/>
          <w:szCs w:val="24"/>
        </w:rPr>
      </w:pPr>
      <w:r w:rsidRPr="00060531">
        <w:rPr>
          <w:rFonts w:ascii="Times New Roman" w:hAnsi="Times New Roman"/>
          <w:b/>
          <w:i/>
          <w:sz w:val="24"/>
          <w:szCs w:val="24"/>
        </w:rPr>
        <w:t xml:space="preserve">Example </w:t>
      </w:r>
      <w:r w:rsidR="007A73E8" w:rsidRPr="00060531">
        <w:rPr>
          <w:rFonts w:ascii="Times New Roman" w:hAnsi="Times New Roman"/>
          <w:b/>
          <w:i/>
          <w:sz w:val="24"/>
          <w:szCs w:val="24"/>
        </w:rPr>
        <w:t>1</w:t>
      </w:r>
    </w:p>
    <w:p w:rsidR="00172969" w:rsidRDefault="00172969" w:rsidP="00CB20BC">
      <w:pPr>
        <w:pStyle w:val="ListParagraph"/>
        <w:ind w:left="360"/>
        <w:rPr>
          <w:rFonts w:ascii="Times New Roman" w:hAnsi="Times New Roman"/>
          <w:sz w:val="24"/>
          <w:szCs w:val="24"/>
        </w:rPr>
      </w:pPr>
    </w:p>
    <w:p w:rsidR="007A73E8" w:rsidRDefault="007A73E8" w:rsidP="00CB20BC">
      <w:pPr>
        <w:pStyle w:val="ListParagraph"/>
        <w:numPr>
          <w:ilvl w:val="0"/>
          <w:numId w:val="6"/>
        </w:numPr>
        <w:ind w:left="720"/>
        <w:rPr>
          <w:rFonts w:ascii="Times New Roman" w:hAnsi="Times New Roman"/>
          <w:sz w:val="24"/>
          <w:szCs w:val="24"/>
        </w:rPr>
      </w:pPr>
      <w:r>
        <w:rPr>
          <w:rFonts w:ascii="Times New Roman" w:hAnsi="Times New Roman"/>
          <w:sz w:val="24"/>
          <w:szCs w:val="24"/>
        </w:rPr>
        <w:t xml:space="preserve">The loss is transferred from </w:t>
      </w:r>
      <w:proofErr w:type="spellStart"/>
      <w:r>
        <w:rPr>
          <w:rFonts w:ascii="Times New Roman" w:hAnsi="Times New Roman"/>
          <w:sz w:val="24"/>
          <w:szCs w:val="24"/>
        </w:rPr>
        <w:t>LossCo</w:t>
      </w:r>
      <w:proofErr w:type="spellEnd"/>
      <w:r>
        <w:rPr>
          <w:rFonts w:ascii="Times New Roman" w:hAnsi="Times New Roman"/>
          <w:sz w:val="24"/>
          <w:szCs w:val="24"/>
        </w:rPr>
        <w:t xml:space="preserve"> to </w:t>
      </w:r>
      <w:proofErr w:type="spellStart"/>
      <w:r>
        <w:rPr>
          <w:rFonts w:ascii="Times New Roman" w:hAnsi="Times New Roman"/>
          <w:sz w:val="24"/>
          <w:szCs w:val="24"/>
        </w:rPr>
        <w:t>ProfitCo</w:t>
      </w:r>
      <w:proofErr w:type="spellEnd"/>
      <w:r>
        <w:rPr>
          <w:rFonts w:ascii="Times New Roman" w:hAnsi="Times New Roman"/>
          <w:sz w:val="24"/>
          <w:szCs w:val="24"/>
        </w:rPr>
        <w:t xml:space="preserve"> via a combination of a 28</w:t>
      </w:r>
      <w:r w:rsidR="000C7563">
        <w:rPr>
          <w:rFonts w:ascii="Times New Roman" w:hAnsi="Times New Roman"/>
          <w:sz w:val="24"/>
          <w:szCs w:val="24"/>
        </w:rPr>
        <w:t xml:space="preserve"> percent</w:t>
      </w:r>
      <w:r>
        <w:rPr>
          <w:rFonts w:ascii="Times New Roman" w:hAnsi="Times New Roman"/>
          <w:sz w:val="24"/>
          <w:szCs w:val="24"/>
        </w:rPr>
        <w:t xml:space="preserve"> subvention payment and a loss offset election for the remaining $7,200 tax loss.</w:t>
      </w:r>
    </w:p>
    <w:p w:rsidR="000C7563" w:rsidRDefault="000C7563" w:rsidP="00CB20BC">
      <w:pPr>
        <w:pStyle w:val="ListParagraph"/>
        <w:rPr>
          <w:rFonts w:ascii="Times New Roman" w:hAnsi="Times New Roman"/>
          <w:sz w:val="24"/>
          <w:szCs w:val="24"/>
        </w:rPr>
      </w:pPr>
    </w:p>
    <w:p w:rsidR="007A73E8" w:rsidRDefault="007A73E8" w:rsidP="00CB20BC">
      <w:pPr>
        <w:pStyle w:val="ListParagraph"/>
        <w:numPr>
          <w:ilvl w:val="0"/>
          <w:numId w:val="6"/>
        </w:numPr>
        <w:ind w:left="720"/>
        <w:rPr>
          <w:rFonts w:ascii="Times New Roman" w:hAnsi="Times New Roman"/>
          <w:sz w:val="24"/>
          <w:szCs w:val="24"/>
        </w:rPr>
      </w:pPr>
      <w:proofErr w:type="spellStart"/>
      <w:r>
        <w:rPr>
          <w:rFonts w:ascii="Times New Roman" w:hAnsi="Times New Roman"/>
          <w:sz w:val="24"/>
          <w:szCs w:val="24"/>
        </w:rPr>
        <w:t>ProfitCo</w:t>
      </w:r>
      <w:proofErr w:type="spellEnd"/>
      <w:r>
        <w:rPr>
          <w:rFonts w:ascii="Times New Roman" w:hAnsi="Times New Roman"/>
          <w:sz w:val="24"/>
          <w:szCs w:val="24"/>
        </w:rPr>
        <w:t xml:space="preserve"> has $10,000 of profit after the loss transfer so pays $2,800 tax.  It therefore has $14,400 of cash and $2,800 of imputation credits.</w:t>
      </w:r>
      <w:r w:rsidRPr="00CE2384">
        <w:rPr>
          <w:rStyle w:val="FootnoteReference"/>
          <w:rFonts w:ascii="Times New Roman" w:hAnsi="Times New Roman"/>
          <w:sz w:val="20"/>
        </w:rPr>
        <w:footnoteReference w:id="1"/>
      </w:r>
    </w:p>
    <w:p w:rsidR="000C7563" w:rsidRDefault="000C7563" w:rsidP="00CB20BC">
      <w:pPr>
        <w:pStyle w:val="ListParagraph"/>
        <w:rPr>
          <w:rFonts w:ascii="Times New Roman" w:hAnsi="Times New Roman"/>
          <w:sz w:val="24"/>
          <w:szCs w:val="24"/>
        </w:rPr>
      </w:pPr>
    </w:p>
    <w:p w:rsidR="007A73E8" w:rsidRDefault="007A73E8" w:rsidP="00CB20BC">
      <w:pPr>
        <w:pStyle w:val="ListParagraph"/>
        <w:numPr>
          <w:ilvl w:val="0"/>
          <w:numId w:val="6"/>
        </w:numPr>
        <w:ind w:left="720"/>
        <w:rPr>
          <w:rFonts w:ascii="Times New Roman" w:hAnsi="Times New Roman"/>
          <w:sz w:val="24"/>
          <w:szCs w:val="24"/>
        </w:rPr>
      </w:pPr>
      <w:proofErr w:type="spellStart"/>
      <w:r>
        <w:rPr>
          <w:rFonts w:ascii="Times New Roman" w:hAnsi="Times New Roman"/>
          <w:sz w:val="24"/>
          <w:szCs w:val="24"/>
        </w:rPr>
        <w:t>ProfitCo</w:t>
      </w:r>
      <w:proofErr w:type="spellEnd"/>
      <w:r>
        <w:rPr>
          <w:rFonts w:ascii="Times New Roman" w:hAnsi="Times New Roman"/>
          <w:sz w:val="24"/>
          <w:szCs w:val="24"/>
        </w:rPr>
        <w:t xml:space="preserve"> pays 10</w:t>
      </w:r>
      <w:r w:rsidR="000C7563">
        <w:rPr>
          <w:rFonts w:ascii="Times New Roman" w:hAnsi="Times New Roman"/>
          <w:sz w:val="24"/>
          <w:szCs w:val="24"/>
        </w:rPr>
        <w:t xml:space="preserve"> percent</w:t>
      </w:r>
      <w:r>
        <w:rPr>
          <w:rFonts w:ascii="Times New Roman" w:hAnsi="Times New Roman"/>
          <w:sz w:val="24"/>
          <w:szCs w:val="24"/>
        </w:rPr>
        <w:t xml:space="preserve"> of its profits as a dividend to Minority Shareholder.  This is $1,440 cash and $280 of imputation credits.  This dividend is not fully imputed so Minority Shareholder has to pay extra tax of $202.</w:t>
      </w:r>
    </w:p>
    <w:p w:rsidR="000C7563" w:rsidRDefault="000C7563" w:rsidP="00CB20BC">
      <w:pPr>
        <w:pStyle w:val="ListParagraph"/>
        <w:rPr>
          <w:rFonts w:ascii="Times New Roman" w:hAnsi="Times New Roman"/>
          <w:sz w:val="24"/>
          <w:szCs w:val="24"/>
        </w:rPr>
      </w:pPr>
    </w:p>
    <w:p w:rsidR="003E6A50" w:rsidRDefault="007A73E8" w:rsidP="00CB20BC">
      <w:pPr>
        <w:pStyle w:val="ListParagraph"/>
        <w:numPr>
          <w:ilvl w:val="0"/>
          <w:numId w:val="6"/>
        </w:numPr>
        <w:ind w:left="720"/>
        <w:rPr>
          <w:rFonts w:ascii="Times New Roman" w:hAnsi="Times New Roman"/>
          <w:sz w:val="24"/>
          <w:szCs w:val="24"/>
        </w:rPr>
      </w:pPr>
      <w:proofErr w:type="spellStart"/>
      <w:r>
        <w:rPr>
          <w:rFonts w:ascii="Times New Roman" w:hAnsi="Times New Roman"/>
          <w:sz w:val="24"/>
          <w:szCs w:val="24"/>
        </w:rPr>
        <w:t>ProfitCo</w:t>
      </w:r>
      <w:proofErr w:type="spellEnd"/>
      <w:r>
        <w:rPr>
          <w:rFonts w:ascii="Times New Roman" w:hAnsi="Times New Roman"/>
          <w:sz w:val="24"/>
          <w:szCs w:val="24"/>
        </w:rPr>
        <w:t xml:space="preserve"> pays 90</w:t>
      </w:r>
      <w:r w:rsidR="000C7563">
        <w:rPr>
          <w:rFonts w:ascii="Times New Roman" w:hAnsi="Times New Roman"/>
          <w:sz w:val="24"/>
          <w:szCs w:val="24"/>
        </w:rPr>
        <w:t xml:space="preserve"> percent</w:t>
      </w:r>
      <w:r>
        <w:rPr>
          <w:rFonts w:ascii="Times New Roman" w:hAnsi="Times New Roman"/>
          <w:sz w:val="24"/>
          <w:szCs w:val="24"/>
        </w:rPr>
        <w:t xml:space="preserve"> of its profits as a dividend to </w:t>
      </w:r>
      <w:proofErr w:type="spellStart"/>
      <w:r>
        <w:rPr>
          <w:rFonts w:ascii="Times New Roman" w:hAnsi="Times New Roman"/>
          <w:sz w:val="24"/>
          <w:szCs w:val="24"/>
        </w:rPr>
        <w:t>LossCo</w:t>
      </w:r>
      <w:proofErr w:type="spellEnd"/>
      <w:r>
        <w:rPr>
          <w:rFonts w:ascii="Times New Roman" w:hAnsi="Times New Roman"/>
          <w:sz w:val="24"/>
          <w:szCs w:val="24"/>
        </w:rPr>
        <w:t>.  This is $12,960 cash and $</w:t>
      </w:r>
      <w:r w:rsidR="00DA506F">
        <w:rPr>
          <w:rFonts w:ascii="Times New Roman" w:hAnsi="Times New Roman"/>
          <w:sz w:val="24"/>
          <w:szCs w:val="24"/>
        </w:rPr>
        <w:t xml:space="preserve">2,520 of imputation credits.  This dividend is not fully imputed so </w:t>
      </w:r>
      <w:proofErr w:type="spellStart"/>
      <w:r w:rsidR="00B441C3">
        <w:rPr>
          <w:rFonts w:ascii="Times New Roman" w:hAnsi="Times New Roman"/>
          <w:sz w:val="24"/>
          <w:szCs w:val="24"/>
        </w:rPr>
        <w:t>LossCo</w:t>
      </w:r>
      <w:proofErr w:type="spellEnd"/>
      <w:r w:rsidR="00B441C3">
        <w:rPr>
          <w:rFonts w:ascii="Times New Roman" w:hAnsi="Times New Roman"/>
          <w:sz w:val="24"/>
          <w:szCs w:val="24"/>
        </w:rPr>
        <w:t xml:space="preserve"> </w:t>
      </w:r>
      <w:r w:rsidR="00DA506F">
        <w:rPr>
          <w:rFonts w:ascii="Times New Roman" w:hAnsi="Times New Roman"/>
          <w:sz w:val="24"/>
          <w:szCs w:val="24"/>
        </w:rPr>
        <w:t>has to pay extra tax of $1,814.</w:t>
      </w:r>
    </w:p>
    <w:p w:rsidR="000C7563" w:rsidRDefault="000C7563" w:rsidP="00CB20BC">
      <w:pPr>
        <w:pStyle w:val="ListParagraph"/>
        <w:rPr>
          <w:rFonts w:ascii="Times New Roman" w:hAnsi="Times New Roman"/>
          <w:sz w:val="24"/>
          <w:szCs w:val="24"/>
        </w:rPr>
      </w:pPr>
    </w:p>
    <w:p w:rsidR="000C7563" w:rsidRDefault="00DA506F" w:rsidP="00CB20BC">
      <w:pPr>
        <w:pStyle w:val="ListParagraph"/>
        <w:numPr>
          <w:ilvl w:val="0"/>
          <w:numId w:val="6"/>
        </w:numPr>
        <w:ind w:left="720"/>
        <w:rPr>
          <w:rFonts w:ascii="Times New Roman" w:hAnsi="Times New Roman"/>
          <w:sz w:val="24"/>
          <w:szCs w:val="24"/>
        </w:rPr>
      </w:pPr>
      <w:proofErr w:type="spellStart"/>
      <w:r>
        <w:rPr>
          <w:rFonts w:ascii="Times New Roman" w:hAnsi="Times New Roman"/>
          <w:sz w:val="24"/>
          <w:szCs w:val="24"/>
        </w:rPr>
        <w:t>LossCo</w:t>
      </w:r>
      <w:proofErr w:type="spellEnd"/>
      <w:r>
        <w:rPr>
          <w:rFonts w:ascii="Times New Roman" w:hAnsi="Times New Roman"/>
          <w:sz w:val="24"/>
          <w:szCs w:val="24"/>
        </w:rPr>
        <w:t xml:space="preserve"> pays its $10,000 interest bill and distributes its remaining $3,946</w:t>
      </w:r>
      <w:r w:rsidRPr="00CE2384">
        <w:rPr>
          <w:rStyle w:val="FootnoteReference"/>
          <w:rFonts w:ascii="Times New Roman" w:hAnsi="Times New Roman"/>
          <w:sz w:val="20"/>
        </w:rPr>
        <w:footnoteReference w:id="2"/>
      </w:r>
      <w:r>
        <w:rPr>
          <w:rFonts w:ascii="Times New Roman" w:hAnsi="Times New Roman"/>
          <w:sz w:val="24"/>
          <w:szCs w:val="24"/>
        </w:rPr>
        <w:t xml:space="preserve"> as a cash dividend with $1,534 of imputation credits attached.</w:t>
      </w:r>
    </w:p>
    <w:p w:rsidR="000C7563" w:rsidRPr="000C7563" w:rsidRDefault="000C7563" w:rsidP="00CB20BC">
      <w:pPr>
        <w:pStyle w:val="ListParagraph"/>
        <w:ind w:left="1080"/>
        <w:rPr>
          <w:rFonts w:ascii="Times New Roman" w:hAnsi="Times New Roman"/>
          <w:sz w:val="24"/>
          <w:szCs w:val="24"/>
        </w:rPr>
      </w:pPr>
    </w:p>
    <w:p w:rsidR="00172969" w:rsidRPr="000C7563" w:rsidRDefault="003E6A50" w:rsidP="00CB20BC">
      <w:pPr>
        <w:pStyle w:val="ListParagraph"/>
        <w:numPr>
          <w:ilvl w:val="0"/>
          <w:numId w:val="6"/>
        </w:numPr>
        <w:ind w:left="720"/>
        <w:rPr>
          <w:rFonts w:ascii="Times New Roman" w:hAnsi="Times New Roman"/>
          <w:sz w:val="24"/>
          <w:szCs w:val="24"/>
        </w:rPr>
      </w:pPr>
      <w:r w:rsidRPr="000C7563">
        <w:rPr>
          <w:rFonts w:ascii="Times New Roman" w:hAnsi="Times New Roman"/>
          <w:sz w:val="24"/>
          <w:szCs w:val="24"/>
        </w:rPr>
        <w:t>This can be shown in a diagram as:</w:t>
      </w:r>
    </w:p>
    <w:p w:rsidR="00427026" w:rsidRDefault="00427026" w:rsidP="00C74B45">
      <w:pPr>
        <w:spacing w:after="0" w:line="240" w:lineRule="auto"/>
        <w:jc w:val="both"/>
        <w:rPr>
          <w:rFonts w:ascii="Times New Roman" w:hAnsi="Times New Roman"/>
          <w:sz w:val="24"/>
          <w:szCs w:val="24"/>
          <w:lang w:val="en-NZ" w:eastAsia="en-US"/>
        </w:rPr>
      </w:pPr>
      <w:r>
        <w:rPr>
          <w:rFonts w:ascii="Times New Roman" w:hAnsi="Times New Roman"/>
          <w:sz w:val="24"/>
          <w:szCs w:val="24"/>
        </w:rPr>
        <w:br w:type="page"/>
      </w:r>
    </w:p>
    <w:p w:rsidR="005C1DF3" w:rsidRDefault="005C1DF3" w:rsidP="00C74B45">
      <w:pPr>
        <w:pStyle w:val="Chapter2"/>
        <w:numPr>
          <w:ilvl w:val="0"/>
          <w:numId w:val="0"/>
        </w:numPr>
        <w:ind w:left="1419" w:hanging="568"/>
        <w:rPr>
          <w:i/>
        </w:rPr>
      </w:pPr>
      <w:r w:rsidRPr="006D116E">
        <w:rPr>
          <w:noProof/>
          <w:lang w:eastAsia="en-NZ"/>
        </w:rPr>
        <w:drawing>
          <wp:anchor distT="0" distB="0" distL="114300" distR="114300" simplePos="0" relativeHeight="251659264" behindDoc="0" locked="0" layoutInCell="1" allowOverlap="1" wp14:anchorId="3D3D572E" wp14:editId="75464A56">
            <wp:simplePos x="0" y="0"/>
            <wp:positionH relativeFrom="column">
              <wp:posOffset>337820</wp:posOffset>
            </wp:positionH>
            <wp:positionV relativeFrom="paragraph">
              <wp:posOffset>19050</wp:posOffset>
            </wp:positionV>
            <wp:extent cx="4383405" cy="3000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383405" cy="300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5C1DF3" w:rsidRDefault="005C1DF3" w:rsidP="00C74B45">
      <w:pPr>
        <w:pStyle w:val="Chapter2"/>
        <w:numPr>
          <w:ilvl w:val="0"/>
          <w:numId w:val="0"/>
        </w:numPr>
        <w:ind w:left="1419" w:hanging="568"/>
        <w:rPr>
          <w:i/>
        </w:rPr>
      </w:pPr>
    </w:p>
    <w:p w:rsidR="00CF07CB" w:rsidRDefault="00CF07CB" w:rsidP="00CF07CB">
      <w:pPr>
        <w:pStyle w:val="Chapter2"/>
        <w:numPr>
          <w:ilvl w:val="0"/>
          <w:numId w:val="0"/>
        </w:numPr>
        <w:rPr>
          <w:lang w:val="en-GB"/>
        </w:rPr>
      </w:pPr>
    </w:p>
    <w:p w:rsidR="00CF07CB" w:rsidRDefault="00CF07CB" w:rsidP="00CF07CB">
      <w:pPr>
        <w:pStyle w:val="Chapter2"/>
        <w:numPr>
          <w:ilvl w:val="0"/>
          <w:numId w:val="0"/>
        </w:numPr>
        <w:rPr>
          <w:lang w:val="en-GB"/>
        </w:rPr>
      </w:pPr>
    </w:p>
    <w:p w:rsidR="005C5027" w:rsidRDefault="00CF07CB" w:rsidP="00CF07CB">
      <w:pPr>
        <w:pStyle w:val="Chapter2"/>
        <w:numPr>
          <w:ilvl w:val="0"/>
          <w:numId w:val="0"/>
        </w:numPr>
        <w:rPr>
          <w:szCs w:val="24"/>
        </w:rPr>
      </w:pPr>
      <w:r w:rsidRPr="00CF07CB">
        <w:rPr>
          <w:lang w:val="en-GB"/>
        </w:rPr>
        <w:fldChar w:fldCharType="begin"/>
      </w:r>
      <w:r w:rsidRPr="00CF07CB">
        <w:rPr>
          <w:lang w:val="en-GB"/>
        </w:rPr>
        <w:instrText xml:space="preserve"> AUTONUM  </w:instrText>
      </w:r>
      <w:r w:rsidRPr="00CF07CB">
        <w:fldChar w:fldCharType="end"/>
      </w:r>
      <w:r w:rsidRPr="00CF07CB">
        <w:rPr>
          <w:lang w:val="en-GB"/>
        </w:rPr>
        <w:tab/>
      </w:r>
      <w:r w:rsidR="005C5027">
        <w:t xml:space="preserve">The consequences of this </w:t>
      </w:r>
      <w:r w:rsidR="00CB20BC">
        <w:t xml:space="preserve">transaction </w:t>
      </w:r>
      <w:r w:rsidR="005C5027">
        <w:t>are that $4,816</w:t>
      </w:r>
      <w:r w:rsidR="005C5027" w:rsidRPr="00CE2384">
        <w:rPr>
          <w:rStyle w:val="FootnoteReference"/>
          <w:rFonts w:ascii="Times New Roman" w:hAnsi="Times New Roman"/>
          <w:sz w:val="20"/>
        </w:rPr>
        <w:footnoteReference w:id="3"/>
      </w:r>
      <w:r w:rsidR="005C5027">
        <w:t xml:space="preserve"> of tax has been paid even though only $10,000 of total income was earned.  Also</w:t>
      </w:r>
      <w:r w:rsidR="00183337">
        <w:t>,</w:t>
      </w:r>
      <w:r w:rsidR="005C5027">
        <w:t xml:space="preserve"> </w:t>
      </w:r>
      <w:proofErr w:type="spellStart"/>
      <w:r w:rsidR="005C5027">
        <w:t>LossCo</w:t>
      </w:r>
      <w:proofErr w:type="spellEnd"/>
      <w:r w:rsidR="005C5027">
        <w:t xml:space="preserve"> ends up with $2,800</w:t>
      </w:r>
      <w:r w:rsidR="000812DE" w:rsidRPr="00CE2384">
        <w:rPr>
          <w:rStyle w:val="FootnoteReference"/>
          <w:rFonts w:ascii="Times New Roman" w:hAnsi="Times New Roman"/>
          <w:sz w:val="20"/>
        </w:rPr>
        <w:footnoteReference w:id="4"/>
      </w:r>
      <w:r w:rsidR="005C5027" w:rsidRPr="00CE2384">
        <w:rPr>
          <w:sz w:val="20"/>
        </w:rPr>
        <w:t xml:space="preserve"> </w:t>
      </w:r>
      <w:r w:rsidR="005C5027">
        <w:t xml:space="preserve">of imputation credits that cannot be </w:t>
      </w:r>
      <w:r w:rsidR="00183337">
        <w:t xml:space="preserve">used </w:t>
      </w:r>
      <w:r w:rsidR="005C5027">
        <w:t xml:space="preserve">unless additional income is generated without additional tax being </w:t>
      </w:r>
      <w:r w:rsidR="00183337">
        <w:t>paid</w:t>
      </w:r>
      <w:r w:rsidR="005C5027">
        <w:t>.</w:t>
      </w:r>
    </w:p>
    <w:p w:rsidR="00CB20BC" w:rsidRDefault="00CB20BC" w:rsidP="00C74B45">
      <w:pPr>
        <w:pStyle w:val="Chapter2"/>
        <w:numPr>
          <w:ilvl w:val="0"/>
          <w:numId w:val="0"/>
        </w:numPr>
        <w:rPr>
          <w:szCs w:val="24"/>
        </w:rPr>
      </w:pPr>
    </w:p>
    <w:p w:rsidR="00C34229"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C34229">
        <w:rPr>
          <w:rFonts w:ascii="Times New Roman" w:hAnsi="Times New Roman"/>
          <w:sz w:val="24"/>
          <w:szCs w:val="24"/>
        </w:rPr>
        <w:t xml:space="preserve">This problem does not arise for </w:t>
      </w:r>
      <w:r w:rsidR="00BC1CA0">
        <w:rPr>
          <w:rFonts w:ascii="Times New Roman" w:hAnsi="Times New Roman"/>
          <w:sz w:val="24"/>
          <w:szCs w:val="24"/>
        </w:rPr>
        <w:t>wholly-</w:t>
      </w:r>
      <w:r w:rsidR="00C34229">
        <w:rPr>
          <w:rFonts w:ascii="Times New Roman" w:hAnsi="Times New Roman"/>
          <w:sz w:val="24"/>
          <w:szCs w:val="24"/>
        </w:rPr>
        <w:t xml:space="preserve">owned groups </w:t>
      </w:r>
      <w:r w:rsidR="000812DE">
        <w:rPr>
          <w:rFonts w:ascii="Times New Roman" w:hAnsi="Times New Roman"/>
          <w:sz w:val="24"/>
          <w:szCs w:val="24"/>
        </w:rPr>
        <w:t>because of the operation of</w:t>
      </w:r>
      <w:r w:rsidR="00337E9E">
        <w:rPr>
          <w:rFonts w:ascii="Times New Roman" w:hAnsi="Times New Roman"/>
          <w:sz w:val="24"/>
          <w:szCs w:val="24"/>
        </w:rPr>
        <w:t xml:space="preserve"> the inter-corporate dividend exemption.</w:t>
      </w:r>
      <w:r w:rsidR="00126378">
        <w:rPr>
          <w:rFonts w:ascii="Times New Roman" w:hAnsi="Times New Roman"/>
          <w:sz w:val="24"/>
          <w:szCs w:val="24"/>
        </w:rPr>
        <w:t xml:space="preserve">  The inter-corporate dividend exemption allows a company to pay a dividend to </w:t>
      </w:r>
      <w:r w:rsidR="007D06EA">
        <w:rPr>
          <w:rFonts w:ascii="Times New Roman" w:hAnsi="Times New Roman"/>
          <w:sz w:val="24"/>
          <w:szCs w:val="24"/>
        </w:rPr>
        <w:t xml:space="preserve">its </w:t>
      </w:r>
      <w:r w:rsidR="00FD48D0">
        <w:rPr>
          <w:rFonts w:ascii="Times New Roman" w:hAnsi="Times New Roman"/>
          <w:sz w:val="24"/>
          <w:szCs w:val="24"/>
        </w:rPr>
        <w:t xml:space="preserve">100% </w:t>
      </w:r>
      <w:r w:rsidR="007D06EA">
        <w:rPr>
          <w:rFonts w:ascii="Times New Roman" w:hAnsi="Times New Roman"/>
          <w:sz w:val="24"/>
          <w:szCs w:val="24"/>
        </w:rPr>
        <w:t xml:space="preserve">corporate shareholder without the dividend being included in the </w:t>
      </w:r>
      <w:r w:rsidR="00FD48D0">
        <w:rPr>
          <w:rFonts w:ascii="Times New Roman" w:hAnsi="Times New Roman"/>
          <w:sz w:val="24"/>
          <w:szCs w:val="24"/>
        </w:rPr>
        <w:t>recipient</w:t>
      </w:r>
      <w:r w:rsidR="007D06EA">
        <w:rPr>
          <w:rFonts w:ascii="Times New Roman" w:hAnsi="Times New Roman"/>
          <w:sz w:val="24"/>
          <w:szCs w:val="24"/>
        </w:rPr>
        <w:t xml:space="preserve"> company’s assessable income</w:t>
      </w:r>
      <w:r w:rsidR="00126378">
        <w:rPr>
          <w:rFonts w:ascii="Times New Roman" w:hAnsi="Times New Roman"/>
          <w:sz w:val="24"/>
          <w:szCs w:val="24"/>
        </w:rPr>
        <w:t xml:space="preserve">.  This </w:t>
      </w:r>
      <w:r w:rsidR="005A5F5B">
        <w:rPr>
          <w:rFonts w:ascii="Times New Roman" w:hAnsi="Times New Roman"/>
          <w:sz w:val="24"/>
          <w:szCs w:val="24"/>
        </w:rPr>
        <w:t xml:space="preserve">exemption </w:t>
      </w:r>
      <w:r w:rsidR="00126378">
        <w:rPr>
          <w:rFonts w:ascii="Times New Roman" w:hAnsi="Times New Roman"/>
          <w:sz w:val="24"/>
          <w:szCs w:val="24"/>
        </w:rPr>
        <w:t>recognises that one company wholly</w:t>
      </w:r>
      <w:r w:rsidR="00FD48D0">
        <w:rPr>
          <w:rFonts w:ascii="Times New Roman" w:hAnsi="Times New Roman"/>
          <w:sz w:val="24"/>
          <w:szCs w:val="24"/>
        </w:rPr>
        <w:t>-</w:t>
      </w:r>
      <w:r w:rsidR="00126378">
        <w:rPr>
          <w:rFonts w:ascii="Times New Roman" w:hAnsi="Times New Roman"/>
          <w:sz w:val="24"/>
          <w:szCs w:val="24"/>
        </w:rPr>
        <w:t xml:space="preserve">owning another company is economically equivalent to a single company undertaking all of the activities of both companies </w:t>
      </w:r>
      <w:r w:rsidR="007D06EA">
        <w:rPr>
          <w:rFonts w:ascii="Times New Roman" w:hAnsi="Times New Roman"/>
          <w:sz w:val="24"/>
          <w:szCs w:val="24"/>
        </w:rPr>
        <w:t>and there are efficiency benefits in not requiring imputation credits to be tracked across this transaction.  The same arguments do not apply to a non-wholly owned group as a company having more than one shareholder means the company and its shareholders cannot be considered as a single economic unit.</w:t>
      </w:r>
    </w:p>
    <w:p w:rsidR="00427026" w:rsidRDefault="00427026" w:rsidP="00C74B45">
      <w:pPr>
        <w:pStyle w:val="Bullet-list"/>
        <w:spacing w:after="0" w:line="240" w:lineRule="auto"/>
        <w:ind w:left="0" w:firstLine="0"/>
        <w:jc w:val="both"/>
        <w:rPr>
          <w:rFonts w:ascii="Times New Roman" w:hAnsi="Times New Roman"/>
          <w:sz w:val="24"/>
          <w:szCs w:val="24"/>
        </w:rPr>
      </w:pPr>
    </w:p>
    <w:p w:rsidR="00427026"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F62762">
        <w:rPr>
          <w:rFonts w:ascii="Times New Roman" w:hAnsi="Times New Roman"/>
          <w:sz w:val="24"/>
          <w:szCs w:val="24"/>
        </w:rPr>
        <w:t xml:space="preserve">Because </w:t>
      </w:r>
      <w:r w:rsidR="00337E9E">
        <w:rPr>
          <w:rFonts w:ascii="Times New Roman" w:hAnsi="Times New Roman"/>
          <w:sz w:val="24"/>
          <w:szCs w:val="24"/>
        </w:rPr>
        <w:t xml:space="preserve">this problem does not arise for </w:t>
      </w:r>
      <w:r w:rsidR="00BC1CA0">
        <w:rPr>
          <w:rFonts w:ascii="Times New Roman" w:hAnsi="Times New Roman"/>
          <w:sz w:val="24"/>
          <w:szCs w:val="24"/>
        </w:rPr>
        <w:t>wholly-</w:t>
      </w:r>
      <w:r w:rsidR="00337E9E">
        <w:rPr>
          <w:rFonts w:ascii="Times New Roman" w:hAnsi="Times New Roman"/>
          <w:sz w:val="24"/>
          <w:szCs w:val="24"/>
        </w:rPr>
        <w:t xml:space="preserve">owned groups it creates a tax </w:t>
      </w:r>
      <w:r w:rsidR="00BC1CA0">
        <w:rPr>
          <w:rFonts w:ascii="Times New Roman" w:hAnsi="Times New Roman"/>
          <w:sz w:val="24"/>
          <w:szCs w:val="24"/>
        </w:rPr>
        <w:t>disadvantage for</w:t>
      </w:r>
      <w:r w:rsidR="00337E9E">
        <w:rPr>
          <w:rFonts w:ascii="Times New Roman" w:hAnsi="Times New Roman"/>
          <w:sz w:val="24"/>
          <w:szCs w:val="24"/>
        </w:rPr>
        <w:t xml:space="preserve"> </w:t>
      </w:r>
      <w:r w:rsidR="00846A07">
        <w:rPr>
          <w:rFonts w:ascii="Times New Roman" w:hAnsi="Times New Roman"/>
          <w:sz w:val="24"/>
          <w:szCs w:val="24"/>
        </w:rPr>
        <w:t>non-wholly</w:t>
      </w:r>
      <w:r w:rsidR="00337E9E">
        <w:rPr>
          <w:rFonts w:ascii="Times New Roman" w:hAnsi="Times New Roman"/>
          <w:sz w:val="24"/>
          <w:szCs w:val="24"/>
        </w:rPr>
        <w:t xml:space="preserve"> owned groups</w:t>
      </w:r>
      <w:r w:rsidR="00BC1CA0">
        <w:rPr>
          <w:rFonts w:ascii="Times New Roman" w:hAnsi="Times New Roman"/>
          <w:sz w:val="24"/>
          <w:szCs w:val="24"/>
        </w:rPr>
        <w:t xml:space="preserve"> and incentivises 100</w:t>
      </w:r>
      <w:r w:rsidR="005A5F5B">
        <w:rPr>
          <w:rFonts w:ascii="Times New Roman" w:hAnsi="Times New Roman"/>
          <w:sz w:val="24"/>
          <w:szCs w:val="24"/>
        </w:rPr>
        <w:t xml:space="preserve"> percent</w:t>
      </w:r>
      <w:r w:rsidR="00BC1CA0">
        <w:rPr>
          <w:rFonts w:ascii="Times New Roman" w:hAnsi="Times New Roman"/>
          <w:sz w:val="24"/>
          <w:szCs w:val="24"/>
        </w:rPr>
        <w:t xml:space="preserve"> ownership</w:t>
      </w:r>
      <w:r w:rsidR="00337E9E">
        <w:rPr>
          <w:rFonts w:ascii="Times New Roman" w:hAnsi="Times New Roman"/>
          <w:sz w:val="24"/>
          <w:szCs w:val="24"/>
        </w:rPr>
        <w:t xml:space="preserve">, even when </w:t>
      </w:r>
      <w:r w:rsidR="00BC1CA0">
        <w:rPr>
          <w:rFonts w:ascii="Times New Roman" w:hAnsi="Times New Roman"/>
          <w:sz w:val="24"/>
          <w:szCs w:val="24"/>
        </w:rPr>
        <w:t xml:space="preserve">- </w:t>
      </w:r>
      <w:r w:rsidR="00337E9E">
        <w:rPr>
          <w:rFonts w:ascii="Times New Roman" w:hAnsi="Times New Roman"/>
          <w:sz w:val="24"/>
          <w:szCs w:val="24"/>
        </w:rPr>
        <w:t>in the absence of tax</w:t>
      </w:r>
      <w:r w:rsidR="00BC1CA0">
        <w:rPr>
          <w:rFonts w:ascii="Times New Roman" w:hAnsi="Times New Roman"/>
          <w:sz w:val="24"/>
          <w:szCs w:val="24"/>
        </w:rPr>
        <w:t xml:space="preserve"> -</w:t>
      </w:r>
      <w:r w:rsidR="00337E9E">
        <w:rPr>
          <w:rFonts w:ascii="Times New Roman" w:hAnsi="Times New Roman"/>
          <w:sz w:val="24"/>
          <w:szCs w:val="24"/>
        </w:rPr>
        <w:t xml:space="preserve"> it would be economically efficient for a group to include a minority shareholder(s).</w:t>
      </w:r>
    </w:p>
    <w:p w:rsidR="00427026" w:rsidRDefault="00427026" w:rsidP="00C74B45">
      <w:pPr>
        <w:pStyle w:val="Bullet-list"/>
        <w:spacing w:after="0" w:line="240" w:lineRule="auto"/>
        <w:ind w:left="0" w:firstLine="0"/>
        <w:jc w:val="both"/>
        <w:rPr>
          <w:rFonts w:ascii="Times New Roman" w:hAnsi="Times New Roman"/>
          <w:sz w:val="24"/>
          <w:szCs w:val="24"/>
        </w:rPr>
      </w:pPr>
    </w:p>
    <w:p w:rsidR="000812DE"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0812DE">
        <w:rPr>
          <w:rFonts w:ascii="Times New Roman" w:hAnsi="Times New Roman"/>
          <w:sz w:val="24"/>
          <w:szCs w:val="24"/>
        </w:rPr>
        <w:t>The root cause of the problem is that losses can be offset between commonly-owned groups whereas the inter-corporate dividend exemption is only available to wholly-owned groups.  The tax disadvantage for non-wholly owned groups created by the interaction of these two sets of rules would disappear if these two thresholds were aligned.</w:t>
      </w:r>
    </w:p>
    <w:p w:rsidR="00427026" w:rsidRDefault="00427026" w:rsidP="00C74B45">
      <w:pPr>
        <w:pStyle w:val="Bullet-list"/>
        <w:spacing w:after="0" w:line="240" w:lineRule="auto"/>
        <w:ind w:left="0" w:firstLine="0"/>
        <w:jc w:val="both"/>
        <w:rPr>
          <w:rFonts w:ascii="Times New Roman" w:hAnsi="Times New Roman"/>
          <w:sz w:val="24"/>
          <w:szCs w:val="24"/>
        </w:rPr>
      </w:pPr>
    </w:p>
    <w:p w:rsidR="00427026" w:rsidRPr="00427026" w:rsidRDefault="00427026" w:rsidP="00C74B45">
      <w:pPr>
        <w:pStyle w:val="Bullet-list"/>
        <w:spacing w:after="0" w:line="240" w:lineRule="auto"/>
        <w:ind w:left="0" w:firstLine="0"/>
        <w:jc w:val="both"/>
        <w:rPr>
          <w:rFonts w:ascii="Times New Roman" w:hAnsi="Times New Roman"/>
          <w:sz w:val="24"/>
          <w:szCs w:val="24"/>
        </w:rPr>
      </w:pPr>
    </w:p>
    <w:p w:rsidR="007708C6" w:rsidRDefault="007708C6">
      <w:pPr>
        <w:spacing w:after="0" w:line="240" w:lineRule="auto"/>
        <w:rPr>
          <w:rFonts w:ascii="Times New Roman" w:hAnsi="Times New Roman"/>
          <w:b/>
          <w:sz w:val="24"/>
          <w:szCs w:val="24"/>
          <w:lang w:val="en-NZ" w:eastAsia="en-US"/>
        </w:rPr>
      </w:pPr>
      <w:r>
        <w:rPr>
          <w:rFonts w:ascii="Times New Roman" w:hAnsi="Times New Roman"/>
          <w:b/>
          <w:sz w:val="24"/>
          <w:szCs w:val="24"/>
          <w:lang w:val="en-NZ"/>
        </w:rPr>
        <w:br w:type="page"/>
      </w:r>
    </w:p>
    <w:p w:rsidR="005C1DF3" w:rsidRDefault="000812DE" w:rsidP="00C74B45">
      <w:pPr>
        <w:pStyle w:val="Bullet-list"/>
        <w:spacing w:after="0" w:line="240" w:lineRule="auto"/>
        <w:ind w:left="0" w:firstLine="0"/>
        <w:jc w:val="both"/>
        <w:rPr>
          <w:rFonts w:ascii="Times New Roman" w:hAnsi="Times New Roman"/>
          <w:b/>
          <w:sz w:val="24"/>
          <w:szCs w:val="24"/>
          <w:lang w:val="en-NZ"/>
        </w:rPr>
      </w:pPr>
      <w:r w:rsidRPr="000812DE">
        <w:rPr>
          <w:rFonts w:ascii="Times New Roman" w:hAnsi="Times New Roman"/>
          <w:b/>
          <w:sz w:val="24"/>
          <w:szCs w:val="24"/>
          <w:lang w:val="en-NZ"/>
        </w:rPr>
        <w:t>Scale and impact of the problem</w:t>
      </w:r>
    </w:p>
    <w:p w:rsidR="00427026" w:rsidRDefault="00427026" w:rsidP="00C74B45">
      <w:pPr>
        <w:pStyle w:val="Bullet-list"/>
        <w:spacing w:after="0" w:line="240" w:lineRule="auto"/>
        <w:ind w:left="0" w:firstLine="0"/>
        <w:jc w:val="both"/>
        <w:rPr>
          <w:rFonts w:ascii="Times New Roman" w:hAnsi="Times New Roman"/>
          <w:b/>
          <w:sz w:val="24"/>
          <w:szCs w:val="24"/>
        </w:rPr>
      </w:pPr>
    </w:p>
    <w:p w:rsidR="00427026"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0812DE">
        <w:rPr>
          <w:rFonts w:ascii="Times New Roman" w:hAnsi="Times New Roman"/>
          <w:sz w:val="24"/>
          <w:szCs w:val="24"/>
        </w:rPr>
        <w:t>Although</w:t>
      </w:r>
      <w:r w:rsidR="005C1DF3">
        <w:rPr>
          <w:rFonts w:ascii="Times New Roman" w:hAnsi="Times New Roman"/>
          <w:sz w:val="24"/>
          <w:szCs w:val="24"/>
        </w:rPr>
        <w:t xml:space="preserve"> this problem influences the ownership structuring decisions of company shareholders</w:t>
      </w:r>
      <w:r w:rsidR="00FD48D0">
        <w:rPr>
          <w:rFonts w:ascii="Times New Roman" w:hAnsi="Times New Roman"/>
          <w:sz w:val="24"/>
          <w:szCs w:val="24"/>
        </w:rPr>
        <w:t>,</w:t>
      </w:r>
      <w:r w:rsidR="005C1DF3">
        <w:rPr>
          <w:rFonts w:ascii="Times New Roman" w:hAnsi="Times New Roman"/>
          <w:sz w:val="24"/>
          <w:szCs w:val="24"/>
        </w:rPr>
        <w:t xml:space="preserve"> it does not appear to have a large impact on the amount of tax paid.  This is because groups can make decisions that prevent income being subject to tax twice such as maintaining a wholly-owned group, not transferring the full amount of losses or not paying dividends.  </w:t>
      </w:r>
    </w:p>
    <w:p w:rsidR="00427026" w:rsidRDefault="00427026" w:rsidP="00C74B45">
      <w:pPr>
        <w:pStyle w:val="Bullet-list"/>
        <w:spacing w:after="0" w:line="240" w:lineRule="auto"/>
        <w:ind w:left="0" w:firstLine="0"/>
        <w:jc w:val="both"/>
        <w:rPr>
          <w:rFonts w:ascii="Times New Roman" w:hAnsi="Times New Roman"/>
          <w:sz w:val="24"/>
          <w:szCs w:val="24"/>
        </w:rPr>
      </w:pPr>
    </w:p>
    <w:p w:rsidR="005C1DF3"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CB20BC">
        <w:rPr>
          <w:rFonts w:ascii="Times New Roman" w:hAnsi="Times New Roman"/>
          <w:sz w:val="24"/>
          <w:szCs w:val="24"/>
        </w:rPr>
        <w:t>Owing to</w:t>
      </w:r>
      <w:r w:rsidR="000812DE">
        <w:rPr>
          <w:rFonts w:ascii="Times New Roman" w:hAnsi="Times New Roman"/>
          <w:sz w:val="24"/>
          <w:szCs w:val="24"/>
        </w:rPr>
        <w:t xml:space="preserve"> data limitations there is</w:t>
      </w:r>
      <w:r w:rsidR="005C1DF3">
        <w:rPr>
          <w:rFonts w:ascii="Times New Roman" w:hAnsi="Times New Roman"/>
          <w:sz w:val="24"/>
          <w:szCs w:val="24"/>
        </w:rPr>
        <w:t xml:space="preserve"> no reliable way of estimating how many companies may be </w:t>
      </w:r>
      <w:r w:rsidR="005A5F5B">
        <w:rPr>
          <w:rFonts w:ascii="Times New Roman" w:hAnsi="Times New Roman"/>
          <w:sz w:val="24"/>
          <w:szCs w:val="24"/>
        </w:rPr>
        <w:t>discouraged</w:t>
      </w:r>
      <w:r w:rsidR="000812DE">
        <w:rPr>
          <w:rFonts w:ascii="Times New Roman" w:hAnsi="Times New Roman"/>
          <w:sz w:val="24"/>
          <w:szCs w:val="24"/>
        </w:rPr>
        <w:t xml:space="preserve"> </w:t>
      </w:r>
      <w:r w:rsidR="005C1DF3">
        <w:rPr>
          <w:rFonts w:ascii="Times New Roman" w:hAnsi="Times New Roman"/>
          <w:sz w:val="24"/>
          <w:szCs w:val="24"/>
        </w:rPr>
        <w:t xml:space="preserve">from taking on minority shareholders </w:t>
      </w:r>
      <w:r w:rsidR="005A5F5B">
        <w:rPr>
          <w:rFonts w:ascii="Times New Roman" w:hAnsi="Times New Roman"/>
          <w:sz w:val="24"/>
          <w:szCs w:val="24"/>
        </w:rPr>
        <w:t xml:space="preserve">because of </w:t>
      </w:r>
      <w:r w:rsidR="005C1DF3">
        <w:rPr>
          <w:rFonts w:ascii="Times New Roman" w:hAnsi="Times New Roman"/>
          <w:sz w:val="24"/>
          <w:szCs w:val="24"/>
        </w:rPr>
        <w:t xml:space="preserve">the interaction of the loss grouping and </w:t>
      </w:r>
      <w:r w:rsidR="00CB20BC">
        <w:rPr>
          <w:rFonts w:ascii="Times New Roman" w:hAnsi="Times New Roman"/>
          <w:sz w:val="24"/>
          <w:szCs w:val="24"/>
        </w:rPr>
        <w:t xml:space="preserve">dividend </w:t>
      </w:r>
      <w:r w:rsidR="005C1DF3">
        <w:rPr>
          <w:rFonts w:ascii="Times New Roman" w:hAnsi="Times New Roman"/>
          <w:sz w:val="24"/>
          <w:szCs w:val="24"/>
        </w:rPr>
        <w:t>imputation rules.</w:t>
      </w:r>
      <w:r w:rsidR="008364DE">
        <w:rPr>
          <w:rFonts w:ascii="Times New Roman" w:hAnsi="Times New Roman"/>
          <w:sz w:val="24"/>
          <w:szCs w:val="24"/>
        </w:rPr>
        <w:t xml:space="preserve">  This is because we can observe what unimputed dividends have been paid but cannot observe what dividends have not been paid and what wholly-owned groups have not taken on a minority shareholder(s).</w:t>
      </w:r>
    </w:p>
    <w:p w:rsidR="00427026" w:rsidRDefault="00427026" w:rsidP="00C74B45">
      <w:pPr>
        <w:pStyle w:val="Bullet-list"/>
        <w:spacing w:after="0" w:line="240" w:lineRule="auto"/>
        <w:ind w:left="0" w:firstLine="0"/>
        <w:jc w:val="both"/>
        <w:rPr>
          <w:rFonts w:ascii="Times New Roman" w:hAnsi="Times New Roman"/>
          <w:sz w:val="24"/>
          <w:szCs w:val="24"/>
        </w:rPr>
      </w:pPr>
    </w:p>
    <w:p w:rsidR="00427026" w:rsidRDefault="00427026" w:rsidP="00C74B45">
      <w:pPr>
        <w:pStyle w:val="Bullet-list"/>
        <w:spacing w:after="0" w:line="240" w:lineRule="auto"/>
        <w:ind w:left="0" w:firstLine="0"/>
        <w:jc w:val="both"/>
        <w:rPr>
          <w:rFonts w:ascii="Times New Roman" w:hAnsi="Times New Roman"/>
          <w:sz w:val="24"/>
          <w:szCs w:val="24"/>
        </w:rPr>
      </w:pPr>
    </w:p>
    <w:p w:rsidR="00427026" w:rsidRPr="00427026" w:rsidRDefault="00427026" w:rsidP="00C74B45">
      <w:pPr>
        <w:pStyle w:val="Bullet-list"/>
        <w:spacing w:after="0" w:line="240" w:lineRule="auto"/>
        <w:ind w:left="0" w:firstLine="0"/>
        <w:jc w:val="both"/>
        <w:rPr>
          <w:rFonts w:ascii="Times New Roman" w:hAnsi="Times New Roman"/>
          <w:b/>
          <w:caps/>
          <w:sz w:val="24"/>
          <w:szCs w:val="24"/>
        </w:rPr>
      </w:pPr>
      <w:r w:rsidRPr="00427026">
        <w:rPr>
          <w:rFonts w:ascii="Times New Roman" w:hAnsi="Times New Roman"/>
          <w:b/>
          <w:caps/>
          <w:sz w:val="24"/>
          <w:szCs w:val="24"/>
        </w:rPr>
        <w:t>Objectives</w:t>
      </w:r>
    </w:p>
    <w:p w:rsidR="00427026" w:rsidRDefault="00427026" w:rsidP="00C74B45">
      <w:pPr>
        <w:pStyle w:val="Bullet-list"/>
        <w:spacing w:after="0" w:line="240" w:lineRule="auto"/>
        <w:ind w:left="0" w:firstLine="0"/>
        <w:jc w:val="both"/>
        <w:rPr>
          <w:rFonts w:ascii="Times New Roman" w:hAnsi="Times New Roman"/>
          <w:sz w:val="24"/>
          <w:szCs w:val="24"/>
        </w:rPr>
      </w:pPr>
    </w:p>
    <w:p w:rsidR="00427026"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DD14C9">
        <w:rPr>
          <w:rFonts w:ascii="Times New Roman" w:hAnsi="Times New Roman"/>
          <w:sz w:val="24"/>
          <w:szCs w:val="24"/>
        </w:rPr>
        <w:t xml:space="preserve">The main objective is </w:t>
      </w:r>
      <w:r w:rsidR="005A5F5B">
        <w:rPr>
          <w:rFonts w:ascii="Times New Roman" w:hAnsi="Times New Roman"/>
          <w:sz w:val="24"/>
          <w:szCs w:val="24"/>
        </w:rPr>
        <w:t xml:space="preserve">to </w:t>
      </w:r>
      <w:r w:rsidR="001329DC">
        <w:rPr>
          <w:rFonts w:ascii="Times New Roman" w:hAnsi="Times New Roman"/>
          <w:sz w:val="24"/>
          <w:szCs w:val="24"/>
        </w:rPr>
        <w:t xml:space="preserve">remove or reduce the </w:t>
      </w:r>
      <w:r w:rsidR="00D170DF">
        <w:rPr>
          <w:rFonts w:ascii="Times New Roman" w:hAnsi="Times New Roman"/>
          <w:sz w:val="24"/>
          <w:szCs w:val="24"/>
        </w:rPr>
        <w:t xml:space="preserve">tax disadvantage </w:t>
      </w:r>
      <w:r w:rsidR="001329DC">
        <w:rPr>
          <w:rFonts w:ascii="Times New Roman" w:hAnsi="Times New Roman"/>
          <w:sz w:val="24"/>
          <w:szCs w:val="24"/>
        </w:rPr>
        <w:t xml:space="preserve">created by the interaction of the loss </w:t>
      </w:r>
      <w:r w:rsidR="008364DE">
        <w:rPr>
          <w:rFonts w:ascii="Times New Roman" w:hAnsi="Times New Roman"/>
          <w:sz w:val="24"/>
          <w:szCs w:val="24"/>
        </w:rPr>
        <w:t xml:space="preserve">grouping </w:t>
      </w:r>
      <w:r w:rsidR="001329DC">
        <w:rPr>
          <w:rFonts w:ascii="Times New Roman" w:hAnsi="Times New Roman"/>
          <w:sz w:val="24"/>
          <w:szCs w:val="24"/>
        </w:rPr>
        <w:t xml:space="preserve">and </w:t>
      </w:r>
      <w:r w:rsidR="008364DE">
        <w:rPr>
          <w:rFonts w:ascii="Times New Roman" w:hAnsi="Times New Roman"/>
          <w:sz w:val="24"/>
          <w:szCs w:val="24"/>
        </w:rPr>
        <w:t xml:space="preserve">dividend </w:t>
      </w:r>
      <w:r w:rsidR="001329DC">
        <w:rPr>
          <w:rFonts w:ascii="Times New Roman" w:hAnsi="Times New Roman"/>
          <w:sz w:val="24"/>
          <w:szCs w:val="24"/>
        </w:rPr>
        <w:t>imputation rules.</w:t>
      </w:r>
    </w:p>
    <w:p w:rsidR="00427026" w:rsidRDefault="00427026" w:rsidP="00C74B45">
      <w:pPr>
        <w:pStyle w:val="Bullet-list"/>
        <w:spacing w:after="0" w:line="240" w:lineRule="auto"/>
        <w:ind w:left="0" w:firstLine="0"/>
        <w:jc w:val="both"/>
        <w:rPr>
          <w:rFonts w:ascii="Times New Roman" w:hAnsi="Times New Roman"/>
          <w:sz w:val="24"/>
          <w:szCs w:val="24"/>
        </w:rPr>
      </w:pPr>
    </w:p>
    <w:p w:rsidR="00C2457B"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C2457B">
        <w:rPr>
          <w:rFonts w:ascii="Times New Roman" w:hAnsi="Times New Roman"/>
          <w:sz w:val="24"/>
          <w:szCs w:val="24"/>
        </w:rPr>
        <w:t>The criteria a</w:t>
      </w:r>
      <w:r w:rsidR="0030637D">
        <w:rPr>
          <w:rFonts w:ascii="Times New Roman" w:hAnsi="Times New Roman"/>
          <w:sz w:val="24"/>
          <w:szCs w:val="24"/>
        </w:rPr>
        <w:t>g</w:t>
      </w:r>
      <w:r w:rsidR="00C2457B">
        <w:rPr>
          <w:rFonts w:ascii="Times New Roman" w:hAnsi="Times New Roman"/>
          <w:sz w:val="24"/>
          <w:szCs w:val="24"/>
        </w:rPr>
        <w:t>ains</w:t>
      </w:r>
      <w:r w:rsidR="0030637D">
        <w:rPr>
          <w:rFonts w:ascii="Times New Roman" w:hAnsi="Times New Roman"/>
          <w:sz w:val="24"/>
          <w:szCs w:val="24"/>
        </w:rPr>
        <w:t>t</w:t>
      </w:r>
      <w:r w:rsidR="00C2457B">
        <w:rPr>
          <w:rFonts w:ascii="Times New Roman" w:hAnsi="Times New Roman"/>
          <w:sz w:val="24"/>
          <w:szCs w:val="24"/>
        </w:rPr>
        <w:t xml:space="preserve"> which the </w:t>
      </w:r>
      <w:r w:rsidR="00DD14C9">
        <w:rPr>
          <w:rFonts w:ascii="Times New Roman" w:hAnsi="Times New Roman"/>
          <w:sz w:val="24"/>
          <w:szCs w:val="24"/>
        </w:rPr>
        <w:t xml:space="preserve">options </w:t>
      </w:r>
      <w:r w:rsidR="00C2457B">
        <w:rPr>
          <w:rFonts w:ascii="Times New Roman" w:hAnsi="Times New Roman"/>
          <w:sz w:val="24"/>
          <w:szCs w:val="24"/>
        </w:rPr>
        <w:t>will be assessed are:</w:t>
      </w:r>
    </w:p>
    <w:p w:rsidR="00627460" w:rsidRDefault="00627460" w:rsidP="00C74B45">
      <w:pPr>
        <w:pStyle w:val="Bullet-list"/>
        <w:spacing w:after="0" w:line="240" w:lineRule="auto"/>
        <w:ind w:left="0" w:firstLine="0"/>
        <w:jc w:val="both"/>
        <w:rPr>
          <w:rFonts w:ascii="Times New Roman" w:hAnsi="Times New Roman"/>
          <w:sz w:val="24"/>
          <w:szCs w:val="24"/>
        </w:rPr>
      </w:pPr>
    </w:p>
    <w:p w:rsidR="00627460" w:rsidRDefault="002C34E2" w:rsidP="00C74B45">
      <w:pPr>
        <w:pStyle w:val="Bullet-list"/>
        <w:numPr>
          <w:ilvl w:val="0"/>
          <w:numId w:val="7"/>
        </w:numPr>
        <w:spacing w:after="0" w:line="240" w:lineRule="auto"/>
        <w:jc w:val="both"/>
        <w:rPr>
          <w:rFonts w:ascii="Times New Roman" w:hAnsi="Times New Roman"/>
          <w:sz w:val="24"/>
          <w:szCs w:val="24"/>
        </w:rPr>
      </w:pPr>
      <w:r w:rsidRPr="00060531">
        <w:rPr>
          <w:rFonts w:ascii="Times New Roman" w:hAnsi="Times New Roman"/>
          <w:b/>
          <w:i/>
          <w:sz w:val="24"/>
          <w:szCs w:val="24"/>
        </w:rPr>
        <w:t>Economic efficiency</w:t>
      </w:r>
      <w:r w:rsidR="00C2457B" w:rsidRPr="00060531">
        <w:rPr>
          <w:rFonts w:ascii="Times New Roman" w:hAnsi="Times New Roman"/>
          <w:b/>
          <w:i/>
          <w:sz w:val="24"/>
          <w:szCs w:val="24"/>
        </w:rPr>
        <w:t>:</w:t>
      </w:r>
      <w:r w:rsidR="00C2457B">
        <w:rPr>
          <w:rFonts w:ascii="Times New Roman" w:hAnsi="Times New Roman"/>
          <w:i/>
          <w:sz w:val="24"/>
          <w:szCs w:val="24"/>
        </w:rPr>
        <w:t xml:space="preserve">  </w:t>
      </w:r>
      <w:r w:rsidR="00C2457B">
        <w:rPr>
          <w:rFonts w:ascii="Times New Roman" w:hAnsi="Times New Roman"/>
          <w:sz w:val="24"/>
          <w:szCs w:val="24"/>
        </w:rPr>
        <w:t>A</w:t>
      </w:r>
      <w:r w:rsidR="00627460">
        <w:rPr>
          <w:rFonts w:ascii="Times New Roman" w:hAnsi="Times New Roman"/>
          <w:sz w:val="24"/>
          <w:szCs w:val="24"/>
        </w:rPr>
        <w:t xml:space="preserve"> loss company, within a non-wholly owned group that undertakes a loss transfer, </w:t>
      </w:r>
      <w:r w:rsidR="00C2457B">
        <w:rPr>
          <w:rFonts w:ascii="Times New Roman" w:hAnsi="Times New Roman"/>
          <w:sz w:val="24"/>
          <w:szCs w:val="24"/>
        </w:rPr>
        <w:t xml:space="preserve">should be able </w:t>
      </w:r>
      <w:r w:rsidR="00627460">
        <w:rPr>
          <w:rFonts w:ascii="Times New Roman" w:hAnsi="Times New Roman"/>
          <w:sz w:val="24"/>
          <w:szCs w:val="24"/>
        </w:rPr>
        <w:t xml:space="preserve">to pay a dividend to its shareholders without </w:t>
      </w:r>
      <w:r w:rsidR="00FD48D0">
        <w:rPr>
          <w:rFonts w:ascii="Times New Roman" w:hAnsi="Times New Roman"/>
          <w:sz w:val="24"/>
          <w:szCs w:val="24"/>
        </w:rPr>
        <w:t>the</w:t>
      </w:r>
      <w:r w:rsidR="00627460">
        <w:rPr>
          <w:rFonts w:ascii="Times New Roman" w:hAnsi="Times New Roman"/>
          <w:sz w:val="24"/>
          <w:szCs w:val="24"/>
        </w:rPr>
        <w:t xml:space="preserve"> single income stream being subject to two layers of taxation.  If a profitable company </w:t>
      </w:r>
      <w:r w:rsidR="00D46C6E">
        <w:rPr>
          <w:rFonts w:ascii="Times New Roman" w:hAnsi="Times New Roman"/>
          <w:sz w:val="24"/>
          <w:szCs w:val="24"/>
        </w:rPr>
        <w:t xml:space="preserve">receives the benefit of a loss transfer </w:t>
      </w:r>
      <w:r w:rsidR="00627460">
        <w:rPr>
          <w:rFonts w:ascii="Times New Roman" w:hAnsi="Times New Roman"/>
          <w:sz w:val="24"/>
          <w:szCs w:val="24"/>
        </w:rPr>
        <w:t xml:space="preserve">then distributes </w:t>
      </w:r>
      <w:r w:rsidR="00D46C6E">
        <w:rPr>
          <w:rFonts w:ascii="Times New Roman" w:hAnsi="Times New Roman"/>
          <w:sz w:val="24"/>
          <w:szCs w:val="24"/>
        </w:rPr>
        <w:t>part o</w:t>
      </w:r>
      <w:r w:rsidR="00B441C3">
        <w:rPr>
          <w:rFonts w:ascii="Times New Roman" w:hAnsi="Times New Roman"/>
          <w:sz w:val="24"/>
          <w:szCs w:val="24"/>
        </w:rPr>
        <w:t>r</w:t>
      </w:r>
      <w:r w:rsidR="00D46C6E">
        <w:rPr>
          <w:rFonts w:ascii="Times New Roman" w:hAnsi="Times New Roman"/>
          <w:sz w:val="24"/>
          <w:szCs w:val="24"/>
        </w:rPr>
        <w:t xml:space="preserve"> all of this as a dividend</w:t>
      </w:r>
      <w:r w:rsidR="00FD48D0">
        <w:rPr>
          <w:rFonts w:ascii="Times New Roman" w:hAnsi="Times New Roman"/>
          <w:sz w:val="24"/>
          <w:szCs w:val="24"/>
        </w:rPr>
        <w:t>,</w:t>
      </w:r>
      <w:r w:rsidR="00D46C6E">
        <w:rPr>
          <w:rFonts w:ascii="Times New Roman" w:hAnsi="Times New Roman"/>
          <w:sz w:val="24"/>
          <w:szCs w:val="24"/>
        </w:rPr>
        <w:t xml:space="preserve"> the </w:t>
      </w:r>
      <w:r w:rsidR="00FD48D0">
        <w:rPr>
          <w:rFonts w:ascii="Times New Roman" w:hAnsi="Times New Roman"/>
          <w:sz w:val="24"/>
          <w:szCs w:val="24"/>
        </w:rPr>
        <w:t xml:space="preserve">shareholder’s </w:t>
      </w:r>
      <w:r w:rsidR="00D46C6E">
        <w:rPr>
          <w:rFonts w:ascii="Times New Roman" w:hAnsi="Times New Roman"/>
          <w:sz w:val="24"/>
          <w:szCs w:val="24"/>
        </w:rPr>
        <w:t xml:space="preserve">tax liability should be equivalent to </w:t>
      </w:r>
      <w:r w:rsidR="00FD48D0">
        <w:rPr>
          <w:rFonts w:ascii="Times New Roman" w:hAnsi="Times New Roman"/>
          <w:sz w:val="24"/>
          <w:szCs w:val="24"/>
        </w:rPr>
        <w:t xml:space="preserve">the tax liability that would have arisen </w:t>
      </w:r>
      <w:r w:rsidR="00D46C6E">
        <w:rPr>
          <w:rFonts w:ascii="Times New Roman" w:hAnsi="Times New Roman"/>
          <w:sz w:val="24"/>
          <w:szCs w:val="24"/>
        </w:rPr>
        <w:t>if that profitable company had instead paid income tax and attached imputation credits to the dividend.</w:t>
      </w:r>
      <w:r w:rsidR="005332C6">
        <w:rPr>
          <w:rFonts w:ascii="Times New Roman" w:hAnsi="Times New Roman"/>
          <w:sz w:val="24"/>
          <w:szCs w:val="24"/>
        </w:rPr>
        <w:t xml:space="preserve">  </w:t>
      </w:r>
    </w:p>
    <w:p w:rsidR="00D46C6E" w:rsidRDefault="00D46C6E" w:rsidP="00C74B45">
      <w:pPr>
        <w:pStyle w:val="ListParagraph"/>
        <w:rPr>
          <w:rFonts w:ascii="Times New Roman" w:hAnsi="Times New Roman"/>
          <w:sz w:val="24"/>
          <w:szCs w:val="24"/>
        </w:rPr>
      </w:pPr>
    </w:p>
    <w:p w:rsidR="00D46C6E" w:rsidRDefault="002C34E2" w:rsidP="00C74B45">
      <w:pPr>
        <w:pStyle w:val="Bullet-list"/>
        <w:numPr>
          <w:ilvl w:val="0"/>
          <w:numId w:val="7"/>
        </w:numPr>
        <w:spacing w:after="0" w:line="240" w:lineRule="auto"/>
        <w:jc w:val="both"/>
        <w:rPr>
          <w:rFonts w:ascii="Times New Roman" w:hAnsi="Times New Roman"/>
          <w:sz w:val="24"/>
          <w:szCs w:val="24"/>
        </w:rPr>
      </w:pPr>
      <w:r w:rsidRPr="00060531">
        <w:rPr>
          <w:rFonts w:ascii="Times New Roman" w:hAnsi="Times New Roman"/>
          <w:b/>
          <w:i/>
          <w:sz w:val="24"/>
          <w:szCs w:val="24"/>
        </w:rPr>
        <w:t>Effectiveness</w:t>
      </w:r>
      <w:r w:rsidR="00C2457B" w:rsidRPr="00060531">
        <w:rPr>
          <w:rFonts w:ascii="Times New Roman" w:hAnsi="Times New Roman"/>
          <w:b/>
          <w:i/>
          <w:sz w:val="24"/>
          <w:szCs w:val="24"/>
        </w:rPr>
        <w:t>:</w:t>
      </w:r>
      <w:r w:rsidR="00C2457B">
        <w:rPr>
          <w:rFonts w:ascii="Times New Roman" w:hAnsi="Times New Roman"/>
          <w:i/>
          <w:sz w:val="24"/>
          <w:szCs w:val="24"/>
        </w:rPr>
        <w:t xml:space="preserve">  </w:t>
      </w:r>
      <w:r w:rsidR="005332C6">
        <w:rPr>
          <w:rFonts w:ascii="Times New Roman" w:hAnsi="Times New Roman"/>
          <w:sz w:val="24"/>
          <w:szCs w:val="24"/>
        </w:rPr>
        <w:t xml:space="preserve">Because the changes are </w:t>
      </w:r>
      <w:r w:rsidR="00D46C6E">
        <w:rPr>
          <w:rFonts w:ascii="Times New Roman" w:hAnsi="Times New Roman"/>
          <w:sz w:val="24"/>
          <w:szCs w:val="24"/>
        </w:rPr>
        <w:t>expected to apply to a relatively narrow subset of taxpayers</w:t>
      </w:r>
      <w:r w:rsidR="00FD48D0">
        <w:rPr>
          <w:rFonts w:ascii="Times New Roman" w:hAnsi="Times New Roman"/>
          <w:sz w:val="24"/>
          <w:szCs w:val="24"/>
        </w:rPr>
        <w:t>,</w:t>
      </w:r>
      <w:r w:rsidR="00D46C6E">
        <w:rPr>
          <w:rFonts w:ascii="Times New Roman" w:hAnsi="Times New Roman"/>
          <w:sz w:val="24"/>
          <w:szCs w:val="24"/>
        </w:rPr>
        <w:t xml:space="preserve"> </w:t>
      </w:r>
      <w:r w:rsidR="008E7A84">
        <w:rPr>
          <w:rFonts w:ascii="Times New Roman" w:hAnsi="Times New Roman"/>
          <w:sz w:val="24"/>
          <w:szCs w:val="24"/>
        </w:rPr>
        <w:t xml:space="preserve">the main </w:t>
      </w:r>
      <w:r w:rsidR="00D46C6E">
        <w:rPr>
          <w:rFonts w:ascii="Times New Roman" w:hAnsi="Times New Roman"/>
          <w:sz w:val="24"/>
          <w:szCs w:val="24"/>
        </w:rPr>
        <w:t xml:space="preserve">objective should be achieved with </w:t>
      </w:r>
      <w:r>
        <w:rPr>
          <w:rFonts w:ascii="Times New Roman" w:hAnsi="Times New Roman"/>
          <w:sz w:val="24"/>
          <w:szCs w:val="24"/>
        </w:rPr>
        <w:t>minimal</w:t>
      </w:r>
      <w:r w:rsidR="00D46C6E">
        <w:rPr>
          <w:rFonts w:ascii="Times New Roman" w:hAnsi="Times New Roman"/>
          <w:sz w:val="24"/>
          <w:szCs w:val="24"/>
        </w:rPr>
        <w:t xml:space="preserve"> impact on taxpayers who are not transferring losses </w:t>
      </w:r>
      <w:r w:rsidR="00FD48D0">
        <w:rPr>
          <w:rFonts w:ascii="Times New Roman" w:hAnsi="Times New Roman"/>
          <w:sz w:val="24"/>
          <w:szCs w:val="24"/>
        </w:rPr>
        <w:t>within</w:t>
      </w:r>
      <w:r w:rsidR="00D46C6E">
        <w:rPr>
          <w:rFonts w:ascii="Times New Roman" w:hAnsi="Times New Roman"/>
          <w:sz w:val="24"/>
          <w:szCs w:val="24"/>
        </w:rPr>
        <w:t xml:space="preserve"> non-wholly owned groups.</w:t>
      </w:r>
    </w:p>
    <w:p w:rsidR="00D46C6E" w:rsidRDefault="00D46C6E" w:rsidP="00C74B45">
      <w:pPr>
        <w:pStyle w:val="ListParagraph"/>
        <w:rPr>
          <w:rFonts w:ascii="Times New Roman" w:hAnsi="Times New Roman"/>
          <w:sz w:val="24"/>
          <w:szCs w:val="24"/>
        </w:rPr>
      </w:pPr>
    </w:p>
    <w:p w:rsidR="00D46C6E" w:rsidRDefault="002C34E2" w:rsidP="00C74B45">
      <w:pPr>
        <w:pStyle w:val="Bullet-list"/>
        <w:numPr>
          <w:ilvl w:val="0"/>
          <w:numId w:val="7"/>
        </w:numPr>
        <w:spacing w:after="0" w:line="240" w:lineRule="auto"/>
        <w:jc w:val="both"/>
        <w:rPr>
          <w:rFonts w:ascii="Times New Roman" w:hAnsi="Times New Roman"/>
          <w:sz w:val="24"/>
          <w:szCs w:val="24"/>
        </w:rPr>
      </w:pPr>
      <w:r w:rsidRPr="00060531">
        <w:rPr>
          <w:rFonts w:ascii="Times New Roman" w:hAnsi="Times New Roman"/>
          <w:b/>
          <w:i/>
          <w:sz w:val="24"/>
          <w:szCs w:val="24"/>
        </w:rPr>
        <w:t>I</w:t>
      </w:r>
      <w:r w:rsidR="00C2457B" w:rsidRPr="00060531">
        <w:rPr>
          <w:rFonts w:ascii="Times New Roman" w:hAnsi="Times New Roman"/>
          <w:b/>
          <w:i/>
          <w:sz w:val="24"/>
          <w:szCs w:val="24"/>
        </w:rPr>
        <w:t>ntegrity and coherence:</w:t>
      </w:r>
      <w:r w:rsidR="00C2457B">
        <w:rPr>
          <w:rFonts w:ascii="Times New Roman" w:hAnsi="Times New Roman"/>
          <w:i/>
          <w:sz w:val="24"/>
          <w:szCs w:val="24"/>
        </w:rPr>
        <w:t xml:space="preserve">  </w:t>
      </w:r>
      <w:r w:rsidR="00D46C6E">
        <w:rPr>
          <w:rFonts w:ascii="Times New Roman" w:hAnsi="Times New Roman"/>
          <w:sz w:val="24"/>
          <w:szCs w:val="24"/>
        </w:rPr>
        <w:t xml:space="preserve">The ability to transfer tax-free profits and/or imputation credits both within and outside of wholly-owned and non-wholly owned groups is subject to many areas of existing law.  </w:t>
      </w:r>
      <w:r w:rsidR="00C2457B">
        <w:rPr>
          <w:rFonts w:ascii="Times New Roman" w:hAnsi="Times New Roman"/>
          <w:sz w:val="24"/>
          <w:szCs w:val="24"/>
        </w:rPr>
        <w:t>N</w:t>
      </w:r>
      <w:r w:rsidR="00D46C6E">
        <w:rPr>
          <w:rFonts w:ascii="Times New Roman" w:hAnsi="Times New Roman"/>
          <w:sz w:val="24"/>
          <w:szCs w:val="24"/>
        </w:rPr>
        <w:t>ew opportunities</w:t>
      </w:r>
      <w:r w:rsidR="00C2457B">
        <w:rPr>
          <w:rFonts w:ascii="Times New Roman" w:hAnsi="Times New Roman"/>
          <w:sz w:val="24"/>
          <w:szCs w:val="24"/>
        </w:rPr>
        <w:t xml:space="preserve"> should not be created</w:t>
      </w:r>
      <w:r w:rsidR="00D46C6E">
        <w:rPr>
          <w:rFonts w:ascii="Times New Roman" w:hAnsi="Times New Roman"/>
          <w:sz w:val="24"/>
          <w:szCs w:val="24"/>
        </w:rPr>
        <w:t xml:space="preserve"> for taxpayers, and particularly those who are not within the problem definition, to transfer profits between entities that are inconsistent with the existing policy intent</w:t>
      </w:r>
      <w:r w:rsidR="00C2457B">
        <w:rPr>
          <w:rFonts w:ascii="Times New Roman" w:hAnsi="Times New Roman"/>
          <w:sz w:val="24"/>
          <w:szCs w:val="24"/>
        </w:rPr>
        <w:t xml:space="preserve"> </w:t>
      </w:r>
      <w:r w:rsidR="00C2457B" w:rsidRPr="00CB20BC">
        <w:rPr>
          <w:rFonts w:ascii="Times New Roman" w:hAnsi="Times New Roman"/>
          <w:sz w:val="24"/>
          <w:szCs w:val="24"/>
        </w:rPr>
        <w:t>that the distribution of profits</w:t>
      </w:r>
      <w:r w:rsidR="00C2457B">
        <w:rPr>
          <w:rFonts w:ascii="Times New Roman" w:hAnsi="Times New Roman"/>
          <w:sz w:val="24"/>
          <w:szCs w:val="24"/>
        </w:rPr>
        <w:t xml:space="preserve"> </w:t>
      </w:r>
      <w:r>
        <w:rPr>
          <w:rFonts w:ascii="Times New Roman" w:hAnsi="Times New Roman"/>
          <w:sz w:val="24"/>
          <w:szCs w:val="24"/>
        </w:rPr>
        <w:t>(</w:t>
      </w:r>
      <w:r w:rsidR="00C2457B">
        <w:rPr>
          <w:rFonts w:ascii="Times New Roman" w:hAnsi="Times New Roman"/>
          <w:sz w:val="24"/>
          <w:szCs w:val="24"/>
        </w:rPr>
        <w:t xml:space="preserve">other than within a </w:t>
      </w:r>
      <w:r w:rsidR="00B441C3">
        <w:rPr>
          <w:rFonts w:ascii="Times New Roman" w:hAnsi="Times New Roman"/>
          <w:sz w:val="24"/>
          <w:szCs w:val="24"/>
        </w:rPr>
        <w:t>wholly-owned group or other specific exceptions</w:t>
      </w:r>
      <w:r>
        <w:rPr>
          <w:rFonts w:ascii="Times New Roman" w:hAnsi="Times New Roman"/>
          <w:sz w:val="24"/>
          <w:szCs w:val="24"/>
        </w:rPr>
        <w:t>)</w:t>
      </w:r>
      <w:r w:rsidR="00B441C3">
        <w:rPr>
          <w:rFonts w:ascii="Times New Roman" w:hAnsi="Times New Roman"/>
          <w:sz w:val="24"/>
          <w:szCs w:val="24"/>
        </w:rPr>
        <w:t xml:space="preserve"> should be subject to tax</w:t>
      </w:r>
      <w:r w:rsidR="00D46C6E">
        <w:rPr>
          <w:rFonts w:ascii="Times New Roman" w:hAnsi="Times New Roman"/>
          <w:sz w:val="24"/>
          <w:szCs w:val="24"/>
        </w:rPr>
        <w:t>.</w:t>
      </w:r>
    </w:p>
    <w:p w:rsidR="0030637D" w:rsidRDefault="0030637D" w:rsidP="00C74B45">
      <w:pPr>
        <w:pStyle w:val="ListParagraph"/>
        <w:rPr>
          <w:rFonts w:ascii="Times New Roman" w:hAnsi="Times New Roman"/>
          <w:sz w:val="24"/>
          <w:szCs w:val="24"/>
        </w:rPr>
      </w:pPr>
    </w:p>
    <w:p w:rsidR="0030637D" w:rsidRDefault="002C34E2" w:rsidP="00C74B45">
      <w:pPr>
        <w:pStyle w:val="Bullet-list"/>
        <w:numPr>
          <w:ilvl w:val="0"/>
          <w:numId w:val="7"/>
        </w:numPr>
        <w:spacing w:after="0" w:line="240" w:lineRule="auto"/>
        <w:jc w:val="both"/>
        <w:rPr>
          <w:rFonts w:ascii="Times New Roman" w:hAnsi="Times New Roman"/>
          <w:sz w:val="24"/>
          <w:szCs w:val="24"/>
        </w:rPr>
      </w:pPr>
      <w:r w:rsidRPr="00060531">
        <w:rPr>
          <w:rFonts w:ascii="Times New Roman" w:hAnsi="Times New Roman"/>
          <w:b/>
          <w:i/>
          <w:sz w:val="24"/>
          <w:szCs w:val="24"/>
        </w:rPr>
        <w:t>Efficiency of c</w:t>
      </w:r>
      <w:r w:rsidR="005A5F5B" w:rsidRPr="00060531">
        <w:rPr>
          <w:rFonts w:ascii="Times New Roman" w:hAnsi="Times New Roman"/>
          <w:b/>
          <w:i/>
          <w:sz w:val="24"/>
          <w:szCs w:val="24"/>
        </w:rPr>
        <w:t>ompliance and administration</w:t>
      </w:r>
      <w:r w:rsidR="0030637D" w:rsidRPr="00060531">
        <w:rPr>
          <w:rFonts w:ascii="Times New Roman" w:hAnsi="Times New Roman"/>
          <w:b/>
          <w:i/>
          <w:sz w:val="24"/>
          <w:szCs w:val="24"/>
        </w:rPr>
        <w:t>:</w:t>
      </w:r>
      <w:r w:rsidR="0030637D">
        <w:rPr>
          <w:rFonts w:ascii="Times New Roman" w:hAnsi="Times New Roman"/>
          <w:sz w:val="24"/>
          <w:szCs w:val="24"/>
        </w:rPr>
        <w:t xml:space="preserve">  </w:t>
      </w:r>
      <w:r w:rsidR="005332C6">
        <w:rPr>
          <w:rFonts w:ascii="Times New Roman" w:hAnsi="Times New Roman"/>
          <w:sz w:val="24"/>
          <w:szCs w:val="24"/>
        </w:rPr>
        <w:t>The l</w:t>
      </w:r>
      <w:r w:rsidR="0030637D">
        <w:rPr>
          <w:rFonts w:ascii="Times New Roman" w:hAnsi="Times New Roman"/>
          <w:sz w:val="24"/>
          <w:szCs w:val="24"/>
        </w:rPr>
        <w:t xml:space="preserve">oss grouping and imputation </w:t>
      </w:r>
      <w:r w:rsidR="005332C6">
        <w:rPr>
          <w:rFonts w:ascii="Times New Roman" w:hAnsi="Times New Roman"/>
          <w:sz w:val="24"/>
          <w:szCs w:val="24"/>
        </w:rPr>
        <w:t xml:space="preserve">rules </w:t>
      </w:r>
      <w:r w:rsidR="0030637D">
        <w:rPr>
          <w:rFonts w:ascii="Times New Roman" w:hAnsi="Times New Roman"/>
          <w:sz w:val="24"/>
          <w:szCs w:val="24"/>
        </w:rPr>
        <w:t>are both applied by a wide variety of taxpayers</w:t>
      </w:r>
      <w:r w:rsidR="005332C6">
        <w:rPr>
          <w:rFonts w:ascii="Times New Roman" w:hAnsi="Times New Roman"/>
          <w:sz w:val="24"/>
          <w:szCs w:val="24"/>
        </w:rPr>
        <w:t xml:space="preserve">.  The complexity of these rules </w:t>
      </w:r>
      <w:r w:rsidR="00EA0207">
        <w:rPr>
          <w:rFonts w:ascii="Times New Roman" w:hAnsi="Times New Roman"/>
          <w:sz w:val="24"/>
          <w:szCs w:val="24"/>
        </w:rPr>
        <w:t xml:space="preserve">should be minimised to ensure they are applied correctly and with a minimum of compliance </w:t>
      </w:r>
      <w:r w:rsidR="000B1F5E">
        <w:rPr>
          <w:rFonts w:ascii="Times New Roman" w:hAnsi="Times New Roman"/>
          <w:sz w:val="24"/>
          <w:szCs w:val="24"/>
        </w:rPr>
        <w:t xml:space="preserve">and administration </w:t>
      </w:r>
      <w:r w:rsidR="00EA0207">
        <w:rPr>
          <w:rFonts w:ascii="Times New Roman" w:hAnsi="Times New Roman"/>
          <w:sz w:val="24"/>
          <w:szCs w:val="24"/>
        </w:rPr>
        <w:t>costs.</w:t>
      </w:r>
    </w:p>
    <w:p w:rsidR="00427026" w:rsidRDefault="00427026" w:rsidP="00C74B45">
      <w:pPr>
        <w:pStyle w:val="Bullet-list"/>
        <w:spacing w:after="0" w:line="240" w:lineRule="auto"/>
        <w:ind w:left="0" w:firstLine="0"/>
        <w:jc w:val="both"/>
        <w:rPr>
          <w:rFonts w:ascii="Times New Roman" w:hAnsi="Times New Roman"/>
          <w:sz w:val="24"/>
          <w:szCs w:val="24"/>
        </w:rPr>
      </w:pPr>
    </w:p>
    <w:p w:rsidR="00B567DC" w:rsidRDefault="00B567DC" w:rsidP="00B567DC">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Pr>
          <w:rFonts w:ascii="Times New Roman" w:hAnsi="Times New Roman"/>
          <w:sz w:val="24"/>
          <w:szCs w:val="24"/>
        </w:rPr>
        <w:t>While all criteria are not equally weighted all criteria are important.  If all of the last three criteria cannot be met to some degree an option that met the economic efficiency criteria would not be preferred.</w:t>
      </w:r>
    </w:p>
    <w:p w:rsidR="00B567DC" w:rsidRDefault="00B567DC" w:rsidP="00C74B45">
      <w:pPr>
        <w:pStyle w:val="Bullet-list"/>
        <w:spacing w:after="0" w:line="240" w:lineRule="auto"/>
        <w:ind w:left="0" w:firstLine="0"/>
        <w:jc w:val="both"/>
        <w:rPr>
          <w:rFonts w:ascii="Times New Roman" w:hAnsi="Times New Roman"/>
          <w:sz w:val="24"/>
          <w:szCs w:val="24"/>
        </w:rPr>
      </w:pPr>
    </w:p>
    <w:p w:rsidR="00427026" w:rsidRDefault="00427026" w:rsidP="00C74B45">
      <w:pPr>
        <w:pStyle w:val="Bullet-list"/>
        <w:spacing w:after="0" w:line="240" w:lineRule="auto"/>
        <w:ind w:left="0" w:firstLine="0"/>
        <w:jc w:val="both"/>
        <w:rPr>
          <w:rFonts w:ascii="Times New Roman" w:hAnsi="Times New Roman"/>
          <w:sz w:val="24"/>
          <w:szCs w:val="24"/>
        </w:rPr>
      </w:pPr>
    </w:p>
    <w:p w:rsidR="00427026" w:rsidRPr="00427026" w:rsidRDefault="00427026" w:rsidP="00C74B45">
      <w:pPr>
        <w:pStyle w:val="Bullet-list"/>
        <w:spacing w:after="0" w:line="240" w:lineRule="auto"/>
        <w:ind w:left="0" w:firstLine="0"/>
        <w:jc w:val="both"/>
        <w:rPr>
          <w:rFonts w:ascii="Times New Roman" w:hAnsi="Times New Roman"/>
          <w:b/>
          <w:caps/>
          <w:sz w:val="24"/>
          <w:szCs w:val="24"/>
        </w:rPr>
      </w:pPr>
      <w:r w:rsidRPr="00427026">
        <w:rPr>
          <w:rFonts w:ascii="Times New Roman" w:hAnsi="Times New Roman"/>
          <w:b/>
          <w:caps/>
          <w:sz w:val="24"/>
          <w:szCs w:val="24"/>
        </w:rPr>
        <w:t>Regulatory impact analysis</w:t>
      </w:r>
    </w:p>
    <w:p w:rsidR="00427026" w:rsidRDefault="00427026" w:rsidP="00C74B45">
      <w:pPr>
        <w:pStyle w:val="Bullet-list"/>
        <w:spacing w:after="0" w:line="240" w:lineRule="auto"/>
        <w:ind w:left="0" w:firstLine="0"/>
        <w:jc w:val="both"/>
        <w:rPr>
          <w:rFonts w:ascii="Times New Roman" w:hAnsi="Times New Roman"/>
          <w:sz w:val="24"/>
          <w:szCs w:val="24"/>
        </w:rPr>
      </w:pPr>
    </w:p>
    <w:p w:rsidR="00FC43D1"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797046">
        <w:rPr>
          <w:rFonts w:ascii="Times New Roman" w:hAnsi="Times New Roman"/>
          <w:sz w:val="24"/>
          <w:szCs w:val="24"/>
        </w:rPr>
        <w:t xml:space="preserve">Three policy options and the status quo were considered for addressing the policy problem and meeting the </w:t>
      </w:r>
      <w:r w:rsidR="00B441C3">
        <w:rPr>
          <w:rFonts w:ascii="Times New Roman" w:hAnsi="Times New Roman"/>
          <w:sz w:val="24"/>
          <w:szCs w:val="24"/>
        </w:rPr>
        <w:t xml:space="preserve">main </w:t>
      </w:r>
      <w:r w:rsidR="00797046">
        <w:rPr>
          <w:rFonts w:ascii="Times New Roman" w:hAnsi="Times New Roman"/>
          <w:sz w:val="24"/>
          <w:szCs w:val="24"/>
        </w:rPr>
        <w:t>objective.  These were:</w:t>
      </w:r>
    </w:p>
    <w:p w:rsidR="00797046" w:rsidRDefault="00797046" w:rsidP="00C74B45">
      <w:pPr>
        <w:pStyle w:val="Bullet-list"/>
        <w:spacing w:after="0" w:line="240" w:lineRule="auto"/>
        <w:jc w:val="both"/>
        <w:rPr>
          <w:rFonts w:ascii="Times New Roman" w:hAnsi="Times New Roman"/>
          <w:sz w:val="24"/>
          <w:szCs w:val="24"/>
        </w:rPr>
      </w:pPr>
    </w:p>
    <w:p w:rsidR="00797046" w:rsidRDefault="00797046" w:rsidP="00C74B45">
      <w:pPr>
        <w:pStyle w:val="Bullet-list"/>
        <w:numPr>
          <w:ilvl w:val="0"/>
          <w:numId w:val="8"/>
        </w:numPr>
        <w:spacing w:after="0" w:line="240" w:lineRule="auto"/>
        <w:jc w:val="both"/>
        <w:rPr>
          <w:rFonts w:ascii="Times New Roman" w:hAnsi="Times New Roman"/>
          <w:sz w:val="24"/>
          <w:szCs w:val="24"/>
        </w:rPr>
      </w:pPr>
      <w:r w:rsidRPr="002750FB">
        <w:rPr>
          <w:rFonts w:ascii="Times New Roman" w:hAnsi="Times New Roman"/>
          <w:i/>
          <w:sz w:val="24"/>
          <w:szCs w:val="24"/>
        </w:rPr>
        <w:t>Option 1</w:t>
      </w:r>
      <w:r>
        <w:rPr>
          <w:rFonts w:ascii="Times New Roman" w:hAnsi="Times New Roman"/>
          <w:sz w:val="24"/>
          <w:szCs w:val="24"/>
        </w:rPr>
        <w:t>:</w:t>
      </w:r>
      <w:r>
        <w:rPr>
          <w:rFonts w:ascii="Times New Roman" w:hAnsi="Times New Roman"/>
          <w:sz w:val="24"/>
          <w:szCs w:val="24"/>
        </w:rPr>
        <w:tab/>
        <w:t>Retain the current law</w:t>
      </w:r>
      <w:r w:rsidR="005332C6">
        <w:rPr>
          <w:rFonts w:ascii="Times New Roman" w:hAnsi="Times New Roman"/>
          <w:sz w:val="24"/>
          <w:szCs w:val="24"/>
        </w:rPr>
        <w:t>.  This is the status</w:t>
      </w:r>
      <w:r w:rsidR="008E7A84">
        <w:rPr>
          <w:rFonts w:ascii="Times New Roman" w:hAnsi="Times New Roman"/>
          <w:sz w:val="24"/>
          <w:szCs w:val="24"/>
        </w:rPr>
        <w:t xml:space="preserve"> quo</w:t>
      </w:r>
      <w:r w:rsidR="005332C6">
        <w:rPr>
          <w:rFonts w:ascii="Times New Roman" w:hAnsi="Times New Roman"/>
          <w:sz w:val="24"/>
          <w:szCs w:val="24"/>
        </w:rPr>
        <w:t xml:space="preserve"> option against which the other options are being assessed.</w:t>
      </w:r>
    </w:p>
    <w:p w:rsidR="00797046" w:rsidRDefault="00797046" w:rsidP="00C74B45">
      <w:pPr>
        <w:pStyle w:val="Bullet-list"/>
        <w:spacing w:after="0" w:line="240" w:lineRule="auto"/>
        <w:ind w:left="851"/>
        <w:jc w:val="both"/>
        <w:rPr>
          <w:rFonts w:ascii="Times New Roman" w:hAnsi="Times New Roman"/>
          <w:sz w:val="24"/>
          <w:szCs w:val="24"/>
        </w:rPr>
      </w:pPr>
    </w:p>
    <w:p w:rsidR="00797046" w:rsidRDefault="00797046" w:rsidP="00C74B45">
      <w:pPr>
        <w:pStyle w:val="Bullet-list"/>
        <w:numPr>
          <w:ilvl w:val="0"/>
          <w:numId w:val="8"/>
        </w:numPr>
        <w:spacing w:after="0" w:line="240" w:lineRule="auto"/>
        <w:jc w:val="both"/>
        <w:rPr>
          <w:rFonts w:ascii="Times New Roman" w:hAnsi="Times New Roman"/>
          <w:sz w:val="24"/>
          <w:szCs w:val="24"/>
        </w:rPr>
      </w:pPr>
      <w:r w:rsidRPr="002750FB">
        <w:rPr>
          <w:rFonts w:ascii="Times New Roman" w:hAnsi="Times New Roman"/>
          <w:i/>
          <w:sz w:val="24"/>
          <w:szCs w:val="24"/>
        </w:rPr>
        <w:t>Option 2</w:t>
      </w:r>
      <w:r>
        <w:rPr>
          <w:rFonts w:ascii="Times New Roman" w:hAnsi="Times New Roman"/>
          <w:sz w:val="24"/>
          <w:szCs w:val="24"/>
        </w:rPr>
        <w:t>:</w:t>
      </w:r>
      <w:r>
        <w:rPr>
          <w:rFonts w:ascii="Times New Roman" w:hAnsi="Times New Roman"/>
          <w:sz w:val="24"/>
          <w:szCs w:val="24"/>
        </w:rPr>
        <w:tab/>
        <w:t>Allow the transfer of imputation credits as part of a loss transfer (preferred option)</w:t>
      </w:r>
    </w:p>
    <w:p w:rsidR="00797046" w:rsidRDefault="00797046" w:rsidP="00C74B45">
      <w:pPr>
        <w:pStyle w:val="Bullet-list"/>
        <w:spacing w:after="0" w:line="240" w:lineRule="auto"/>
        <w:ind w:left="851"/>
        <w:jc w:val="both"/>
        <w:rPr>
          <w:rFonts w:ascii="Times New Roman" w:hAnsi="Times New Roman"/>
          <w:sz w:val="24"/>
          <w:szCs w:val="24"/>
        </w:rPr>
      </w:pPr>
    </w:p>
    <w:p w:rsidR="00797046" w:rsidRDefault="00797046" w:rsidP="00C74B45">
      <w:pPr>
        <w:pStyle w:val="Bullet-list"/>
        <w:numPr>
          <w:ilvl w:val="0"/>
          <w:numId w:val="8"/>
        </w:numPr>
        <w:spacing w:after="0" w:line="240" w:lineRule="auto"/>
        <w:jc w:val="both"/>
        <w:rPr>
          <w:rFonts w:ascii="Times New Roman" w:hAnsi="Times New Roman"/>
          <w:sz w:val="24"/>
          <w:szCs w:val="24"/>
        </w:rPr>
      </w:pPr>
      <w:r w:rsidRPr="002750FB">
        <w:rPr>
          <w:rFonts w:ascii="Times New Roman" w:hAnsi="Times New Roman"/>
          <w:i/>
          <w:sz w:val="24"/>
          <w:szCs w:val="24"/>
        </w:rPr>
        <w:t>Option 3</w:t>
      </w:r>
      <w:r>
        <w:rPr>
          <w:rFonts w:ascii="Times New Roman" w:hAnsi="Times New Roman"/>
          <w:sz w:val="24"/>
          <w:szCs w:val="24"/>
        </w:rPr>
        <w:t>:</w:t>
      </w:r>
      <w:r>
        <w:rPr>
          <w:rFonts w:ascii="Times New Roman" w:hAnsi="Times New Roman"/>
          <w:sz w:val="24"/>
          <w:szCs w:val="24"/>
        </w:rPr>
        <w:tab/>
        <w:t>Introduce a targeted exemption for dividends following a loss transfer; and</w:t>
      </w:r>
    </w:p>
    <w:p w:rsidR="00797046" w:rsidRDefault="00797046" w:rsidP="00C74B45">
      <w:pPr>
        <w:pStyle w:val="Bullet-list"/>
        <w:spacing w:after="0" w:line="240" w:lineRule="auto"/>
        <w:ind w:left="851"/>
        <w:jc w:val="both"/>
        <w:rPr>
          <w:rFonts w:ascii="Times New Roman" w:hAnsi="Times New Roman"/>
          <w:sz w:val="24"/>
          <w:szCs w:val="24"/>
        </w:rPr>
      </w:pPr>
    </w:p>
    <w:p w:rsidR="00797046" w:rsidRPr="004342F0" w:rsidRDefault="00797046" w:rsidP="00C74B45">
      <w:pPr>
        <w:pStyle w:val="Bullet-list"/>
        <w:numPr>
          <w:ilvl w:val="0"/>
          <w:numId w:val="8"/>
        </w:numPr>
        <w:spacing w:after="0" w:line="240" w:lineRule="auto"/>
        <w:jc w:val="both"/>
        <w:rPr>
          <w:rFonts w:ascii="Times New Roman" w:hAnsi="Times New Roman"/>
          <w:sz w:val="24"/>
          <w:szCs w:val="24"/>
        </w:rPr>
      </w:pPr>
      <w:r w:rsidRPr="002750FB">
        <w:rPr>
          <w:rFonts w:ascii="Times New Roman" w:hAnsi="Times New Roman"/>
          <w:i/>
          <w:sz w:val="24"/>
          <w:szCs w:val="24"/>
        </w:rPr>
        <w:t>Option 4</w:t>
      </w:r>
      <w:r>
        <w:rPr>
          <w:rFonts w:ascii="Times New Roman" w:hAnsi="Times New Roman"/>
          <w:sz w:val="24"/>
          <w:szCs w:val="24"/>
        </w:rPr>
        <w:t>:</w:t>
      </w:r>
      <w:r>
        <w:rPr>
          <w:rFonts w:ascii="Times New Roman" w:hAnsi="Times New Roman"/>
          <w:sz w:val="24"/>
          <w:szCs w:val="24"/>
        </w:rPr>
        <w:tab/>
        <w:t>Align the loss transfer and inter-corporate dividend thresholds.</w:t>
      </w:r>
    </w:p>
    <w:p w:rsidR="00427026" w:rsidRDefault="00427026" w:rsidP="00C74B45">
      <w:pPr>
        <w:pStyle w:val="Bullet-list"/>
        <w:spacing w:after="0" w:line="240" w:lineRule="auto"/>
        <w:ind w:left="0" w:firstLine="0"/>
        <w:jc w:val="both"/>
        <w:rPr>
          <w:rFonts w:ascii="Times New Roman" w:hAnsi="Times New Roman"/>
          <w:sz w:val="24"/>
          <w:szCs w:val="24"/>
        </w:rPr>
      </w:pPr>
    </w:p>
    <w:p w:rsidR="00EA52D1"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EA52D1">
        <w:rPr>
          <w:rFonts w:ascii="Times New Roman" w:hAnsi="Times New Roman"/>
          <w:sz w:val="24"/>
          <w:szCs w:val="24"/>
        </w:rPr>
        <w:t xml:space="preserve">There are no </w:t>
      </w:r>
      <w:r w:rsidR="00CB20BC">
        <w:rPr>
          <w:rFonts w:ascii="Times New Roman" w:hAnsi="Times New Roman"/>
          <w:sz w:val="24"/>
          <w:szCs w:val="24"/>
        </w:rPr>
        <w:t xml:space="preserve">environmental, </w:t>
      </w:r>
      <w:r w:rsidR="00EA52D1">
        <w:rPr>
          <w:rFonts w:ascii="Times New Roman" w:hAnsi="Times New Roman"/>
          <w:sz w:val="24"/>
          <w:szCs w:val="24"/>
        </w:rPr>
        <w:t>social</w:t>
      </w:r>
      <w:r w:rsidR="00CB20BC">
        <w:rPr>
          <w:rFonts w:ascii="Times New Roman" w:hAnsi="Times New Roman"/>
          <w:sz w:val="24"/>
          <w:szCs w:val="24"/>
        </w:rPr>
        <w:t xml:space="preserve"> or</w:t>
      </w:r>
      <w:r w:rsidR="00EA52D1">
        <w:rPr>
          <w:rFonts w:ascii="Times New Roman" w:hAnsi="Times New Roman"/>
          <w:sz w:val="24"/>
          <w:szCs w:val="24"/>
        </w:rPr>
        <w:t xml:space="preserve"> cultural impacts for any of the options considered.</w:t>
      </w:r>
    </w:p>
    <w:p w:rsidR="00DD44B0" w:rsidRDefault="00DD44B0" w:rsidP="00C74B45">
      <w:pPr>
        <w:pStyle w:val="Bullet-list"/>
        <w:spacing w:after="0" w:line="240" w:lineRule="auto"/>
        <w:ind w:left="0" w:firstLine="0"/>
        <w:jc w:val="both"/>
        <w:rPr>
          <w:rFonts w:ascii="Times New Roman" w:hAnsi="Times New Roman"/>
          <w:sz w:val="24"/>
          <w:szCs w:val="24"/>
        </w:rPr>
      </w:pPr>
    </w:p>
    <w:p w:rsidR="00427026" w:rsidRDefault="00427026" w:rsidP="00C74B45">
      <w:pPr>
        <w:pStyle w:val="Bullet-list"/>
        <w:spacing w:after="0" w:line="240" w:lineRule="auto"/>
        <w:ind w:left="0" w:firstLine="0"/>
        <w:jc w:val="both"/>
        <w:rPr>
          <w:rFonts w:ascii="Times New Roman" w:hAnsi="Times New Roman"/>
          <w:sz w:val="24"/>
          <w:szCs w:val="24"/>
        </w:rPr>
      </w:pPr>
    </w:p>
    <w:p w:rsidR="00427026" w:rsidRDefault="00797046" w:rsidP="00C74B45">
      <w:pPr>
        <w:pStyle w:val="Bullet-list"/>
        <w:spacing w:after="0" w:line="240" w:lineRule="auto"/>
        <w:ind w:left="0" w:firstLine="0"/>
        <w:jc w:val="both"/>
        <w:rPr>
          <w:rFonts w:ascii="Times New Roman" w:hAnsi="Times New Roman"/>
          <w:b/>
          <w:sz w:val="24"/>
          <w:szCs w:val="24"/>
        </w:rPr>
      </w:pPr>
      <w:r w:rsidRPr="001329DC">
        <w:rPr>
          <w:rFonts w:ascii="Times New Roman" w:hAnsi="Times New Roman"/>
          <w:b/>
          <w:sz w:val="24"/>
          <w:szCs w:val="24"/>
        </w:rPr>
        <w:t>Option 1:</w:t>
      </w:r>
      <w:r w:rsidRPr="001329DC">
        <w:rPr>
          <w:rFonts w:ascii="Times New Roman" w:hAnsi="Times New Roman"/>
          <w:b/>
          <w:sz w:val="24"/>
          <w:szCs w:val="24"/>
        </w:rPr>
        <w:tab/>
        <w:t>Retain the current law (status quo)</w:t>
      </w:r>
      <w:bookmarkStart w:id="6" w:name="_Toc244580366"/>
      <w:bookmarkStart w:id="7" w:name="_Toc244587042"/>
      <w:bookmarkStart w:id="8" w:name="_Toc244857276"/>
      <w:bookmarkStart w:id="9" w:name="_Toc244912541"/>
      <w:bookmarkStart w:id="10" w:name="_Toc244916998"/>
    </w:p>
    <w:p w:rsidR="00427026" w:rsidRDefault="00427026" w:rsidP="00C74B45">
      <w:pPr>
        <w:pStyle w:val="Bullet-list"/>
        <w:spacing w:after="0" w:line="240" w:lineRule="auto"/>
        <w:ind w:left="0" w:firstLine="0"/>
        <w:jc w:val="both"/>
        <w:rPr>
          <w:rFonts w:ascii="Times New Roman" w:hAnsi="Times New Roman"/>
          <w:b/>
          <w:sz w:val="24"/>
          <w:szCs w:val="24"/>
        </w:rPr>
      </w:pPr>
    </w:p>
    <w:p w:rsidR="00060531" w:rsidRDefault="00427026" w:rsidP="00C74B45">
      <w:pPr>
        <w:pStyle w:val="Bullet-list"/>
        <w:spacing w:after="0" w:line="240" w:lineRule="auto"/>
        <w:ind w:left="0" w:firstLine="0"/>
        <w:jc w:val="both"/>
        <w:rPr>
          <w:rFonts w:ascii="Times New Roman" w:hAnsi="Times New Roman"/>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410D34">
        <w:rPr>
          <w:rFonts w:ascii="Times New Roman" w:hAnsi="Times New Roman"/>
          <w:sz w:val="24"/>
          <w:szCs w:val="24"/>
        </w:rPr>
        <w:t xml:space="preserve">This option would retain the current law </w:t>
      </w:r>
      <w:r w:rsidR="004C2B79">
        <w:rPr>
          <w:rFonts w:ascii="Times New Roman" w:hAnsi="Times New Roman"/>
          <w:sz w:val="24"/>
          <w:szCs w:val="24"/>
        </w:rPr>
        <w:t xml:space="preserve">and the </w:t>
      </w:r>
      <w:r w:rsidR="00EF3028">
        <w:rPr>
          <w:rFonts w:ascii="Times New Roman" w:hAnsi="Times New Roman"/>
          <w:sz w:val="24"/>
          <w:szCs w:val="24"/>
        </w:rPr>
        <w:t xml:space="preserve">existing </w:t>
      </w:r>
      <w:r w:rsidR="008E7A84">
        <w:rPr>
          <w:rFonts w:ascii="Times New Roman" w:hAnsi="Times New Roman"/>
          <w:sz w:val="24"/>
          <w:szCs w:val="24"/>
        </w:rPr>
        <w:t xml:space="preserve">tax disadvantage </w:t>
      </w:r>
      <w:r w:rsidR="004C2B79">
        <w:rPr>
          <w:rFonts w:ascii="Times New Roman" w:hAnsi="Times New Roman"/>
          <w:sz w:val="24"/>
          <w:szCs w:val="24"/>
        </w:rPr>
        <w:t xml:space="preserve">for </w:t>
      </w:r>
      <w:r w:rsidR="00EF3028">
        <w:rPr>
          <w:rFonts w:ascii="Times New Roman" w:hAnsi="Times New Roman"/>
          <w:sz w:val="24"/>
          <w:szCs w:val="24"/>
        </w:rPr>
        <w:t>non-wholly</w:t>
      </w:r>
      <w:r w:rsidR="00FA70CF">
        <w:rPr>
          <w:rFonts w:ascii="Times New Roman" w:hAnsi="Times New Roman"/>
          <w:sz w:val="24"/>
          <w:szCs w:val="24"/>
        </w:rPr>
        <w:t xml:space="preserve"> </w:t>
      </w:r>
      <w:r w:rsidR="00EF3028">
        <w:rPr>
          <w:rFonts w:ascii="Times New Roman" w:hAnsi="Times New Roman"/>
          <w:sz w:val="24"/>
          <w:szCs w:val="24"/>
        </w:rPr>
        <w:t xml:space="preserve">owned groups arising from the interaction of the loss grouping and imputation rules.  </w:t>
      </w:r>
    </w:p>
    <w:p w:rsidR="00060531" w:rsidRDefault="00060531" w:rsidP="00C74B45">
      <w:pPr>
        <w:pStyle w:val="Bullet-list"/>
        <w:spacing w:after="0" w:line="240" w:lineRule="auto"/>
        <w:ind w:left="0" w:firstLine="0"/>
        <w:jc w:val="both"/>
        <w:rPr>
          <w:rFonts w:ascii="Times New Roman" w:hAnsi="Times New Roman"/>
          <w:sz w:val="24"/>
          <w:szCs w:val="24"/>
        </w:rPr>
      </w:pPr>
    </w:p>
    <w:p w:rsidR="00060531" w:rsidRPr="00060531" w:rsidRDefault="00060531" w:rsidP="00C74B45">
      <w:pPr>
        <w:pStyle w:val="Bullet-list"/>
        <w:spacing w:after="0" w:line="240" w:lineRule="auto"/>
        <w:ind w:left="0" w:firstLine="0"/>
        <w:jc w:val="both"/>
        <w:rPr>
          <w:rFonts w:ascii="Times New Roman" w:hAnsi="Times New Roman"/>
          <w:b/>
          <w:i/>
          <w:sz w:val="24"/>
          <w:szCs w:val="24"/>
        </w:rPr>
      </w:pPr>
      <w:r w:rsidRPr="00060531">
        <w:rPr>
          <w:rFonts w:ascii="Times New Roman" w:hAnsi="Times New Roman"/>
          <w:b/>
          <w:i/>
          <w:sz w:val="24"/>
          <w:szCs w:val="24"/>
        </w:rPr>
        <w:t>Assessment against criteria</w:t>
      </w:r>
      <w:r w:rsidR="00B83FD7">
        <w:rPr>
          <w:rFonts w:ascii="Times New Roman" w:hAnsi="Times New Roman"/>
          <w:b/>
          <w:i/>
          <w:sz w:val="24"/>
          <w:szCs w:val="24"/>
        </w:rPr>
        <w:t xml:space="preserve"> – option 1</w:t>
      </w:r>
    </w:p>
    <w:p w:rsidR="00060531" w:rsidRDefault="00060531" w:rsidP="00C74B45">
      <w:pPr>
        <w:pStyle w:val="Bullet-list"/>
        <w:spacing w:after="0" w:line="240" w:lineRule="auto"/>
        <w:ind w:left="0" w:firstLine="0"/>
        <w:jc w:val="both"/>
        <w:rPr>
          <w:rFonts w:ascii="Times New Roman" w:hAnsi="Times New Roman"/>
          <w:sz w:val="24"/>
          <w:szCs w:val="24"/>
        </w:rPr>
      </w:pPr>
    </w:p>
    <w:p w:rsidR="00427026" w:rsidRDefault="00060531" w:rsidP="00C74B45">
      <w:pPr>
        <w:pStyle w:val="Bullet-list"/>
        <w:spacing w:after="0" w:line="240" w:lineRule="auto"/>
        <w:ind w:left="0" w:firstLine="0"/>
        <w:jc w:val="both"/>
        <w:rPr>
          <w:rFonts w:ascii="Times New Roman" w:hAnsi="Times New Roman"/>
          <w:b/>
          <w:sz w:val="24"/>
          <w:szCs w:val="24"/>
        </w:rPr>
      </w:pPr>
      <w:r w:rsidRPr="00060531">
        <w:rPr>
          <w:rFonts w:ascii="Times New Roman" w:hAnsi="Times New Roman"/>
          <w:sz w:val="24"/>
          <w:szCs w:val="24"/>
          <w:lang w:val="en-NZ"/>
        </w:rPr>
        <w:fldChar w:fldCharType="begin"/>
      </w:r>
      <w:r w:rsidRPr="00060531">
        <w:rPr>
          <w:rFonts w:ascii="Times New Roman" w:hAnsi="Times New Roman"/>
          <w:sz w:val="24"/>
          <w:szCs w:val="24"/>
          <w:lang w:val="en-NZ"/>
        </w:rPr>
        <w:instrText xml:space="preserve"> AUTONUM  </w:instrText>
      </w:r>
      <w:r w:rsidRPr="00060531">
        <w:rPr>
          <w:rFonts w:ascii="Times New Roman" w:hAnsi="Times New Roman"/>
          <w:sz w:val="24"/>
          <w:szCs w:val="24"/>
        </w:rPr>
        <w:fldChar w:fldCharType="end"/>
      </w:r>
      <w:r w:rsidRPr="00060531">
        <w:rPr>
          <w:rFonts w:ascii="Times New Roman" w:hAnsi="Times New Roman"/>
          <w:sz w:val="24"/>
          <w:szCs w:val="24"/>
          <w:lang w:val="en-NZ"/>
        </w:rPr>
        <w:tab/>
      </w:r>
      <w:r>
        <w:rPr>
          <w:rFonts w:ascii="Times New Roman" w:hAnsi="Times New Roman"/>
          <w:sz w:val="24"/>
          <w:szCs w:val="24"/>
          <w:lang w:val="en-NZ"/>
        </w:rPr>
        <w:t>T</w:t>
      </w:r>
      <w:r w:rsidR="00843F34">
        <w:rPr>
          <w:rFonts w:ascii="Times New Roman" w:hAnsi="Times New Roman"/>
          <w:sz w:val="24"/>
          <w:szCs w:val="24"/>
        </w:rPr>
        <w:t xml:space="preserve">he status quo would not meet the economic efficiency criteria.  </w:t>
      </w:r>
      <w:r w:rsidR="00843F34">
        <w:rPr>
          <w:rFonts w:ascii="Times New Roman" w:hAnsi="Times New Roman"/>
          <w:sz w:val="24"/>
          <w:szCs w:val="24"/>
          <w:lang w:val="en-NZ"/>
        </w:rPr>
        <w:t xml:space="preserve">However, </w:t>
      </w:r>
      <w:r>
        <w:rPr>
          <w:rFonts w:ascii="Times New Roman" w:hAnsi="Times New Roman"/>
          <w:sz w:val="24"/>
          <w:szCs w:val="24"/>
          <w:lang w:val="en-NZ"/>
        </w:rPr>
        <w:t xml:space="preserve">the status quo </w:t>
      </w:r>
      <w:r w:rsidR="00843F34">
        <w:rPr>
          <w:rFonts w:ascii="Times New Roman" w:hAnsi="Times New Roman"/>
          <w:sz w:val="24"/>
          <w:szCs w:val="24"/>
        </w:rPr>
        <w:t>will</w:t>
      </w:r>
      <w:r w:rsidR="00EF3028">
        <w:rPr>
          <w:rFonts w:ascii="Times New Roman" w:hAnsi="Times New Roman"/>
          <w:sz w:val="24"/>
          <w:szCs w:val="24"/>
        </w:rPr>
        <w:t xml:space="preserve"> not result in any </w:t>
      </w:r>
      <w:r w:rsidR="00843F34">
        <w:rPr>
          <w:rFonts w:ascii="Times New Roman" w:hAnsi="Times New Roman"/>
          <w:sz w:val="24"/>
          <w:szCs w:val="24"/>
        </w:rPr>
        <w:t xml:space="preserve">additional compliance or administration costs </w:t>
      </w:r>
      <w:r w:rsidR="00EF3028">
        <w:rPr>
          <w:rFonts w:ascii="Times New Roman" w:hAnsi="Times New Roman"/>
          <w:sz w:val="24"/>
          <w:szCs w:val="24"/>
        </w:rPr>
        <w:t xml:space="preserve">or </w:t>
      </w:r>
      <w:r w:rsidR="00843F34">
        <w:rPr>
          <w:rFonts w:ascii="Times New Roman" w:hAnsi="Times New Roman"/>
          <w:sz w:val="24"/>
          <w:szCs w:val="24"/>
        </w:rPr>
        <w:t xml:space="preserve">create further </w:t>
      </w:r>
      <w:r w:rsidR="00EF3028">
        <w:rPr>
          <w:rFonts w:ascii="Times New Roman" w:hAnsi="Times New Roman"/>
          <w:sz w:val="24"/>
          <w:szCs w:val="24"/>
        </w:rPr>
        <w:t>tax planning opportunities inconsistent with the policy intent</w:t>
      </w:r>
      <w:r w:rsidR="00CE2384">
        <w:rPr>
          <w:rFonts w:ascii="Times New Roman" w:hAnsi="Times New Roman"/>
          <w:sz w:val="24"/>
          <w:szCs w:val="24"/>
        </w:rPr>
        <w:t xml:space="preserve"> so meets the effectiveness, integrity and efficiency of compliance and administration criteria</w:t>
      </w:r>
      <w:r w:rsidR="00EF3028">
        <w:rPr>
          <w:rFonts w:ascii="Times New Roman" w:hAnsi="Times New Roman"/>
          <w:sz w:val="24"/>
          <w:szCs w:val="24"/>
        </w:rPr>
        <w:t xml:space="preserve">.  </w:t>
      </w:r>
      <w:r w:rsidR="00843F34">
        <w:rPr>
          <w:rFonts w:ascii="Times New Roman" w:hAnsi="Times New Roman"/>
          <w:sz w:val="24"/>
          <w:szCs w:val="24"/>
          <w:lang w:val="en-NZ"/>
        </w:rPr>
        <w:t>Therefore, t</w:t>
      </w:r>
      <w:r w:rsidR="00843F34">
        <w:rPr>
          <w:rFonts w:ascii="Times New Roman" w:hAnsi="Times New Roman"/>
          <w:sz w:val="24"/>
          <w:szCs w:val="24"/>
        </w:rPr>
        <w:t xml:space="preserve">his option is </w:t>
      </w:r>
      <w:r w:rsidR="00EF3028">
        <w:rPr>
          <w:rFonts w:ascii="Times New Roman" w:hAnsi="Times New Roman"/>
          <w:sz w:val="24"/>
          <w:szCs w:val="24"/>
        </w:rPr>
        <w:t xml:space="preserve">only a valid option </w:t>
      </w:r>
      <w:r w:rsidR="00FD48D0">
        <w:rPr>
          <w:rFonts w:ascii="Times New Roman" w:hAnsi="Times New Roman"/>
          <w:sz w:val="24"/>
          <w:szCs w:val="24"/>
        </w:rPr>
        <w:t>if</w:t>
      </w:r>
      <w:r w:rsidR="00EF3028">
        <w:rPr>
          <w:rFonts w:ascii="Times New Roman" w:hAnsi="Times New Roman"/>
          <w:sz w:val="24"/>
          <w:szCs w:val="24"/>
        </w:rPr>
        <w:t xml:space="preserve"> no other option achieves the main objective without creating </w:t>
      </w:r>
      <w:r w:rsidR="00B567DC">
        <w:rPr>
          <w:rFonts w:ascii="Times New Roman" w:hAnsi="Times New Roman"/>
          <w:sz w:val="24"/>
          <w:szCs w:val="24"/>
        </w:rPr>
        <w:t xml:space="preserve">excessive </w:t>
      </w:r>
      <w:r w:rsidR="00843F34">
        <w:rPr>
          <w:rFonts w:ascii="Times New Roman" w:hAnsi="Times New Roman"/>
          <w:sz w:val="24"/>
          <w:szCs w:val="24"/>
        </w:rPr>
        <w:t xml:space="preserve">additional compliance or administration costs or </w:t>
      </w:r>
      <w:r>
        <w:rPr>
          <w:rFonts w:ascii="Times New Roman" w:hAnsi="Times New Roman"/>
          <w:sz w:val="24"/>
          <w:szCs w:val="24"/>
        </w:rPr>
        <w:t>tax planning opportunities.</w:t>
      </w:r>
    </w:p>
    <w:p w:rsidR="00427026" w:rsidRDefault="00427026" w:rsidP="00C74B45">
      <w:pPr>
        <w:pStyle w:val="Bullet-list"/>
        <w:spacing w:after="0" w:line="240" w:lineRule="auto"/>
        <w:ind w:left="0" w:firstLine="0"/>
        <w:jc w:val="both"/>
        <w:rPr>
          <w:rFonts w:ascii="Times New Roman" w:hAnsi="Times New Roman"/>
          <w:b/>
          <w:sz w:val="24"/>
          <w:szCs w:val="24"/>
        </w:rPr>
      </w:pPr>
    </w:p>
    <w:p w:rsidR="00427026" w:rsidRDefault="00427026" w:rsidP="00C74B45">
      <w:pPr>
        <w:pStyle w:val="Bullet-list"/>
        <w:spacing w:after="0" w:line="240" w:lineRule="auto"/>
        <w:ind w:left="0" w:firstLine="0"/>
        <w:jc w:val="both"/>
        <w:rPr>
          <w:rFonts w:ascii="Times New Roman" w:hAnsi="Times New Roman"/>
          <w:b/>
          <w:sz w:val="24"/>
          <w:szCs w:val="24"/>
        </w:rPr>
      </w:pPr>
    </w:p>
    <w:p w:rsidR="00427026" w:rsidRDefault="00410D34" w:rsidP="00C74B45">
      <w:pPr>
        <w:pStyle w:val="Bullet-list"/>
        <w:spacing w:after="0" w:line="240" w:lineRule="auto"/>
        <w:ind w:left="0" w:firstLine="0"/>
        <w:jc w:val="both"/>
        <w:rPr>
          <w:rFonts w:ascii="Times New Roman" w:hAnsi="Times New Roman"/>
          <w:b/>
          <w:sz w:val="24"/>
          <w:szCs w:val="24"/>
        </w:rPr>
      </w:pPr>
      <w:r w:rsidRPr="001329DC">
        <w:rPr>
          <w:rFonts w:ascii="Times New Roman" w:hAnsi="Times New Roman"/>
          <w:b/>
          <w:sz w:val="24"/>
          <w:szCs w:val="24"/>
        </w:rPr>
        <w:t>Option 2:</w:t>
      </w:r>
      <w:r w:rsidRPr="001329DC">
        <w:rPr>
          <w:rFonts w:ascii="Times New Roman" w:hAnsi="Times New Roman"/>
          <w:b/>
          <w:sz w:val="24"/>
          <w:szCs w:val="24"/>
        </w:rPr>
        <w:tab/>
        <w:t>Allow the transfer of imputation credits as part of a loss transfer (preferred option)</w:t>
      </w:r>
    </w:p>
    <w:p w:rsidR="00427026" w:rsidRDefault="00427026" w:rsidP="00C74B45">
      <w:pPr>
        <w:pStyle w:val="Bullet-list"/>
        <w:spacing w:after="0" w:line="240" w:lineRule="auto"/>
        <w:ind w:left="0" w:firstLine="0"/>
        <w:jc w:val="both"/>
        <w:rPr>
          <w:rFonts w:ascii="Times New Roman" w:hAnsi="Times New Roman"/>
          <w:b/>
          <w:sz w:val="24"/>
          <w:szCs w:val="24"/>
        </w:rPr>
      </w:pPr>
    </w:p>
    <w:p w:rsidR="00427026" w:rsidRDefault="00427026" w:rsidP="00C74B45">
      <w:pPr>
        <w:pStyle w:val="Bullet-list"/>
        <w:spacing w:after="0" w:line="240" w:lineRule="auto"/>
        <w:ind w:left="0" w:firstLine="0"/>
        <w:jc w:val="both"/>
        <w:rPr>
          <w:rFonts w:ascii="Times New Roman" w:hAnsi="Times New Roman"/>
          <w:b/>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843F34">
        <w:rPr>
          <w:rFonts w:ascii="Times New Roman" w:hAnsi="Times New Roman"/>
          <w:sz w:val="24"/>
          <w:szCs w:val="24"/>
        </w:rPr>
        <w:t xml:space="preserve">Under </w:t>
      </w:r>
      <w:r w:rsidR="007351E7">
        <w:rPr>
          <w:rFonts w:ascii="Times New Roman" w:hAnsi="Times New Roman"/>
          <w:sz w:val="24"/>
          <w:szCs w:val="24"/>
        </w:rPr>
        <w:t xml:space="preserve">this option the loss company, or another member of the </w:t>
      </w:r>
      <w:r w:rsidR="00D170DF">
        <w:rPr>
          <w:rFonts w:ascii="Times New Roman" w:hAnsi="Times New Roman"/>
          <w:sz w:val="24"/>
          <w:szCs w:val="24"/>
        </w:rPr>
        <w:t>commonly-</w:t>
      </w:r>
      <w:r w:rsidR="007351E7">
        <w:rPr>
          <w:rFonts w:ascii="Times New Roman" w:hAnsi="Times New Roman"/>
          <w:sz w:val="24"/>
          <w:szCs w:val="24"/>
        </w:rPr>
        <w:t xml:space="preserve">owned group, would transfer imputation credits to the </w:t>
      </w:r>
      <w:r w:rsidR="00E81EB7">
        <w:rPr>
          <w:rFonts w:ascii="Times New Roman" w:hAnsi="Times New Roman"/>
          <w:sz w:val="24"/>
          <w:szCs w:val="24"/>
        </w:rPr>
        <w:t>profit</w:t>
      </w:r>
      <w:r w:rsidR="007351E7">
        <w:rPr>
          <w:rFonts w:ascii="Times New Roman" w:hAnsi="Times New Roman"/>
          <w:sz w:val="24"/>
          <w:szCs w:val="24"/>
        </w:rPr>
        <w:t xml:space="preserve"> company as part of the loss transfer arrangement.  These imputation credits would allow the </w:t>
      </w:r>
      <w:r w:rsidR="00E81EB7">
        <w:rPr>
          <w:rFonts w:ascii="Times New Roman" w:hAnsi="Times New Roman"/>
          <w:sz w:val="24"/>
          <w:szCs w:val="24"/>
        </w:rPr>
        <w:t>profit</w:t>
      </w:r>
      <w:r w:rsidR="007351E7">
        <w:rPr>
          <w:rFonts w:ascii="Times New Roman" w:hAnsi="Times New Roman"/>
          <w:sz w:val="24"/>
          <w:szCs w:val="24"/>
        </w:rPr>
        <w:t xml:space="preserve"> company to impute the dividend paid to its shareholders.</w:t>
      </w:r>
    </w:p>
    <w:p w:rsidR="00427026" w:rsidRDefault="00427026" w:rsidP="00C74B45">
      <w:pPr>
        <w:pStyle w:val="Bullet-list"/>
        <w:spacing w:after="0" w:line="240" w:lineRule="auto"/>
        <w:ind w:left="0" w:firstLine="0"/>
        <w:jc w:val="both"/>
        <w:rPr>
          <w:rFonts w:ascii="Times New Roman" w:hAnsi="Times New Roman"/>
          <w:b/>
          <w:sz w:val="24"/>
          <w:szCs w:val="24"/>
        </w:rPr>
      </w:pPr>
    </w:p>
    <w:p w:rsidR="00EF3028" w:rsidRPr="00427026" w:rsidRDefault="00427026" w:rsidP="00C74B45">
      <w:pPr>
        <w:pStyle w:val="Bullet-list"/>
        <w:spacing w:after="0" w:line="240" w:lineRule="auto"/>
        <w:ind w:left="0" w:firstLine="0"/>
        <w:jc w:val="both"/>
        <w:rPr>
          <w:rFonts w:ascii="Times New Roman" w:hAnsi="Times New Roman"/>
          <w:b/>
          <w:sz w:val="24"/>
          <w:szCs w:val="24"/>
        </w:rPr>
      </w:pPr>
      <w:r w:rsidRPr="00427026">
        <w:rPr>
          <w:rFonts w:ascii="Times New Roman" w:hAnsi="Times New Roman"/>
          <w:sz w:val="24"/>
          <w:szCs w:val="24"/>
          <w:lang w:val="en-NZ"/>
        </w:rPr>
        <w:fldChar w:fldCharType="begin"/>
      </w:r>
      <w:r w:rsidRPr="00427026">
        <w:rPr>
          <w:rFonts w:ascii="Times New Roman" w:hAnsi="Times New Roman"/>
          <w:sz w:val="24"/>
          <w:szCs w:val="24"/>
          <w:lang w:val="en-NZ"/>
        </w:rPr>
        <w:instrText xml:space="preserve"> AUTONUM  </w:instrText>
      </w:r>
      <w:r w:rsidRPr="00427026">
        <w:rPr>
          <w:rFonts w:ascii="Times New Roman" w:hAnsi="Times New Roman"/>
          <w:sz w:val="24"/>
          <w:szCs w:val="24"/>
        </w:rPr>
        <w:fldChar w:fldCharType="end"/>
      </w:r>
      <w:r w:rsidRPr="00427026">
        <w:rPr>
          <w:rFonts w:ascii="Times New Roman" w:hAnsi="Times New Roman"/>
          <w:sz w:val="24"/>
          <w:szCs w:val="24"/>
          <w:lang w:val="en-NZ"/>
        </w:rPr>
        <w:tab/>
      </w:r>
      <w:r w:rsidR="00843F34">
        <w:rPr>
          <w:rFonts w:ascii="Times New Roman" w:hAnsi="Times New Roman"/>
          <w:sz w:val="24"/>
          <w:szCs w:val="24"/>
          <w:lang w:val="en-NZ"/>
        </w:rPr>
        <w:t>Example 2</w:t>
      </w:r>
      <w:r w:rsidR="00B567DC">
        <w:rPr>
          <w:rFonts w:ascii="Times New Roman" w:hAnsi="Times New Roman"/>
          <w:sz w:val="24"/>
          <w:szCs w:val="24"/>
          <w:lang w:val="en-NZ"/>
        </w:rPr>
        <w:t>, which uses the same scenario from example 1,</w:t>
      </w:r>
      <w:r w:rsidR="00843F34">
        <w:rPr>
          <w:rFonts w:ascii="Times New Roman" w:hAnsi="Times New Roman"/>
          <w:sz w:val="24"/>
          <w:szCs w:val="24"/>
          <w:lang w:val="en-NZ"/>
        </w:rPr>
        <w:t xml:space="preserve"> </w:t>
      </w:r>
      <w:r w:rsidR="00843F34">
        <w:rPr>
          <w:rFonts w:ascii="Times New Roman" w:hAnsi="Times New Roman"/>
          <w:sz w:val="24"/>
          <w:szCs w:val="24"/>
        </w:rPr>
        <w:t xml:space="preserve">illustrates how option </w:t>
      </w:r>
      <w:r w:rsidR="007708C6">
        <w:rPr>
          <w:rFonts w:ascii="Times New Roman" w:hAnsi="Times New Roman"/>
          <w:sz w:val="24"/>
          <w:szCs w:val="24"/>
        </w:rPr>
        <w:t xml:space="preserve">2 </w:t>
      </w:r>
      <w:r w:rsidR="00843F34">
        <w:rPr>
          <w:rFonts w:ascii="Times New Roman" w:hAnsi="Times New Roman"/>
          <w:sz w:val="24"/>
          <w:szCs w:val="24"/>
        </w:rPr>
        <w:t>would work.</w:t>
      </w:r>
    </w:p>
    <w:p w:rsidR="00427026" w:rsidRDefault="00427026" w:rsidP="00C74B45">
      <w:pPr>
        <w:pStyle w:val="ListParagraph"/>
        <w:rPr>
          <w:rFonts w:ascii="Times New Roman" w:hAnsi="Times New Roman"/>
          <w:sz w:val="24"/>
          <w:szCs w:val="24"/>
        </w:rPr>
      </w:pPr>
    </w:p>
    <w:p w:rsidR="00C7057E" w:rsidRDefault="00C7057E" w:rsidP="00C74B45">
      <w:pPr>
        <w:pStyle w:val="ListParagraph"/>
        <w:rPr>
          <w:rFonts w:ascii="Times New Roman" w:hAnsi="Times New Roman"/>
          <w:sz w:val="24"/>
          <w:szCs w:val="24"/>
        </w:rPr>
      </w:pPr>
    </w:p>
    <w:p w:rsidR="00C7057E" w:rsidRDefault="00C7057E" w:rsidP="00C74B45">
      <w:pPr>
        <w:pStyle w:val="ListParagraph"/>
        <w:rPr>
          <w:rFonts w:ascii="Times New Roman" w:hAnsi="Times New Roman"/>
          <w:sz w:val="24"/>
          <w:szCs w:val="24"/>
        </w:rPr>
      </w:pPr>
    </w:p>
    <w:p w:rsidR="00C7057E" w:rsidRDefault="00C7057E" w:rsidP="00C74B45">
      <w:pPr>
        <w:pStyle w:val="ListParagraph"/>
        <w:rPr>
          <w:rFonts w:ascii="Times New Roman" w:hAnsi="Times New Roman"/>
          <w:sz w:val="24"/>
          <w:szCs w:val="24"/>
        </w:rPr>
      </w:pPr>
    </w:p>
    <w:p w:rsidR="00C7057E" w:rsidRDefault="00C7057E" w:rsidP="00C74B45">
      <w:pPr>
        <w:pStyle w:val="ListParagraph"/>
        <w:rPr>
          <w:rFonts w:ascii="Times New Roman" w:hAnsi="Times New Roman"/>
          <w:sz w:val="24"/>
          <w:szCs w:val="24"/>
        </w:rPr>
      </w:pPr>
    </w:p>
    <w:p w:rsidR="00C7057E" w:rsidRDefault="00C7057E" w:rsidP="00C74B45">
      <w:pPr>
        <w:pStyle w:val="ListParagraph"/>
        <w:rPr>
          <w:rFonts w:ascii="Times New Roman" w:hAnsi="Times New Roman"/>
          <w:sz w:val="24"/>
          <w:szCs w:val="24"/>
        </w:rPr>
      </w:pPr>
    </w:p>
    <w:p w:rsidR="00C7057E" w:rsidRDefault="00C7057E" w:rsidP="00C74B45">
      <w:pPr>
        <w:pStyle w:val="ListParagraph"/>
        <w:rPr>
          <w:rFonts w:ascii="Times New Roman" w:hAnsi="Times New Roman"/>
          <w:sz w:val="24"/>
          <w:szCs w:val="24"/>
        </w:rPr>
      </w:pPr>
    </w:p>
    <w:p w:rsidR="00060531" w:rsidRDefault="00060531" w:rsidP="00C74B45">
      <w:pPr>
        <w:pStyle w:val="ListParagraph"/>
        <w:rPr>
          <w:rFonts w:ascii="Times New Roman" w:hAnsi="Times New Roman"/>
          <w:sz w:val="24"/>
          <w:szCs w:val="24"/>
        </w:rPr>
      </w:pPr>
    </w:p>
    <w:p w:rsidR="00B441C3" w:rsidRPr="00060531" w:rsidRDefault="00B441C3" w:rsidP="00C74B45">
      <w:pPr>
        <w:pStyle w:val="ListParagraph"/>
        <w:rPr>
          <w:rFonts w:ascii="Times New Roman" w:hAnsi="Times New Roman"/>
          <w:b/>
          <w:i/>
          <w:sz w:val="24"/>
          <w:szCs w:val="24"/>
        </w:rPr>
      </w:pPr>
      <w:r w:rsidRPr="00060531">
        <w:rPr>
          <w:rFonts w:ascii="Times New Roman" w:hAnsi="Times New Roman"/>
          <w:b/>
          <w:i/>
          <w:sz w:val="24"/>
          <w:szCs w:val="24"/>
        </w:rPr>
        <w:t>Example 2</w:t>
      </w:r>
    </w:p>
    <w:p w:rsidR="00B441C3" w:rsidRDefault="00B441C3" w:rsidP="00C74B45">
      <w:pPr>
        <w:pStyle w:val="ListParagraph"/>
        <w:rPr>
          <w:rFonts w:ascii="Times New Roman" w:hAnsi="Times New Roman"/>
          <w:sz w:val="24"/>
          <w:szCs w:val="24"/>
        </w:rPr>
      </w:pPr>
    </w:p>
    <w:p w:rsidR="00B441C3" w:rsidRDefault="00B441C3" w:rsidP="00C74B45">
      <w:pPr>
        <w:pStyle w:val="ListParagraph"/>
        <w:numPr>
          <w:ilvl w:val="0"/>
          <w:numId w:val="6"/>
        </w:numPr>
        <w:rPr>
          <w:rFonts w:ascii="Times New Roman" w:hAnsi="Times New Roman"/>
          <w:sz w:val="24"/>
          <w:szCs w:val="24"/>
        </w:rPr>
      </w:pPr>
      <w:r>
        <w:rPr>
          <w:rFonts w:ascii="Times New Roman" w:hAnsi="Times New Roman"/>
          <w:sz w:val="24"/>
          <w:szCs w:val="24"/>
        </w:rPr>
        <w:t xml:space="preserve">As part of the $2,800 subvention payment and $7,200 loss offset </w:t>
      </w:r>
      <w:proofErr w:type="spellStart"/>
      <w:r>
        <w:rPr>
          <w:rFonts w:ascii="Times New Roman" w:hAnsi="Times New Roman"/>
          <w:sz w:val="24"/>
          <w:szCs w:val="24"/>
        </w:rPr>
        <w:t>LossCo</w:t>
      </w:r>
      <w:proofErr w:type="spellEnd"/>
      <w:r>
        <w:rPr>
          <w:rFonts w:ascii="Times New Roman" w:hAnsi="Times New Roman"/>
          <w:sz w:val="24"/>
          <w:szCs w:val="24"/>
        </w:rPr>
        <w:t xml:space="preserve"> also transfers $2,800 of imputation credits.</w:t>
      </w:r>
    </w:p>
    <w:p w:rsidR="00060531" w:rsidRDefault="00060531" w:rsidP="00060531">
      <w:pPr>
        <w:pStyle w:val="ListParagraph"/>
        <w:ind w:left="1080"/>
        <w:rPr>
          <w:rFonts w:ascii="Times New Roman" w:hAnsi="Times New Roman"/>
          <w:sz w:val="24"/>
          <w:szCs w:val="24"/>
        </w:rPr>
      </w:pPr>
    </w:p>
    <w:p w:rsidR="00B441C3" w:rsidRDefault="00B441C3" w:rsidP="00C74B45">
      <w:pPr>
        <w:pStyle w:val="ListParagraph"/>
        <w:numPr>
          <w:ilvl w:val="0"/>
          <w:numId w:val="6"/>
        </w:numPr>
        <w:rPr>
          <w:rFonts w:ascii="Times New Roman" w:hAnsi="Times New Roman"/>
          <w:sz w:val="24"/>
          <w:szCs w:val="24"/>
        </w:rPr>
      </w:pPr>
      <w:proofErr w:type="spellStart"/>
      <w:r>
        <w:rPr>
          <w:rFonts w:ascii="Times New Roman" w:hAnsi="Times New Roman"/>
          <w:sz w:val="24"/>
          <w:szCs w:val="24"/>
        </w:rPr>
        <w:t>ProfitCo</w:t>
      </w:r>
      <w:proofErr w:type="spellEnd"/>
      <w:r>
        <w:rPr>
          <w:rFonts w:ascii="Times New Roman" w:hAnsi="Times New Roman"/>
          <w:sz w:val="24"/>
          <w:szCs w:val="24"/>
        </w:rPr>
        <w:t xml:space="preserve"> still has $10,000 of profit after the loss transfer so pays $2,800 tax.  It therefore has $14,400 of </w:t>
      </w:r>
      <w:r w:rsidRPr="00CE2384">
        <w:rPr>
          <w:rFonts w:ascii="Times New Roman" w:hAnsi="Times New Roman"/>
          <w:sz w:val="24"/>
          <w:szCs w:val="24"/>
        </w:rPr>
        <w:t>cash and $5,600</w:t>
      </w:r>
      <w:r w:rsidR="00CE2384" w:rsidRPr="00CE2384">
        <w:rPr>
          <w:rStyle w:val="FootnoteReference"/>
          <w:rFonts w:ascii="Times New Roman" w:hAnsi="Times New Roman"/>
          <w:sz w:val="20"/>
        </w:rPr>
        <w:footnoteReference w:id="5"/>
      </w:r>
      <w:r w:rsidRPr="00CE2384">
        <w:rPr>
          <w:rFonts w:ascii="Times New Roman" w:hAnsi="Times New Roman"/>
          <w:sz w:val="20"/>
        </w:rPr>
        <w:t xml:space="preserve"> </w:t>
      </w:r>
      <w:r w:rsidRPr="00CE2384">
        <w:rPr>
          <w:rFonts w:ascii="Times New Roman" w:hAnsi="Times New Roman"/>
          <w:sz w:val="24"/>
          <w:szCs w:val="24"/>
        </w:rPr>
        <w:t>of imputation</w:t>
      </w:r>
      <w:r>
        <w:rPr>
          <w:rFonts w:ascii="Times New Roman" w:hAnsi="Times New Roman"/>
          <w:sz w:val="24"/>
          <w:szCs w:val="24"/>
        </w:rPr>
        <w:t xml:space="preserve"> credits which is the same as if no loss transfer had occurred.</w:t>
      </w:r>
    </w:p>
    <w:p w:rsidR="00060531" w:rsidRDefault="00060531" w:rsidP="00060531">
      <w:pPr>
        <w:pStyle w:val="ListParagraph"/>
        <w:ind w:left="1080"/>
        <w:rPr>
          <w:rFonts w:ascii="Times New Roman" w:hAnsi="Times New Roman"/>
          <w:sz w:val="24"/>
          <w:szCs w:val="24"/>
        </w:rPr>
      </w:pPr>
    </w:p>
    <w:p w:rsidR="00B441C3" w:rsidRDefault="00B441C3" w:rsidP="00C74B45">
      <w:pPr>
        <w:pStyle w:val="ListParagraph"/>
        <w:numPr>
          <w:ilvl w:val="0"/>
          <w:numId w:val="6"/>
        </w:numPr>
        <w:rPr>
          <w:rFonts w:ascii="Times New Roman" w:hAnsi="Times New Roman"/>
          <w:sz w:val="24"/>
          <w:szCs w:val="24"/>
        </w:rPr>
      </w:pPr>
      <w:proofErr w:type="spellStart"/>
      <w:r>
        <w:rPr>
          <w:rFonts w:ascii="Times New Roman" w:hAnsi="Times New Roman"/>
          <w:sz w:val="24"/>
          <w:szCs w:val="24"/>
        </w:rPr>
        <w:t>ProfitCo</w:t>
      </w:r>
      <w:proofErr w:type="spellEnd"/>
      <w:r>
        <w:rPr>
          <w:rFonts w:ascii="Times New Roman" w:hAnsi="Times New Roman"/>
          <w:sz w:val="24"/>
          <w:szCs w:val="24"/>
        </w:rPr>
        <w:t xml:space="preserve"> pays 10% of its profits as a dividend to Minority Shareholder.  This is $1,440 cash and $560 of imputation credits.  As this dividend is fully imputed Minority Shareholder has to no extra tax to pay.</w:t>
      </w:r>
    </w:p>
    <w:p w:rsidR="00060531" w:rsidRDefault="00060531" w:rsidP="00060531">
      <w:pPr>
        <w:pStyle w:val="ListParagraph"/>
        <w:ind w:left="1080"/>
        <w:rPr>
          <w:rFonts w:ascii="Times New Roman" w:hAnsi="Times New Roman"/>
          <w:sz w:val="24"/>
          <w:szCs w:val="24"/>
        </w:rPr>
      </w:pPr>
    </w:p>
    <w:p w:rsidR="00B441C3" w:rsidRDefault="00B441C3" w:rsidP="00C74B45">
      <w:pPr>
        <w:pStyle w:val="ListParagraph"/>
        <w:numPr>
          <w:ilvl w:val="0"/>
          <w:numId w:val="6"/>
        </w:numPr>
        <w:rPr>
          <w:rFonts w:ascii="Times New Roman" w:hAnsi="Times New Roman"/>
          <w:sz w:val="24"/>
          <w:szCs w:val="24"/>
        </w:rPr>
      </w:pPr>
      <w:proofErr w:type="spellStart"/>
      <w:r>
        <w:rPr>
          <w:rFonts w:ascii="Times New Roman" w:hAnsi="Times New Roman"/>
          <w:sz w:val="24"/>
          <w:szCs w:val="24"/>
        </w:rPr>
        <w:t>ProfitCo</w:t>
      </w:r>
      <w:proofErr w:type="spellEnd"/>
      <w:r>
        <w:rPr>
          <w:rFonts w:ascii="Times New Roman" w:hAnsi="Times New Roman"/>
          <w:sz w:val="24"/>
          <w:szCs w:val="24"/>
        </w:rPr>
        <w:t xml:space="preserve"> pays 90% of its profits as a dividend to </w:t>
      </w:r>
      <w:proofErr w:type="spellStart"/>
      <w:r>
        <w:rPr>
          <w:rFonts w:ascii="Times New Roman" w:hAnsi="Times New Roman"/>
          <w:sz w:val="24"/>
          <w:szCs w:val="24"/>
        </w:rPr>
        <w:t>LossCo</w:t>
      </w:r>
      <w:proofErr w:type="spellEnd"/>
      <w:r>
        <w:rPr>
          <w:rFonts w:ascii="Times New Roman" w:hAnsi="Times New Roman"/>
          <w:sz w:val="24"/>
          <w:szCs w:val="24"/>
        </w:rPr>
        <w:t xml:space="preserve">.  This is $12,960 cash and $5,040 of imputation credits.  As this dividend is fully imputed </w:t>
      </w:r>
      <w:proofErr w:type="spellStart"/>
      <w:r>
        <w:rPr>
          <w:rFonts w:ascii="Times New Roman" w:hAnsi="Times New Roman"/>
          <w:sz w:val="24"/>
          <w:szCs w:val="24"/>
        </w:rPr>
        <w:t>LossCo</w:t>
      </w:r>
      <w:proofErr w:type="spellEnd"/>
      <w:r>
        <w:rPr>
          <w:rFonts w:ascii="Times New Roman" w:hAnsi="Times New Roman"/>
          <w:sz w:val="24"/>
          <w:szCs w:val="24"/>
        </w:rPr>
        <w:t xml:space="preserve"> has to</w:t>
      </w:r>
      <w:r w:rsidR="009D7ADD">
        <w:rPr>
          <w:rFonts w:ascii="Times New Roman" w:hAnsi="Times New Roman"/>
          <w:sz w:val="24"/>
          <w:szCs w:val="24"/>
        </w:rPr>
        <w:t xml:space="preserve"> no</w:t>
      </w:r>
      <w:r>
        <w:rPr>
          <w:rFonts w:ascii="Times New Roman" w:hAnsi="Times New Roman"/>
          <w:sz w:val="24"/>
          <w:szCs w:val="24"/>
        </w:rPr>
        <w:t xml:space="preserve"> extra tax</w:t>
      </w:r>
      <w:r w:rsidR="009D7ADD">
        <w:rPr>
          <w:rFonts w:ascii="Times New Roman" w:hAnsi="Times New Roman"/>
          <w:sz w:val="24"/>
          <w:szCs w:val="24"/>
        </w:rPr>
        <w:t xml:space="preserve"> to pay</w:t>
      </w:r>
      <w:r>
        <w:rPr>
          <w:rFonts w:ascii="Times New Roman" w:hAnsi="Times New Roman"/>
          <w:sz w:val="24"/>
          <w:szCs w:val="24"/>
        </w:rPr>
        <w:t>.</w:t>
      </w:r>
    </w:p>
    <w:p w:rsidR="00060531" w:rsidRDefault="00060531" w:rsidP="00060531">
      <w:pPr>
        <w:pStyle w:val="ListParagraph"/>
        <w:ind w:left="1080"/>
        <w:rPr>
          <w:rFonts w:ascii="Times New Roman" w:hAnsi="Times New Roman"/>
          <w:sz w:val="24"/>
          <w:szCs w:val="24"/>
        </w:rPr>
      </w:pPr>
    </w:p>
    <w:p w:rsidR="00B441C3" w:rsidRDefault="00B441C3" w:rsidP="00C74B45">
      <w:pPr>
        <w:pStyle w:val="ListParagraph"/>
        <w:numPr>
          <w:ilvl w:val="0"/>
          <w:numId w:val="6"/>
        </w:numPr>
        <w:rPr>
          <w:rFonts w:ascii="Times New Roman" w:hAnsi="Times New Roman"/>
          <w:sz w:val="24"/>
          <w:szCs w:val="24"/>
        </w:rPr>
      </w:pPr>
      <w:proofErr w:type="spellStart"/>
      <w:r>
        <w:rPr>
          <w:rFonts w:ascii="Times New Roman" w:hAnsi="Times New Roman"/>
          <w:sz w:val="24"/>
          <w:szCs w:val="24"/>
        </w:rPr>
        <w:t>LossCo</w:t>
      </w:r>
      <w:proofErr w:type="spellEnd"/>
      <w:r>
        <w:rPr>
          <w:rFonts w:ascii="Times New Roman" w:hAnsi="Times New Roman"/>
          <w:sz w:val="24"/>
          <w:szCs w:val="24"/>
        </w:rPr>
        <w:t xml:space="preserve"> pays its $10,000 interest bill and distributes its remaining $</w:t>
      </w:r>
      <w:r w:rsidR="009D7ADD">
        <w:rPr>
          <w:rFonts w:ascii="Times New Roman" w:hAnsi="Times New Roman"/>
          <w:sz w:val="24"/>
          <w:szCs w:val="24"/>
        </w:rPr>
        <w:t>5,760</w:t>
      </w:r>
      <w:r w:rsidRPr="00CE2384">
        <w:rPr>
          <w:rStyle w:val="FootnoteReference"/>
          <w:rFonts w:ascii="Times New Roman" w:hAnsi="Times New Roman"/>
          <w:sz w:val="20"/>
        </w:rPr>
        <w:footnoteReference w:id="6"/>
      </w:r>
      <w:r>
        <w:rPr>
          <w:rFonts w:ascii="Times New Roman" w:hAnsi="Times New Roman"/>
          <w:sz w:val="24"/>
          <w:szCs w:val="24"/>
        </w:rPr>
        <w:t xml:space="preserve"> as a cash dividend with $</w:t>
      </w:r>
      <w:r w:rsidR="009D7ADD">
        <w:rPr>
          <w:rFonts w:ascii="Times New Roman" w:hAnsi="Times New Roman"/>
          <w:sz w:val="24"/>
          <w:szCs w:val="24"/>
        </w:rPr>
        <w:t>2,240</w:t>
      </w:r>
      <w:r>
        <w:rPr>
          <w:rFonts w:ascii="Times New Roman" w:hAnsi="Times New Roman"/>
          <w:sz w:val="24"/>
          <w:szCs w:val="24"/>
        </w:rPr>
        <w:t xml:space="preserve"> of imputation credits attached.</w:t>
      </w:r>
    </w:p>
    <w:p w:rsidR="00060531" w:rsidRDefault="00060531" w:rsidP="00060531">
      <w:pPr>
        <w:pStyle w:val="ListParagraph"/>
        <w:ind w:left="1080"/>
        <w:rPr>
          <w:rFonts w:ascii="Times New Roman" w:hAnsi="Times New Roman"/>
          <w:sz w:val="24"/>
          <w:szCs w:val="24"/>
        </w:rPr>
      </w:pPr>
    </w:p>
    <w:p w:rsidR="00B441C3" w:rsidRDefault="00B441C3" w:rsidP="00C74B45">
      <w:pPr>
        <w:pStyle w:val="ListParagraph"/>
        <w:numPr>
          <w:ilvl w:val="0"/>
          <w:numId w:val="6"/>
        </w:numPr>
        <w:rPr>
          <w:rFonts w:ascii="Times New Roman" w:hAnsi="Times New Roman"/>
          <w:sz w:val="24"/>
          <w:szCs w:val="24"/>
        </w:rPr>
      </w:pPr>
      <w:r w:rsidRPr="008E6130">
        <w:rPr>
          <w:rFonts w:ascii="Times New Roman" w:hAnsi="Times New Roman"/>
          <w:sz w:val="24"/>
          <w:szCs w:val="24"/>
        </w:rPr>
        <w:t>This can be shown in a diagram as:</w:t>
      </w:r>
    </w:p>
    <w:p w:rsidR="00EF3028" w:rsidRDefault="00EF3028" w:rsidP="00C74B45">
      <w:pPr>
        <w:pStyle w:val="ListParagraph"/>
        <w:rPr>
          <w:rFonts w:ascii="Times New Roman" w:hAnsi="Times New Roman"/>
          <w:sz w:val="24"/>
          <w:szCs w:val="24"/>
        </w:rPr>
      </w:pPr>
    </w:p>
    <w:p w:rsidR="00427026" w:rsidRDefault="00427026" w:rsidP="00C74B45">
      <w:pPr>
        <w:pStyle w:val="ListParagraph"/>
        <w:rPr>
          <w:rFonts w:ascii="Times New Roman" w:hAnsi="Times New Roman"/>
          <w:sz w:val="24"/>
          <w:szCs w:val="24"/>
        </w:rPr>
      </w:pPr>
    </w:p>
    <w:p w:rsidR="00EF3028" w:rsidRDefault="00EF3028" w:rsidP="00C74B45">
      <w:pPr>
        <w:spacing w:after="0" w:line="240" w:lineRule="auto"/>
        <w:ind w:left="720"/>
        <w:contextualSpacing/>
        <w:jc w:val="both"/>
        <w:rPr>
          <w:rFonts w:ascii="Times New Roman" w:hAnsi="Times New Roman"/>
          <w:sz w:val="24"/>
          <w:lang w:eastAsia="en-AU"/>
        </w:rPr>
      </w:pPr>
      <w:r w:rsidRPr="00743221">
        <w:rPr>
          <w:rFonts w:ascii="Times New Roman" w:hAnsi="Times New Roman"/>
          <w:noProof/>
          <w:sz w:val="24"/>
          <w:lang w:val="en-NZ" w:eastAsia="en-NZ"/>
        </w:rPr>
        <w:drawing>
          <wp:inline distT="0" distB="0" distL="0" distR="0" wp14:anchorId="249EC226" wp14:editId="798AFDD9">
            <wp:extent cx="4929749" cy="333894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12895" t="24013" r="12895" b="13157"/>
                    <a:stretch/>
                  </pic:blipFill>
                  <pic:spPr bwMode="auto">
                    <a:xfrm>
                      <a:off x="0" y="0"/>
                      <a:ext cx="4956786" cy="3357257"/>
                    </a:xfrm>
                    <a:prstGeom prst="rect">
                      <a:avLst/>
                    </a:prstGeom>
                    <a:ln>
                      <a:noFill/>
                    </a:ln>
                    <a:extLst>
                      <a:ext uri="{53640926-AAD7-44D8-BBD7-CCE9431645EC}">
                        <a14:shadowObscured xmlns:a14="http://schemas.microsoft.com/office/drawing/2010/main"/>
                      </a:ext>
                    </a:extLst>
                  </pic:spPr>
                </pic:pic>
              </a:graphicData>
            </a:graphic>
          </wp:inline>
        </w:drawing>
      </w:r>
    </w:p>
    <w:p w:rsidR="00C74B45" w:rsidRDefault="00C74B45" w:rsidP="00C74B45">
      <w:pPr>
        <w:spacing w:after="0" w:line="240" w:lineRule="auto"/>
        <w:ind w:left="720"/>
        <w:contextualSpacing/>
        <w:jc w:val="both"/>
        <w:rPr>
          <w:rFonts w:ascii="Times New Roman" w:hAnsi="Times New Roman"/>
          <w:sz w:val="24"/>
          <w:lang w:eastAsia="en-AU"/>
        </w:rPr>
      </w:pPr>
    </w:p>
    <w:p w:rsidR="00C74B45" w:rsidRDefault="00C74B45" w:rsidP="00C74B45">
      <w:pPr>
        <w:spacing w:after="0" w:line="240" w:lineRule="auto"/>
        <w:ind w:left="720"/>
        <w:contextualSpacing/>
        <w:jc w:val="both"/>
        <w:rPr>
          <w:rFonts w:ascii="Times New Roman" w:hAnsi="Times New Roman"/>
          <w:sz w:val="24"/>
          <w:lang w:eastAsia="en-AU"/>
        </w:rPr>
      </w:pPr>
    </w:p>
    <w:p w:rsidR="00C74B45" w:rsidRDefault="00C74B45" w:rsidP="00C74B45">
      <w:pPr>
        <w:pStyle w:val="Chapter2"/>
        <w:numPr>
          <w:ilvl w:val="0"/>
          <w:numId w:val="0"/>
        </w:numPr>
      </w:pPr>
      <w:r w:rsidRPr="00C74B45">
        <w:rPr>
          <w:lang w:val="en-GB"/>
        </w:rPr>
        <w:fldChar w:fldCharType="begin"/>
      </w:r>
      <w:r w:rsidRPr="00C74B45">
        <w:rPr>
          <w:lang w:val="en-GB"/>
        </w:rPr>
        <w:instrText xml:space="preserve"> AUTONUM  </w:instrText>
      </w:r>
      <w:r w:rsidRPr="00C74B45">
        <w:fldChar w:fldCharType="end"/>
      </w:r>
      <w:r w:rsidRPr="00C74B45">
        <w:rPr>
          <w:lang w:val="en-GB"/>
        </w:rPr>
        <w:tab/>
      </w:r>
      <w:r w:rsidR="009D7ADD">
        <w:t xml:space="preserve">The consequences of this are that $2,800 of tax has been paid on $10,000 of total income and </w:t>
      </w:r>
      <w:proofErr w:type="spellStart"/>
      <w:r w:rsidR="009D7ADD">
        <w:t>LossCo</w:t>
      </w:r>
      <w:proofErr w:type="spellEnd"/>
      <w:r w:rsidR="009D7ADD">
        <w:t xml:space="preserve"> </w:t>
      </w:r>
      <w:r w:rsidR="00CF07CB">
        <w:t xml:space="preserve">is left with </w:t>
      </w:r>
      <w:r w:rsidR="009D7ADD">
        <w:t>no remaining imputation credits.</w:t>
      </w:r>
    </w:p>
    <w:p w:rsidR="00C74B45" w:rsidRDefault="00C74B45" w:rsidP="00C74B45">
      <w:pPr>
        <w:pStyle w:val="Chapter2"/>
        <w:numPr>
          <w:ilvl w:val="0"/>
          <w:numId w:val="0"/>
        </w:numPr>
      </w:pPr>
    </w:p>
    <w:p w:rsidR="00C74B45" w:rsidRDefault="00C74B45" w:rsidP="00C74B45">
      <w:pPr>
        <w:pStyle w:val="Chapter2"/>
        <w:numPr>
          <w:ilvl w:val="0"/>
          <w:numId w:val="0"/>
        </w:numPr>
        <w:rPr>
          <w:szCs w:val="24"/>
        </w:rPr>
      </w:pPr>
      <w:r w:rsidRPr="00C74B45">
        <w:rPr>
          <w:szCs w:val="24"/>
          <w:lang w:val="en-GB"/>
        </w:rPr>
        <w:fldChar w:fldCharType="begin"/>
      </w:r>
      <w:r w:rsidRPr="00C74B45">
        <w:rPr>
          <w:szCs w:val="24"/>
          <w:lang w:val="en-GB"/>
        </w:rPr>
        <w:instrText xml:space="preserve"> AUTONUM  </w:instrText>
      </w:r>
      <w:r w:rsidRPr="00C74B45">
        <w:rPr>
          <w:szCs w:val="24"/>
        </w:rPr>
        <w:fldChar w:fldCharType="end"/>
      </w:r>
      <w:r w:rsidRPr="00C74B45">
        <w:rPr>
          <w:szCs w:val="24"/>
          <w:lang w:val="en-GB"/>
        </w:rPr>
        <w:tab/>
      </w:r>
      <w:r w:rsidR="007351E7">
        <w:rPr>
          <w:szCs w:val="24"/>
        </w:rPr>
        <w:t xml:space="preserve">No additional imputation credits </w:t>
      </w:r>
      <w:r w:rsidR="009D7ADD">
        <w:rPr>
          <w:szCs w:val="24"/>
        </w:rPr>
        <w:t>are</w:t>
      </w:r>
      <w:r w:rsidR="007351E7">
        <w:rPr>
          <w:szCs w:val="24"/>
        </w:rPr>
        <w:t xml:space="preserve"> created by this transfer so that the company that transferred the imputation credits would record a debit in </w:t>
      </w:r>
      <w:r w:rsidR="00D170DF">
        <w:rPr>
          <w:szCs w:val="24"/>
        </w:rPr>
        <w:t xml:space="preserve">its </w:t>
      </w:r>
      <w:r w:rsidR="007351E7">
        <w:rPr>
          <w:szCs w:val="24"/>
        </w:rPr>
        <w:t>imputation credit account equal to the amount of credits transferred.  The majority</w:t>
      </w:r>
      <w:r w:rsidR="000B1F5E">
        <w:rPr>
          <w:rStyle w:val="FootnoteReference"/>
          <w:szCs w:val="24"/>
        </w:rPr>
        <w:footnoteReference w:id="7"/>
      </w:r>
      <w:r w:rsidR="007351E7">
        <w:rPr>
          <w:szCs w:val="24"/>
        </w:rPr>
        <w:t xml:space="preserve"> of th</w:t>
      </w:r>
      <w:r w:rsidR="00EF3028">
        <w:rPr>
          <w:szCs w:val="24"/>
        </w:rPr>
        <w:t>e</w:t>
      </w:r>
      <w:r w:rsidR="007351E7">
        <w:rPr>
          <w:szCs w:val="24"/>
        </w:rPr>
        <w:t xml:space="preserve"> debit </w:t>
      </w:r>
      <w:r w:rsidR="00EF3028">
        <w:rPr>
          <w:szCs w:val="24"/>
        </w:rPr>
        <w:t xml:space="preserve">from the imputation credit transfer </w:t>
      </w:r>
      <w:r w:rsidR="007351E7">
        <w:rPr>
          <w:szCs w:val="24"/>
        </w:rPr>
        <w:t xml:space="preserve">would be matched by a credit from the imputed dividend received from the </w:t>
      </w:r>
      <w:r w:rsidR="00E81EB7">
        <w:rPr>
          <w:szCs w:val="24"/>
        </w:rPr>
        <w:t>profit</w:t>
      </w:r>
      <w:r w:rsidR="007351E7">
        <w:rPr>
          <w:szCs w:val="24"/>
        </w:rPr>
        <w:t xml:space="preserve"> company.</w:t>
      </w:r>
      <w:r w:rsidR="00A71607">
        <w:rPr>
          <w:szCs w:val="24"/>
        </w:rPr>
        <w:t xml:space="preserve">  </w:t>
      </w:r>
      <w:r w:rsidR="00EF3028">
        <w:rPr>
          <w:szCs w:val="24"/>
        </w:rPr>
        <w:t xml:space="preserve">This can be shown by considering the imputation credit account entries for </w:t>
      </w:r>
      <w:proofErr w:type="spellStart"/>
      <w:r w:rsidR="00EF3028">
        <w:rPr>
          <w:szCs w:val="24"/>
        </w:rPr>
        <w:t>LossCo</w:t>
      </w:r>
      <w:proofErr w:type="spellEnd"/>
      <w:r w:rsidR="00EF3028">
        <w:rPr>
          <w:szCs w:val="24"/>
        </w:rPr>
        <w:t xml:space="preserve"> and </w:t>
      </w:r>
      <w:proofErr w:type="spellStart"/>
      <w:r w:rsidR="00EF3028">
        <w:rPr>
          <w:szCs w:val="24"/>
        </w:rPr>
        <w:t>ProfitCo</w:t>
      </w:r>
      <w:proofErr w:type="spellEnd"/>
      <w:r w:rsidR="00A71607">
        <w:rPr>
          <w:szCs w:val="24"/>
        </w:rPr>
        <w:t xml:space="preserve"> (Table 1 and Table 2 refer).</w:t>
      </w:r>
    </w:p>
    <w:p w:rsidR="00C74B45" w:rsidRDefault="00C74B45" w:rsidP="00C74B45">
      <w:pPr>
        <w:pStyle w:val="Chapter2"/>
        <w:numPr>
          <w:ilvl w:val="0"/>
          <w:numId w:val="0"/>
        </w:numPr>
        <w:rPr>
          <w:szCs w:val="24"/>
        </w:rPr>
      </w:pPr>
    </w:p>
    <w:p w:rsidR="00EF3028" w:rsidRPr="00CF07CB" w:rsidRDefault="00EF3028" w:rsidP="00CF07CB">
      <w:pPr>
        <w:pStyle w:val="Chapter2"/>
        <w:numPr>
          <w:ilvl w:val="0"/>
          <w:numId w:val="0"/>
        </w:numPr>
        <w:rPr>
          <w:b/>
          <w:i/>
          <w:szCs w:val="24"/>
        </w:rPr>
      </w:pPr>
      <w:r w:rsidRPr="00CF07CB">
        <w:rPr>
          <w:b/>
          <w:i/>
          <w:szCs w:val="24"/>
        </w:rPr>
        <w:t xml:space="preserve">Table 1: </w:t>
      </w:r>
      <w:proofErr w:type="spellStart"/>
      <w:r w:rsidRPr="00CF07CB">
        <w:rPr>
          <w:b/>
          <w:i/>
          <w:szCs w:val="24"/>
        </w:rPr>
        <w:t>LossCo’s</w:t>
      </w:r>
      <w:proofErr w:type="spellEnd"/>
      <w:r w:rsidRPr="00CF07CB">
        <w:rPr>
          <w:b/>
          <w:i/>
          <w:szCs w:val="24"/>
        </w:rPr>
        <w:t xml:space="preserve"> imputation credit account</w:t>
      </w:r>
    </w:p>
    <w:p w:rsidR="00CF07CB" w:rsidRPr="00CF07CB" w:rsidRDefault="00CF07CB" w:rsidP="00CF07CB">
      <w:pPr>
        <w:pStyle w:val="Chapter2"/>
        <w:numPr>
          <w:ilvl w:val="0"/>
          <w:numId w:val="0"/>
        </w:numPr>
        <w:rPr>
          <w:szCs w:val="24"/>
        </w:rPr>
      </w:pPr>
    </w:p>
    <w:tbl>
      <w:tblPr>
        <w:tblStyle w:val="TableGrid2"/>
        <w:tblW w:w="4246" w:type="pct"/>
        <w:tblInd w:w="959" w:type="dxa"/>
        <w:tblCellMar>
          <w:top w:w="57" w:type="dxa"/>
        </w:tblCellMar>
        <w:tblLook w:val="0420" w:firstRow="1" w:lastRow="0" w:firstColumn="0" w:lastColumn="0" w:noHBand="0" w:noVBand="1"/>
      </w:tblPr>
      <w:tblGrid>
        <w:gridCol w:w="4303"/>
        <w:gridCol w:w="1128"/>
        <w:gridCol w:w="1051"/>
        <w:gridCol w:w="894"/>
        <w:gridCol w:w="511"/>
      </w:tblGrid>
      <w:tr w:rsidR="00EF3028" w:rsidRPr="00EF3028" w:rsidTr="00CF07CB">
        <w:trPr>
          <w:trHeight w:val="290"/>
        </w:trPr>
        <w:tc>
          <w:tcPr>
            <w:tcW w:w="2728" w:type="pct"/>
            <w:hideMark/>
          </w:tcPr>
          <w:p w:rsidR="00EF3028" w:rsidRPr="00CF07CB" w:rsidRDefault="00EF3028" w:rsidP="00C74B45">
            <w:pPr>
              <w:keepNext/>
              <w:spacing w:after="0" w:line="240" w:lineRule="auto"/>
              <w:jc w:val="both"/>
              <w:rPr>
                <w:rFonts w:ascii="Times New Roman" w:hAnsi="Times New Roman"/>
                <w:lang w:eastAsia="en-AU"/>
              </w:rPr>
            </w:pPr>
          </w:p>
        </w:tc>
        <w:tc>
          <w:tcPr>
            <w:tcW w:w="715" w:type="pct"/>
            <w:hideMark/>
          </w:tcPr>
          <w:p w:rsidR="00EF3028" w:rsidRPr="00CF07CB" w:rsidRDefault="00EF3028" w:rsidP="00CF07CB">
            <w:pPr>
              <w:keepNext/>
              <w:spacing w:after="0" w:line="240" w:lineRule="auto"/>
              <w:jc w:val="center"/>
              <w:rPr>
                <w:rFonts w:ascii="Times New Roman" w:hAnsi="Times New Roman"/>
                <w:b/>
                <w:lang w:eastAsia="en-AU"/>
              </w:rPr>
            </w:pPr>
            <w:r w:rsidRPr="00CF07CB">
              <w:rPr>
                <w:rFonts w:ascii="Times New Roman" w:hAnsi="Times New Roman"/>
                <w:b/>
                <w:lang w:val="en-NZ" w:eastAsia="en-AU"/>
              </w:rPr>
              <w:t>Debit</w:t>
            </w:r>
          </w:p>
        </w:tc>
        <w:tc>
          <w:tcPr>
            <w:tcW w:w="666" w:type="pct"/>
            <w:hideMark/>
          </w:tcPr>
          <w:p w:rsidR="00EF3028" w:rsidRPr="00CF07CB" w:rsidRDefault="00EF3028" w:rsidP="00CF07CB">
            <w:pPr>
              <w:keepNext/>
              <w:spacing w:after="0" w:line="240" w:lineRule="auto"/>
              <w:jc w:val="center"/>
              <w:rPr>
                <w:rFonts w:ascii="Times New Roman" w:hAnsi="Times New Roman"/>
                <w:b/>
                <w:lang w:eastAsia="en-AU"/>
              </w:rPr>
            </w:pPr>
            <w:r w:rsidRPr="00CF07CB">
              <w:rPr>
                <w:rFonts w:ascii="Times New Roman" w:hAnsi="Times New Roman"/>
                <w:b/>
                <w:lang w:val="en-NZ" w:eastAsia="en-AU"/>
              </w:rPr>
              <w:t>Credit</w:t>
            </w:r>
          </w:p>
        </w:tc>
        <w:tc>
          <w:tcPr>
            <w:tcW w:w="891" w:type="pct"/>
            <w:gridSpan w:val="2"/>
          </w:tcPr>
          <w:p w:rsidR="00EF3028" w:rsidRPr="00CF07CB" w:rsidRDefault="00EF3028" w:rsidP="00CF07CB">
            <w:pPr>
              <w:keepNext/>
              <w:spacing w:after="0" w:line="240" w:lineRule="auto"/>
              <w:jc w:val="center"/>
              <w:rPr>
                <w:rFonts w:ascii="Times New Roman" w:hAnsi="Times New Roman"/>
                <w:b/>
                <w:lang w:val="en-NZ" w:eastAsia="en-AU"/>
              </w:rPr>
            </w:pPr>
            <w:r w:rsidRPr="00CF07CB">
              <w:rPr>
                <w:rFonts w:ascii="Times New Roman" w:hAnsi="Times New Roman"/>
                <w:b/>
                <w:lang w:val="en-NZ" w:eastAsia="en-AU"/>
              </w:rPr>
              <w:t>Balance</w:t>
            </w:r>
          </w:p>
        </w:tc>
      </w:tr>
      <w:tr w:rsidR="00EF3028" w:rsidRPr="00EF3028" w:rsidTr="00CF07CB">
        <w:trPr>
          <w:trHeight w:val="280"/>
        </w:trPr>
        <w:tc>
          <w:tcPr>
            <w:tcW w:w="2728" w:type="pct"/>
          </w:tcPr>
          <w:p w:rsidR="00EF3028" w:rsidRPr="00CF07CB" w:rsidRDefault="00EF3028" w:rsidP="00C74B45">
            <w:pPr>
              <w:keepNext/>
              <w:spacing w:after="0" w:line="240" w:lineRule="auto"/>
              <w:jc w:val="both"/>
              <w:rPr>
                <w:rFonts w:ascii="Times New Roman" w:hAnsi="Times New Roman"/>
                <w:lang w:val="en-NZ" w:eastAsia="en-AU"/>
              </w:rPr>
            </w:pPr>
            <w:r w:rsidRPr="00CF07CB">
              <w:rPr>
                <w:rFonts w:ascii="Times New Roman" w:hAnsi="Times New Roman"/>
                <w:lang w:val="en-NZ" w:eastAsia="en-AU"/>
              </w:rPr>
              <w:t>Opening balance</w:t>
            </w:r>
          </w:p>
        </w:tc>
        <w:tc>
          <w:tcPr>
            <w:tcW w:w="715" w:type="pct"/>
          </w:tcPr>
          <w:p w:rsidR="00EF3028" w:rsidRPr="00CF07CB" w:rsidRDefault="00EF3028" w:rsidP="00CF07CB">
            <w:pPr>
              <w:keepNext/>
              <w:spacing w:after="0" w:line="240" w:lineRule="auto"/>
              <w:jc w:val="center"/>
              <w:rPr>
                <w:rFonts w:ascii="Times New Roman" w:hAnsi="Times New Roman"/>
                <w:lang w:val="en-NZ" w:eastAsia="en-AU"/>
              </w:rPr>
            </w:pPr>
          </w:p>
        </w:tc>
        <w:tc>
          <w:tcPr>
            <w:tcW w:w="666" w:type="pct"/>
          </w:tcPr>
          <w:p w:rsidR="00EF3028" w:rsidRPr="00CF07CB" w:rsidRDefault="00EF3028" w:rsidP="00CF07CB">
            <w:pPr>
              <w:keepNext/>
              <w:spacing w:after="0" w:line="240" w:lineRule="auto"/>
              <w:jc w:val="center"/>
              <w:rPr>
                <w:rFonts w:ascii="Times New Roman" w:hAnsi="Times New Roman"/>
                <w:lang w:eastAsia="en-AU"/>
              </w:rPr>
            </w:pPr>
          </w:p>
        </w:tc>
        <w:tc>
          <w:tcPr>
            <w:tcW w:w="567"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0</w:t>
            </w:r>
          </w:p>
        </w:tc>
        <w:tc>
          <w:tcPr>
            <w:tcW w:w="324" w:type="pct"/>
          </w:tcPr>
          <w:p w:rsidR="00EF3028" w:rsidRPr="00CF07CB" w:rsidRDefault="00EF3028" w:rsidP="00CF07CB">
            <w:pPr>
              <w:keepNext/>
              <w:spacing w:after="0" w:line="240" w:lineRule="auto"/>
              <w:jc w:val="center"/>
              <w:rPr>
                <w:rFonts w:ascii="Times New Roman" w:hAnsi="Times New Roman"/>
                <w:lang w:eastAsia="en-AU"/>
              </w:rPr>
            </w:pPr>
          </w:p>
        </w:tc>
      </w:tr>
      <w:tr w:rsidR="00EF3028" w:rsidRPr="00EF3028" w:rsidTr="00CF07CB">
        <w:trPr>
          <w:trHeight w:val="280"/>
        </w:trPr>
        <w:tc>
          <w:tcPr>
            <w:tcW w:w="2728" w:type="pct"/>
            <w:hideMark/>
          </w:tcPr>
          <w:p w:rsidR="00EF3028" w:rsidRPr="00CF07CB" w:rsidRDefault="00EF3028" w:rsidP="00CE2384">
            <w:pPr>
              <w:keepNext/>
              <w:spacing w:after="0" w:line="240" w:lineRule="auto"/>
              <w:jc w:val="both"/>
              <w:rPr>
                <w:rFonts w:ascii="Times New Roman" w:hAnsi="Times New Roman"/>
                <w:lang w:eastAsia="en-AU"/>
              </w:rPr>
            </w:pPr>
            <w:r w:rsidRPr="00CF07CB">
              <w:rPr>
                <w:rFonts w:ascii="Times New Roman" w:hAnsi="Times New Roman"/>
                <w:lang w:val="en-NZ" w:eastAsia="en-AU"/>
              </w:rPr>
              <w:t xml:space="preserve">Imputation </w:t>
            </w:r>
            <w:r w:rsidR="00CE2384">
              <w:rPr>
                <w:rFonts w:ascii="Times New Roman" w:hAnsi="Times New Roman"/>
                <w:lang w:val="en-NZ" w:eastAsia="en-AU"/>
              </w:rPr>
              <w:t>c</w:t>
            </w:r>
            <w:r w:rsidRPr="00CF07CB">
              <w:rPr>
                <w:rFonts w:ascii="Times New Roman" w:hAnsi="Times New Roman"/>
                <w:lang w:val="en-NZ" w:eastAsia="en-AU"/>
              </w:rPr>
              <w:t xml:space="preserve">redit </w:t>
            </w:r>
            <w:r w:rsidR="00CE2384">
              <w:rPr>
                <w:rFonts w:ascii="Times New Roman" w:hAnsi="Times New Roman"/>
                <w:lang w:val="en-NZ" w:eastAsia="en-AU"/>
              </w:rPr>
              <w:t>t</w:t>
            </w:r>
            <w:r w:rsidRPr="00CF07CB">
              <w:rPr>
                <w:rFonts w:ascii="Times New Roman" w:hAnsi="Times New Roman"/>
                <w:lang w:val="en-NZ" w:eastAsia="en-AU"/>
              </w:rPr>
              <w:t>ransfer</w:t>
            </w:r>
          </w:p>
        </w:tc>
        <w:tc>
          <w:tcPr>
            <w:tcW w:w="715" w:type="pct"/>
            <w:hideMark/>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val="en-NZ" w:eastAsia="en-AU"/>
              </w:rPr>
              <w:t>2,800</w:t>
            </w:r>
          </w:p>
        </w:tc>
        <w:tc>
          <w:tcPr>
            <w:tcW w:w="666" w:type="pct"/>
            <w:hideMark/>
          </w:tcPr>
          <w:p w:rsidR="00EF3028" w:rsidRPr="00CF07CB" w:rsidRDefault="00EF3028" w:rsidP="00CF07CB">
            <w:pPr>
              <w:keepNext/>
              <w:spacing w:after="0" w:line="240" w:lineRule="auto"/>
              <w:jc w:val="center"/>
              <w:rPr>
                <w:rFonts w:ascii="Times New Roman" w:hAnsi="Times New Roman"/>
                <w:lang w:eastAsia="en-AU"/>
              </w:rPr>
            </w:pPr>
          </w:p>
        </w:tc>
        <w:tc>
          <w:tcPr>
            <w:tcW w:w="567"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2,800</w:t>
            </w:r>
          </w:p>
        </w:tc>
        <w:tc>
          <w:tcPr>
            <w:tcW w:w="324"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Dr</w:t>
            </w:r>
          </w:p>
        </w:tc>
      </w:tr>
      <w:tr w:rsidR="00EF3028" w:rsidRPr="00EF3028" w:rsidTr="00CF07CB">
        <w:trPr>
          <w:trHeight w:val="257"/>
        </w:trPr>
        <w:tc>
          <w:tcPr>
            <w:tcW w:w="2728" w:type="pct"/>
            <w:hideMark/>
          </w:tcPr>
          <w:p w:rsidR="00EF3028" w:rsidRPr="00CF07CB" w:rsidRDefault="00EF3028" w:rsidP="00C74B45">
            <w:pPr>
              <w:keepNext/>
              <w:spacing w:after="0" w:line="240" w:lineRule="auto"/>
              <w:jc w:val="both"/>
              <w:rPr>
                <w:rFonts w:ascii="Times New Roman" w:hAnsi="Times New Roman"/>
                <w:lang w:eastAsia="en-AU"/>
              </w:rPr>
            </w:pPr>
            <w:r w:rsidRPr="00CF07CB">
              <w:rPr>
                <w:rFonts w:ascii="Times New Roman" w:hAnsi="Times New Roman"/>
                <w:lang w:val="en-NZ" w:eastAsia="en-AU"/>
              </w:rPr>
              <w:t xml:space="preserve">Dividend received from </w:t>
            </w:r>
            <w:proofErr w:type="spellStart"/>
            <w:r w:rsidRPr="00CF07CB">
              <w:rPr>
                <w:rFonts w:ascii="Times New Roman" w:hAnsi="Times New Roman"/>
                <w:lang w:val="en-NZ" w:eastAsia="en-AU"/>
              </w:rPr>
              <w:t>ProfitCo</w:t>
            </w:r>
            <w:proofErr w:type="spellEnd"/>
          </w:p>
        </w:tc>
        <w:tc>
          <w:tcPr>
            <w:tcW w:w="715" w:type="pct"/>
            <w:hideMark/>
          </w:tcPr>
          <w:p w:rsidR="00EF3028" w:rsidRPr="00CF07CB" w:rsidRDefault="00EF3028" w:rsidP="00CF07CB">
            <w:pPr>
              <w:keepNext/>
              <w:spacing w:after="0" w:line="240" w:lineRule="auto"/>
              <w:jc w:val="center"/>
              <w:rPr>
                <w:rFonts w:ascii="Times New Roman" w:hAnsi="Times New Roman"/>
                <w:lang w:eastAsia="en-AU"/>
              </w:rPr>
            </w:pPr>
          </w:p>
        </w:tc>
        <w:tc>
          <w:tcPr>
            <w:tcW w:w="666" w:type="pct"/>
            <w:hideMark/>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val="en-NZ" w:eastAsia="en-AU"/>
              </w:rPr>
              <w:t>5,040</w:t>
            </w:r>
          </w:p>
        </w:tc>
        <w:tc>
          <w:tcPr>
            <w:tcW w:w="567" w:type="pct"/>
          </w:tcPr>
          <w:p w:rsidR="00EF3028" w:rsidRPr="00CF07CB" w:rsidRDefault="00EF3028" w:rsidP="00CF07CB">
            <w:pPr>
              <w:keepNext/>
              <w:spacing w:after="0" w:line="240" w:lineRule="auto"/>
              <w:jc w:val="center"/>
              <w:rPr>
                <w:rFonts w:ascii="Times New Roman" w:hAnsi="Times New Roman"/>
                <w:lang w:val="en-NZ" w:eastAsia="en-AU"/>
              </w:rPr>
            </w:pPr>
            <w:r w:rsidRPr="00CF07CB">
              <w:rPr>
                <w:rFonts w:ascii="Times New Roman" w:hAnsi="Times New Roman"/>
                <w:lang w:val="en-NZ" w:eastAsia="en-AU"/>
              </w:rPr>
              <w:t>2,240</w:t>
            </w:r>
          </w:p>
        </w:tc>
        <w:tc>
          <w:tcPr>
            <w:tcW w:w="324" w:type="pct"/>
          </w:tcPr>
          <w:p w:rsidR="00EF3028" w:rsidRPr="00CF07CB" w:rsidRDefault="00EF3028" w:rsidP="00CF07CB">
            <w:pPr>
              <w:keepNext/>
              <w:spacing w:after="0" w:line="240" w:lineRule="auto"/>
              <w:jc w:val="center"/>
              <w:rPr>
                <w:rFonts w:ascii="Times New Roman" w:hAnsi="Times New Roman"/>
                <w:lang w:val="en-NZ" w:eastAsia="en-AU"/>
              </w:rPr>
            </w:pPr>
            <w:r w:rsidRPr="00CF07CB">
              <w:rPr>
                <w:rFonts w:ascii="Times New Roman" w:hAnsi="Times New Roman"/>
                <w:lang w:val="en-NZ" w:eastAsia="en-AU"/>
              </w:rPr>
              <w:t>Cr</w:t>
            </w:r>
          </w:p>
        </w:tc>
      </w:tr>
      <w:tr w:rsidR="00EF3028" w:rsidRPr="00EF3028" w:rsidTr="00CF07CB">
        <w:trPr>
          <w:trHeight w:val="260"/>
        </w:trPr>
        <w:tc>
          <w:tcPr>
            <w:tcW w:w="2728" w:type="pct"/>
            <w:hideMark/>
          </w:tcPr>
          <w:p w:rsidR="00EF3028" w:rsidRPr="00CF07CB" w:rsidRDefault="00EF3028" w:rsidP="00C74B45">
            <w:pPr>
              <w:keepNext/>
              <w:spacing w:after="0" w:line="240" w:lineRule="auto"/>
              <w:jc w:val="both"/>
              <w:rPr>
                <w:rFonts w:ascii="Times New Roman" w:hAnsi="Times New Roman"/>
                <w:lang w:eastAsia="en-AU"/>
              </w:rPr>
            </w:pPr>
            <w:r w:rsidRPr="00CF07CB">
              <w:rPr>
                <w:rFonts w:ascii="Times New Roman" w:hAnsi="Times New Roman"/>
                <w:lang w:val="en-NZ" w:eastAsia="en-AU"/>
              </w:rPr>
              <w:t>Dividend paid to Ultimate shareholder</w:t>
            </w:r>
          </w:p>
        </w:tc>
        <w:tc>
          <w:tcPr>
            <w:tcW w:w="715" w:type="pct"/>
            <w:hideMark/>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val="en-NZ" w:eastAsia="en-AU"/>
              </w:rPr>
              <w:t>2,240</w:t>
            </w:r>
          </w:p>
        </w:tc>
        <w:tc>
          <w:tcPr>
            <w:tcW w:w="666" w:type="pct"/>
            <w:hideMark/>
          </w:tcPr>
          <w:p w:rsidR="00EF3028" w:rsidRPr="00CF07CB" w:rsidRDefault="00EF3028" w:rsidP="00CF07CB">
            <w:pPr>
              <w:keepNext/>
              <w:spacing w:after="0" w:line="240" w:lineRule="auto"/>
              <w:jc w:val="center"/>
              <w:rPr>
                <w:rFonts w:ascii="Times New Roman" w:hAnsi="Times New Roman"/>
                <w:lang w:eastAsia="en-AU"/>
              </w:rPr>
            </w:pPr>
          </w:p>
        </w:tc>
        <w:tc>
          <w:tcPr>
            <w:tcW w:w="567"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0</w:t>
            </w:r>
          </w:p>
        </w:tc>
        <w:tc>
          <w:tcPr>
            <w:tcW w:w="324" w:type="pct"/>
          </w:tcPr>
          <w:p w:rsidR="00EF3028" w:rsidRPr="00CF07CB" w:rsidRDefault="00EF3028" w:rsidP="00CF07CB">
            <w:pPr>
              <w:keepNext/>
              <w:spacing w:after="0" w:line="240" w:lineRule="auto"/>
              <w:jc w:val="center"/>
              <w:rPr>
                <w:rFonts w:ascii="Times New Roman" w:hAnsi="Times New Roman"/>
                <w:lang w:eastAsia="en-AU"/>
              </w:rPr>
            </w:pPr>
          </w:p>
        </w:tc>
      </w:tr>
    </w:tbl>
    <w:p w:rsidR="00EF3028" w:rsidRDefault="00EF3028" w:rsidP="00C74B45">
      <w:pPr>
        <w:spacing w:after="0" w:line="240" w:lineRule="auto"/>
        <w:jc w:val="both"/>
        <w:rPr>
          <w:rFonts w:ascii="Times New Roman" w:hAnsi="Times New Roman"/>
          <w:sz w:val="24"/>
          <w:lang w:val="en-NZ" w:eastAsia="en-AU"/>
        </w:rPr>
      </w:pPr>
    </w:p>
    <w:p w:rsidR="00A71607" w:rsidRPr="00EF3028" w:rsidRDefault="00A71607" w:rsidP="00C74B45">
      <w:pPr>
        <w:spacing w:after="0" w:line="240" w:lineRule="auto"/>
        <w:jc w:val="both"/>
        <w:rPr>
          <w:rFonts w:ascii="Times New Roman" w:hAnsi="Times New Roman"/>
          <w:sz w:val="24"/>
          <w:lang w:val="en-NZ" w:eastAsia="en-AU"/>
        </w:rPr>
      </w:pPr>
    </w:p>
    <w:p w:rsidR="00EF3028" w:rsidRPr="00A71607" w:rsidRDefault="00EF3028" w:rsidP="00A71607">
      <w:pPr>
        <w:spacing w:after="140" w:line="240" w:lineRule="auto"/>
        <w:jc w:val="both"/>
        <w:rPr>
          <w:rFonts w:ascii="Times New Roman" w:hAnsi="Times New Roman"/>
          <w:b/>
          <w:i/>
          <w:sz w:val="24"/>
          <w:lang w:val="en-NZ" w:eastAsia="en-AU"/>
        </w:rPr>
      </w:pPr>
      <w:r w:rsidRPr="00A71607">
        <w:rPr>
          <w:rFonts w:ascii="Times New Roman" w:hAnsi="Times New Roman"/>
          <w:b/>
          <w:i/>
          <w:sz w:val="24"/>
          <w:lang w:val="en-NZ" w:eastAsia="en-AU"/>
        </w:rPr>
        <w:t xml:space="preserve">Table 2: </w:t>
      </w:r>
      <w:proofErr w:type="spellStart"/>
      <w:r w:rsidRPr="00A71607">
        <w:rPr>
          <w:rFonts w:ascii="Times New Roman" w:hAnsi="Times New Roman"/>
          <w:b/>
          <w:i/>
          <w:sz w:val="24"/>
          <w:lang w:val="en-NZ" w:eastAsia="en-AU"/>
        </w:rPr>
        <w:t>ProfitCo’s</w:t>
      </w:r>
      <w:proofErr w:type="spellEnd"/>
      <w:r w:rsidRPr="00A71607">
        <w:rPr>
          <w:rFonts w:ascii="Times New Roman" w:hAnsi="Times New Roman"/>
          <w:b/>
          <w:i/>
          <w:sz w:val="24"/>
          <w:lang w:val="en-NZ" w:eastAsia="en-AU"/>
        </w:rPr>
        <w:t xml:space="preserve"> imputation credit account</w:t>
      </w:r>
    </w:p>
    <w:tbl>
      <w:tblPr>
        <w:tblStyle w:val="TableGrid2"/>
        <w:tblW w:w="4246" w:type="pct"/>
        <w:tblInd w:w="959" w:type="dxa"/>
        <w:tblCellMar>
          <w:top w:w="57" w:type="dxa"/>
        </w:tblCellMar>
        <w:tblLook w:val="0420" w:firstRow="1" w:lastRow="0" w:firstColumn="0" w:lastColumn="0" w:noHBand="0" w:noVBand="1"/>
      </w:tblPr>
      <w:tblGrid>
        <w:gridCol w:w="4307"/>
        <w:gridCol w:w="1131"/>
        <w:gridCol w:w="1055"/>
        <w:gridCol w:w="899"/>
        <w:gridCol w:w="495"/>
      </w:tblGrid>
      <w:tr w:rsidR="00EF3028" w:rsidRPr="00CF07CB" w:rsidTr="00CF07CB">
        <w:trPr>
          <w:trHeight w:val="290"/>
        </w:trPr>
        <w:tc>
          <w:tcPr>
            <w:tcW w:w="2730" w:type="pct"/>
            <w:hideMark/>
          </w:tcPr>
          <w:p w:rsidR="00EF3028" w:rsidRPr="00CF07CB" w:rsidRDefault="00EF3028" w:rsidP="00C74B45">
            <w:pPr>
              <w:keepNext/>
              <w:spacing w:after="0" w:line="240" w:lineRule="auto"/>
              <w:jc w:val="both"/>
              <w:rPr>
                <w:rFonts w:ascii="Times New Roman" w:hAnsi="Times New Roman"/>
                <w:b/>
                <w:lang w:eastAsia="en-AU"/>
              </w:rPr>
            </w:pPr>
          </w:p>
        </w:tc>
        <w:tc>
          <w:tcPr>
            <w:tcW w:w="717" w:type="pct"/>
            <w:hideMark/>
          </w:tcPr>
          <w:p w:rsidR="00EF3028" w:rsidRPr="00CF07CB" w:rsidRDefault="00EF3028" w:rsidP="00CF07CB">
            <w:pPr>
              <w:keepNext/>
              <w:spacing w:after="0" w:line="240" w:lineRule="auto"/>
              <w:jc w:val="center"/>
              <w:rPr>
                <w:rFonts w:ascii="Times New Roman" w:hAnsi="Times New Roman"/>
                <w:b/>
                <w:lang w:eastAsia="en-AU"/>
              </w:rPr>
            </w:pPr>
            <w:r w:rsidRPr="00CF07CB">
              <w:rPr>
                <w:rFonts w:ascii="Times New Roman" w:hAnsi="Times New Roman"/>
                <w:b/>
                <w:lang w:eastAsia="en-AU"/>
              </w:rPr>
              <w:t>Debit</w:t>
            </w:r>
          </w:p>
        </w:tc>
        <w:tc>
          <w:tcPr>
            <w:tcW w:w="669" w:type="pct"/>
            <w:hideMark/>
          </w:tcPr>
          <w:p w:rsidR="00EF3028" w:rsidRPr="00CF07CB" w:rsidRDefault="00EF3028" w:rsidP="00CF07CB">
            <w:pPr>
              <w:keepNext/>
              <w:spacing w:after="0" w:line="240" w:lineRule="auto"/>
              <w:jc w:val="center"/>
              <w:rPr>
                <w:rFonts w:ascii="Times New Roman" w:hAnsi="Times New Roman"/>
                <w:b/>
                <w:lang w:eastAsia="en-AU"/>
              </w:rPr>
            </w:pPr>
            <w:r w:rsidRPr="00CF07CB">
              <w:rPr>
                <w:rFonts w:ascii="Times New Roman" w:hAnsi="Times New Roman"/>
                <w:b/>
                <w:lang w:eastAsia="en-AU"/>
              </w:rPr>
              <w:t>Credit</w:t>
            </w:r>
          </w:p>
        </w:tc>
        <w:tc>
          <w:tcPr>
            <w:tcW w:w="884" w:type="pct"/>
            <w:gridSpan w:val="2"/>
          </w:tcPr>
          <w:p w:rsidR="00EF3028" w:rsidRPr="00CF07CB" w:rsidRDefault="00EF3028" w:rsidP="00CF07CB">
            <w:pPr>
              <w:keepNext/>
              <w:spacing w:after="0" w:line="240" w:lineRule="auto"/>
              <w:jc w:val="center"/>
              <w:rPr>
                <w:rFonts w:ascii="Times New Roman" w:hAnsi="Times New Roman"/>
                <w:b/>
                <w:lang w:eastAsia="en-AU"/>
              </w:rPr>
            </w:pPr>
            <w:r w:rsidRPr="00CF07CB">
              <w:rPr>
                <w:rFonts w:ascii="Times New Roman" w:hAnsi="Times New Roman"/>
                <w:b/>
                <w:lang w:eastAsia="en-AU"/>
              </w:rPr>
              <w:t>Balance</w:t>
            </w:r>
          </w:p>
        </w:tc>
      </w:tr>
      <w:tr w:rsidR="00EF3028" w:rsidRPr="00CF07CB" w:rsidTr="00CF07CB">
        <w:trPr>
          <w:trHeight w:val="280"/>
        </w:trPr>
        <w:tc>
          <w:tcPr>
            <w:tcW w:w="2730" w:type="pct"/>
          </w:tcPr>
          <w:p w:rsidR="00EF3028" w:rsidRPr="00CF07CB" w:rsidRDefault="00EF3028" w:rsidP="00C74B45">
            <w:pPr>
              <w:keepNext/>
              <w:spacing w:after="0" w:line="240" w:lineRule="auto"/>
              <w:jc w:val="both"/>
              <w:rPr>
                <w:rFonts w:ascii="Times New Roman" w:hAnsi="Times New Roman"/>
                <w:lang w:eastAsia="en-AU"/>
              </w:rPr>
            </w:pPr>
            <w:r w:rsidRPr="00CF07CB">
              <w:rPr>
                <w:rFonts w:ascii="Times New Roman" w:hAnsi="Times New Roman"/>
                <w:lang w:eastAsia="en-AU"/>
              </w:rPr>
              <w:t>Opening balance</w:t>
            </w:r>
          </w:p>
        </w:tc>
        <w:tc>
          <w:tcPr>
            <w:tcW w:w="717" w:type="pct"/>
          </w:tcPr>
          <w:p w:rsidR="00EF3028" w:rsidRPr="00CF07CB" w:rsidRDefault="00EF3028" w:rsidP="00CF07CB">
            <w:pPr>
              <w:keepNext/>
              <w:spacing w:after="0" w:line="240" w:lineRule="auto"/>
              <w:jc w:val="center"/>
              <w:rPr>
                <w:rFonts w:ascii="Times New Roman" w:hAnsi="Times New Roman"/>
                <w:lang w:eastAsia="en-AU"/>
              </w:rPr>
            </w:pPr>
          </w:p>
        </w:tc>
        <w:tc>
          <w:tcPr>
            <w:tcW w:w="669" w:type="pct"/>
          </w:tcPr>
          <w:p w:rsidR="00EF3028" w:rsidRPr="00CF07CB" w:rsidRDefault="00EF3028" w:rsidP="00CF07CB">
            <w:pPr>
              <w:keepNext/>
              <w:spacing w:after="0" w:line="240" w:lineRule="auto"/>
              <w:jc w:val="center"/>
              <w:rPr>
                <w:rFonts w:ascii="Times New Roman" w:hAnsi="Times New Roman"/>
                <w:lang w:eastAsia="en-AU"/>
              </w:rPr>
            </w:pPr>
          </w:p>
        </w:tc>
        <w:tc>
          <w:tcPr>
            <w:tcW w:w="570"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0</w:t>
            </w:r>
          </w:p>
        </w:tc>
        <w:tc>
          <w:tcPr>
            <w:tcW w:w="315" w:type="pct"/>
          </w:tcPr>
          <w:p w:rsidR="00EF3028" w:rsidRPr="00CF07CB" w:rsidRDefault="00EF3028" w:rsidP="00CF07CB">
            <w:pPr>
              <w:keepNext/>
              <w:spacing w:after="0" w:line="240" w:lineRule="auto"/>
              <w:jc w:val="center"/>
              <w:rPr>
                <w:rFonts w:ascii="Times New Roman" w:hAnsi="Times New Roman"/>
                <w:lang w:eastAsia="en-AU"/>
              </w:rPr>
            </w:pPr>
          </w:p>
        </w:tc>
      </w:tr>
      <w:tr w:rsidR="00EF3028" w:rsidRPr="00CF07CB" w:rsidTr="00CF07CB">
        <w:trPr>
          <w:trHeight w:val="280"/>
        </w:trPr>
        <w:tc>
          <w:tcPr>
            <w:tcW w:w="2730" w:type="pct"/>
          </w:tcPr>
          <w:p w:rsidR="00EF3028" w:rsidRPr="00CF07CB" w:rsidRDefault="00EF3028" w:rsidP="00CE2384">
            <w:pPr>
              <w:keepNext/>
              <w:spacing w:after="0" w:line="240" w:lineRule="auto"/>
              <w:jc w:val="both"/>
              <w:rPr>
                <w:rFonts w:ascii="Times New Roman" w:hAnsi="Times New Roman"/>
                <w:lang w:eastAsia="en-AU"/>
              </w:rPr>
            </w:pPr>
            <w:r w:rsidRPr="00CF07CB">
              <w:rPr>
                <w:rFonts w:ascii="Times New Roman" w:hAnsi="Times New Roman"/>
                <w:lang w:eastAsia="en-AU"/>
              </w:rPr>
              <w:t xml:space="preserve">Tax </w:t>
            </w:r>
            <w:r w:rsidR="00CE2384">
              <w:rPr>
                <w:rFonts w:ascii="Times New Roman" w:hAnsi="Times New Roman"/>
                <w:lang w:eastAsia="en-AU"/>
              </w:rPr>
              <w:t>p</w:t>
            </w:r>
            <w:r w:rsidRPr="00CF07CB">
              <w:rPr>
                <w:rFonts w:ascii="Times New Roman" w:hAnsi="Times New Roman"/>
                <w:lang w:eastAsia="en-AU"/>
              </w:rPr>
              <w:t>aid</w:t>
            </w:r>
          </w:p>
        </w:tc>
        <w:tc>
          <w:tcPr>
            <w:tcW w:w="717" w:type="pct"/>
          </w:tcPr>
          <w:p w:rsidR="00EF3028" w:rsidRPr="00CF07CB" w:rsidRDefault="00EF3028" w:rsidP="00CF07CB">
            <w:pPr>
              <w:keepNext/>
              <w:spacing w:after="0" w:line="240" w:lineRule="auto"/>
              <w:jc w:val="center"/>
              <w:rPr>
                <w:rFonts w:ascii="Times New Roman" w:hAnsi="Times New Roman"/>
                <w:lang w:eastAsia="en-AU"/>
              </w:rPr>
            </w:pPr>
          </w:p>
        </w:tc>
        <w:tc>
          <w:tcPr>
            <w:tcW w:w="669"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2,800</w:t>
            </w:r>
          </w:p>
        </w:tc>
        <w:tc>
          <w:tcPr>
            <w:tcW w:w="570"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2,800</w:t>
            </w:r>
          </w:p>
        </w:tc>
        <w:tc>
          <w:tcPr>
            <w:tcW w:w="315"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Cr</w:t>
            </w:r>
          </w:p>
        </w:tc>
      </w:tr>
      <w:tr w:rsidR="00EF3028" w:rsidRPr="00CF07CB" w:rsidTr="00CF07CB">
        <w:trPr>
          <w:trHeight w:val="257"/>
        </w:trPr>
        <w:tc>
          <w:tcPr>
            <w:tcW w:w="2730" w:type="pct"/>
          </w:tcPr>
          <w:p w:rsidR="00EF3028" w:rsidRPr="00CF07CB" w:rsidRDefault="00EF3028" w:rsidP="00CE2384">
            <w:pPr>
              <w:keepNext/>
              <w:spacing w:after="0" w:line="240" w:lineRule="auto"/>
              <w:jc w:val="both"/>
              <w:rPr>
                <w:rFonts w:ascii="Times New Roman" w:hAnsi="Times New Roman"/>
                <w:lang w:eastAsia="en-AU"/>
              </w:rPr>
            </w:pPr>
            <w:r w:rsidRPr="00CF07CB">
              <w:rPr>
                <w:rFonts w:ascii="Times New Roman" w:hAnsi="Times New Roman"/>
                <w:lang w:eastAsia="en-AU"/>
              </w:rPr>
              <w:t xml:space="preserve">Imputation </w:t>
            </w:r>
            <w:r w:rsidR="00CE2384">
              <w:rPr>
                <w:rFonts w:ascii="Times New Roman" w:hAnsi="Times New Roman"/>
                <w:lang w:eastAsia="en-AU"/>
              </w:rPr>
              <w:t>c</w:t>
            </w:r>
            <w:r w:rsidRPr="00CF07CB">
              <w:rPr>
                <w:rFonts w:ascii="Times New Roman" w:hAnsi="Times New Roman"/>
                <w:lang w:eastAsia="en-AU"/>
              </w:rPr>
              <w:t xml:space="preserve">redit </w:t>
            </w:r>
            <w:r w:rsidR="00CE2384">
              <w:rPr>
                <w:rFonts w:ascii="Times New Roman" w:hAnsi="Times New Roman"/>
                <w:lang w:eastAsia="en-AU"/>
              </w:rPr>
              <w:t>t</w:t>
            </w:r>
            <w:r w:rsidRPr="00CF07CB">
              <w:rPr>
                <w:rFonts w:ascii="Times New Roman" w:hAnsi="Times New Roman"/>
                <w:lang w:eastAsia="en-AU"/>
              </w:rPr>
              <w:t>ransfer</w:t>
            </w:r>
          </w:p>
        </w:tc>
        <w:tc>
          <w:tcPr>
            <w:tcW w:w="717" w:type="pct"/>
          </w:tcPr>
          <w:p w:rsidR="00EF3028" w:rsidRPr="00CF07CB" w:rsidRDefault="00EF3028" w:rsidP="00CF07CB">
            <w:pPr>
              <w:keepNext/>
              <w:spacing w:after="0" w:line="240" w:lineRule="auto"/>
              <w:jc w:val="center"/>
              <w:rPr>
                <w:rFonts w:ascii="Times New Roman" w:hAnsi="Times New Roman"/>
                <w:lang w:eastAsia="en-AU"/>
              </w:rPr>
            </w:pPr>
          </w:p>
        </w:tc>
        <w:tc>
          <w:tcPr>
            <w:tcW w:w="669"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2,800</w:t>
            </w:r>
          </w:p>
        </w:tc>
        <w:tc>
          <w:tcPr>
            <w:tcW w:w="570"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5,600</w:t>
            </w:r>
          </w:p>
        </w:tc>
        <w:tc>
          <w:tcPr>
            <w:tcW w:w="315"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Cr</w:t>
            </w:r>
          </w:p>
        </w:tc>
      </w:tr>
      <w:tr w:rsidR="00EF3028" w:rsidRPr="00CF07CB" w:rsidTr="00CF07CB">
        <w:trPr>
          <w:trHeight w:val="260"/>
        </w:trPr>
        <w:tc>
          <w:tcPr>
            <w:tcW w:w="2730" w:type="pct"/>
          </w:tcPr>
          <w:p w:rsidR="00EF3028" w:rsidRPr="00CF07CB" w:rsidRDefault="00EF3028" w:rsidP="00C74B45">
            <w:pPr>
              <w:keepNext/>
              <w:spacing w:after="0" w:line="240" w:lineRule="auto"/>
              <w:jc w:val="both"/>
              <w:rPr>
                <w:rFonts w:ascii="Times New Roman" w:hAnsi="Times New Roman"/>
                <w:lang w:eastAsia="en-AU"/>
              </w:rPr>
            </w:pPr>
            <w:r w:rsidRPr="00CF07CB">
              <w:rPr>
                <w:rFonts w:ascii="Times New Roman" w:hAnsi="Times New Roman"/>
                <w:lang w:eastAsia="en-AU"/>
              </w:rPr>
              <w:t xml:space="preserve">Dividend to </w:t>
            </w:r>
            <w:proofErr w:type="spellStart"/>
            <w:r w:rsidRPr="00CF07CB">
              <w:rPr>
                <w:rFonts w:ascii="Times New Roman" w:hAnsi="Times New Roman"/>
                <w:lang w:eastAsia="en-AU"/>
              </w:rPr>
              <w:t>ProfitCo</w:t>
            </w:r>
            <w:proofErr w:type="spellEnd"/>
          </w:p>
        </w:tc>
        <w:tc>
          <w:tcPr>
            <w:tcW w:w="717"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5,040</w:t>
            </w:r>
          </w:p>
        </w:tc>
        <w:tc>
          <w:tcPr>
            <w:tcW w:w="669" w:type="pct"/>
          </w:tcPr>
          <w:p w:rsidR="00EF3028" w:rsidRPr="00CF07CB" w:rsidRDefault="00EF3028" w:rsidP="00CF07CB">
            <w:pPr>
              <w:keepNext/>
              <w:spacing w:after="0" w:line="240" w:lineRule="auto"/>
              <w:jc w:val="center"/>
              <w:rPr>
                <w:rFonts w:ascii="Times New Roman" w:hAnsi="Times New Roman"/>
                <w:lang w:eastAsia="en-AU"/>
              </w:rPr>
            </w:pPr>
          </w:p>
        </w:tc>
        <w:tc>
          <w:tcPr>
            <w:tcW w:w="570"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560</w:t>
            </w:r>
          </w:p>
        </w:tc>
        <w:tc>
          <w:tcPr>
            <w:tcW w:w="315"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Cr</w:t>
            </w:r>
          </w:p>
        </w:tc>
      </w:tr>
      <w:tr w:rsidR="00EF3028" w:rsidRPr="00CF07CB" w:rsidTr="00CF07CB">
        <w:trPr>
          <w:trHeight w:val="249"/>
        </w:trPr>
        <w:tc>
          <w:tcPr>
            <w:tcW w:w="2730" w:type="pct"/>
          </w:tcPr>
          <w:p w:rsidR="00EF3028" w:rsidRPr="00CF07CB" w:rsidRDefault="00EF3028" w:rsidP="00C74B45">
            <w:pPr>
              <w:keepNext/>
              <w:spacing w:after="0" w:line="240" w:lineRule="auto"/>
              <w:jc w:val="both"/>
              <w:rPr>
                <w:rFonts w:ascii="Times New Roman" w:hAnsi="Times New Roman"/>
                <w:lang w:eastAsia="en-AU"/>
              </w:rPr>
            </w:pPr>
            <w:r w:rsidRPr="00CF07CB">
              <w:rPr>
                <w:rFonts w:ascii="Times New Roman" w:hAnsi="Times New Roman"/>
                <w:lang w:eastAsia="en-AU"/>
              </w:rPr>
              <w:t>Dividend to Minority shareholder</w:t>
            </w:r>
          </w:p>
        </w:tc>
        <w:tc>
          <w:tcPr>
            <w:tcW w:w="717"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560</w:t>
            </w:r>
          </w:p>
        </w:tc>
        <w:tc>
          <w:tcPr>
            <w:tcW w:w="669" w:type="pct"/>
          </w:tcPr>
          <w:p w:rsidR="00EF3028" w:rsidRPr="00CF07CB" w:rsidRDefault="00EF3028" w:rsidP="00CF07CB">
            <w:pPr>
              <w:keepNext/>
              <w:spacing w:after="0" w:line="240" w:lineRule="auto"/>
              <w:jc w:val="center"/>
              <w:rPr>
                <w:rFonts w:ascii="Times New Roman" w:hAnsi="Times New Roman"/>
                <w:lang w:eastAsia="en-AU"/>
              </w:rPr>
            </w:pPr>
          </w:p>
        </w:tc>
        <w:tc>
          <w:tcPr>
            <w:tcW w:w="570" w:type="pct"/>
          </w:tcPr>
          <w:p w:rsidR="00EF3028" w:rsidRPr="00CF07CB" w:rsidRDefault="00EF3028" w:rsidP="00CF07CB">
            <w:pPr>
              <w:keepNext/>
              <w:spacing w:after="0" w:line="240" w:lineRule="auto"/>
              <w:jc w:val="center"/>
              <w:rPr>
                <w:rFonts w:ascii="Times New Roman" w:hAnsi="Times New Roman"/>
                <w:lang w:eastAsia="en-AU"/>
              </w:rPr>
            </w:pPr>
            <w:r w:rsidRPr="00CF07CB">
              <w:rPr>
                <w:rFonts w:ascii="Times New Roman" w:hAnsi="Times New Roman"/>
                <w:lang w:eastAsia="en-AU"/>
              </w:rPr>
              <w:t>0</w:t>
            </w:r>
          </w:p>
        </w:tc>
        <w:tc>
          <w:tcPr>
            <w:tcW w:w="315" w:type="pct"/>
          </w:tcPr>
          <w:p w:rsidR="00EF3028" w:rsidRPr="00CF07CB" w:rsidRDefault="00EF3028" w:rsidP="00CF07CB">
            <w:pPr>
              <w:keepNext/>
              <w:spacing w:after="0" w:line="240" w:lineRule="auto"/>
              <w:jc w:val="center"/>
              <w:rPr>
                <w:rFonts w:ascii="Times New Roman" w:hAnsi="Times New Roman"/>
                <w:lang w:eastAsia="en-AU"/>
              </w:rPr>
            </w:pPr>
          </w:p>
        </w:tc>
      </w:tr>
    </w:tbl>
    <w:p w:rsidR="00EF3028" w:rsidRDefault="00EF3028"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lang w:val="en-GB" w:eastAsia="en-GB"/>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7351E7">
        <w:rPr>
          <w:rFonts w:ascii="Times New Roman" w:hAnsi="Times New Roman"/>
          <w:sz w:val="24"/>
          <w:szCs w:val="24"/>
        </w:rPr>
        <w:t xml:space="preserve">In some structures the </w:t>
      </w:r>
      <w:r w:rsidR="008E0AF8">
        <w:rPr>
          <w:rFonts w:ascii="Times New Roman" w:hAnsi="Times New Roman"/>
          <w:sz w:val="24"/>
          <w:szCs w:val="24"/>
        </w:rPr>
        <w:t xml:space="preserve">profit </w:t>
      </w:r>
      <w:r w:rsidR="007351E7">
        <w:rPr>
          <w:rFonts w:ascii="Times New Roman" w:hAnsi="Times New Roman"/>
          <w:sz w:val="24"/>
          <w:szCs w:val="24"/>
        </w:rPr>
        <w:t xml:space="preserve">company would pay the dividend to another member of the </w:t>
      </w:r>
      <w:r w:rsidR="00FA70CF">
        <w:rPr>
          <w:rFonts w:ascii="Times New Roman" w:hAnsi="Times New Roman"/>
          <w:sz w:val="24"/>
          <w:szCs w:val="24"/>
        </w:rPr>
        <w:t xml:space="preserve">non-wholly </w:t>
      </w:r>
      <w:r w:rsidR="007351E7">
        <w:rPr>
          <w:rFonts w:ascii="Times New Roman" w:hAnsi="Times New Roman"/>
          <w:sz w:val="24"/>
          <w:szCs w:val="24"/>
        </w:rPr>
        <w:t xml:space="preserve">owned group rather than </w:t>
      </w:r>
      <w:r w:rsidR="00D170DF">
        <w:rPr>
          <w:rFonts w:ascii="Times New Roman" w:hAnsi="Times New Roman"/>
          <w:sz w:val="24"/>
          <w:szCs w:val="24"/>
        </w:rPr>
        <w:t xml:space="preserve">to </w:t>
      </w:r>
      <w:r w:rsidR="007351E7">
        <w:rPr>
          <w:rFonts w:ascii="Times New Roman" w:hAnsi="Times New Roman"/>
          <w:sz w:val="24"/>
          <w:szCs w:val="24"/>
        </w:rPr>
        <w:t xml:space="preserve">the </w:t>
      </w:r>
      <w:r w:rsidR="00E81EB7">
        <w:rPr>
          <w:rFonts w:ascii="Times New Roman" w:hAnsi="Times New Roman"/>
          <w:sz w:val="24"/>
          <w:szCs w:val="24"/>
        </w:rPr>
        <w:t>loss</w:t>
      </w:r>
      <w:r w:rsidR="007351E7">
        <w:rPr>
          <w:rFonts w:ascii="Times New Roman" w:hAnsi="Times New Roman"/>
          <w:sz w:val="24"/>
          <w:szCs w:val="24"/>
        </w:rPr>
        <w:t xml:space="preserve"> company.  </w:t>
      </w:r>
      <w:r w:rsidR="00EF3028">
        <w:rPr>
          <w:rFonts w:ascii="Times New Roman" w:hAnsi="Times New Roman"/>
          <w:sz w:val="24"/>
          <w:szCs w:val="24"/>
        </w:rPr>
        <w:t xml:space="preserve">This would arise when the loss company did not own the profit company, for example if the loss company and profit company were both owned by a common parent company.  </w:t>
      </w:r>
      <w:r w:rsidR="007351E7">
        <w:rPr>
          <w:rFonts w:ascii="Times New Roman" w:hAnsi="Times New Roman"/>
          <w:sz w:val="24"/>
          <w:szCs w:val="24"/>
        </w:rPr>
        <w:t xml:space="preserve">In this instance the taxpayer could manage the imputation debit by transferring the imputation credits from the group member that would receive the dividend rather than the </w:t>
      </w:r>
      <w:r w:rsidR="00E81EB7">
        <w:rPr>
          <w:rFonts w:ascii="Times New Roman" w:hAnsi="Times New Roman"/>
          <w:sz w:val="24"/>
          <w:szCs w:val="24"/>
        </w:rPr>
        <w:t>profit</w:t>
      </w:r>
      <w:r w:rsidR="007351E7">
        <w:rPr>
          <w:rFonts w:ascii="Times New Roman" w:hAnsi="Times New Roman"/>
          <w:sz w:val="24"/>
          <w:szCs w:val="24"/>
        </w:rPr>
        <w:t xml:space="preserve"> company.</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A71607">
        <w:rPr>
          <w:rFonts w:ascii="Times New Roman" w:hAnsi="Times New Roman"/>
          <w:sz w:val="24"/>
          <w:szCs w:val="24"/>
        </w:rPr>
        <w:t>We</w:t>
      </w:r>
      <w:r w:rsidR="00F348A8">
        <w:rPr>
          <w:rFonts w:ascii="Times New Roman" w:hAnsi="Times New Roman"/>
          <w:sz w:val="24"/>
          <w:szCs w:val="24"/>
        </w:rPr>
        <w:t xml:space="preserve"> acknowledge that this option does not fully </w:t>
      </w:r>
      <w:r w:rsidR="00A71607">
        <w:rPr>
          <w:rFonts w:ascii="Times New Roman" w:hAnsi="Times New Roman"/>
          <w:sz w:val="24"/>
          <w:szCs w:val="24"/>
        </w:rPr>
        <w:t>achieve the main objective</w:t>
      </w:r>
      <w:r w:rsidR="00F348A8">
        <w:rPr>
          <w:rFonts w:ascii="Times New Roman" w:hAnsi="Times New Roman"/>
          <w:sz w:val="24"/>
          <w:szCs w:val="24"/>
        </w:rPr>
        <w:t xml:space="preserve"> if the loss company receives fewer imputation credits attached to the dividend than they transferred as part of the loss transfer.  This can occur when the loss transfer as a proportion of the profit company’s profit is greater than the ownership pe</w:t>
      </w:r>
      <w:r>
        <w:rPr>
          <w:rFonts w:ascii="Times New Roman" w:hAnsi="Times New Roman"/>
          <w:sz w:val="24"/>
          <w:szCs w:val="24"/>
        </w:rPr>
        <w:t>rcentage of the profit company.</w:t>
      </w:r>
    </w:p>
    <w:p w:rsidR="00C74B45" w:rsidRDefault="00C74B45" w:rsidP="00C74B45">
      <w:pPr>
        <w:pStyle w:val="Bullet-list"/>
        <w:spacing w:after="0" w:line="240" w:lineRule="auto"/>
        <w:ind w:left="0" w:firstLine="0"/>
        <w:jc w:val="both"/>
        <w:rPr>
          <w:rFonts w:ascii="Times New Roman" w:hAnsi="Times New Roman"/>
          <w:sz w:val="24"/>
          <w:szCs w:val="24"/>
        </w:rPr>
      </w:pPr>
    </w:p>
    <w:p w:rsidR="00431FFA"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A71607">
        <w:rPr>
          <w:rFonts w:ascii="Times New Roman" w:hAnsi="Times New Roman"/>
          <w:sz w:val="24"/>
          <w:szCs w:val="24"/>
          <w:lang w:val="en-NZ"/>
        </w:rPr>
        <w:t xml:space="preserve">Example 3 illustrates this point.  It </w:t>
      </w:r>
      <w:r w:rsidR="00431FFA">
        <w:rPr>
          <w:rFonts w:ascii="Times New Roman" w:hAnsi="Times New Roman"/>
          <w:sz w:val="24"/>
          <w:szCs w:val="24"/>
        </w:rPr>
        <w:t xml:space="preserve">uses the same scenario </w:t>
      </w:r>
      <w:r w:rsidR="00A71607">
        <w:rPr>
          <w:rFonts w:ascii="Times New Roman" w:hAnsi="Times New Roman"/>
          <w:sz w:val="24"/>
          <w:szCs w:val="24"/>
        </w:rPr>
        <w:t>in E</w:t>
      </w:r>
      <w:r w:rsidR="00431FFA">
        <w:rPr>
          <w:rFonts w:ascii="Times New Roman" w:hAnsi="Times New Roman"/>
          <w:sz w:val="24"/>
          <w:szCs w:val="24"/>
        </w:rPr>
        <w:t xml:space="preserve">xample 2 except </w:t>
      </w:r>
      <w:proofErr w:type="spellStart"/>
      <w:r w:rsidR="001E00DC">
        <w:rPr>
          <w:rFonts w:ascii="Times New Roman" w:hAnsi="Times New Roman"/>
          <w:sz w:val="24"/>
          <w:szCs w:val="24"/>
        </w:rPr>
        <w:t>LossCo</w:t>
      </w:r>
      <w:proofErr w:type="spellEnd"/>
      <w:r w:rsidR="001E00DC">
        <w:rPr>
          <w:rFonts w:ascii="Times New Roman" w:hAnsi="Times New Roman"/>
          <w:sz w:val="24"/>
          <w:szCs w:val="24"/>
        </w:rPr>
        <w:t xml:space="preserve"> makes a $19,000 loss</w:t>
      </w:r>
      <w:r w:rsidR="005779EA">
        <w:rPr>
          <w:rFonts w:ascii="Times New Roman" w:hAnsi="Times New Roman"/>
          <w:sz w:val="24"/>
          <w:szCs w:val="24"/>
        </w:rPr>
        <w:t xml:space="preserve"> </w:t>
      </w:r>
      <w:r w:rsidR="00A71607">
        <w:rPr>
          <w:rFonts w:ascii="Times New Roman" w:hAnsi="Times New Roman"/>
          <w:sz w:val="24"/>
          <w:szCs w:val="24"/>
        </w:rPr>
        <w:t xml:space="preserve">that </w:t>
      </w:r>
      <w:r w:rsidR="005779EA">
        <w:rPr>
          <w:rFonts w:ascii="Times New Roman" w:hAnsi="Times New Roman"/>
          <w:sz w:val="24"/>
          <w:szCs w:val="24"/>
        </w:rPr>
        <w:t>is transferred as a $5,320 subvention payment and $13,680 loss offset</w:t>
      </w:r>
      <w:r w:rsidR="00A71607">
        <w:rPr>
          <w:rFonts w:ascii="Times New Roman" w:hAnsi="Times New Roman"/>
          <w:sz w:val="24"/>
          <w:szCs w:val="24"/>
        </w:rPr>
        <w:t>.</w:t>
      </w:r>
    </w:p>
    <w:p w:rsidR="00C74B45" w:rsidRDefault="00C74B45" w:rsidP="00C74B45">
      <w:pPr>
        <w:pStyle w:val="Bullet-list"/>
        <w:spacing w:after="0" w:line="240" w:lineRule="auto"/>
        <w:ind w:left="0" w:firstLine="0"/>
        <w:jc w:val="both"/>
        <w:rPr>
          <w:rFonts w:ascii="Times New Roman" w:hAnsi="Times New Roman"/>
          <w:sz w:val="24"/>
          <w:szCs w:val="24"/>
        </w:rPr>
      </w:pPr>
    </w:p>
    <w:p w:rsidR="00A71607" w:rsidRDefault="00A71607" w:rsidP="00C74B45">
      <w:pPr>
        <w:pStyle w:val="Bullet-list"/>
        <w:spacing w:after="0" w:line="240" w:lineRule="auto"/>
        <w:ind w:left="0" w:firstLine="0"/>
        <w:jc w:val="both"/>
        <w:rPr>
          <w:rFonts w:ascii="Times New Roman" w:hAnsi="Times New Roman"/>
          <w:sz w:val="24"/>
          <w:szCs w:val="24"/>
        </w:rPr>
      </w:pPr>
    </w:p>
    <w:p w:rsidR="00C7057E" w:rsidRDefault="00C7057E" w:rsidP="00C74B45">
      <w:pPr>
        <w:pStyle w:val="ListParagraph"/>
        <w:rPr>
          <w:rFonts w:ascii="Times New Roman" w:hAnsi="Times New Roman"/>
          <w:b/>
          <w:i/>
          <w:sz w:val="24"/>
          <w:szCs w:val="24"/>
        </w:rPr>
      </w:pPr>
    </w:p>
    <w:p w:rsidR="00C7057E" w:rsidRDefault="00C7057E" w:rsidP="00C74B45">
      <w:pPr>
        <w:pStyle w:val="ListParagraph"/>
        <w:rPr>
          <w:rFonts w:ascii="Times New Roman" w:hAnsi="Times New Roman"/>
          <w:b/>
          <w:i/>
          <w:sz w:val="24"/>
          <w:szCs w:val="24"/>
        </w:rPr>
      </w:pPr>
    </w:p>
    <w:p w:rsidR="00431FFA" w:rsidRPr="00A71607" w:rsidRDefault="00431FFA" w:rsidP="00C74B45">
      <w:pPr>
        <w:pStyle w:val="ListParagraph"/>
        <w:rPr>
          <w:rFonts w:ascii="Times New Roman" w:hAnsi="Times New Roman"/>
          <w:b/>
          <w:i/>
          <w:sz w:val="24"/>
          <w:szCs w:val="24"/>
        </w:rPr>
      </w:pPr>
      <w:r w:rsidRPr="00A71607">
        <w:rPr>
          <w:rFonts w:ascii="Times New Roman" w:hAnsi="Times New Roman"/>
          <w:b/>
          <w:i/>
          <w:sz w:val="24"/>
          <w:szCs w:val="24"/>
        </w:rPr>
        <w:t>Example 3</w:t>
      </w:r>
    </w:p>
    <w:p w:rsidR="00431FFA" w:rsidRDefault="00431FFA" w:rsidP="00C74B45">
      <w:pPr>
        <w:pStyle w:val="ListParagraph"/>
        <w:rPr>
          <w:rFonts w:ascii="Times New Roman" w:hAnsi="Times New Roman"/>
          <w:sz w:val="24"/>
          <w:szCs w:val="24"/>
        </w:rPr>
      </w:pPr>
    </w:p>
    <w:p w:rsidR="00431FFA" w:rsidRDefault="00431FFA" w:rsidP="00C74B45">
      <w:pPr>
        <w:pStyle w:val="ListParagraph"/>
        <w:numPr>
          <w:ilvl w:val="0"/>
          <w:numId w:val="6"/>
        </w:numPr>
        <w:rPr>
          <w:rFonts w:ascii="Times New Roman" w:hAnsi="Times New Roman"/>
          <w:sz w:val="24"/>
          <w:szCs w:val="24"/>
        </w:rPr>
      </w:pPr>
      <w:r>
        <w:rPr>
          <w:rFonts w:ascii="Times New Roman" w:hAnsi="Times New Roman"/>
          <w:sz w:val="24"/>
          <w:szCs w:val="24"/>
        </w:rPr>
        <w:t>As part of the $</w:t>
      </w:r>
      <w:r w:rsidR="005779EA">
        <w:rPr>
          <w:rFonts w:ascii="Times New Roman" w:hAnsi="Times New Roman"/>
          <w:sz w:val="24"/>
          <w:szCs w:val="24"/>
        </w:rPr>
        <w:t>5,320</w:t>
      </w:r>
      <w:r>
        <w:rPr>
          <w:rFonts w:ascii="Times New Roman" w:hAnsi="Times New Roman"/>
          <w:sz w:val="24"/>
          <w:szCs w:val="24"/>
        </w:rPr>
        <w:t xml:space="preserve"> subvention payment and $</w:t>
      </w:r>
      <w:r w:rsidR="005779EA">
        <w:rPr>
          <w:rFonts w:ascii="Times New Roman" w:hAnsi="Times New Roman"/>
          <w:sz w:val="24"/>
          <w:szCs w:val="24"/>
        </w:rPr>
        <w:t>13,68</w:t>
      </w:r>
      <w:r>
        <w:rPr>
          <w:rFonts w:ascii="Times New Roman" w:hAnsi="Times New Roman"/>
          <w:sz w:val="24"/>
          <w:szCs w:val="24"/>
        </w:rPr>
        <w:t xml:space="preserve">0 loss offset </w:t>
      </w:r>
      <w:proofErr w:type="spellStart"/>
      <w:r>
        <w:rPr>
          <w:rFonts w:ascii="Times New Roman" w:hAnsi="Times New Roman"/>
          <w:sz w:val="24"/>
          <w:szCs w:val="24"/>
        </w:rPr>
        <w:t>LossCo</w:t>
      </w:r>
      <w:proofErr w:type="spellEnd"/>
      <w:r>
        <w:rPr>
          <w:rFonts w:ascii="Times New Roman" w:hAnsi="Times New Roman"/>
          <w:sz w:val="24"/>
          <w:szCs w:val="24"/>
        </w:rPr>
        <w:t xml:space="preserve"> also transfers $</w:t>
      </w:r>
      <w:r w:rsidR="00CE2384">
        <w:rPr>
          <w:rFonts w:ascii="Times New Roman" w:hAnsi="Times New Roman"/>
          <w:sz w:val="24"/>
          <w:szCs w:val="24"/>
        </w:rPr>
        <w:t>5,320</w:t>
      </w:r>
      <w:r>
        <w:rPr>
          <w:rFonts w:ascii="Times New Roman" w:hAnsi="Times New Roman"/>
          <w:sz w:val="24"/>
          <w:szCs w:val="24"/>
        </w:rPr>
        <w:t xml:space="preserve"> of imputation credits.</w:t>
      </w:r>
    </w:p>
    <w:p w:rsidR="00A71607" w:rsidRDefault="00A71607" w:rsidP="00A71607">
      <w:pPr>
        <w:pStyle w:val="ListParagraph"/>
        <w:ind w:left="1080"/>
        <w:rPr>
          <w:rFonts w:ascii="Times New Roman" w:hAnsi="Times New Roman"/>
          <w:sz w:val="24"/>
          <w:szCs w:val="24"/>
        </w:rPr>
      </w:pPr>
    </w:p>
    <w:p w:rsidR="00431FFA" w:rsidRDefault="00431FFA" w:rsidP="00C74B45">
      <w:pPr>
        <w:pStyle w:val="ListParagraph"/>
        <w:numPr>
          <w:ilvl w:val="0"/>
          <w:numId w:val="6"/>
        </w:numPr>
        <w:rPr>
          <w:rFonts w:ascii="Times New Roman" w:hAnsi="Times New Roman"/>
          <w:sz w:val="24"/>
          <w:szCs w:val="24"/>
        </w:rPr>
      </w:pPr>
      <w:proofErr w:type="spellStart"/>
      <w:r>
        <w:rPr>
          <w:rFonts w:ascii="Times New Roman" w:hAnsi="Times New Roman"/>
          <w:sz w:val="24"/>
          <w:szCs w:val="24"/>
        </w:rPr>
        <w:t>ProfitCo</w:t>
      </w:r>
      <w:proofErr w:type="spellEnd"/>
      <w:r>
        <w:rPr>
          <w:rFonts w:ascii="Times New Roman" w:hAnsi="Times New Roman"/>
          <w:sz w:val="24"/>
          <w:szCs w:val="24"/>
        </w:rPr>
        <w:t xml:space="preserve"> still has $1,000 of profit after the loss transfer so pays $280 tax.  It therefore has $14,400 of cash and $5,600 of imputation credits which is the same as if no loss transfer had occurred.</w:t>
      </w:r>
    </w:p>
    <w:p w:rsidR="00A71607" w:rsidRDefault="00A71607" w:rsidP="00A71607">
      <w:pPr>
        <w:pStyle w:val="ListParagraph"/>
        <w:ind w:left="1080"/>
        <w:rPr>
          <w:rFonts w:ascii="Times New Roman" w:hAnsi="Times New Roman"/>
          <w:sz w:val="24"/>
          <w:szCs w:val="24"/>
        </w:rPr>
      </w:pPr>
    </w:p>
    <w:p w:rsidR="00431FFA" w:rsidRDefault="00431FFA" w:rsidP="00C74B45">
      <w:pPr>
        <w:pStyle w:val="ListParagraph"/>
        <w:numPr>
          <w:ilvl w:val="0"/>
          <w:numId w:val="6"/>
        </w:numPr>
        <w:rPr>
          <w:rFonts w:ascii="Times New Roman" w:hAnsi="Times New Roman"/>
          <w:sz w:val="24"/>
          <w:szCs w:val="24"/>
        </w:rPr>
      </w:pPr>
      <w:proofErr w:type="spellStart"/>
      <w:r>
        <w:rPr>
          <w:rFonts w:ascii="Times New Roman" w:hAnsi="Times New Roman"/>
          <w:sz w:val="24"/>
          <w:szCs w:val="24"/>
        </w:rPr>
        <w:t>ProfitCo</w:t>
      </w:r>
      <w:proofErr w:type="spellEnd"/>
      <w:r>
        <w:rPr>
          <w:rFonts w:ascii="Times New Roman" w:hAnsi="Times New Roman"/>
          <w:sz w:val="24"/>
          <w:szCs w:val="24"/>
        </w:rPr>
        <w:t xml:space="preserve"> pays 10% of its profits as a dividend to Minority Shareholder.  This is $1,440 cash and $560 of imputation credits.  As this dividend is fully imputed Minority Shareholder has to no extra tax to pay.</w:t>
      </w:r>
    </w:p>
    <w:p w:rsidR="00A71607" w:rsidRDefault="00A71607" w:rsidP="00A71607">
      <w:pPr>
        <w:pStyle w:val="ListParagraph"/>
        <w:ind w:left="1080"/>
        <w:rPr>
          <w:rFonts w:ascii="Times New Roman" w:hAnsi="Times New Roman"/>
          <w:sz w:val="24"/>
          <w:szCs w:val="24"/>
        </w:rPr>
      </w:pPr>
    </w:p>
    <w:p w:rsidR="00431FFA" w:rsidRDefault="00431FFA" w:rsidP="00C74B45">
      <w:pPr>
        <w:pStyle w:val="ListParagraph"/>
        <w:numPr>
          <w:ilvl w:val="0"/>
          <w:numId w:val="6"/>
        </w:numPr>
        <w:rPr>
          <w:rFonts w:ascii="Times New Roman" w:hAnsi="Times New Roman"/>
          <w:sz w:val="24"/>
          <w:szCs w:val="24"/>
        </w:rPr>
      </w:pPr>
      <w:proofErr w:type="spellStart"/>
      <w:r>
        <w:rPr>
          <w:rFonts w:ascii="Times New Roman" w:hAnsi="Times New Roman"/>
          <w:sz w:val="24"/>
          <w:szCs w:val="24"/>
        </w:rPr>
        <w:t>ProfitCo</w:t>
      </w:r>
      <w:proofErr w:type="spellEnd"/>
      <w:r>
        <w:rPr>
          <w:rFonts w:ascii="Times New Roman" w:hAnsi="Times New Roman"/>
          <w:sz w:val="24"/>
          <w:szCs w:val="24"/>
        </w:rPr>
        <w:t xml:space="preserve"> pays 90% of its profits as a dividend to </w:t>
      </w:r>
      <w:proofErr w:type="spellStart"/>
      <w:r>
        <w:rPr>
          <w:rFonts w:ascii="Times New Roman" w:hAnsi="Times New Roman"/>
          <w:sz w:val="24"/>
          <w:szCs w:val="24"/>
        </w:rPr>
        <w:t>LossCo</w:t>
      </w:r>
      <w:proofErr w:type="spellEnd"/>
      <w:r>
        <w:rPr>
          <w:rFonts w:ascii="Times New Roman" w:hAnsi="Times New Roman"/>
          <w:sz w:val="24"/>
          <w:szCs w:val="24"/>
        </w:rPr>
        <w:t xml:space="preserve">.  This is $12,960 cash and $5,040 of imputation credits.  As this dividend is fully imputed </w:t>
      </w:r>
      <w:proofErr w:type="spellStart"/>
      <w:r>
        <w:rPr>
          <w:rFonts w:ascii="Times New Roman" w:hAnsi="Times New Roman"/>
          <w:sz w:val="24"/>
          <w:szCs w:val="24"/>
        </w:rPr>
        <w:t>LossCo</w:t>
      </w:r>
      <w:proofErr w:type="spellEnd"/>
      <w:r>
        <w:rPr>
          <w:rFonts w:ascii="Times New Roman" w:hAnsi="Times New Roman"/>
          <w:sz w:val="24"/>
          <w:szCs w:val="24"/>
        </w:rPr>
        <w:t xml:space="preserve"> has no extra tax to pay.</w:t>
      </w:r>
    </w:p>
    <w:p w:rsidR="00A71607" w:rsidRDefault="00A71607" w:rsidP="00A71607">
      <w:pPr>
        <w:pStyle w:val="ListParagraph"/>
        <w:ind w:left="1080"/>
        <w:rPr>
          <w:rFonts w:ascii="Times New Roman" w:hAnsi="Times New Roman"/>
          <w:sz w:val="24"/>
          <w:szCs w:val="24"/>
        </w:rPr>
      </w:pPr>
    </w:p>
    <w:p w:rsidR="005779EA" w:rsidRDefault="005779EA" w:rsidP="00C74B45">
      <w:pPr>
        <w:pStyle w:val="ListParagraph"/>
        <w:numPr>
          <w:ilvl w:val="0"/>
          <w:numId w:val="6"/>
        </w:numPr>
        <w:rPr>
          <w:rFonts w:ascii="Times New Roman" w:hAnsi="Times New Roman"/>
          <w:sz w:val="24"/>
          <w:szCs w:val="24"/>
        </w:rPr>
      </w:pPr>
      <w:proofErr w:type="spellStart"/>
      <w:r>
        <w:rPr>
          <w:rFonts w:ascii="Times New Roman" w:hAnsi="Times New Roman"/>
          <w:sz w:val="24"/>
          <w:szCs w:val="24"/>
        </w:rPr>
        <w:t>LossCo</w:t>
      </w:r>
      <w:proofErr w:type="spellEnd"/>
      <w:r>
        <w:rPr>
          <w:rFonts w:ascii="Times New Roman" w:hAnsi="Times New Roman"/>
          <w:sz w:val="24"/>
          <w:szCs w:val="24"/>
        </w:rPr>
        <w:t xml:space="preserve"> has $18,000 of income which is fully sheltered by imputation credits so has no income tax to pay.</w:t>
      </w:r>
    </w:p>
    <w:p w:rsidR="00A71607" w:rsidRDefault="00A71607" w:rsidP="00A71607">
      <w:pPr>
        <w:pStyle w:val="ListParagraph"/>
        <w:ind w:left="1080"/>
        <w:rPr>
          <w:rFonts w:ascii="Times New Roman" w:hAnsi="Times New Roman"/>
          <w:sz w:val="24"/>
          <w:szCs w:val="24"/>
        </w:rPr>
      </w:pPr>
    </w:p>
    <w:p w:rsidR="00431FFA" w:rsidRDefault="00431FFA" w:rsidP="00C74B45">
      <w:pPr>
        <w:pStyle w:val="ListParagraph"/>
        <w:numPr>
          <w:ilvl w:val="0"/>
          <w:numId w:val="6"/>
        </w:numPr>
        <w:rPr>
          <w:rFonts w:ascii="Times New Roman" w:hAnsi="Times New Roman"/>
          <w:sz w:val="24"/>
          <w:szCs w:val="24"/>
        </w:rPr>
      </w:pPr>
      <w:proofErr w:type="spellStart"/>
      <w:r>
        <w:rPr>
          <w:rFonts w:ascii="Times New Roman" w:hAnsi="Times New Roman"/>
          <w:sz w:val="24"/>
          <w:szCs w:val="24"/>
        </w:rPr>
        <w:t>LossCo</w:t>
      </w:r>
      <w:proofErr w:type="spellEnd"/>
      <w:r>
        <w:rPr>
          <w:rFonts w:ascii="Times New Roman" w:hAnsi="Times New Roman"/>
          <w:sz w:val="24"/>
          <w:szCs w:val="24"/>
        </w:rPr>
        <w:t xml:space="preserve"> </w:t>
      </w:r>
      <w:r w:rsidR="005779EA">
        <w:rPr>
          <w:rFonts w:ascii="Times New Roman" w:hAnsi="Times New Roman"/>
          <w:sz w:val="24"/>
          <w:szCs w:val="24"/>
        </w:rPr>
        <w:t>needs $720 additional capital</w:t>
      </w:r>
      <w:r w:rsidR="00CE2384" w:rsidRPr="00CE2384">
        <w:rPr>
          <w:rStyle w:val="FootnoteReference"/>
          <w:rFonts w:ascii="Times New Roman" w:hAnsi="Times New Roman"/>
          <w:sz w:val="20"/>
        </w:rPr>
        <w:footnoteReference w:id="8"/>
      </w:r>
      <w:r w:rsidR="005779EA">
        <w:rPr>
          <w:rFonts w:ascii="Times New Roman" w:hAnsi="Times New Roman"/>
          <w:sz w:val="24"/>
          <w:szCs w:val="24"/>
        </w:rPr>
        <w:t xml:space="preserve"> from </w:t>
      </w:r>
      <w:r w:rsidR="00805E5D">
        <w:rPr>
          <w:rFonts w:ascii="Times New Roman" w:hAnsi="Times New Roman"/>
          <w:sz w:val="24"/>
          <w:szCs w:val="24"/>
        </w:rPr>
        <w:t xml:space="preserve">the </w:t>
      </w:r>
      <w:r w:rsidR="005779EA">
        <w:rPr>
          <w:rFonts w:ascii="Times New Roman" w:hAnsi="Times New Roman"/>
          <w:sz w:val="24"/>
          <w:szCs w:val="24"/>
        </w:rPr>
        <w:t>Ultimate Shareholder in order to pay</w:t>
      </w:r>
      <w:r>
        <w:rPr>
          <w:rFonts w:ascii="Times New Roman" w:hAnsi="Times New Roman"/>
          <w:sz w:val="24"/>
          <w:szCs w:val="24"/>
        </w:rPr>
        <w:t xml:space="preserve"> its $1</w:t>
      </w:r>
      <w:r w:rsidR="005779EA">
        <w:rPr>
          <w:rFonts w:ascii="Times New Roman" w:hAnsi="Times New Roman"/>
          <w:sz w:val="24"/>
          <w:szCs w:val="24"/>
        </w:rPr>
        <w:t>9</w:t>
      </w:r>
      <w:r>
        <w:rPr>
          <w:rFonts w:ascii="Times New Roman" w:hAnsi="Times New Roman"/>
          <w:sz w:val="24"/>
          <w:szCs w:val="24"/>
        </w:rPr>
        <w:t>,000 interest bill.</w:t>
      </w:r>
    </w:p>
    <w:p w:rsidR="00A71607" w:rsidRDefault="00A71607" w:rsidP="00A71607">
      <w:pPr>
        <w:pStyle w:val="ListParagraph"/>
        <w:ind w:left="1080"/>
        <w:rPr>
          <w:rFonts w:ascii="Times New Roman" w:hAnsi="Times New Roman"/>
          <w:sz w:val="24"/>
          <w:szCs w:val="24"/>
        </w:rPr>
      </w:pPr>
    </w:p>
    <w:p w:rsidR="00431FFA" w:rsidRDefault="00431FFA" w:rsidP="00C74B45">
      <w:pPr>
        <w:pStyle w:val="ListParagraph"/>
        <w:numPr>
          <w:ilvl w:val="0"/>
          <w:numId w:val="6"/>
        </w:numPr>
        <w:rPr>
          <w:rFonts w:ascii="Times New Roman" w:hAnsi="Times New Roman"/>
          <w:sz w:val="24"/>
          <w:szCs w:val="24"/>
        </w:rPr>
      </w:pPr>
      <w:r w:rsidRPr="008E6130">
        <w:rPr>
          <w:rFonts w:ascii="Times New Roman" w:hAnsi="Times New Roman"/>
          <w:sz w:val="24"/>
          <w:szCs w:val="24"/>
        </w:rPr>
        <w:t>This can be shown in a diagram as:</w:t>
      </w:r>
    </w:p>
    <w:p w:rsidR="00A71607" w:rsidRDefault="00A71607" w:rsidP="00A71607">
      <w:pPr>
        <w:pStyle w:val="ListParagraph"/>
        <w:rPr>
          <w:rFonts w:ascii="Times New Roman" w:hAnsi="Times New Roman"/>
          <w:sz w:val="24"/>
          <w:szCs w:val="24"/>
        </w:rPr>
      </w:pPr>
    </w:p>
    <w:p w:rsidR="00A71607" w:rsidRPr="00A71607" w:rsidRDefault="00A71607" w:rsidP="00A71607">
      <w:pPr>
        <w:pStyle w:val="ListParagraph"/>
        <w:rPr>
          <w:rFonts w:ascii="Times New Roman" w:hAnsi="Times New Roman"/>
          <w:sz w:val="24"/>
          <w:szCs w:val="24"/>
        </w:rPr>
      </w:pPr>
    </w:p>
    <w:p w:rsidR="001E00DC" w:rsidRDefault="001E00DC" w:rsidP="00C74B45">
      <w:pPr>
        <w:ind w:left="1080"/>
        <w:jc w:val="both"/>
        <w:rPr>
          <w:rFonts w:ascii="Times New Roman" w:hAnsi="Times New Roman"/>
          <w:sz w:val="24"/>
          <w:szCs w:val="24"/>
        </w:rPr>
      </w:pPr>
      <w:r w:rsidRPr="002750FB">
        <w:rPr>
          <w:rFonts w:ascii="Times New Roman" w:hAnsi="Times New Roman"/>
          <w:noProof/>
          <w:sz w:val="24"/>
          <w:szCs w:val="24"/>
          <w:lang w:val="en-NZ" w:eastAsia="en-NZ"/>
        </w:rPr>
        <w:drawing>
          <wp:inline distT="0" distB="0" distL="0" distR="0" wp14:anchorId="64396A10" wp14:editId="09A6C7CD">
            <wp:extent cx="4873954" cy="25622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806" cy="2561096"/>
                    </a:xfrm>
                    <a:prstGeom prst="rect">
                      <a:avLst/>
                    </a:prstGeom>
                    <a:noFill/>
                    <a:ln>
                      <a:noFill/>
                    </a:ln>
                  </pic:spPr>
                </pic:pic>
              </a:graphicData>
            </a:graphic>
          </wp:inline>
        </w:drawing>
      </w:r>
    </w:p>
    <w:p w:rsidR="005779EA" w:rsidRDefault="005779EA" w:rsidP="00A71607">
      <w:pPr>
        <w:pStyle w:val="ListParagraph"/>
        <w:numPr>
          <w:ilvl w:val="0"/>
          <w:numId w:val="6"/>
        </w:numPr>
        <w:rPr>
          <w:rFonts w:ascii="Times New Roman" w:hAnsi="Times New Roman"/>
          <w:sz w:val="24"/>
          <w:szCs w:val="24"/>
        </w:rPr>
      </w:pPr>
      <w:r w:rsidRPr="00A71607">
        <w:rPr>
          <w:rFonts w:ascii="Times New Roman" w:hAnsi="Times New Roman"/>
          <w:sz w:val="24"/>
          <w:szCs w:val="24"/>
        </w:rPr>
        <w:t xml:space="preserve">However, </w:t>
      </w:r>
      <w:proofErr w:type="spellStart"/>
      <w:r w:rsidRPr="00A71607">
        <w:rPr>
          <w:rFonts w:ascii="Times New Roman" w:hAnsi="Times New Roman"/>
          <w:sz w:val="24"/>
          <w:szCs w:val="24"/>
        </w:rPr>
        <w:t>LossCo</w:t>
      </w:r>
      <w:proofErr w:type="spellEnd"/>
      <w:r w:rsidRPr="00A71607">
        <w:rPr>
          <w:rFonts w:ascii="Times New Roman" w:hAnsi="Times New Roman"/>
          <w:sz w:val="24"/>
          <w:szCs w:val="24"/>
        </w:rPr>
        <w:t xml:space="preserve"> started with a nil imputation credit account balance, then transferred $5,320 credits to </w:t>
      </w:r>
      <w:proofErr w:type="spellStart"/>
      <w:r w:rsidRPr="00A71607">
        <w:rPr>
          <w:rFonts w:ascii="Times New Roman" w:hAnsi="Times New Roman"/>
          <w:sz w:val="24"/>
          <w:szCs w:val="24"/>
        </w:rPr>
        <w:t>ProfitCo</w:t>
      </w:r>
      <w:proofErr w:type="spellEnd"/>
      <w:r w:rsidRPr="00A71607">
        <w:rPr>
          <w:rFonts w:ascii="Times New Roman" w:hAnsi="Times New Roman"/>
          <w:sz w:val="24"/>
          <w:szCs w:val="24"/>
        </w:rPr>
        <w:t xml:space="preserve"> but only received $5,040 credits on the imputed dividend.  </w:t>
      </w:r>
      <w:proofErr w:type="spellStart"/>
      <w:r w:rsidRPr="00A71607">
        <w:rPr>
          <w:rFonts w:ascii="Times New Roman" w:hAnsi="Times New Roman"/>
          <w:sz w:val="24"/>
          <w:szCs w:val="24"/>
        </w:rPr>
        <w:t>LossCo</w:t>
      </w:r>
      <w:proofErr w:type="spellEnd"/>
      <w:r w:rsidRPr="00A71607">
        <w:rPr>
          <w:rFonts w:ascii="Times New Roman" w:hAnsi="Times New Roman"/>
          <w:sz w:val="24"/>
          <w:szCs w:val="24"/>
        </w:rPr>
        <w:t xml:space="preserve"> therefore, has an imputation credit account debit balance of $280 so will have to prepay tax</w:t>
      </w:r>
      <w:r w:rsidR="00010536" w:rsidRPr="00A71607">
        <w:rPr>
          <w:rFonts w:ascii="Times New Roman" w:hAnsi="Times New Roman"/>
          <w:sz w:val="24"/>
          <w:szCs w:val="24"/>
        </w:rPr>
        <w:t>.  To do this it will need to obtain another $280 capital injection from Ultimate Shareholder.</w:t>
      </w:r>
    </w:p>
    <w:p w:rsidR="00A71607" w:rsidRPr="00A71607" w:rsidRDefault="00A71607" w:rsidP="00A71607">
      <w:pPr>
        <w:pStyle w:val="ListParagraph"/>
        <w:ind w:left="1080"/>
        <w:rPr>
          <w:rFonts w:ascii="Times New Roman" w:hAnsi="Times New Roman"/>
          <w:sz w:val="24"/>
          <w:szCs w:val="24"/>
        </w:rPr>
      </w:pPr>
    </w:p>
    <w:p w:rsidR="00A71607" w:rsidRDefault="00010536" w:rsidP="00A71607">
      <w:pPr>
        <w:pStyle w:val="ListParagraph"/>
        <w:numPr>
          <w:ilvl w:val="0"/>
          <w:numId w:val="6"/>
        </w:numPr>
        <w:rPr>
          <w:rFonts w:ascii="Times New Roman" w:hAnsi="Times New Roman"/>
          <w:sz w:val="24"/>
          <w:szCs w:val="24"/>
        </w:rPr>
      </w:pPr>
      <w:r w:rsidRPr="00A71607">
        <w:rPr>
          <w:rFonts w:ascii="Times New Roman" w:hAnsi="Times New Roman"/>
          <w:sz w:val="24"/>
          <w:szCs w:val="24"/>
        </w:rPr>
        <w:t xml:space="preserve">Therefore Inland Revenue will collect $560 of tax on only $1,000 of net income.  However, </w:t>
      </w:r>
      <w:proofErr w:type="spellStart"/>
      <w:r w:rsidRPr="00A71607">
        <w:rPr>
          <w:rFonts w:ascii="Times New Roman" w:hAnsi="Times New Roman"/>
          <w:sz w:val="24"/>
          <w:szCs w:val="24"/>
        </w:rPr>
        <w:t>LossCo</w:t>
      </w:r>
      <w:proofErr w:type="spellEnd"/>
      <w:r w:rsidRPr="00A71607">
        <w:rPr>
          <w:rFonts w:ascii="Times New Roman" w:hAnsi="Times New Roman"/>
          <w:sz w:val="24"/>
          <w:szCs w:val="24"/>
        </w:rPr>
        <w:t xml:space="preserve"> will continue to have tax payments of $280 that could be used to meet a future income tax liability.</w:t>
      </w:r>
    </w:p>
    <w:p w:rsidR="00A71607" w:rsidRPr="00A71607" w:rsidRDefault="00A71607" w:rsidP="00A71607">
      <w:pPr>
        <w:pStyle w:val="ListParagrap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F348A8">
        <w:rPr>
          <w:rFonts w:ascii="Times New Roman" w:hAnsi="Times New Roman"/>
          <w:sz w:val="24"/>
          <w:szCs w:val="24"/>
        </w:rPr>
        <w:t>This concern could be addressed by restricting loss transfers by commonly-owned groups so that the maximum loss transfer was equal to the profit company’s profit multiplied by the loss company’s ownership interest</w:t>
      </w:r>
      <w:r w:rsidR="00010536">
        <w:rPr>
          <w:rFonts w:ascii="Times New Roman" w:hAnsi="Times New Roman"/>
          <w:sz w:val="24"/>
          <w:szCs w:val="24"/>
        </w:rPr>
        <w:t xml:space="preserve"> (in example </w:t>
      </w:r>
      <w:r w:rsidR="00A71607">
        <w:rPr>
          <w:rFonts w:ascii="Times New Roman" w:hAnsi="Times New Roman"/>
          <w:sz w:val="24"/>
          <w:szCs w:val="24"/>
        </w:rPr>
        <w:t xml:space="preserve">3 </w:t>
      </w:r>
      <w:r w:rsidR="00010536">
        <w:rPr>
          <w:rFonts w:ascii="Times New Roman" w:hAnsi="Times New Roman"/>
          <w:sz w:val="24"/>
          <w:szCs w:val="24"/>
        </w:rPr>
        <w:t>this would be $20,000 x 90% = $18,000)</w:t>
      </w:r>
      <w:r w:rsidR="00F348A8">
        <w:rPr>
          <w:rFonts w:ascii="Times New Roman" w:hAnsi="Times New Roman"/>
          <w:sz w:val="24"/>
          <w:szCs w:val="24"/>
        </w:rPr>
        <w:t xml:space="preserve">.  </w:t>
      </w:r>
      <w:r w:rsidR="00010536">
        <w:rPr>
          <w:rFonts w:ascii="Times New Roman" w:hAnsi="Times New Roman"/>
          <w:sz w:val="24"/>
          <w:szCs w:val="24"/>
        </w:rPr>
        <w:t xml:space="preserve">This would result in the loss company transferring less imputation credits but the profit company paying more tax so the same amount of credits could be attached to the dividend.  </w:t>
      </w:r>
      <w:r w:rsidR="00F348A8">
        <w:rPr>
          <w:rFonts w:ascii="Times New Roman" w:hAnsi="Times New Roman"/>
          <w:sz w:val="24"/>
          <w:szCs w:val="24"/>
        </w:rPr>
        <w:t xml:space="preserve">While this would more accurately reflect the commonly-owned group’s share of the profit company’s profit, officials are not recommending this change as it would disadvantage many existing commonly-owned groups.  Rather than placing restrictions on the proportion of losses able to be grouped, companies for whom this issue may arise could manage </w:t>
      </w:r>
      <w:proofErr w:type="gramStart"/>
      <w:r w:rsidR="00F348A8">
        <w:rPr>
          <w:rFonts w:ascii="Times New Roman" w:hAnsi="Times New Roman"/>
          <w:sz w:val="24"/>
          <w:szCs w:val="24"/>
        </w:rPr>
        <w:t>this</w:t>
      </w:r>
      <w:proofErr w:type="gramEnd"/>
      <w:r w:rsidR="00F348A8">
        <w:rPr>
          <w:rFonts w:ascii="Times New Roman" w:hAnsi="Times New Roman"/>
          <w:sz w:val="24"/>
          <w:szCs w:val="24"/>
        </w:rPr>
        <w:t xml:space="preserve"> themselves by </w:t>
      </w:r>
      <w:r>
        <w:rPr>
          <w:rFonts w:ascii="Times New Roman" w:hAnsi="Times New Roman"/>
          <w:sz w:val="24"/>
          <w:szCs w:val="24"/>
        </w:rPr>
        <w:t>choosing to group fewer losses.</w:t>
      </w:r>
    </w:p>
    <w:p w:rsidR="00C74B45" w:rsidRDefault="00C74B45" w:rsidP="00C74B45">
      <w:pPr>
        <w:pStyle w:val="Bullet-list"/>
        <w:spacing w:after="0" w:line="240" w:lineRule="auto"/>
        <w:ind w:left="0" w:firstLine="0"/>
        <w:jc w:val="both"/>
        <w:rPr>
          <w:rFonts w:ascii="Times New Roman" w:hAnsi="Times New Roman"/>
          <w:sz w:val="24"/>
          <w:szCs w:val="24"/>
        </w:rPr>
      </w:pPr>
    </w:p>
    <w:p w:rsidR="00B83FD7" w:rsidRPr="00B83FD7" w:rsidRDefault="00B83FD7" w:rsidP="00C74B45">
      <w:pPr>
        <w:pStyle w:val="Bullet-list"/>
        <w:spacing w:after="0" w:line="240" w:lineRule="auto"/>
        <w:ind w:left="0" w:firstLine="0"/>
        <w:jc w:val="both"/>
        <w:rPr>
          <w:rFonts w:ascii="Times New Roman" w:hAnsi="Times New Roman"/>
          <w:b/>
          <w:i/>
          <w:sz w:val="24"/>
          <w:szCs w:val="24"/>
        </w:rPr>
      </w:pPr>
      <w:r w:rsidRPr="00B83FD7">
        <w:rPr>
          <w:rFonts w:ascii="Times New Roman" w:hAnsi="Times New Roman"/>
          <w:b/>
          <w:i/>
          <w:sz w:val="24"/>
          <w:szCs w:val="24"/>
        </w:rPr>
        <w:t>Assessment against criteria</w:t>
      </w:r>
    </w:p>
    <w:p w:rsidR="00B83FD7" w:rsidRDefault="00B83FD7" w:rsidP="00C74B45">
      <w:pPr>
        <w:pStyle w:val="Bullet-list"/>
        <w:spacing w:after="0" w:line="240" w:lineRule="auto"/>
        <w:ind w:left="0" w:firstLine="0"/>
        <w:jc w:val="both"/>
        <w:rPr>
          <w:rFonts w:ascii="Times New Roman" w:hAnsi="Times New Roman"/>
          <w:sz w:val="24"/>
          <w:szCs w:val="24"/>
        </w:rPr>
      </w:pPr>
    </w:p>
    <w:p w:rsidR="007066D5" w:rsidRDefault="007066D5" w:rsidP="00C74B45">
      <w:pPr>
        <w:pStyle w:val="Bullet-list"/>
        <w:spacing w:after="0" w:line="240" w:lineRule="auto"/>
        <w:ind w:left="0" w:firstLine="0"/>
        <w:jc w:val="both"/>
        <w:rPr>
          <w:rFonts w:ascii="Times New Roman" w:hAnsi="Times New Roman"/>
          <w:sz w:val="24"/>
          <w:szCs w:val="24"/>
        </w:rPr>
      </w:pPr>
      <w:r w:rsidRPr="007066D5">
        <w:rPr>
          <w:rFonts w:ascii="Times New Roman" w:hAnsi="Times New Roman"/>
          <w:sz w:val="24"/>
          <w:szCs w:val="24"/>
          <w:lang w:val="en-NZ"/>
        </w:rPr>
        <w:fldChar w:fldCharType="begin"/>
      </w:r>
      <w:r w:rsidRPr="007066D5">
        <w:rPr>
          <w:rFonts w:ascii="Times New Roman" w:hAnsi="Times New Roman"/>
          <w:sz w:val="24"/>
          <w:szCs w:val="24"/>
          <w:lang w:val="en-NZ"/>
        </w:rPr>
        <w:instrText xml:space="preserve"> AUTONUM  </w:instrText>
      </w:r>
      <w:r w:rsidRPr="007066D5">
        <w:rPr>
          <w:rFonts w:ascii="Times New Roman" w:hAnsi="Times New Roman"/>
          <w:sz w:val="24"/>
          <w:szCs w:val="24"/>
        </w:rPr>
        <w:fldChar w:fldCharType="end"/>
      </w:r>
      <w:r w:rsidRPr="007066D5">
        <w:rPr>
          <w:rFonts w:ascii="Times New Roman" w:hAnsi="Times New Roman"/>
          <w:sz w:val="24"/>
          <w:szCs w:val="24"/>
          <w:lang w:val="en-NZ"/>
        </w:rPr>
        <w:tab/>
      </w:r>
      <w:r>
        <w:rPr>
          <w:rFonts w:ascii="Times New Roman" w:hAnsi="Times New Roman"/>
          <w:sz w:val="24"/>
          <w:szCs w:val="24"/>
        </w:rPr>
        <w:t>This option would meet the main objective</w:t>
      </w:r>
      <w:r w:rsidR="00046788">
        <w:rPr>
          <w:rFonts w:ascii="Times New Roman" w:hAnsi="Times New Roman"/>
          <w:sz w:val="24"/>
          <w:szCs w:val="24"/>
        </w:rPr>
        <w:t xml:space="preserve"> and the economic efficiency </w:t>
      </w:r>
      <w:r w:rsidR="007708C6">
        <w:rPr>
          <w:rFonts w:ascii="Times New Roman" w:hAnsi="Times New Roman"/>
          <w:sz w:val="24"/>
          <w:szCs w:val="24"/>
        </w:rPr>
        <w:t>criterion</w:t>
      </w:r>
      <w:r w:rsidR="00CE2384">
        <w:rPr>
          <w:rFonts w:ascii="Times New Roman" w:hAnsi="Times New Roman"/>
          <w:sz w:val="24"/>
          <w:szCs w:val="24"/>
        </w:rPr>
        <w:t xml:space="preserve"> as it removes the tax disadvantage from the interaction from the two sets of rules</w:t>
      </w:r>
      <w:r>
        <w:rPr>
          <w:rFonts w:ascii="Times New Roman" w:hAnsi="Times New Roman"/>
          <w:sz w:val="24"/>
          <w:szCs w:val="24"/>
        </w:rPr>
        <w:t>.</w:t>
      </w:r>
    </w:p>
    <w:p w:rsidR="007066D5" w:rsidRDefault="007066D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010536">
        <w:rPr>
          <w:rFonts w:ascii="Times New Roman" w:hAnsi="Times New Roman"/>
          <w:sz w:val="24"/>
          <w:szCs w:val="24"/>
        </w:rPr>
        <w:t xml:space="preserve">This option fully meets the </w:t>
      </w:r>
      <w:r w:rsidR="00B83FD7">
        <w:rPr>
          <w:rFonts w:ascii="Times New Roman" w:hAnsi="Times New Roman"/>
          <w:sz w:val="24"/>
          <w:szCs w:val="24"/>
        </w:rPr>
        <w:t>effectiveness criterion</w:t>
      </w:r>
      <w:r w:rsidR="00010536">
        <w:rPr>
          <w:rFonts w:ascii="Times New Roman" w:hAnsi="Times New Roman"/>
          <w:sz w:val="24"/>
          <w:szCs w:val="24"/>
        </w:rPr>
        <w:t xml:space="preserve"> as only those companies that </w:t>
      </w:r>
      <w:r w:rsidR="00B83FD7">
        <w:rPr>
          <w:rFonts w:ascii="Times New Roman" w:hAnsi="Times New Roman"/>
          <w:sz w:val="24"/>
          <w:szCs w:val="24"/>
        </w:rPr>
        <w:t xml:space="preserve">are </w:t>
      </w:r>
      <w:r w:rsidR="00010536">
        <w:rPr>
          <w:rFonts w:ascii="Times New Roman" w:hAnsi="Times New Roman"/>
          <w:sz w:val="24"/>
          <w:szCs w:val="24"/>
        </w:rPr>
        <w:t xml:space="preserve">part of a non-wholly owned group that are also grouping losses would be able to </w:t>
      </w:r>
      <w:r w:rsidR="00EF3A82">
        <w:rPr>
          <w:rFonts w:ascii="Times New Roman" w:hAnsi="Times New Roman"/>
          <w:sz w:val="24"/>
          <w:szCs w:val="24"/>
        </w:rPr>
        <w:t>transfer imputation credits.</w:t>
      </w:r>
    </w:p>
    <w:p w:rsidR="00C74B45" w:rsidRDefault="00C74B45" w:rsidP="00C74B45">
      <w:pPr>
        <w:pStyle w:val="Bullet-list"/>
        <w:spacing w:after="0" w:line="240" w:lineRule="auto"/>
        <w:ind w:left="0" w:firstLine="0"/>
        <w:jc w:val="both"/>
        <w:rPr>
          <w:rFonts w:ascii="Times New Roman" w:hAnsi="Times New Roman"/>
          <w:sz w:val="24"/>
          <w:szCs w:val="24"/>
        </w:rPr>
      </w:pPr>
    </w:p>
    <w:p w:rsidR="00EA0207"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EF3A82">
        <w:rPr>
          <w:rFonts w:ascii="Times New Roman" w:hAnsi="Times New Roman"/>
          <w:sz w:val="24"/>
          <w:szCs w:val="24"/>
        </w:rPr>
        <w:t xml:space="preserve">This option fully </w:t>
      </w:r>
      <w:r w:rsidR="00B83FD7">
        <w:rPr>
          <w:rFonts w:ascii="Times New Roman" w:hAnsi="Times New Roman"/>
          <w:sz w:val="24"/>
          <w:szCs w:val="24"/>
        </w:rPr>
        <w:t>meet</w:t>
      </w:r>
      <w:r w:rsidR="007708C6">
        <w:rPr>
          <w:rFonts w:ascii="Times New Roman" w:hAnsi="Times New Roman"/>
          <w:sz w:val="24"/>
          <w:szCs w:val="24"/>
        </w:rPr>
        <w:t>s</w:t>
      </w:r>
      <w:r w:rsidR="00B83FD7">
        <w:rPr>
          <w:rFonts w:ascii="Times New Roman" w:hAnsi="Times New Roman"/>
          <w:sz w:val="24"/>
          <w:szCs w:val="24"/>
        </w:rPr>
        <w:t xml:space="preserve"> </w:t>
      </w:r>
      <w:r w:rsidR="00EF3A82">
        <w:rPr>
          <w:rFonts w:ascii="Times New Roman" w:hAnsi="Times New Roman"/>
          <w:sz w:val="24"/>
          <w:szCs w:val="24"/>
        </w:rPr>
        <w:t xml:space="preserve">the </w:t>
      </w:r>
      <w:r w:rsidR="00B83FD7">
        <w:rPr>
          <w:rFonts w:ascii="Times New Roman" w:hAnsi="Times New Roman"/>
          <w:sz w:val="24"/>
          <w:szCs w:val="24"/>
        </w:rPr>
        <w:t>integrity and coherence criterion</w:t>
      </w:r>
      <w:r w:rsidR="00EF3A82">
        <w:rPr>
          <w:rFonts w:ascii="Times New Roman" w:hAnsi="Times New Roman"/>
          <w:sz w:val="24"/>
          <w:szCs w:val="24"/>
        </w:rPr>
        <w:t xml:space="preserve">.  </w:t>
      </w:r>
      <w:r w:rsidR="00596172">
        <w:rPr>
          <w:rFonts w:ascii="Times New Roman" w:hAnsi="Times New Roman"/>
          <w:sz w:val="24"/>
          <w:szCs w:val="24"/>
        </w:rPr>
        <w:t>This is because</w:t>
      </w:r>
      <w:r w:rsidR="00EF3A82">
        <w:rPr>
          <w:rFonts w:ascii="Times New Roman" w:hAnsi="Times New Roman"/>
          <w:sz w:val="24"/>
          <w:szCs w:val="24"/>
        </w:rPr>
        <w:t xml:space="preserve"> the amount of the imputation credits </w:t>
      </w:r>
      <w:r w:rsidR="00B83FD7">
        <w:rPr>
          <w:rFonts w:ascii="Times New Roman" w:hAnsi="Times New Roman"/>
          <w:sz w:val="24"/>
          <w:szCs w:val="24"/>
        </w:rPr>
        <w:t xml:space="preserve">would be </w:t>
      </w:r>
      <w:r w:rsidR="00EF3A82">
        <w:rPr>
          <w:rFonts w:ascii="Times New Roman" w:hAnsi="Times New Roman"/>
          <w:sz w:val="24"/>
          <w:szCs w:val="24"/>
        </w:rPr>
        <w:t>capped at the tax value of the loss transfer</w:t>
      </w:r>
      <w:r w:rsidR="00596172">
        <w:rPr>
          <w:rFonts w:ascii="Times New Roman" w:hAnsi="Times New Roman"/>
          <w:sz w:val="24"/>
          <w:szCs w:val="24"/>
        </w:rPr>
        <w:t xml:space="preserve"> (</w:t>
      </w:r>
      <w:r w:rsidR="00C7057E">
        <w:rPr>
          <w:rFonts w:ascii="Times New Roman" w:hAnsi="Times New Roman"/>
          <w:sz w:val="24"/>
          <w:szCs w:val="24"/>
        </w:rPr>
        <w:t xml:space="preserve">in example 3 </w:t>
      </w:r>
      <w:r w:rsidR="00596172">
        <w:rPr>
          <w:rFonts w:ascii="Times New Roman" w:hAnsi="Times New Roman"/>
          <w:sz w:val="24"/>
          <w:szCs w:val="24"/>
        </w:rPr>
        <w:t>19,000 x 0.28 = 5,320) and therefore</w:t>
      </w:r>
      <w:r w:rsidR="00EF3A82">
        <w:rPr>
          <w:rFonts w:ascii="Times New Roman" w:hAnsi="Times New Roman"/>
          <w:sz w:val="24"/>
          <w:szCs w:val="24"/>
        </w:rPr>
        <w:t xml:space="preserve"> the tax reduction from the payment of an imputed dividend </w:t>
      </w:r>
      <w:r w:rsidR="00B83FD7">
        <w:rPr>
          <w:rFonts w:ascii="Times New Roman" w:hAnsi="Times New Roman"/>
          <w:sz w:val="24"/>
          <w:szCs w:val="24"/>
        </w:rPr>
        <w:t xml:space="preserve">could </w:t>
      </w:r>
      <w:r w:rsidR="00EF3A82">
        <w:rPr>
          <w:rFonts w:ascii="Times New Roman" w:hAnsi="Times New Roman"/>
          <w:sz w:val="24"/>
          <w:szCs w:val="24"/>
        </w:rPr>
        <w:t xml:space="preserve">only be equal to the tax that would have otherwise been paid if the loss transfer had not occurred.  While the initial transfer of imputation credits </w:t>
      </w:r>
      <w:r w:rsidR="00B83FD7">
        <w:rPr>
          <w:rFonts w:ascii="Times New Roman" w:hAnsi="Times New Roman"/>
          <w:sz w:val="24"/>
          <w:szCs w:val="24"/>
        </w:rPr>
        <w:t>would create</w:t>
      </w:r>
      <w:r w:rsidR="00EF3A82">
        <w:rPr>
          <w:rFonts w:ascii="Times New Roman" w:hAnsi="Times New Roman"/>
          <w:sz w:val="24"/>
          <w:szCs w:val="24"/>
        </w:rPr>
        <w:t xml:space="preserve"> a</w:t>
      </w:r>
      <w:r w:rsidR="0030637D">
        <w:rPr>
          <w:rFonts w:ascii="Times New Roman" w:hAnsi="Times New Roman"/>
          <w:sz w:val="24"/>
          <w:szCs w:val="24"/>
        </w:rPr>
        <w:t>n</w:t>
      </w:r>
      <w:r w:rsidR="00EF3A82">
        <w:rPr>
          <w:rFonts w:ascii="Times New Roman" w:hAnsi="Times New Roman"/>
          <w:sz w:val="24"/>
          <w:szCs w:val="24"/>
        </w:rPr>
        <w:t xml:space="preserve"> imputation credit account debit</w:t>
      </w:r>
      <w:r w:rsidR="00596172">
        <w:rPr>
          <w:rFonts w:ascii="Times New Roman" w:hAnsi="Times New Roman"/>
          <w:sz w:val="24"/>
          <w:szCs w:val="24"/>
        </w:rPr>
        <w:t>,</w:t>
      </w:r>
      <w:r w:rsidR="00EF3A82">
        <w:rPr>
          <w:rFonts w:ascii="Times New Roman" w:hAnsi="Times New Roman"/>
          <w:sz w:val="24"/>
          <w:szCs w:val="24"/>
        </w:rPr>
        <w:t xml:space="preserve"> any risk </w:t>
      </w:r>
      <w:r w:rsidR="00B83FD7">
        <w:rPr>
          <w:rFonts w:ascii="Times New Roman" w:hAnsi="Times New Roman"/>
          <w:sz w:val="24"/>
          <w:szCs w:val="24"/>
        </w:rPr>
        <w:t xml:space="preserve">would be </w:t>
      </w:r>
      <w:r w:rsidR="0030637D">
        <w:rPr>
          <w:rFonts w:ascii="Times New Roman" w:hAnsi="Times New Roman"/>
          <w:sz w:val="24"/>
          <w:szCs w:val="24"/>
        </w:rPr>
        <w:t>mitigated by: requiring the transfer at the same time the dividend is paid; allowing the recipient of the dividend to transfer the credits rather than the loss company; and strengthening the imputation credit shopping rules.</w:t>
      </w:r>
    </w:p>
    <w:p w:rsidR="00C74B45" w:rsidRDefault="00C74B45" w:rsidP="00C74B45">
      <w:pPr>
        <w:pStyle w:val="Bullet-list"/>
        <w:spacing w:after="0" w:line="240" w:lineRule="auto"/>
        <w:ind w:left="0" w:firstLine="0"/>
        <w:jc w:val="both"/>
        <w:rPr>
          <w:rFonts w:ascii="Times New Roman" w:hAnsi="Times New Roman"/>
          <w:sz w:val="24"/>
          <w:szCs w:val="24"/>
        </w:rPr>
      </w:pPr>
    </w:p>
    <w:p w:rsidR="001C0F8D" w:rsidRDefault="00C74B45" w:rsidP="00A71607">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B83FD7">
        <w:rPr>
          <w:rFonts w:ascii="Times New Roman" w:hAnsi="Times New Roman"/>
          <w:sz w:val="24"/>
          <w:szCs w:val="24"/>
        </w:rPr>
        <w:t>Although</w:t>
      </w:r>
      <w:r w:rsidR="00EA0207">
        <w:rPr>
          <w:rFonts w:ascii="Times New Roman" w:hAnsi="Times New Roman"/>
          <w:sz w:val="24"/>
          <w:szCs w:val="24"/>
        </w:rPr>
        <w:t xml:space="preserve"> this option </w:t>
      </w:r>
      <w:r w:rsidR="00B83FD7">
        <w:rPr>
          <w:rFonts w:ascii="Times New Roman" w:hAnsi="Times New Roman"/>
          <w:sz w:val="24"/>
          <w:szCs w:val="24"/>
        </w:rPr>
        <w:t>would introduce</w:t>
      </w:r>
      <w:r w:rsidR="00EA0207">
        <w:rPr>
          <w:rFonts w:ascii="Times New Roman" w:hAnsi="Times New Roman"/>
          <w:sz w:val="24"/>
          <w:szCs w:val="24"/>
        </w:rPr>
        <w:t xml:space="preserve"> an extra degree of </w:t>
      </w:r>
      <w:r w:rsidR="00B83FD7">
        <w:rPr>
          <w:rFonts w:ascii="Times New Roman" w:hAnsi="Times New Roman"/>
          <w:sz w:val="24"/>
          <w:szCs w:val="24"/>
        </w:rPr>
        <w:t>compliance and administration costs</w:t>
      </w:r>
      <w:r w:rsidR="00596172">
        <w:rPr>
          <w:rFonts w:ascii="Times New Roman" w:hAnsi="Times New Roman"/>
          <w:sz w:val="24"/>
          <w:szCs w:val="24"/>
        </w:rPr>
        <w:t>,</w:t>
      </w:r>
      <w:r w:rsidR="00EA0207">
        <w:rPr>
          <w:rFonts w:ascii="Times New Roman" w:hAnsi="Times New Roman"/>
          <w:sz w:val="24"/>
          <w:szCs w:val="24"/>
        </w:rPr>
        <w:t xml:space="preserve"> this </w:t>
      </w:r>
      <w:r w:rsidR="00B83FD7">
        <w:rPr>
          <w:rFonts w:ascii="Times New Roman" w:hAnsi="Times New Roman"/>
          <w:sz w:val="24"/>
          <w:szCs w:val="24"/>
        </w:rPr>
        <w:t xml:space="preserve">complexity </w:t>
      </w:r>
      <w:r w:rsidR="00EA0207">
        <w:rPr>
          <w:rFonts w:ascii="Times New Roman" w:hAnsi="Times New Roman"/>
          <w:sz w:val="24"/>
          <w:szCs w:val="24"/>
        </w:rPr>
        <w:t xml:space="preserve">is in many cases </w:t>
      </w:r>
      <w:r w:rsidR="00B83FD7">
        <w:rPr>
          <w:rFonts w:ascii="Times New Roman" w:hAnsi="Times New Roman"/>
          <w:sz w:val="24"/>
          <w:szCs w:val="24"/>
        </w:rPr>
        <w:t xml:space="preserve">less </w:t>
      </w:r>
      <w:r w:rsidR="00EA0207">
        <w:rPr>
          <w:rFonts w:ascii="Times New Roman" w:hAnsi="Times New Roman"/>
          <w:sz w:val="24"/>
          <w:szCs w:val="24"/>
        </w:rPr>
        <w:t xml:space="preserve">than </w:t>
      </w:r>
      <w:r w:rsidR="00B83FD7">
        <w:rPr>
          <w:rFonts w:ascii="Times New Roman" w:hAnsi="Times New Roman"/>
          <w:sz w:val="24"/>
          <w:szCs w:val="24"/>
        </w:rPr>
        <w:t xml:space="preserve">when compared to the </w:t>
      </w:r>
      <w:r w:rsidR="00EA0207">
        <w:rPr>
          <w:rFonts w:ascii="Times New Roman" w:hAnsi="Times New Roman"/>
          <w:sz w:val="24"/>
          <w:szCs w:val="24"/>
        </w:rPr>
        <w:t xml:space="preserve">other options as </w:t>
      </w:r>
      <w:r w:rsidR="00B83FD7">
        <w:rPr>
          <w:rFonts w:ascii="Times New Roman" w:hAnsi="Times New Roman"/>
          <w:sz w:val="24"/>
          <w:szCs w:val="24"/>
        </w:rPr>
        <w:t xml:space="preserve">the option </w:t>
      </w:r>
      <w:r w:rsidR="00EA0207">
        <w:rPr>
          <w:rFonts w:ascii="Times New Roman" w:hAnsi="Times New Roman"/>
          <w:sz w:val="24"/>
          <w:szCs w:val="24"/>
        </w:rPr>
        <w:t xml:space="preserve">relies on the existing imputation system which is widely understood.  </w:t>
      </w:r>
      <w:r w:rsidR="00B83FD7">
        <w:rPr>
          <w:rFonts w:ascii="Times New Roman" w:hAnsi="Times New Roman"/>
          <w:sz w:val="24"/>
          <w:szCs w:val="24"/>
        </w:rPr>
        <w:t>In addition, i</w:t>
      </w:r>
      <w:r w:rsidR="00EA0207">
        <w:rPr>
          <w:rFonts w:ascii="Times New Roman" w:hAnsi="Times New Roman"/>
          <w:sz w:val="24"/>
          <w:szCs w:val="24"/>
        </w:rPr>
        <w:t xml:space="preserve">t is also a voluntary process so taxpayers can quickly calculate whether it </w:t>
      </w:r>
      <w:r w:rsidR="00B83FD7">
        <w:rPr>
          <w:rFonts w:ascii="Times New Roman" w:hAnsi="Times New Roman"/>
          <w:sz w:val="24"/>
          <w:szCs w:val="24"/>
        </w:rPr>
        <w:t xml:space="preserve">would </w:t>
      </w:r>
      <w:r w:rsidR="00EA0207">
        <w:rPr>
          <w:rFonts w:ascii="Times New Roman" w:hAnsi="Times New Roman"/>
          <w:sz w:val="24"/>
          <w:szCs w:val="24"/>
        </w:rPr>
        <w:t>b</w:t>
      </w:r>
      <w:r w:rsidR="00A71607">
        <w:rPr>
          <w:rFonts w:ascii="Times New Roman" w:hAnsi="Times New Roman"/>
          <w:sz w:val="24"/>
          <w:szCs w:val="24"/>
        </w:rPr>
        <w:t>e cost effective to elect into.</w:t>
      </w:r>
    </w:p>
    <w:p w:rsidR="00A71607" w:rsidRDefault="00A71607" w:rsidP="00A71607">
      <w:pPr>
        <w:pStyle w:val="Bullet-list"/>
        <w:spacing w:after="0" w:line="240" w:lineRule="auto"/>
        <w:ind w:left="0" w:firstLine="0"/>
        <w:jc w:val="both"/>
        <w:rPr>
          <w:rFonts w:ascii="Times New Roman" w:hAnsi="Times New Roman"/>
          <w:sz w:val="24"/>
          <w:szCs w:val="24"/>
        </w:rPr>
      </w:pPr>
    </w:p>
    <w:p w:rsidR="00A71607" w:rsidRPr="00A71607" w:rsidRDefault="00A71607" w:rsidP="00A71607">
      <w:pPr>
        <w:pStyle w:val="Bullet-list"/>
        <w:spacing w:after="0" w:line="240" w:lineRule="auto"/>
        <w:ind w:left="0" w:firstLine="0"/>
        <w:jc w:val="both"/>
        <w:rPr>
          <w:rFonts w:ascii="Times New Roman" w:hAnsi="Times New Roman"/>
          <w:sz w:val="24"/>
          <w:szCs w:val="24"/>
        </w:rPr>
      </w:pPr>
    </w:p>
    <w:p w:rsidR="00755047" w:rsidRDefault="00755047" w:rsidP="00C74B45">
      <w:pPr>
        <w:pStyle w:val="Bullet-list"/>
        <w:spacing w:after="0" w:line="240" w:lineRule="auto"/>
        <w:ind w:left="0" w:firstLine="0"/>
        <w:jc w:val="both"/>
        <w:rPr>
          <w:rFonts w:ascii="Times New Roman" w:hAnsi="Times New Roman"/>
          <w:b/>
          <w:sz w:val="24"/>
          <w:szCs w:val="24"/>
        </w:rPr>
      </w:pPr>
    </w:p>
    <w:p w:rsidR="00755047" w:rsidRDefault="00755047">
      <w:pPr>
        <w:spacing w:after="0" w:line="240" w:lineRule="auto"/>
        <w:rPr>
          <w:rFonts w:ascii="Times New Roman" w:hAnsi="Times New Roman"/>
          <w:b/>
          <w:sz w:val="24"/>
          <w:szCs w:val="24"/>
          <w:lang w:val="en-AU" w:eastAsia="en-US"/>
        </w:rPr>
      </w:pPr>
      <w:r>
        <w:rPr>
          <w:rFonts w:ascii="Times New Roman" w:hAnsi="Times New Roman"/>
          <w:b/>
          <w:sz w:val="24"/>
          <w:szCs w:val="24"/>
        </w:rPr>
        <w:br w:type="page"/>
      </w:r>
    </w:p>
    <w:p w:rsidR="00C74B45" w:rsidRDefault="00410D34" w:rsidP="00C74B45">
      <w:pPr>
        <w:pStyle w:val="Bullet-list"/>
        <w:spacing w:after="0" w:line="240" w:lineRule="auto"/>
        <w:ind w:left="0" w:firstLine="0"/>
        <w:jc w:val="both"/>
        <w:rPr>
          <w:rFonts w:ascii="Times New Roman" w:hAnsi="Times New Roman"/>
          <w:b/>
          <w:sz w:val="24"/>
          <w:szCs w:val="24"/>
        </w:rPr>
      </w:pPr>
      <w:r w:rsidRPr="001329DC">
        <w:rPr>
          <w:rFonts w:ascii="Times New Roman" w:hAnsi="Times New Roman"/>
          <w:b/>
          <w:sz w:val="24"/>
          <w:szCs w:val="24"/>
        </w:rPr>
        <w:t>Option 3:</w:t>
      </w:r>
      <w:r w:rsidRPr="001329DC">
        <w:rPr>
          <w:rFonts w:ascii="Times New Roman" w:hAnsi="Times New Roman"/>
          <w:b/>
          <w:sz w:val="24"/>
          <w:szCs w:val="24"/>
        </w:rPr>
        <w:tab/>
        <w:t>Introduce a targeted exemption for divi</w:t>
      </w:r>
      <w:r w:rsidR="00C74B45">
        <w:rPr>
          <w:rFonts w:ascii="Times New Roman" w:hAnsi="Times New Roman"/>
          <w:b/>
          <w:sz w:val="24"/>
          <w:szCs w:val="24"/>
        </w:rPr>
        <w:t>dends following a loss transfer</w:t>
      </w:r>
    </w:p>
    <w:p w:rsidR="00C74B45" w:rsidRDefault="00C74B4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B83FD7">
        <w:rPr>
          <w:rFonts w:ascii="Times New Roman" w:hAnsi="Times New Roman"/>
          <w:sz w:val="24"/>
          <w:szCs w:val="24"/>
        </w:rPr>
        <w:t xml:space="preserve">Option 3 </w:t>
      </w:r>
      <w:r w:rsidR="008E0AF8">
        <w:rPr>
          <w:rFonts w:ascii="Times New Roman" w:hAnsi="Times New Roman"/>
          <w:sz w:val="24"/>
          <w:szCs w:val="24"/>
        </w:rPr>
        <w:t xml:space="preserve">would operate </w:t>
      </w:r>
      <w:r w:rsidR="007066D5">
        <w:rPr>
          <w:rFonts w:ascii="Times New Roman" w:hAnsi="Times New Roman"/>
          <w:sz w:val="24"/>
          <w:szCs w:val="24"/>
        </w:rPr>
        <w:t xml:space="preserve">in a </w:t>
      </w:r>
      <w:r w:rsidR="008E0AF8">
        <w:rPr>
          <w:rFonts w:ascii="Times New Roman" w:hAnsi="Times New Roman"/>
          <w:sz w:val="24"/>
          <w:szCs w:val="24"/>
        </w:rPr>
        <w:t xml:space="preserve">similar </w:t>
      </w:r>
      <w:r w:rsidR="007066D5">
        <w:rPr>
          <w:rFonts w:ascii="Times New Roman" w:hAnsi="Times New Roman"/>
          <w:sz w:val="24"/>
          <w:szCs w:val="24"/>
        </w:rPr>
        <w:t xml:space="preserve">way </w:t>
      </w:r>
      <w:r w:rsidR="008E0AF8">
        <w:rPr>
          <w:rFonts w:ascii="Times New Roman" w:hAnsi="Times New Roman"/>
          <w:sz w:val="24"/>
          <w:szCs w:val="24"/>
        </w:rPr>
        <w:t xml:space="preserve">to option 2 </w:t>
      </w:r>
      <w:r w:rsidR="007066D5">
        <w:rPr>
          <w:rFonts w:ascii="Times New Roman" w:hAnsi="Times New Roman"/>
          <w:sz w:val="24"/>
          <w:szCs w:val="24"/>
        </w:rPr>
        <w:t>as t</w:t>
      </w:r>
      <w:r w:rsidR="008E0AF8">
        <w:rPr>
          <w:rFonts w:ascii="Times New Roman" w:hAnsi="Times New Roman"/>
          <w:sz w:val="24"/>
          <w:szCs w:val="24"/>
        </w:rPr>
        <w:t>he group would need to identify which dividends were attributable to profits that had been subject to a loss transfer.  These dividends would then be non-taxable to their recipient.</w:t>
      </w:r>
    </w:p>
    <w:p w:rsidR="00C74B45" w:rsidRDefault="00C74B4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B83FD7">
        <w:rPr>
          <w:rFonts w:ascii="Times New Roman" w:hAnsi="Times New Roman"/>
          <w:sz w:val="24"/>
          <w:szCs w:val="24"/>
        </w:rPr>
        <w:t>Option 3</w:t>
      </w:r>
      <w:r w:rsidR="008E0AF8">
        <w:rPr>
          <w:rFonts w:ascii="Times New Roman" w:hAnsi="Times New Roman"/>
          <w:sz w:val="24"/>
          <w:szCs w:val="24"/>
        </w:rPr>
        <w:t xml:space="preserve"> would require a mechanism to track dividends paid and received as all dividends through a chain of companies </w:t>
      </w:r>
      <w:r w:rsidR="00D170DF">
        <w:rPr>
          <w:rFonts w:ascii="Times New Roman" w:hAnsi="Times New Roman"/>
          <w:sz w:val="24"/>
          <w:szCs w:val="24"/>
        </w:rPr>
        <w:t>(</w:t>
      </w:r>
      <w:r w:rsidR="008E0AF8">
        <w:rPr>
          <w:rFonts w:ascii="Times New Roman" w:hAnsi="Times New Roman"/>
          <w:sz w:val="24"/>
          <w:szCs w:val="24"/>
        </w:rPr>
        <w:t>including any dividends paid to minority shareholders</w:t>
      </w:r>
      <w:r w:rsidR="00D170DF">
        <w:rPr>
          <w:rFonts w:ascii="Times New Roman" w:hAnsi="Times New Roman"/>
          <w:sz w:val="24"/>
          <w:szCs w:val="24"/>
        </w:rPr>
        <w:t>)</w:t>
      </w:r>
      <w:r w:rsidR="008E0AF8">
        <w:rPr>
          <w:rFonts w:ascii="Times New Roman" w:hAnsi="Times New Roman"/>
          <w:sz w:val="24"/>
          <w:szCs w:val="24"/>
        </w:rPr>
        <w:t xml:space="preserve"> would have to retain their </w:t>
      </w:r>
      <w:r w:rsidR="00D170DF">
        <w:rPr>
          <w:rFonts w:ascii="Times New Roman" w:hAnsi="Times New Roman"/>
          <w:sz w:val="24"/>
          <w:szCs w:val="24"/>
        </w:rPr>
        <w:t>tax-</w:t>
      </w:r>
      <w:r w:rsidR="008E0AF8">
        <w:rPr>
          <w:rFonts w:ascii="Times New Roman" w:hAnsi="Times New Roman"/>
          <w:sz w:val="24"/>
          <w:szCs w:val="24"/>
        </w:rPr>
        <w:t xml:space="preserve">exempt status.  </w:t>
      </w:r>
      <w:r w:rsidR="007066D5">
        <w:rPr>
          <w:rFonts w:ascii="Times New Roman" w:hAnsi="Times New Roman"/>
          <w:sz w:val="24"/>
          <w:szCs w:val="24"/>
        </w:rPr>
        <w:t xml:space="preserve">This mechanism is likely to add considerable complexity to the option.  </w:t>
      </w:r>
      <w:r w:rsidR="008E0AF8">
        <w:rPr>
          <w:rFonts w:ascii="Times New Roman" w:hAnsi="Times New Roman"/>
          <w:sz w:val="24"/>
          <w:szCs w:val="24"/>
        </w:rPr>
        <w:t xml:space="preserve">In circumstances where a dividend was partially imputed or where it </w:t>
      </w:r>
      <w:r w:rsidR="00D170DF">
        <w:rPr>
          <w:rFonts w:ascii="Times New Roman" w:hAnsi="Times New Roman"/>
          <w:sz w:val="24"/>
          <w:szCs w:val="24"/>
        </w:rPr>
        <w:t>was</w:t>
      </w:r>
      <w:r w:rsidR="008E0AF8">
        <w:rPr>
          <w:rFonts w:ascii="Times New Roman" w:hAnsi="Times New Roman"/>
          <w:sz w:val="24"/>
          <w:szCs w:val="24"/>
        </w:rPr>
        <w:t xml:space="preserve"> partially unimputed </w:t>
      </w:r>
      <w:r w:rsidR="00D170DF">
        <w:rPr>
          <w:rFonts w:ascii="Times New Roman" w:hAnsi="Times New Roman"/>
          <w:sz w:val="24"/>
          <w:szCs w:val="24"/>
        </w:rPr>
        <w:t>for</w:t>
      </w:r>
      <w:r w:rsidR="008E0AF8">
        <w:rPr>
          <w:rFonts w:ascii="Times New Roman" w:hAnsi="Times New Roman"/>
          <w:sz w:val="24"/>
          <w:szCs w:val="24"/>
        </w:rPr>
        <w:t xml:space="preserve"> reasons other than the loss transfer</w:t>
      </w:r>
      <w:r w:rsidR="00D170DF">
        <w:rPr>
          <w:rFonts w:ascii="Times New Roman" w:hAnsi="Times New Roman"/>
          <w:sz w:val="24"/>
          <w:szCs w:val="24"/>
        </w:rPr>
        <w:t>,</w:t>
      </w:r>
      <w:r w:rsidR="008E0AF8">
        <w:rPr>
          <w:rFonts w:ascii="Times New Roman" w:hAnsi="Times New Roman"/>
          <w:sz w:val="24"/>
          <w:szCs w:val="24"/>
        </w:rPr>
        <w:t xml:space="preserve"> an apportionment mechanism would be required and this appor</w:t>
      </w:r>
      <w:r w:rsidR="007066D5">
        <w:rPr>
          <w:rFonts w:ascii="Times New Roman" w:hAnsi="Times New Roman"/>
          <w:sz w:val="24"/>
          <w:szCs w:val="24"/>
        </w:rPr>
        <w:t>tionment may change as it passes</w:t>
      </w:r>
      <w:r w:rsidR="008E0AF8">
        <w:rPr>
          <w:rFonts w:ascii="Times New Roman" w:hAnsi="Times New Roman"/>
          <w:sz w:val="24"/>
          <w:szCs w:val="24"/>
        </w:rPr>
        <w:t xml:space="preserve"> through an ownership chain.</w:t>
      </w:r>
    </w:p>
    <w:p w:rsidR="00C74B45" w:rsidRDefault="00C74B45" w:rsidP="00C74B45">
      <w:pPr>
        <w:pStyle w:val="Bullet-list"/>
        <w:spacing w:after="0" w:line="240" w:lineRule="auto"/>
        <w:ind w:left="0" w:firstLine="0"/>
        <w:jc w:val="both"/>
        <w:rPr>
          <w:rFonts w:ascii="Times New Roman" w:hAnsi="Times New Roman"/>
          <w:b/>
          <w:sz w:val="24"/>
          <w:szCs w:val="24"/>
        </w:rPr>
      </w:pPr>
    </w:p>
    <w:p w:rsidR="007066D5" w:rsidRPr="007066D5" w:rsidRDefault="007066D5" w:rsidP="00C74B45">
      <w:pPr>
        <w:pStyle w:val="Bullet-list"/>
        <w:spacing w:after="0" w:line="240" w:lineRule="auto"/>
        <w:ind w:left="0" w:firstLine="0"/>
        <w:jc w:val="both"/>
        <w:rPr>
          <w:rFonts w:ascii="Times New Roman" w:hAnsi="Times New Roman"/>
          <w:b/>
          <w:i/>
          <w:sz w:val="24"/>
          <w:szCs w:val="24"/>
        </w:rPr>
      </w:pPr>
      <w:r w:rsidRPr="007066D5">
        <w:rPr>
          <w:rFonts w:ascii="Times New Roman" w:hAnsi="Times New Roman"/>
          <w:b/>
          <w:i/>
          <w:sz w:val="24"/>
          <w:szCs w:val="24"/>
        </w:rPr>
        <w:t>Assessment against criteria</w:t>
      </w:r>
    </w:p>
    <w:p w:rsidR="007066D5" w:rsidRDefault="007066D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30637D">
        <w:rPr>
          <w:rFonts w:ascii="Times New Roman" w:hAnsi="Times New Roman"/>
          <w:sz w:val="24"/>
          <w:szCs w:val="24"/>
        </w:rPr>
        <w:t xml:space="preserve">Provided </w:t>
      </w:r>
      <w:r w:rsidR="007066D5">
        <w:rPr>
          <w:rFonts w:ascii="Times New Roman" w:hAnsi="Times New Roman"/>
          <w:sz w:val="24"/>
          <w:szCs w:val="24"/>
        </w:rPr>
        <w:t>the proposed tracking mechanism works</w:t>
      </w:r>
      <w:r w:rsidR="0030637D">
        <w:rPr>
          <w:rFonts w:ascii="Times New Roman" w:hAnsi="Times New Roman"/>
          <w:sz w:val="24"/>
          <w:szCs w:val="24"/>
        </w:rPr>
        <w:t xml:space="preserve"> correctly this </w:t>
      </w:r>
      <w:r w:rsidR="007066D5">
        <w:rPr>
          <w:rFonts w:ascii="Times New Roman" w:hAnsi="Times New Roman"/>
          <w:sz w:val="24"/>
          <w:szCs w:val="24"/>
        </w:rPr>
        <w:t xml:space="preserve">option </w:t>
      </w:r>
      <w:r w:rsidR="0030637D">
        <w:rPr>
          <w:rFonts w:ascii="Times New Roman" w:hAnsi="Times New Roman"/>
          <w:sz w:val="24"/>
          <w:szCs w:val="24"/>
        </w:rPr>
        <w:t xml:space="preserve">would </w:t>
      </w:r>
      <w:r w:rsidR="00EA0207">
        <w:rPr>
          <w:rFonts w:ascii="Times New Roman" w:hAnsi="Times New Roman"/>
          <w:sz w:val="24"/>
          <w:szCs w:val="24"/>
        </w:rPr>
        <w:t xml:space="preserve">achieve the main objective of removing the tax disadvantage.  However, </w:t>
      </w:r>
      <w:r w:rsidR="007066D5">
        <w:rPr>
          <w:rFonts w:ascii="Times New Roman" w:hAnsi="Times New Roman"/>
          <w:sz w:val="24"/>
          <w:szCs w:val="24"/>
        </w:rPr>
        <w:t xml:space="preserve">owing </w:t>
      </w:r>
      <w:r w:rsidR="00806888">
        <w:rPr>
          <w:rFonts w:ascii="Times New Roman" w:hAnsi="Times New Roman"/>
          <w:sz w:val="24"/>
          <w:szCs w:val="24"/>
        </w:rPr>
        <w:t xml:space="preserve">to the complexity of this option </w:t>
      </w:r>
      <w:r w:rsidR="00046788">
        <w:rPr>
          <w:rFonts w:ascii="Times New Roman" w:hAnsi="Times New Roman"/>
          <w:sz w:val="24"/>
          <w:szCs w:val="24"/>
        </w:rPr>
        <w:t>it may not be applied correctly in which case the economic efficiency criteria would not be met</w:t>
      </w:r>
      <w:r w:rsidR="00806888">
        <w:rPr>
          <w:rFonts w:ascii="Times New Roman" w:hAnsi="Times New Roman"/>
          <w:sz w:val="24"/>
          <w:szCs w:val="24"/>
        </w:rPr>
        <w:t>.  There would be potential for a group to both inadvertently understate the degree of exemption which would result in the tax disadvantage not being fully removed, or of the group to inadvertently or intentionally overstate the degree of exemption which would result in obtaining a tax exemption for income that was outside the scope of the proposal.</w:t>
      </w:r>
    </w:p>
    <w:p w:rsidR="00C74B45" w:rsidRDefault="00C74B4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7066D5">
        <w:rPr>
          <w:rFonts w:ascii="Times New Roman" w:hAnsi="Times New Roman"/>
          <w:sz w:val="24"/>
          <w:szCs w:val="24"/>
        </w:rPr>
        <w:t>Similarly, t</w:t>
      </w:r>
      <w:r w:rsidR="00806888">
        <w:rPr>
          <w:rFonts w:ascii="Times New Roman" w:hAnsi="Times New Roman"/>
          <w:sz w:val="24"/>
          <w:szCs w:val="24"/>
        </w:rPr>
        <w:t xml:space="preserve">he </w:t>
      </w:r>
      <w:r w:rsidR="007066D5">
        <w:rPr>
          <w:rFonts w:ascii="Times New Roman" w:hAnsi="Times New Roman"/>
          <w:sz w:val="24"/>
          <w:szCs w:val="24"/>
        </w:rPr>
        <w:t xml:space="preserve">effectiveness criterion might not be met in all cases due </w:t>
      </w:r>
      <w:r w:rsidR="00806888">
        <w:rPr>
          <w:rFonts w:ascii="Times New Roman" w:hAnsi="Times New Roman"/>
          <w:sz w:val="24"/>
          <w:szCs w:val="24"/>
        </w:rPr>
        <w:t xml:space="preserve">to the complexity of </w:t>
      </w:r>
      <w:r w:rsidR="007066D5">
        <w:rPr>
          <w:rFonts w:ascii="Times New Roman" w:hAnsi="Times New Roman"/>
          <w:sz w:val="24"/>
          <w:szCs w:val="24"/>
        </w:rPr>
        <w:t xml:space="preserve">the </w:t>
      </w:r>
      <w:r w:rsidR="00806888">
        <w:rPr>
          <w:rFonts w:ascii="Times New Roman" w:hAnsi="Times New Roman"/>
          <w:sz w:val="24"/>
          <w:szCs w:val="24"/>
        </w:rPr>
        <w:t xml:space="preserve">tracking </w:t>
      </w:r>
      <w:r w:rsidR="007066D5">
        <w:rPr>
          <w:rFonts w:ascii="Times New Roman" w:hAnsi="Times New Roman"/>
          <w:sz w:val="24"/>
          <w:szCs w:val="24"/>
        </w:rPr>
        <w:t xml:space="preserve">and </w:t>
      </w:r>
      <w:r w:rsidR="00806888">
        <w:rPr>
          <w:rFonts w:ascii="Times New Roman" w:hAnsi="Times New Roman"/>
          <w:sz w:val="24"/>
          <w:szCs w:val="24"/>
        </w:rPr>
        <w:t xml:space="preserve">apportionment </w:t>
      </w:r>
      <w:r w:rsidR="007066D5">
        <w:rPr>
          <w:rFonts w:ascii="Times New Roman" w:hAnsi="Times New Roman"/>
          <w:sz w:val="24"/>
          <w:szCs w:val="24"/>
        </w:rPr>
        <w:t>mechanism</w:t>
      </w:r>
      <w:r w:rsidR="00B05BD5">
        <w:rPr>
          <w:rFonts w:ascii="Times New Roman" w:hAnsi="Times New Roman"/>
          <w:sz w:val="24"/>
          <w:szCs w:val="24"/>
        </w:rPr>
        <w:t>,</w:t>
      </w:r>
      <w:r w:rsidR="007066D5">
        <w:rPr>
          <w:rFonts w:ascii="Times New Roman" w:hAnsi="Times New Roman"/>
          <w:sz w:val="24"/>
          <w:szCs w:val="24"/>
        </w:rPr>
        <w:t xml:space="preserve"> which </w:t>
      </w:r>
      <w:r w:rsidR="00806888">
        <w:rPr>
          <w:rFonts w:ascii="Times New Roman" w:hAnsi="Times New Roman"/>
          <w:sz w:val="24"/>
          <w:szCs w:val="24"/>
        </w:rPr>
        <w:t xml:space="preserve">could </w:t>
      </w:r>
      <w:r w:rsidR="007066D5">
        <w:rPr>
          <w:rFonts w:ascii="Times New Roman" w:hAnsi="Times New Roman"/>
          <w:sz w:val="24"/>
          <w:szCs w:val="24"/>
        </w:rPr>
        <w:t xml:space="preserve">mean the option is </w:t>
      </w:r>
      <w:r w:rsidR="00806888">
        <w:rPr>
          <w:rFonts w:ascii="Times New Roman" w:hAnsi="Times New Roman"/>
          <w:sz w:val="24"/>
          <w:szCs w:val="24"/>
        </w:rPr>
        <w:t>applied too narrowly or too widely</w:t>
      </w:r>
      <w:r w:rsidR="0030637D">
        <w:rPr>
          <w:rFonts w:ascii="Times New Roman" w:hAnsi="Times New Roman"/>
          <w:sz w:val="24"/>
          <w:szCs w:val="24"/>
        </w:rPr>
        <w:t>.</w:t>
      </w:r>
    </w:p>
    <w:p w:rsidR="00C74B45" w:rsidRDefault="00C74B4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B05BD5">
        <w:rPr>
          <w:rFonts w:ascii="Times New Roman" w:hAnsi="Times New Roman"/>
          <w:sz w:val="24"/>
          <w:szCs w:val="24"/>
        </w:rPr>
        <w:t xml:space="preserve">Although </w:t>
      </w:r>
      <w:r w:rsidR="00806888">
        <w:rPr>
          <w:rFonts w:ascii="Times New Roman" w:hAnsi="Times New Roman"/>
          <w:sz w:val="24"/>
          <w:szCs w:val="24"/>
        </w:rPr>
        <w:t xml:space="preserve">there are other </w:t>
      </w:r>
      <w:r w:rsidR="00B05BD5">
        <w:rPr>
          <w:rFonts w:ascii="Times New Roman" w:hAnsi="Times New Roman"/>
          <w:sz w:val="24"/>
          <w:szCs w:val="24"/>
        </w:rPr>
        <w:t xml:space="preserve">provisions </w:t>
      </w:r>
      <w:r w:rsidR="00806888">
        <w:rPr>
          <w:rFonts w:ascii="Times New Roman" w:hAnsi="Times New Roman"/>
          <w:sz w:val="24"/>
          <w:szCs w:val="24"/>
        </w:rPr>
        <w:t>of the tax acts that allow for exempt income</w:t>
      </w:r>
      <w:r w:rsidR="00B00DFE">
        <w:rPr>
          <w:rFonts w:ascii="Times New Roman" w:hAnsi="Times New Roman"/>
          <w:sz w:val="24"/>
          <w:szCs w:val="24"/>
        </w:rPr>
        <w:t>,</w:t>
      </w:r>
      <w:r w:rsidR="00806888">
        <w:rPr>
          <w:rFonts w:ascii="Times New Roman" w:hAnsi="Times New Roman"/>
          <w:sz w:val="24"/>
          <w:szCs w:val="24"/>
        </w:rPr>
        <w:t xml:space="preserve"> this option would be relatively unique in that the exemption would have to flow through a number of companies </w:t>
      </w:r>
      <w:r w:rsidR="00806888" w:rsidRPr="00046788">
        <w:rPr>
          <w:rFonts w:ascii="Times New Roman" w:hAnsi="Times New Roman"/>
          <w:sz w:val="24"/>
          <w:szCs w:val="24"/>
        </w:rPr>
        <w:t>while not maintaining a distinct character</w:t>
      </w:r>
      <w:r w:rsidR="00046788" w:rsidRPr="00046788">
        <w:rPr>
          <w:rStyle w:val="FootnoteReference"/>
          <w:rFonts w:ascii="Times New Roman" w:hAnsi="Times New Roman"/>
          <w:sz w:val="20"/>
        </w:rPr>
        <w:footnoteReference w:id="9"/>
      </w:r>
      <w:r w:rsidR="00806888">
        <w:rPr>
          <w:rFonts w:ascii="Times New Roman" w:hAnsi="Times New Roman"/>
          <w:sz w:val="24"/>
          <w:szCs w:val="24"/>
        </w:rPr>
        <w:t xml:space="preserve">.  </w:t>
      </w:r>
      <w:r w:rsidR="00B05BD5">
        <w:rPr>
          <w:rFonts w:ascii="Times New Roman" w:hAnsi="Times New Roman"/>
          <w:sz w:val="24"/>
          <w:szCs w:val="24"/>
        </w:rPr>
        <w:t xml:space="preserve">Provided the proposed tracking mechanism is </w:t>
      </w:r>
      <w:r w:rsidR="00806888">
        <w:rPr>
          <w:rFonts w:ascii="Times New Roman" w:hAnsi="Times New Roman"/>
          <w:sz w:val="24"/>
          <w:szCs w:val="24"/>
        </w:rPr>
        <w:t xml:space="preserve">applied correctly it </w:t>
      </w:r>
      <w:r w:rsidR="00B05BD5">
        <w:rPr>
          <w:rFonts w:ascii="Times New Roman" w:hAnsi="Times New Roman"/>
          <w:sz w:val="24"/>
          <w:szCs w:val="24"/>
        </w:rPr>
        <w:t>c</w:t>
      </w:r>
      <w:r w:rsidR="00806888">
        <w:rPr>
          <w:rFonts w:ascii="Times New Roman" w:hAnsi="Times New Roman"/>
          <w:sz w:val="24"/>
          <w:szCs w:val="24"/>
        </w:rPr>
        <w:t xml:space="preserve">ould </w:t>
      </w:r>
      <w:r w:rsidR="00B05BD5">
        <w:rPr>
          <w:rFonts w:ascii="Times New Roman" w:hAnsi="Times New Roman"/>
          <w:sz w:val="24"/>
          <w:szCs w:val="24"/>
        </w:rPr>
        <w:t xml:space="preserve">help to </w:t>
      </w:r>
      <w:r w:rsidR="00806888">
        <w:rPr>
          <w:rFonts w:ascii="Times New Roman" w:hAnsi="Times New Roman"/>
          <w:sz w:val="24"/>
          <w:szCs w:val="24"/>
        </w:rPr>
        <w:t xml:space="preserve">improve the integrity </w:t>
      </w:r>
      <w:r w:rsidR="00B05BD5">
        <w:rPr>
          <w:rFonts w:ascii="Times New Roman" w:hAnsi="Times New Roman"/>
          <w:sz w:val="24"/>
          <w:szCs w:val="24"/>
        </w:rPr>
        <w:t xml:space="preserve">and coherency </w:t>
      </w:r>
      <w:r w:rsidR="00806888">
        <w:rPr>
          <w:rFonts w:ascii="Times New Roman" w:hAnsi="Times New Roman"/>
          <w:sz w:val="24"/>
          <w:szCs w:val="24"/>
        </w:rPr>
        <w:t xml:space="preserve">of the tax system; </w:t>
      </w:r>
      <w:r w:rsidR="00B05BD5">
        <w:rPr>
          <w:rFonts w:ascii="Times New Roman" w:hAnsi="Times New Roman"/>
          <w:sz w:val="24"/>
          <w:szCs w:val="24"/>
        </w:rPr>
        <w:t xml:space="preserve">but because of </w:t>
      </w:r>
      <w:r w:rsidR="00806888">
        <w:rPr>
          <w:rFonts w:ascii="Times New Roman" w:hAnsi="Times New Roman"/>
          <w:sz w:val="24"/>
          <w:szCs w:val="24"/>
        </w:rPr>
        <w:t>the potential for this to be applied incorrectly</w:t>
      </w:r>
      <w:r w:rsidR="00B05BD5">
        <w:rPr>
          <w:rFonts w:ascii="Times New Roman" w:hAnsi="Times New Roman"/>
          <w:sz w:val="24"/>
          <w:szCs w:val="24"/>
        </w:rPr>
        <w:t xml:space="preserve">, the integrity and coherency criterion would not be met.  </w:t>
      </w:r>
    </w:p>
    <w:p w:rsidR="00046788" w:rsidRDefault="00046788" w:rsidP="00C74B45">
      <w:pPr>
        <w:pStyle w:val="Bullet-list"/>
        <w:spacing w:after="0" w:line="240" w:lineRule="auto"/>
        <w:ind w:left="0" w:firstLine="0"/>
        <w:jc w:val="both"/>
        <w:rPr>
          <w:rFonts w:ascii="Times New Roman" w:hAnsi="Times New Roman"/>
          <w:sz w:val="24"/>
          <w:szCs w:val="24"/>
        </w:rPr>
      </w:pPr>
    </w:p>
    <w:p w:rsidR="00046788" w:rsidRDefault="00046788" w:rsidP="00046788">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Pr>
          <w:rFonts w:ascii="Times New Roman" w:hAnsi="Times New Roman"/>
          <w:sz w:val="24"/>
          <w:szCs w:val="24"/>
        </w:rPr>
        <w:t xml:space="preserve">Due to the complexity of the tracking mechanism this option would impose high compliance and administration costs so would not meet </w:t>
      </w:r>
      <w:r w:rsidR="007708C6">
        <w:rPr>
          <w:rFonts w:ascii="Times New Roman" w:hAnsi="Times New Roman"/>
          <w:sz w:val="24"/>
          <w:szCs w:val="24"/>
        </w:rPr>
        <w:t>the efficiency of compliance of administration criterion</w:t>
      </w:r>
      <w:r>
        <w:rPr>
          <w:rFonts w:ascii="Times New Roman" w:hAnsi="Times New Roman"/>
          <w:sz w:val="24"/>
          <w:szCs w:val="24"/>
        </w:rPr>
        <w:t>.</w:t>
      </w:r>
    </w:p>
    <w:p w:rsidR="00C74B45" w:rsidRPr="00C74B45" w:rsidRDefault="00C74B45" w:rsidP="00C74B45">
      <w:pPr>
        <w:pStyle w:val="Bullet-list"/>
        <w:spacing w:after="0" w:line="240" w:lineRule="auto"/>
        <w:ind w:left="0" w:firstLine="0"/>
        <w:jc w:val="both"/>
        <w:rPr>
          <w:rFonts w:ascii="Times New Roman" w:hAnsi="Times New Roman"/>
          <w:sz w:val="24"/>
          <w:szCs w:val="24"/>
        </w:rPr>
      </w:pPr>
    </w:p>
    <w:p w:rsidR="00C74B45" w:rsidRPr="00C74B45" w:rsidRDefault="00C74B45" w:rsidP="00C74B45">
      <w:pPr>
        <w:pStyle w:val="Bullet-list"/>
        <w:spacing w:after="0" w:line="240" w:lineRule="auto"/>
        <w:ind w:left="0" w:firstLine="0"/>
        <w:jc w:val="both"/>
        <w:rPr>
          <w:rFonts w:ascii="Times New Roman" w:hAnsi="Times New Roman"/>
          <w:sz w:val="24"/>
          <w:szCs w:val="24"/>
        </w:rPr>
      </w:pPr>
    </w:p>
    <w:p w:rsidR="00755047" w:rsidRDefault="00755047">
      <w:pPr>
        <w:spacing w:after="0" w:line="240" w:lineRule="auto"/>
        <w:rPr>
          <w:rFonts w:ascii="Times New Roman" w:hAnsi="Times New Roman"/>
          <w:b/>
          <w:sz w:val="24"/>
          <w:szCs w:val="24"/>
          <w:lang w:val="en-AU" w:eastAsia="en-US"/>
        </w:rPr>
      </w:pPr>
      <w:r>
        <w:rPr>
          <w:rFonts w:ascii="Times New Roman" w:hAnsi="Times New Roman"/>
          <w:b/>
          <w:sz w:val="24"/>
          <w:szCs w:val="24"/>
        </w:rPr>
        <w:br w:type="page"/>
      </w:r>
    </w:p>
    <w:p w:rsidR="00C74B45" w:rsidRDefault="00410D34" w:rsidP="00C74B45">
      <w:pPr>
        <w:pStyle w:val="Bullet-list"/>
        <w:spacing w:after="0" w:line="240" w:lineRule="auto"/>
        <w:ind w:left="0" w:firstLine="0"/>
        <w:jc w:val="both"/>
        <w:rPr>
          <w:rFonts w:ascii="Times New Roman" w:hAnsi="Times New Roman"/>
          <w:b/>
          <w:sz w:val="24"/>
          <w:szCs w:val="24"/>
        </w:rPr>
      </w:pPr>
      <w:r w:rsidRPr="001329DC">
        <w:rPr>
          <w:rFonts w:ascii="Times New Roman" w:hAnsi="Times New Roman"/>
          <w:b/>
          <w:sz w:val="24"/>
          <w:szCs w:val="24"/>
        </w:rPr>
        <w:t>Option 4:</w:t>
      </w:r>
      <w:r w:rsidRPr="001329DC">
        <w:rPr>
          <w:rFonts w:ascii="Times New Roman" w:hAnsi="Times New Roman"/>
          <w:b/>
          <w:sz w:val="24"/>
          <w:szCs w:val="24"/>
        </w:rPr>
        <w:tab/>
        <w:t>Align the loss transfer and inte</w:t>
      </w:r>
      <w:r w:rsidR="00C74B45">
        <w:rPr>
          <w:rFonts w:ascii="Times New Roman" w:hAnsi="Times New Roman"/>
          <w:b/>
          <w:sz w:val="24"/>
          <w:szCs w:val="24"/>
        </w:rPr>
        <w:t>r-corporate dividend thresholds</w:t>
      </w:r>
    </w:p>
    <w:p w:rsidR="00C74B45" w:rsidRDefault="00C74B4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2C2390">
        <w:rPr>
          <w:rFonts w:ascii="Times New Roman" w:hAnsi="Times New Roman"/>
          <w:sz w:val="24"/>
          <w:szCs w:val="24"/>
        </w:rPr>
        <w:t>As noted above</w:t>
      </w:r>
      <w:r w:rsidR="007708C6">
        <w:rPr>
          <w:rFonts w:ascii="Times New Roman" w:hAnsi="Times New Roman"/>
          <w:sz w:val="24"/>
          <w:szCs w:val="24"/>
        </w:rPr>
        <w:t>,</w:t>
      </w:r>
      <w:r w:rsidR="002C2390">
        <w:rPr>
          <w:rFonts w:ascii="Times New Roman" w:hAnsi="Times New Roman"/>
          <w:sz w:val="24"/>
          <w:szCs w:val="24"/>
        </w:rPr>
        <w:t xml:space="preserve"> the interaction of the two sets of rules with different thresholds is the underlying cause of this problem.</w:t>
      </w:r>
    </w:p>
    <w:p w:rsidR="00C74B45" w:rsidRDefault="00C74B4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2C2390">
        <w:rPr>
          <w:rFonts w:ascii="Times New Roman" w:hAnsi="Times New Roman"/>
          <w:sz w:val="24"/>
          <w:szCs w:val="24"/>
        </w:rPr>
        <w:t>Increasing the threshold for loss transfers to 100</w:t>
      </w:r>
      <w:r w:rsidR="00B05BD5">
        <w:rPr>
          <w:rFonts w:ascii="Times New Roman" w:hAnsi="Times New Roman"/>
          <w:sz w:val="24"/>
          <w:szCs w:val="24"/>
        </w:rPr>
        <w:t xml:space="preserve"> percent</w:t>
      </w:r>
      <w:r w:rsidR="002C2390">
        <w:rPr>
          <w:rFonts w:ascii="Times New Roman" w:hAnsi="Times New Roman"/>
          <w:sz w:val="24"/>
          <w:szCs w:val="24"/>
        </w:rPr>
        <w:t xml:space="preserve"> would prevent a loss transfer in a non-wholly owned group so that the benefit of this loss transfer could not be clawed back when a dividend was </w:t>
      </w:r>
      <w:r w:rsidR="002C2390" w:rsidRPr="00B05BD5">
        <w:rPr>
          <w:rFonts w:ascii="Times New Roman" w:hAnsi="Times New Roman"/>
          <w:sz w:val="24"/>
          <w:szCs w:val="24"/>
        </w:rPr>
        <w:t>p</w:t>
      </w:r>
      <w:r w:rsidR="002C2390" w:rsidRPr="00DB4628">
        <w:rPr>
          <w:rFonts w:ascii="Times New Roman" w:hAnsi="Times New Roman"/>
          <w:sz w:val="24"/>
          <w:szCs w:val="24"/>
        </w:rPr>
        <w:t>a</w:t>
      </w:r>
      <w:r w:rsidR="002C2390" w:rsidRPr="00B05BD5">
        <w:rPr>
          <w:rFonts w:ascii="Times New Roman" w:hAnsi="Times New Roman"/>
          <w:sz w:val="24"/>
          <w:szCs w:val="24"/>
        </w:rPr>
        <w:t>id</w:t>
      </w:r>
      <w:r w:rsidR="004258E5">
        <w:rPr>
          <w:rFonts w:ascii="Times New Roman" w:hAnsi="Times New Roman"/>
          <w:sz w:val="24"/>
          <w:szCs w:val="24"/>
        </w:rPr>
        <w:t xml:space="preserve"> as no loss transfer would have occur</w:t>
      </w:r>
      <w:r w:rsidR="00B05BD5">
        <w:rPr>
          <w:rFonts w:ascii="Times New Roman" w:hAnsi="Times New Roman"/>
          <w:sz w:val="24"/>
          <w:szCs w:val="24"/>
        </w:rPr>
        <w:t>r</w:t>
      </w:r>
      <w:r w:rsidR="004258E5">
        <w:rPr>
          <w:rFonts w:ascii="Times New Roman" w:hAnsi="Times New Roman"/>
          <w:sz w:val="24"/>
          <w:szCs w:val="24"/>
        </w:rPr>
        <w:t>ed</w:t>
      </w:r>
      <w:r w:rsidR="002C2390">
        <w:rPr>
          <w:rFonts w:ascii="Times New Roman" w:hAnsi="Times New Roman"/>
          <w:sz w:val="24"/>
          <w:szCs w:val="24"/>
        </w:rPr>
        <w:t xml:space="preserve">.  However, this </w:t>
      </w:r>
      <w:r w:rsidR="00B05BD5">
        <w:rPr>
          <w:rFonts w:ascii="Times New Roman" w:hAnsi="Times New Roman"/>
          <w:sz w:val="24"/>
          <w:szCs w:val="24"/>
        </w:rPr>
        <w:t xml:space="preserve">measure </w:t>
      </w:r>
      <w:r w:rsidR="002C2390">
        <w:rPr>
          <w:rFonts w:ascii="Times New Roman" w:hAnsi="Times New Roman"/>
          <w:sz w:val="24"/>
          <w:szCs w:val="24"/>
        </w:rPr>
        <w:t xml:space="preserve">would then create an incentive for </w:t>
      </w:r>
      <w:r w:rsidR="00D170DF">
        <w:rPr>
          <w:rFonts w:ascii="Times New Roman" w:hAnsi="Times New Roman"/>
          <w:sz w:val="24"/>
          <w:szCs w:val="24"/>
        </w:rPr>
        <w:t xml:space="preserve">companies </w:t>
      </w:r>
      <w:r w:rsidR="002C2390">
        <w:rPr>
          <w:rFonts w:ascii="Times New Roman" w:hAnsi="Times New Roman"/>
          <w:sz w:val="24"/>
          <w:szCs w:val="24"/>
        </w:rPr>
        <w:t xml:space="preserve">to be </w:t>
      </w:r>
      <w:r w:rsidR="00D170DF">
        <w:rPr>
          <w:rFonts w:ascii="Times New Roman" w:hAnsi="Times New Roman"/>
          <w:sz w:val="24"/>
          <w:szCs w:val="24"/>
        </w:rPr>
        <w:t>wholly-</w:t>
      </w:r>
      <w:r w:rsidR="002C2390">
        <w:rPr>
          <w:rFonts w:ascii="Times New Roman" w:hAnsi="Times New Roman"/>
          <w:sz w:val="24"/>
          <w:szCs w:val="24"/>
        </w:rPr>
        <w:t xml:space="preserve">owned in order to </w:t>
      </w:r>
      <w:r w:rsidR="00D170DF">
        <w:rPr>
          <w:rFonts w:ascii="Times New Roman" w:hAnsi="Times New Roman"/>
          <w:sz w:val="24"/>
          <w:szCs w:val="24"/>
        </w:rPr>
        <w:t>group tax losses</w:t>
      </w:r>
      <w:r w:rsidR="002C2390">
        <w:rPr>
          <w:rFonts w:ascii="Times New Roman" w:hAnsi="Times New Roman"/>
          <w:sz w:val="24"/>
          <w:szCs w:val="24"/>
        </w:rPr>
        <w:t xml:space="preserve"> </w:t>
      </w:r>
      <w:r w:rsidR="00D170DF">
        <w:rPr>
          <w:rFonts w:ascii="Times New Roman" w:hAnsi="Times New Roman"/>
          <w:sz w:val="24"/>
          <w:szCs w:val="24"/>
        </w:rPr>
        <w:t>as well as</w:t>
      </w:r>
      <w:r w:rsidR="002C2390">
        <w:rPr>
          <w:rFonts w:ascii="Times New Roman" w:hAnsi="Times New Roman"/>
          <w:sz w:val="24"/>
          <w:szCs w:val="24"/>
        </w:rPr>
        <w:t xml:space="preserve"> </w:t>
      </w:r>
      <w:r w:rsidR="00D170DF">
        <w:rPr>
          <w:rFonts w:ascii="Times New Roman" w:hAnsi="Times New Roman"/>
          <w:sz w:val="24"/>
          <w:szCs w:val="24"/>
        </w:rPr>
        <w:t xml:space="preserve">access </w:t>
      </w:r>
      <w:r w:rsidR="002C2390">
        <w:rPr>
          <w:rFonts w:ascii="Times New Roman" w:hAnsi="Times New Roman"/>
          <w:sz w:val="24"/>
          <w:szCs w:val="24"/>
        </w:rPr>
        <w:t>the inter-corporate dividend exemption</w:t>
      </w:r>
      <w:r w:rsidR="00B05BD5">
        <w:rPr>
          <w:rFonts w:ascii="Times New Roman" w:hAnsi="Times New Roman"/>
          <w:sz w:val="24"/>
          <w:szCs w:val="24"/>
        </w:rPr>
        <w:t>.  T</w:t>
      </w:r>
      <w:r w:rsidR="002C2390">
        <w:rPr>
          <w:rFonts w:ascii="Times New Roman" w:hAnsi="Times New Roman"/>
          <w:sz w:val="24"/>
          <w:szCs w:val="24"/>
        </w:rPr>
        <w:t>herefore</w:t>
      </w:r>
      <w:r w:rsidR="00B05BD5">
        <w:rPr>
          <w:rFonts w:ascii="Times New Roman" w:hAnsi="Times New Roman"/>
          <w:sz w:val="24"/>
          <w:szCs w:val="24"/>
        </w:rPr>
        <w:t>, this option</w:t>
      </w:r>
      <w:r w:rsidR="002C2390">
        <w:rPr>
          <w:rFonts w:ascii="Times New Roman" w:hAnsi="Times New Roman"/>
          <w:sz w:val="24"/>
          <w:szCs w:val="24"/>
        </w:rPr>
        <w:t xml:space="preserve"> would not achieve the </w:t>
      </w:r>
      <w:r w:rsidR="00B05BD5">
        <w:rPr>
          <w:rFonts w:ascii="Times New Roman" w:hAnsi="Times New Roman"/>
          <w:sz w:val="24"/>
          <w:szCs w:val="24"/>
        </w:rPr>
        <w:t xml:space="preserve">main </w:t>
      </w:r>
      <w:r w:rsidR="002C2390">
        <w:rPr>
          <w:rFonts w:ascii="Times New Roman" w:hAnsi="Times New Roman"/>
          <w:sz w:val="24"/>
          <w:szCs w:val="24"/>
        </w:rPr>
        <w:t>objective.</w:t>
      </w:r>
    </w:p>
    <w:p w:rsidR="00C74B45" w:rsidRDefault="00C74B4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B05BD5">
        <w:rPr>
          <w:rFonts w:ascii="Times New Roman" w:hAnsi="Times New Roman"/>
          <w:sz w:val="24"/>
          <w:szCs w:val="24"/>
        </w:rPr>
        <w:t xml:space="preserve">An alternative measure under this option </w:t>
      </w:r>
      <w:r w:rsidR="002C2390">
        <w:rPr>
          <w:rFonts w:ascii="Times New Roman" w:hAnsi="Times New Roman"/>
          <w:sz w:val="24"/>
          <w:szCs w:val="24"/>
        </w:rPr>
        <w:t>would be to align the loss transfer and inter-corporate dividend threshold</w:t>
      </w:r>
      <w:r w:rsidR="00B05BD5">
        <w:rPr>
          <w:rFonts w:ascii="Times New Roman" w:hAnsi="Times New Roman"/>
          <w:sz w:val="24"/>
          <w:szCs w:val="24"/>
        </w:rPr>
        <w:t>s</w:t>
      </w:r>
      <w:r w:rsidR="002C2390">
        <w:rPr>
          <w:rFonts w:ascii="Times New Roman" w:hAnsi="Times New Roman"/>
          <w:sz w:val="24"/>
          <w:szCs w:val="24"/>
        </w:rPr>
        <w:t xml:space="preserve"> at a lower percentage (presumably the current 66</w:t>
      </w:r>
      <w:r w:rsidR="00B05BD5">
        <w:rPr>
          <w:rFonts w:ascii="Times New Roman" w:hAnsi="Times New Roman"/>
          <w:sz w:val="24"/>
          <w:szCs w:val="24"/>
        </w:rPr>
        <w:t xml:space="preserve"> percent</w:t>
      </w:r>
      <w:r w:rsidR="002C2390">
        <w:rPr>
          <w:rFonts w:ascii="Times New Roman" w:hAnsi="Times New Roman"/>
          <w:sz w:val="24"/>
          <w:szCs w:val="24"/>
        </w:rPr>
        <w:t xml:space="preserve"> loss transfer </w:t>
      </w:r>
      <w:r w:rsidR="00B371F4">
        <w:rPr>
          <w:rFonts w:ascii="Times New Roman" w:hAnsi="Times New Roman"/>
          <w:sz w:val="24"/>
          <w:szCs w:val="24"/>
        </w:rPr>
        <w:t>threshold</w:t>
      </w:r>
      <w:r w:rsidR="002C2390">
        <w:rPr>
          <w:rFonts w:ascii="Times New Roman" w:hAnsi="Times New Roman"/>
          <w:sz w:val="24"/>
          <w:szCs w:val="24"/>
        </w:rPr>
        <w:t xml:space="preserve">).  This </w:t>
      </w:r>
      <w:r w:rsidR="00B05BD5">
        <w:rPr>
          <w:rFonts w:ascii="Times New Roman" w:hAnsi="Times New Roman"/>
          <w:sz w:val="24"/>
          <w:szCs w:val="24"/>
        </w:rPr>
        <w:t xml:space="preserve">measure </w:t>
      </w:r>
      <w:r w:rsidR="002C2390">
        <w:rPr>
          <w:rFonts w:ascii="Times New Roman" w:hAnsi="Times New Roman"/>
          <w:sz w:val="24"/>
          <w:szCs w:val="24"/>
        </w:rPr>
        <w:t>would allow a loss transfer to occur in a non-wholly owned group then the profit company to pay a dividend to its shareholders without that dividend being subject to tax.</w:t>
      </w:r>
      <w:r w:rsidR="00C96429">
        <w:rPr>
          <w:rFonts w:ascii="Times New Roman" w:hAnsi="Times New Roman"/>
          <w:sz w:val="24"/>
          <w:szCs w:val="24"/>
        </w:rPr>
        <w:t xml:space="preserve">  Within this </w:t>
      </w:r>
      <w:r w:rsidR="00B05BD5">
        <w:rPr>
          <w:rFonts w:ascii="Times New Roman" w:hAnsi="Times New Roman"/>
          <w:sz w:val="24"/>
          <w:szCs w:val="24"/>
        </w:rPr>
        <w:t xml:space="preserve">measure </w:t>
      </w:r>
      <w:r w:rsidR="00C96429">
        <w:rPr>
          <w:rFonts w:ascii="Times New Roman" w:hAnsi="Times New Roman"/>
          <w:sz w:val="24"/>
          <w:szCs w:val="24"/>
        </w:rPr>
        <w:t xml:space="preserve">the inter-corporate dividend exemption could apply to either </w:t>
      </w:r>
      <w:r w:rsidR="00D170DF">
        <w:rPr>
          <w:rFonts w:ascii="Times New Roman" w:hAnsi="Times New Roman"/>
          <w:sz w:val="24"/>
          <w:szCs w:val="24"/>
        </w:rPr>
        <w:t>the</w:t>
      </w:r>
      <w:r w:rsidR="00C96429">
        <w:rPr>
          <w:rFonts w:ascii="Times New Roman" w:hAnsi="Times New Roman"/>
          <w:sz w:val="24"/>
          <w:szCs w:val="24"/>
        </w:rPr>
        <w:t xml:space="preserve"> commonly-owned group </w:t>
      </w:r>
      <w:r w:rsidR="00D170DF">
        <w:rPr>
          <w:rFonts w:ascii="Times New Roman" w:hAnsi="Times New Roman"/>
          <w:sz w:val="24"/>
          <w:szCs w:val="24"/>
        </w:rPr>
        <w:t xml:space="preserve">only </w:t>
      </w:r>
      <w:r w:rsidR="00C96429">
        <w:rPr>
          <w:rFonts w:ascii="Times New Roman" w:hAnsi="Times New Roman"/>
          <w:sz w:val="24"/>
          <w:szCs w:val="24"/>
        </w:rPr>
        <w:t xml:space="preserve">or to all investors in a company that was part of a </w:t>
      </w:r>
      <w:r w:rsidR="00D170DF">
        <w:rPr>
          <w:rFonts w:ascii="Times New Roman" w:hAnsi="Times New Roman"/>
          <w:sz w:val="24"/>
          <w:szCs w:val="24"/>
        </w:rPr>
        <w:t>commonly-</w:t>
      </w:r>
      <w:r w:rsidR="00C96429">
        <w:rPr>
          <w:rFonts w:ascii="Times New Roman" w:hAnsi="Times New Roman"/>
          <w:sz w:val="24"/>
          <w:szCs w:val="24"/>
        </w:rPr>
        <w:t>owned group.</w:t>
      </w:r>
    </w:p>
    <w:p w:rsidR="00C74B45" w:rsidRDefault="00C74B45" w:rsidP="00C74B45">
      <w:pPr>
        <w:pStyle w:val="Bullet-list"/>
        <w:spacing w:after="0" w:line="240" w:lineRule="auto"/>
        <w:ind w:left="0" w:firstLine="0"/>
        <w:jc w:val="both"/>
        <w:rPr>
          <w:rFonts w:ascii="Times New Roman" w:hAnsi="Times New Roman"/>
          <w:b/>
          <w:sz w:val="24"/>
          <w:szCs w:val="24"/>
        </w:rPr>
      </w:pPr>
    </w:p>
    <w:p w:rsidR="00B05BD5" w:rsidRPr="00B05BD5" w:rsidRDefault="00B05BD5" w:rsidP="00C74B45">
      <w:pPr>
        <w:pStyle w:val="Bullet-list"/>
        <w:spacing w:after="0" w:line="240" w:lineRule="auto"/>
        <w:ind w:left="0" w:firstLine="0"/>
        <w:jc w:val="both"/>
        <w:rPr>
          <w:rFonts w:ascii="Times New Roman" w:hAnsi="Times New Roman"/>
          <w:b/>
          <w:i/>
          <w:sz w:val="24"/>
          <w:szCs w:val="24"/>
        </w:rPr>
      </w:pPr>
      <w:r w:rsidRPr="00B05BD5">
        <w:rPr>
          <w:rFonts w:ascii="Times New Roman" w:hAnsi="Times New Roman"/>
          <w:b/>
          <w:i/>
          <w:sz w:val="24"/>
          <w:szCs w:val="24"/>
        </w:rPr>
        <w:t>Assessment against the criteria</w:t>
      </w:r>
    </w:p>
    <w:p w:rsidR="00B05BD5" w:rsidRDefault="00B05BD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C96429">
        <w:rPr>
          <w:rFonts w:ascii="Times New Roman" w:hAnsi="Times New Roman"/>
          <w:sz w:val="24"/>
          <w:szCs w:val="24"/>
        </w:rPr>
        <w:t xml:space="preserve">Applying the inter-corporate dividend exemption only </w:t>
      </w:r>
      <w:r w:rsidR="00B371F4">
        <w:rPr>
          <w:rFonts w:ascii="Times New Roman" w:hAnsi="Times New Roman"/>
          <w:sz w:val="24"/>
          <w:szCs w:val="24"/>
        </w:rPr>
        <w:t>within</w:t>
      </w:r>
      <w:r w:rsidR="00C96429">
        <w:rPr>
          <w:rFonts w:ascii="Times New Roman" w:hAnsi="Times New Roman"/>
          <w:sz w:val="24"/>
          <w:szCs w:val="24"/>
        </w:rPr>
        <w:t xml:space="preserve"> a commonly-owned group would not be effective as the minority owner of the profit company would still be taxable on their dividend and the profit company would not have sufficient imputation credits to impute this dividend.  It would create tax planning opportunities if a company was allowed to stream imputation credits only to its taxable shareholders, and even if </w:t>
      </w:r>
      <w:r w:rsidR="00B371F4">
        <w:rPr>
          <w:rFonts w:ascii="Times New Roman" w:hAnsi="Times New Roman"/>
          <w:sz w:val="24"/>
          <w:szCs w:val="24"/>
        </w:rPr>
        <w:t>this</w:t>
      </w:r>
      <w:r w:rsidR="00C96429">
        <w:rPr>
          <w:rFonts w:ascii="Times New Roman" w:hAnsi="Times New Roman"/>
          <w:sz w:val="24"/>
          <w:szCs w:val="24"/>
        </w:rPr>
        <w:t xml:space="preserve"> was allowed the profit company still might not have any imputation cr</w:t>
      </w:r>
      <w:r w:rsidR="00274C61">
        <w:rPr>
          <w:rFonts w:ascii="Times New Roman" w:hAnsi="Times New Roman"/>
          <w:sz w:val="24"/>
          <w:szCs w:val="24"/>
        </w:rPr>
        <w:t>edits to attach</w:t>
      </w:r>
      <w:r w:rsidR="00C96429">
        <w:rPr>
          <w:rFonts w:ascii="Times New Roman" w:hAnsi="Times New Roman"/>
          <w:sz w:val="24"/>
          <w:szCs w:val="24"/>
        </w:rPr>
        <w:t>.</w:t>
      </w:r>
    </w:p>
    <w:p w:rsidR="00C74B45" w:rsidRDefault="00C74B4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C96429">
        <w:rPr>
          <w:rFonts w:ascii="Times New Roman" w:hAnsi="Times New Roman"/>
          <w:sz w:val="24"/>
          <w:szCs w:val="24"/>
        </w:rPr>
        <w:t xml:space="preserve">Applying the inter-corporate dividend exemption to any investor in a company that was part of a </w:t>
      </w:r>
      <w:r w:rsidR="003F3D2C">
        <w:rPr>
          <w:rFonts w:ascii="Times New Roman" w:hAnsi="Times New Roman"/>
          <w:sz w:val="24"/>
          <w:szCs w:val="24"/>
        </w:rPr>
        <w:t>commonly-</w:t>
      </w:r>
      <w:r w:rsidR="00C96429">
        <w:rPr>
          <w:rFonts w:ascii="Times New Roman" w:hAnsi="Times New Roman"/>
          <w:sz w:val="24"/>
          <w:szCs w:val="24"/>
        </w:rPr>
        <w:t>owned group would achieve the</w:t>
      </w:r>
      <w:r w:rsidR="00B05BD5">
        <w:rPr>
          <w:rFonts w:ascii="Times New Roman" w:hAnsi="Times New Roman"/>
          <w:sz w:val="24"/>
          <w:szCs w:val="24"/>
        </w:rPr>
        <w:t xml:space="preserve"> main</w:t>
      </w:r>
      <w:r w:rsidR="00C96429">
        <w:rPr>
          <w:rFonts w:ascii="Times New Roman" w:hAnsi="Times New Roman"/>
          <w:sz w:val="24"/>
          <w:szCs w:val="24"/>
        </w:rPr>
        <w:t xml:space="preserve"> objective of removing the </w:t>
      </w:r>
      <w:r w:rsidR="00274C61">
        <w:rPr>
          <w:rFonts w:ascii="Times New Roman" w:hAnsi="Times New Roman"/>
          <w:sz w:val="24"/>
          <w:szCs w:val="24"/>
        </w:rPr>
        <w:t xml:space="preserve">tax </w:t>
      </w:r>
      <w:r w:rsidR="00C96429">
        <w:rPr>
          <w:rFonts w:ascii="Times New Roman" w:hAnsi="Times New Roman"/>
          <w:sz w:val="24"/>
          <w:szCs w:val="24"/>
        </w:rPr>
        <w:t xml:space="preserve">impediment </w:t>
      </w:r>
      <w:r w:rsidR="003F3D2C">
        <w:rPr>
          <w:rFonts w:ascii="Times New Roman" w:hAnsi="Times New Roman"/>
          <w:sz w:val="24"/>
          <w:szCs w:val="24"/>
        </w:rPr>
        <w:t>for partial ownership</w:t>
      </w:r>
      <w:r w:rsidR="00C96429">
        <w:rPr>
          <w:rFonts w:ascii="Times New Roman" w:hAnsi="Times New Roman"/>
          <w:sz w:val="24"/>
          <w:szCs w:val="24"/>
        </w:rPr>
        <w:t>.  However, it would also make many tax planning opportunities available as profits could be distributed tax</w:t>
      </w:r>
      <w:r w:rsidR="003F3D2C">
        <w:rPr>
          <w:rFonts w:ascii="Times New Roman" w:hAnsi="Times New Roman"/>
          <w:sz w:val="24"/>
          <w:szCs w:val="24"/>
        </w:rPr>
        <w:t>-</w:t>
      </w:r>
      <w:r w:rsidR="00C96429">
        <w:rPr>
          <w:rFonts w:ascii="Times New Roman" w:hAnsi="Times New Roman"/>
          <w:sz w:val="24"/>
          <w:szCs w:val="24"/>
        </w:rPr>
        <w:t>free to any investor in any company provided it was part of a commonly-owned group</w:t>
      </w:r>
      <w:r w:rsidR="00274C61">
        <w:rPr>
          <w:rFonts w:ascii="Times New Roman" w:hAnsi="Times New Roman"/>
          <w:sz w:val="24"/>
          <w:szCs w:val="24"/>
        </w:rPr>
        <w:t>.</w:t>
      </w:r>
    </w:p>
    <w:p w:rsidR="00C74B45" w:rsidRDefault="00C74B4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3F3D2C">
        <w:rPr>
          <w:rFonts w:ascii="Times New Roman" w:hAnsi="Times New Roman"/>
          <w:sz w:val="24"/>
          <w:szCs w:val="24"/>
        </w:rPr>
        <w:t>The inter-corporate dividend exemption is based on a full consolidation or single economic unit framework.  That is, when all companies are owned by the same shareholders, there is no economic difference between their activities being carried on by a single company or multiple companies with the same ownership.  This framework does not apply as aptly to 66</w:t>
      </w:r>
      <w:r w:rsidR="00B05BD5">
        <w:rPr>
          <w:rFonts w:ascii="Times New Roman" w:hAnsi="Times New Roman"/>
          <w:sz w:val="24"/>
          <w:szCs w:val="24"/>
        </w:rPr>
        <w:t xml:space="preserve"> percent</w:t>
      </w:r>
      <w:r w:rsidR="003F3D2C">
        <w:rPr>
          <w:rFonts w:ascii="Times New Roman" w:hAnsi="Times New Roman"/>
          <w:sz w:val="24"/>
          <w:szCs w:val="24"/>
        </w:rPr>
        <w:t xml:space="preserve"> common ownership.  This is because there is a 34</w:t>
      </w:r>
      <w:r w:rsidR="00B05BD5">
        <w:rPr>
          <w:rFonts w:ascii="Times New Roman" w:hAnsi="Times New Roman"/>
          <w:sz w:val="24"/>
          <w:szCs w:val="24"/>
        </w:rPr>
        <w:t xml:space="preserve"> percent</w:t>
      </w:r>
      <w:r w:rsidR="003F3D2C">
        <w:rPr>
          <w:rFonts w:ascii="Times New Roman" w:hAnsi="Times New Roman"/>
          <w:sz w:val="24"/>
          <w:szCs w:val="24"/>
        </w:rPr>
        <w:t xml:space="preserve"> difference in economic ownership.  Therefore, extending the inter-corporate dividend exemption to commonly-owned companies is inconsistent with the underlying policy of that rule.</w:t>
      </w:r>
    </w:p>
    <w:p w:rsidR="00C74B45" w:rsidRDefault="00C74B45" w:rsidP="00C74B45">
      <w:pPr>
        <w:pStyle w:val="Bullet-list"/>
        <w:spacing w:after="0" w:line="240" w:lineRule="auto"/>
        <w:ind w:left="0" w:firstLine="0"/>
        <w:jc w:val="both"/>
        <w:rPr>
          <w:rFonts w:ascii="Times New Roman" w:hAnsi="Times New Roman"/>
          <w:b/>
          <w:sz w:val="24"/>
          <w:szCs w:val="24"/>
        </w:rPr>
      </w:pPr>
    </w:p>
    <w:p w:rsidR="004258E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4258E5">
        <w:rPr>
          <w:rFonts w:ascii="Times New Roman" w:hAnsi="Times New Roman"/>
          <w:sz w:val="24"/>
          <w:szCs w:val="24"/>
        </w:rPr>
        <w:t xml:space="preserve">While this option achieves the main objective and is arguably the least complex there would need to be additional complexity to counter the tax planning activities that would invariably arise.  This option would be much wider in scope than the intended audience and would decrease rather than increase the integrity of the tax system.  </w:t>
      </w:r>
    </w:p>
    <w:p w:rsidR="003E4CE1" w:rsidRDefault="003E4CE1" w:rsidP="00C74B45">
      <w:pPr>
        <w:pStyle w:val="Bullet-list"/>
        <w:spacing w:after="0" w:line="240" w:lineRule="auto"/>
        <w:ind w:left="0" w:firstLine="0"/>
        <w:jc w:val="both"/>
        <w:rPr>
          <w:rFonts w:ascii="Times New Roman" w:hAnsi="Times New Roman"/>
          <w:sz w:val="24"/>
          <w:szCs w:val="24"/>
        </w:rPr>
      </w:pPr>
    </w:p>
    <w:p w:rsidR="003E4CE1" w:rsidRDefault="003E4CE1" w:rsidP="00C74B45">
      <w:pPr>
        <w:pStyle w:val="Bullet-list"/>
        <w:spacing w:after="0" w:line="240" w:lineRule="auto"/>
        <w:ind w:left="0" w:firstLine="0"/>
        <w:jc w:val="both"/>
        <w:rPr>
          <w:rFonts w:ascii="Times New Roman" w:hAnsi="Times New Roman"/>
          <w:sz w:val="24"/>
          <w:szCs w:val="24"/>
        </w:rPr>
      </w:pPr>
      <w:r w:rsidRPr="003E4CE1">
        <w:rPr>
          <w:rFonts w:ascii="Times New Roman" w:hAnsi="Times New Roman"/>
          <w:sz w:val="24"/>
          <w:szCs w:val="24"/>
          <w:lang w:val="en-NZ"/>
        </w:rPr>
        <w:fldChar w:fldCharType="begin"/>
      </w:r>
      <w:r w:rsidRPr="003E4CE1">
        <w:rPr>
          <w:rFonts w:ascii="Times New Roman" w:hAnsi="Times New Roman"/>
          <w:sz w:val="24"/>
          <w:szCs w:val="24"/>
          <w:lang w:val="en-NZ"/>
        </w:rPr>
        <w:instrText xml:space="preserve"> AUTONUM  </w:instrText>
      </w:r>
      <w:r w:rsidRPr="003E4CE1">
        <w:rPr>
          <w:rFonts w:ascii="Times New Roman" w:hAnsi="Times New Roman"/>
          <w:sz w:val="24"/>
          <w:szCs w:val="24"/>
        </w:rPr>
        <w:fldChar w:fldCharType="end"/>
      </w:r>
      <w:r w:rsidRPr="003E4CE1">
        <w:rPr>
          <w:rFonts w:ascii="Times New Roman" w:hAnsi="Times New Roman"/>
          <w:sz w:val="24"/>
          <w:szCs w:val="24"/>
          <w:lang w:val="en-NZ"/>
        </w:rPr>
        <w:tab/>
      </w:r>
      <w:r>
        <w:rPr>
          <w:rFonts w:ascii="Times New Roman" w:hAnsi="Times New Roman"/>
          <w:sz w:val="24"/>
          <w:szCs w:val="24"/>
          <w:lang w:val="en-NZ"/>
        </w:rPr>
        <w:t xml:space="preserve">Therefore, this option would </w:t>
      </w:r>
      <w:r w:rsidR="007708C6">
        <w:rPr>
          <w:rFonts w:ascii="Times New Roman" w:hAnsi="Times New Roman"/>
          <w:sz w:val="24"/>
          <w:szCs w:val="24"/>
          <w:lang w:val="en-NZ"/>
        </w:rPr>
        <w:t xml:space="preserve">either </w:t>
      </w:r>
      <w:r w:rsidR="00046788">
        <w:rPr>
          <w:rFonts w:ascii="Times New Roman" w:hAnsi="Times New Roman"/>
          <w:sz w:val="24"/>
          <w:szCs w:val="24"/>
          <w:lang w:val="en-NZ"/>
        </w:rPr>
        <w:t xml:space="preserve">partially or fully </w:t>
      </w:r>
      <w:r>
        <w:rPr>
          <w:rFonts w:ascii="Times New Roman" w:hAnsi="Times New Roman"/>
          <w:sz w:val="24"/>
          <w:szCs w:val="24"/>
          <w:lang w:val="en-NZ"/>
        </w:rPr>
        <w:t xml:space="preserve">meet </w:t>
      </w:r>
      <w:r w:rsidR="007708C6">
        <w:rPr>
          <w:rFonts w:ascii="Times New Roman" w:hAnsi="Times New Roman"/>
          <w:sz w:val="24"/>
          <w:szCs w:val="24"/>
          <w:lang w:val="en-NZ"/>
        </w:rPr>
        <w:t xml:space="preserve">each of </w:t>
      </w:r>
      <w:r>
        <w:rPr>
          <w:rFonts w:ascii="Times New Roman" w:hAnsi="Times New Roman"/>
          <w:sz w:val="24"/>
          <w:szCs w:val="24"/>
          <w:lang w:val="en-NZ"/>
        </w:rPr>
        <w:t>the criteria.</w:t>
      </w:r>
    </w:p>
    <w:p w:rsidR="00C74B45" w:rsidRDefault="00C74B45" w:rsidP="00C74B45">
      <w:pPr>
        <w:pStyle w:val="Bullet-list"/>
        <w:spacing w:after="0" w:line="240" w:lineRule="auto"/>
        <w:ind w:left="0" w:firstLine="0"/>
        <w:jc w:val="both"/>
        <w:rPr>
          <w:rFonts w:ascii="Times New Roman" w:hAnsi="Times New Roman"/>
          <w:sz w:val="24"/>
          <w:szCs w:val="24"/>
        </w:rPr>
      </w:pPr>
    </w:p>
    <w:p w:rsidR="007708C6" w:rsidRDefault="007708C6" w:rsidP="00C74B45">
      <w:pPr>
        <w:pStyle w:val="Bullet-list"/>
        <w:spacing w:after="0" w:line="240" w:lineRule="auto"/>
        <w:ind w:left="0" w:firstLine="0"/>
        <w:jc w:val="both"/>
        <w:rPr>
          <w:rFonts w:ascii="Times New Roman" w:hAnsi="Times New Roman"/>
          <w:sz w:val="24"/>
          <w:szCs w:val="24"/>
        </w:rPr>
      </w:pPr>
    </w:p>
    <w:p w:rsidR="002231DF" w:rsidRDefault="002231DF">
      <w:pPr>
        <w:spacing w:after="0" w:line="240" w:lineRule="auto"/>
        <w:rPr>
          <w:rFonts w:ascii="Times New Roman" w:hAnsi="Times New Roman"/>
          <w:b/>
          <w:sz w:val="24"/>
          <w:szCs w:val="24"/>
          <w:lang w:val="en-AU" w:eastAsia="en-US"/>
        </w:rPr>
      </w:pPr>
      <w:r>
        <w:rPr>
          <w:rFonts w:ascii="Times New Roman" w:hAnsi="Times New Roman"/>
          <w:b/>
          <w:sz w:val="24"/>
          <w:szCs w:val="24"/>
        </w:rPr>
        <w:br w:type="page"/>
      </w:r>
    </w:p>
    <w:p w:rsidR="007708C6" w:rsidRPr="00C7057E" w:rsidRDefault="007708C6" w:rsidP="00C74B45">
      <w:pPr>
        <w:pStyle w:val="Bullet-list"/>
        <w:spacing w:after="0" w:line="240" w:lineRule="auto"/>
        <w:ind w:left="0" w:firstLine="0"/>
        <w:jc w:val="both"/>
        <w:rPr>
          <w:rFonts w:ascii="Times New Roman" w:hAnsi="Times New Roman"/>
          <w:b/>
          <w:sz w:val="24"/>
          <w:szCs w:val="24"/>
        </w:rPr>
      </w:pPr>
      <w:r w:rsidRPr="00C7057E">
        <w:rPr>
          <w:rFonts w:ascii="Times New Roman" w:hAnsi="Times New Roman"/>
          <w:b/>
          <w:sz w:val="24"/>
          <w:szCs w:val="24"/>
        </w:rPr>
        <w:t>Summary of impact analysis</w:t>
      </w:r>
    </w:p>
    <w:p w:rsidR="007708C6" w:rsidRDefault="007708C6" w:rsidP="00C74B45">
      <w:pPr>
        <w:pStyle w:val="Bullet-list"/>
        <w:spacing w:after="0" w:line="240" w:lineRule="auto"/>
        <w:ind w:left="0" w:firstLine="0"/>
        <w:jc w:val="both"/>
        <w:rPr>
          <w:rFonts w:ascii="Times New Roman" w:hAnsi="Times New Roman"/>
          <w:sz w:val="24"/>
          <w:szCs w:val="24"/>
        </w:rPr>
      </w:pPr>
    </w:p>
    <w:p w:rsidR="007708C6" w:rsidRDefault="007708C6" w:rsidP="00C74B45">
      <w:pPr>
        <w:pStyle w:val="Bullet-list"/>
        <w:spacing w:after="0" w:line="240" w:lineRule="auto"/>
        <w:ind w:left="0" w:firstLine="0"/>
        <w:jc w:val="both"/>
        <w:rPr>
          <w:rFonts w:ascii="Times New Roman" w:hAnsi="Times New Roman"/>
          <w:sz w:val="24"/>
          <w:szCs w:val="24"/>
        </w:rPr>
      </w:pPr>
    </w:p>
    <w:tbl>
      <w:tblPr>
        <w:tblStyle w:val="TableGrid"/>
        <w:tblW w:w="0" w:type="auto"/>
        <w:tblCellMar>
          <w:top w:w="57" w:type="dxa"/>
        </w:tblCellMar>
        <w:tblLook w:val="04A0" w:firstRow="1" w:lastRow="0" w:firstColumn="1" w:lastColumn="0" w:noHBand="0" w:noVBand="1"/>
      </w:tblPr>
      <w:tblGrid>
        <w:gridCol w:w="1526"/>
        <w:gridCol w:w="2587"/>
        <w:gridCol w:w="2587"/>
        <w:gridCol w:w="2587"/>
      </w:tblGrid>
      <w:tr w:rsidR="00BF4C9A" w:rsidRPr="00BF4C9A" w:rsidTr="002231DF">
        <w:tc>
          <w:tcPr>
            <w:tcW w:w="1526" w:type="dxa"/>
          </w:tcPr>
          <w:p w:rsidR="00BF4C9A" w:rsidRPr="002231DF" w:rsidRDefault="00BF4C9A">
            <w:pPr>
              <w:pStyle w:val="Bullet-list"/>
              <w:spacing w:after="0" w:line="240" w:lineRule="auto"/>
              <w:ind w:left="0" w:firstLine="0"/>
              <w:jc w:val="left"/>
              <w:rPr>
                <w:rFonts w:ascii="Times New Roman" w:hAnsi="Times New Roman"/>
                <w:b/>
                <w:sz w:val="20"/>
                <w:szCs w:val="24"/>
              </w:rPr>
            </w:pPr>
            <w:r w:rsidRPr="002231DF">
              <w:rPr>
                <w:rFonts w:ascii="Times New Roman" w:hAnsi="Times New Roman"/>
                <w:b/>
                <w:sz w:val="20"/>
                <w:szCs w:val="24"/>
              </w:rPr>
              <w:t>Option</w:t>
            </w:r>
          </w:p>
        </w:tc>
        <w:tc>
          <w:tcPr>
            <w:tcW w:w="2587" w:type="dxa"/>
          </w:tcPr>
          <w:p w:rsidR="00BF4C9A" w:rsidRPr="002231DF" w:rsidRDefault="00BF4C9A">
            <w:pPr>
              <w:pStyle w:val="Bullet-list"/>
              <w:spacing w:after="0" w:line="240" w:lineRule="auto"/>
              <w:ind w:left="0" w:firstLine="0"/>
              <w:jc w:val="left"/>
              <w:rPr>
                <w:rFonts w:ascii="Times New Roman" w:hAnsi="Times New Roman"/>
                <w:b/>
                <w:sz w:val="20"/>
                <w:szCs w:val="24"/>
              </w:rPr>
            </w:pPr>
            <w:r>
              <w:rPr>
                <w:rFonts w:ascii="Times New Roman" w:hAnsi="Times New Roman"/>
                <w:b/>
                <w:sz w:val="20"/>
                <w:szCs w:val="24"/>
              </w:rPr>
              <w:t>Main o</w:t>
            </w:r>
            <w:r w:rsidRPr="00BF4C9A">
              <w:rPr>
                <w:rFonts w:ascii="Times New Roman" w:hAnsi="Times New Roman"/>
                <w:b/>
                <w:sz w:val="20"/>
                <w:szCs w:val="24"/>
              </w:rPr>
              <w:t>bjective</w:t>
            </w:r>
            <w:r>
              <w:rPr>
                <w:rFonts w:ascii="Times New Roman" w:hAnsi="Times New Roman"/>
                <w:b/>
                <w:sz w:val="20"/>
                <w:szCs w:val="24"/>
              </w:rPr>
              <w:t xml:space="preserve"> and criteria</w:t>
            </w:r>
          </w:p>
        </w:tc>
        <w:tc>
          <w:tcPr>
            <w:tcW w:w="2587" w:type="dxa"/>
          </w:tcPr>
          <w:p w:rsidR="00BF4C9A" w:rsidRPr="002231DF" w:rsidRDefault="005B635F" w:rsidP="005B635F">
            <w:pPr>
              <w:pStyle w:val="Bullet-list"/>
              <w:spacing w:after="0" w:line="240" w:lineRule="auto"/>
              <w:ind w:left="0" w:firstLine="0"/>
              <w:jc w:val="left"/>
              <w:rPr>
                <w:rFonts w:ascii="Times New Roman" w:hAnsi="Times New Roman"/>
                <w:b/>
                <w:sz w:val="20"/>
                <w:szCs w:val="24"/>
              </w:rPr>
            </w:pPr>
            <w:r>
              <w:rPr>
                <w:rFonts w:ascii="Times New Roman" w:hAnsi="Times New Roman"/>
                <w:b/>
                <w:sz w:val="20"/>
                <w:szCs w:val="24"/>
              </w:rPr>
              <w:t>Fiscal cost/b</w:t>
            </w:r>
            <w:r w:rsidR="00BF4C9A" w:rsidRPr="002231DF">
              <w:rPr>
                <w:rFonts w:ascii="Times New Roman" w:hAnsi="Times New Roman"/>
                <w:b/>
                <w:sz w:val="20"/>
                <w:szCs w:val="24"/>
              </w:rPr>
              <w:t>enefits</w:t>
            </w:r>
          </w:p>
        </w:tc>
        <w:tc>
          <w:tcPr>
            <w:tcW w:w="2587" w:type="dxa"/>
          </w:tcPr>
          <w:p w:rsidR="00BF4C9A" w:rsidRPr="002231DF" w:rsidRDefault="00BF4C9A">
            <w:pPr>
              <w:pStyle w:val="Bullet-list"/>
              <w:spacing w:after="0" w:line="240" w:lineRule="auto"/>
              <w:ind w:left="0" w:firstLine="0"/>
              <w:jc w:val="left"/>
              <w:rPr>
                <w:rFonts w:ascii="Times New Roman" w:hAnsi="Times New Roman"/>
                <w:b/>
                <w:sz w:val="20"/>
                <w:szCs w:val="24"/>
              </w:rPr>
            </w:pPr>
            <w:r w:rsidRPr="002231DF">
              <w:rPr>
                <w:rFonts w:ascii="Times New Roman" w:hAnsi="Times New Roman"/>
                <w:b/>
                <w:sz w:val="20"/>
                <w:szCs w:val="24"/>
              </w:rPr>
              <w:t>Costs</w:t>
            </w:r>
            <w:r>
              <w:rPr>
                <w:rFonts w:ascii="Times New Roman" w:hAnsi="Times New Roman"/>
                <w:b/>
                <w:sz w:val="20"/>
                <w:szCs w:val="24"/>
              </w:rPr>
              <w:t>/risks</w:t>
            </w:r>
          </w:p>
        </w:tc>
      </w:tr>
      <w:tr w:rsidR="00BF4C9A" w:rsidRPr="00BF4C9A" w:rsidTr="002231DF">
        <w:tc>
          <w:tcPr>
            <w:tcW w:w="1526" w:type="dxa"/>
          </w:tcPr>
          <w:p w:rsidR="00BF4C9A" w:rsidRPr="00BF4C9A" w:rsidRDefault="00BF4C9A">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Option 1 – status quo</w:t>
            </w:r>
          </w:p>
        </w:tc>
        <w:tc>
          <w:tcPr>
            <w:tcW w:w="2587" w:type="dxa"/>
          </w:tcPr>
          <w:p w:rsidR="00BF4C9A" w:rsidRDefault="005B635F" w:rsidP="002231DF">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Does not meet main objective</w:t>
            </w:r>
          </w:p>
          <w:p w:rsidR="00BF4C9A" w:rsidRDefault="005B635F" w:rsidP="002231DF">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Meets criterion (a)</w:t>
            </w:r>
          </w:p>
          <w:p w:rsidR="00BF4C9A" w:rsidRPr="00BF4C9A" w:rsidRDefault="00BF4C9A" w:rsidP="002231DF">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Does not meet criteri</w:t>
            </w:r>
            <w:r w:rsidR="002231DF">
              <w:rPr>
                <w:rFonts w:ascii="Times New Roman" w:hAnsi="Times New Roman"/>
                <w:sz w:val="20"/>
                <w:szCs w:val="24"/>
              </w:rPr>
              <w:t>a</w:t>
            </w:r>
            <w:r w:rsidR="005B635F">
              <w:rPr>
                <w:rFonts w:ascii="Times New Roman" w:hAnsi="Times New Roman"/>
                <w:sz w:val="20"/>
                <w:szCs w:val="24"/>
              </w:rPr>
              <w:t xml:space="preserve"> (b), (c) or (d)</w:t>
            </w:r>
          </w:p>
        </w:tc>
        <w:tc>
          <w:tcPr>
            <w:tcW w:w="2587" w:type="dxa"/>
          </w:tcPr>
          <w:p w:rsidR="00BF4C9A" w:rsidRDefault="00BF4C9A" w:rsidP="002231DF">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Fiscal cost – neutral</w:t>
            </w:r>
          </w:p>
          <w:p w:rsidR="00BF4C9A" w:rsidRPr="00BF4C9A" w:rsidRDefault="00BF4C9A" w:rsidP="002231DF">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Avoids adding additional complexity to the tax system</w:t>
            </w:r>
          </w:p>
        </w:tc>
        <w:tc>
          <w:tcPr>
            <w:tcW w:w="2587" w:type="dxa"/>
          </w:tcPr>
          <w:p w:rsidR="00BF4C9A" w:rsidRPr="00BF4C9A" w:rsidRDefault="00D204A2" w:rsidP="005B635F">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 xml:space="preserve">Increases economic efficiency costs </w:t>
            </w:r>
            <w:r w:rsidR="005B635F">
              <w:rPr>
                <w:rFonts w:ascii="Times New Roman" w:hAnsi="Times New Roman"/>
                <w:sz w:val="20"/>
                <w:szCs w:val="24"/>
              </w:rPr>
              <w:t>- c</w:t>
            </w:r>
            <w:r w:rsidR="00BF4C9A">
              <w:rPr>
                <w:rFonts w:ascii="Times New Roman" w:hAnsi="Times New Roman"/>
                <w:sz w:val="20"/>
                <w:szCs w:val="24"/>
              </w:rPr>
              <w:t>ompanies are incentivised to invest in non-wholly owned companies</w:t>
            </w:r>
          </w:p>
        </w:tc>
      </w:tr>
      <w:tr w:rsidR="00D204A2" w:rsidRPr="00BF4C9A" w:rsidTr="00D204A2">
        <w:tc>
          <w:tcPr>
            <w:tcW w:w="1526" w:type="dxa"/>
          </w:tcPr>
          <w:p w:rsidR="00D204A2" w:rsidRDefault="00D204A2" w:rsidP="00D204A2">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Option 2 – imputation credit transfer</w:t>
            </w:r>
          </w:p>
          <w:p w:rsidR="000056B8" w:rsidRPr="000056B8" w:rsidRDefault="000056B8" w:rsidP="000056B8">
            <w:pPr>
              <w:pStyle w:val="Bullet-list"/>
              <w:spacing w:after="0" w:line="240" w:lineRule="auto"/>
              <w:ind w:left="0" w:firstLine="0"/>
              <w:jc w:val="left"/>
              <w:rPr>
                <w:rFonts w:ascii="Times New Roman" w:hAnsi="Times New Roman"/>
                <w:i/>
                <w:sz w:val="20"/>
                <w:szCs w:val="24"/>
              </w:rPr>
            </w:pPr>
            <w:r>
              <w:rPr>
                <w:rFonts w:ascii="Times New Roman" w:hAnsi="Times New Roman"/>
                <w:i/>
                <w:sz w:val="20"/>
                <w:szCs w:val="24"/>
              </w:rPr>
              <w:t>(preferred option)</w:t>
            </w:r>
          </w:p>
        </w:tc>
        <w:tc>
          <w:tcPr>
            <w:tcW w:w="2587" w:type="dxa"/>
          </w:tcPr>
          <w:p w:rsidR="00D204A2" w:rsidRDefault="002231DF"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Meets main objective</w:t>
            </w:r>
          </w:p>
          <w:p w:rsidR="002231DF" w:rsidRDefault="002231DF"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Meets criteria (a) to (d)</w:t>
            </w:r>
          </w:p>
          <w:p w:rsidR="002231DF" w:rsidRDefault="002231DF" w:rsidP="002231DF">
            <w:pPr>
              <w:pStyle w:val="Bullet-list"/>
              <w:spacing w:after="0" w:line="240" w:lineRule="auto"/>
              <w:ind w:left="360" w:firstLine="0"/>
              <w:jc w:val="left"/>
              <w:rPr>
                <w:rFonts w:ascii="Times New Roman" w:hAnsi="Times New Roman"/>
                <w:sz w:val="20"/>
                <w:szCs w:val="24"/>
              </w:rPr>
            </w:pPr>
          </w:p>
        </w:tc>
        <w:tc>
          <w:tcPr>
            <w:tcW w:w="2587" w:type="dxa"/>
          </w:tcPr>
          <w:p w:rsidR="00D204A2" w:rsidRDefault="00D204A2"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Fiscal cost – forgone tax from fewer unimputed dividends partially offset by more imput</w:t>
            </w:r>
            <w:r w:rsidR="002231DF">
              <w:rPr>
                <w:rFonts w:ascii="Times New Roman" w:hAnsi="Times New Roman"/>
                <w:sz w:val="20"/>
                <w:szCs w:val="24"/>
              </w:rPr>
              <w:t>ed dividends p</w:t>
            </w:r>
            <w:r>
              <w:rPr>
                <w:rFonts w:ascii="Times New Roman" w:hAnsi="Times New Roman"/>
                <w:sz w:val="20"/>
                <w:szCs w:val="24"/>
              </w:rPr>
              <w:t>a</w:t>
            </w:r>
            <w:r w:rsidR="002231DF">
              <w:rPr>
                <w:rFonts w:ascii="Times New Roman" w:hAnsi="Times New Roman"/>
                <w:sz w:val="20"/>
                <w:szCs w:val="24"/>
              </w:rPr>
              <w:t>i</w:t>
            </w:r>
            <w:r>
              <w:rPr>
                <w:rFonts w:ascii="Times New Roman" w:hAnsi="Times New Roman"/>
                <w:sz w:val="20"/>
                <w:szCs w:val="24"/>
              </w:rPr>
              <w:t>d to persons on greater than 28 percent tax rates</w:t>
            </w:r>
          </w:p>
        </w:tc>
        <w:tc>
          <w:tcPr>
            <w:tcW w:w="2587" w:type="dxa"/>
          </w:tcPr>
          <w:p w:rsidR="00D204A2" w:rsidRDefault="00755047"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 xml:space="preserve">Doesn’t fully achieve objective when loss transfer is </w:t>
            </w:r>
            <w:r w:rsidR="005B635F">
              <w:rPr>
                <w:rFonts w:ascii="Times New Roman" w:hAnsi="Times New Roman"/>
                <w:sz w:val="20"/>
                <w:szCs w:val="24"/>
              </w:rPr>
              <w:t>greater than ownership interest</w:t>
            </w:r>
          </w:p>
        </w:tc>
      </w:tr>
      <w:tr w:rsidR="00D204A2" w:rsidRPr="00BF4C9A" w:rsidTr="00D204A2">
        <w:tc>
          <w:tcPr>
            <w:tcW w:w="1526" w:type="dxa"/>
          </w:tcPr>
          <w:p w:rsidR="00D204A2" w:rsidRDefault="00D204A2" w:rsidP="00D204A2">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Option 3 – targeted exemption</w:t>
            </w:r>
          </w:p>
        </w:tc>
        <w:tc>
          <w:tcPr>
            <w:tcW w:w="2587" w:type="dxa"/>
          </w:tcPr>
          <w:p w:rsidR="00D204A2" w:rsidRDefault="002231DF"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Meets main objective</w:t>
            </w:r>
          </w:p>
          <w:p w:rsidR="002231DF" w:rsidRDefault="002231DF"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Meets criterion (a)</w:t>
            </w:r>
          </w:p>
          <w:p w:rsidR="002231DF" w:rsidRDefault="002231DF"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Partially meets criterion (b)</w:t>
            </w:r>
          </w:p>
          <w:p w:rsidR="002231DF" w:rsidRDefault="002231DF"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Does not meet criteria (c) or (d)</w:t>
            </w:r>
          </w:p>
        </w:tc>
        <w:tc>
          <w:tcPr>
            <w:tcW w:w="2587" w:type="dxa"/>
          </w:tcPr>
          <w:p w:rsidR="00D204A2" w:rsidRDefault="00D204A2"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 xml:space="preserve">Fiscal </w:t>
            </w:r>
            <w:r w:rsidR="005B635F">
              <w:rPr>
                <w:rFonts w:ascii="Times New Roman" w:hAnsi="Times New Roman"/>
                <w:sz w:val="20"/>
                <w:szCs w:val="24"/>
              </w:rPr>
              <w:t>cost – same as option 2</w:t>
            </w:r>
          </w:p>
        </w:tc>
        <w:tc>
          <w:tcPr>
            <w:tcW w:w="2587" w:type="dxa"/>
          </w:tcPr>
          <w:p w:rsidR="00D204A2" w:rsidRDefault="00755047" w:rsidP="00755047">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Highly comp</w:t>
            </w:r>
            <w:r w:rsidR="005B635F">
              <w:rPr>
                <w:rFonts w:ascii="Times New Roman" w:hAnsi="Times New Roman"/>
                <w:sz w:val="20"/>
                <w:szCs w:val="24"/>
              </w:rPr>
              <w:t>lex tracking mechanism required</w:t>
            </w:r>
          </w:p>
          <w:p w:rsidR="00755047" w:rsidRDefault="00755047" w:rsidP="00755047">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Allowing partial dividend exemptions is not consistent with other approaches within tax legislation</w:t>
            </w:r>
          </w:p>
        </w:tc>
      </w:tr>
      <w:tr w:rsidR="00D204A2" w:rsidRPr="00BF4C9A" w:rsidTr="00D204A2">
        <w:tc>
          <w:tcPr>
            <w:tcW w:w="1526" w:type="dxa"/>
          </w:tcPr>
          <w:p w:rsidR="00D204A2" w:rsidRDefault="00D204A2" w:rsidP="00D204A2">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Option 4 – lower inter-corporate  dividend threshold</w:t>
            </w:r>
          </w:p>
        </w:tc>
        <w:tc>
          <w:tcPr>
            <w:tcW w:w="2587" w:type="dxa"/>
          </w:tcPr>
          <w:p w:rsidR="00D204A2" w:rsidRDefault="002231DF"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Meets main objective</w:t>
            </w:r>
          </w:p>
          <w:p w:rsidR="002231DF" w:rsidRDefault="00755047"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Partially meets criteria (a) and (d)</w:t>
            </w:r>
          </w:p>
          <w:p w:rsidR="00755047" w:rsidRDefault="00755047"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Does not meet criteria (b) or (c)</w:t>
            </w:r>
          </w:p>
        </w:tc>
        <w:tc>
          <w:tcPr>
            <w:tcW w:w="2587" w:type="dxa"/>
          </w:tcPr>
          <w:p w:rsidR="00D204A2" w:rsidRDefault="00D204A2" w:rsidP="005B635F">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 xml:space="preserve">Fiscal cost – </w:t>
            </w:r>
            <w:r w:rsidR="005B635F">
              <w:rPr>
                <w:rFonts w:ascii="Times New Roman" w:hAnsi="Times New Roman"/>
                <w:sz w:val="20"/>
                <w:szCs w:val="24"/>
              </w:rPr>
              <w:t>higher than</w:t>
            </w:r>
            <w:r>
              <w:rPr>
                <w:rFonts w:ascii="Times New Roman" w:hAnsi="Times New Roman"/>
                <w:sz w:val="20"/>
                <w:szCs w:val="24"/>
              </w:rPr>
              <w:t xml:space="preserve"> option 2 and poss</w:t>
            </w:r>
            <w:r w:rsidR="005B635F">
              <w:rPr>
                <w:rFonts w:ascii="Times New Roman" w:hAnsi="Times New Roman"/>
                <w:sz w:val="20"/>
                <w:szCs w:val="24"/>
              </w:rPr>
              <w:t>ible tax avoidance arrangements</w:t>
            </w:r>
          </w:p>
        </w:tc>
        <w:tc>
          <w:tcPr>
            <w:tcW w:w="2587" w:type="dxa"/>
          </w:tcPr>
          <w:p w:rsidR="00D204A2" w:rsidRDefault="00755047"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Affects a mu</w:t>
            </w:r>
            <w:r w:rsidR="005B635F">
              <w:rPr>
                <w:rFonts w:ascii="Times New Roman" w:hAnsi="Times New Roman"/>
                <w:sz w:val="20"/>
                <w:szCs w:val="24"/>
              </w:rPr>
              <w:t>ch wider selection of taxpayers</w:t>
            </w:r>
          </w:p>
          <w:p w:rsidR="00755047" w:rsidRDefault="00755047"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Creates sign</w:t>
            </w:r>
            <w:r w:rsidR="005B635F">
              <w:rPr>
                <w:rFonts w:ascii="Times New Roman" w:hAnsi="Times New Roman"/>
                <w:sz w:val="20"/>
                <w:szCs w:val="24"/>
              </w:rPr>
              <w:t>ificant avoidance opportunities</w:t>
            </w:r>
          </w:p>
          <w:p w:rsidR="00755047" w:rsidRDefault="00755047" w:rsidP="00D204A2">
            <w:pPr>
              <w:pStyle w:val="Bullet-list"/>
              <w:numPr>
                <w:ilvl w:val="0"/>
                <w:numId w:val="18"/>
              </w:numPr>
              <w:spacing w:after="0" w:line="240" w:lineRule="auto"/>
              <w:jc w:val="left"/>
              <w:rPr>
                <w:rFonts w:ascii="Times New Roman" w:hAnsi="Times New Roman"/>
                <w:sz w:val="20"/>
                <w:szCs w:val="24"/>
              </w:rPr>
            </w:pPr>
            <w:r>
              <w:rPr>
                <w:rFonts w:ascii="Times New Roman" w:hAnsi="Times New Roman"/>
                <w:sz w:val="20"/>
                <w:szCs w:val="24"/>
              </w:rPr>
              <w:t>Inconsistent with underlying policy of the int</w:t>
            </w:r>
            <w:r w:rsidR="005B635F">
              <w:rPr>
                <w:rFonts w:ascii="Times New Roman" w:hAnsi="Times New Roman"/>
                <w:sz w:val="20"/>
                <w:szCs w:val="24"/>
              </w:rPr>
              <w:t>er-corporate dividend exemption</w:t>
            </w:r>
          </w:p>
        </w:tc>
      </w:tr>
    </w:tbl>
    <w:p w:rsidR="007708C6" w:rsidRDefault="007708C6" w:rsidP="00C74B45">
      <w:pPr>
        <w:pStyle w:val="Bullet-list"/>
        <w:spacing w:after="0" w:line="240" w:lineRule="auto"/>
        <w:ind w:left="0" w:firstLine="0"/>
        <w:jc w:val="both"/>
        <w:rPr>
          <w:rFonts w:ascii="Times New Roman" w:hAnsi="Times New Roman"/>
          <w:sz w:val="24"/>
          <w:szCs w:val="24"/>
        </w:rPr>
      </w:pPr>
    </w:p>
    <w:p w:rsidR="007708C6" w:rsidRPr="002231DF" w:rsidRDefault="00BF4C9A" w:rsidP="00C74B45">
      <w:pPr>
        <w:pStyle w:val="Bullet-list"/>
        <w:spacing w:after="0" w:line="240" w:lineRule="auto"/>
        <w:ind w:left="0" w:firstLine="0"/>
        <w:jc w:val="both"/>
        <w:rPr>
          <w:rFonts w:ascii="Times New Roman" w:hAnsi="Times New Roman"/>
          <w:b/>
          <w:sz w:val="20"/>
          <w:szCs w:val="24"/>
        </w:rPr>
      </w:pPr>
      <w:r w:rsidRPr="002231DF">
        <w:rPr>
          <w:rFonts w:ascii="Times New Roman" w:hAnsi="Times New Roman"/>
          <w:b/>
          <w:sz w:val="20"/>
          <w:szCs w:val="24"/>
        </w:rPr>
        <w:t>Key:</w:t>
      </w:r>
    </w:p>
    <w:p w:rsidR="00BF4C9A" w:rsidRPr="002231DF" w:rsidRDefault="00BF4C9A" w:rsidP="00C74B45">
      <w:pPr>
        <w:pStyle w:val="Bullet-list"/>
        <w:spacing w:after="0" w:line="240" w:lineRule="auto"/>
        <w:ind w:left="0" w:firstLine="0"/>
        <w:jc w:val="both"/>
        <w:rPr>
          <w:rFonts w:ascii="Times New Roman" w:hAnsi="Times New Roman"/>
          <w:sz w:val="20"/>
          <w:szCs w:val="24"/>
        </w:rPr>
      </w:pPr>
      <w:r>
        <w:rPr>
          <w:rFonts w:ascii="Times New Roman" w:hAnsi="Times New Roman"/>
          <w:sz w:val="20"/>
          <w:szCs w:val="24"/>
        </w:rPr>
        <w:t>Criterion</w:t>
      </w:r>
      <w:r w:rsidRPr="002231DF">
        <w:rPr>
          <w:rFonts w:ascii="Times New Roman" w:hAnsi="Times New Roman"/>
          <w:sz w:val="20"/>
          <w:szCs w:val="24"/>
        </w:rPr>
        <w:t xml:space="preserve"> (a) - Economic efficiency, </w:t>
      </w:r>
      <w:r>
        <w:rPr>
          <w:rFonts w:ascii="Times New Roman" w:hAnsi="Times New Roman"/>
          <w:sz w:val="20"/>
          <w:szCs w:val="24"/>
        </w:rPr>
        <w:t>criterion</w:t>
      </w:r>
      <w:r w:rsidRPr="002231DF">
        <w:rPr>
          <w:rFonts w:ascii="Times New Roman" w:hAnsi="Times New Roman"/>
          <w:sz w:val="20"/>
          <w:szCs w:val="24"/>
        </w:rPr>
        <w:t xml:space="preserve"> (b) – effectiveness, </w:t>
      </w:r>
      <w:r>
        <w:rPr>
          <w:rFonts w:ascii="Times New Roman" w:hAnsi="Times New Roman"/>
          <w:sz w:val="20"/>
          <w:szCs w:val="24"/>
        </w:rPr>
        <w:t xml:space="preserve">criterion </w:t>
      </w:r>
      <w:r w:rsidRPr="002231DF">
        <w:rPr>
          <w:rFonts w:ascii="Times New Roman" w:hAnsi="Times New Roman"/>
          <w:sz w:val="20"/>
          <w:szCs w:val="24"/>
        </w:rPr>
        <w:t xml:space="preserve">(c) – integrity and coherence, </w:t>
      </w:r>
      <w:r>
        <w:rPr>
          <w:rFonts w:ascii="Times New Roman" w:hAnsi="Times New Roman"/>
          <w:sz w:val="20"/>
          <w:szCs w:val="24"/>
        </w:rPr>
        <w:t xml:space="preserve">criterion </w:t>
      </w:r>
      <w:r w:rsidRPr="002231DF">
        <w:rPr>
          <w:rFonts w:ascii="Times New Roman" w:hAnsi="Times New Roman"/>
          <w:sz w:val="20"/>
          <w:szCs w:val="24"/>
        </w:rPr>
        <w:t>(d) – efficiency of compliance and administration</w:t>
      </w:r>
    </w:p>
    <w:p w:rsidR="00BF4C9A" w:rsidRDefault="00BF4C9A" w:rsidP="00C74B45">
      <w:pPr>
        <w:pStyle w:val="Bullet-list"/>
        <w:spacing w:after="0" w:line="240" w:lineRule="auto"/>
        <w:ind w:left="0" w:firstLine="0"/>
        <w:jc w:val="both"/>
        <w:rPr>
          <w:rFonts w:ascii="Times New Roman" w:hAnsi="Times New Roman"/>
          <w:sz w:val="24"/>
          <w:szCs w:val="24"/>
        </w:rPr>
      </w:pPr>
    </w:p>
    <w:p w:rsidR="00B05BD5" w:rsidRDefault="00B05BD5" w:rsidP="00C74B45">
      <w:pPr>
        <w:pStyle w:val="Bullet-list"/>
        <w:spacing w:after="0" w:line="240" w:lineRule="auto"/>
        <w:ind w:left="0" w:firstLine="0"/>
        <w:jc w:val="both"/>
        <w:rPr>
          <w:rFonts w:ascii="Times New Roman" w:hAnsi="Times New Roman"/>
          <w:sz w:val="24"/>
          <w:szCs w:val="24"/>
        </w:rPr>
      </w:pPr>
    </w:p>
    <w:p w:rsidR="00C74B45" w:rsidRPr="00C74B45" w:rsidRDefault="00C74B45" w:rsidP="00C74B45">
      <w:pPr>
        <w:pStyle w:val="Bullet-list"/>
        <w:spacing w:after="0" w:line="240" w:lineRule="auto"/>
        <w:ind w:left="0" w:firstLine="0"/>
        <w:jc w:val="both"/>
        <w:rPr>
          <w:rFonts w:ascii="Times New Roman" w:hAnsi="Times New Roman"/>
          <w:b/>
          <w:caps/>
          <w:sz w:val="24"/>
          <w:szCs w:val="24"/>
        </w:rPr>
      </w:pPr>
      <w:r w:rsidRPr="00C74B45">
        <w:rPr>
          <w:rFonts w:ascii="Times New Roman" w:hAnsi="Times New Roman"/>
          <w:b/>
          <w:caps/>
          <w:sz w:val="24"/>
          <w:szCs w:val="24"/>
        </w:rPr>
        <w:t>Consultation</w:t>
      </w:r>
    </w:p>
    <w:p w:rsidR="00C74B45" w:rsidRDefault="00C74B45" w:rsidP="00C74B45">
      <w:pPr>
        <w:pStyle w:val="Bullet-list"/>
        <w:spacing w:after="0" w:line="240" w:lineRule="auto"/>
        <w:ind w:left="0" w:firstLine="0"/>
        <w:jc w:val="both"/>
        <w:rPr>
          <w:rFonts w:ascii="Times New Roman" w:hAnsi="Times New Roman"/>
          <w:sz w:val="24"/>
          <w:szCs w:val="24"/>
        </w:rPr>
      </w:pPr>
    </w:p>
    <w:bookmarkEnd w:id="6"/>
    <w:bookmarkEnd w:id="7"/>
    <w:bookmarkEnd w:id="8"/>
    <w:bookmarkEnd w:id="9"/>
    <w:bookmarkEnd w:id="10"/>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B371F4">
        <w:rPr>
          <w:rFonts w:ascii="Times New Roman" w:hAnsi="Times New Roman"/>
          <w:sz w:val="24"/>
          <w:szCs w:val="24"/>
        </w:rPr>
        <w:t>The preferred option</w:t>
      </w:r>
      <w:r w:rsidR="001329DC">
        <w:rPr>
          <w:rFonts w:ascii="Times New Roman" w:hAnsi="Times New Roman"/>
          <w:sz w:val="24"/>
          <w:szCs w:val="24"/>
        </w:rPr>
        <w:t xml:space="preserve"> </w:t>
      </w:r>
      <w:r w:rsidR="003C5E3A">
        <w:rPr>
          <w:rFonts w:ascii="Times New Roman" w:hAnsi="Times New Roman"/>
          <w:sz w:val="24"/>
          <w:szCs w:val="24"/>
        </w:rPr>
        <w:t xml:space="preserve">(assessed as option 2 in this RIS) </w:t>
      </w:r>
      <w:r w:rsidR="001329DC">
        <w:rPr>
          <w:rFonts w:ascii="Times New Roman" w:hAnsi="Times New Roman"/>
          <w:sz w:val="24"/>
          <w:szCs w:val="24"/>
        </w:rPr>
        <w:t>was developed in consultation with the Corporate Taxpayers Group as this issue is particularly relevant to their members.</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1329DC">
        <w:rPr>
          <w:rFonts w:ascii="Times New Roman" w:hAnsi="Times New Roman"/>
          <w:sz w:val="24"/>
          <w:szCs w:val="24"/>
        </w:rPr>
        <w:t xml:space="preserve">Following development of the </w:t>
      </w:r>
      <w:r w:rsidR="00B371F4">
        <w:rPr>
          <w:rFonts w:ascii="Times New Roman" w:hAnsi="Times New Roman"/>
          <w:sz w:val="24"/>
          <w:szCs w:val="24"/>
        </w:rPr>
        <w:t>preferred option</w:t>
      </w:r>
      <w:r w:rsidR="00445996">
        <w:rPr>
          <w:rFonts w:ascii="Times New Roman" w:hAnsi="Times New Roman"/>
          <w:sz w:val="24"/>
          <w:szCs w:val="24"/>
        </w:rPr>
        <w:t>,</w:t>
      </w:r>
      <w:r w:rsidR="00B371F4">
        <w:rPr>
          <w:rFonts w:ascii="Times New Roman" w:hAnsi="Times New Roman"/>
          <w:sz w:val="24"/>
          <w:szCs w:val="24"/>
        </w:rPr>
        <w:t xml:space="preserve"> </w:t>
      </w:r>
      <w:r w:rsidR="001329DC">
        <w:rPr>
          <w:rFonts w:ascii="Times New Roman" w:hAnsi="Times New Roman"/>
          <w:sz w:val="24"/>
          <w:szCs w:val="24"/>
        </w:rPr>
        <w:t>it was the su</w:t>
      </w:r>
      <w:r w:rsidR="00B371F4">
        <w:rPr>
          <w:rFonts w:ascii="Times New Roman" w:hAnsi="Times New Roman"/>
          <w:sz w:val="24"/>
          <w:szCs w:val="24"/>
        </w:rPr>
        <w:t>bject of public consultation in</w:t>
      </w:r>
      <w:r w:rsidR="001329DC">
        <w:rPr>
          <w:rFonts w:ascii="Times New Roman" w:hAnsi="Times New Roman"/>
          <w:sz w:val="24"/>
          <w:szCs w:val="24"/>
        </w:rPr>
        <w:t xml:space="preserve"> the </w:t>
      </w:r>
      <w:r w:rsidR="001329DC">
        <w:rPr>
          <w:rFonts w:ascii="Times New Roman" w:hAnsi="Times New Roman"/>
          <w:i/>
          <w:sz w:val="24"/>
          <w:szCs w:val="24"/>
        </w:rPr>
        <w:t>Loss grouping and imputation credits</w:t>
      </w:r>
      <w:r w:rsidR="001329DC">
        <w:rPr>
          <w:rFonts w:ascii="Times New Roman" w:hAnsi="Times New Roman"/>
          <w:sz w:val="24"/>
          <w:szCs w:val="24"/>
        </w:rPr>
        <w:t xml:space="preserve"> issues paper</w:t>
      </w:r>
      <w:r w:rsidR="003C5E3A">
        <w:rPr>
          <w:rFonts w:ascii="Times New Roman" w:hAnsi="Times New Roman"/>
          <w:sz w:val="24"/>
          <w:szCs w:val="24"/>
        </w:rPr>
        <w:t>, which was</w:t>
      </w:r>
      <w:r w:rsidR="001329DC">
        <w:rPr>
          <w:rFonts w:ascii="Times New Roman" w:hAnsi="Times New Roman"/>
          <w:sz w:val="24"/>
          <w:szCs w:val="24"/>
        </w:rPr>
        <w:t xml:space="preserve"> released in </w:t>
      </w:r>
      <w:r w:rsidR="00B925EC">
        <w:rPr>
          <w:rFonts w:ascii="Times New Roman" w:hAnsi="Times New Roman"/>
          <w:sz w:val="24"/>
          <w:szCs w:val="24"/>
        </w:rPr>
        <w:t xml:space="preserve">August </w:t>
      </w:r>
      <w:r w:rsidR="001329DC">
        <w:rPr>
          <w:rFonts w:ascii="Times New Roman" w:hAnsi="Times New Roman"/>
          <w:sz w:val="24"/>
          <w:szCs w:val="24"/>
        </w:rPr>
        <w:t>2015.  Eight submissions were received on this issues paper</w:t>
      </w:r>
      <w:r w:rsidR="00445996">
        <w:rPr>
          <w:rFonts w:ascii="Times New Roman" w:hAnsi="Times New Roman"/>
          <w:sz w:val="24"/>
          <w:szCs w:val="24"/>
        </w:rPr>
        <w:t>.  These submissions</w:t>
      </w:r>
      <w:r w:rsidR="001329DC">
        <w:rPr>
          <w:rFonts w:ascii="Times New Roman" w:hAnsi="Times New Roman"/>
          <w:sz w:val="24"/>
          <w:szCs w:val="24"/>
        </w:rPr>
        <w:t xml:space="preserve"> were generally supportive of the proposal.</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3C5E3A">
        <w:rPr>
          <w:rFonts w:ascii="Times New Roman" w:hAnsi="Times New Roman"/>
          <w:sz w:val="24"/>
          <w:szCs w:val="24"/>
        </w:rPr>
        <w:t xml:space="preserve">However, </w:t>
      </w:r>
      <w:r w:rsidR="001329DC">
        <w:rPr>
          <w:rFonts w:ascii="Times New Roman" w:hAnsi="Times New Roman"/>
          <w:sz w:val="24"/>
          <w:szCs w:val="24"/>
        </w:rPr>
        <w:t xml:space="preserve">several submitters </w:t>
      </w:r>
      <w:r w:rsidR="003C5E3A">
        <w:rPr>
          <w:rFonts w:ascii="Times New Roman" w:hAnsi="Times New Roman"/>
          <w:sz w:val="24"/>
          <w:szCs w:val="24"/>
        </w:rPr>
        <w:t xml:space="preserve">considered </w:t>
      </w:r>
      <w:r w:rsidR="001329DC">
        <w:rPr>
          <w:rFonts w:ascii="Times New Roman" w:hAnsi="Times New Roman"/>
          <w:sz w:val="24"/>
          <w:szCs w:val="24"/>
        </w:rPr>
        <w:t>that the preferred option did not fully resolve the issue</w:t>
      </w:r>
      <w:r w:rsidR="003C5E3A">
        <w:rPr>
          <w:rFonts w:ascii="Times New Roman" w:hAnsi="Times New Roman"/>
          <w:sz w:val="24"/>
          <w:szCs w:val="24"/>
        </w:rPr>
        <w:t xml:space="preserve"> because </w:t>
      </w:r>
      <w:r w:rsidR="006D72FE">
        <w:rPr>
          <w:rFonts w:ascii="Times New Roman" w:hAnsi="Times New Roman"/>
          <w:sz w:val="24"/>
          <w:szCs w:val="24"/>
        </w:rPr>
        <w:t xml:space="preserve">the loss company </w:t>
      </w:r>
      <w:r w:rsidR="003C5E3A">
        <w:rPr>
          <w:rFonts w:ascii="Times New Roman" w:hAnsi="Times New Roman"/>
          <w:sz w:val="24"/>
          <w:szCs w:val="24"/>
        </w:rPr>
        <w:t xml:space="preserve">did </w:t>
      </w:r>
      <w:r w:rsidR="006D72FE">
        <w:rPr>
          <w:rFonts w:ascii="Times New Roman" w:hAnsi="Times New Roman"/>
          <w:sz w:val="24"/>
          <w:szCs w:val="24"/>
        </w:rPr>
        <w:t>not receiv</w:t>
      </w:r>
      <w:r w:rsidR="003C5E3A">
        <w:rPr>
          <w:rFonts w:ascii="Times New Roman" w:hAnsi="Times New Roman"/>
          <w:sz w:val="24"/>
          <w:szCs w:val="24"/>
        </w:rPr>
        <w:t>e</w:t>
      </w:r>
      <w:r w:rsidR="006D72FE">
        <w:rPr>
          <w:rFonts w:ascii="Times New Roman" w:hAnsi="Times New Roman"/>
          <w:sz w:val="24"/>
          <w:szCs w:val="24"/>
        </w:rPr>
        <w:t xml:space="preserve"> the full value of the imputation credits via an imputed dividend </w:t>
      </w:r>
      <w:r w:rsidR="00445996">
        <w:rPr>
          <w:rFonts w:ascii="Times New Roman" w:hAnsi="Times New Roman"/>
          <w:sz w:val="24"/>
          <w:szCs w:val="24"/>
        </w:rPr>
        <w:t>as a result of</w:t>
      </w:r>
      <w:r w:rsidR="006D72FE">
        <w:rPr>
          <w:rFonts w:ascii="Times New Roman" w:hAnsi="Times New Roman"/>
          <w:sz w:val="24"/>
          <w:szCs w:val="24"/>
        </w:rPr>
        <w:t xml:space="preserve"> the existence of the minority shareholder(s)</w:t>
      </w:r>
      <w:r w:rsidR="003C5E3A">
        <w:rPr>
          <w:rFonts w:ascii="Times New Roman" w:hAnsi="Times New Roman"/>
          <w:sz w:val="24"/>
          <w:szCs w:val="24"/>
        </w:rPr>
        <w:t xml:space="preserve">.  This shortcoming was particularly evident when </w:t>
      </w:r>
      <w:r w:rsidR="006D72FE">
        <w:rPr>
          <w:rFonts w:ascii="Times New Roman" w:hAnsi="Times New Roman"/>
          <w:sz w:val="24"/>
          <w:szCs w:val="24"/>
        </w:rPr>
        <w:t xml:space="preserve">the loss company </w:t>
      </w:r>
      <w:r w:rsidR="002D1933">
        <w:rPr>
          <w:rFonts w:ascii="Times New Roman" w:hAnsi="Times New Roman"/>
          <w:sz w:val="24"/>
          <w:szCs w:val="24"/>
        </w:rPr>
        <w:t xml:space="preserve">is </w:t>
      </w:r>
      <w:r w:rsidR="006D72FE">
        <w:rPr>
          <w:rFonts w:ascii="Times New Roman" w:hAnsi="Times New Roman"/>
          <w:sz w:val="24"/>
          <w:szCs w:val="24"/>
        </w:rPr>
        <w:t xml:space="preserve">a sister company </w:t>
      </w:r>
      <w:r w:rsidR="00445996">
        <w:rPr>
          <w:rFonts w:ascii="Times New Roman" w:hAnsi="Times New Roman"/>
          <w:sz w:val="24"/>
          <w:szCs w:val="24"/>
        </w:rPr>
        <w:t xml:space="preserve">of </w:t>
      </w:r>
      <w:r w:rsidR="006D72FE">
        <w:rPr>
          <w:rFonts w:ascii="Times New Roman" w:hAnsi="Times New Roman"/>
          <w:sz w:val="24"/>
          <w:szCs w:val="24"/>
        </w:rPr>
        <w:t xml:space="preserve">the profit company </w:t>
      </w:r>
      <w:r w:rsidR="00B925EC">
        <w:rPr>
          <w:rFonts w:ascii="Times New Roman" w:hAnsi="Times New Roman"/>
          <w:sz w:val="24"/>
          <w:szCs w:val="24"/>
        </w:rPr>
        <w:t>so does not</w:t>
      </w:r>
      <w:r w:rsidR="003C5E3A">
        <w:rPr>
          <w:rFonts w:ascii="Times New Roman" w:hAnsi="Times New Roman"/>
          <w:sz w:val="24"/>
          <w:szCs w:val="24"/>
        </w:rPr>
        <w:t xml:space="preserve"> </w:t>
      </w:r>
      <w:r w:rsidR="006D72FE">
        <w:rPr>
          <w:rFonts w:ascii="Times New Roman" w:hAnsi="Times New Roman"/>
          <w:sz w:val="24"/>
          <w:szCs w:val="24"/>
        </w:rPr>
        <w:t>receive a dividend from the profit company.</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6D72FE">
        <w:rPr>
          <w:rFonts w:ascii="Times New Roman" w:hAnsi="Times New Roman"/>
          <w:sz w:val="24"/>
          <w:szCs w:val="24"/>
        </w:rPr>
        <w:t xml:space="preserve">Officials addressed the sister company </w:t>
      </w:r>
      <w:r w:rsidR="003C5E3A">
        <w:rPr>
          <w:rFonts w:ascii="Times New Roman" w:hAnsi="Times New Roman"/>
          <w:sz w:val="24"/>
          <w:szCs w:val="24"/>
        </w:rPr>
        <w:t xml:space="preserve">concern </w:t>
      </w:r>
      <w:r w:rsidR="006D72FE">
        <w:rPr>
          <w:rFonts w:ascii="Times New Roman" w:hAnsi="Times New Roman"/>
          <w:sz w:val="24"/>
          <w:szCs w:val="24"/>
        </w:rPr>
        <w:t>by amending the proposal to allow imputation credits to be transferred from a group company member that receive</w:t>
      </w:r>
      <w:r w:rsidR="003C5E3A">
        <w:rPr>
          <w:rFonts w:ascii="Times New Roman" w:hAnsi="Times New Roman"/>
          <w:sz w:val="24"/>
          <w:szCs w:val="24"/>
        </w:rPr>
        <w:t>s</w:t>
      </w:r>
      <w:r w:rsidR="006D72FE">
        <w:rPr>
          <w:rFonts w:ascii="Times New Roman" w:hAnsi="Times New Roman"/>
          <w:sz w:val="24"/>
          <w:szCs w:val="24"/>
        </w:rPr>
        <w:t xml:space="preserve"> the dividend from the profit company.</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F348A8" w:rsidRPr="00F348A8">
        <w:rPr>
          <w:rFonts w:ascii="Times New Roman" w:hAnsi="Times New Roman"/>
          <w:sz w:val="24"/>
          <w:szCs w:val="24"/>
        </w:rPr>
        <w:t>As noted under option 2, the wider issue of the preferred option not fully addressing the claw-back could be removed by restricting the amount of the loss transfer.  Officials do not recommend introducing this restriction and prefer to let taxpayers manage this issue by grouping fewer losses if it is in their best interests to do so.</w:t>
      </w:r>
      <w:bookmarkStart w:id="11" w:name="_Preferred_option_[optional]"/>
      <w:bookmarkStart w:id="12" w:name="_Toc244580367"/>
      <w:bookmarkStart w:id="13" w:name="_Toc244587043"/>
      <w:bookmarkStart w:id="14" w:name="_Toc244857277"/>
      <w:bookmarkStart w:id="15" w:name="_Toc244912542"/>
      <w:bookmarkStart w:id="16" w:name="_Toc244916999"/>
      <w:bookmarkEnd w:id="11"/>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Pr="00C74B45" w:rsidRDefault="00C74B45" w:rsidP="00C74B45">
      <w:pPr>
        <w:pStyle w:val="Bullet-list"/>
        <w:spacing w:after="0" w:line="240" w:lineRule="auto"/>
        <w:ind w:left="0" w:firstLine="0"/>
        <w:jc w:val="both"/>
        <w:rPr>
          <w:rFonts w:ascii="Times New Roman" w:hAnsi="Times New Roman"/>
          <w:b/>
          <w:caps/>
          <w:sz w:val="24"/>
          <w:szCs w:val="24"/>
        </w:rPr>
      </w:pPr>
      <w:r w:rsidRPr="00C74B45">
        <w:rPr>
          <w:rFonts w:ascii="Times New Roman" w:hAnsi="Times New Roman"/>
          <w:b/>
          <w:caps/>
          <w:sz w:val="24"/>
          <w:szCs w:val="24"/>
        </w:rPr>
        <w:t>Conclusions and recommendations</w:t>
      </w:r>
    </w:p>
    <w:bookmarkEnd w:id="12"/>
    <w:bookmarkEnd w:id="13"/>
    <w:bookmarkEnd w:id="14"/>
    <w:bookmarkEnd w:id="15"/>
    <w:bookmarkEnd w:id="16"/>
    <w:p w:rsidR="00C74B45" w:rsidRDefault="00C74B45" w:rsidP="00C74B45">
      <w:pPr>
        <w:pStyle w:val="Bullet-list"/>
        <w:spacing w:after="0" w:line="240" w:lineRule="auto"/>
        <w:ind w:left="0" w:firstLine="0"/>
        <w:jc w:val="both"/>
        <w:rPr>
          <w:rFonts w:ascii="Times New Roman" w:hAnsi="Times New Roman"/>
          <w:sz w:val="24"/>
          <w:szCs w:val="24"/>
        </w:rPr>
      </w:pPr>
    </w:p>
    <w:p w:rsidR="00BD1E2B" w:rsidRDefault="00C74B45" w:rsidP="00C74B45">
      <w:pPr>
        <w:pStyle w:val="Bullet-list"/>
        <w:spacing w:after="0" w:line="240" w:lineRule="auto"/>
        <w:ind w:left="0" w:firstLine="0"/>
        <w:jc w:val="both"/>
        <w:rPr>
          <w:rFonts w:ascii="Times New Roman" w:hAnsi="Times New Roman"/>
          <w:b/>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BD1E2B">
        <w:rPr>
          <w:rFonts w:ascii="Times New Roman" w:hAnsi="Times New Roman"/>
          <w:sz w:val="24"/>
          <w:szCs w:val="24"/>
        </w:rPr>
        <w:t xml:space="preserve">We recommend option 2 </w:t>
      </w:r>
      <w:r w:rsidR="00B7160C">
        <w:rPr>
          <w:rFonts w:ascii="Times New Roman" w:hAnsi="Times New Roman"/>
          <w:sz w:val="24"/>
          <w:szCs w:val="24"/>
        </w:rPr>
        <w:t xml:space="preserve">be adopted.  Option 2 would </w:t>
      </w:r>
      <w:r w:rsidR="00477D44">
        <w:rPr>
          <w:rFonts w:ascii="Times New Roman" w:hAnsi="Times New Roman"/>
          <w:sz w:val="24"/>
          <w:szCs w:val="24"/>
        </w:rPr>
        <w:t xml:space="preserve">significantly mitigate the problem identified and </w:t>
      </w:r>
      <w:r w:rsidR="00B7160C">
        <w:rPr>
          <w:rFonts w:ascii="Times New Roman" w:hAnsi="Times New Roman"/>
          <w:sz w:val="24"/>
          <w:szCs w:val="24"/>
        </w:rPr>
        <w:t xml:space="preserve">would </w:t>
      </w:r>
      <w:r w:rsidR="00477D44">
        <w:rPr>
          <w:rFonts w:ascii="Times New Roman" w:hAnsi="Times New Roman"/>
          <w:sz w:val="24"/>
          <w:szCs w:val="24"/>
        </w:rPr>
        <w:t>most closely achieve the</w:t>
      </w:r>
      <w:r w:rsidR="00BD1E2B">
        <w:rPr>
          <w:rFonts w:ascii="Times New Roman" w:hAnsi="Times New Roman"/>
          <w:sz w:val="24"/>
          <w:szCs w:val="24"/>
        </w:rPr>
        <w:t xml:space="preserve"> </w:t>
      </w:r>
      <w:r w:rsidR="00B7160C">
        <w:rPr>
          <w:rFonts w:ascii="Times New Roman" w:hAnsi="Times New Roman"/>
          <w:sz w:val="24"/>
          <w:szCs w:val="24"/>
        </w:rPr>
        <w:t xml:space="preserve">main </w:t>
      </w:r>
      <w:r w:rsidR="00BD1E2B">
        <w:rPr>
          <w:rFonts w:ascii="Times New Roman" w:hAnsi="Times New Roman"/>
          <w:sz w:val="24"/>
          <w:szCs w:val="24"/>
        </w:rPr>
        <w:t>objective</w:t>
      </w:r>
      <w:r w:rsidR="00477D44">
        <w:rPr>
          <w:rFonts w:ascii="Times New Roman" w:hAnsi="Times New Roman"/>
          <w:sz w:val="24"/>
          <w:szCs w:val="24"/>
        </w:rPr>
        <w:t>,</w:t>
      </w:r>
      <w:r w:rsidR="00BD1E2B">
        <w:rPr>
          <w:rFonts w:ascii="Times New Roman" w:hAnsi="Times New Roman"/>
          <w:sz w:val="24"/>
          <w:szCs w:val="24"/>
        </w:rPr>
        <w:t xml:space="preserve"> while </w:t>
      </w:r>
      <w:r w:rsidR="00477D44">
        <w:rPr>
          <w:rFonts w:ascii="Times New Roman" w:hAnsi="Times New Roman"/>
          <w:sz w:val="24"/>
          <w:szCs w:val="24"/>
        </w:rPr>
        <w:t xml:space="preserve">working within existing tax policy </w:t>
      </w:r>
      <w:r w:rsidR="00DA4CF9">
        <w:rPr>
          <w:rFonts w:ascii="Times New Roman" w:hAnsi="Times New Roman"/>
          <w:sz w:val="24"/>
          <w:szCs w:val="24"/>
        </w:rPr>
        <w:t>settings</w:t>
      </w:r>
      <w:r w:rsidR="00477D44">
        <w:rPr>
          <w:rFonts w:ascii="Times New Roman" w:hAnsi="Times New Roman"/>
          <w:sz w:val="24"/>
          <w:szCs w:val="24"/>
        </w:rPr>
        <w:t xml:space="preserve"> and using existing rules</w:t>
      </w:r>
      <w:r w:rsidR="007708C6">
        <w:rPr>
          <w:rFonts w:ascii="Times New Roman" w:hAnsi="Times New Roman"/>
          <w:sz w:val="24"/>
          <w:szCs w:val="24"/>
        </w:rPr>
        <w:t xml:space="preserve"> and </w:t>
      </w:r>
      <w:r w:rsidR="00477D44">
        <w:rPr>
          <w:rFonts w:ascii="Times New Roman" w:hAnsi="Times New Roman"/>
          <w:sz w:val="24"/>
          <w:szCs w:val="24"/>
        </w:rPr>
        <w:t>mechanisms</w:t>
      </w:r>
      <w:r w:rsidR="00BD1E2B">
        <w:rPr>
          <w:rFonts w:ascii="Times New Roman" w:hAnsi="Times New Roman"/>
          <w:sz w:val="24"/>
          <w:szCs w:val="24"/>
        </w:rPr>
        <w:t xml:space="preserve">. </w:t>
      </w:r>
      <w:r w:rsidR="00B7160C">
        <w:rPr>
          <w:rFonts w:ascii="Times New Roman" w:hAnsi="Times New Roman"/>
          <w:sz w:val="24"/>
          <w:szCs w:val="24"/>
        </w:rPr>
        <w:t xml:space="preserve"> </w:t>
      </w:r>
      <w:r w:rsidR="00AE4767">
        <w:rPr>
          <w:rFonts w:ascii="Times New Roman" w:hAnsi="Times New Roman"/>
          <w:sz w:val="24"/>
          <w:szCs w:val="24"/>
        </w:rPr>
        <w:t xml:space="preserve">By working within the existing rules and not requiring complicated tracking of payments and loss offsets, option </w:t>
      </w:r>
      <w:r w:rsidR="00B7160C">
        <w:rPr>
          <w:rFonts w:ascii="Times New Roman" w:hAnsi="Times New Roman"/>
          <w:sz w:val="24"/>
          <w:szCs w:val="24"/>
        </w:rPr>
        <w:t xml:space="preserve">2 would </w:t>
      </w:r>
      <w:r w:rsidR="00AE4767">
        <w:rPr>
          <w:rFonts w:ascii="Times New Roman" w:hAnsi="Times New Roman"/>
          <w:sz w:val="24"/>
          <w:szCs w:val="24"/>
        </w:rPr>
        <w:t xml:space="preserve">minimise </w:t>
      </w:r>
      <w:r w:rsidR="00B7160C">
        <w:rPr>
          <w:rFonts w:ascii="Times New Roman" w:hAnsi="Times New Roman"/>
          <w:sz w:val="24"/>
          <w:szCs w:val="24"/>
        </w:rPr>
        <w:t xml:space="preserve">both </w:t>
      </w:r>
      <w:r w:rsidR="00AE4767">
        <w:rPr>
          <w:rFonts w:ascii="Times New Roman" w:hAnsi="Times New Roman"/>
          <w:sz w:val="24"/>
          <w:szCs w:val="24"/>
        </w:rPr>
        <w:t>compliance and administrative costs.</w:t>
      </w:r>
      <w:r w:rsidR="00BD1E2B">
        <w:rPr>
          <w:rFonts w:ascii="Times New Roman" w:hAnsi="Times New Roman"/>
          <w:sz w:val="24"/>
          <w:szCs w:val="24"/>
        </w:rPr>
        <w:t xml:space="preserve"> </w:t>
      </w:r>
      <w:r w:rsidR="00B7160C">
        <w:rPr>
          <w:rFonts w:ascii="Times New Roman" w:hAnsi="Times New Roman"/>
          <w:sz w:val="24"/>
          <w:szCs w:val="24"/>
        </w:rPr>
        <w:t xml:space="preserve"> Option 3 and 4 </w:t>
      </w:r>
      <w:r w:rsidR="00BD1E2B">
        <w:rPr>
          <w:rFonts w:ascii="Times New Roman" w:hAnsi="Times New Roman"/>
          <w:sz w:val="24"/>
          <w:szCs w:val="24"/>
        </w:rPr>
        <w:t xml:space="preserve">would be much more complex to </w:t>
      </w:r>
      <w:r w:rsidR="00B7160C">
        <w:rPr>
          <w:rFonts w:ascii="Times New Roman" w:hAnsi="Times New Roman"/>
          <w:sz w:val="24"/>
          <w:szCs w:val="24"/>
        </w:rPr>
        <w:t xml:space="preserve">comply with and </w:t>
      </w:r>
      <w:r w:rsidR="00BD1E2B">
        <w:rPr>
          <w:rFonts w:ascii="Times New Roman" w:hAnsi="Times New Roman"/>
          <w:sz w:val="24"/>
          <w:szCs w:val="24"/>
        </w:rPr>
        <w:t>administer and</w:t>
      </w:r>
      <w:r w:rsidR="00B7160C">
        <w:rPr>
          <w:rFonts w:ascii="Times New Roman" w:hAnsi="Times New Roman"/>
          <w:sz w:val="24"/>
          <w:szCs w:val="24"/>
        </w:rPr>
        <w:t xml:space="preserve"> could also potentially </w:t>
      </w:r>
      <w:r w:rsidR="00BD1E2B">
        <w:rPr>
          <w:rFonts w:ascii="Times New Roman" w:hAnsi="Times New Roman"/>
          <w:sz w:val="24"/>
          <w:szCs w:val="24"/>
        </w:rPr>
        <w:t xml:space="preserve">create tax planning opportunities.  </w:t>
      </w:r>
      <w:r w:rsidR="00B7160C">
        <w:rPr>
          <w:rFonts w:ascii="Times New Roman" w:hAnsi="Times New Roman"/>
          <w:sz w:val="24"/>
          <w:szCs w:val="24"/>
        </w:rPr>
        <w:t xml:space="preserve">Although </w:t>
      </w:r>
      <w:r w:rsidR="00BD1E2B">
        <w:rPr>
          <w:rFonts w:ascii="Times New Roman" w:hAnsi="Times New Roman"/>
          <w:sz w:val="24"/>
          <w:szCs w:val="24"/>
        </w:rPr>
        <w:t xml:space="preserve">option 2 does not fully achieve the objective in all instances it </w:t>
      </w:r>
      <w:r w:rsidR="00B7160C">
        <w:rPr>
          <w:rFonts w:ascii="Times New Roman" w:hAnsi="Times New Roman"/>
          <w:sz w:val="24"/>
          <w:szCs w:val="24"/>
        </w:rPr>
        <w:t xml:space="preserve">would </w:t>
      </w:r>
      <w:r w:rsidR="00BD1E2B">
        <w:rPr>
          <w:rFonts w:ascii="Times New Roman" w:hAnsi="Times New Roman"/>
          <w:sz w:val="24"/>
          <w:szCs w:val="24"/>
        </w:rPr>
        <w:t>provide taxpayers with the ability to manage this risk.</w:t>
      </w:r>
    </w:p>
    <w:p w:rsidR="00C74B45" w:rsidRDefault="00C74B45" w:rsidP="00C74B45">
      <w:pPr>
        <w:pStyle w:val="Bullet-list"/>
        <w:spacing w:after="0" w:line="240" w:lineRule="auto"/>
        <w:ind w:left="0" w:firstLine="0"/>
        <w:jc w:val="both"/>
        <w:rPr>
          <w:rFonts w:ascii="Times New Roman" w:hAnsi="Times New Roman"/>
          <w:b/>
          <w:sz w:val="24"/>
          <w:szCs w:val="24"/>
        </w:rPr>
      </w:pPr>
    </w:p>
    <w:p w:rsidR="00C74B45" w:rsidRDefault="00C74B45" w:rsidP="00C74B45">
      <w:pPr>
        <w:pStyle w:val="Bullet-list"/>
        <w:spacing w:after="0" w:line="240" w:lineRule="auto"/>
        <w:ind w:left="0" w:firstLine="0"/>
        <w:jc w:val="both"/>
        <w:rPr>
          <w:rFonts w:ascii="Times New Roman" w:hAnsi="Times New Roman"/>
          <w:b/>
          <w:sz w:val="24"/>
          <w:szCs w:val="24"/>
        </w:rPr>
      </w:pPr>
    </w:p>
    <w:p w:rsidR="00C74B45" w:rsidRPr="00C74B45" w:rsidRDefault="00C74B45" w:rsidP="00C74B45">
      <w:pPr>
        <w:pStyle w:val="Bullet-list"/>
        <w:spacing w:after="0" w:line="240" w:lineRule="auto"/>
        <w:ind w:left="0" w:firstLine="0"/>
        <w:jc w:val="both"/>
        <w:rPr>
          <w:rFonts w:ascii="Times New Roman" w:hAnsi="Times New Roman"/>
          <w:b/>
          <w:caps/>
          <w:sz w:val="24"/>
          <w:szCs w:val="24"/>
        </w:rPr>
      </w:pPr>
      <w:r>
        <w:rPr>
          <w:rFonts w:ascii="Times New Roman" w:hAnsi="Times New Roman"/>
          <w:b/>
          <w:caps/>
          <w:sz w:val="24"/>
          <w:szCs w:val="24"/>
        </w:rPr>
        <w:t>Implementa</w:t>
      </w:r>
      <w:r w:rsidRPr="00C74B45">
        <w:rPr>
          <w:rFonts w:ascii="Times New Roman" w:hAnsi="Times New Roman"/>
          <w:b/>
          <w:caps/>
          <w:sz w:val="24"/>
          <w:szCs w:val="24"/>
        </w:rPr>
        <w:t>tion</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321AA6">
        <w:rPr>
          <w:rFonts w:ascii="Times New Roman" w:hAnsi="Times New Roman"/>
          <w:sz w:val="24"/>
          <w:szCs w:val="24"/>
        </w:rPr>
        <w:t xml:space="preserve">Changes to the imputation rules to facilitate the preferred option would require amendments to the Income Tax Act 2007 and consequential </w:t>
      </w:r>
      <w:r w:rsidR="00DA4CF9">
        <w:rPr>
          <w:rFonts w:ascii="Times New Roman" w:hAnsi="Times New Roman"/>
          <w:sz w:val="24"/>
          <w:szCs w:val="24"/>
        </w:rPr>
        <w:t>amendments</w:t>
      </w:r>
      <w:r w:rsidR="00321AA6">
        <w:rPr>
          <w:rFonts w:ascii="Times New Roman" w:hAnsi="Times New Roman"/>
          <w:sz w:val="24"/>
          <w:szCs w:val="24"/>
        </w:rPr>
        <w:t xml:space="preserve"> </w:t>
      </w:r>
      <w:r w:rsidR="00B7160C">
        <w:rPr>
          <w:rFonts w:ascii="Times New Roman" w:hAnsi="Times New Roman"/>
          <w:sz w:val="24"/>
          <w:szCs w:val="24"/>
        </w:rPr>
        <w:t xml:space="preserve">to other </w:t>
      </w:r>
      <w:r w:rsidR="00DA4CF9">
        <w:rPr>
          <w:rFonts w:ascii="Times New Roman" w:hAnsi="Times New Roman"/>
          <w:sz w:val="24"/>
          <w:szCs w:val="24"/>
        </w:rPr>
        <w:t xml:space="preserve">tax </w:t>
      </w:r>
      <w:r w:rsidR="00321AA6">
        <w:rPr>
          <w:rFonts w:ascii="Times New Roman" w:hAnsi="Times New Roman"/>
          <w:sz w:val="24"/>
          <w:szCs w:val="24"/>
        </w:rPr>
        <w:t xml:space="preserve">legislation.  These amendments would be included </w:t>
      </w:r>
      <w:r w:rsidR="00DA4CF9">
        <w:rPr>
          <w:rFonts w:ascii="Times New Roman" w:hAnsi="Times New Roman"/>
          <w:sz w:val="24"/>
          <w:szCs w:val="24"/>
        </w:rPr>
        <w:t>in a tax bill, scheduled</w:t>
      </w:r>
      <w:r w:rsidR="00321AA6">
        <w:rPr>
          <w:rFonts w:ascii="Times New Roman" w:hAnsi="Times New Roman"/>
          <w:sz w:val="24"/>
          <w:szCs w:val="24"/>
        </w:rPr>
        <w:t xml:space="preserve"> for introduction in March 2016.</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DA4CF9">
        <w:rPr>
          <w:rFonts w:ascii="Times New Roman" w:hAnsi="Times New Roman"/>
          <w:sz w:val="24"/>
          <w:szCs w:val="24"/>
        </w:rPr>
        <w:t>The</w:t>
      </w:r>
      <w:r w:rsidR="00B7160C">
        <w:rPr>
          <w:rFonts w:ascii="Times New Roman" w:hAnsi="Times New Roman"/>
          <w:sz w:val="24"/>
          <w:szCs w:val="24"/>
        </w:rPr>
        <w:t xml:space="preserve"> preferred option </w:t>
      </w:r>
      <w:r w:rsidR="00DA4CF9">
        <w:rPr>
          <w:rFonts w:ascii="Times New Roman" w:hAnsi="Times New Roman"/>
          <w:sz w:val="24"/>
          <w:szCs w:val="24"/>
        </w:rPr>
        <w:t>would be taxpayer favourable</w:t>
      </w:r>
      <w:r w:rsidR="00B7160C">
        <w:rPr>
          <w:rFonts w:ascii="Times New Roman" w:hAnsi="Times New Roman"/>
          <w:sz w:val="24"/>
          <w:szCs w:val="24"/>
        </w:rPr>
        <w:t xml:space="preserve"> and would be voluntary </w:t>
      </w:r>
      <w:r w:rsidR="00DA4CF9">
        <w:rPr>
          <w:rFonts w:ascii="Times New Roman" w:hAnsi="Times New Roman"/>
          <w:sz w:val="24"/>
          <w:szCs w:val="24"/>
        </w:rPr>
        <w:t xml:space="preserve">for loss transfers occurring after the application of the legislation.  </w:t>
      </w:r>
      <w:r w:rsidR="005949C7">
        <w:rPr>
          <w:rFonts w:ascii="Times New Roman" w:hAnsi="Times New Roman"/>
          <w:sz w:val="24"/>
          <w:szCs w:val="24"/>
        </w:rPr>
        <w:t xml:space="preserve">Taxpayers would </w:t>
      </w:r>
      <w:r w:rsidR="00B7160C">
        <w:rPr>
          <w:rFonts w:ascii="Times New Roman" w:hAnsi="Times New Roman"/>
          <w:sz w:val="24"/>
          <w:szCs w:val="24"/>
        </w:rPr>
        <w:t xml:space="preserve">be able to </w:t>
      </w:r>
      <w:r w:rsidR="005949C7">
        <w:rPr>
          <w:rFonts w:ascii="Times New Roman" w:hAnsi="Times New Roman"/>
          <w:sz w:val="24"/>
          <w:szCs w:val="24"/>
        </w:rPr>
        <w:t>elect to apply the imputation transfer rules after all companies involved in the transfer agreed to participate.  Imputation credits would be transferred with the loss transfer but would not be recorded as a debit or credit in the respective imputation credit accounts until the corresponding imputed dividend was paid by the profit company.</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5949C7">
        <w:rPr>
          <w:rFonts w:ascii="Times New Roman" w:hAnsi="Times New Roman"/>
          <w:sz w:val="24"/>
          <w:szCs w:val="24"/>
        </w:rPr>
        <w:t xml:space="preserve">The imputation credit transfer would be recorded in the respective </w:t>
      </w:r>
      <w:r w:rsidR="00C13663">
        <w:rPr>
          <w:rFonts w:ascii="Times New Roman" w:hAnsi="Times New Roman"/>
          <w:sz w:val="24"/>
          <w:szCs w:val="24"/>
        </w:rPr>
        <w:t>companies’</w:t>
      </w:r>
      <w:r w:rsidR="005949C7">
        <w:rPr>
          <w:rFonts w:ascii="Times New Roman" w:hAnsi="Times New Roman"/>
          <w:sz w:val="24"/>
          <w:szCs w:val="24"/>
        </w:rPr>
        <w:t xml:space="preserve"> imputation credit accounts using existing forms and processes.  The companies would be required to keep track of what imputation credits had been elected to be transferred and if the transfer was </w:t>
      </w:r>
      <w:r w:rsidR="005949C7" w:rsidRPr="005949C7">
        <w:rPr>
          <w:rFonts w:ascii="Times New Roman" w:hAnsi="Times New Roman"/>
          <w:sz w:val="24"/>
          <w:szCs w:val="24"/>
        </w:rPr>
        <w:t>invalidated</w:t>
      </w:r>
      <w:r w:rsidR="005949C7" w:rsidRPr="005949C7">
        <w:rPr>
          <w:rStyle w:val="FootnoteReference"/>
          <w:rFonts w:ascii="Times New Roman" w:hAnsi="Times New Roman"/>
          <w:szCs w:val="24"/>
        </w:rPr>
        <w:footnoteReference w:id="10"/>
      </w:r>
      <w:r w:rsidR="005949C7" w:rsidRPr="005949C7">
        <w:rPr>
          <w:rFonts w:ascii="Times New Roman" w:hAnsi="Times New Roman"/>
          <w:sz w:val="24"/>
          <w:szCs w:val="24"/>
        </w:rPr>
        <w:t xml:space="preserve"> before</w:t>
      </w:r>
      <w:r w:rsidR="005949C7">
        <w:rPr>
          <w:rFonts w:ascii="Times New Roman" w:hAnsi="Times New Roman"/>
          <w:sz w:val="24"/>
          <w:szCs w:val="24"/>
        </w:rPr>
        <w:t xml:space="preserve"> the payment of an imputed dividend </w:t>
      </w:r>
      <w:r w:rsidR="00843D8D">
        <w:rPr>
          <w:rFonts w:ascii="Times New Roman" w:hAnsi="Times New Roman"/>
          <w:sz w:val="24"/>
          <w:szCs w:val="24"/>
        </w:rPr>
        <w:t>the transfer would not be recorded in the imputation credit accounts.</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B7160C">
        <w:rPr>
          <w:rFonts w:ascii="Times New Roman" w:hAnsi="Times New Roman"/>
          <w:sz w:val="24"/>
          <w:szCs w:val="24"/>
          <w:lang w:val="en-NZ"/>
        </w:rPr>
        <w:t xml:space="preserve">Implementing the preferred option </w:t>
      </w:r>
      <w:r w:rsidR="00321AA6">
        <w:rPr>
          <w:rFonts w:ascii="Times New Roman" w:hAnsi="Times New Roman"/>
          <w:sz w:val="24"/>
          <w:szCs w:val="24"/>
        </w:rPr>
        <w:t xml:space="preserve">will largely </w:t>
      </w:r>
      <w:r w:rsidR="00B7160C">
        <w:rPr>
          <w:rFonts w:ascii="Times New Roman" w:hAnsi="Times New Roman"/>
          <w:sz w:val="24"/>
          <w:szCs w:val="24"/>
        </w:rPr>
        <w:t xml:space="preserve">require changes to Inland Revenue’s </w:t>
      </w:r>
      <w:r w:rsidR="00321AA6">
        <w:rPr>
          <w:rFonts w:ascii="Times New Roman" w:hAnsi="Times New Roman"/>
          <w:sz w:val="24"/>
          <w:szCs w:val="24"/>
        </w:rPr>
        <w:t xml:space="preserve">communication and education </w:t>
      </w:r>
      <w:r w:rsidR="00B7160C">
        <w:rPr>
          <w:rFonts w:ascii="Times New Roman" w:hAnsi="Times New Roman"/>
          <w:sz w:val="24"/>
          <w:szCs w:val="24"/>
        </w:rPr>
        <w:t>products</w:t>
      </w:r>
      <w:r w:rsidR="00321AA6">
        <w:rPr>
          <w:rFonts w:ascii="Times New Roman" w:hAnsi="Times New Roman"/>
          <w:sz w:val="24"/>
          <w:szCs w:val="24"/>
        </w:rPr>
        <w:t xml:space="preserve">.  </w:t>
      </w:r>
      <w:r w:rsidR="00477D44">
        <w:rPr>
          <w:rFonts w:ascii="Times New Roman" w:hAnsi="Times New Roman"/>
          <w:sz w:val="24"/>
          <w:szCs w:val="24"/>
        </w:rPr>
        <w:t xml:space="preserve">The changes </w:t>
      </w:r>
      <w:r w:rsidR="00B7160C">
        <w:rPr>
          <w:rFonts w:ascii="Times New Roman" w:hAnsi="Times New Roman"/>
          <w:sz w:val="24"/>
          <w:szCs w:val="24"/>
        </w:rPr>
        <w:t xml:space="preserve">would </w:t>
      </w:r>
      <w:r w:rsidR="00321AA6">
        <w:rPr>
          <w:rFonts w:ascii="Times New Roman" w:hAnsi="Times New Roman"/>
          <w:sz w:val="24"/>
          <w:szCs w:val="24"/>
        </w:rPr>
        <w:t xml:space="preserve">also require </w:t>
      </w:r>
      <w:r w:rsidR="00477D44">
        <w:rPr>
          <w:rFonts w:ascii="Times New Roman" w:hAnsi="Times New Roman"/>
          <w:sz w:val="24"/>
          <w:szCs w:val="24"/>
        </w:rPr>
        <w:t xml:space="preserve">the establishment of </w:t>
      </w:r>
      <w:r w:rsidR="00321AA6">
        <w:rPr>
          <w:rFonts w:ascii="Times New Roman" w:hAnsi="Times New Roman"/>
          <w:sz w:val="24"/>
          <w:szCs w:val="24"/>
        </w:rPr>
        <w:t>an email address for elections so that the use of these rules can be monitored</w:t>
      </w:r>
      <w:r w:rsidR="00B7160C">
        <w:rPr>
          <w:rFonts w:ascii="Times New Roman" w:hAnsi="Times New Roman"/>
          <w:sz w:val="24"/>
          <w:szCs w:val="24"/>
        </w:rPr>
        <w:t xml:space="preserve"> by Inland Revenue</w:t>
      </w:r>
      <w:r w:rsidR="00321AA6">
        <w:rPr>
          <w:rFonts w:ascii="Times New Roman" w:hAnsi="Times New Roman"/>
          <w:sz w:val="24"/>
          <w:szCs w:val="24"/>
        </w:rPr>
        <w:t xml:space="preserve">.  </w:t>
      </w:r>
      <w:bookmarkStart w:id="17" w:name="_Toc244580369"/>
      <w:bookmarkStart w:id="18" w:name="_Toc244587045"/>
      <w:bookmarkStart w:id="19" w:name="_Toc244857279"/>
      <w:bookmarkStart w:id="20" w:name="_Toc244912544"/>
      <w:bookmarkStart w:id="21" w:name="_Toc244917001"/>
      <w:r w:rsidR="00B7160C">
        <w:rPr>
          <w:rFonts w:ascii="Times New Roman" w:hAnsi="Times New Roman"/>
          <w:sz w:val="24"/>
          <w:szCs w:val="24"/>
        </w:rPr>
        <w:t xml:space="preserve">  Going forward, Inland Revenue will administer the changes as part of its business as usual processes.</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Pr="00C74B45" w:rsidRDefault="00C74B45" w:rsidP="00C74B45">
      <w:pPr>
        <w:pStyle w:val="Bullet-list"/>
        <w:spacing w:after="0" w:line="240" w:lineRule="auto"/>
        <w:ind w:left="0" w:firstLine="0"/>
        <w:jc w:val="both"/>
        <w:rPr>
          <w:rFonts w:ascii="Times New Roman" w:hAnsi="Times New Roman"/>
          <w:b/>
          <w:caps/>
          <w:sz w:val="24"/>
          <w:szCs w:val="24"/>
        </w:rPr>
      </w:pPr>
      <w:r w:rsidRPr="00C74B45">
        <w:rPr>
          <w:rFonts w:ascii="Times New Roman" w:hAnsi="Times New Roman"/>
          <w:b/>
          <w:caps/>
          <w:sz w:val="24"/>
          <w:szCs w:val="24"/>
        </w:rPr>
        <w:t>Monitoring, Evaluation and Review</w:t>
      </w:r>
    </w:p>
    <w:p w:rsidR="00C74B45" w:rsidRDefault="00C74B45" w:rsidP="00C74B45">
      <w:pPr>
        <w:pStyle w:val="Bullet-list"/>
        <w:spacing w:after="0" w:line="240" w:lineRule="auto"/>
        <w:ind w:left="0" w:firstLine="0"/>
        <w:jc w:val="both"/>
        <w:rPr>
          <w:rFonts w:ascii="Times New Roman" w:hAnsi="Times New Roman"/>
          <w:sz w:val="24"/>
          <w:szCs w:val="24"/>
        </w:rPr>
      </w:pPr>
    </w:p>
    <w:bookmarkEnd w:id="17"/>
    <w:bookmarkEnd w:id="18"/>
    <w:bookmarkEnd w:id="19"/>
    <w:bookmarkEnd w:id="20"/>
    <w:bookmarkEnd w:id="21"/>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321AA6">
        <w:rPr>
          <w:rFonts w:ascii="Times New Roman" w:hAnsi="Times New Roman"/>
          <w:sz w:val="24"/>
          <w:szCs w:val="24"/>
        </w:rPr>
        <w:t>In general, Inland Revenue monitoring, evaluation and review of tax changes would take place under the generic tax policy process (GTPP).  The GTPP is a multi-stage policy process that has been used to design tax policy (and subsequently social policy administered by Inland Revenue) in New Zealand since 1995.</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321AA6">
        <w:rPr>
          <w:rFonts w:ascii="Times New Roman" w:hAnsi="Times New Roman"/>
          <w:sz w:val="24"/>
          <w:szCs w:val="24"/>
        </w:rPr>
        <w:t>Inland Revenue also intends to monitor the operation of the proposed changes via risk review of taxpayers electing to transfer imputation credits to ensure</w:t>
      </w:r>
      <w:r>
        <w:rPr>
          <w:rFonts w:ascii="Times New Roman" w:hAnsi="Times New Roman"/>
          <w:sz w:val="24"/>
          <w:szCs w:val="24"/>
        </w:rPr>
        <w:t xml:space="preserve"> the rules operate as intended.</w:t>
      </w:r>
    </w:p>
    <w:p w:rsidR="00C74B45" w:rsidRDefault="00C74B45" w:rsidP="00C74B45">
      <w:pPr>
        <w:pStyle w:val="Bullet-list"/>
        <w:spacing w:after="0" w:line="240" w:lineRule="auto"/>
        <w:ind w:left="0" w:firstLine="0"/>
        <w:jc w:val="both"/>
        <w:rPr>
          <w:rFonts w:ascii="Times New Roman" w:hAnsi="Times New Roman"/>
          <w:sz w:val="24"/>
          <w:szCs w:val="24"/>
        </w:rPr>
      </w:pPr>
    </w:p>
    <w:p w:rsidR="00DD44B0" w:rsidRDefault="00C74B45" w:rsidP="00C74B45">
      <w:pPr>
        <w:pStyle w:val="Bullet-list"/>
        <w:spacing w:after="0" w:line="240" w:lineRule="auto"/>
        <w:ind w:left="0" w:firstLine="0"/>
        <w:jc w:val="both"/>
        <w:rPr>
          <w:rFonts w:ascii="Times New Roman" w:hAnsi="Times New Roman"/>
          <w:sz w:val="24"/>
          <w:szCs w:val="24"/>
        </w:rPr>
      </w:pPr>
      <w:r w:rsidRPr="00C74B45">
        <w:rPr>
          <w:rFonts w:ascii="Times New Roman" w:hAnsi="Times New Roman"/>
          <w:sz w:val="24"/>
          <w:szCs w:val="24"/>
          <w:lang w:val="en-NZ"/>
        </w:rPr>
        <w:fldChar w:fldCharType="begin"/>
      </w:r>
      <w:r w:rsidRPr="00C74B45">
        <w:rPr>
          <w:rFonts w:ascii="Times New Roman" w:hAnsi="Times New Roman"/>
          <w:sz w:val="24"/>
          <w:szCs w:val="24"/>
          <w:lang w:val="en-NZ"/>
        </w:rPr>
        <w:instrText xml:space="preserve"> AUTONUM  </w:instrText>
      </w:r>
      <w:r w:rsidRPr="00C74B45">
        <w:rPr>
          <w:rFonts w:ascii="Times New Roman" w:hAnsi="Times New Roman"/>
          <w:sz w:val="24"/>
          <w:szCs w:val="24"/>
        </w:rPr>
        <w:fldChar w:fldCharType="end"/>
      </w:r>
      <w:r w:rsidRPr="00C74B45">
        <w:rPr>
          <w:rFonts w:ascii="Times New Roman" w:hAnsi="Times New Roman"/>
          <w:sz w:val="24"/>
          <w:szCs w:val="24"/>
          <w:lang w:val="en-NZ"/>
        </w:rPr>
        <w:tab/>
      </w:r>
      <w:r w:rsidR="00321AA6">
        <w:rPr>
          <w:rFonts w:ascii="Times New Roman" w:hAnsi="Times New Roman"/>
          <w:sz w:val="24"/>
          <w:szCs w:val="24"/>
        </w:rPr>
        <w:t>The final step in the process is the implementation and review stage, which involves post-implementation review of legislation and the identification of remedial issues.  Opportunities for external consultation are built into this stage.  In practice, any changes identified as necessary following enactment would be added to the tax policy work programme, and proposals would go through the GTPP.</w:t>
      </w:r>
    </w:p>
    <w:p w:rsidR="00C74B45" w:rsidRDefault="00C74B45" w:rsidP="00C74B45">
      <w:pPr>
        <w:pStyle w:val="Bullet-list"/>
        <w:spacing w:after="0" w:line="240" w:lineRule="auto"/>
        <w:ind w:left="0" w:firstLine="0"/>
        <w:jc w:val="both"/>
        <w:rPr>
          <w:rFonts w:ascii="Times New Roman" w:hAnsi="Times New Roman"/>
          <w:sz w:val="24"/>
          <w:szCs w:val="24"/>
        </w:rPr>
      </w:pPr>
    </w:p>
    <w:p w:rsidR="00C74B45" w:rsidRDefault="00C74B45" w:rsidP="00C74B45">
      <w:pPr>
        <w:pStyle w:val="Bullet-list"/>
        <w:spacing w:after="0" w:line="240" w:lineRule="auto"/>
        <w:ind w:left="0" w:firstLine="0"/>
        <w:jc w:val="both"/>
        <w:rPr>
          <w:rFonts w:ascii="Times New Roman" w:hAnsi="Times New Roman"/>
          <w:sz w:val="24"/>
          <w:szCs w:val="24"/>
        </w:rPr>
      </w:pPr>
    </w:p>
    <w:p w:rsidR="00DD44B0" w:rsidRDefault="00DD44B0" w:rsidP="00C74B45">
      <w:pPr>
        <w:spacing w:after="0" w:line="240" w:lineRule="auto"/>
        <w:jc w:val="both"/>
        <w:rPr>
          <w:rFonts w:ascii="Times New Roman" w:hAnsi="Times New Roman"/>
          <w:sz w:val="24"/>
          <w:szCs w:val="24"/>
          <w:lang w:val="en-AU" w:eastAsia="en-US"/>
        </w:rPr>
      </w:pPr>
    </w:p>
    <w:sectPr w:rsidR="00DD44B0" w:rsidSect="006474EE">
      <w:headerReference w:type="even" r:id="rId12"/>
      <w:headerReference w:type="default" r:id="rId13"/>
      <w:footerReference w:type="even" r:id="rId14"/>
      <w:footerReference w:type="default" r:id="rId15"/>
      <w:headerReference w:type="first" r:id="rId16"/>
      <w:footerReference w:type="first" r:id="rId17"/>
      <w:pgSz w:w="11907" w:h="16840"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83" w:rsidRDefault="00225A83" w:rsidP="00F72085">
      <w:r>
        <w:separator/>
      </w:r>
    </w:p>
  </w:endnote>
  <w:endnote w:type="continuationSeparator" w:id="0">
    <w:p w:rsidR="00225A83" w:rsidRDefault="00225A83"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83" w:rsidRDefault="00225A83"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25A83" w:rsidRPr="00281580" w:rsidRDefault="00225A83"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83" w:rsidRPr="00594805" w:rsidRDefault="00225A83"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AC6A0E">
      <w:rPr>
        <w:rStyle w:val="PageNumber"/>
        <w:rFonts w:ascii="Times New Roman" w:hAnsi="Times New Roman"/>
        <w:color w:val="auto"/>
        <w:sz w:val="20"/>
        <w:szCs w:val="20"/>
      </w:rPr>
      <w:t>14</w:t>
    </w:r>
    <w:r w:rsidRPr="00594805">
      <w:rPr>
        <w:rStyle w:val="PageNumber"/>
        <w:rFonts w:ascii="Times New Roman" w:hAnsi="Times New Roman"/>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D7" w:rsidRDefault="0080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83" w:rsidRDefault="00225A83" w:rsidP="00F72085">
      <w:r>
        <w:separator/>
      </w:r>
    </w:p>
  </w:footnote>
  <w:footnote w:type="continuationSeparator" w:id="0">
    <w:p w:rsidR="00225A83" w:rsidRDefault="00225A83" w:rsidP="00F72085">
      <w:r>
        <w:continuationSeparator/>
      </w:r>
    </w:p>
  </w:footnote>
  <w:footnote w:id="1">
    <w:p w:rsidR="00225A83" w:rsidRPr="009D7ADD" w:rsidRDefault="00225A83" w:rsidP="00427026">
      <w:pPr>
        <w:pStyle w:val="FootnoteText"/>
        <w:spacing w:after="0"/>
        <w:ind w:left="0" w:firstLine="0"/>
        <w:rPr>
          <w:rFonts w:ascii="Times New Roman" w:hAnsi="Times New Roman"/>
          <w:sz w:val="20"/>
          <w:lang w:val="en-NZ"/>
        </w:rPr>
      </w:pPr>
      <w:r w:rsidRPr="009D7ADD">
        <w:rPr>
          <w:rStyle w:val="FootnoteReference"/>
          <w:rFonts w:ascii="Times New Roman" w:hAnsi="Times New Roman"/>
          <w:sz w:val="20"/>
        </w:rPr>
        <w:footnoteRef/>
      </w:r>
      <w:r w:rsidRPr="009D7ADD">
        <w:rPr>
          <w:rFonts w:ascii="Times New Roman" w:hAnsi="Times New Roman"/>
          <w:sz w:val="20"/>
        </w:rPr>
        <w:t xml:space="preserve"> </w:t>
      </w:r>
      <w:proofErr w:type="gramStart"/>
      <w:r w:rsidRPr="009D7ADD">
        <w:rPr>
          <w:rFonts w:ascii="Times New Roman" w:hAnsi="Times New Roman"/>
          <w:sz w:val="20"/>
          <w:lang w:val="en-NZ"/>
        </w:rPr>
        <w:t>$20,000 less $2</w:t>
      </w:r>
      <w:r>
        <w:rPr>
          <w:rFonts w:ascii="Times New Roman" w:hAnsi="Times New Roman"/>
          <w:sz w:val="20"/>
          <w:lang w:val="en-NZ"/>
        </w:rPr>
        <w:t>,</w:t>
      </w:r>
      <w:r w:rsidRPr="009D7ADD">
        <w:rPr>
          <w:rFonts w:ascii="Times New Roman" w:hAnsi="Times New Roman"/>
          <w:sz w:val="20"/>
          <w:lang w:val="en-NZ"/>
        </w:rPr>
        <w:t>800 subvention payment and $2,800 tax payment.</w:t>
      </w:r>
      <w:proofErr w:type="gramEnd"/>
    </w:p>
  </w:footnote>
  <w:footnote w:id="2">
    <w:p w:rsidR="00225A83" w:rsidRPr="005C5027" w:rsidRDefault="00225A83" w:rsidP="00427026">
      <w:pPr>
        <w:pStyle w:val="FootnoteText"/>
        <w:spacing w:after="0"/>
        <w:ind w:left="0" w:firstLine="0"/>
        <w:rPr>
          <w:lang w:val="en-NZ"/>
        </w:rPr>
      </w:pPr>
      <w:r w:rsidRPr="009D7ADD">
        <w:rPr>
          <w:rStyle w:val="FootnoteReference"/>
          <w:rFonts w:ascii="Times New Roman" w:hAnsi="Times New Roman"/>
          <w:sz w:val="20"/>
        </w:rPr>
        <w:footnoteRef/>
      </w:r>
      <w:r w:rsidRPr="009D7ADD">
        <w:rPr>
          <w:rFonts w:ascii="Times New Roman" w:hAnsi="Times New Roman"/>
          <w:sz w:val="20"/>
        </w:rPr>
        <w:t xml:space="preserve"> </w:t>
      </w:r>
      <w:r w:rsidRPr="009D7ADD">
        <w:rPr>
          <w:rFonts w:ascii="Times New Roman" w:hAnsi="Times New Roman"/>
          <w:sz w:val="20"/>
          <w:lang w:val="en-NZ"/>
        </w:rPr>
        <w:t>$2</w:t>
      </w:r>
      <w:r>
        <w:rPr>
          <w:rFonts w:ascii="Times New Roman" w:hAnsi="Times New Roman"/>
          <w:sz w:val="20"/>
          <w:lang w:val="en-NZ"/>
        </w:rPr>
        <w:t>,</w:t>
      </w:r>
      <w:r w:rsidRPr="009D7ADD">
        <w:rPr>
          <w:rFonts w:ascii="Times New Roman" w:hAnsi="Times New Roman"/>
          <w:sz w:val="20"/>
          <w:lang w:val="en-NZ"/>
        </w:rPr>
        <w:t>800 subvention payment plus $12,960 cash dividend less $10,000 interest payment less $1,814 tax payment.</w:t>
      </w:r>
    </w:p>
  </w:footnote>
  <w:footnote w:id="3">
    <w:p w:rsidR="00225A83" w:rsidRPr="009D7ADD" w:rsidRDefault="00225A83" w:rsidP="005C5027">
      <w:pPr>
        <w:pStyle w:val="FootnoteText"/>
        <w:rPr>
          <w:rFonts w:ascii="Times New Roman" w:hAnsi="Times New Roman"/>
          <w:sz w:val="20"/>
          <w:lang w:val="en-NZ"/>
        </w:rPr>
      </w:pPr>
      <w:r w:rsidRPr="009D7ADD">
        <w:rPr>
          <w:rStyle w:val="FootnoteReference"/>
          <w:rFonts w:ascii="Times New Roman" w:hAnsi="Times New Roman"/>
          <w:sz w:val="20"/>
        </w:rPr>
        <w:footnoteRef/>
      </w:r>
      <w:r w:rsidRPr="009D7ADD">
        <w:rPr>
          <w:rFonts w:ascii="Times New Roman" w:hAnsi="Times New Roman"/>
          <w:sz w:val="20"/>
        </w:rPr>
        <w:t xml:space="preserve"> </w:t>
      </w:r>
      <w:r w:rsidRPr="009D7ADD">
        <w:rPr>
          <w:rFonts w:ascii="Times New Roman" w:hAnsi="Times New Roman"/>
          <w:sz w:val="20"/>
          <w:lang w:val="en-NZ"/>
        </w:rPr>
        <w:t xml:space="preserve">$2,800 paid by </w:t>
      </w:r>
      <w:proofErr w:type="spellStart"/>
      <w:r w:rsidRPr="009D7ADD">
        <w:rPr>
          <w:rFonts w:ascii="Times New Roman" w:hAnsi="Times New Roman"/>
          <w:sz w:val="20"/>
          <w:lang w:val="en-NZ"/>
        </w:rPr>
        <w:t>ProfitCo</w:t>
      </w:r>
      <w:proofErr w:type="spellEnd"/>
      <w:r w:rsidRPr="009D7ADD">
        <w:rPr>
          <w:rFonts w:ascii="Times New Roman" w:hAnsi="Times New Roman"/>
          <w:sz w:val="20"/>
          <w:lang w:val="en-NZ"/>
        </w:rPr>
        <w:t xml:space="preserve"> plus $202 by Minority Shareholder plus $1,814 by </w:t>
      </w:r>
      <w:proofErr w:type="spellStart"/>
      <w:r w:rsidRPr="009D7ADD">
        <w:rPr>
          <w:rFonts w:ascii="Times New Roman" w:hAnsi="Times New Roman"/>
          <w:sz w:val="20"/>
          <w:lang w:val="en-NZ"/>
        </w:rPr>
        <w:t>LossCo</w:t>
      </w:r>
      <w:proofErr w:type="spellEnd"/>
      <w:r>
        <w:rPr>
          <w:rFonts w:ascii="Times New Roman" w:hAnsi="Times New Roman"/>
          <w:sz w:val="20"/>
          <w:lang w:val="en-NZ"/>
        </w:rPr>
        <w:t>.</w:t>
      </w:r>
    </w:p>
  </w:footnote>
  <w:footnote w:id="4">
    <w:p w:rsidR="00225A83" w:rsidRPr="000812DE" w:rsidRDefault="00225A83">
      <w:pPr>
        <w:pStyle w:val="FootnoteText"/>
        <w:rPr>
          <w:lang w:val="en-NZ"/>
        </w:rPr>
      </w:pPr>
      <w:r w:rsidRPr="009D7ADD">
        <w:rPr>
          <w:rStyle w:val="FootnoteReference"/>
          <w:rFonts w:ascii="Times New Roman" w:hAnsi="Times New Roman"/>
          <w:sz w:val="20"/>
        </w:rPr>
        <w:footnoteRef/>
      </w:r>
      <w:r w:rsidRPr="009D7ADD">
        <w:rPr>
          <w:rFonts w:ascii="Times New Roman" w:hAnsi="Times New Roman"/>
          <w:sz w:val="20"/>
        </w:rPr>
        <w:t xml:space="preserve"> $2,520 from the dividend plus $1,814 from tax paid less $1,534 distributed to Ultimate Shareholder.</w:t>
      </w:r>
    </w:p>
  </w:footnote>
  <w:footnote w:id="5">
    <w:p w:rsidR="00225A83" w:rsidRPr="00CE2384" w:rsidRDefault="00225A83">
      <w:pPr>
        <w:pStyle w:val="FootnoteText"/>
        <w:rPr>
          <w:rFonts w:ascii="Times New Roman" w:hAnsi="Times New Roman"/>
          <w:sz w:val="20"/>
          <w:lang w:val="en-NZ"/>
        </w:rPr>
      </w:pPr>
      <w:r w:rsidRPr="00CE2384">
        <w:rPr>
          <w:rStyle w:val="FootnoteReference"/>
          <w:rFonts w:ascii="Times New Roman" w:hAnsi="Times New Roman"/>
          <w:sz w:val="20"/>
        </w:rPr>
        <w:footnoteRef/>
      </w:r>
      <w:r w:rsidRPr="00CE2384">
        <w:rPr>
          <w:rFonts w:ascii="Times New Roman" w:hAnsi="Times New Roman"/>
          <w:sz w:val="20"/>
        </w:rPr>
        <w:t xml:space="preserve"> </w:t>
      </w:r>
      <w:r w:rsidRPr="00CE2384">
        <w:rPr>
          <w:rFonts w:ascii="Times New Roman" w:hAnsi="Times New Roman"/>
          <w:sz w:val="20"/>
          <w:lang w:val="en-NZ"/>
        </w:rPr>
        <w:t>$2,800 from tax paid and $2,800 from the imputation credit transfer</w:t>
      </w:r>
      <w:r>
        <w:rPr>
          <w:rFonts w:ascii="Times New Roman" w:hAnsi="Times New Roman"/>
          <w:sz w:val="20"/>
          <w:lang w:val="en-NZ"/>
        </w:rPr>
        <w:t>.</w:t>
      </w:r>
    </w:p>
  </w:footnote>
  <w:footnote w:id="6">
    <w:p w:rsidR="00225A83" w:rsidRPr="009D7ADD" w:rsidRDefault="00225A83" w:rsidP="00A71607">
      <w:pPr>
        <w:pStyle w:val="FootnoteText"/>
        <w:spacing w:after="100" w:afterAutospacing="1"/>
        <w:ind w:left="0" w:firstLine="0"/>
        <w:rPr>
          <w:rFonts w:ascii="Times New Roman" w:hAnsi="Times New Roman"/>
          <w:sz w:val="20"/>
          <w:lang w:val="en-NZ"/>
        </w:rPr>
      </w:pPr>
      <w:r w:rsidRPr="009D7ADD">
        <w:rPr>
          <w:rStyle w:val="FootnoteReference"/>
          <w:rFonts w:ascii="Times New Roman" w:hAnsi="Times New Roman"/>
          <w:sz w:val="20"/>
        </w:rPr>
        <w:footnoteRef/>
      </w:r>
      <w:r w:rsidRPr="009D7ADD">
        <w:rPr>
          <w:rFonts w:ascii="Times New Roman" w:hAnsi="Times New Roman"/>
          <w:sz w:val="20"/>
        </w:rPr>
        <w:t xml:space="preserve"> </w:t>
      </w:r>
      <w:r w:rsidRPr="009D7ADD">
        <w:rPr>
          <w:rFonts w:ascii="Times New Roman" w:hAnsi="Times New Roman"/>
          <w:sz w:val="20"/>
          <w:lang w:val="en-NZ"/>
        </w:rPr>
        <w:t>$2</w:t>
      </w:r>
      <w:r>
        <w:rPr>
          <w:rFonts w:ascii="Times New Roman" w:hAnsi="Times New Roman"/>
          <w:sz w:val="20"/>
          <w:lang w:val="en-NZ"/>
        </w:rPr>
        <w:t>,</w:t>
      </w:r>
      <w:r w:rsidRPr="009D7ADD">
        <w:rPr>
          <w:rFonts w:ascii="Times New Roman" w:hAnsi="Times New Roman"/>
          <w:sz w:val="20"/>
          <w:lang w:val="en-NZ"/>
        </w:rPr>
        <w:t xml:space="preserve">800 subvention payment plus $12,960 cash dividend less $10,000 interest payment </w:t>
      </w:r>
    </w:p>
  </w:footnote>
  <w:footnote w:id="7">
    <w:p w:rsidR="00225A83" w:rsidRPr="009D7ADD" w:rsidRDefault="00225A83" w:rsidP="00A71607">
      <w:pPr>
        <w:pStyle w:val="FootnoteText"/>
        <w:spacing w:after="0"/>
        <w:ind w:left="0" w:firstLine="0"/>
        <w:jc w:val="both"/>
        <w:rPr>
          <w:rFonts w:ascii="Times New Roman" w:hAnsi="Times New Roman"/>
          <w:sz w:val="20"/>
          <w:lang w:val="en-NZ"/>
        </w:rPr>
      </w:pPr>
      <w:r w:rsidRPr="009D7ADD">
        <w:rPr>
          <w:rStyle w:val="FootnoteReference"/>
          <w:rFonts w:ascii="Times New Roman" w:hAnsi="Times New Roman"/>
          <w:sz w:val="20"/>
        </w:rPr>
        <w:footnoteRef/>
      </w:r>
      <w:r w:rsidRPr="009D7ADD">
        <w:rPr>
          <w:rFonts w:ascii="Times New Roman" w:hAnsi="Times New Roman"/>
          <w:sz w:val="20"/>
        </w:rPr>
        <w:t xml:space="preserve"> </w:t>
      </w:r>
      <w:r w:rsidRPr="009D7ADD">
        <w:rPr>
          <w:rFonts w:ascii="Times New Roman" w:hAnsi="Times New Roman"/>
          <w:sz w:val="20"/>
          <w:lang w:val="en-NZ"/>
        </w:rPr>
        <w:t>The exact balance between the imputation credits transferred and those received back on a dividend depend on the amount of the loss transferred as a proportion of the profit company’s profit, the proportionate ownership interest and the proportion of profits paid as a dividend.  This is explained further below.</w:t>
      </w:r>
    </w:p>
  </w:footnote>
  <w:footnote w:id="8">
    <w:p w:rsidR="00225A83" w:rsidRPr="00CE2384" w:rsidRDefault="00225A83" w:rsidP="00C7057E">
      <w:pPr>
        <w:pStyle w:val="FootnoteText"/>
        <w:ind w:left="0" w:firstLine="0"/>
        <w:rPr>
          <w:rFonts w:ascii="Times New Roman" w:hAnsi="Times New Roman"/>
          <w:sz w:val="20"/>
          <w:lang w:val="en-NZ"/>
        </w:rPr>
      </w:pPr>
      <w:r w:rsidRPr="00CE2384">
        <w:rPr>
          <w:rStyle w:val="FootnoteReference"/>
          <w:rFonts w:ascii="Times New Roman" w:hAnsi="Times New Roman"/>
          <w:sz w:val="20"/>
        </w:rPr>
        <w:footnoteRef/>
      </w:r>
      <w:r w:rsidRPr="00CE2384">
        <w:rPr>
          <w:rFonts w:ascii="Times New Roman" w:hAnsi="Times New Roman"/>
          <w:sz w:val="20"/>
        </w:rPr>
        <w:t xml:space="preserve"> </w:t>
      </w:r>
      <w:proofErr w:type="spellStart"/>
      <w:r>
        <w:rPr>
          <w:rFonts w:ascii="Times New Roman" w:hAnsi="Times New Roman"/>
          <w:sz w:val="20"/>
          <w:lang w:val="en-NZ"/>
        </w:rPr>
        <w:t>LossCo</w:t>
      </w:r>
      <w:proofErr w:type="spellEnd"/>
      <w:r w:rsidRPr="00CE2384">
        <w:rPr>
          <w:rFonts w:ascii="Times New Roman" w:hAnsi="Times New Roman"/>
          <w:sz w:val="20"/>
          <w:lang w:val="en-NZ"/>
        </w:rPr>
        <w:t xml:space="preserve"> </w:t>
      </w:r>
      <w:r>
        <w:rPr>
          <w:rFonts w:ascii="Times New Roman" w:hAnsi="Times New Roman"/>
          <w:sz w:val="20"/>
          <w:lang w:val="en-NZ"/>
        </w:rPr>
        <w:t xml:space="preserve">would </w:t>
      </w:r>
      <w:r w:rsidRPr="00CE2384">
        <w:rPr>
          <w:rFonts w:ascii="Times New Roman" w:hAnsi="Times New Roman"/>
          <w:sz w:val="20"/>
          <w:lang w:val="en-NZ"/>
        </w:rPr>
        <w:t>also need a further $280 to return its imputation credit account t</w:t>
      </w:r>
      <w:r>
        <w:rPr>
          <w:rFonts w:ascii="Times New Roman" w:hAnsi="Times New Roman"/>
          <w:sz w:val="20"/>
          <w:lang w:val="en-NZ"/>
        </w:rPr>
        <w:t>o nil.  This is addressed below.</w:t>
      </w:r>
    </w:p>
  </w:footnote>
  <w:footnote w:id="9">
    <w:p w:rsidR="00225A83" w:rsidRPr="00C7057E" w:rsidRDefault="00225A83">
      <w:pPr>
        <w:pStyle w:val="FootnoteText"/>
        <w:rPr>
          <w:rFonts w:ascii="Times New Roman" w:hAnsi="Times New Roman"/>
          <w:sz w:val="20"/>
          <w:lang w:val="en-NZ"/>
        </w:rPr>
      </w:pPr>
      <w:r w:rsidRPr="00C7057E">
        <w:rPr>
          <w:rStyle w:val="FootnoteReference"/>
          <w:rFonts w:ascii="Times New Roman" w:hAnsi="Times New Roman"/>
          <w:sz w:val="20"/>
        </w:rPr>
        <w:footnoteRef/>
      </w:r>
      <w:r w:rsidRPr="00C7057E">
        <w:rPr>
          <w:rFonts w:ascii="Times New Roman" w:hAnsi="Times New Roman"/>
          <w:sz w:val="20"/>
        </w:rPr>
        <w:t xml:space="preserve"> </w:t>
      </w:r>
      <w:r w:rsidRPr="00C7057E">
        <w:rPr>
          <w:rFonts w:ascii="Times New Roman" w:hAnsi="Times New Roman"/>
          <w:sz w:val="20"/>
          <w:lang w:val="en-NZ"/>
        </w:rPr>
        <w:t>For example a company could have dividends from two sources with one being exempt and one being taxable.</w:t>
      </w:r>
    </w:p>
  </w:footnote>
  <w:footnote w:id="10">
    <w:p w:rsidR="00225A83" w:rsidRPr="005949C7" w:rsidRDefault="00225A83" w:rsidP="00B7160C">
      <w:pPr>
        <w:pStyle w:val="FootnoteText"/>
        <w:ind w:left="0" w:firstLine="0"/>
        <w:jc w:val="both"/>
        <w:rPr>
          <w:rFonts w:ascii="Times New Roman" w:hAnsi="Times New Roman"/>
          <w:lang w:val="en-NZ"/>
        </w:rPr>
      </w:pPr>
      <w:r w:rsidRPr="005949C7">
        <w:rPr>
          <w:rStyle w:val="FootnoteReference"/>
          <w:rFonts w:ascii="Times New Roman" w:hAnsi="Times New Roman"/>
        </w:rPr>
        <w:footnoteRef/>
      </w:r>
      <w:r w:rsidRPr="005949C7">
        <w:rPr>
          <w:rFonts w:ascii="Times New Roman" w:hAnsi="Times New Roman"/>
        </w:rPr>
        <w:t xml:space="preserve"> </w:t>
      </w:r>
      <w:r w:rsidRPr="005949C7">
        <w:rPr>
          <w:rFonts w:ascii="Times New Roman" w:hAnsi="Times New Roman"/>
          <w:lang w:val="en-NZ"/>
        </w:rPr>
        <w:t>For example by a breach of continuity or where more than four years passed between the loss transfer occurring and the dividend being paid.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D7" w:rsidRDefault="00806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D7" w:rsidRDefault="00806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D7" w:rsidRDefault="00806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70EE"/>
    <w:multiLevelType w:val="hybridMultilevel"/>
    <w:tmpl w:val="3A5E9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670033C"/>
    <w:multiLevelType w:val="hybridMultilevel"/>
    <w:tmpl w:val="B92EB286"/>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DC37972"/>
    <w:multiLevelType w:val="singleLevel"/>
    <w:tmpl w:val="DFBE3718"/>
    <w:lvl w:ilvl="0">
      <w:start w:val="1"/>
      <w:numFmt w:val="decimal"/>
      <w:pStyle w:val="Chapter2"/>
      <w:lvlText w:val="2.%1"/>
      <w:lvlJc w:val="left"/>
      <w:pPr>
        <w:tabs>
          <w:tab w:val="num" w:pos="1419"/>
        </w:tabs>
        <w:ind w:left="1419" w:hanging="851"/>
      </w:pPr>
      <w:rPr>
        <w:rFonts w:ascii="Times New Roman" w:hAnsi="Times New Roman" w:hint="default"/>
        <w:b w:val="0"/>
        <w:color w:val="auto"/>
        <w:sz w:val="24"/>
      </w:rPr>
    </w:lvl>
  </w:abstractNum>
  <w:abstractNum w:abstractNumId="3">
    <w:nsid w:val="25A739EC"/>
    <w:multiLevelType w:val="hybridMultilevel"/>
    <w:tmpl w:val="643A887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8741417"/>
    <w:multiLevelType w:val="hybridMultilevel"/>
    <w:tmpl w:val="A75873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D512D75"/>
    <w:multiLevelType w:val="hybridMultilevel"/>
    <w:tmpl w:val="2C008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nsid w:val="378B00F8"/>
    <w:multiLevelType w:val="hybridMultilevel"/>
    <w:tmpl w:val="90A0F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C317076"/>
    <w:multiLevelType w:val="hybridMultilevel"/>
    <w:tmpl w:val="529A67B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nsid w:val="4005372C"/>
    <w:multiLevelType w:val="hybridMultilevel"/>
    <w:tmpl w:val="9C70EC34"/>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0">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DE85684"/>
    <w:multiLevelType w:val="hybridMultilevel"/>
    <w:tmpl w:val="A7C4B3D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nsid w:val="5F8D6D52"/>
    <w:multiLevelType w:val="hybridMultilevel"/>
    <w:tmpl w:val="7CC62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15F547D"/>
    <w:multiLevelType w:val="multilevel"/>
    <w:tmpl w:val="160052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5093581"/>
    <w:multiLevelType w:val="hybridMultilevel"/>
    <w:tmpl w:val="C5E67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
  </w:num>
  <w:num w:numId="5">
    <w:abstractNumId w:val="7"/>
  </w:num>
  <w:num w:numId="6">
    <w:abstractNumId w:val="3"/>
  </w:num>
  <w:num w:numId="7">
    <w:abstractNumId w:val="0"/>
  </w:num>
  <w:num w:numId="8">
    <w:abstractNumId w:val="11"/>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4"/>
  </w:num>
  <w:num w:numId="15">
    <w:abstractNumId w:val="9"/>
  </w:num>
  <w:num w:numId="16">
    <w:abstractNumId w:val="8"/>
  </w:num>
  <w:num w:numId="17">
    <w:abstractNumId w:val="2"/>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E7"/>
    <w:rsid w:val="00001539"/>
    <w:rsid w:val="00002433"/>
    <w:rsid w:val="000037F4"/>
    <w:rsid w:val="00004A8A"/>
    <w:rsid w:val="000056B8"/>
    <w:rsid w:val="00005DC9"/>
    <w:rsid w:val="00010536"/>
    <w:rsid w:val="00010986"/>
    <w:rsid w:val="00010F7D"/>
    <w:rsid w:val="00012338"/>
    <w:rsid w:val="00013A18"/>
    <w:rsid w:val="00014196"/>
    <w:rsid w:val="000147DC"/>
    <w:rsid w:val="00015072"/>
    <w:rsid w:val="00016722"/>
    <w:rsid w:val="0002068B"/>
    <w:rsid w:val="000232EB"/>
    <w:rsid w:val="00023BAB"/>
    <w:rsid w:val="00023EA6"/>
    <w:rsid w:val="00024B22"/>
    <w:rsid w:val="0002568E"/>
    <w:rsid w:val="00025954"/>
    <w:rsid w:val="00030890"/>
    <w:rsid w:val="00030DEA"/>
    <w:rsid w:val="00033950"/>
    <w:rsid w:val="000343E7"/>
    <w:rsid w:val="00035185"/>
    <w:rsid w:val="00036A3D"/>
    <w:rsid w:val="00036EE4"/>
    <w:rsid w:val="00041469"/>
    <w:rsid w:val="00041CD1"/>
    <w:rsid w:val="0004221C"/>
    <w:rsid w:val="000431FE"/>
    <w:rsid w:val="000435AD"/>
    <w:rsid w:val="00045AFC"/>
    <w:rsid w:val="00046788"/>
    <w:rsid w:val="00046F46"/>
    <w:rsid w:val="00047559"/>
    <w:rsid w:val="0005200A"/>
    <w:rsid w:val="000523FC"/>
    <w:rsid w:val="000526E4"/>
    <w:rsid w:val="0005434D"/>
    <w:rsid w:val="000545DC"/>
    <w:rsid w:val="0005503E"/>
    <w:rsid w:val="00055373"/>
    <w:rsid w:val="00055D70"/>
    <w:rsid w:val="00056263"/>
    <w:rsid w:val="00056E3D"/>
    <w:rsid w:val="00056F77"/>
    <w:rsid w:val="0005761E"/>
    <w:rsid w:val="00057AC4"/>
    <w:rsid w:val="00060531"/>
    <w:rsid w:val="000606D4"/>
    <w:rsid w:val="00060712"/>
    <w:rsid w:val="00060AAB"/>
    <w:rsid w:val="00060CD3"/>
    <w:rsid w:val="000655B2"/>
    <w:rsid w:val="00067FD4"/>
    <w:rsid w:val="00070193"/>
    <w:rsid w:val="00073A19"/>
    <w:rsid w:val="00073F31"/>
    <w:rsid w:val="000745D3"/>
    <w:rsid w:val="00074B13"/>
    <w:rsid w:val="00074D02"/>
    <w:rsid w:val="0007562B"/>
    <w:rsid w:val="00080CE0"/>
    <w:rsid w:val="00080DE3"/>
    <w:rsid w:val="000812DE"/>
    <w:rsid w:val="00082653"/>
    <w:rsid w:val="00082ABC"/>
    <w:rsid w:val="00083ADB"/>
    <w:rsid w:val="00085660"/>
    <w:rsid w:val="00086007"/>
    <w:rsid w:val="000863E2"/>
    <w:rsid w:val="00086898"/>
    <w:rsid w:val="0008712F"/>
    <w:rsid w:val="00087C41"/>
    <w:rsid w:val="00095446"/>
    <w:rsid w:val="00096BFA"/>
    <w:rsid w:val="000A073E"/>
    <w:rsid w:val="000A20D1"/>
    <w:rsid w:val="000A39F4"/>
    <w:rsid w:val="000A43F8"/>
    <w:rsid w:val="000A4419"/>
    <w:rsid w:val="000B005C"/>
    <w:rsid w:val="000B01CC"/>
    <w:rsid w:val="000B0480"/>
    <w:rsid w:val="000B0615"/>
    <w:rsid w:val="000B0C12"/>
    <w:rsid w:val="000B0D42"/>
    <w:rsid w:val="000B16BF"/>
    <w:rsid w:val="000B1F5E"/>
    <w:rsid w:val="000B2052"/>
    <w:rsid w:val="000B5B1E"/>
    <w:rsid w:val="000C0912"/>
    <w:rsid w:val="000C2669"/>
    <w:rsid w:val="000C26E9"/>
    <w:rsid w:val="000C3EB5"/>
    <w:rsid w:val="000C43B6"/>
    <w:rsid w:val="000C684B"/>
    <w:rsid w:val="000C6EED"/>
    <w:rsid w:val="000C7563"/>
    <w:rsid w:val="000C79FD"/>
    <w:rsid w:val="000D012A"/>
    <w:rsid w:val="000D0FA0"/>
    <w:rsid w:val="000D2A6B"/>
    <w:rsid w:val="000D31FE"/>
    <w:rsid w:val="000D5E01"/>
    <w:rsid w:val="000D6393"/>
    <w:rsid w:val="000D670A"/>
    <w:rsid w:val="000D77C0"/>
    <w:rsid w:val="000D7C12"/>
    <w:rsid w:val="000E0036"/>
    <w:rsid w:val="000E310A"/>
    <w:rsid w:val="000E3979"/>
    <w:rsid w:val="000E3CE1"/>
    <w:rsid w:val="000E73FF"/>
    <w:rsid w:val="000E7C1C"/>
    <w:rsid w:val="000F03B0"/>
    <w:rsid w:val="000F162C"/>
    <w:rsid w:val="000F3333"/>
    <w:rsid w:val="000F3E5C"/>
    <w:rsid w:val="000F6F99"/>
    <w:rsid w:val="000F7020"/>
    <w:rsid w:val="00101A24"/>
    <w:rsid w:val="00113146"/>
    <w:rsid w:val="00114F56"/>
    <w:rsid w:val="001158BA"/>
    <w:rsid w:val="00116006"/>
    <w:rsid w:val="00116B51"/>
    <w:rsid w:val="0012410B"/>
    <w:rsid w:val="00125812"/>
    <w:rsid w:val="00125ADD"/>
    <w:rsid w:val="00126378"/>
    <w:rsid w:val="00126CD1"/>
    <w:rsid w:val="00127757"/>
    <w:rsid w:val="00130E8F"/>
    <w:rsid w:val="0013184C"/>
    <w:rsid w:val="001329DC"/>
    <w:rsid w:val="001336E3"/>
    <w:rsid w:val="001339BB"/>
    <w:rsid w:val="00136EED"/>
    <w:rsid w:val="00141B20"/>
    <w:rsid w:val="00141D39"/>
    <w:rsid w:val="00142051"/>
    <w:rsid w:val="00143437"/>
    <w:rsid w:val="00144369"/>
    <w:rsid w:val="00144ADC"/>
    <w:rsid w:val="00144BBB"/>
    <w:rsid w:val="00146FC1"/>
    <w:rsid w:val="00150932"/>
    <w:rsid w:val="00152D49"/>
    <w:rsid w:val="00157E18"/>
    <w:rsid w:val="00161022"/>
    <w:rsid w:val="00161358"/>
    <w:rsid w:val="001620EB"/>
    <w:rsid w:val="00162702"/>
    <w:rsid w:val="0016538E"/>
    <w:rsid w:val="00166A7A"/>
    <w:rsid w:val="00166C49"/>
    <w:rsid w:val="001674EB"/>
    <w:rsid w:val="00167EE1"/>
    <w:rsid w:val="001705C4"/>
    <w:rsid w:val="00171281"/>
    <w:rsid w:val="001712D6"/>
    <w:rsid w:val="001726B0"/>
    <w:rsid w:val="00172969"/>
    <w:rsid w:val="001739AB"/>
    <w:rsid w:val="00175644"/>
    <w:rsid w:val="001767C7"/>
    <w:rsid w:val="001800AF"/>
    <w:rsid w:val="00180A3B"/>
    <w:rsid w:val="00180BD5"/>
    <w:rsid w:val="00180D17"/>
    <w:rsid w:val="00183337"/>
    <w:rsid w:val="00183D99"/>
    <w:rsid w:val="00183EB1"/>
    <w:rsid w:val="00184219"/>
    <w:rsid w:val="00185884"/>
    <w:rsid w:val="001901C1"/>
    <w:rsid w:val="00190331"/>
    <w:rsid w:val="0019141D"/>
    <w:rsid w:val="00191B67"/>
    <w:rsid w:val="00191EEC"/>
    <w:rsid w:val="00194873"/>
    <w:rsid w:val="00194B8A"/>
    <w:rsid w:val="00194CF9"/>
    <w:rsid w:val="001969CA"/>
    <w:rsid w:val="00197273"/>
    <w:rsid w:val="001A13C8"/>
    <w:rsid w:val="001A1C61"/>
    <w:rsid w:val="001A1DFB"/>
    <w:rsid w:val="001A35A3"/>
    <w:rsid w:val="001A5694"/>
    <w:rsid w:val="001A5BEE"/>
    <w:rsid w:val="001B0726"/>
    <w:rsid w:val="001B0A7A"/>
    <w:rsid w:val="001B0DF0"/>
    <w:rsid w:val="001B1A87"/>
    <w:rsid w:val="001B1BDF"/>
    <w:rsid w:val="001B24D5"/>
    <w:rsid w:val="001B2869"/>
    <w:rsid w:val="001B3F6D"/>
    <w:rsid w:val="001B3F81"/>
    <w:rsid w:val="001B4E6C"/>
    <w:rsid w:val="001B54FC"/>
    <w:rsid w:val="001B7122"/>
    <w:rsid w:val="001C0CF6"/>
    <w:rsid w:val="001C0F8D"/>
    <w:rsid w:val="001C2214"/>
    <w:rsid w:val="001C2524"/>
    <w:rsid w:val="001C41C2"/>
    <w:rsid w:val="001C6912"/>
    <w:rsid w:val="001D0096"/>
    <w:rsid w:val="001D0A46"/>
    <w:rsid w:val="001D22ED"/>
    <w:rsid w:val="001D3440"/>
    <w:rsid w:val="001D37FB"/>
    <w:rsid w:val="001D4D62"/>
    <w:rsid w:val="001D53A8"/>
    <w:rsid w:val="001D7325"/>
    <w:rsid w:val="001E00DC"/>
    <w:rsid w:val="001E12C8"/>
    <w:rsid w:val="001E1A8F"/>
    <w:rsid w:val="001E6AFE"/>
    <w:rsid w:val="001F0773"/>
    <w:rsid w:val="001F0DD3"/>
    <w:rsid w:val="001F1711"/>
    <w:rsid w:val="001F1A2D"/>
    <w:rsid w:val="001F21CB"/>
    <w:rsid w:val="001F6750"/>
    <w:rsid w:val="00200311"/>
    <w:rsid w:val="002008D1"/>
    <w:rsid w:val="00202E20"/>
    <w:rsid w:val="002036AA"/>
    <w:rsid w:val="00203789"/>
    <w:rsid w:val="00204A66"/>
    <w:rsid w:val="00205334"/>
    <w:rsid w:val="002111E5"/>
    <w:rsid w:val="00213B41"/>
    <w:rsid w:val="00216DB5"/>
    <w:rsid w:val="00216F08"/>
    <w:rsid w:val="00217A19"/>
    <w:rsid w:val="00222CA5"/>
    <w:rsid w:val="002231DF"/>
    <w:rsid w:val="00223298"/>
    <w:rsid w:val="00224A1F"/>
    <w:rsid w:val="00224BD6"/>
    <w:rsid w:val="002253E9"/>
    <w:rsid w:val="002258FC"/>
    <w:rsid w:val="00225A83"/>
    <w:rsid w:val="00226226"/>
    <w:rsid w:val="00227D78"/>
    <w:rsid w:val="00227FE4"/>
    <w:rsid w:val="002317B4"/>
    <w:rsid w:val="002331A0"/>
    <w:rsid w:val="00233DC9"/>
    <w:rsid w:val="0023447D"/>
    <w:rsid w:val="0023708B"/>
    <w:rsid w:val="00237318"/>
    <w:rsid w:val="00237FE9"/>
    <w:rsid w:val="0024128C"/>
    <w:rsid w:val="00245DA0"/>
    <w:rsid w:val="00247ADA"/>
    <w:rsid w:val="00251406"/>
    <w:rsid w:val="00254714"/>
    <w:rsid w:val="00257836"/>
    <w:rsid w:val="00264EEE"/>
    <w:rsid w:val="0026530E"/>
    <w:rsid w:val="00265DED"/>
    <w:rsid w:val="00265E6C"/>
    <w:rsid w:val="00266A30"/>
    <w:rsid w:val="0026794D"/>
    <w:rsid w:val="00267FAB"/>
    <w:rsid w:val="00270CAF"/>
    <w:rsid w:val="002712C8"/>
    <w:rsid w:val="002719ED"/>
    <w:rsid w:val="00271EB7"/>
    <w:rsid w:val="0027239E"/>
    <w:rsid w:val="00272E82"/>
    <w:rsid w:val="00273D5C"/>
    <w:rsid w:val="00273ECF"/>
    <w:rsid w:val="00274C61"/>
    <w:rsid w:val="002750FB"/>
    <w:rsid w:val="00275209"/>
    <w:rsid w:val="0027527B"/>
    <w:rsid w:val="00275B26"/>
    <w:rsid w:val="0027706F"/>
    <w:rsid w:val="00281580"/>
    <w:rsid w:val="00282DD1"/>
    <w:rsid w:val="00283259"/>
    <w:rsid w:val="00283421"/>
    <w:rsid w:val="00283AFA"/>
    <w:rsid w:val="00283D22"/>
    <w:rsid w:val="002864B9"/>
    <w:rsid w:val="002865D5"/>
    <w:rsid w:val="00287942"/>
    <w:rsid w:val="00290024"/>
    <w:rsid w:val="00292783"/>
    <w:rsid w:val="0029399F"/>
    <w:rsid w:val="00293E21"/>
    <w:rsid w:val="00295264"/>
    <w:rsid w:val="00295DFA"/>
    <w:rsid w:val="00296404"/>
    <w:rsid w:val="0029649F"/>
    <w:rsid w:val="002A05D3"/>
    <w:rsid w:val="002A06C6"/>
    <w:rsid w:val="002A107A"/>
    <w:rsid w:val="002A2B6E"/>
    <w:rsid w:val="002A535E"/>
    <w:rsid w:val="002A5881"/>
    <w:rsid w:val="002A5E7A"/>
    <w:rsid w:val="002B0025"/>
    <w:rsid w:val="002B0801"/>
    <w:rsid w:val="002B0A3F"/>
    <w:rsid w:val="002B1C3E"/>
    <w:rsid w:val="002B5324"/>
    <w:rsid w:val="002B56E7"/>
    <w:rsid w:val="002B5823"/>
    <w:rsid w:val="002B733A"/>
    <w:rsid w:val="002B7F4A"/>
    <w:rsid w:val="002C0074"/>
    <w:rsid w:val="002C097E"/>
    <w:rsid w:val="002C2315"/>
    <w:rsid w:val="002C2390"/>
    <w:rsid w:val="002C301D"/>
    <w:rsid w:val="002C34E2"/>
    <w:rsid w:val="002C4A38"/>
    <w:rsid w:val="002C65B8"/>
    <w:rsid w:val="002C734D"/>
    <w:rsid w:val="002C744C"/>
    <w:rsid w:val="002D01BF"/>
    <w:rsid w:val="002D0FAA"/>
    <w:rsid w:val="002D1933"/>
    <w:rsid w:val="002D3E81"/>
    <w:rsid w:val="002D4AC3"/>
    <w:rsid w:val="002D52A0"/>
    <w:rsid w:val="002D6691"/>
    <w:rsid w:val="002E0169"/>
    <w:rsid w:val="002E062E"/>
    <w:rsid w:val="002E1226"/>
    <w:rsid w:val="002E1D30"/>
    <w:rsid w:val="002E2678"/>
    <w:rsid w:val="002E28C6"/>
    <w:rsid w:val="002E4DB3"/>
    <w:rsid w:val="002E6D37"/>
    <w:rsid w:val="002E79A6"/>
    <w:rsid w:val="002F10BF"/>
    <w:rsid w:val="002F110D"/>
    <w:rsid w:val="002F32BD"/>
    <w:rsid w:val="002F4407"/>
    <w:rsid w:val="002F5A1A"/>
    <w:rsid w:val="002F6E67"/>
    <w:rsid w:val="002F71F1"/>
    <w:rsid w:val="002F7C03"/>
    <w:rsid w:val="0030111A"/>
    <w:rsid w:val="003020F3"/>
    <w:rsid w:val="003022D4"/>
    <w:rsid w:val="003038AC"/>
    <w:rsid w:val="00305726"/>
    <w:rsid w:val="0030637D"/>
    <w:rsid w:val="00306E9B"/>
    <w:rsid w:val="003076FA"/>
    <w:rsid w:val="00310D70"/>
    <w:rsid w:val="0031214B"/>
    <w:rsid w:val="00313F3E"/>
    <w:rsid w:val="00314A19"/>
    <w:rsid w:val="00315307"/>
    <w:rsid w:val="00315D17"/>
    <w:rsid w:val="00316B54"/>
    <w:rsid w:val="003176BB"/>
    <w:rsid w:val="00317E1A"/>
    <w:rsid w:val="00320A3C"/>
    <w:rsid w:val="00321AA6"/>
    <w:rsid w:val="0032300C"/>
    <w:rsid w:val="003232C2"/>
    <w:rsid w:val="003237B0"/>
    <w:rsid w:val="0032503F"/>
    <w:rsid w:val="003262CE"/>
    <w:rsid w:val="003264ED"/>
    <w:rsid w:val="00326C11"/>
    <w:rsid w:val="003308B4"/>
    <w:rsid w:val="00333209"/>
    <w:rsid w:val="00334A4E"/>
    <w:rsid w:val="003352EF"/>
    <w:rsid w:val="00336B32"/>
    <w:rsid w:val="00337E9E"/>
    <w:rsid w:val="003418C0"/>
    <w:rsid w:val="003424A8"/>
    <w:rsid w:val="003425F7"/>
    <w:rsid w:val="00343012"/>
    <w:rsid w:val="00343233"/>
    <w:rsid w:val="00343B25"/>
    <w:rsid w:val="003441E3"/>
    <w:rsid w:val="003445EA"/>
    <w:rsid w:val="00350175"/>
    <w:rsid w:val="00351EC0"/>
    <w:rsid w:val="00352990"/>
    <w:rsid w:val="00353113"/>
    <w:rsid w:val="00353518"/>
    <w:rsid w:val="00355DAA"/>
    <w:rsid w:val="003613F4"/>
    <w:rsid w:val="00361819"/>
    <w:rsid w:val="00361F3D"/>
    <w:rsid w:val="00362E2F"/>
    <w:rsid w:val="00362FE1"/>
    <w:rsid w:val="00363DCE"/>
    <w:rsid w:val="00365680"/>
    <w:rsid w:val="00366A1A"/>
    <w:rsid w:val="00367B6E"/>
    <w:rsid w:val="00370B2E"/>
    <w:rsid w:val="00372D68"/>
    <w:rsid w:val="0037447C"/>
    <w:rsid w:val="0037458C"/>
    <w:rsid w:val="00374E9A"/>
    <w:rsid w:val="00375E7C"/>
    <w:rsid w:val="00375FFD"/>
    <w:rsid w:val="00381DB8"/>
    <w:rsid w:val="003826A0"/>
    <w:rsid w:val="00383462"/>
    <w:rsid w:val="00384B58"/>
    <w:rsid w:val="00385683"/>
    <w:rsid w:val="00385EC1"/>
    <w:rsid w:val="00386DD1"/>
    <w:rsid w:val="00387CA4"/>
    <w:rsid w:val="00391389"/>
    <w:rsid w:val="00391E64"/>
    <w:rsid w:val="00395608"/>
    <w:rsid w:val="00395750"/>
    <w:rsid w:val="0039581F"/>
    <w:rsid w:val="00396861"/>
    <w:rsid w:val="0039783E"/>
    <w:rsid w:val="003A0009"/>
    <w:rsid w:val="003A0E47"/>
    <w:rsid w:val="003A4360"/>
    <w:rsid w:val="003A68AA"/>
    <w:rsid w:val="003A7561"/>
    <w:rsid w:val="003A76E4"/>
    <w:rsid w:val="003B09F2"/>
    <w:rsid w:val="003B1384"/>
    <w:rsid w:val="003B35B8"/>
    <w:rsid w:val="003B4A9D"/>
    <w:rsid w:val="003B4B13"/>
    <w:rsid w:val="003B4D2C"/>
    <w:rsid w:val="003B53A6"/>
    <w:rsid w:val="003C0785"/>
    <w:rsid w:val="003C1764"/>
    <w:rsid w:val="003C3AD0"/>
    <w:rsid w:val="003C3C4C"/>
    <w:rsid w:val="003C5E3A"/>
    <w:rsid w:val="003C722C"/>
    <w:rsid w:val="003C7985"/>
    <w:rsid w:val="003C7CAC"/>
    <w:rsid w:val="003C7E67"/>
    <w:rsid w:val="003D20ED"/>
    <w:rsid w:val="003D4ED7"/>
    <w:rsid w:val="003D6531"/>
    <w:rsid w:val="003D6C84"/>
    <w:rsid w:val="003E017A"/>
    <w:rsid w:val="003E1FAF"/>
    <w:rsid w:val="003E20B9"/>
    <w:rsid w:val="003E3836"/>
    <w:rsid w:val="003E39B9"/>
    <w:rsid w:val="003E4AC8"/>
    <w:rsid w:val="003E4BB4"/>
    <w:rsid w:val="003E4CE1"/>
    <w:rsid w:val="003E68B5"/>
    <w:rsid w:val="003E6A50"/>
    <w:rsid w:val="003F14AC"/>
    <w:rsid w:val="003F27A7"/>
    <w:rsid w:val="003F2D09"/>
    <w:rsid w:val="003F34BF"/>
    <w:rsid w:val="003F37EA"/>
    <w:rsid w:val="003F3D2C"/>
    <w:rsid w:val="003F47F5"/>
    <w:rsid w:val="003F4A49"/>
    <w:rsid w:val="003F59CC"/>
    <w:rsid w:val="003F5E57"/>
    <w:rsid w:val="003F5F9D"/>
    <w:rsid w:val="003F7652"/>
    <w:rsid w:val="003F7EDA"/>
    <w:rsid w:val="00401D87"/>
    <w:rsid w:val="00402BF8"/>
    <w:rsid w:val="00403755"/>
    <w:rsid w:val="0040387F"/>
    <w:rsid w:val="00406227"/>
    <w:rsid w:val="00407D3B"/>
    <w:rsid w:val="00410D34"/>
    <w:rsid w:val="0041363C"/>
    <w:rsid w:val="00414E9A"/>
    <w:rsid w:val="00415CC4"/>
    <w:rsid w:val="00415FD6"/>
    <w:rsid w:val="0041696F"/>
    <w:rsid w:val="00420D4C"/>
    <w:rsid w:val="00423B79"/>
    <w:rsid w:val="004240D2"/>
    <w:rsid w:val="00424ADF"/>
    <w:rsid w:val="004258E5"/>
    <w:rsid w:val="00427026"/>
    <w:rsid w:val="004303B8"/>
    <w:rsid w:val="00431677"/>
    <w:rsid w:val="00431FFA"/>
    <w:rsid w:val="00433183"/>
    <w:rsid w:val="00433AED"/>
    <w:rsid w:val="004342F0"/>
    <w:rsid w:val="004353DD"/>
    <w:rsid w:val="00435F4A"/>
    <w:rsid w:val="00437C49"/>
    <w:rsid w:val="0044117C"/>
    <w:rsid w:val="004418F2"/>
    <w:rsid w:val="00443662"/>
    <w:rsid w:val="00443DF2"/>
    <w:rsid w:val="00444E78"/>
    <w:rsid w:val="004455A5"/>
    <w:rsid w:val="00445911"/>
    <w:rsid w:val="00445996"/>
    <w:rsid w:val="00445F4D"/>
    <w:rsid w:val="00446050"/>
    <w:rsid w:val="00446FC1"/>
    <w:rsid w:val="00447C26"/>
    <w:rsid w:val="00447F1A"/>
    <w:rsid w:val="0045085A"/>
    <w:rsid w:val="00450C17"/>
    <w:rsid w:val="00450CBA"/>
    <w:rsid w:val="0045110A"/>
    <w:rsid w:val="00452DA2"/>
    <w:rsid w:val="004532A3"/>
    <w:rsid w:val="00454B5B"/>
    <w:rsid w:val="00455363"/>
    <w:rsid w:val="00456B8F"/>
    <w:rsid w:val="00457045"/>
    <w:rsid w:val="004574C4"/>
    <w:rsid w:val="00457A91"/>
    <w:rsid w:val="004604E9"/>
    <w:rsid w:val="00460A55"/>
    <w:rsid w:val="004610FB"/>
    <w:rsid w:val="0046180A"/>
    <w:rsid w:val="00462BC6"/>
    <w:rsid w:val="00463FEB"/>
    <w:rsid w:val="004660F2"/>
    <w:rsid w:val="004673AB"/>
    <w:rsid w:val="00470C11"/>
    <w:rsid w:val="00471759"/>
    <w:rsid w:val="0047175C"/>
    <w:rsid w:val="004721E0"/>
    <w:rsid w:val="00472F9C"/>
    <w:rsid w:val="00473803"/>
    <w:rsid w:val="004755FE"/>
    <w:rsid w:val="004759BF"/>
    <w:rsid w:val="00476857"/>
    <w:rsid w:val="00476B4E"/>
    <w:rsid w:val="0047782F"/>
    <w:rsid w:val="00477D44"/>
    <w:rsid w:val="004828C6"/>
    <w:rsid w:val="00484675"/>
    <w:rsid w:val="00484F33"/>
    <w:rsid w:val="004869CF"/>
    <w:rsid w:val="00487545"/>
    <w:rsid w:val="00490239"/>
    <w:rsid w:val="00490B1D"/>
    <w:rsid w:val="00491DC5"/>
    <w:rsid w:val="004929EC"/>
    <w:rsid w:val="004935F6"/>
    <w:rsid w:val="00493B10"/>
    <w:rsid w:val="00493F24"/>
    <w:rsid w:val="00495017"/>
    <w:rsid w:val="0049615F"/>
    <w:rsid w:val="004971EF"/>
    <w:rsid w:val="004A2043"/>
    <w:rsid w:val="004A2FD9"/>
    <w:rsid w:val="004A51CB"/>
    <w:rsid w:val="004A5D55"/>
    <w:rsid w:val="004A6D51"/>
    <w:rsid w:val="004B03BE"/>
    <w:rsid w:val="004B0A80"/>
    <w:rsid w:val="004B1950"/>
    <w:rsid w:val="004B2839"/>
    <w:rsid w:val="004B300A"/>
    <w:rsid w:val="004B4E7B"/>
    <w:rsid w:val="004B7418"/>
    <w:rsid w:val="004B78FA"/>
    <w:rsid w:val="004C0FBA"/>
    <w:rsid w:val="004C1080"/>
    <w:rsid w:val="004C2B29"/>
    <w:rsid w:val="004C2B79"/>
    <w:rsid w:val="004C3F7B"/>
    <w:rsid w:val="004C3FD4"/>
    <w:rsid w:val="004C4916"/>
    <w:rsid w:val="004C6A1A"/>
    <w:rsid w:val="004C78C4"/>
    <w:rsid w:val="004D2B88"/>
    <w:rsid w:val="004D2EB8"/>
    <w:rsid w:val="004D3A3F"/>
    <w:rsid w:val="004D512D"/>
    <w:rsid w:val="004D58A1"/>
    <w:rsid w:val="004D5D38"/>
    <w:rsid w:val="004D5F74"/>
    <w:rsid w:val="004D6ED4"/>
    <w:rsid w:val="004E10E0"/>
    <w:rsid w:val="004E198A"/>
    <w:rsid w:val="004E1C05"/>
    <w:rsid w:val="004E2A32"/>
    <w:rsid w:val="004E3061"/>
    <w:rsid w:val="004E3F7E"/>
    <w:rsid w:val="004E67E6"/>
    <w:rsid w:val="004F0E40"/>
    <w:rsid w:val="004F19CD"/>
    <w:rsid w:val="004F1F6E"/>
    <w:rsid w:val="004F245D"/>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103B1"/>
    <w:rsid w:val="00515680"/>
    <w:rsid w:val="005173F5"/>
    <w:rsid w:val="00517D7F"/>
    <w:rsid w:val="00517E7D"/>
    <w:rsid w:val="00520779"/>
    <w:rsid w:val="00521E8C"/>
    <w:rsid w:val="00523AAC"/>
    <w:rsid w:val="00523CF5"/>
    <w:rsid w:val="005246FD"/>
    <w:rsid w:val="00525A4C"/>
    <w:rsid w:val="00525C51"/>
    <w:rsid w:val="00527623"/>
    <w:rsid w:val="00530417"/>
    <w:rsid w:val="00530B0F"/>
    <w:rsid w:val="00532095"/>
    <w:rsid w:val="005321B7"/>
    <w:rsid w:val="005328C3"/>
    <w:rsid w:val="005332C6"/>
    <w:rsid w:val="0053379A"/>
    <w:rsid w:val="005337D5"/>
    <w:rsid w:val="0053679A"/>
    <w:rsid w:val="005367C5"/>
    <w:rsid w:val="00536C66"/>
    <w:rsid w:val="0054067C"/>
    <w:rsid w:val="00541C62"/>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2CCE"/>
    <w:rsid w:val="00573B85"/>
    <w:rsid w:val="00574342"/>
    <w:rsid w:val="005754DE"/>
    <w:rsid w:val="00576798"/>
    <w:rsid w:val="005779EA"/>
    <w:rsid w:val="00580450"/>
    <w:rsid w:val="00580CDE"/>
    <w:rsid w:val="00581009"/>
    <w:rsid w:val="005819B2"/>
    <w:rsid w:val="00582409"/>
    <w:rsid w:val="00582DC6"/>
    <w:rsid w:val="0058340C"/>
    <w:rsid w:val="00583F9C"/>
    <w:rsid w:val="00585F5E"/>
    <w:rsid w:val="00586DC7"/>
    <w:rsid w:val="00590BD9"/>
    <w:rsid w:val="00590D92"/>
    <w:rsid w:val="00591D93"/>
    <w:rsid w:val="00593561"/>
    <w:rsid w:val="00594805"/>
    <w:rsid w:val="005949C7"/>
    <w:rsid w:val="00596172"/>
    <w:rsid w:val="00596392"/>
    <w:rsid w:val="00596EAD"/>
    <w:rsid w:val="00597DFE"/>
    <w:rsid w:val="00597FAF"/>
    <w:rsid w:val="005A13E7"/>
    <w:rsid w:val="005A196E"/>
    <w:rsid w:val="005A3D06"/>
    <w:rsid w:val="005A3DA9"/>
    <w:rsid w:val="005A5F5B"/>
    <w:rsid w:val="005A62E6"/>
    <w:rsid w:val="005A6CC1"/>
    <w:rsid w:val="005A6CCD"/>
    <w:rsid w:val="005A7107"/>
    <w:rsid w:val="005B174D"/>
    <w:rsid w:val="005B1762"/>
    <w:rsid w:val="005B29AF"/>
    <w:rsid w:val="005B39D2"/>
    <w:rsid w:val="005B3B36"/>
    <w:rsid w:val="005B545C"/>
    <w:rsid w:val="005B55F8"/>
    <w:rsid w:val="005B5924"/>
    <w:rsid w:val="005B635F"/>
    <w:rsid w:val="005B6561"/>
    <w:rsid w:val="005C0312"/>
    <w:rsid w:val="005C0453"/>
    <w:rsid w:val="005C1DF3"/>
    <w:rsid w:val="005C21D1"/>
    <w:rsid w:val="005C24B6"/>
    <w:rsid w:val="005C29FA"/>
    <w:rsid w:val="005C363D"/>
    <w:rsid w:val="005C3E40"/>
    <w:rsid w:val="005C5027"/>
    <w:rsid w:val="005C5F92"/>
    <w:rsid w:val="005C6EDB"/>
    <w:rsid w:val="005D0763"/>
    <w:rsid w:val="005D0FD8"/>
    <w:rsid w:val="005D3DE0"/>
    <w:rsid w:val="005D4C84"/>
    <w:rsid w:val="005D57F3"/>
    <w:rsid w:val="005D67EA"/>
    <w:rsid w:val="005E0B96"/>
    <w:rsid w:val="005E4156"/>
    <w:rsid w:val="005E480B"/>
    <w:rsid w:val="005E6DB6"/>
    <w:rsid w:val="005E72AB"/>
    <w:rsid w:val="005E7559"/>
    <w:rsid w:val="005F2C40"/>
    <w:rsid w:val="005F4DCE"/>
    <w:rsid w:val="005F5FC9"/>
    <w:rsid w:val="0060184B"/>
    <w:rsid w:val="00601A52"/>
    <w:rsid w:val="00602E73"/>
    <w:rsid w:val="00603627"/>
    <w:rsid w:val="006036A6"/>
    <w:rsid w:val="00603E2B"/>
    <w:rsid w:val="00603FA8"/>
    <w:rsid w:val="006050DD"/>
    <w:rsid w:val="006062EF"/>
    <w:rsid w:val="0061025C"/>
    <w:rsid w:val="00610DB8"/>
    <w:rsid w:val="006121E5"/>
    <w:rsid w:val="00612D19"/>
    <w:rsid w:val="0061317B"/>
    <w:rsid w:val="006132F2"/>
    <w:rsid w:val="0061373B"/>
    <w:rsid w:val="00613972"/>
    <w:rsid w:val="006159F2"/>
    <w:rsid w:val="00615E70"/>
    <w:rsid w:val="006170F2"/>
    <w:rsid w:val="00617398"/>
    <w:rsid w:val="0061761D"/>
    <w:rsid w:val="006207E9"/>
    <w:rsid w:val="00621E70"/>
    <w:rsid w:val="00626B7E"/>
    <w:rsid w:val="00627460"/>
    <w:rsid w:val="00632BA7"/>
    <w:rsid w:val="00632C89"/>
    <w:rsid w:val="00632E8C"/>
    <w:rsid w:val="00634F11"/>
    <w:rsid w:val="006359F5"/>
    <w:rsid w:val="00635A18"/>
    <w:rsid w:val="006371BF"/>
    <w:rsid w:val="006377D3"/>
    <w:rsid w:val="00637BB7"/>
    <w:rsid w:val="00642ADD"/>
    <w:rsid w:val="00643396"/>
    <w:rsid w:val="00643788"/>
    <w:rsid w:val="0064402C"/>
    <w:rsid w:val="006445A2"/>
    <w:rsid w:val="00645C45"/>
    <w:rsid w:val="00646179"/>
    <w:rsid w:val="006464FD"/>
    <w:rsid w:val="006474EE"/>
    <w:rsid w:val="0064763A"/>
    <w:rsid w:val="006544DB"/>
    <w:rsid w:val="00656647"/>
    <w:rsid w:val="0065713B"/>
    <w:rsid w:val="0065713C"/>
    <w:rsid w:val="0065773E"/>
    <w:rsid w:val="00660B1F"/>
    <w:rsid w:val="00662194"/>
    <w:rsid w:val="006637FA"/>
    <w:rsid w:val="00663B17"/>
    <w:rsid w:val="00665B72"/>
    <w:rsid w:val="00666A40"/>
    <w:rsid w:val="00671424"/>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73EA"/>
    <w:rsid w:val="00692162"/>
    <w:rsid w:val="00693024"/>
    <w:rsid w:val="00694ABE"/>
    <w:rsid w:val="00694E49"/>
    <w:rsid w:val="006A0E74"/>
    <w:rsid w:val="006A0FE1"/>
    <w:rsid w:val="006A218F"/>
    <w:rsid w:val="006A3F76"/>
    <w:rsid w:val="006A4054"/>
    <w:rsid w:val="006A40A1"/>
    <w:rsid w:val="006A5C00"/>
    <w:rsid w:val="006A6165"/>
    <w:rsid w:val="006A6392"/>
    <w:rsid w:val="006A7E28"/>
    <w:rsid w:val="006B2116"/>
    <w:rsid w:val="006B2982"/>
    <w:rsid w:val="006B35BE"/>
    <w:rsid w:val="006C0A4C"/>
    <w:rsid w:val="006C1B43"/>
    <w:rsid w:val="006C1D7C"/>
    <w:rsid w:val="006C3765"/>
    <w:rsid w:val="006C39BF"/>
    <w:rsid w:val="006C4775"/>
    <w:rsid w:val="006C6FA2"/>
    <w:rsid w:val="006C7000"/>
    <w:rsid w:val="006C7763"/>
    <w:rsid w:val="006D012B"/>
    <w:rsid w:val="006D116E"/>
    <w:rsid w:val="006D12A7"/>
    <w:rsid w:val="006D2BD5"/>
    <w:rsid w:val="006D3ECE"/>
    <w:rsid w:val="006D4E45"/>
    <w:rsid w:val="006D5350"/>
    <w:rsid w:val="006D72FE"/>
    <w:rsid w:val="006E0317"/>
    <w:rsid w:val="006E0511"/>
    <w:rsid w:val="006E12C1"/>
    <w:rsid w:val="006E5580"/>
    <w:rsid w:val="006E607F"/>
    <w:rsid w:val="006E7DC2"/>
    <w:rsid w:val="006F0D73"/>
    <w:rsid w:val="006F1342"/>
    <w:rsid w:val="006F3D80"/>
    <w:rsid w:val="006F3EF5"/>
    <w:rsid w:val="006F49F0"/>
    <w:rsid w:val="0070184A"/>
    <w:rsid w:val="00702E8D"/>
    <w:rsid w:val="0070360B"/>
    <w:rsid w:val="00704726"/>
    <w:rsid w:val="007053E7"/>
    <w:rsid w:val="0070569D"/>
    <w:rsid w:val="00705884"/>
    <w:rsid w:val="00705BD1"/>
    <w:rsid w:val="007063F2"/>
    <w:rsid w:val="007066D5"/>
    <w:rsid w:val="00706E77"/>
    <w:rsid w:val="007075B8"/>
    <w:rsid w:val="00707B2E"/>
    <w:rsid w:val="00710B00"/>
    <w:rsid w:val="00711471"/>
    <w:rsid w:val="00712398"/>
    <w:rsid w:val="00716DEA"/>
    <w:rsid w:val="0072105B"/>
    <w:rsid w:val="0072284E"/>
    <w:rsid w:val="00723508"/>
    <w:rsid w:val="0073286C"/>
    <w:rsid w:val="007328CC"/>
    <w:rsid w:val="007330DF"/>
    <w:rsid w:val="00733260"/>
    <w:rsid w:val="00735070"/>
    <w:rsid w:val="007351E7"/>
    <w:rsid w:val="00735AD3"/>
    <w:rsid w:val="007364DA"/>
    <w:rsid w:val="007409D2"/>
    <w:rsid w:val="00742222"/>
    <w:rsid w:val="00743221"/>
    <w:rsid w:val="00743EA9"/>
    <w:rsid w:val="0074529C"/>
    <w:rsid w:val="00747ECC"/>
    <w:rsid w:val="00750BF8"/>
    <w:rsid w:val="00750E2F"/>
    <w:rsid w:val="007515BC"/>
    <w:rsid w:val="00753328"/>
    <w:rsid w:val="00753433"/>
    <w:rsid w:val="00754E11"/>
    <w:rsid w:val="00755047"/>
    <w:rsid w:val="00756097"/>
    <w:rsid w:val="00764F3A"/>
    <w:rsid w:val="00765CC1"/>
    <w:rsid w:val="007669BA"/>
    <w:rsid w:val="00770261"/>
    <w:rsid w:val="007708C6"/>
    <w:rsid w:val="007709AE"/>
    <w:rsid w:val="007712EA"/>
    <w:rsid w:val="00772439"/>
    <w:rsid w:val="00773ACD"/>
    <w:rsid w:val="007768C5"/>
    <w:rsid w:val="0077715B"/>
    <w:rsid w:val="007773BD"/>
    <w:rsid w:val="00777B72"/>
    <w:rsid w:val="00777EEE"/>
    <w:rsid w:val="007811C0"/>
    <w:rsid w:val="007819CF"/>
    <w:rsid w:val="0078263F"/>
    <w:rsid w:val="00783657"/>
    <w:rsid w:val="00786840"/>
    <w:rsid w:val="00790852"/>
    <w:rsid w:val="00790EEE"/>
    <w:rsid w:val="00791304"/>
    <w:rsid w:val="00791677"/>
    <w:rsid w:val="00791E8E"/>
    <w:rsid w:val="007931A9"/>
    <w:rsid w:val="00794E52"/>
    <w:rsid w:val="00794E6C"/>
    <w:rsid w:val="007952A7"/>
    <w:rsid w:val="00796982"/>
    <w:rsid w:val="00797046"/>
    <w:rsid w:val="007A02C7"/>
    <w:rsid w:val="007A05C6"/>
    <w:rsid w:val="007A2C70"/>
    <w:rsid w:val="007A375D"/>
    <w:rsid w:val="007A5826"/>
    <w:rsid w:val="007A657A"/>
    <w:rsid w:val="007A73E8"/>
    <w:rsid w:val="007B249F"/>
    <w:rsid w:val="007B4330"/>
    <w:rsid w:val="007B435A"/>
    <w:rsid w:val="007B5C19"/>
    <w:rsid w:val="007B5D7E"/>
    <w:rsid w:val="007B788E"/>
    <w:rsid w:val="007C17B1"/>
    <w:rsid w:val="007C43BB"/>
    <w:rsid w:val="007C6ED9"/>
    <w:rsid w:val="007C737B"/>
    <w:rsid w:val="007D06EA"/>
    <w:rsid w:val="007D1D13"/>
    <w:rsid w:val="007D20FF"/>
    <w:rsid w:val="007D36F2"/>
    <w:rsid w:val="007D3B6C"/>
    <w:rsid w:val="007D57DC"/>
    <w:rsid w:val="007D74FA"/>
    <w:rsid w:val="007E00A1"/>
    <w:rsid w:val="007E2BB1"/>
    <w:rsid w:val="007E2F2D"/>
    <w:rsid w:val="007E3A3A"/>
    <w:rsid w:val="007E3C1B"/>
    <w:rsid w:val="007E6D47"/>
    <w:rsid w:val="007E71C7"/>
    <w:rsid w:val="007E7C84"/>
    <w:rsid w:val="007F0096"/>
    <w:rsid w:val="007F2BB3"/>
    <w:rsid w:val="007F35FA"/>
    <w:rsid w:val="007F3724"/>
    <w:rsid w:val="007F4330"/>
    <w:rsid w:val="007F45A7"/>
    <w:rsid w:val="007F4C1B"/>
    <w:rsid w:val="007F62A9"/>
    <w:rsid w:val="008022F1"/>
    <w:rsid w:val="0080288A"/>
    <w:rsid w:val="00802E2A"/>
    <w:rsid w:val="00803569"/>
    <w:rsid w:val="008049CE"/>
    <w:rsid w:val="00805E5D"/>
    <w:rsid w:val="008063D7"/>
    <w:rsid w:val="00806888"/>
    <w:rsid w:val="00807058"/>
    <w:rsid w:val="0080739F"/>
    <w:rsid w:val="0080758E"/>
    <w:rsid w:val="0081025E"/>
    <w:rsid w:val="00812261"/>
    <w:rsid w:val="008124E6"/>
    <w:rsid w:val="00812B72"/>
    <w:rsid w:val="00813360"/>
    <w:rsid w:val="00813620"/>
    <w:rsid w:val="008168FC"/>
    <w:rsid w:val="00816F3A"/>
    <w:rsid w:val="008171ED"/>
    <w:rsid w:val="00820A94"/>
    <w:rsid w:val="00822DB3"/>
    <w:rsid w:val="00823B52"/>
    <w:rsid w:val="00823B90"/>
    <w:rsid w:val="008304E8"/>
    <w:rsid w:val="00831ACA"/>
    <w:rsid w:val="00831AD5"/>
    <w:rsid w:val="00831BAA"/>
    <w:rsid w:val="00831E32"/>
    <w:rsid w:val="00834C7B"/>
    <w:rsid w:val="00836367"/>
    <w:rsid w:val="008364DE"/>
    <w:rsid w:val="008375CF"/>
    <w:rsid w:val="008425D5"/>
    <w:rsid w:val="00843D20"/>
    <w:rsid w:val="00843D8D"/>
    <w:rsid w:val="00843F34"/>
    <w:rsid w:val="00844454"/>
    <w:rsid w:val="00844D98"/>
    <w:rsid w:val="00846A07"/>
    <w:rsid w:val="00847192"/>
    <w:rsid w:val="0084731D"/>
    <w:rsid w:val="00850142"/>
    <w:rsid w:val="008511D0"/>
    <w:rsid w:val="00857420"/>
    <w:rsid w:val="0085773A"/>
    <w:rsid w:val="008603F1"/>
    <w:rsid w:val="00860CCE"/>
    <w:rsid w:val="00862540"/>
    <w:rsid w:val="00862551"/>
    <w:rsid w:val="0086294E"/>
    <w:rsid w:val="00863459"/>
    <w:rsid w:val="008637E1"/>
    <w:rsid w:val="008669BF"/>
    <w:rsid w:val="00867E68"/>
    <w:rsid w:val="00872CDA"/>
    <w:rsid w:val="0087340F"/>
    <w:rsid w:val="00873D37"/>
    <w:rsid w:val="00874188"/>
    <w:rsid w:val="00876879"/>
    <w:rsid w:val="0088302D"/>
    <w:rsid w:val="008830FE"/>
    <w:rsid w:val="00883A51"/>
    <w:rsid w:val="008841C7"/>
    <w:rsid w:val="00885271"/>
    <w:rsid w:val="00885C28"/>
    <w:rsid w:val="00885F6B"/>
    <w:rsid w:val="008866E0"/>
    <w:rsid w:val="00887803"/>
    <w:rsid w:val="00887ABA"/>
    <w:rsid w:val="00891481"/>
    <w:rsid w:val="00893A34"/>
    <w:rsid w:val="00893F1F"/>
    <w:rsid w:val="00897964"/>
    <w:rsid w:val="008A2903"/>
    <w:rsid w:val="008A2ECB"/>
    <w:rsid w:val="008A41D1"/>
    <w:rsid w:val="008A6B32"/>
    <w:rsid w:val="008A6D57"/>
    <w:rsid w:val="008A7DEB"/>
    <w:rsid w:val="008B39F2"/>
    <w:rsid w:val="008B7CC7"/>
    <w:rsid w:val="008C0BAD"/>
    <w:rsid w:val="008C1654"/>
    <w:rsid w:val="008C2E66"/>
    <w:rsid w:val="008C3CF3"/>
    <w:rsid w:val="008C4059"/>
    <w:rsid w:val="008C5061"/>
    <w:rsid w:val="008D321E"/>
    <w:rsid w:val="008D4069"/>
    <w:rsid w:val="008D4C74"/>
    <w:rsid w:val="008D578D"/>
    <w:rsid w:val="008D6F8D"/>
    <w:rsid w:val="008E0799"/>
    <w:rsid w:val="008E0AF8"/>
    <w:rsid w:val="008E144C"/>
    <w:rsid w:val="008E1524"/>
    <w:rsid w:val="008E1751"/>
    <w:rsid w:val="008E35D5"/>
    <w:rsid w:val="008E499D"/>
    <w:rsid w:val="008E6130"/>
    <w:rsid w:val="008E7A84"/>
    <w:rsid w:val="008F0211"/>
    <w:rsid w:val="008F1742"/>
    <w:rsid w:val="008F3401"/>
    <w:rsid w:val="008F45DD"/>
    <w:rsid w:val="008F524F"/>
    <w:rsid w:val="008F546B"/>
    <w:rsid w:val="008F7F16"/>
    <w:rsid w:val="009011FA"/>
    <w:rsid w:val="0090128B"/>
    <w:rsid w:val="00903A46"/>
    <w:rsid w:val="00907EF1"/>
    <w:rsid w:val="009112D6"/>
    <w:rsid w:val="00911779"/>
    <w:rsid w:val="00912583"/>
    <w:rsid w:val="00912FE6"/>
    <w:rsid w:val="0091537A"/>
    <w:rsid w:val="0091613C"/>
    <w:rsid w:val="00916AA9"/>
    <w:rsid w:val="00917703"/>
    <w:rsid w:val="00921613"/>
    <w:rsid w:val="00921AD9"/>
    <w:rsid w:val="00922DFB"/>
    <w:rsid w:val="00924DAD"/>
    <w:rsid w:val="00924EF9"/>
    <w:rsid w:val="00926B17"/>
    <w:rsid w:val="00931139"/>
    <w:rsid w:val="00931186"/>
    <w:rsid w:val="00931C60"/>
    <w:rsid w:val="00932330"/>
    <w:rsid w:val="009366A0"/>
    <w:rsid w:val="009407EE"/>
    <w:rsid w:val="00943B26"/>
    <w:rsid w:val="0094771D"/>
    <w:rsid w:val="00950357"/>
    <w:rsid w:val="0095200D"/>
    <w:rsid w:val="009542D3"/>
    <w:rsid w:val="00956DA6"/>
    <w:rsid w:val="009575E3"/>
    <w:rsid w:val="00957F52"/>
    <w:rsid w:val="00960387"/>
    <w:rsid w:val="00961C3D"/>
    <w:rsid w:val="00961DC0"/>
    <w:rsid w:val="00962484"/>
    <w:rsid w:val="0096278C"/>
    <w:rsid w:val="009643C4"/>
    <w:rsid w:val="00967BAA"/>
    <w:rsid w:val="00970DF3"/>
    <w:rsid w:val="00975870"/>
    <w:rsid w:val="00975CDC"/>
    <w:rsid w:val="009768F2"/>
    <w:rsid w:val="009774D6"/>
    <w:rsid w:val="00981A56"/>
    <w:rsid w:val="00983242"/>
    <w:rsid w:val="00983700"/>
    <w:rsid w:val="00984467"/>
    <w:rsid w:val="0098563C"/>
    <w:rsid w:val="0098603E"/>
    <w:rsid w:val="00986F53"/>
    <w:rsid w:val="0099053A"/>
    <w:rsid w:val="00991369"/>
    <w:rsid w:val="009918E8"/>
    <w:rsid w:val="00991ACC"/>
    <w:rsid w:val="00992345"/>
    <w:rsid w:val="00993572"/>
    <w:rsid w:val="00995D58"/>
    <w:rsid w:val="0099604A"/>
    <w:rsid w:val="009962FE"/>
    <w:rsid w:val="00997E46"/>
    <w:rsid w:val="009A0E5A"/>
    <w:rsid w:val="009A1F84"/>
    <w:rsid w:val="009A237B"/>
    <w:rsid w:val="009A23EE"/>
    <w:rsid w:val="009A2C24"/>
    <w:rsid w:val="009A4293"/>
    <w:rsid w:val="009A6068"/>
    <w:rsid w:val="009B0464"/>
    <w:rsid w:val="009B1209"/>
    <w:rsid w:val="009B3F9B"/>
    <w:rsid w:val="009B4464"/>
    <w:rsid w:val="009B50E9"/>
    <w:rsid w:val="009B5ED9"/>
    <w:rsid w:val="009B687E"/>
    <w:rsid w:val="009B78C5"/>
    <w:rsid w:val="009C4DC5"/>
    <w:rsid w:val="009C4F2E"/>
    <w:rsid w:val="009C5262"/>
    <w:rsid w:val="009C6B0A"/>
    <w:rsid w:val="009D07A9"/>
    <w:rsid w:val="009D176F"/>
    <w:rsid w:val="009D5865"/>
    <w:rsid w:val="009D5E4C"/>
    <w:rsid w:val="009D6D25"/>
    <w:rsid w:val="009D7ADD"/>
    <w:rsid w:val="009E03FB"/>
    <w:rsid w:val="009E0E8F"/>
    <w:rsid w:val="009E17B9"/>
    <w:rsid w:val="009E39BD"/>
    <w:rsid w:val="009E56D2"/>
    <w:rsid w:val="009E5C6E"/>
    <w:rsid w:val="009F06E5"/>
    <w:rsid w:val="009F09E6"/>
    <w:rsid w:val="009F39B2"/>
    <w:rsid w:val="009F630C"/>
    <w:rsid w:val="009F7B9A"/>
    <w:rsid w:val="009F7F75"/>
    <w:rsid w:val="00A0358C"/>
    <w:rsid w:val="00A03704"/>
    <w:rsid w:val="00A05AD3"/>
    <w:rsid w:val="00A067D6"/>
    <w:rsid w:val="00A06AC7"/>
    <w:rsid w:val="00A10BE1"/>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60E7"/>
    <w:rsid w:val="00A2777E"/>
    <w:rsid w:val="00A3103A"/>
    <w:rsid w:val="00A31268"/>
    <w:rsid w:val="00A31E8F"/>
    <w:rsid w:val="00A3580A"/>
    <w:rsid w:val="00A40AF3"/>
    <w:rsid w:val="00A41E37"/>
    <w:rsid w:val="00A41FC7"/>
    <w:rsid w:val="00A44EB9"/>
    <w:rsid w:val="00A458F0"/>
    <w:rsid w:val="00A46A67"/>
    <w:rsid w:val="00A474F8"/>
    <w:rsid w:val="00A51CC9"/>
    <w:rsid w:val="00A51EF6"/>
    <w:rsid w:val="00A52763"/>
    <w:rsid w:val="00A52964"/>
    <w:rsid w:val="00A541BB"/>
    <w:rsid w:val="00A637DD"/>
    <w:rsid w:val="00A65EA6"/>
    <w:rsid w:val="00A71607"/>
    <w:rsid w:val="00A72D91"/>
    <w:rsid w:val="00A73D4B"/>
    <w:rsid w:val="00A748A3"/>
    <w:rsid w:val="00A761FA"/>
    <w:rsid w:val="00A771C0"/>
    <w:rsid w:val="00A80CA4"/>
    <w:rsid w:val="00A81192"/>
    <w:rsid w:val="00A81297"/>
    <w:rsid w:val="00A82A72"/>
    <w:rsid w:val="00A85A08"/>
    <w:rsid w:val="00A86724"/>
    <w:rsid w:val="00A8672D"/>
    <w:rsid w:val="00A90B0E"/>
    <w:rsid w:val="00A90B93"/>
    <w:rsid w:val="00A92233"/>
    <w:rsid w:val="00A92E1D"/>
    <w:rsid w:val="00A94F1D"/>
    <w:rsid w:val="00A95810"/>
    <w:rsid w:val="00A95DA6"/>
    <w:rsid w:val="00A97006"/>
    <w:rsid w:val="00A97DC2"/>
    <w:rsid w:val="00AA0305"/>
    <w:rsid w:val="00AA1E55"/>
    <w:rsid w:val="00AA2A15"/>
    <w:rsid w:val="00AA2A96"/>
    <w:rsid w:val="00AA2B71"/>
    <w:rsid w:val="00AA42A7"/>
    <w:rsid w:val="00AA4696"/>
    <w:rsid w:val="00AA50D5"/>
    <w:rsid w:val="00AA714E"/>
    <w:rsid w:val="00AB1C8B"/>
    <w:rsid w:val="00AB4B80"/>
    <w:rsid w:val="00AB7678"/>
    <w:rsid w:val="00AC014E"/>
    <w:rsid w:val="00AC238D"/>
    <w:rsid w:val="00AC4B7F"/>
    <w:rsid w:val="00AC6A0E"/>
    <w:rsid w:val="00AC7238"/>
    <w:rsid w:val="00AC7BEB"/>
    <w:rsid w:val="00AC7C05"/>
    <w:rsid w:val="00AD162D"/>
    <w:rsid w:val="00AD16E4"/>
    <w:rsid w:val="00AD2189"/>
    <w:rsid w:val="00AD2C02"/>
    <w:rsid w:val="00AD31A9"/>
    <w:rsid w:val="00AD5287"/>
    <w:rsid w:val="00AD6CF5"/>
    <w:rsid w:val="00AD7847"/>
    <w:rsid w:val="00AE097A"/>
    <w:rsid w:val="00AE1B5A"/>
    <w:rsid w:val="00AE2151"/>
    <w:rsid w:val="00AE249D"/>
    <w:rsid w:val="00AE31B0"/>
    <w:rsid w:val="00AE3EC0"/>
    <w:rsid w:val="00AE4767"/>
    <w:rsid w:val="00AE6FC4"/>
    <w:rsid w:val="00AF0479"/>
    <w:rsid w:val="00AF26A2"/>
    <w:rsid w:val="00AF3DFB"/>
    <w:rsid w:val="00AF411C"/>
    <w:rsid w:val="00AF4B64"/>
    <w:rsid w:val="00AF7EC6"/>
    <w:rsid w:val="00B00DFE"/>
    <w:rsid w:val="00B01B51"/>
    <w:rsid w:val="00B03333"/>
    <w:rsid w:val="00B033B6"/>
    <w:rsid w:val="00B0379D"/>
    <w:rsid w:val="00B0406A"/>
    <w:rsid w:val="00B05BD5"/>
    <w:rsid w:val="00B06841"/>
    <w:rsid w:val="00B06B03"/>
    <w:rsid w:val="00B07DB6"/>
    <w:rsid w:val="00B113E5"/>
    <w:rsid w:val="00B1162D"/>
    <w:rsid w:val="00B14C06"/>
    <w:rsid w:val="00B153F0"/>
    <w:rsid w:val="00B158F9"/>
    <w:rsid w:val="00B162A3"/>
    <w:rsid w:val="00B17ECC"/>
    <w:rsid w:val="00B223F0"/>
    <w:rsid w:val="00B23398"/>
    <w:rsid w:val="00B245B0"/>
    <w:rsid w:val="00B24B14"/>
    <w:rsid w:val="00B26E56"/>
    <w:rsid w:val="00B31879"/>
    <w:rsid w:val="00B3311C"/>
    <w:rsid w:val="00B33125"/>
    <w:rsid w:val="00B34A3B"/>
    <w:rsid w:val="00B355C5"/>
    <w:rsid w:val="00B3673D"/>
    <w:rsid w:val="00B371F4"/>
    <w:rsid w:val="00B441C3"/>
    <w:rsid w:val="00B4430D"/>
    <w:rsid w:val="00B44C6C"/>
    <w:rsid w:val="00B4757F"/>
    <w:rsid w:val="00B5187A"/>
    <w:rsid w:val="00B5229A"/>
    <w:rsid w:val="00B52E33"/>
    <w:rsid w:val="00B55CD1"/>
    <w:rsid w:val="00B567DC"/>
    <w:rsid w:val="00B605F9"/>
    <w:rsid w:val="00B61C67"/>
    <w:rsid w:val="00B6314D"/>
    <w:rsid w:val="00B64BD8"/>
    <w:rsid w:val="00B70EFF"/>
    <w:rsid w:val="00B713DA"/>
    <w:rsid w:val="00B7160C"/>
    <w:rsid w:val="00B71654"/>
    <w:rsid w:val="00B727C2"/>
    <w:rsid w:val="00B738C7"/>
    <w:rsid w:val="00B747AC"/>
    <w:rsid w:val="00B75E1D"/>
    <w:rsid w:val="00B77124"/>
    <w:rsid w:val="00B8023E"/>
    <w:rsid w:val="00B82106"/>
    <w:rsid w:val="00B82526"/>
    <w:rsid w:val="00B82809"/>
    <w:rsid w:val="00B83FD7"/>
    <w:rsid w:val="00B84FA6"/>
    <w:rsid w:val="00B87915"/>
    <w:rsid w:val="00B9084D"/>
    <w:rsid w:val="00B91224"/>
    <w:rsid w:val="00B91420"/>
    <w:rsid w:val="00B925EC"/>
    <w:rsid w:val="00B92DEC"/>
    <w:rsid w:val="00B9525A"/>
    <w:rsid w:val="00BA015D"/>
    <w:rsid w:val="00BA064C"/>
    <w:rsid w:val="00BA08F9"/>
    <w:rsid w:val="00BA0C85"/>
    <w:rsid w:val="00BA1B22"/>
    <w:rsid w:val="00BA2397"/>
    <w:rsid w:val="00BA4091"/>
    <w:rsid w:val="00BA4735"/>
    <w:rsid w:val="00BA54D5"/>
    <w:rsid w:val="00BB2DB8"/>
    <w:rsid w:val="00BB31C8"/>
    <w:rsid w:val="00BB3A50"/>
    <w:rsid w:val="00BB4D9B"/>
    <w:rsid w:val="00BB647C"/>
    <w:rsid w:val="00BC0153"/>
    <w:rsid w:val="00BC0C83"/>
    <w:rsid w:val="00BC1CA0"/>
    <w:rsid w:val="00BC33E7"/>
    <w:rsid w:val="00BC5A0A"/>
    <w:rsid w:val="00BC61B1"/>
    <w:rsid w:val="00BC74B2"/>
    <w:rsid w:val="00BD1E2B"/>
    <w:rsid w:val="00BD1F16"/>
    <w:rsid w:val="00BD201F"/>
    <w:rsid w:val="00BD27A9"/>
    <w:rsid w:val="00BD55D3"/>
    <w:rsid w:val="00BD787F"/>
    <w:rsid w:val="00BD7E26"/>
    <w:rsid w:val="00BE00F2"/>
    <w:rsid w:val="00BE209A"/>
    <w:rsid w:val="00BE2293"/>
    <w:rsid w:val="00BE2455"/>
    <w:rsid w:val="00BE24AF"/>
    <w:rsid w:val="00BE37DF"/>
    <w:rsid w:val="00BE37E1"/>
    <w:rsid w:val="00BE4B28"/>
    <w:rsid w:val="00BE4CCA"/>
    <w:rsid w:val="00BE4ED0"/>
    <w:rsid w:val="00BE57F6"/>
    <w:rsid w:val="00BE6E5D"/>
    <w:rsid w:val="00BE7220"/>
    <w:rsid w:val="00BF021D"/>
    <w:rsid w:val="00BF2D80"/>
    <w:rsid w:val="00BF2DF2"/>
    <w:rsid w:val="00BF32A0"/>
    <w:rsid w:val="00BF34A5"/>
    <w:rsid w:val="00BF3828"/>
    <w:rsid w:val="00BF4C9A"/>
    <w:rsid w:val="00BF4F4D"/>
    <w:rsid w:val="00BF5144"/>
    <w:rsid w:val="00BF5E9D"/>
    <w:rsid w:val="00C00747"/>
    <w:rsid w:val="00C01116"/>
    <w:rsid w:val="00C02336"/>
    <w:rsid w:val="00C04254"/>
    <w:rsid w:val="00C043A7"/>
    <w:rsid w:val="00C044F1"/>
    <w:rsid w:val="00C050D3"/>
    <w:rsid w:val="00C10374"/>
    <w:rsid w:val="00C12840"/>
    <w:rsid w:val="00C13480"/>
    <w:rsid w:val="00C13663"/>
    <w:rsid w:val="00C1593D"/>
    <w:rsid w:val="00C172E3"/>
    <w:rsid w:val="00C217D7"/>
    <w:rsid w:val="00C21910"/>
    <w:rsid w:val="00C22372"/>
    <w:rsid w:val="00C22791"/>
    <w:rsid w:val="00C244FF"/>
    <w:rsid w:val="00C2457B"/>
    <w:rsid w:val="00C25B5A"/>
    <w:rsid w:val="00C268EB"/>
    <w:rsid w:val="00C27FC3"/>
    <w:rsid w:val="00C33D51"/>
    <w:rsid w:val="00C34065"/>
    <w:rsid w:val="00C34229"/>
    <w:rsid w:val="00C35BF3"/>
    <w:rsid w:val="00C3670D"/>
    <w:rsid w:val="00C41370"/>
    <w:rsid w:val="00C41EED"/>
    <w:rsid w:val="00C442B6"/>
    <w:rsid w:val="00C459A1"/>
    <w:rsid w:val="00C47A2B"/>
    <w:rsid w:val="00C5096F"/>
    <w:rsid w:val="00C50CC6"/>
    <w:rsid w:val="00C5302D"/>
    <w:rsid w:val="00C5403F"/>
    <w:rsid w:val="00C55956"/>
    <w:rsid w:val="00C55CDD"/>
    <w:rsid w:val="00C5787F"/>
    <w:rsid w:val="00C57E44"/>
    <w:rsid w:val="00C60E71"/>
    <w:rsid w:val="00C61A6F"/>
    <w:rsid w:val="00C62F4A"/>
    <w:rsid w:val="00C6318D"/>
    <w:rsid w:val="00C634DB"/>
    <w:rsid w:val="00C63883"/>
    <w:rsid w:val="00C66506"/>
    <w:rsid w:val="00C7057E"/>
    <w:rsid w:val="00C70641"/>
    <w:rsid w:val="00C72EF0"/>
    <w:rsid w:val="00C72F5F"/>
    <w:rsid w:val="00C7318D"/>
    <w:rsid w:val="00C74B45"/>
    <w:rsid w:val="00C74CC2"/>
    <w:rsid w:val="00C76487"/>
    <w:rsid w:val="00C766C2"/>
    <w:rsid w:val="00C77322"/>
    <w:rsid w:val="00C77ACD"/>
    <w:rsid w:val="00C81584"/>
    <w:rsid w:val="00C82FC1"/>
    <w:rsid w:val="00C83726"/>
    <w:rsid w:val="00C85536"/>
    <w:rsid w:val="00C9240D"/>
    <w:rsid w:val="00C96429"/>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171D"/>
    <w:rsid w:val="00CB20BC"/>
    <w:rsid w:val="00CB2278"/>
    <w:rsid w:val="00CB354D"/>
    <w:rsid w:val="00CB6BD8"/>
    <w:rsid w:val="00CB74C1"/>
    <w:rsid w:val="00CC0031"/>
    <w:rsid w:val="00CC1B2D"/>
    <w:rsid w:val="00CC2C4F"/>
    <w:rsid w:val="00CC3FDF"/>
    <w:rsid w:val="00CC60B9"/>
    <w:rsid w:val="00CD1628"/>
    <w:rsid w:val="00CD2712"/>
    <w:rsid w:val="00CD35A0"/>
    <w:rsid w:val="00CD41EE"/>
    <w:rsid w:val="00CD476F"/>
    <w:rsid w:val="00CD664F"/>
    <w:rsid w:val="00CD7C95"/>
    <w:rsid w:val="00CE2384"/>
    <w:rsid w:val="00CE3D5E"/>
    <w:rsid w:val="00CE49E7"/>
    <w:rsid w:val="00CE642E"/>
    <w:rsid w:val="00CF034B"/>
    <w:rsid w:val="00CF07CB"/>
    <w:rsid w:val="00CF32E9"/>
    <w:rsid w:val="00CF345C"/>
    <w:rsid w:val="00CF4E94"/>
    <w:rsid w:val="00CF56C1"/>
    <w:rsid w:val="00CF75BA"/>
    <w:rsid w:val="00D0100E"/>
    <w:rsid w:val="00D010E3"/>
    <w:rsid w:val="00D01A19"/>
    <w:rsid w:val="00D02E90"/>
    <w:rsid w:val="00D0482D"/>
    <w:rsid w:val="00D05810"/>
    <w:rsid w:val="00D10925"/>
    <w:rsid w:val="00D15ADE"/>
    <w:rsid w:val="00D170DF"/>
    <w:rsid w:val="00D20416"/>
    <w:rsid w:val="00D204A2"/>
    <w:rsid w:val="00D20CCF"/>
    <w:rsid w:val="00D21942"/>
    <w:rsid w:val="00D22B65"/>
    <w:rsid w:val="00D23682"/>
    <w:rsid w:val="00D30BD9"/>
    <w:rsid w:val="00D30C9F"/>
    <w:rsid w:val="00D31275"/>
    <w:rsid w:val="00D3196B"/>
    <w:rsid w:val="00D324FC"/>
    <w:rsid w:val="00D35F36"/>
    <w:rsid w:val="00D378DF"/>
    <w:rsid w:val="00D41322"/>
    <w:rsid w:val="00D42B0C"/>
    <w:rsid w:val="00D46C6E"/>
    <w:rsid w:val="00D47AC5"/>
    <w:rsid w:val="00D5090D"/>
    <w:rsid w:val="00D5113F"/>
    <w:rsid w:val="00D52351"/>
    <w:rsid w:val="00D56336"/>
    <w:rsid w:val="00D56BA7"/>
    <w:rsid w:val="00D576E9"/>
    <w:rsid w:val="00D5781D"/>
    <w:rsid w:val="00D617EF"/>
    <w:rsid w:val="00D62ECD"/>
    <w:rsid w:val="00D631E5"/>
    <w:rsid w:val="00D65CF2"/>
    <w:rsid w:val="00D6682C"/>
    <w:rsid w:val="00D66CF8"/>
    <w:rsid w:val="00D66DB5"/>
    <w:rsid w:val="00D67F9B"/>
    <w:rsid w:val="00D7008D"/>
    <w:rsid w:val="00D7086E"/>
    <w:rsid w:val="00D70C49"/>
    <w:rsid w:val="00D70F3A"/>
    <w:rsid w:val="00D71EDD"/>
    <w:rsid w:val="00D72BEF"/>
    <w:rsid w:val="00D72C62"/>
    <w:rsid w:val="00D73886"/>
    <w:rsid w:val="00D75BBE"/>
    <w:rsid w:val="00D76AB8"/>
    <w:rsid w:val="00D76D02"/>
    <w:rsid w:val="00D772B3"/>
    <w:rsid w:val="00D77A52"/>
    <w:rsid w:val="00D81B58"/>
    <w:rsid w:val="00D81C14"/>
    <w:rsid w:val="00D832D5"/>
    <w:rsid w:val="00D83376"/>
    <w:rsid w:val="00D84B5D"/>
    <w:rsid w:val="00D853FF"/>
    <w:rsid w:val="00D8705F"/>
    <w:rsid w:val="00D87A07"/>
    <w:rsid w:val="00D92A15"/>
    <w:rsid w:val="00D934FF"/>
    <w:rsid w:val="00D943DD"/>
    <w:rsid w:val="00D957C0"/>
    <w:rsid w:val="00D965FE"/>
    <w:rsid w:val="00DA0546"/>
    <w:rsid w:val="00DA1332"/>
    <w:rsid w:val="00DA377B"/>
    <w:rsid w:val="00DA48F6"/>
    <w:rsid w:val="00DA4CF9"/>
    <w:rsid w:val="00DA506F"/>
    <w:rsid w:val="00DA5238"/>
    <w:rsid w:val="00DA53C1"/>
    <w:rsid w:val="00DA5621"/>
    <w:rsid w:val="00DA5B67"/>
    <w:rsid w:val="00DA7ECD"/>
    <w:rsid w:val="00DB09E4"/>
    <w:rsid w:val="00DB2D17"/>
    <w:rsid w:val="00DB3619"/>
    <w:rsid w:val="00DB4628"/>
    <w:rsid w:val="00DB5E4D"/>
    <w:rsid w:val="00DB5F9F"/>
    <w:rsid w:val="00DB6D1F"/>
    <w:rsid w:val="00DC11CB"/>
    <w:rsid w:val="00DC13EA"/>
    <w:rsid w:val="00DC1BB7"/>
    <w:rsid w:val="00DC3ADA"/>
    <w:rsid w:val="00DC4A0B"/>
    <w:rsid w:val="00DC4D66"/>
    <w:rsid w:val="00DC52D2"/>
    <w:rsid w:val="00DC73B8"/>
    <w:rsid w:val="00DC78F4"/>
    <w:rsid w:val="00DD026E"/>
    <w:rsid w:val="00DD14C9"/>
    <w:rsid w:val="00DD1715"/>
    <w:rsid w:val="00DD2C4D"/>
    <w:rsid w:val="00DD35FE"/>
    <w:rsid w:val="00DD37BF"/>
    <w:rsid w:val="00DD4340"/>
    <w:rsid w:val="00DD44AD"/>
    <w:rsid w:val="00DD44B0"/>
    <w:rsid w:val="00DD45F6"/>
    <w:rsid w:val="00DD5596"/>
    <w:rsid w:val="00DD5A7F"/>
    <w:rsid w:val="00DD6B23"/>
    <w:rsid w:val="00DE1E06"/>
    <w:rsid w:val="00DE342A"/>
    <w:rsid w:val="00DE48C3"/>
    <w:rsid w:val="00DE493A"/>
    <w:rsid w:val="00DE5099"/>
    <w:rsid w:val="00DE58AE"/>
    <w:rsid w:val="00DE7178"/>
    <w:rsid w:val="00DE7190"/>
    <w:rsid w:val="00DF1157"/>
    <w:rsid w:val="00DF178D"/>
    <w:rsid w:val="00DF2711"/>
    <w:rsid w:val="00DF2E2D"/>
    <w:rsid w:val="00DF38C7"/>
    <w:rsid w:val="00DF4392"/>
    <w:rsid w:val="00DF4E1F"/>
    <w:rsid w:val="00DF69A1"/>
    <w:rsid w:val="00DF6DE1"/>
    <w:rsid w:val="00DF752E"/>
    <w:rsid w:val="00E0035B"/>
    <w:rsid w:val="00E00956"/>
    <w:rsid w:val="00E011B3"/>
    <w:rsid w:val="00E01A14"/>
    <w:rsid w:val="00E01A51"/>
    <w:rsid w:val="00E02EE2"/>
    <w:rsid w:val="00E04B3B"/>
    <w:rsid w:val="00E04D61"/>
    <w:rsid w:val="00E05109"/>
    <w:rsid w:val="00E05894"/>
    <w:rsid w:val="00E0642C"/>
    <w:rsid w:val="00E06BD0"/>
    <w:rsid w:val="00E109E0"/>
    <w:rsid w:val="00E1364D"/>
    <w:rsid w:val="00E14A4D"/>
    <w:rsid w:val="00E14FA3"/>
    <w:rsid w:val="00E151B6"/>
    <w:rsid w:val="00E153CF"/>
    <w:rsid w:val="00E1543D"/>
    <w:rsid w:val="00E15D9B"/>
    <w:rsid w:val="00E169B1"/>
    <w:rsid w:val="00E17572"/>
    <w:rsid w:val="00E176F6"/>
    <w:rsid w:val="00E177EE"/>
    <w:rsid w:val="00E204AA"/>
    <w:rsid w:val="00E20EFC"/>
    <w:rsid w:val="00E245F0"/>
    <w:rsid w:val="00E2566D"/>
    <w:rsid w:val="00E27820"/>
    <w:rsid w:val="00E304B3"/>
    <w:rsid w:val="00E32827"/>
    <w:rsid w:val="00E329AF"/>
    <w:rsid w:val="00E342B0"/>
    <w:rsid w:val="00E350B7"/>
    <w:rsid w:val="00E356BA"/>
    <w:rsid w:val="00E37333"/>
    <w:rsid w:val="00E37D1E"/>
    <w:rsid w:val="00E40979"/>
    <w:rsid w:val="00E435B7"/>
    <w:rsid w:val="00E43A26"/>
    <w:rsid w:val="00E466D8"/>
    <w:rsid w:val="00E46AF2"/>
    <w:rsid w:val="00E47557"/>
    <w:rsid w:val="00E503F7"/>
    <w:rsid w:val="00E5543F"/>
    <w:rsid w:val="00E6140D"/>
    <w:rsid w:val="00E61F52"/>
    <w:rsid w:val="00E634FA"/>
    <w:rsid w:val="00E6414B"/>
    <w:rsid w:val="00E64851"/>
    <w:rsid w:val="00E67C51"/>
    <w:rsid w:val="00E70BD3"/>
    <w:rsid w:val="00E71783"/>
    <w:rsid w:val="00E71967"/>
    <w:rsid w:val="00E7237E"/>
    <w:rsid w:val="00E72A5A"/>
    <w:rsid w:val="00E72D5C"/>
    <w:rsid w:val="00E735B1"/>
    <w:rsid w:val="00E73BE0"/>
    <w:rsid w:val="00E741ED"/>
    <w:rsid w:val="00E770AD"/>
    <w:rsid w:val="00E77FD2"/>
    <w:rsid w:val="00E81DCB"/>
    <w:rsid w:val="00E81EB7"/>
    <w:rsid w:val="00E85206"/>
    <w:rsid w:val="00E8571B"/>
    <w:rsid w:val="00E901FD"/>
    <w:rsid w:val="00E90B31"/>
    <w:rsid w:val="00E90BDF"/>
    <w:rsid w:val="00E929ED"/>
    <w:rsid w:val="00E940AC"/>
    <w:rsid w:val="00E94F36"/>
    <w:rsid w:val="00E95883"/>
    <w:rsid w:val="00EA0207"/>
    <w:rsid w:val="00EA20F6"/>
    <w:rsid w:val="00EA258A"/>
    <w:rsid w:val="00EA447E"/>
    <w:rsid w:val="00EA4DBC"/>
    <w:rsid w:val="00EA50AB"/>
    <w:rsid w:val="00EA52D1"/>
    <w:rsid w:val="00EB0171"/>
    <w:rsid w:val="00EB037F"/>
    <w:rsid w:val="00EB10EA"/>
    <w:rsid w:val="00EB1595"/>
    <w:rsid w:val="00EB31AB"/>
    <w:rsid w:val="00EB4EFE"/>
    <w:rsid w:val="00EB5751"/>
    <w:rsid w:val="00EB6A12"/>
    <w:rsid w:val="00EC012C"/>
    <w:rsid w:val="00EC175E"/>
    <w:rsid w:val="00EC22D7"/>
    <w:rsid w:val="00EC245A"/>
    <w:rsid w:val="00EC3F32"/>
    <w:rsid w:val="00EC4BAE"/>
    <w:rsid w:val="00EC5B7C"/>
    <w:rsid w:val="00EC5D37"/>
    <w:rsid w:val="00EC6A3F"/>
    <w:rsid w:val="00ED2391"/>
    <w:rsid w:val="00ED3DA3"/>
    <w:rsid w:val="00EE6411"/>
    <w:rsid w:val="00EE66C7"/>
    <w:rsid w:val="00EE6B2F"/>
    <w:rsid w:val="00EE70C3"/>
    <w:rsid w:val="00EF02F8"/>
    <w:rsid w:val="00EF0400"/>
    <w:rsid w:val="00EF3028"/>
    <w:rsid w:val="00EF3A82"/>
    <w:rsid w:val="00EF42A7"/>
    <w:rsid w:val="00EF5730"/>
    <w:rsid w:val="00EF5C83"/>
    <w:rsid w:val="00EF7D7A"/>
    <w:rsid w:val="00F002B2"/>
    <w:rsid w:val="00F00AC2"/>
    <w:rsid w:val="00F01C27"/>
    <w:rsid w:val="00F0204B"/>
    <w:rsid w:val="00F03B3D"/>
    <w:rsid w:val="00F05177"/>
    <w:rsid w:val="00F0601A"/>
    <w:rsid w:val="00F0724E"/>
    <w:rsid w:val="00F12FA2"/>
    <w:rsid w:val="00F14C67"/>
    <w:rsid w:val="00F15518"/>
    <w:rsid w:val="00F17616"/>
    <w:rsid w:val="00F22E5F"/>
    <w:rsid w:val="00F233B0"/>
    <w:rsid w:val="00F24E5E"/>
    <w:rsid w:val="00F25D76"/>
    <w:rsid w:val="00F26DA9"/>
    <w:rsid w:val="00F30995"/>
    <w:rsid w:val="00F31D64"/>
    <w:rsid w:val="00F33537"/>
    <w:rsid w:val="00F33736"/>
    <w:rsid w:val="00F33B09"/>
    <w:rsid w:val="00F3434E"/>
    <w:rsid w:val="00F348A8"/>
    <w:rsid w:val="00F358FC"/>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67BF"/>
    <w:rsid w:val="00F56AC0"/>
    <w:rsid w:val="00F56F0E"/>
    <w:rsid w:val="00F56F47"/>
    <w:rsid w:val="00F57335"/>
    <w:rsid w:val="00F57A39"/>
    <w:rsid w:val="00F61F72"/>
    <w:rsid w:val="00F62680"/>
    <w:rsid w:val="00F62762"/>
    <w:rsid w:val="00F63723"/>
    <w:rsid w:val="00F63BA4"/>
    <w:rsid w:val="00F65E9E"/>
    <w:rsid w:val="00F7025D"/>
    <w:rsid w:val="00F72085"/>
    <w:rsid w:val="00F73FF5"/>
    <w:rsid w:val="00F74EFB"/>
    <w:rsid w:val="00F76F54"/>
    <w:rsid w:val="00F7712A"/>
    <w:rsid w:val="00F77955"/>
    <w:rsid w:val="00F803F8"/>
    <w:rsid w:val="00F81269"/>
    <w:rsid w:val="00F8144D"/>
    <w:rsid w:val="00F82B0E"/>
    <w:rsid w:val="00F8415B"/>
    <w:rsid w:val="00F84424"/>
    <w:rsid w:val="00F869F8"/>
    <w:rsid w:val="00F86B46"/>
    <w:rsid w:val="00F86BE3"/>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A70CF"/>
    <w:rsid w:val="00FB0933"/>
    <w:rsid w:val="00FB13E0"/>
    <w:rsid w:val="00FB38D6"/>
    <w:rsid w:val="00FB4CA8"/>
    <w:rsid w:val="00FB5EBA"/>
    <w:rsid w:val="00FB6B34"/>
    <w:rsid w:val="00FC07C4"/>
    <w:rsid w:val="00FC1619"/>
    <w:rsid w:val="00FC19E8"/>
    <w:rsid w:val="00FC22CF"/>
    <w:rsid w:val="00FC3B31"/>
    <w:rsid w:val="00FC43D1"/>
    <w:rsid w:val="00FC4541"/>
    <w:rsid w:val="00FC5866"/>
    <w:rsid w:val="00FC5B63"/>
    <w:rsid w:val="00FC5E53"/>
    <w:rsid w:val="00FD0BDA"/>
    <w:rsid w:val="00FD351C"/>
    <w:rsid w:val="00FD3EB9"/>
    <w:rsid w:val="00FD48D0"/>
    <w:rsid w:val="00FD4975"/>
    <w:rsid w:val="00FD4992"/>
    <w:rsid w:val="00FD79FF"/>
    <w:rsid w:val="00FE297B"/>
    <w:rsid w:val="00FE3880"/>
    <w:rsid w:val="00FE47DF"/>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BodyText">
    <w:name w:val="_TRBody Text"/>
    <w:link w:val="TRBodyTextChar1"/>
    <w:rsid w:val="005E480B"/>
    <w:pPr>
      <w:spacing w:line="300" w:lineRule="atLeast"/>
      <w:jc w:val="both"/>
    </w:pPr>
    <w:rPr>
      <w:sz w:val="24"/>
      <w:lang w:eastAsia="en-AU"/>
    </w:rPr>
  </w:style>
  <w:style w:type="character" w:customStyle="1" w:styleId="TRBodyTextChar1">
    <w:name w:val="_TRBody Text Char1"/>
    <w:link w:val="TRBodyText"/>
    <w:rsid w:val="005E480B"/>
    <w:rPr>
      <w:sz w:val="24"/>
      <w:lang w:eastAsia="en-AU"/>
    </w:rPr>
  </w:style>
  <w:style w:type="paragraph" w:customStyle="1" w:styleId="Chapter2">
    <w:name w:val="Chapter 2"/>
    <w:basedOn w:val="Normal"/>
    <w:link w:val="Chapter2Char"/>
    <w:rsid w:val="005C1DF3"/>
    <w:pPr>
      <w:numPr>
        <w:numId w:val="4"/>
      </w:numPr>
      <w:spacing w:after="0" w:line="240" w:lineRule="auto"/>
      <w:jc w:val="both"/>
    </w:pPr>
    <w:rPr>
      <w:rFonts w:ascii="Times New Roman" w:hAnsi="Times New Roman"/>
      <w:snapToGrid w:val="0"/>
      <w:sz w:val="24"/>
      <w:lang w:val="en-NZ" w:eastAsia="en-US"/>
    </w:rPr>
  </w:style>
  <w:style w:type="character" w:customStyle="1" w:styleId="Chapter2Char">
    <w:name w:val="Chapter 2 Char"/>
    <w:basedOn w:val="DefaultParagraphFont"/>
    <w:link w:val="Chapter2"/>
    <w:rsid w:val="005C1DF3"/>
    <w:rPr>
      <w:snapToGrid w:val="0"/>
      <w:sz w:val="24"/>
      <w:lang w:eastAsia="en-US"/>
    </w:rPr>
  </w:style>
  <w:style w:type="table" w:customStyle="1" w:styleId="TableGrid2">
    <w:name w:val="Table Grid2"/>
    <w:basedOn w:val="TableNormal"/>
    <w:next w:val="TableGrid"/>
    <w:rsid w:val="00EF3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C2B79"/>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BodyText">
    <w:name w:val="_TRBody Text"/>
    <w:link w:val="TRBodyTextChar1"/>
    <w:rsid w:val="005E480B"/>
    <w:pPr>
      <w:spacing w:line="300" w:lineRule="atLeast"/>
      <w:jc w:val="both"/>
    </w:pPr>
    <w:rPr>
      <w:sz w:val="24"/>
      <w:lang w:eastAsia="en-AU"/>
    </w:rPr>
  </w:style>
  <w:style w:type="character" w:customStyle="1" w:styleId="TRBodyTextChar1">
    <w:name w:val="_TRBody Text Char1"/>
    <w:link w:val="TRBodyText"/>
    <w:rsid w:val="005E480B"/>
    <w:rPr>
      <w:sz w:val="24"/>
      <w:lang w:eastAsia="en-AU"/>
    </w:rPr>
  </w:style>
  <w:style w:type="paragraph" w:customStyle="1" w:styleId="Chapter2">
    <w:name w:val="Chapter 2"/>
    <w:basedOn w:val="Normal"/>
    <w:link w:val="Chapter2Char"/>
    <w:rsid w:val="005C1DF3"/>
    <w:pPr>
      <w:numPr>
        <w:numId w:val="4"/>
      </w:numPr>
      <w:spacing w:after="0" w:line="240" w:lineRule="auto"/>
      <w:jc w:val="both"/>
    </w:pPr>
    <w:rPr>
      <w:rFonts w:ascii="Times New Roman" w:hAnsi="Times New Roman"/>
      <w:snapToGrid w:val="0"/>
      <w:sz w:val="24"/>
      <w:lang w:val="en-NZ" w:eastAsia="en-US"/>
    </w:rPr>
  </w:style>
  <w:style w:type="character" w:customStyle="1" w:styleId="Chapter2Char">
    <w:name w:val="Chapter 2 Char"/>
    <w:basedOn w:val="DefaultParagraphFont"/>
    <w:link w:val="Chapter2"/>
    <w:rsid w:val="005C1DF3"/>
    <w:rPr>
      <w:snapToGrid w:val="0"/>
      <w:sz w:val="24"/>
      <w:lang w:eastAsia="en-US"/>
    </w:rPr>
  </w:style>
  <w:style w:type="table" w:customStyle="1" w:styleId="TableGrid2">
    <w:name w:val="Table Grid2"/>
    <w:basedOn w:val="TableNormal"/>
    <w:next w:val="TableGrid"/>
    <w:rsid w:val="00EF3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C2B79"/>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E95F-BD4C-47C5-9C0E-01FDCE40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5423</Words>
  <Characters>29638</Characters>
  <Application>Microsoft Office Word</Application>
  <DocSecurity>0</DocSecurity>
  <Lines>801</Lines>
  <Paragraphs>246</Paragraphs>
  <ScaleCrop>false</ScaleCrop>
  <HeadingPairs>
    <vt:vector size="2" baseType="variant">
      <vt:variant>
        <vt:lpstr>Title</vt:lpstr>
      </vt:variant>
      <vt:variant>
        <vt:i4>1</vt:i4>
      </vt:variant>
    </vt:vector>
  </HeadingPairs>
  <TitlesOfParts>
    <vt:vector size="1" baseType="lpstr">
      <vt:lpstr>Regulatory impact statement - Loss grouping and imputation credits (November 2015)</vt:lpstr>
    </vt:vector>
  </TitlesOfParts>
  <Company>Inland Revenue</Company>
  <LinksUpToDate>false</LinksUpToDate>
  <CharactersWithSpaces>34815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Loss grouping and imputation credits (November 2015)</dc:title>
  <dc:creator>Policy and Strategy</dc:creator>
  <dc:description>Published May 2016.</dc:description>
  <cp:lastModifiedBy>David Nind</cp:lastModifiedBy>
  <cp:revision>2</cp:revision>
  <dcterms:created xsi:type="dcterms:W3CDTF">2016-05-02T21:37:00Z</dcterms:created>
  <dcterms:modified xsi:type="dcterms:W3CDTF">2016-05-02T21:38:00Z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