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1C" w:rsidRPr="00001136" w:rsidRDefault="0096391C" w:rsidP="0096391C">
      <w:pPr>
        <w:pStyle w:val="ListParagraph"/>
        <w:ind w:left="0" w:right="170"/>
        <w:contextualSpacing w:val="0"/>
        <w:jc w:val="center"/>
        <w:rPr>
          <w:rFonts w:ascii="Times New Roman" w:hAnsi="Times New Roman"/>
          <w:b/>
          <w:sz w:val="32"/>
          <w:szCs w:val="24"/>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001136">
        <w:rPr>
          <w:rFonts w:ascii="Times New Roman" w:hAnsi="Times New Roman"/>
          <w:b/>
          <w:sz w:val="32"/>
          <w:szCs w:val="24"/>
        </w:rPr>
        <w:t>Regulatory Impact Statement</w:t>
      </w:r>
    </w:p>
    <w:p w:rsidR="0096391C" w:rsidRDefault="0096391C" w:rsidP="0096391C">
      <w:pPr>
        <w:pStyle w:val="ListParagraph"/>
        <w:ind w:left="0" w:right="170"/>
        <w:contextualSpacing w:val="0"/>
        <w:rPr>
          <w:rFonts w:ascii="Times New Roman" w:hAnsi="Times New Roman"/>
          <w:sz w:val="24"/>
          <w:szCs w:val="24"/>
        </w:rPr>
      </w:pPr>
    </w:p>
    <w:p w:rsidR="0096391C" w:rsidRPr="00001136" w:rsidRDefault="0096391C" w:rsidP="0096391C">
      <w:pPr>
        <w:pStyle w:val="ListParagraph"/>
        <w:ind w:left="0" w:right="170"/>
        <w:contextualSpacing w:val="0"/>
        <w:rPr>
          <w:rFonts w:ascii="Times New Roman" w:hAnsi="Times New Roman"/>
          <w:b/>
          <w:sz w:val="24"/>
          <w:szCs w:val="24"/>
        </w:rPr>
      </w:pPr>
      <w:r>
        <w:rPr>
          <w:rFonts w:ascii="Times New Roman" w:hAnsi="Times New Roman"/>
          <w:b/>
          <w:sz w:val="24"/>
          <w:szCs w:val="24"/>
        </w:rPr>
        <w:t xml:space="preserve">GST Current </w:t>
      </w:r>
      <w:r w:rsidR="00EF07BC">
        <w:rPr>
          <w:rFonts w:ascii="Times New Roman" w:hAnsi="Times New Roman"/>
          <w:b/>
          <w:sz w:val="24"/>
          <w:szCs w:val="24"/>
        </w:rPr>
        <w:t>I</w:t>
      </w:r>
      <w:r>
        <w:rPr>
          <w:rFonts w:ascii="Times New Roman" w:hAnsi="Times New Roman"/>
          <w:b/>
          <w:sz w:val="24"/>
          <w:szCs w:val="24"/>
        </w:rPr>
        <w:t>ssues</w:t>
      </w:r>
    </w:p>
    <w:p w:rsidR="0096391C" w:rsidRDefault="0096391C" w:rsidP="0096391C">
      <w:pPr>
        <w:pStyle w:val="ListParagraph"/>
        <w:ind w:left="0" w:right="170"/>
        <w:contextualSpacing w:val="0"/>
        <w:rPr>
          <w:rFonts w:ascii="Times New Roman" w:hAnsi="Times New Roman"/>
          <w:sz w:val="24"/>
          <w:szCs w:val="24"/>
        </w:rPr>
      </w:pPr>
    </w:p>
    <w:p w:rsidR="0096391C" w:rsidRPr="00001136" w:rsidRDefault="0096391C" w:rsidP="0096391C">
      <w:pPr>
        <w:pStyle w:val="ListParagraph"/>
        <w:ind w:left="0" w:right="170"/>
        <w:contextualSpacing w:val="0"/>
        <w:rPr>
          <w:rFonts w:ascii="Times New Roman" w:hAnsi="Times New Roman"/>
          <w:b/>
          <w:sz w:val="24"/>
          <w:szCs w:val="24"/>
        </w:rPr>
      </w:pPr>
      <w:r w:rsidRPr="00001136">
        <w:rPr>
          <w:rFonts w:ascii="Times New Roman" w:hAnsi="Times New Roman"/>
          <w:b/>
          <w:sz w:val="24"/>
          <w:szCs w:val="24"/>
        </w:rPr>
        <w:t>Agency Disclosure Statement</w:t>
      </w:r>
    </w:p>
    <w:p w:rsidR="0096391C" w:rsidRDefault="0096391C" w:rsidP="0096391C">
      <w:pPr>
        <w:pStyle w:val="ListParagraph"/>
        <w:ind w:left="0" w:right="170"/>
        <w:contextualSpacing w:val="0"/>
        <w:rPr>
          <w:rFonts w:ascii="Times New Roman" w:hAnsi="Times New Roman"/>
          <w:sz w:val="24"/>
          <w:szCs w:val="24"/>
        </w:rPr>
      </w:pPr>
    </w:p>
    <w:p w:rsidR="0096391C" w:rsidRPr="00DC0C84" w:rsidRDefault="0096391C" w:rsidP="0096391C">
      <w:pPr>
        <w:pStyle w:val="ListParagraph"/>
        <w:ind w:left="0" w:right="170"/>
        <w:contextualSpacing w:val="0"/>
        <w:rPr>
          <w:rFonts w:ascii="Times New Roman" w:hAnsi="Times New Roman"/>
          <w:sz w:val="24"/>
          <w:szCs w:val="24"/>
        </w:rPr>
      </w:pPr>
      <w:r w:rsidRPr="00DC0C84">
        <w:rPr>
          <w:rFonts w:ascii="Times New Roman" w:hAnsi="Times New Roman"/>
          <w:sz w:val="24"/>
          <w:szCs w:val="24"/>
        </w:rPr>
        <w:t>This Regulatory Impact Statement</w:t>
      </w:r>
      <w:r>
        <w:rPr>
          <w:rFonts w:ascii="Times New Roman" w:hAnsi="Times New Roman"/>
          <w:sz w:val="24"/>
          <w:szCs w:val="24"/>
        </w:rPr>
        <w:t xml:space="preserve"> (RIS)</w:t>
      </w:r>
      <w:r w:rsidRPr="00DC0C84">
        <w:rPr>
          <w:rFonts w:ascii="Times New Roman" w:hAnsi="Times New Roman"/>
          <w:sz w:val="24"/>
          <w:szCs w:val="24"/>
        </w:rPr>
        <w:t xml:space="preserve"> has been prepared by Inland Revenue.</w:t>
      </w:r>
    </w:p>
    <w:p w:rsidR="0096391C" w:rsidRPr="00DC0C84" w:rsidRDefault="0096391C" w:rsidP="0096391C">
      <w:pPr>
        <w:pStyle w:val="ListParagraph"/>
        <w:ind w:left="0" w:right="170"/>
        <w:contextualSpacing w:val="0"/>
        <w:rPr>
          <w:rFonts w:ascii="Times New Roman" w:hAnsi="Times New Roman"/>
          <w:sz w:val="24"/>
          <w:szCs w:val="24"/>
        </w:rPr>
      </w:pPr>
    </w:p>
    <w:p w:rsidR="0096391C" w:rsidRDefault="0096391C" w:rsidP="0096391C">
      <w:pPr>
        <w:pStyle w:val="ListParagraph"/>
        <w:ind w:left="0" w:right="170"/>
        <w:contextualSpacing w:val="0"/>
        <w:rPr>
          <w:rFonts w:ascii="Times New Roman" w:hAnsi="Times New Roman"/>
          <w:sz w:val="24"/>
          <w:szCs w:val="24"/>
        </w:rPr>
      </w:pPr>
      <w:r w:rsidRPr="00DC0C84">
        <w:rPr>
          <w:rFonts w:ascii="Times New Roman" w:hAnsi="Times New Roman"/>
          <w:sz w:val="24"/>
          <w:szCs w:val="24"/>
        </w:rPr>
        <w:t xml:space="preserve">It provides an analysis of options to address </w:t>
      </w:r>
      <w:r>
        <w:rPr>
          <w:rFonts w:ascii="Times New Roman" w:hAnsi="Times New Roman"/>
          <w:sz w:val="24"/>
          <w:szCs w:val="24"/>
        </w:rPr>
        <w:t>four GST-related items.  The issues arise in situations where the technical requirements of the Goods and Services Tax Act 1985 result in high compliance costs for businesses, do not match commercial practice, or do not reach the right policy outcome.</w:t>
      </w:r>
    </w:p>
    <w:p w:rsidR="0096391C" w:rsidRDefault="0096391C" w:rsidP="0096391C">
      <w:pPr>
        <w:pStyle w:val="ListParagraph"/>
        <w:ind w:left="0" w:right="170"/>
        <w:contextualSpacing w:val="0"/>
        <w:rPr>
          <w:rFonts w:ascii="Times New Roman" w:hAnsi="Times New Roman"/>
          <w:sz w:val="24"/>
          <w:szCs w:val="24"/>
        </w:rPr>
      </w:pPr>
    </w:p>
    <w:p w:rsidR="0096391C" w:rsidRDefault="00ED0D31" w:rsidP="0096391C">
      <w:pPr>
        <w:pStyle w:val="ListParagraph"/>
        <w:ind w:left="0" w:right="170"/>
        <w:contextualSpacing w:val="0"/>
        <w:rPr>
          <w:rFonts w:ascii="Times New Roman" w:hAnsi="Times New Roman"/>
          <w:sz w:val="24"/>
          <w:szCs w:val="24"/>
        </w:rPr>
      </w:pPr>
      <w:r>
        <w:rPr>
          <w:rFonts w:ascii="Times New Roman" w:hAnsi="Times New Roman"/>
          <w:sz w:val="24"/>
          <w:szCs w:val="24"/>
        </w:rPr>
        <w:t>Four</w:t>
      </w:r>
      <w:r w:rsidR="0096391C">
        <w:rPr>
          <w:rFonts w:ascii="Times New Roman" w:hAnsi="Times New Roman"/>
          <w:sz w:val="24"/>
          <w:szCs w:val="24"/>
        </w:rPr>
        <w:t xml:space="preserve"> items</w:t>
      </w:r>
      <w:r>
        <w:rPr>
          <w:rFonts w:ascii="Times New Roman" w:hAnsi="Times New Roman"/>
          <w:sz w:val="24"/>
          <w:szCs w:val="24"/>
        </w:rPr>
        <w:t xml:space="preserve"> are</w:t>
      </w:r>
      <w:r w:rsidR="0096391C">
        <w:rPr>
          <w:rFonts w:ascii="Times New Roman" w:hAnsi="Times New Roman"/>
          <w:sz w:val="24"/>
          <w:szCs w:val="24"/>
        </w:rPr>
        <w:t xml:space="preserve"> considered in this RIS</w:t>
      </w:r>
      <w:r>
        <w:rPr>
          <w:rFonts w:ascii="Times New Roman" w:hAnsi="Times New Roman"/>
          <w:sz w:val="24"/>
          <w:szCs w:val="24"/>
        </w:rPr>
        <w:t>.  They</w:t>
      </w:r>
      <w:r w:rsidR="0096391C">
        <w:rPr>
          <w:rFonts w:ascii="Times New Roman" w:hAnsi="Times New Roman"/>
          <w:sz w:val="24"/>
          <w:szCs w:val="24"/>
        </w:rPr>
        <w:t xml:space="preserve"> are:</w:t>
      </w:r>
    </w:p>
    <w:p w:rsidR="0096391C" w:rsidRDefault="0096391C" w:rsidP="0096391C">
      <w:pPr>
        <w:pStyle w:val="ListParagraph"/>
        <w:ind w:left="0" w:right="170"/>
        <w:contextualSpacing w:val="0"/>
        <w:rPr>
          <w:rFonts w:ascii="Times New Roman" w:hAnsi="Times New Roman"/>
          <w:sz w:val="24"/>
          <w:szCs w:val="24"/>
        </w:rPr>
      </w:pPr>
    </w:p>
    <w:p w:rsidR="0096391C" w:rsidRPr="00B91E3E" w:rsidRDefault="0096391C" w:rsidP="00B91E3E">
      <w:pPr>
        <w:pStyle w:val="ListParagraph"/>
        <w:numPr>
          <w:ilvl w:val="0"/>
          <w:numId w:val="26"/>
        </w:numPr>
        <w:ind w:right="170"/>
        <w:rPr>
          <w:rFonts w:ascii="Times New Roman" w:hAnsi="Times New Roman"/>
          <w:sz w:val="24"/>
          <w:szCs w:val="24"/>
        </w:rPr>
      </w:pPr>
      <w:r w:rsidRPr="00B91E3E">
        <w:rPr>
          <w:rFonts w:ascii="Times New Roman" w:hAnsi="Times New Roman"/>
          <w:sz w:val="24"/>
          <w:szCs w:val="24"/>
        </w:rPr>
        <w:t xml:space="preserve">The deductibility of GST incurred in </w:t>
      </w:r>
      <w:r w:rsidR="008707E1" w:rsidRPr="00B91E3E">
        <w:rPr>
          <w:rFonts w:ascii="Times New Roman" w:hAnsi="Times New Roman"/>
          <w:sz w:val="24"/>
          <w:szCs w:val="24"/>
        </w:rPr>
        <w:t>raising</w:t>
      </w:r>
      <w:r w:rsidRPr="00B91E3E">
        <w:rPr>
          <w:rFonts w:ascii="Times New Roman" w:hAnsi="Times New Roman"/>
          <w:sz w:val="24"/>
          <w:szCs w:val="24"/>
        </w:rPr>
        <w:t xml:space="preserve"> capital</w:t>
      </w:r>
      <w:r w:rsidR="008707E1" w:rsidRPr="00B91E3E">
        <w:rPr>
          <w:rFonts w:ascii="Times New Roman" w:hAnsi="Times New Roman"/>
          <w:sz w:val="24"/>
          <w:szCs w:val="24"/>
        </w:rPr>
        <w:t xml:space="preserve"> to fund a taxable business activity</w:t>
      </w:r>
    </w:p>
    <w:p w:rsidR="0096391C" w:rsidRPr="00B91E3E" w:rsidRDefault="0096391C" w:rsidP="0096391C">
      <w:pPr>
        <w:spacing w:after="0"/>
        <w:ind w:right="170"/>
        <w:rPr>
          <w:rFonts w:ascii="Times New Roman" w:hAnsi="Times New Roman"/>
          <w:b/>
          <w:sz w:val="24"/>
          <w:szCs w:val="24"/>
        </w:rPr>
      </w:pPr>
    </w:p>
    <w:p w:rsidR="0096391C" w:rsidRPr="00B91E3E" w:rsidRDefault="0096391C" w:rsidP="00B91E3E">
      <w:pPr>
        <w:pStyle w:val="ListParagraph"/>
        <w:numPr>
          <w:ilvl w:val="0"/>
          <w:numId w:val="26"/>
        </w:numPr>
        <w:ind w:right="170"/>
        <w:rPr>
          <w:rFonts w:ascii="Times New Roman" w:hAnsi="Times New Roman"/>
          <w:sz w:val="24"/>
          <w:szCs w:val="24"/>
        </w:rPr>
      </w:pPr>
      <w:r w:rsidRPr="00B91E3E">
        <w:rPr>
          <w:rFonts w:ascii="Times New Roman" w:hAnsi="Times New Roman"/>
          <w:sz w:val="24"/>
          <w:szCs w:val="24"/>
        </w:rPr>
        <w:t>Compliance costs experienced in determining the proportion of GST that can be deducted</w:t>
      </w:r>
    </w:p>
    <w:p w:rsidR="0096391C" w:rsidRPr="00B91E3E" w:rsidRDefault="0096391C" w:rsidP="0096391C">
      <w:pPr>
        <w:spacing w:after="0"/>
        <w:ind w:right="170"/>
        <w:rPr>
          <w:rFonts w:ascii="Times New Roman" w:hAnsi="Times New Roman"/>
          <w:sz w:val="24"/>
          <w:szCs w:val="24"/>
        </w:rPr>
      </w:pPr>
    </w:p>
    <w:p w:rsidR="0096391C" w:rsidRPr="00B91E3E" w:rsidRDefault="0096391C" w:rsidP="00B91E3E">
      <w:pPr>
        <w:pStyle w:val="ListParagraph"/>
        <w:numPr>
          <w:ilvl w:val="0"/>
          <w:numId w:val="26"/>
        </w:numPr>
        <w:ind w:right="170"/>
        <w:rPr>
          <w:rFonts w:ascii="Times New Roman" w:hAnsi="Times New Roman"/>
          <w:sz w:val="24"/>
          <w:szCs w:val="24"/>
        </w:rPr>
      </w:pPr>
      <w:r w:rsidRPr="00B91E3E">
        <w:rPr>
          <w:rFonts w:ascii="Times New Roman" w:hAnsi="Times New Roman"/>
          <w:sz w:val="24"/>
          <w:szCs w:val="24"/>
        </w:rPr>
        <w:t>The ability to recover GST embedded in secondhand goods composed of gold</w:t>
      </w:r>
    </w:p>
    <w:p w:rsidR="0096391C" w:rsidRPr="00B91E3E" w:rsidRDefault="0096391C" w:rsidP="0096391C">
      <w:pPr>
        <w:spacing w:after="0"/>
        <w:ind w:right="170"/>
        <w:rPr>
          <w:rFonts w:ascii="Times New Roman" w:hAnsi="Times New Roman"/>
          <w:sz w:val="24"/>
          <w:szCs w:val="24"/>
        </w:rPr>
      </w:pPr>
    </w:p>
    <w:p w:rsidR="0096391C" w:rsidRPr="00B91E3E" w:rsidRDefault="0096391C" w:rsidP="00B91E3E">
      <w:pPr>
        <w:pStyle w:val="ListParagraph"/>
        <w:numPr>
          <w:ilvl w:val="0"/>
          <w:numId w:val="26"/>
        </w:numPr>
        <w:ind w:right="170"/>
        <w:rPr>
          <w:rFonts w:ascii="Times New Roman" w:hAnsi="Times New Roman"/>
          <w:sz w:val="24"/>
          <w:szCs w:val="24"/>
        </w:rPr>
      </w:pPr>
      <w:r w:rsidRPr="00B91E3E">
        <w:rPr>
          <w:rFonts w:ascii="Times New Roman" w:hAnsi="Times New Roman"/>
          <w:sz w:val="24"/>
          <w:szCs w:val="24"/>
        </w:rPr>
        <w:t>The treatment of services closely connected with land</w:t>
      </w:r>
    </w:p>
    <w:p w:rsidR="0096391C" w:rsidRPr="00B91E3E" w:rsidRDefault="0096391C" w:rsidP="0096391C">
      <w:pPr>
        <w:pStyle w:val="ListParagraph"/>
        <w:ind w:left="0" w:right="170"/>
        <w:contextualSpacing w:val="0"/>
        <w:rPr>
          <w:rFonts w:ascii="Times New Roman" w:hAnsi="Times New Roman"/>
          <w:sz w:val="24"/>
          <w:szCs w:val="24"/>
        </w:rPr>
      </w:pPr>
    </w:p>
    <w:p w:rsidR="0096391C" w:rsidRDefault="0096391C" w:rsidP="0096391C">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A key gap in the analysis of the issues is the information around the size and scale of the items.  Information from public sources, provided by submitters, or held by Inland Revenue, has been used to estimate these impacts as far as possible, but in many cases it is incomplete or anecdotal.  This has also made it difficult to quantify the impacts.</w:t>
      </w:r>
    </w:p>
    <w:p w:rsidR="0096391C" w:rsidRDefault="0096391C" w:rsidP="0096391C">
      <w:pPr>
        <w:pStyle w:val="Text"/>
        <w:spacing w:before="0" w:after="0" w:line="240" w:lineRule="auto"/>
        <w:ind w:right="170"/>
        <w:rPr>
          <w:rFonts w:ascii="Times New Roman" w:hAnsi="Times New Roman"/>
          <w:sz w:val="24"/>
          <w:szCs w:val="24"/>
          <w:lang w:val="en-NZ"/>
        </w:rPr>
      </w:pPr>
    </w:p>
    <w:p w:rsidR="0096391C" w:rsidRDefault="0096391C" w:rsidP="0096391C">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Submissions received during public consultation on these items and analysis generally agreed with officials’ views on the size and scale</w:t>
      </w:r>
      <w:r w:rsidR="00ED0D31">
        <w:rPr>
          <w:rFonts w:ascii="Times New Roman" w:hAnsi="Times New Roman"/>
          <w:sz w:val="24"/>
          <w:szCs w:val="24"/>
          <w:lang w:val="en-NZ"/>
        </w:rPr>
        <w:t xml:space="preserve"> of the underlying issue</w:t>
      </w:r>
      <w:r>
        <w:rPr>
          <w:rFonts w:ascii="Times New Roman" w:hAnsi="Times New Roman"/>
          <w:sz w:val="24"/>
          <w:szCs w:val="24"/>
          <w:lang w:val="en-NZ"/>
        </w:rPr>
        <w:t>.  Submitters included professional firms and industry associations, who may be expected to have a good overview of a number of businesses</w:t>
      </w:r>
      <w:r w:rsidR="00ED0D31">
        <w:rPr>
          <w:rFonts w:ascii="Times New Roman" w:hAnsi="Times New Roman"/>
          <w:sz w:val="24"/>
          <w:szCs w:val="24"/>
          <w:lang w:val="en-NZ"/>
        </w:rPr>
        <w:t xml:space="preserve"> that may be affected </w:t>
      </w:r>
      <w:r w:rsidR="00ED0D31" w:rsidRPr="00B91E3E">
        <w:rPr>
          <w:rFonts w:ascii="Times New Roman" w:hAnsi="Times New Roman"/>
          <w:sz w:val="24"/>
          <w:szCs w:val="24"/>
          <w:lang w:val="en-NZ"/>
        </w:rPr>
        <w:t xml:space="preserve">by the proposed </w:t>
      </w:r>
      <w:r w:rsidR="00625424" w:rsidRPr="00B91E3E">
        <w:rPr>
          <w:rFonts w:ascii="Times New Roman" w:hAnsi="Times New Roman"/>
          <w:sz w:val="24"/>
          <w:szCs w:val="24"/>
          <w:lang w:val="en-NZ"/>
        </w:rPr>
        <w:t>regulation</w:t>
      </w:r>
      <w:r>
        <w:rPr>
          <w:rFonts w:ascii="Times New Roman" w:hAnsi="Times New Roman"/>
          <w:sz w:val="24"/>
          <w:szCs w:val="24"/>
          <w:lang w:val="en-NZ"/>
        </w:rPr>
        <w:t>.</w:t>
      </w:r>
    </w:p>
    <w:p w:rsidR="0096391C" w:rsidRDefault="0096391C" w:rsidP="0096391C">
      <w:pPr>
        <w:pStyle w:val="Text"/>
        <w:spacing w:before="0" w:after="0" w:line="240" w:lineRule="auto"/>
        <w:ind w:right="170"/>
        <w:rPr>
          <w:rFonts w:ascii="Times New Roman" w:hAnsi="Times New Roman"/>
          <w:sz w:val="24"/>
          <w:szCs w:val="24"/>
          <w:lang w:val="en-NZ"/>
        </w:rPr>
      </w:pPr>
    </w:p>
    <w:p w:rsidR="0096391C" w:rsidRDefault="0096391C" w:rsidP="0096391C">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Where there is not sufficient information to quantify the impact</w:t>
      </w:r>
      <w:r w:rsidR="00ED0D31">
        <w:rPr>
          <w:rFonts w:ascii="Times New Roman" w:hAnsi="Times New Roman"/>
          <w:sz w:val="24"/>
          <w:szCs w:val="24"/>
          <w:lang w:val="en-NZ"/>
        </w:rPr>
        <w:t>s</w:t>
      </w:r>
      <w:r>
        <w:rPr>
          <w:rFonts w:ascii="Times New Roman" w:hAnsi="Times New Roman"/>
          <w:sz w:val="24"/>
          <w:szCs w:val="24"/>
          <w:lang w:val="en-NZ"/>
        </w:rPr>
        <w:t xml:space="preserve">, this </w:t>
      </w:r>
      <w:proofErr w:type="spellStart"/>
      <w:r w:rsidR="00ED0D31">
        <w:rPr>
          <w:rFonts w:ascii="Times New Roman" w:hAnsi="Times New Roman"/>
          <w:sz w:val="24"/>
          <w:szCs w:val="24"/>
          <w:lang w:val="en-NZ"/>
        </w:rPr>
        <w:t>bas</w:t>
      </w:r>
      <w:proofErr w:type="spellEnd"/>
      <w:r w:rsidR="00ED0D31">
        <w:rPr>
          <w:rFonts w:ascii="Times New Roman" w:hAnsi="Times New Roman"/>
          <w:sz w:val="24"/>
          <w:szCs w:val="24"/>
          <w:lang w:val="en-NZ"/>
        </w:rPr>
        <w:t xml:space="preserve"> been</w:t>
      </w:r>
      <w:r>
        <w:rPr>
          <w:rFonts w:ascii="Times New Roman" w:hAnsi="Times New Roman"/>
          <w:sz w:val="24"/>
          <w:szCs w:val="24"/>
          <w:lang w:val="en-NZ"/>
        </w:rPr>
        <w:t xml:space="preserve"> noted</w:t>
      </w:r>
      <w:r w:rsidR="00ED0D31">
        <w:rPr>
          <w:rFonts w:ascii="Times New Roman" w:hAnsi="Times New Roman"/>
          <w:sz w:val="24"/>
          <w:szCs w:val="24"/>
          <w:lang w:val="en-NZ"/>
        </w:rPr>
        <w:t xml:space="preserve"> in the RIS</w:t>
      </w:r>
      <w:r>
        <w:rPr>
          <w:rFonts w:ascii="Times New Roman" w:hAnsi="Times New Roman"/>
          <w:sz w:val="24"/>
          <w:szCs w:val="24"/>
          <w:lang w:val="en-NZ"/>
        </w:rPr>
        <w:t>.</w:t>
      </w:r>
    </w:p>
    <w:p w:rsidR="0096391C" w:rsidRDefault="0096391C" w:rsidP="0096391C">
      <w:pPr>
        <w:pStyle w:val="Text"/>
        <w:spacing w:before="0" w:after="0" w:line="240" w:lineRule="auto"/>
        <w:ind w:right="170"/>
        <w:rPr>
          <w:rFonts w:ascii="Times New Roman" w:hAnsi="Times New Roman"/>
          <w:sz w:val="24"/>
          <w:szCs w:val="24"/>
          <w:lang w:val="en-NZ"/>
        </w:rPr>
      </w:pPr>
    </w:p>
    <w:p w:rsidR="0096391C" w:rsidRDefault="0096391C" w:rsidP="0096391C">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Inland Revenue has consulted the Treasury in relation to all four </w:t>
      </w:r>
      <w:r w:rsidR="00ED0D31">
        <w:rPr>
          <w:rFonts w:ascii="Times New Roman" w:hAnsi="Times New Roman"/>
          <w:sz w:val="24"/>
          <w:szCs w:val="24"/>
          <w:lang w:val="en-NZ"/>
        </w:rPr>
        <w:t>items</w:t>
      </w:r>
      <w:r>
        <w:rPr>
          <w:rFonts w:ascii="Times New Roman" w:hAnsi="Times New Roman"/>
          <w:sz w:val="24"/>
          <w:szCs w:val="24"/>
          <w:lang w:val="en-NZ"/>
        </w:rPr>
        <w:t>.  The Ministry of Business, Innovation and Employment was consulted in relation to the capital raising proposal.  Both agencies were supportive of officials’ preferred solutions.</w:t>
      </w:r>
    </w:p>
    <w:p w:rsidR="0096391C" w:rsidRDefault="0096391C" w:rsidP="0096391C">
      <w:pPr>
        <w:pStyle w:val="Text"/>
        <w:spacing w:before="0" w:after="0" w:line="240" w:lineRule="auto"/>
        <w:ind w:right="170"/>
        <w:rPr>
          <w:rFonts w:ascii="Times New Roman" w:hAnsi="Times New Roman"/>
          <w:sz w:val="24"/>
          <w:szCs w:val="24"/>
          <w:lang w:val="en-NZ"/>
        </w:rPr>
      </w:pPr>
    </w:p>
    <w:p w:rsidR="0096391C" w:rsidRDefault="0096391C" w:rsidP="0096391C">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The items were also publicly consulted on through an officials’ issues paper, </w:t>
      </w:r>
      <w:r w:rsidRPr="00A0104F">
        <w:rPr>
          <w:rFonts w:ascii="Times New Roman" w:hAnsi="Times New Roman"/>
          <w:i/>
          <w:sz w:val="24"/>
          <w:szCs w:val="24"/>
          <w:lang w:val="en-NZ"/>
        </w:rPr>
        <w:t>GST Current Issues</w:t>
      </w:r>
      <w:r>
        <w:rPr>
          <w:rFonts w:ascii="Times New Roman" w:hAnsi="Times New Roman"/>
          <w:sz w:val="24"/>
          <w:szCs w:val="24"/>
          <w:lang w:val="en-NZ"/>
        </w:rPr>
        <w:t>, released on 17 September 2015.  Submitters supported officials preferred solution to the first three items.  Submitters did not support officials</w:t>
      </w:r>
      <w:r w:rsidR="008707E1">
        <w:rPr>
          <w:rFonts w:ascii="Times New Roman" w:hAnsi="Times New Roman"/>
          <w:sz w:val="24"/>
          <w:szCs w:val="24"/>
          <w:lang w:val="en-NZ"/>
        </w:rPr>
        <w:t>’</w:t>
      </w:r>
      <w:r>
        <w:rPr>
          <w:rFonts w:ascii="Times New Roman" w:hAnsi="Times New Roman"/>
          <w:sz w:val="24"/>
          <w:szCs w:val="24"/>
          <w:lang w:val="en-NZ"/>
        </w:rPr>
        <w:t xml:space="preserve"> preferred solution for the fourth item</w:t>
      </w:r>
      <w:r w:rsidR="00ED0D31">
        <w:rPr>
          <w:rFonts w:ascii="Times New Roman" w:hAnsi="Times New Roman"/>
          <w:sz w:val="24"/>
          <w:szCs w:val="24"/>
          <w:lang w:val="en-NZ"/>
        </w:rPr>
        <w:t xml:space="preserve"> relating to the treatment of services closely connected with land</w:t>
      </w:r>
      <w:r>
        <w:rPr>
          <w:rFonts w:ascii="Times New Roman" w:hAnsi="Times New Roman"/>
          <w:sz w:val="24"/>
          <w:szCs w:val="24"/>
          <w:lang w:val="en-NZ"/>
        </w:rPr>
        <w:t>.  The feedback received has been taken into account in developing options and in the analysis contained in this RIS.</w:t>
      </w:r>
    </w:p>
    <w:p w:rsidR="0096391C" w:rsidRPr="00DC0C84" w:rsidRDefault="00AF0411" w:rsidP="0096391C">
      <w:pPr>
        <w:pStyle w:val="Text"/>
        <w:spacing w:before="0" w:after="0" w:line="240" w:lineRule="auto"/>
        <w:ind w:right="170"/>
        <w:rPr>
          <w:rFonts w:ascii="Times New Roman" w:hAnsi="Times New Roman"/>
          <w:sz w:val="24"/>
          <w:szCs w:val="24"/>
          <w:lang w:val="en-NZ"/>
        </w:rPr>
      </w:pPr>
      <w:r w:rsidRPr="00AF0411">
        <w:rPr>
          <w:rFonts w:ascii="Times New Roman" w:hAnsi="Times New Roman"/>
          <w:noProof/>
          <w:sz w:val="24"/>
          <w:szCs w:val="24"/>
          <w:lang w:val="en-NZ" w:eastAsia="en-NZ"/>
        </w:rPr>
        <mc:AlternateContent>
          <mc:Choice Requires="wps">
            <w:drawing>
              <wp:anchor distT="0" distB="0" distL="114300" distR="114300" simplePos="0" relativeHeight="251699200" behindDoc="0" locked="0" layoutInCell="1" allowOverlap="1" wp14:anchorId="6CA38EC4" wp14:editId="59A8D569">
                <wp:simplePos x="0" y="0"/>
                <wp:positionH relativeFrom="column">
                  <wp:posOffset>1671320</wp:posOffset>
                </wp:positionH>
                <wp:positionV relativeFrom="paragraph">
                  <wp:posOffset>768350</wp:posOffset>
                </wp:positionV>
                <wp:extent cx="2374265" cy="249555"/>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555"/>
                        </a:xfrm>
                        <a:prstGeom prst="rect">
                          <a:avLst/>
                        </a:prstGeom>
                        <a:solidFill>
                          <a:schemeClr val="bg1"/>
                        </a:solidFill>
                        <a:ln w="9525">
                          <a:noFill/>
                          <a:miter lim="800000"/>
                          <a:headEnd/>
                          <a:tailEnd/>
                        </a:ln>
                      </wps:spPr>
                      <wps:txbx>
                        <w:txbxContent>
                          <w:p w:rsidR="00EC3764" w:rsidRDefault="00EC3764" w:rsidP="00AF04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6pt;margin-top:60.5pt;width:186.95pt;height:19.6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" fillcolor="white [3212]" stroked="f">
                <v:textbox>
                  <w:txbxContent>
                    <w:p w:rsidR="00EC3764" w:rsidRDefault="00EC3764" w:rsidP="00AF0411"/>
                  </w:txbxContent>
                </v:textbox>
              </v:shape>
            </w:pict>
          </mc:Fallback>
        </mc:AlternateContent>
      </w:r>
    </w:p>
    <w:p w:rsidR="0096391C" w:rsidRDefault="0096391C" w:rsidP="00B91E3E">
      <w:pPr>
        <w:pStyle w:val="Text"/>
        <w:keepNext/>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lastRenderedPageBreak/>
        <w:t>None of the policy options would</w:t>
      </w:r>
      <w:r>
        <w:rPr>
          <w:rFonts w:ascii="Times New Roman" w:hAnsi="Times New Roman"/>
          <w:sz w:val="24"/>
          <w:szCs w:val="24"/>
          <w:lang w:val="en-NZ"/>
        </w:rPr>
        <w:t xml:space="preserve"> impose additional costs on businesses,</w:t>
      </w:r>
      <w:r w:rsidRPr="00DC0C84">
        <w:rPr>
          <w:rFonts w:ascii="Times New Roman" w:hAnsi="Times New Roman"/>
          <w:sz w:val="24"/>
          <w:szCs w:val="24"/>
          <w:lang w:val="en-NZ"/>
        </w:rPr>
        <w:t xml:space="preserve"> impair private property rights, restrict market competition, </w:t>
      </w:r>
      <w:proofErr w:type="gramStart"/>
      <w:r w:rsidRPr="00DC0C84">
        <w:rPr>
          <w:rFonts w:ascii="Times New Roman" w:hAnsi="Times New Roman"/>
          <w:sz w:val="24"/>
          <w:szCs w:val="24"/>
          <w:lang w:val="en-NZ"/>
        </w:rPr>
        <w:t>reduce</w:t>
      </w:r>
      <w:proofErr w:type="gramEnd"/>
      <w:r w:rsidRPr="00DC0C84">
        <w:rPr>
          <w:rFonts w:ascii="Times New Roman" w:hAnsi="Times New Roman"/>
          <w:sz w:val="24"/>
          <w:szCs w:val="24"/>
          <w:lang w:val="en-NZ"/>
        </w:rPr>
        <w:t xml:space="preserve"> the incentives for businesses to innovate and invest, or override fun</w:t>
      </w:r>
      <w:r>
        <w:rPr>
          <w:rFonts w:ascii="Times New Roman" w:hAnsi="Times New Roman"/>
          <w:sz w:val="24"/>
          <w:szCs w:val="24"/>
          <w:lang w:val="en-NZ"/>
        </w:rPr>
        <w:t>damental common law principles.</w:t>
      </w:r>
    </w:p>
    <w:p w:rsidR="0096391C" w:rsidRDefault="0096391C" w:rsidP="00B91E3E">
      <w:pPr>
        <w:pStyle w:val="Text"/>
        <w:keepNext/>
        <w:spacing w:before="0" w:after="0" w:line="240" w:lineRule="auto"/>
        <w:ind w:right="170"/>
        <w:rPr>
          <w:rFonts w:ascii="Times New Roman" w:hAnsi="Times New Roman"/>
          <w:sz w:val="24"/>
          <w:szCs w:val="24"/>
          <w:lang w:val="en-NZ"/>
        </w:rPr>
      </w:pPr>
    </w:p>
    <w:p w:rsidR="0096391C" w:rsidRPr="00DC0C84" w:rsidRDefault="0096391C" w:rsidP="00B91E3E">
      <w:pPr>
        <w:pStyle w:val="Text"/>
        <w:keepNext/>
        <w:spacing w:before="0" w:after="0" w:line="240" w:lineRule="auto"/>
        <w:ind w:right="170"/>
        <w:rPr>
          <w:rFonts w:ascii="Times New Roman" w:hAnsi="Times New Roman"/>
          <w:sz w:val="24"/>
          <w:szCs w:val="24"/>
          <w:lang w:val="en-NZ"/>
        </w:rPr>
      </w:pPr>
    </w:p>
    <w:p w:rsidR="0096391C" w:rsidRDefault="0096391C" w:rsidP="00B91E3E">
      <w:pPr>
        <w:pStyle w:val="Text"/>
        <w:keepNext/>
        <w:spacing w:before="0" w:after="0" w:line="240" w:lineRule="auto"/>
        <w:ind w:right="170"/>
        <w:rPr>
          <w:rFonts w:ascii="Times New Roman" w:hAnsi="Times New Roman"/>
          <w:sz w:val="24"/>
          <w:szCs w:val="24"/>
          <w:lang w:val="en-NZ"/>
        </w:rPr>
      </w:pPr>
    </w:p>
    <w:p w:rsidR="0096391C" w:rsidRDefault="0096391C" w:rsidP="00B91E3E">
      <w:pPr>
        <w:pStyle w:val="Text"/>
        <w:keepNext/>
        <w:spacing w:before="0" w:after="0" w:line="240" w:lineRule="auto"/>
        <w:ind w:right="170"/>
        <w:rPr>
          <w:rFonts w:ascii="Times New Roman" w:hAnsi="Times New Roman"/>
          <w:sz w:val="24"/>
          <w:szCs w:val="24"/>
          <w:lang w:val="en-NZ"/>
        </w:rPr>
      </w:pPr>
    </w:p>
    <w:p w:rsidR="0096391C" w:rsidRPr="00DC0C84" w:rsidRDefault="0096391C" w:rsidP="00B91E3E">
      <w:pPr>
        <w:pStyle w:val="Text"/>
        <w:keepNext/>
        <w:spacing w:before="0" w:after="0" w:line="240" w:lineRule="auto"/>
        <w:ind w:right="170"/>
        <w:rPr>
          <w:rFonts w:ascii="Times New Roman" w:hAnsi="Times New Roman"/>
          <w:sz w:val="24"/>
          <w:szCs w:val="24"/>
          <w:lang w:val="en-NZ"/>
        </w:rPr>
      </w:pPr>
    </w:p>
    <w:p w:rsidR="0096391C" w:rsidRPr="00DC0C84" w:rsidRDefault="0096391C" w:rsidP="0096391C">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Marie Pallot</w:t>
      </w:r>
    </w:p>
    <w:p w:rsidR="0096391C" w:rsidRPr="00DC0C84" w:rsidRDefault="0096391C" w:rsidP="0096391C">
      <w:pPr>
        <w:pStyle w:val="Text"/>
        <w:tabs>
          <w:tab w:val="left" w:pos="567"/>
        </w:tabs>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t>Policy Manager, Policy and Strategy</w:t>
      </w:r>
    </w:p>
    <w:p w:rsidR="0096391C" w:rsidRPr="00DC0C84" w:rsidRDefault="0096391C" w:rsidP="0096391C">
      <w:pPr>
        <w:pStyle w:val="Text"/>
        <w:tabs>
          <w:tab w:val="left" w:pos="567"/>
        </w:tabs>
        <w:spacing w:before="0" w:after="0" w:line="240" w:lineRule="auto"/>
        <w:ind w:right="170"/>
        <w:rPr>
          <w:rFonts w:ascii="Times New Roman" w:hAnsi="Times New Roman"/>
          <w:sz w:val="24"/>
          <w:szCs w:val="24"/>
          <w:lang w:val="en-NZ"/>
        </w:rPr>
      </w:pPr>
      <w:r w:rsidRPr="00DC0C84">
        <w:rPr>
          <w:rFonts w:ascii="Times New Roman" w:hAnsi="Times New Roman"/>
          <w:sz w:val="24"/>
          <w:szCs w:val="24"/>
          <w:lang w:val="en-NZ"/>
        </w:rPr>
        <w:t>Inland Revenue</w:t>
      </w:r>
    </w:p>
    <w:p w:rsidR="0096391C" w:rsidRPr="00DC0C84" w:rsidRDefault="0096391C" w:rsidP="0096391C">
      <w:pPr>
        <w:pStyle w:val="Text"/>
        <w:tabs>
          <w:tab w:val="left" w:pos="567"/>
        </w:tabs>
        <w:spacing w:before="0" w:after="0" w:line="240" w:lineRule="auto"/>
        <w:ind w:right="170"/>
        <w:rPr>
          <w:rFonts w:ascii="Times New Roman" w:hAnsi="Times New Roman"/>
          <w:sz w:val="24"/>
          <w:szCs w:val="24"/>
          <w:lang w:val="en-NZ"/>
        </w:rPr>
      </w:pPr>
    </w:p>
    <w:p w:rsidR="0096391C" w:rsidRPr="00DC0C84" w:rsidRDefault="0096391C" w:rsidP="0096391C">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11 February 2016</w:t>
      </w:r>
    </w:p>
    <w:p w:rsidR="0096391C" w:rsidRPr="00D8013D" w:rsidRDefault="0096391C" w:rsidP="0096391C">
      <w:pPr>
        <w:spacing w:after="0" w:line="240" w:lineRule="auto"/>
        <w:rPr>
          <w:rFonts w:ascii="Verdana" w:hAnsi="Verdana"/>
          <w:sz w:val="20"/>
        </w:rPr>
      </w:pPr>
    </w:p>
    <w:bookmarkEnd w:id="1"/>
    <w:bookmarkEnd w:id="2"/>
    <w:bookmarkEnd w:id="3"/>
    <w:bookmarkEnd w:id="4"/>
    <w:bookmarkEnd w:id="5"/>
    <w:p w:rsidR="000545DC" w:rsidRPr="004342F0" w:rsidRDefault="000545DC" w:rsidP="004342F0">
      <w:pPr>
        <w:pStyle w:val="Text"/>
        <w:tabs>
          <w:tab w:val="left" w:pos="567"/>
        </w:tabs>
        <w:spacing w:before="0" w:after="0" w:line="240" w:lineRule="auto"/>
        <w:ind w:right="170"/>
        <w:rPr>
          <w:rFonts w:ascii="Times New Roman" w:hAnsi="Times New Roman"/>
          <w:sz w:val="24"/>
          <w:szCs w:val="24"/>
          <w:lang w:val="en-NZ"/>
        </w:rPr>
      </w:pPr>
    </w:p>
    <w:bookmarkStart w:id="7" w:name="_Toc244580363"/>
    <w:bookmarkStart w:id="8" w:name="_Toc244587039"/>
    <w:bookmarkStart w:id="9" w:name="_Toc244857273"/>
    <w:bookmarkStart w:id="10" w:name="_Toc244912538"/>
    <w:bookmarkStart w:id="11" w:name="_Toc244916995"/>
    <w:p w:rsidR="000545DC" w:rsidRPr="004342F0" w:rsidRDefault="00AF0411" w:rsidP="00B91E3E">
      <w:pPr>
        <w:pStyle w:val="RISheading"/>
        <w:jc w:val="both"/>
        <w:rPr>
          <w:spacing w:val="0"/>
          <w:w w:val="100"/>
        </w:rPr>
      </w:pPr>
      <w:r w:rsidRPr="00AF0411">
        <w:rPr>
          <w:noProof/>
          <w:lang w:val="en-NZ" w:eastAsia="en-NZ"/>
        </w:rPr>
        <mc:AlternateContent>
          <mc:Choice Requires="wps">
            <w:drawing>
              <wp:anchor distT="0" distB="0" distL="114300" distR="114300" simplePos="0" relativeHeight="251701248" behindDoc="0" locked="0" layoutInCell="1" allowOverlap="1" wp14:anchorId="31480C14" wp14:editId="34042D2A">
                <wp:simplePos x="0" y="0"/>
                <wp:positionH relativeFrom="column">
                  <wp:posOffset>1795145</wp:posOffset>
                </wp:positionH>
                <wp:positionV relativeFrom="paragraph">
                  <wp:posOffset>6729730</wp:posOffset>
                </wp:positionV>
                <wp:extent cx="2374265" cy="24955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555"/>
                        </a:xfrm>
                        <a:prstGeom prst="rect">
                          <a:avLst/>
                        </a:prstGeom>
                        <a:solidFill>
                          <a:schemeClr val="bg1"/>
                        </a:solidFill>
                        <a:ln w="9525">
                          <a:noFill/>
                          <a:miter lim="800000"/>
                          <a:headEnd/>
                          <a:tailEnd/>
                        </a:ln>
                      </wps:spPr>
                      <wps:txbx>
                        <w:txbxContent>
                          <w:p w:rsidR="00EC3764" w:rsidRDefault="00EC3764" w:rsidP="00AF04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41.35pt;margin-top:529.9pt;width:186.95pt;height:19.6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" fillcolor="white [3212]" stroked="f">
                <v:textbox>
                  <w:txbxContent>
                    <w:p w:rsidR="00EC3764" w:rsidRDefault="00EC3764" w:rsidP="00AF0411"/>
                  </w:txbxContent>
                </v:textbox>
              </v:shape>
            </w:pict>
          </mc:Fallback>
        </mc:AlternateContent>
      </w:r>
      <w:r w:rsidR="001C6912" w:rsidRPr="004342F0">
        <w:rPr>
          <w:spacing w:val="0"/>
          <w:w w:val="100"/>
        </w:rPr>
        <w:br w:type="page"/>
      </w:r>
      <w:r w:rsidR="00093451">
        <w:rPr>
          <w:spacing w:val="0"/>
          <w:w w:val="100"/>
        </w:rPr>
        <w:lastRenderedPageBreak/>
        <w:t>INTRODUCTION</w:t>
      </w:r>
      <w:bookmarkEnd w:id="7"/>
      <w:bookmarkEnd w:id="8"/>
      <w:bookmarkEnd w:id="9"/>
      <w:bookmarkEnd w:id="10"/>
      <w:bookmarkEnd w:id="11"/>
    </w:p>
    <w:p w:rsidR="00E26D4B" w:rsidRDefault="00DF560B"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Regulatory Impact Statement </w:t>
      </w:r>
      <w:r w:rsidR="004C53A6">
        <w:rPr>
          <w:rFonts w:ascii="Times New Roman" w:hAnsi="Times New Roman"/>
          <w:sz w:val="24"/>
          <w:szCs w:val="24"/>
        </w:rPr>
        <w:t xml:space="preserve">considers </w:t>
      </w:r>
      <w:r>
        <w:rPr>
          <w:rFonts w:ascii="Times New Roman" w:hAnsi="Times New Roman"/>
          <w:sz w:val="24"/>
          <w:szCs w:val="24"/>
        </w:rPr>
        <w:t xml:space="preserve">four GST-related </w:t>
      </w:r>
      <w:r w:rsidR="00683B49">
        <w:rPr>
          <w:rFonts w:ascii="Times New Roman" w:hAnsi="Times New Roman"/>
          <w:sz w:val="24"/>
          <w:szCs w:val="24"/>
        </w:rPr>
        <w:t>items</w:t>
      </w:r>
      <w:r>
        <w:rPr>
          <w:rFonts w:ascii="Times New Roman" w:hAnsi="Times New Roman"/>
          <w:sz w:val="24"/>
          <w:szCs w:val="24"/>
        </w:rPr>
        <w:t xml:space="preserve">.  </w:t>
      </w:r>
      <w:r w:rsidR="004C53A6">
        <w:rPr>
          <w:rFonts w:ascii="Times New Roman" w:hAnsi="Times New Roman"/>
          <w:sz w:val="24"/>
          <w:szCs w:val="24"/>
        </w:rPr>
        <w:t xml:space="preserve">Although </w:t>
      </w:r>
      <w:r>
        <w:rPr>
          <w:rFonts w:ascii="Times New Roman" w:hAnsi="Times New Roman"/>
          <w:sz w:val="24"/>
          <w:szCs w:val="24"/>
        </w:rPr>
        <w:t xml:space="preserve">each </w:t>
      </w:r>
      <w:r w:rsidR="00683B49">
        <w:rPr>
          <w:rFonts w:ascii="Times New Roman" w:hAnsi="Times New Roman"/>
          <w:sz w:val="24"/>
          <w:szCs w:val="24"/>
        </w:rPr>
        <w:t>item</w:t>
      </w:r>
      <w:r w:rsidR="004C53A6">
        <w:rPr>
          <w:rFonts w:ascii="Times New Roman" w:hAnsi="Times New Roman"/>
          <w:sz w:val="24"/>
          <w:szCs w:val="24"/>
        </w:rPr>
        <w:t xml:space="preserve"> </w:t>
      </w:r>
      <w:r>
        <w:rPr>
          <w:rFonts w:ascii="Times New Roman" w:hAnsi="Times New Roman"/>
          <w:sz w:val="24"/>
          <w:szCs w:val="24"/>
        </w:rPr>
        <w:t>is separate, the</w:t>
      </w:r>
      <w:r w:rsidR="00D45DCB">
        <w:rPr>
          <w:rFonts w:ascii="Times New Roman" w:hAnsi="Times New Roman"/>
          <w:sz w:val="24"/>
          <w:szCs w:val="24"/>
        </w:rPr>
        <w:t>y</w:t>
      </w:r>
      <w:r>
        <w:rPr>
          <w:rFonts w:ascii="Times New Roman" w:hAnsi="Times New Roman"/>
          <w:sz w:val="24"/>
          <w:szCs w:val="24"/>
        </w:rPr>
        <w:t xml:space="preserve"> all occur within the policy framework of GST and the</w:t>
      </w:r>
      <w:r w:rsidR="00D45DCB">
        <w:rPr>
          <w:rFonts w:ascii="Times New Roman" w:hAnsi="Times New Roman"/>
          <w:sz w:val="24"/>
          <w:szCs w:val="24"/>
        </w:rPr>
        <w:t xml:space="preserve"> legislative</w:t>
      </w:r>
      <w:r>
        <w:rPr>
          <w:rFonts w:ascii="Times New Roman" w:hAnsi="Times New Roman"/>
          <w:sz w:val="24"/>
          <w:szCs w:val="24"/>
        </w:rPr>
        <w:t xml:space="preserve"> requirements</w:t>
      </w:r>
      <w:r w:rsidR="00D45DCB">
        <w:rPr>
          <w:rFonts w:ascii="Times New Roman" w:hAnsi="Times New Roman"/>
          <w:sz w:val="24"/>
          <w:szCs w:val="24"/>
        </w:rPr>
        <w:t>, found in the Goods and Services Tax Act 1985 (the “GST Act”),</w:t>
      </w:r>
      <w:r>
        <w:rPr>
          <w:rFonts w:ascii="Times New Roman" w:hAnsi="Times New Roman"/>
          <w:sz w:val="24"/>
          <w:szCs w:val="24"/>
        </w:rPr>
        <w:t xml:space="preserve"> that give effect to this policy</w:t>
      </w:r>
      <w:r w:rsidR="00D45DCB">
        <w:rPr>
          <w:rFonts w:ascii="Times New Roman" w:hAnsi="Times New Roman"/>
          <w:sz w:val="24"/>
          <w:szCs w:val="24"/>
        </w:rPr>
        <w:t>.</w:t>
      </w:r>
    </w:p>
    <w:p w:rsidR="00E26D4B" w:rsidRDefault="00E26D4B" w:rsidP="00B91E3E">
      <w:pPr>
        <w:pStyle w:val="Bullet-list"/>
        <w:spacing w:after="0" w:line="240" w:lineRule="auto"/>
        <w:ind w:left="0" w:firstLine="0"/>
        <w:jc w:val="both"/>
        <w:rPr>
          <w:rFonts w:ascii="Times New Roman" w:hAnsi="Times New Roman"/>
          <w:sz w:val="24"/>
          <w:szCs w:val="24"/>
        </w:rPr>
      </w:pPr>
    </w:p>
    <w:p w:rsidR="00BB78FA" w:rsidRPr="009C149F" w:rsidRDefault="0095023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w:t>
      </w:r>
      <w:r w:rsidR="00AD604C">
        <w:rPr>
          <w:rFonts w:ascii="Times New Roman" w:hAnsi="Times New Roman"/>
          <w:sz w:val="24"/>
          <w:szCs w:val="24"/>
        </w:rPr>
        <w:t xml:space="preserve">hese </w:t>
      </w:r>
      <w:r w:rsidR="00683B49">
        <w:rPr>
          <w:rFonts w:ascii="Times New Roman" w:hAnsi="Times New Roman"/>
          <w:sz w:val="24"/>
          <w:szCs w:val="24"/>
        </w:rPr>
        <w:t>items</w:t>
      </w:r>
      <w:r>
        <w:rPr>
          <w:rFonts w:ascii="Times New Roman" w:hAnsi="Times New Roman"/>
          <w:sz w:val="24"/>
          <w:szCs w:val="24"/>
        </w:rPr>
        <w:t xml:space="preserve"> </w:t>
      </w:r>
      <w:r w:rsidR="00AD604C">
        <w:rPr>
          <w:rFonts w:ascii="Times New Roman" w:hAnsi="Times New Roman"/>
          <w:sz w:val="24"/>
          <w:szCs w:val="24"/>
        </w:rPr>
        <w:t>were</w:t>
      </w:r>
      <w:r>
        <w:rPr>
          <w:rFonts w:ascii="Times New Roman" w:hAnsi="Times New Roman"/>
          <w:sz w:val="24"/>
          <w:szCs w:val="24"/>
        </w:rPr>
        <w:t xml:space="preserve"> the subject of public consultation </w:t>
      </w:r>
      <w:r w:rsidR="00BA68D0">
        <w:rPr>
          <w:rFonts w:ascii="Times New Roman" w:hAnsi="Times New Roman"/>
          <w:sz w:val="24"/>
          <w:szCs w:val="24"/>
        </w:rPr>
        <w:t>(</w:t>
      </w:r>
      <w:r w:rsidR="00AD604C">
        <w:rPr>
          <w:rFonts w:ascii="Times New Roman" w:hAnsi="Times New Roman"/>
          <w:sz w:val="24"/>
          <w:szCs w:val="24"/>
        </w:rPr>
        <w:t xml:space="preserve">in the officials’ issues paper </w:t>
      </w:r>
      <w:r w:rsidR="00AD604C">
        <w:rPr>
          <w:rFonts w:ascii="Times New Roman" w:hAnsi="Times New Roman"/>
          <w:i/>
          <w:sz w:val="24"/>
          <w:szCs w:val="24"/>
        </w:rPr>
        <w:t>GST Current Issues</w:t>
      </w:r>
      <w:r w:rsidRPr="00B91E3E">
        <w:rPr>
          <w:rFonts w:ascii="Times New Roman" w:hAnsi="Times New Roman"/>
          <w:sz w:val="24"/>
          <w:szCs w:val="24"/>
        </w:rPr>
        <w:t xml:space="preserve"> which was released on 17 September 2015</w:t>
      </w:r>
      <w:r w:rsidR="00BA68D0">
        <w:rPr>
          <w:rFonts w:ascii="Times New Roman" w:hAnsi="Times New Roman"/>
          <w:sz w:val="24"/>
          <w:szCs w:val="24"/>
        </w:rPr>
        <w:t>)</w:t>
      </w:r>
      <w:r>
        <w:rPr>
          <w:rFonts w:ascii="Times New Roman" w:hAnsi="Times New Roman"/>
          <w:sz w:val="24"/>
          <w:szCs w:val="24"/>
        </w:rPr>
        <w:t>.</w:t>
      </w:r>
      <w:r w:rsidR="00BB78FA">
        <w:rPr>
          <w:rFonts w:ascii="Times New Roman" w:hAnsi="Times New Roman"/>
          <w:sz w:val="24"/>
          <w:szCs w:val="24"/>
        </w:rPr>
        <w:t xml:space="preserve">  </w:t>
      </w:r>
      <w:r w:rsidR="00BB78FA" w:rsidRPr="009C149F">
        <w:rPr>
          <w:rFonts w:ascii="Times New Roman" w:hAnsi="Times New Roman"/>
          <w:sz w:val="24"/>
          <w:szCs w:val="24"/>
        </w:rPr>
        <w:t>14 submissions were received</w:t>
      </w:r>
      <w:r w:rsidR="00BB78FA">
        <w:rPr>
          <w:rFonts w:ascii="Times New Roman" w:hAnsi="Times New Roman"/>
          <w:sz w:val="24"/>
          <w:szCs w:val="24"/>
        </w:rPr>
        <w:t xml:space="preserve">.  </w:t>
      </w:r>
      <w:r w:rsidR="00BB78FA" w:rsidRPr="009C149F">
        <w:rPr>
          <w:rFonts w:ascii="Times New Roman" w:hAnsi="Times New Roman"/>
          <w:sz w:val="24"/>
          <w:szCs w:val="24"/>
        </w:rPr>
        <w:t>Most submitters were industry associations or professional firms.</w:t>
      </w:r>
    </w:p>
    <w:p w:rsidR="00950235" w:rsidRDefault="00950235" w:rsidP="00B91E3E">
      <w:pPr>
        <w:pStyle w:val="ListParagraph"/>
        <w:rPr>
          <w:rFonts w:ascii="Times New Roman" w:hAnsi="Times New Roman"/>
          <w:sz w:val="24"/>
          <w:szCs w:val="24"/>
        </w:rPr>
      </w:pPr>
    </w:p>
    <w:p w:rsidR="00950235" w:rsidRPr="00B91E3E" w:rsidRDefault="00683B49"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The items were:</w:t>
      </w:r>
    </w:p>
    <w:p w:rsidR="00683B49" w:rsidRPr="00B91E3E" w:rsidRDefault="00683B49" w:rsidP="00B91E3E">
      <w:pPr>
        <w:pStyle w:val="Bullet-list"/>
        <w:numPr>
          <w:ilvl w:val="0"/>
          <w:numId w:val="14"/>
        </w:numPr>
        <w:spacing w:before="120" w:after="0" w:line="240" w:lineRule="auto"/>
        <w:ind w:left="714" w:hanging="357"/>
        <w:jc w:val="both"/>
        <w:rPr>
          <w:rFonts w:ascii="Times New Roman" w:hAnsi="Times New Roman"/>
          <w:sz w:val="24"/>
          <w:szCs w:val="24"/>
        </w:rPr>
      </w:pPr>
      <w:r w:rsidRPr="00B91E3E">
        <w:rPr>
          <w:rFonts w:ascii="Times New Roman" w:hAnsi="Times New Roman"/>
          <w:sz w:val="24"/>
          <w:szCs w:val="24"/>
        </w:rPr>
        <w:t>To enable businesses to recover GST on costs incurred to raise capital to fund their taxable business activities;</w:t>
      </w:r>
    </w:p>
    <w:p w:rsidR="00683B49" w:rsidRPr="00B91E3E" w:rsidRDefault="00683B49" w:rsidP="00B91E3E">
      <w:pPr>
        <w:pStyle w:val="Bullet-list"/>
        <w:numPr>
          <w:ilvl w:val="0"/>
          <w:numId w:val="14"/>
        </w:numPr>
        <w:spacing w:before="120" w:after="0" w:line="240" w:lineRule="auto"/>
        <w:ind w:left="714" w:hanging="357"/>
        <w:jc w:val="both"/>
        <w:rPr>
          <w:rFonts w:ascii="Times New Roman" w:hAnsi="Times New Roman"/>
          <w:sz w:val="24"/>
          <w:szCs w:val="24"/>
        </w:rPr>
      </w:pPr>
      <w:r w:rsidRPr="00B91E3E">
        <w:rPr>
          <w:rFonts w:ascii="Times New Roman" w:hAnsi="Times New Roman"/>
          <w:sz w:val="24"/>
          <w:szCs w:val="24"/>
        </w:rPr>
        <w:t>To address high compliance costs experienced by large, partially exempt, businesses (such as retirement villages) in calculating the GST they can recover;</w:t>
      </w:r>
    </w:p>
    <w:p w:rsidR="00683B49" w:rsidRPr="00B91E3E" w:rsidRDefault="00683B49" w:rsidP="00B91E3E">
      <w:pPr>
        <w:pStyle w:val="Bullet-list"/>
        <w:numPr>
          <w:ilvl w:val="0"/>
          <w:numId w:val="14"/>
        </w:numPr>
        <w:spacing w:before="120" w:after="0" w:line="240" w:lineRule="auto"/>
        <w:ind w:left="714" w:hanging="357"/>
        <w:jc w:val="both"/>
        <w:rPr>
          <w:rFonts w:ascii="Times New Roman" w:hAnsi="Times New Roman"/>
          <w:sz w:val="24"/>
          <w:szCs w:val="24"/>
        </w:rPr>
      </w:pPr>
      <w:r w:rsidRPr="00B91E3E">
        <w:rPr>
          <w:rFonts w:ascii="Times New Roman" w:hAnsi="Times New Roman"/>
          <w:sz w:val="24"/>
          <w:szCs w:val="24"/>
        </w:rPr>
        <w:t>To enable businesses acquiring secondhand goods composed of gold, silver or platinum to claim deductions for embedded GST; and</w:t>
      </w:r>
    </w:p>
    <w:p w:rsidR="00683B49" w:rsidRPr="00732A15" w:rsidRDefault="00683B49" w:rsidP="00B91E3E">
      <w:pPr>
        <w:pStyle w:val="Bullet-list"/>
        <w:numPr>
          <w:ilvl w:val="0"/>
          <w:numId w:val="14"/>
        </w:numPr>
        <w:spacing w:before="120" w:after="0" w:line="240" w:lineRule="auto"/>
        <w:ind w:left="714" w:hanging="357"/>
        <w:jc w:val="both"/>
        <w:rPr>
          <w:rFonts w:ascii="Times New Roman" w:hAnsi="Times New Roman"/>
          <w:sz w:val="24"/>
          <w:szCs w:val="24"/>
        </w:rPr>
      </w:pPr>
      <w:r w:rsidRPr="00B91E3E">
        <w:rPr>
          <w:rFonts w:ascii="Times New Roman" w:hAnsi="Times New Roman"/>
          <w:sz w:val="24"/>
          <w:szCs w:val="24"/>
        </w:rPr>
        <w:t>To amend the tests for when services closely connected with land are treated as consumed in New Zealand, and therefore subject to GST, with the international approach.</w:t>
      </w:r>
    </w:p>
    <w:p w:rsidR="00950235" w:rsidRDefault="00950235" w:rsidP="00B91E3E">
      <w:pPr>
        <w:pStyle w:val="Bullet-list"/>
        <w:spacing w:after="0" w:line="240" w:lineRule="auto"/>
        <w:jc w:val="both"/>
        <w:rPr>
          <w:rFonts w:ascii="Times New Roman" w:hAnsi="Times New Roman"/>
          <w:sz w:val="24"/>
          <w:szCs w:val="24"/>
        </w:rPr>
      </w:pPr>
    </w:p>
    <w:p w:rsidR="00950235" w:rsidRDefault="0095023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Analysis of each </w:t>
      </w:r>
      <w:r w:rsidR="00683B49">
        <w:rPr>
          <w:rFonts w:ascii="Times New Roman" w:hAnsi="Times New Roman"/>
          <w:sz w:val="24"/>
          <w:szCs w:val="24"/>
        </w:rPr>
        <w:t>item</w:t>
      </w:r>
      <w:r>
        <w:rPr>
          <w:rFonts w:ascii="Times New Roman" w:hAnsi="Times New Roman"/>
          <w:sz w:val="24"/>
          <w:szCs w:val="24"/>
        </w:rPr>
        <w:t xml:space="preserve"> follows the following format:</w:t>
      </w:r>
    </w:p>
    <w:p w:rsidR="00AD604C" w:rsidRPr="009C149F" w:rsidRDefault="00AD604C" w:rsidP="00B91E3E">
      <w:pPr>
        <w:pStyle w:val="Bullet-list"/>
        <w:numPr>
          <w:ilvl w:val="1"/>
          <w:numId w:val="14"/>
        </w:numPr>
        <w:spacing w:before="120" w:after="0" w:line="240" w:lineRule="auto"/>
        <w:ind w:left="1066" w:hanging="357"/>
        <w:jc w:val="both"/>
        <w:rPr>
          <w:rFonts w:ascii="Times New Roman" w:hAnsi="Times New Roman"/>
          <w:sz w:val="24"/>
          <w:szCs w:val="24"/>
        </w:rPr>
      </w:pPr>
      <w:r w:rsidRPr="009C149F">
        <w:rPr>
          <w:rFonts w:ascii="Times New Roman" w:hAnsi="Times New Roman"/>
          <w:sz w:val="24"/>
          <w:szCs w:val="24"/>
        </w:rPr>
        <w:t>Status quo and problem definition</w:t>
      </w:r>
    </w:p>
    <w:p w:rsidR="00AD604C" w:rsidRPr="008C0280" w:rsidRDefault="00950235" w:rsidP="00B91E3E">
      <w:pPr>
        <w:pStyle w:val="Bullet-list"/>
        <w:numPr>
          <w:ilvl w:val="1"/>
          <w:numId w:val="14"/>
        </w:numPr>
        <w:spacing w:before="120" w:after="0" w:line="240" w:lineRule="auto"/>
        <w:ind w:left="1066" w:hanging="357"/>
        <w:jc w:val="both"/>
        <w:rPr>
          <w:rFonts w:ascii="Times New Roman" w:hAnsi="Times New Roman"/>
          <w:sz w:val="24"/>
          <w:szCs w:val="24"/>
        </w:rPr>
      </w:pPr>
      <w:r>
        <w:rPr>
          <w:rFonts w:ascii="Times New Roman" w:hAnsi="Times New Roman"/>
          <w:sz w:val="24"/>
          <w:szCs w:val="24"/>
        </w:rPr>
        <w:t>K</w:t>
      </w:r>
      <w:r w:rsidR="00AD604C" w:rsidRPr="008C0280">
        <w:rPr>
          <w:rFonts w:ascii="Times New Roman" w:hAnsi="Times New Roman"/>
          <w:sz w:val="24"/>
          <w:szCs w:val="24"/>
        </w:rPr>
        <w:t xml:space="preserve">ey objectives for the </w:t>
      </w:r>
      <w:r w:rsidR="00683B49">
        <w:rPr>
          <w:rFonts w:ascii="Times New Roman" w:hAnsi="Times New Roman"/>
          <w:sz w:val="24"/>
          <w:szCs w:val="24"/>
        </w:rPr>
        <w:t>item</w:t>
      </w:r>
    </w:p>
    <w:p w:rsidR="00AD604C" w:rsidRPr="008C0280" w:rsidRDefault="00AD604C" w:rsidP="00B91E3E">
      <w:pPr>
        <w:pStyle w:val="Bullet-list"/>
        <w:numPr>
          <w:ilvl w:val="1"/>
          <w:numId w:val="14"/>
        </w:numPr>
        <w:spacing w:before="120" w:after="0" w:line="240" w:lineRule="auto"/>
        <w:ind w:left="1066" w:hanging="357"/>
        <w:jc w:val="both"/>
        <w:rPr>
          <w:rFonts w:ascii="Times New Roman" w:hAnsi="Times New Roman"/>
          <w:sz w:val="24"/>
          <w:szCs w:val="24"/>
        </w:rPr>
      </w:pPr>
      <w:r w:rsidRPr="008C0280">
        <w:rPr>
          <w:rFonts w:ascii="Times New Roman" w:hAnsi="Times New Roman"/>
          <w:sz w:val="24"/>
          <w:szCs w:val="24"/>
        </w:rPr>
        <w:t>Regulatory impact analysis</w:t>
      </w:r>
      <w:r w:rsidR="00950235">
        <w:rPr>
          <w:rFonts w:ascii="Times New Roman" w:hAnsi="Times New Roman"/>
          <w:sz w:val="24"/>
          <w:szCs w:val="24"/>
        </w:rPr>
        <w:t xml:space="preserve"> – assessment against the stated objectives</w:t>
      </w:r>
    </w:p>
    <w:p w:rsidR="00AD604C" w:rsidRPr="008C0280" w:rsidRDefault="00AD604C" w:rsidP="00B91E3E">
      <w:pPr>
        <w:pStyle w:val="Bullet-list"/>
        <w:numPr>
          <w:ilvl w:val="1"/>
          <w:numId w:val="14"/>
        </w:numPr>
        <w:spacing w:before="120" w:after="0" w:line="240" w:lineRule="auto"/>
        <w:ind w:left="1066" w:hanging="357"/>
        <w:jc w:val="both"/>
        <w:rPr>
          <w:rFonts w:ascii="Times New Roman" w:hAnsi="Times New Roman"/>
          <w:sz w:val="24"/>
          <w:szCs w:val="24"/>
        </w:rPr>
      </w:pPr>
      <w:r w:rsidRPr="008C0280">
        <w:rPr>
          <w:rFonts w:ascii="Times New Roman" w:hAnsi="Times New Roman"/>
          <w:sz w:val="24"/>
          <w:szCs w:val="24"/>
        </w:rPr>
        <w:t>Consultation</w:t>
      </w:r>
      <w:r w:rsidR="00950235">
        <w:rPr>
          <w:rFonts w:ascii="Times New Roman" w:hAnsi="Times New Roman"/>
          <w:sz w:val="24"/>
          <w:szCs w:val="24"/>
        </w:rPr>
        <w:t xml:space="preserve"> – how feedback from consultation sha</w:t>
      </w:r>
      <w:r w:rsidR="00ED0D31">
        <w:rPr>
          <w:rFonts w:ascii="Times New Roman" w:hAnsi="Times New Roman"/>
          <w:sz w:val="24"/>
          <w:szCs w:val="24"/>
        </w:rPr>
        <w:t>p</w:t>
      </w:r>
      <w:r w:rsidR="00950235">
        <w:rPr>
          <w:rFonts w:ascii="Times New Roman" w:hAnsi="Times New Roman"/>
          <w:sz w:val="24"/>
          <w:szCs w:val="24"/>
        </w:rPr>
        <w:t xml:space="preserve">ed the analysis of the </w:t>
      </w:r>
      <w:r w:rsidR="00683B49">
        <w:rPr>
          <w:rFonts w:ascii="Times New Roman" w:hAnsi="Times New Roman"/>
          <w:sz w:val="24"/>
          <w:szCs w:val="24"/>
        </w:rPr>
        <w:t>item</w:t>
      </w:r>
    </w:p>
    <w:p w:rsidR="00AD604C" w:rsidRPr="008C0280" w:rsidRDefault="00AD604C" w:rsidP="00B91E3E">
      <w:pPr>
        <w:pStyle w:val="Bullet-list"/>
        <w:numPr>
          <w:ilvl w:val="1"/>
          <w:numId w:val="14"/>
        </w:numPr>
        <w:spacing w:before="120" w:after="0" w:line="240" w:lineRule="auto"/>
        <w:ind w:left="1066" w:hanging="357"/>
        <w:jc w:val="both"/>
        <w:rPr>
          <w:rFonts w:ascii="Times New Roman" w:hAnsi="Times New Roman"/>
          <w:sz w:val="24"/>
          <w:szCs w:val="24"/>
        </w:rPr>
      </w:pPr>
      <w:r w:rsidRPr="008C0280">
        <w:rPr>
          <w:rFonts w:ascii="Times New Roman" w:hAnsi="Times New Roman"/>
          <w:sz w:val="24"/>
          <w:szCs w:val="24"/>
        </w:rPr>
        <w:t>Conclusion</w:t>
      </w:r>
      <w:r w:rsidR="00950235">
        <w:rPr>
          <w:rFonts w:ascii="Times New Roman" w:hAnsi="Times New Roman"/>
          <w:sz w:val="24"/>
          <w:szCs w:val="24"/>
        </w:rPr>
        <w:t xml:space="preserve"> – officials preferred option</w:t>
      </w:r>
    </w:p>
    <w:p w:rsidR="009C58B0" w:rsidRDefault="009C58B0" w:rsidP="00B91E3E">
      <w:pPr>
        <w:pStyle w:val="Bullet-list"/>
        <w:spacing w:after="0" w:line="240" w:lineRule="auto"/>
        <w:ind w:left="0" w:firstLine="0"/>
        <w:jc w:val="both"/>
        <w:rPr>
          <w:rFonts w:ascii="Times New Roman" w:hAnsi="Times New Roman"/>
          <w:sz w:val="24"/>
          <w:szCs w:val="24"/>
        </w:rPr>
      </w:pPr>
    </w:p>
    <w:p w:rsidR="00145E63" w:rsidRDefault="00950235" w:rsidP="00B91E3E">
      <w:pPr>
        <w:pStyle w:val="RISheading"/>
        <w:spacing w:before="0" w:after="0"/>
        <w:jc w:val="both"/>
      </w:pPr>
      <w:r w:rsidRPr="00B91E3E">
        <w:rPr>
          <w:spacing w:val="0"/>
          <w:w w:val="100"/>
        </w:rPr>
        <w:t>GST policy and law</w:t>
      </w:r>
    </w:p>
    <w:p w:rsidR="009C58B0" w:rsidRPr="00B91E3E" w:rsidRDefault="009C58B0" w:rsidP="00B91E3E">
      <w:pPr>
        <w:pStyle w:val="RISheading"/>
        <w:spacing w:before="0" w:after="0"/>
        <w:jc w:val="both"/>
        <w:rPr>
          <w:b w:val="0"/>
        </w:rPr>
      </w:pPr>
    </w:p>
    <w:p w:rsidR="001B7540" w:rsidRDefault="0065677E"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Goods and Services Tax (GST) is a tax </w:t>
      </w:r>
      <w:r w:rsidR="008B165F">
        <w:rPr>
          <w:rFonts w:ascii="Times New Roman" w:hAnsi="Times New Roman"/>
          <w:sz w:val="24"/>
          <w:szCs w:val="24"/>
        </w:rPr>
        <w:t xml:space="preserve">on consumption.  </w:t>
      </w:r>
      <w:r w:rsidR="001B7540">
        <w:rPr>
          <w:rFonts w:ascii="Times New Roman" w:hAnsi="Times New Roman"/>
          <w:sz w:val="24"/>
          <w:szCs w:val="24"/>
        </w:rPr>
        <w:t xml:space="preserve">GST is imposed according to the destination principle – that is, that goods and services </w:t>
      </w:r>
      <w:r w:rsidR="00510966">
        <w:rPr>
          <w:rFonts w:ascii="Times New Roman" w:hAnsi="Times New Roman"/>
          <w:sz w:val="24"/>
          <w:szCs w:val="24"/>
        </w:rPr>
        <w:t xml:space="preserve">should </w:t>
      </w:r>
      <w:r w:rsidR="001B7540">
        <w:rPr>
          <w:rFonts w:ascii="Times New Roman" w:hAnsi="Times New Roman"/>
          <w:sz w:val="24"/>
          <w:szCs w:val="24"/>
        </w:rPr>
        <w:t>be taxed in the jurisdiction in which they are consumed.  This results in most supplies of goods and services in New Zealand, as well as imports, being charged with GST.  Conversely, exports are not charged with GST.</w:t>
      </w:r>
    </w:p>
    <w:p w:rsidR="001B7540" w:rsidRDefault="001B7540" w:rsidP="00B91E3E">
      <w:pPr>
        <w:pStyle w:val="Bullet-list"/>
        <w:spacing w:after="0" w:line="240" w:lineRule="auto"/>
        <w:ind w:left="0" w:firstLine="0"/>
        <w:jc w:val="both"/>
        <w:rPr>
          <w:rFonts w:ascii="Times New Roman" w:hAnsi="Times New Roman"/>
          <w:sz w:val="24"/>
          <w:szCs w:val="24"/>
        </w:rPr>
      </w:pPr>
    </w:p>
    <w:p w:rsidR="00C80EDB" w:rsidRDefault="00C80EDB" w:rsidP="00B91E3E">
      <w:pPr>
        <w:pStyle w:val="Bullet-list"/>
        <w:spacing w:after="0" w:line="240" w:lineRule="auto"/>
        <w:jc w:val="both"/>
        <w:rPr>
          <w:rFonts w:ascii="Times New Roman" w:hAnsi="Times New Roman"/>
          <w:sz w:val="24"/>
          <w:szCs w:val="24"/>
        </w:rPr>
      </w:pPr>
      <w:r w:rsidRPr="00C80EDB">
        <w:rPr>
          <w:rFonts w:ascii="Times New Roman" w:hAnsi="Times New Roman"/>
          <w:sz w:val="24"/>
          <w:szCs w:val="24"/>
        </w:rPr>
        <w:t>Consistent</w:t>
      </w:r>
      <w:r w:rsidR="00510966">
        <w:rPr>
          <w:rFonts w:ascii="Times New Roman" w:hAnsi="Times New Roman"/>
          <w:sz w:val="24"/>
          <w:szCs w:val="24"/>
        </w:rPr>
        <w:t>ly</w:t>
      </w:r>
      <w:r w:rsidRPr="00C80EDB">
        <w:rPr>
          <w:rFonts w:ascii="Times New Roman" w:hAnsi="Times New Roman"/>
          <w:sz w:val="24"/>
          <w:szCs w:val="24"/>
        </w:rPr>
        <w:t xml:space="preserve"> with New Zealand’s general tax policy settings, GST is imposed at a single rate (15%), across a broad base of goods and services.  This </w:t>
      </w:r>
      <w:r w:rsidR="00BA68D0">
        <w:rPr>
          <w:rFonts w:ascii="Times New Roman" w:hAnsi="Times New Roman"/>
          <w:sz w:val="24"/>
          <w:szCs w:val="24"/>
        </w:rPr>
        <w:t>broad-based single-rate approach</w:t>
      </w:r>
      <w:r w:rsidR="00BA68D0" w:rsidRPr="00C80EDB">
        <w:rPr>
          <w:rFonts w:ascii="Times New Roman" w:hAnsi="Times New Roman"/>
          <w:sz w:val="24"/>
          <w:szCs w:val="24"/>
        </w:rPr>
        <w:t xml:space="preserve"> </w:t>
      </w:r>
      <w:r w:rsidRPr="00C80EDB">
        <w:rPr>
          <w:rFonts w:ascii="Times New Roman" w:hAnsi="Times New Roman"/>
          <w:sz w:val="24"/>
          <w:szCs w:val="24"/>
        </w:rPr>
        <w:t xml:space="preserve">is intended to distort </w:t>
      </w:r>
      <w:r w:rsidR="00510966">
        <w:rPr>
          <w:rFonts w:ascii="Times New Roman" w:hAnsi="Times New Roman"/>
          <w:sz w:val="24"/>
          <w:szCs w:val="24"/>
        </w:rPr>
        <w:t xml:space="preserve">suppliers’, and </w:t>
      </w:r>
      <w:r w:rsidRPr="00C80EDB">
        <w:rPr>
          <w:rFonts w:ascii="Times New Roman" w:hAnsi="Times New Roman"/>
          <w:sz w:val="24"/>
          <w:szCs w:val="24"/>
        </w:rPr>
        <w:t>purchasers’ preferences as little as possible.</w:t>
      </w:r>
    </w:p>
    <w:p w:rsidR="00E0388D" w:rsidRPr="00E0388D" w:rsidRDefault="00E0388D" w:rsidP="00B91E3E">
      <w:pPr>
        <w:pStyle w:val="Bullet-list"/>
        <w:spacing w:after="0" w:line="240" w:lineRule="auto"/>
        <w:jc w:val="both"/>
        <w:rPr>
          <w:rFonts w:ascii="Times New Roman" w:hAnsi="Times New Roman"/>
          <w:i/>
          <w:sz w:val="24"/>
          <w:szCs w:val="24"/>
        </w:rPr>
      </w:pPr>
      <w:r>
        <w:rPr>
          <w:rFonts w:ascii="Times New Roman" w:hAnsi="Times New Roman"/>
          <w:i/>
          <w:sz w:val="24"/>
          <w:szCs w:val="24"/>
        </w:rPr>
        <w:t>Tax on consumption</w:t>
      </w:r>
    </w:p>
    <w:p w:rsidR="00E0388D" w:rsidRDefault="00E0388D" w:rsidP="00B91E3E">
      <w:pPr>
        <w:pStyle w:val="Bullet-list"/>
        <w:spacing w:after="0" w:line="240" w:lineRule="auto"/>
        <w:jc w:val="both"/>
        <w:rPr>
          <w:rFonts w:ascii="Times New Roman" w:hAnsi="Times New Roman"/>
          <w:sz w:val="24"/>
          <w:szCs w:val="24"/>
        </w:rPr>
      </w:pPr>
    </w:p>
    <w:p w:rsidR="0065677E" w:rsidRDefault="001B7540"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Although </w:t>
      </w:r>
      <w:r w:rsidR="00BA68D0">
        <w:rPr>
          <w:rFonts w:ascii="Times New Roman" w:hAnsi="Times New Roman"/>
          <w:sz w:val="24"/>
          <w:szCs w:val="24"/>
        </w:rPr>
        <w:t>GST is a tax on consumption</w:t>
      </w:r>
      <w:r>
        <w:rPr>
          <w:rFonts w:ascii="Times New Roman" w:hAnsi="Times New Roman"/>
          <w:sz w:val="24"/>
          <w:szCs w:val="24"/>
        </w:rPr>
        <w:t xml:space="preserve">, it </w:t>
      </w:r>
      <w:r w:rsidR="0065677E">
        <w:rPr>
          <w:rFonts w:ascii="Times New Roman" w:hAnsi="Times New Roman"/>
          <w:sz w:val="24"/>
          <w:szCs w:val="24"/>
        </w:rPr>
        <w:t xml:space="preserve">is imposed on </w:t>
      </w:r>
      <w:r w:rsidR="00C80EDB">
        <w:rPr>
          <w:rFonts w:ascii="Times New Roman" w:hAnsi="Times New Roman"/>
          <w:sz w:val="24"/>
          <w:szCs w:val="24"/>
        </w:rPr>
        <w:t>all supplies</w:t>
      </w:r>
      <w:r w:rsidR="00BA68D0">
        <w:rPr>
          <w:rFonts w:ascii="Times New Roman" w:hAnsi="Times New Roman"/>
          <w:sz w:val="24"/>
          <w:szCs w:val="24"/>
        </w:rPr>
        <w:t xml:space="preserve"> and</w:t>
      </w:r>
      <w:r w:rsidR="00C80EDB">
        <w:rPr>
          <w:rFonts w:ascii="Times New Roman" w:hAnsi="Times New Roman"/>
          <w:sz w:val="24"/>
          <w:szCs w:val="24"/>
        </w:rPr>
        <w:t xml:space="preserve"> not just supplies to consumers.</w:t>
      </w:r>
      <w:r w:rsidR="0065677E">
        <w:rPr>
          <w:rFonts w:ascii="Times New Roman" w:hAnsi="Times New Roman"/>
          <w:sz w:val="24"/>
          <w:szCs w:val="24"/>
        </w:rPr>
        <w:t xml:space="preserve">  </w:t>
      </w:r>
      <w:r w:rsidR="00C80EDB">
        <w:rPr>
          <w:rFonts w:ascii="Times New Roman" w:hAnsi="Times New Roman"/>
          <w:sz w:val="24"/>
          <w:szCs w:val="24"/>
        </w:rPr>
        <w:t xml:space="preserve">To ensure that </w:t>
      </w:r>
      <w:r w:rsidR="00BA68D0">
        <w:rPr>
          <w:rFonts w:ascii="Times New Roman" w:hAnsi="Times New Roman"/>
          <w:sz w:val="24"/>
          <w:szCs w:val="24"/>
        </w:rPr>
        <w:t>GST does not accumulate at each step of a supply chain</w:t>
      </w:r>
      <w:r w:rsidR="00C80EDB">
        <w:rPr>
          <w:rFonts w:ascii="Times New Roman" w:hAnsi="Times New Roman"/>
          <w:sz w:val="24"/>
          <w:szCs w:val="24"/>
        </w:rPr>
        <w:t>, b</w:t>
      </w:r>
      <w:r w:rsidR="0065677E">
        <w:rPr>
          <w:rFonts w:ascii="Times New Roman" w:hAnsi="Times New Roman"/>
          <w:sz w:val="24"/>
          <w:szCs w:val="24"/>
        </w:rPr>
        <w:t xml:space="preserve">usinesses are able to recover the GST incurred on goods or services they purchase (via </w:t>
      </w:r>
      <w:r>
        <w:rPr>
          <w:rFonts w:ascii="Times New Roman" w:hAnsi="Times New Roman"/>
          <w:sz w:val="24"/>
          <w:szCs w:val="24"/>
        </w:rPr>
        <w:t>“</w:t>
      </w:r>
      <w:r w:rsidR="0065677E">
        <w:rPr>
          <w:rFonts w:ascii="Times New Roman" w:hAnsi="Times New Roman"/>
          <w:sz w:val="24"/>
          <w:szCs w:val="24"/>
        </w:rPr>
        <w:t>input tax deductions</w:t>
      </w:r>
      <w:r w:rsidR="00A20A04">
        <w:rPr>
          <w:rFonts w:ascii="Times New Roman" w:hAnsi="Times New Roman"/>
          <w:sz w:val="24"/>
          <w:szCs w:val="24"/>
        </w:rPr>
        <w:t>”</w:t>
      </w:r>
      <w:r w:rsidR="0065677E">
        <w:rPr>
          <w:rFonts w:ascii="Times New Roman" w:hAnsi="Times New Roman"/>
          <w:sz w:val="24"/>
          <w:szCs w:val="24"/>
        </w:rPr>
        <w:t xml:space="preserve">), where they use those goods and services to make </w:t>
      </w:r>
      <w:r w:rsidR="0064303D">
        <w:rPr>
          <w:rFonts w:ascii="Times New Roman" w:hAnsi="Times New Roman"/>
          <w:sz w:val="24"/>
          <w:szCs w:val="24"/>
        </w:rPr>
        <w:t xml:space="preserve">taxable </w:t>
      </w:r>
      <w:r w:rsidR="0065677E">
        <w:rPr>
          <w:rFonts w:ascii="Times New Roman" w:hAnsi="Times New Roman"/>
          <w:sz w:val="24"/>
          <w:szCs w:val="24"/>
        </w:rPr>
        <w:t xml:space="preserve">supplies.  </w:t>
      </w:r>
      <w:r w:rsidR="00A20A04">
        <w:rPr>
          <w:rFonts w:ascii="Times New Roman" w:hAnsi="Times New Roman"/>
          <w:sz w:val="24"/>
          <w:szCs w:val="24"/>
        </w:rPr>
        <w:t xml:space="preserve">Input tax deductions are set off against the amount of GST that the business is required to pay on their own supplies of goods and services.  If input tax deductions exceed the tax to pay, they are refunded to the business.  </w:t>
      </w:r>
      <w:r w:rsidR="0065677E">
        <w:rPr>
          <w:rFonts w:ascii="Times New Roman" w:hAnsi="Times New Roman"/>
          <w:sz w:val="24"/>
          <w:szCs w:val="24"/>
        </w:rPr>
        <w:t>This</w:t>
      </w:r>
      <w:r w:rsidR="008B165F">
        <w:rPr>
          <w:rFonts w:ascii="Times New Roman" w:hAnsi="Times New Roman"/>
          <w:sz w:val="24"/>
          <w:szCs w:val="24"/>
        </w:rPr>
        <w:t xml:space="preserve"> “credit-invoice” mechanism</w:t>
      </w:r>
      <w:r w:rsidR="0065677E">
        <w:rPr>
          <w:rFonts w:ascii="Times New Roman" w:hAnsi="Times New Roman"/>
          <w:sz w:val="24"/>
          <w:szCs w:val="24"/>
        </w:rPr>
        <w:t xml:space="preserve"> ensures that GST is not a cost to business, </w:t>
      </w:r>
      <w:r w:rsidR="0064303D">
        <w:rPr>
          <w:rFonts w:ascii="Times New Roman" w:hAnsi="Times New Roman"/>
          <w:sz w:val="24"/>
          <w:szCs w:val="24"/>
        </w:rPr>
        <w:t>and</w:t>
      </w:r>
      <w:r w:rsidR="00AE68BD">
        <w:rPr>
          <w:rFonts w:ascii="Times New Roman" w:hAnsi="Times New Roman"/>
          <w:sz w:val="24"/>
          <w:szCs w:val="24"/>
        </w:rPr>
        <w:t xml:space="preserve"> is </w:t>
      </w:r>
      <w:r w:rsidR="0064303D">
        <w:rPr>
          <w:rFonts w:ascii="Times New Roman" w:hAnsi="Times New Roman"/>
          <w:sz w:val="24"/>
          <w:szCs w:val="24"/>
        </w:rPr>
        <w:t xml:space="preserve">only </w:t>
      </w:r>
      <w:r w:rsidR="00AE68BD">
        <w:rPr>
          <w:rFonts w:ascii="Times New Roman" w:hAnsi="Times New Roman"/>
          <w:sz w:val="24"/>
          <w:szCs w:val="24"/>
        </w:rPr>
        <w:t>imposed once on consumption</w:t>
      </w:r>
      <w:r w:rsidR="0065677E">
        <w:rPr>
          <w:rFonts w:ascii="Times New Roman" w:hAnsi="Times New Roman"/>
          <w:sz w:val="24"/>
          <w:szCs w:val="24"/>
        </w:rPr>
        <w:t>.</w:t>
      </w:r>
    </w:p>
    <w:p w:rsidR="00C80EDB" w:rsidRPr="008B165F" w:rsidRDefault="00C80EDB" w:rsidP="00B91E3E">
      <w:pPr>
        <w:pStyle w:val="Bullet-list"/>
        <w:spacing w:after="0" w:line="240" w:lineRule="auto"/>
        <w:ind w:left="0" w:firstLine="0"/>
        <w:jc w:val="both"/>
        <w:rPr>
          <w:rFonts w:ascii="Times New Roman" w:hAnsi="Times New Roman"/>
          <w:sz w:val="24"/>
          <w:szCs w:val="24"/>
        </w:rPr>
      </w:pPr>
    </w:p>
    <w:p w:rsidR="00C80EDB" w:rsidRDefault="00C80EDB"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An exception to this approach exists for some supplies (exempt supplies) which are not taxed when supplied by the business</w:t>
      </w:r>
      <w:r w:rsidR="00A20A04">
        <w:rPr>
          <w:rFonts w:ascii="Times New Roman" w:hAnsi="Times New Roman"/>
          <w:sz w:val="24"/>
          <w:szCs w:val="24"/>
        </w:rPr>
        <w:t xml:space="preserve"> and are</w:t>
      </w:r>
      <w:r>
        <w:rPr>
          <w:rFonts w:ascii="Times New Roman" w:hAnsi="Times New Roman"/>
          <w:sz w:val="24"/>
          <w:szCs w:val="24"/>
        </w:rPr>
        <w:t xml:space="preserve"> instead taxed by preventing the business making the exempt supply from claiming input tax deductions.  </w:t>
      </w:r>
      <w:r w:rsidR="00A20A04">
        <w:rPr>
          <w:rFonts w:ascii="Times New Roman" w:hAnsi="Times New Roman"/>
          <w:sz w:val="24"/>
          <w:szCs w:val="24"/>
        </w:rPr>
        <w:t>T</w:t>
      </w:r>
      <w:r>
        <w:rPr>
          <w:rFonts w:ascii="Times New Roman" w:hAnsi="Times New Roman"/>
          <w:sz w:val="24"/>
          <w:szCs w:val="24"/>
        </w:rPr>
        <w:t>his option typica</w:t>
      </w:r>
      <w:r w:rsidR="00323393">
        <w:rPr>
          <w:rFonts w:ascii="Times New Roman" w:hAnsi="Times New Roman"/>
          <w:sz w:val="24"/>
          <w:szCs w:val="24"/>
        </w:rPr>
        <w:t>lly will not tax the full value of consumption</w:t>
      </w:r>
      <w:r>
        <w:rPr>
          <w:rFonts w:ascii="Times New Roman" w:hAnsi="Times New Roman"/>
          <w:sz w:val="24"/>
          <w:szCs w:val="24"/>
        </w:rPr>
        <w:t xml:space="preserve"> and is t</w:t>
      </w:r>
      <w:r w:rsidR="0064303D">
        <w:rPr>
          <w:rFonts w:ascii="Times New Roman" w:hAnsi="Times New Roman"/>
          <w:sz w:val="24"/>
          <w:szCs w:val="24"/>
        </w:rPr>
        <w:t>herefore the second-best option</w:t>
      </w:r>
      <w:r>
        <w:rPr>
          <w:rFonts w:ascii="Times New Roman" w:hAnsi="Times New Roman"/>
          <w:sz w:val="24"/>
          <w:szCs w:val="24"/>
        </w:rPr>
        <w:t xml:space="preserve"> from a theoretical point of view</w:t>
      </w:r>
      <w:r w:rsidR="00A20A04">
        <w:rPr>
          <w:rFonts w:ascii="Times New Roman" w:hAnsi="Times New Roman"/>
          <w:sz w:val="24"/>
          <w:szCs w:val="24"/>
        </w:rPr>
        <w:t>.</w:t>
      </w:r>
      <w:r>
        <w:rPr>
          <w:rFonts w:ascii="Times New Roman" w:hAnsi="Times New Roman"/>
          <w:sz w:val="24"/>
          <w:szCs w:val="24"/>
        </w:rPr>
        <w:t xml:space="preserve"> </w:t>
      </w:r>
      <w:r w:rsidR="00A20A04">
        <w:rPr>
          <w:rFonts w:ascii="Times New Roman" w:hAnsi="Times New Roman"/>
          <w:sz w:val="24"/>
          <w:szCs w:val="24"/>
        </w:rPr>
        <w:t xml:space="preserve"> I</w:t>
      </w:r>
      <w:r>
        <w:rPr>
          <w:rFonts w:ascii="Times New Roman" w:hAnsi="Times New Roman"/>
          <w:sz w:val="24"/>
          <w:szCs w:val="24"/>
        </w:rPr>
        <w:t xml:space="preserve">n practice it is used where </w:t>
      </w:r>
      <w:r w:rsidR="001B7540">
        <w:rPr>
          <w:rFonts w:ascii="Times New Roman" w:hAnsi="Times New Roman"/>
          <w:sz w:val="24"/>
          <w:szCs w:val="24"/>
        </w:rPr>
        <w:t xml:space="preserve">difficulties </w:t>
      </w:r>
      <w:r>
        <w:rPr>
          <w:rFonts w:ascii="Times New Roman" w:hAnsi="Times New Roman"/>
          <w:sz w:val="24"/>
          <w:szCs w:val="24"/>
        </w:rPr>
        <w:t xml:space="preserve">valuing the consumption or other practical considerations mean that taxing </w:t>
      </w:r>
      <w:r w:rsidR="0064303D">
        <w:rPr>
          <w:rFonts w:ascii="Times New Roman" w:hAnsi="Times New Roman"/>
          <w:sz w:val="24"/>
          <w:szCs w:val="24"/>
        </w:rPr>
        <w:t>the consumption is not feasible</w:t>
      </w:r>
      <w:r>
        <w:rPr>
          <w:rFonts w:ascii="Times New Roman" w:hAnsi="Times New Roman"/>
          <w:sz w:val="24"/>
          <w:szCs w:val="24"/>
        </w:rPr>
        <w:t xml:space="preserve"> and input tax deduction denial is the best practical option.</w:t>
      </w:r>
    </w:p>
    <w:p w:rsidR="00AE68BD" w:rsidRDefault="00AE68BD" w:rsidP="009C149F">
      <w:pPr>
        <w:pStyle w:val="ListParagraph"/>
        <w:rPr>
          <w:rFonts w:ascii="Times New Roman" w:hAnsi="Times New Roman"/>
          <w:sz w:val="24"/>
          <w:szCs w:val="24"/>
        </w:rPr>
      </w:pPr>
    </w:p>
    <w:p w:rsidR="00135453" w:rsidRDefault="00AE68BD"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Input tax deductions are also allowed for secondhand goods acquired by a business, from a person who does not charge GST on that supply (for example, because they are a consumer).  Although the supplier does n</w:t>
      </w:r>
      <w:r w:rsidR="000D3508">
        <w:rPr>
          <w:rFonts w:ascii="Times New Roman" w:hAnsi="Times New Roman"/>
          <w:sz w:val="24"/>
          <w:szCs w:val="24"/>
        </w:rPr>
        <w:t xml:space="preserve">ot charge GST, they will </w:t>
      </w:r>
      <w:r w:rsidR="008B165F">
        <w:rPr>
          <w:rFonts w:ascii="Times New Roman" w:hAnsi="Times New Roman"/>
          <w:sz w:val="24"/>
          <w:szCs w:val="24"/>
        </w:rPr>
        <w:t xml:space="preserve">have </w:t>
      </w:r>
      <w:r w:rsidR="000D3508">
        <w:rPr>
          <w:rFonts w:ascii="Times New Roman" w:hAnsi="Times New Roman"/>
          <w:sz w:val="24"/>
          <w:szCs w:val="24"/>
        </w:rPr>
        <w:t>incur</w:t>
      </w:r>
      <w:r w:rsidR="008B165F">
        <w:rPr>
          <w:rFonts w:ascii="Times New Roman" w:hAnsi="Times New Roman"/>
          <w:sz w:val="24"/>
          <w:szCs w:val="24"/>
        </w:rPr>
        <w:t>red</w:t>
      </w:r>
      <w:r>
        <w:rPr>
          <w:rFonts w:ascii="Times New Roman" w:hAnsi="Times New Roman"/>
          <w:sz w:val="24"/>
          <w:szCs w:val="24"/>
        </w:rPr>
        <w:t xml:space="preserve"> GST when they purchased the good, which they </w:t>
      </w:r>
      <w:r w:rsidR="008B165F">
        <w:rPr>
          <w:rFonts w:ascii="Times New Roman" w:hAnsi="Times New Roman"/>
          <w:sz w:val="24"/>
          <w:szCs w:val="24"/>
        </w:rPr>
        <w:t xml:space="preserve">could </w:t>
      </w:r>
      <w:r>
        <w:rPr>
          <w:rFonts w:ascii="Times New Roman" w:hAnsi="Times New Roman"/>
          <w:sz w:val="24"/>
          <w:szCs w:val="24"/>
        </w:rPr>
        <w:t>not recover.</w:t>
      </w:r>
      <w:r w:rsidR="00135453">
        <w:rPr>
          <w:rFonts w:ascii="Times New Roman" w:hAnsi="Times New Roman"/>
          <w:sz w:val="24"/>
          <w:szCs w:val="24"/>
        </w:rPr>
        <w:t xml:space="preserve"> </w:t>
      </w:r>
      <w:r w:rsidR="00135453" w:rsidRPr="00135453">
        <w:rPr>
          <w:rFonts w:ascii="Times New Roman" w:hAnsi="Times New Roman"/>
          <w:sz w:val="24"/>
          <w:szCs w:val="24"/>
        </w:rPr>
        <w:t xml:space="preserve"> </w:t>
      </w:r>
      <w:r w:rsidR="00135453" w:rsidRPr="00FF4E55">
        <w:rPr>
          <w:rFonts w:ascii="Times New Roman" w:hAnsi="Times New Roman"/>
          <w:sz w:val="24"/>
          <w:szCs w:val="24"/>
        </w:rPr>
        <w:t>The input tax deduction recognises the consumption of the goods has already been taxed, and that GST is implicitly embedded in the purchase price.</w:t>
      </w:r>
    </w:p>
    <w:p w:rsidR="00135453" w:rsidRDefault="00135453" w:rsidP="009C149F">
      <w:pPr>
        <w:pStyle w:val="ListParagraph"/>
        <w:rPr>
          <w:rFonts w:ascii="Times New Roman" w:hAnsi="Times New Roman"/>
          <w:sz w:val="24"/>
          <w:szCs w:val="24"/>
        </w:rPr>
      </w:pPr>
    </w:p>
    <w:p w:rsidR="00135453" w:rsidRPr="00F51496" w:rsidRDefault="0013545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F51496">
        <w:rPr>
          <w:rFonts w:ascii="Times New Roman" w:hAnsi="Times New Roman"/>
          <w:sz w:val="24"/>
          <w:szCs w:val="24"/>
        </w:rPr>
        <w:t>In the absence of this rule, secondhand goods could be subject to taxation multiple times – by being taxed when they are first supplied, and taxed again</w:t>
      </w:r>
      <w:r w:rsidR="00A20A04">
        <w:rPr>
          <w:rFonts w:ascii="Times New Roman" w:hAnsi="Times New Roman"/>
          <w:sz w:val="24"/>
          <w:szCs w:val="24"/>
        </w:rPr>
        <w:t xml:space="preserve"> if they are later repurchased and resold by a GST-registered business</w:t>
      </w:r>
      <w:r w:rsidRPr="00F51496">
        <w:rPr>
          <w:rFonts w:ascii="Times New Roman" w:hAnsi="Times New Roman"/>
          <w:sz w:val="24"/>
          <w:szCs w:val="24"/>
        </w:rPr>
        <w:t xml:space="preserve">.  </w:t>
      </w:r>
      <w:r>
        <w:rPr>
          <w:rFonts w:ascii="Times New Roman" w:hAnsi="Times New Roman"/>
          <w:sz w:val="24"/>
          <w:szCs w:val="24"/>
        </w:rPr>
        <w:t>The secondhand goods input tax deduction ensures that only additional value added is taxed.</w:t>
      </w:r>
    </w:p>
    <w:p w:rsidR="008B165F" w:rsidRDefault="008B165F" w:rsidP="00B91E3E">
      <w:pPr>
        <w:pStyle w:val="Bullet-list"/>
        <w:spacing w:after="0" w:line="240" w:lineRule="auto"/>
        <w:ind w:left="0" w:firstLine="0"/>
        <w:jc w:val="both"/>
        <w:rPr>
          <w:rFonts w:ascii="Times New Roman" w:hAnsi="Times New Roman"/>
          <w:sz w:val="24"/>
          <w:szCs w:val="24"/>
        </w:rPr>
      </w:pPr>
    </w:p>
    <w:p w:rsidR="00E0388D" w:rsidRPr="00E0388D" w:rsidRDefault="00E0388D" w:rsidP="00B91E3E">
      <w:pPr>
        <w:pStyle w:val="Bullet-list"/>
        <w:spacing w:after="0" w:line="240" w:lineRule="auto"/>
        <w:ind w:left="0" w:firstLine="0"/>
        <w:jc w:val="both"/>
        <w:rPr>
          <w:rFonts w:ascii="Times New Roman" w:hAnsi="Times New Roman"/>
          <w:i/>
          <w:sz w:val="24"/>
          <w:szCs w:val="24"/>
        </w:rPr>
      </w:pPr>
      <w:r>
        <w:rPr>
          <w:rFonts w:ascii="Times New Roman" w:hAnsi="Times New Roman"/>
          <w:i/>
          <w:sz w:val="24"/>
          <w:szCs w:val="24"/>
        </w:rPr>
        <w:t>Consumption in New Zealand</w:t>
      </w:r>
    </w:p>
    <w:p w:rsidR="00E0388D" w:rsidRPr="008B165F" w:rsidRDefault="00E0388D" w:rsidP="00B91E3E">
      <w:pPr>
        <w:pStyle w:val="Bullet-list"/>
        <w:spacing w:after="0" w:line="240" w:lineRule="auto"/>
        <w:ind w:left="0" w:firstLine="0"/>
        <w:jc w:val="both"/>
        <w:rPr>
          <w:rFonts w:ascii="Times New Roman" w:hAnsi="Times New Roman"/>
          <w:sz w:val="24"/>
          <w:szCs w:val="24"/>
        </w:rPr>
      </w:pPr>
    </w:p>
    <w:p w:rsidR="00A20A04" w:rsidRDefault="00510966"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An</w:t>
      </w:r>
      <w:r w:rsidR="00A20A04">
        <w:rPr>
          <w:rFonts w:ascii="Times New Roman" w:hAnsi="Times New Roman"/>
          <w:sz w:val="24"/>
          <w:szCs w:val="24"/>
        </w:rPr>
        <w:t xml:space="preserve">other key criterion for goods and services to be taxable is that they be consumed in New Zealand.  </w:t>
      </w:r>
      <w:r w:rsidR="00C60A70">
        <w:rPr>
          <w:rFonts w:ascii="Times New Roman" w:hAnsi="Times New Roman"/>
          <w:sz w:val="24"/>
          <w:szCs w:val="24"/>
        </w:rPr>
        <w:t>A number of legislative rules apply to determine whether goods or services are consumed in New Zealand</w:t>
      </w:r>
      <w:r w:rsidR="00A20A04">
        <w:rPr>
          <w:rFonts w:ascii="Times New Roman" w:hAnsi="Times New Roman"/>
          <w:sz w:val="24"/>
          <w:szCs w:val="24"/>
        </w:rPr>
        <w:t xml:space="preserve"> or outside New Ze</w:t>
      </w:r>
      <w:r w:rsidR="007C4A4C">
        <w:rPr>
          <w:rFonts w:ascii="Times New Roman" w:hAnsi="Times New Roman"/>
          <w:sz w:val="24"/>
          <w:szCs w:val="24"/>
        </w:rPr>
        <w:t>a</w:t>
      </w:r>
      <w:r w:rsidR="00A20A04">
        <w:rPr>
          <w:rFonts w:ascii="Times New Roman" w:hAnsi="Times New Roman"/>
          <w:sz w:val="24"/>
          <w:szCs w:val="24"/>
        </w:rPr>
        <w:t>land</w:t>
      </w:r>
      <w:r w:rsidR="00C60A70">
        <w:rPr>
          <w:rFonts w:ascii="Times New Roman" w:hAnsi="Times New Roman"/>
          <w:sz w:val="24"/>
          <w:szCs w:val="24"/>
        </w:rPr>
        <w:t xml:space="preserve">.  </w:t>
      </w:r>
      <w:r w:rsidR="00E0388D">
        <w:rPr>
          <w:rFonts w:ascii="Times New Roman" w:hAnsi="Times New Roman"/>
          <w:sz w:val="24"/>
          <w:szCs w:val="24"/>
        </w:rPr>
        <w:t xml:space="preserve">In practice the residency and location of the recipient </w:t>
      </w:r>
      <w:r w:rsidR="00DB7F73">
        <w:rPr>
          <w:rFonts w:ascii="Times New Roman" w:hAnsi="Times New Roman"/>
          <w:sz w:val="24"/>
          <w:szCs w:val="24"/>
        </w:rPr>
        <w:t>are</w:t>
      </w:r>
      <w:r w:rsidR="00E0388D">
        <w:rPr>
          <w:rFonts w:ascii="Times New Roman" w:hAnsi="Times New Roman"/>
          <w:sz w:val="24"/>
          <w:szCs w:val="24"/>
        </w:rPr>
        <w:t xml:space="preserve"> used to determine whether services are consumed in New Zealand or not, as well as the nature of the service.</w:t>
      </w:r>
    </w:p>
    <w:p w:rsidR="00A20A04" w:rsidRDefault="00A20A04" w:rsidP="00B91E3E">
      <w:pPr>
        <w:pStyle w:val="Bullet-list"/>
        <w:spacing w:after="0" w:line="240" w:lineRule="auto"/>
        <w:ind w:left="0" w:firstLine="0"/>
        <w:jc w:val="both"/>
        <w:rPr>
          <w:rFonts w:ascii="Times New Roman" w:hAnsi="Times New Roman"/>
          <w:sz w:val="24"/>
          <w:szCs w:val="24"/>
        </w:rPr>
      </w:pPr>
    </w:p>
    <w:p w:rsidR="00233C1F" w:rsidRDefault="00C60A70"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E55BC">
        <w:rPr>
          <w:rFonts w:ascii="Times New Roman" w:hAnsi="Times New Roman"/>
          <w:sz w:val="24"/>
        </w:rPr>
        <w:t>Services that are physically performed in New Zealand are generally subject to GST, as they are typically consumed in New Zealand.</w:t>
      </w:r>
      <w:r w:rsidR="00233C1F">
        <w:rPr>
          <w:rFonts w:ascii="Times New Roman" w:hAnsi="Times New Roman"/>
          <w:sz w:val="24"/>
        </w:rPr>
        <w:t xml:space="preserve"> </w:t>
      </w:r>
      <w:r w:rsidRPr="005E55BC">
        <w:rPr>
          <w:rFonts w:ascii="Times New Roman" w:hAnsi="Times New Roman"/>
          <w:sz w:val="24"/>
        </w:rPr>
        <w:t xml:space="preserve"> Under the new place of supply rules proposed in the </w:t>
      </w:r>
      <w:r w:rsidRPr="005E55BC">
        <w:rPr>
          <w:rFonts w:ascii="Times New Roman" w:hAnsi="Times New Roman"/>
          <w:i/>
          <w:sz w:val="24"/>
        </w:rPr>
        <w:t>Taxation (Residential Land Withholding Tax, GST on Online Services, and Student Loans) Bill,</w:t>
      </w:r>
      <w:r w:rsidRPr="005E55BC">
        <w:rPr>
          <w:rFonts w:ascii="Times New Roman" w:hAnsi="Times New Roman"/>
          <w:sz w:val="24"/>
        </w:rPr>
        <w:t xml:space="preserve"> GST will also apply to </w:t>
      </w:r>
      <w:r w:rsidR="00510966">
        <w:rPr>
          <w:rFonts w:ascii="Times New Roman" w:hAnsi="Times New Roman"/>
          <w:sz w:val="24"/>
        </w:rPr>
        <w:t>“</w:t>
      </w:r>
      <w:r w:rsidRPr="005E55BC">
        <w:rPr>
          <w:rFonts w:ascii="Times New Roman" w:hAnsi="Times New Roman"/>
          <w:sz w:val="24"/>
        </w:rPr>
        <w:t>remote</w:t>
      </w:r>
      <w:r w:rsidR="00510966">
        <w:rPr>
          <w:rFonts w:ascii="Times New Roman" w:hAnsi="Times New Roman"/>
          <w:sz w:val="24"/>
        </w:rPr>
        <w:t>”</w:t>
      </w:r>
      <w:r w:rsidRPr="005E55BC">
        <w:rPr>
          <w:rFonts w:ascii="Times New Roman" w:hAnsi="Times New Roman"/>
          <w:sz w:val="24"/>
        </w:rPr>
        <w:t xml:space="preserve"> services </w:t>
      </w:r>
      <w:r w:rsidRPr="005E55BC">
        <w:rPr>
          <w:rFonts w:ascii="Times New Roman" w:hAnsi="Times New Roman"/>
          <w:sz w:val="24"/>
          <w:szCs w:val="24"/>
        </w:rPr>
        <w:t xml:space="preserve">(where the supplier and purchaser are </w:t>
      </w:r>
      <w:r w:rsidR="00233C1F">
        <w:rPr>
          <w:rFonts w:ascii="Times New Roman" w:hAnsi="Times New Roman"/>
          <w:sz w:val="24"/>
          <w:szCs w:val="24"/>
        </w:rPr>
        <w:t xml:space="preserve">not </w:t>
      </w:r>
      <w:r w:rsidRPr="005E55BC">
        <w:rPr>
          <w:rFonts w:ascii="Times New Roman" w:hAnsi="Times New Roman"/>
          <w:sz w:val="24"/>
          <w:szCs w:val="24"/>
        </w:rPr>
        <w:t>required to be in the same place for the services to be performed)</w:t>
      </w:r>
      <w:r w:rsidRPr="005E55BC">
        <w:rPr>
          <w:rFonts w:ascii="Times New Roman" w:hAnsi="Times New Roman"/>
          <w:sz w:val="24"/>
        </w:rPr>
        <w:t xml:space="preserve"> that are performed outside New Zealand, if they are supplied to a New Zealand-resident consumer.</w:t>
      </w:r>
    </w:p>
    <w:p w:rsidR="00233C1F" w:rsidRDefault="00233C1F" w:rsidP="00B91E3E">
      <w:pPr>
        <w:pStyle w:val="ListParagraph"/>
        <w:rPr>
          <w:rFonts w:ascii="Times New Roman" w:hAnsi="Times New Roman"/>
          <w:sz w:val="24"/>
          <w:szCs w:val="24"/>
        </w:rPr>
      </w:pPr>
    </w:p>
    <w:p w:rsidR="007977BA" w:rsidRDefault="00E0388D"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233C1F">
        <w:rPr>
          <w:rFonts w:ascii="Times New Roman" w:hAnsi="Times New Roman"/>
          <w:sz w:val="24"/>
          <w:szCs w:val="24"/>
        </w:rPr>
        <w:t xml:space="preserve">In contrast, supplies of services to non-residents </w:t>
      </w:r>
      <w:r w:rsidR="00A20A04" w:rsidRPr="00233C1F">
        <w:rPr>
          <w:rFonts w:ascii="Times New Roman" w:hAnsi="Times New Roman"/>
          <w:sz w:val="24"/>
          <w:szCs w:val="24"/>
        </w:rPr>
        <w:t xml:space="preserve">outside New Zealand </w:t>
      </w:r>
      <w:r w:rsidRPr="00233C1F">
        <w:rPr>
          <w:rFonts w:ascii="Times New Roman" w:hAnsi="Times New Roman"/>
          <w:sz w:val="24"/>
          <w:szCs w:val="24"/>
        </w:rPr>
        <w:t>will typically not be taxed</w:t>
      </w:r>
      <w:r w:rsidR="007977BA" w:rsidRPr="00233C1F">
        <w:rPr>
          <w:rFonts w:ascii="Times New Roman" w:hAnsi="Times New Roman"/>
          <w:sz w:val="24"/>
          <w:szCs w:val="24"/>
        </w:rPr>
        <w:t>.</w:t>
      </w:r>
      <w:r w:rsidR="00233C1F">
        <w:rPr>
          <w:rFonts w:ascii="Times New Roman" w:hAnsi="Times New Roman"/>
          <w:sz w:val="24"/>
          <w:szCs w:val="24"/>
        </w:rPr>
        <w:t xml:space="preserve">  </w:t>
      </w:r>
      <w:r w:rsidR="007977BA">
        <w:rPr>
          <w:rFonts w:ascii="Times New Roman" w:hAnsi="Times New Roman"/>
          <w:sz w:val="24"/>
          <w:szCs w:val="24"/>
        </w:rPr>
        <w:t xml:space="preserve">To give effect to this policy of not taxing exported services, the services may be “zero-rated”.  The supplier </w:t>
      </w:r>
      <w:r w:rsidR="00DB7F73">
        <w:rPr>
          <w:rFonts w:ascii="Times New Roman" w:hAnsi="Times New Roman"/>
          <w:sz w:val="24"/>
          <w:szCs w:val="24"/>
        </w:rPr>
        <w:t>is</w:t>
      </w:r>
      <w:r w:rsidR="007977BA">
        <w:rPr>
          <w:rFonts w:ascii="Times New Roman" w:hAnsi="Times New Roman"/>
          <w:sz w:val="24"/>
          <w:szCs w:val="24"/>
        </w:rPr>
        <w:t xml:space="preserve"> able to claim input tax deductions for the GST they incur in making the supply, but they will not be required to return GST.  This ensures that</w:t>
      </w:r>
      <w:r w:rsidR="00510966">
        <w:rPr>
          <w:rFonts w:ascii="Times New Roman" w:hAnsi="Times New Roman"/>
          <w:sz w:val="24"/>
          <w:szCs w:val="24"/>
        </w:rPr>
        <w:t>, for registered businesses,</w:t>
      </w:r>
      <w:r w:rsidR="007977BA">
        <w:rPr>
          <w:rFonts w:ascii="Times New Roman" w:hAnsi="Times New Roman"/>
          <w:sz w:val="24"/>
          <w:szCs w:val="24"/>
        </w:rPr>
        <w:t xml:space="preserve"> the supply is not taxed, nor is there GST implicitly embedded in the price.</w:t>
      </w:r>
    </w:p>
    <w:p w:rsidR="001B7540" w:rsidRDefault="001B7540" w:rsidP="00B91E3E">
      <w:pPr>
        <w:pStyle w:val="Bullet-list"/>
        <w:spacing w:after="0" w:line="240" w:lineRule="auto"/>
        <w:ind w:left="0" w:firstLine="0"/>
        <w:jc w:val="both"/>
        <w:rPr>
          <w:rFonts w:ascii="Times New Roman" w:hAnsi="Times New Roman"/>
          <w:sz w:val="24"/>
          <w:szCs w:val="24"/>
        </w:rPr>
      </w:pPr>
    </w:p>
    <w:p w:rsidR="0038564C" w:rsidRDefault="00D943DD" w:rsidP="00B91E3E">
      <w:pPr>
        <w:pStyle w:val="RISheading"/>
        <w:jc w:val="both"/>
        <w:rPr>
          <w:spacing w:val="0"/>
          <w:w w:val="100"/>
        </w:rPr>
      </w:pPr>
      <w:bookmarkStart w:id="12" w:name="_Toc244580364"/>
      <w:bookmarkStart w:id="13" w:name="_Toc244587040"/>
      <w:bookmarkStart w:id="14" w:name="_Toc244857274"/>
      <w:bookmarkStart w:id="15" w:name="_Toc244912539"/>
      <w:bookmarkStart w:id="16" w:name="_Toc244916996"/>
      <w:r w:rsidRPr="004342F0">
        <w:rPr>
          <w:spacing w:val="0"/>
          <w:w w:val="100"/>
        </w:rPr>
        <w:t>OBJECTIVES</w:t>
      </w:r>
      <w:bookmarkEnd w:id="12"/>
      <w:bookmarkEnd w:id="13"/>
      <w:bookmarkEnd w:id="14"/>
      <w:bookmarkEnd w:id="15"/>
      <w:bookmarkEnd w:id="16"/>
    </w:p>
    <w:p w:rsidR="00BB78FA" w:rsidRDefault="007F0718"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1D4719">
        <w:rPr>
          <w:rFonts w:ascii="Times New Roman" w:hAnsi="Times New Roman"/>
          <w:sz w:val="24"/>
          <w:szCs w:val="24"/>
        </w:rPr>
        <w:t>The</w:t>
      </w:r>
      <w:r w:rsidR="00950235">
        <w:rPr>
          <w:rFonts w:ascii="Times New Roman" w:hAnsi="Times New Roman"/>
          <w:sz w:val="24"/>
          <w:szCs w:val="24"/>
        </w:rPr>
        <w:t xml:space="preserve"> </w:t>
      </w:r>
      <w:r w:rsidR="00BB78FA">
        <w:rPr>
          <w:rFonts w:ascii="Times New Roman" w:hAnsi="Times New Roman"/>
          <w:sz w:val="24"/>
          <w:szCs w:val="24"/>
        </w:rPr>
        <w:t>overarching</w:t>
      </w:r>
      <w:r w:rsidRPr="001D4719">
        <w:rPr>
          <w:rFonts w:ascii="Times New Roman" w:hAnsi="Times New Roman"/>
          <w:sz w:val="24"/>
          <w:szCs w:val="24"/>
        </w:rPr>
        <w:t xml:space="preserve"> </w:t>
      </w:r>
      <w:r w:rsidR="00BB78FA">
        <w:rPr>
          <w:rFonts w:ascii="Times New Roman" w:hAnsi="Times New Roman"/>
          <w:sz w:val="24"/>
          <w:szCs w:val="24"/>
        </w:rPr>
        <w:t>goal is</w:t>
      </w:r>
      <w:r w:rsidRPr="001D4719">
        <w:rPr>
          <w:rFonts w:ascii="Times New Roman" w:hAnsi="Times New Roman"/>
          <w:sz w:val="24"/>
          <w:szCs w:val="24"/>
        </w:rPr>
        <w:t xml:space="preserve"> to ensure that GST continues to meet its policy objectives of being a broad-based tax </w:t>
      </w:r>
      <w:r w:rsidR="005033C2" w:rsidRPr="001D4719">
        <w:rPr>
          <w:rFonts w:ascii="Times New Roman" w:hAnsi="Times New Roman"/>
          <w:sz w:val="24"/>
          <w:szCs w:val="24"/>
        </w:rPr>
        <w:t>on consumption in New Zealand.</w:t>
      </w:r>
    </w:p>
    <w:p w:rsidR="00BB78FA" w:rsidRDefault="00BB78FA" w:rsidP="00B91E3E">
      <w:pPr>
        <w:pStyle w:val="Bullet-list"/>
        <w:tabs>
          <w:tab w:val="num" w:pos="786"/>
        </w:tabs>
        <w:spacing w:after="0" w:line="240" w:lineRule="auto"/>
        <w:ind w:left="0" w:firstLine="0"/>
        <w:jc w:val="both"/>
        <w:rPr>
          <w:rFonts w:ascii="Times New Roman" w:hAnsi="Times New Roman"/>
          <w:sz w:val="24"/>
          <w:szCs w:val="24"/>
        </w:rPr>
      </w:pPr>
    </w:p>
    <w:p w:rsidR="0055763E" w:rsidRPr="001D4719" w:rsidRDefault="007F0718"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1D4719">
        <w:rPr>
          <w:rFonts w:ascii="Times New Roman" w:hAnsi="Times New Roman"/>
          <w:sz w:val="24"/>
          <w:szCs w:val="24"/>
        </w:rPr>
        <w:t>T</w:t>
      </w:r>
      <w:r w:rsidR="0055763E" w:rsidRPr="001D4719">
        <w:rPr>
          <w:rFonts w:ascii="Times New Roman" w:hAnsi="Times New Roman"/>
          <w:sz w:val="24"/>
          <w:szCs w:val="24"/>
        </w:rPr>
        <w:t>he</w:t>
      </w:r>
      <w:r w:rsidRPr="001D4719">
        <w:rPr>
          <w:rFonts w:ascii="Times New Roman" w:hAnsi="Times New Roman"/>
          <w:sz w:val="24"/>
          <w:szCs w:val="24"/>
        </w:rPr>
        <w:t xml:space="preserve"> </w:t>
      </w:r>
      <w:r w:rsidR="0055763E" w:rsidRPr="001D4719">
        <w:rPr>
          <w:rFonts w:ascii="Times New Roman" w:hAnsi="Times New Roman"/>
          <w:sz w:val="24"/>
          <w:szCs w:val="24"/>
        </w:rPr>
        <w:t xml:space="preserve">objectives against which the options </w:t>
      </w:r>
      <w:r w:rsidR="00BB78FA">
        <w:rPr>
          <w:rFonts w:ascii="Times New Roman" w:hAnsi="Times New Roman"/>
          <w:sz w:val="24"/>
          <w:szCs w:val="24"/>
        </w:rPr>
        <w:t xml:space="preserve">for each </w:t>
      </w:r>
      <w:r w:rsidR="00683B49">
        <w:rPr>
          <w:rFonts w:ascii="Times New Roman" w:hAnsi="Times New Roman"/>
          <w:sz w:val="24"/>
          <w:szCs w:val="24"/>
        </w:rPr>
        <w:t>item</w:t>
      </w:r>
      <w:r w:rsidR="00BB78FA">
        <w:rPr>
          <w:rFonts w:ascii="Times New Roman" w:hAnsi="Times New Roman"/>
          <w:sz w:val="24"/>
          <w:szCs w:val="24"/>
        </w:rPr>
        <w:t xml:space="preserve"> </w:t>
      </w:r>
      <w:r w:rsidR="0055763E" w:rsidRPr="001D4719">
        <w:rPr>
          <w:rFonts w:ascii="Times New Roman" w:hAnsi="Times New Roman"/>
          <w:sz w:val="24"/>
          <w:szCs w:val="24"/>
        </w:rPr>
        <w:t>are to be assessed</w:t>
      </w:r>
      <w:r w:rsidR="005033C2" w:rsidRPr="001D4719">
        <w:rPr>
          <w:rFonts w:ascii="Times New Roman" w:hAnsi="Times New Roman"/>
          <w:sz w:val="24"/>
          <w:szCs w:val="24"/>
        </w:rPr>
        <w:t xml:space="preserve"> </w:t>
      </w:r>
      <w:r w:rsidR="0055763E" w:rsidRPr="001D4719">
        <w:rPr>
          <w:rFonts w:ascii="Times New Roman" w:hAnsi="Times New Roman"/>
          <w:sz w:val="24"/>
          <w:szCs w:val="24"/>
        </w:rPr>
        <w:t>are:</w:t>
      </w:r>
    </w:p>
    <w:p w:rsidR="005033C2" w:rsidRPr="005033C2" w:rsidRDefault="005033C2" w:rsidP="00B91E3E">
      <w:pPr>
        <w:pStyle w:val="Bullet-list"/>
        <w:numPr>
          <w:ilvl w:val="0"/>
          <w:numId w:val="5"/>
        </w:numPr>
        <w:spacing w:before="120" w:after="0" w:line="240" w:lineRule="auto"/>
        <w:ind w:left="782" w:hanging="357"/>
        <w:jc w:val="both"/>
        <w:rPr>
          <w:rFonts w:ascii="Times New Roman" w:hAnsi="Times New Roman"/>
          <w:b/>
          <w:sz w:val="24"/>
          <w:szCs w:val="24"/>
        </w:rPr>
      </w:pPr>
      <w:r w:rsidRPr="005033C2">
        <w:rPr>
          <w:rFonts w:ascii="Times New Roman" w:hAnsi="Times New Roman"/>
          <w:b/>
          <w:sz w:val="24"/>
          <w:szCs w:val="24"/>
        </w:rPr>
        <w:t xml:space="preserve">Neutrality: </w:t>
      </w:r>
      <w:r w:rsidRPr="005033C2">
        <w:rPr>
          <w:rFonts w:ascii="Times New Roman" w:hAnsi="Times New Roman"/>
          <w:sz w:val="24"/>
          <w:szCs w:val="24"/>
        </w:rPr>
        <w:t>Taxation should seek to be neutral and equitable between forms of commerce</w:t>
      </w:r>
      <w:r w:rsidRPr="005033C2">
        <w:t xml:space="preserve">. </w:t>
      </w:r>
      <w:r w:rsidRPr="005033C2">
        <w:rPr>
          <w:rFonts w:ascii="Times New Roman" w:hAnsi="Times New Roman"/>
          <w:sz w:val="24"/>
          <w:szCs w:val="24"/>
        </w:rPr>
        <w:t>Business decisions should be motivated by economic rather than tax considerations. Taxpayers in similar situations carrying out similar transactions should be subject to similar levels of taxation.</w:t>
      </w:r>
    </w:p>
    <w:p w:rsidR="006F5ACF" w:rsidRPr="005033C2" w:rsidRDefault="006F5ACF" w:rsidP="00B91E3E">
      <w:pPr>
        <w:pStyle w:val="Bullet-list"/>
        <w:numPr>
          <w:ilvl w:val="0"/>
          <w:numId w:val="5"/>
        </w:numPr>
        <w:spacing w:before="120" w:after="0" w:line="240" w:lineRule="auto"/>
        <w:ind w:left="782" w:hanging="357"/>
        <w:jc w:val="both"/>
        <w:rPr>
          <w:rFonts w:ascii="Times New Roman" w:hAnsi="Times New Roman"/>
          <w:b/>
          <w:sz w:val="24"/>
          <w:szCs w:val="24"/>
        </w:rPr>
      </w:pPr>
      <w:r w:rsidRPr="005033C2">
        <w:rPr>
          <w:rFonts w:ascii="Times New Roman" w:hAnsi="Times New Roman"/>
          <w:b/>
          <w:sz w:val="24"/>
          <w:szCs w:val="24"/>
        </w:rPr>
        <w:t xml:space="preserve">Efficiency: </w:t>
      </w:r>
      <w:r w:rsidRPr="005033C2">
        <w:rPr>
          <w:rFonts w:ascii="Times New Roman" w:hAnsi="Times New Roman"/>
          <w:sz w:val="24"/>
          <w:szCs w:val="24"/>
        </w:rPr>
        <w:t xml:space="preserve"> </w:t>
      </w:r>
      <w:r w:rsidR="005033C2" w:rsidRPr="005033C2">
        <w:rPr>
          <w:rFonts w:ascii="Times New Roman" w:hAnsi="Times New Roman"/>
          <w:sz w:val="24"/>
          <w:szCs w:val="24"/>
        </w:rPr>
        <w:t>Compliance costs for businesses and administrative costs for the tax authorities should be minimised as far as possible.</w:t>
      </w:r>
    </w:p>
    <w:p w:rsidR="0055763E" w:rsidRPr="005033C2" w:rsidRDefault="0055763E" w:rsidP="00B91E3E">
      <w:pPr>
        <w:pStyle w:val="Bullet-list"/>
        <w:numPr>
          <w:ilvl w:val="0"/>
          <w:numId w:val="5"/>
        </w:numPr>
        <w:spacing w:before="120" w:after="0" w:line="240" w:lineRule="auto"/>
        <w:ind w:left="782" w:hanging="357"/>
        <w:jc w:val="both"/>
        <w:rPr>
          <w:rFonts w:ascii="Times New Roman" w:hAnsi="Times New Roman"/>
          <w:sz w:val="24"/>
          <w:szCs w:val="24"/>
        </w:rPr>
      </w:pPr>
      <w:r w:rsidRPr="005033C2">
        <w:rPr>
          <w:rFonts w:ascii="Times New Roman" w:hAnsi="Times New Roman"/>
          <w:b/>
          <w:sz w:val="24"/>
          <w:szCs w:val="24"/>
        </w:rPr>
        <w:t>Certainty and simplicity:</w:t>
      </w:r>
      <w:r w:rsidRPr="005033C2">
        <w:rPr>
          <w:rFonts w:ascii="Times New Roman" w:hAnsi="Times New Roman"/>
          <w:sz w:val="24"/>
          <w:szCs w:val="24"/>
        </w:rPr>
        <w:t xml:space="preserve"> </w:t>
      </w:r>
      <w:r w:rsidR="005033C2" w:rsidRPr="005033C2">
        <w:rPr>
          <w:rFonts w:ascii="Times New Roman" w:hAnsi="Times New Roman"/>
          <w:sz w:val="24"/>
          <w:szCs w:val="24"/>
        </w:rPr>
        <w:t>The tax rules should be clear and simple to understand so that taxpayers can anticipate the tax consequences in advance of a transaction, including knowing when, where, and how the tax is to be accounted.</w:t>
      </w:r>
    </w:p>
    <w:p w:rsidR="005033C2" w:rsidRPr="005033C2" w:rsidRDefault="005033C2" w:rsidP="00B91E3E">
      <w:pPr>
        <w:pStyle w:val="Bullet-list"/>
        <w:numPr>
          <w:ilvl w:val="0"/>
          <w:numId w:val="5"/>
        </w:numPr>
        <w:spacing w:before="120" w:after="0" w:line="240" w:lineRule="auto"/>
        <w:ind w:left="782" w:hanging="357"/>
        <w:jc w:val="both"/>
        <w:rPr>
          <w:rFonts w:ascii="Times New Roman" w:hAnsi="Times New Roman"/>
          <w:sz w:val="24"/>
          <w:szCs w:val="24"/>
          <w:lang w:val="en-GB"/>
        </w:rPr>
      </w:pPr>
      <w:r w:rsidRPr="005033C2">
        <w:rPr>
          <w:rFonts w:ascii="Times New Roman" w:hAnsi="Times New Roman"/>
          <w:b/>
          <w:sz w:val="24"/>
          <w:szCs w:val="24"/>
          <w:lang w:val="en-GB"/>
        </w:rPr>
        <w:t>Effectiveness and fairness</w:t>
      </w:r>
      <w:r w:rsidRPr="005033C2">
        <w:rPr>
          <w:rFonts w:ascii="Times New Roman" w:hAnsi="Times New Roman"/>
          <w:sz w:val="24"/>
          <w:szCs w:val="24"/>
          <w:lang w:val="en-GB"/>
        </w:rPr>
        <w:t>: Taxation should produce the right amount of tax at the right time. The potential for tax evasion and avoidance should be minimised while keeping counteracting measures proportionate to risks involved.</w:t>
      </w:r>
    </w:p>
    <w:p w:rsidR="005033C2" w:rsidRDefault="005033C2" w:rsidP="00B91E3E">
      <w:pPr>
        <w:pStyle w:val="Bullet-list"/>
        <w:spacing w:after="0" w:line="240" w:lineRule="auto"/>
        <w:ind w:left="0" w:firstLine="0"/>
        <w:jc w:val="both"/>
        <w:rPr>
          <w:rFonts w:ascii="Times New Roman" w:hAnsi="Times New Roman"/>
          <w:sz w:val="24"/>
          <w:szCs w:val="24"/>
        </w:rPr>
      </w:pPr>
    </w:p>
    <w:p w:rsidR="007F377A" w:rsidRPr="005B1E55" w:rsidRDefault="007F377A" w:rsidP="00B91E3E">
      <w:pPr>
        <w:pStyle w:val="Bullet-list"/>
        <w:spacing w:after="0" w:line="240" w:lineRule="auto"/>
        <w:ind w:left="0" w:firstLine="0"/>
        <w:jc w:val="both"/>
        <w:rPr>
          <w:rFonts w:ascii="Times New Roman" w:hAnsi="Times New Roman"/>
          <w:b/>
          <w:sz w:val="24"/>
          <w:szCs w:val="24"/>
        </w:rPr>
      </w:pPr>
      <w:r w:rsidRPr="005B1E55">
        <w:rPr>
          <w:rFonts w:ascii="Times New Roman" w:hAnsi="Times New Roman"/>
          <w:b/>
          <w:sz w:val="24"/>
          <w:szCs w:val="24"/>
        </w:rPr>
        <w:t>Constraints</w:t>
      </w:r>
    </w:p>
    <w:p w:rsidR="007F377A" w:rsidRPr="006B2540" w:rsidRDefault="007F377A" w:rsidP="00B91E3E">
      <w:pPr>
        <w:pStyle w:val="Bullet-list"/>
        <w:spacing w:after="0" w:line="240" w:lineRule="auto"/>
        <w:ind w:left="0" w:firstLine="0"/>
        <w:jc w:val="both"/>
        <w:rPr>
          <w:rFonts w:ascii="Times New Roman" w:hAnsi="Times New Roman"/>
          <w:b/>
          <w:sz w:val="24"/>
          <w:szCs w:val="24"/>
        </w:rPr>
      </w:pPr>
    </w:p>
    <w:p w:rsidR="00A01D61" w:rsidRDefault="005265C2"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A key constraint and consideration in meeting these objectives is revenue and</w:t>
      </w:r>
      <w:r w:rsidR="00510966">
        <w:rPr>
          <w:rFonts w:ascii="Times New Roman" w:hAnsi="Times New Roman"/>
          <w:sz w:val="24"/>
          <w:szCs w:val="24"/>
        </w:rPr>
        <w:t>,</w:t>
      </w:r>
      <w:r>
        <w:rPr>
          <w:rFonts w:ascii="Times New Roman" w:hAnsi="Times New Roman"/>
          <w:sz w:val="24"/>
          <w:szCs w:val="24"/>
        </w:rPr>
        <w:t xml:space="preserve"> in particular</w:t>
      </w:r>
      <w:r w:rsidR="00510966">
        <w:rPr>
          <w:rFonts w:ascii="Times New Roman" w:hAnsi="Times New Roman"/>
          <w:sz w:val="24"/>
          <w:szCs w:val="24"/>
        </w:rPr>
        <w:t>,</w:t>
      </w:r>
      <w:r>
        <w:rPr>
          <w:rFonts w:ascii="Times New Roman" w:hAnsi="Times New Roman"/>
          <w:sz w:val="24"/>
          <w:szCs w:val="24"/>
        </w:rPr>
        <w:t xml:space="preserve"> the policy to tax supplies of goods or services</w:t>
      </w:r>
      <w:r w:rsidR="00510966">
        <w:rPr>
          <w:rFonts w:ascii="Times New Roman" w:hAnsi="Times New Roman"/>
          <w:sz w:val="24"/>
          <w:szCs w:val="24"/>
        </w:rPr>
        <w:t xml:space="preserve"> as</w:t>
      </w:r>
      <w:r>
        <w:rPr>
          <w:rFonts w:ascii="Times New Roman" w:hAnsi="Times New Roman"/>
          <w:sz w:val="24"/>
          <w:szCs w:val="24"/>
        </w:rPr>
        <w:t xml:space="preserve"> enshrined in the </w:t>
      </w:r>
      <w:r w:rsidR="001B7540">
        <w:rPr>
          <w:rFonts w:ascii="Times New Roman" w:hAnsi="Times New Roman"/>
          <w:sz w:val="24"/>
          <w:szCs w:val="24"/>
        </w:rPr>
        <w:t>GST Act</w:t>
      </w:r>
      <w:r w:rsidR="00A01D61" w:rsidRPr="00A01D61">
        <w:rPr>
          <w:rFonts w:ascii="Times New Roman" w:hAnsi="Times New Roman"/>
          <w:sz w:val="24"/>
          <w:szCs w:val="24"/>
        </w:rPr>
        <w:t xml:space="preserve">.  </w:t>
      </w:r>
      <w:r w:rsidR="006F5ACF">
        <w:rPr>
          <w:rFonts w:ascii="Times New Roman" w:hAnsi="Times New Roman"/>
          <w:sz w:val="24"/>
          <w:szCs w:val="24"/>
        </w:rPr>
        <w:t>This means that certain minimum compliance and administration costs will be incurred in meeting the obligations</w:t>
      </w:r>
      <w:r w:rsidR="001942D5">
        <w:rPr>
          <w:rFonts w:ascii="Times New Roman" w:hAnsi="Times New Roman"/>
          <w:sz w:val="24"/>
          <w:szCs w:val="24"/>
        </w:rPr>
        <w:t xml:space="preserve"> imposed under the</w:t>
      </w:r>
      <w:r w:rsidR="006F5ACF">
        <w:rPr>
          <w:rFonts w:ascii="Times New Roman" w:hAnsi="Times New Roman"/>
          <w:sz w:val="24"/>
          <w:szCs w:val="24"/>
        </w:rPr>
        <w:t xml:space="preserve"> </w:t>
      </w:r>
      <w:r w:rsidR="001942D5">
        <w:rPr>
          <w:rFonts w:ascii="Times New Roman" w:hAnsi="Times New Roman"/>
          <w:sz w:val="24"/>
          <w:szCs w:val="24"/>
        </w:rPr>
        <w:t xml:space="preserve">Act </w:t>
      </w:r>
      <w:r w:rsidR="006F5ACF">
        <w:rPr>
          <w:rFonts w:ascii="Times New Roman" w:hAnsi="Times New Roman"/>
          <w:sz w:val="24"/>
          <w:szCs w:val="24"/>
        </w:rPr>
        <w:t xml:space="preserve">and that most supplies will already be subject to </w:t>
      </w:r>
      <w:r w:rsidR="007F0718">
        <w:rPr>
          <w:rFonts w:ascii="Times New Roman" w:hAnsi="Times New Roman"/>
          <w:sz w:val="24"/>
          <w:szCs w:val="24"/>
        </w:rPr>
        <w:t xml:space="preserve">a 15% tax based on their value (with an associated impact on </w:t>
      </w:r>
      <w:r w:rsidR="006F5ACF">
        <w:rPr>
          <w:rFonts w:ascii="Times New Roman" w:hAnsi="Times New Roman"/>
          <w:sz w:val="24"/>
          <w:szCs w:val="24"/>
        </w:rPr>
        <w:t>efficiency and neutrality</w:t>
      </w:r>
      <w:r w:rsidR="007F0718">
        <w:rPr>
          <w:rFonts w:ascii="Times New Roman" w:hAnsi="Times New Roman"/>
          <w:sz w:val="24"/>
          <w:szCs w:val="24"/>
        </w:rPr>
        <w:t>)</w:t>
      </w:r>
      <w:r w:rsidR="006F5ACF">
        <w:rPr>
          <w:rFonts w:ascii="Times New Roman" w:hAnsi="Times New Roman"/>
          <w:sz w:val="24"/>
          <w:szCs w:val="24"/>
        </w:rPr>
        <w:t>.</w:t>
      </w:r>
    </w:p>
    <w:p w:rsidR="00DF560B" w:rsidRPr="004342F0" w:rsidRDefault="00DF560B" w:rsidP="00B91E3E">
      <w:pPr>
        <w:pStyle w:val="spacer"/>
        <w:jc w:val="both"/>
        <w:rPr>
          <w:rFonts w:ascii="Times New Roman" w:hAnsi="Times New Roman"/>
          <w:sz w:val="24"/>
          <w:szCs w:val="24"/>
        </w:rPr>
      </w:pPr>
    </w:p>
    <w:p w:rsidR="00320A3C" w:rsidRPr="004342F0" w:rsidRDefault="00D943DD" w:rsidP="00B91E3E">
      <w:pPr>
        <w:pStyle w:val="RISheading"/>
        <w:jc w:val="both"/>
        <w:rPr>
          <w:spacing w:val="0"/>
          <w:w w:val="100"/>
        </w:rPr>
      </w:pPr>
      <w:bookmarkStart w:id="17" w:name="_Toc244580365"/>
      <w:bookmarkStart w:id="18" w:name="_Toc244587041"/>
      <w:bookmarkStart w:id="19" w:name="_Toc244857275"/>
      <w:bookmarkStart w:id="20" w:name="_Toc244912540"/>
      <w:bookmarkStart w:id="21" w:name="_Toc244916997"/>
      <w:r w:rsidRPr="004342F0">
        <w:rPr>
          <w:spacing w:val="0"/>
          <w:w w:val="100"/>
        </w:rPr>
        <w:t>REGULATORY IMPACT ANALYSIS</w:t>
      </w:r>
      <w:bookmarkEnd w:id="17"/>
      <w:bookmarkEnd w:id="18"/>
      <w:bookmarkEnd w:id="19"/>
      <w:bookmarkEnd w:id="20"/>
      <w:bookmarkEnd w:id="21"/>
      <w:r w:rsidRPr="004342F0">
        <w:rPr>
          <w:spacing w:val="0"/>
          <w:w w:val="100"/>
        </w:rPr>
        <w:t xml:space="preserve"> </w:t>
      </w:r>
    </w:p>
    <w:p w:rsidR="00AD604C" w:rsidRDefault="00AD604C"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The fo</w:t>
      </w:r>
      <w:r w:rsidR="008741A0">
        <w:rPr>
          <w:rFonts w:ascii="Times New Roman" w:hAnsi="Times New Roman"/>
          <w:sz w:val="24"/>
          <w:szCs w:val="24"/>
        </w:rPr>
        <w:t xml:space="preserve">ur </w:t>
      </w:r>
      <w:r w:rsidR="00683B49">
        <w:rPr>
          <w:rFonts w:ascii="Times New Roman" w:hAnsi="Times New Roman"/>
          <w:sz w:val="24"/>
          <w:szCs w:val="24"/>
        </w:rPr>
        <w:t>items</w:t>
      </w:r>
      <w:r w:rsidR="008741A0">
        <w:rPr>
          <w:rFonts w:ascii="Times New Roman" w:hAnsi="Times New Roman"/>
          <w:sz w:val="24"/>
          <w:szCs w:val="24"/>
        </w:rPr>
        <w:t xml:space="preserve"> analysed in this RIS are:</w:t>
      </w:r>
      <w:r>
        <w:rPr>
          <w:rFonts w:ascii="Times New Roman" w:hAnsi="Times New Roman"/>
          <w:sz w:val="24"/>
          <w:szCs w:val="24"/>
        </w:rPr>
        <w:t xml:space="preserve"> </w:t>
      </w:r>
    </w:p>
    <w:p w:rsidR="00AD604C" w:rsidRPr="00B91E3E" w:rsidRDefault="00AD604C" w:rsidP="00B91E3E">
      <w:pPr>
        <w:pStyle w:val="Bullet-list"/>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lang w:val="en-NZ"/>
        </w:rPr>
        <w:t>The deductibility of GST on costs incurred to raise capital to further a taxable business activity (</w:t>
      </w:r>
      <w:r w:rsidRPr="006B2540">
        <w:rPr>
          <w:rFonts w:ascii="Times New Roman" w:hAnsi="Times New Roman"/>
          <w:b/>
          <w:sz w:val="24"/>
          <w:szCs w:val="24"/>
          <w:lang w:val="en-NZ"/>
        </w:rPr>
        <w:t xml:space="preserve">“Capital </w:t>
      </w:r>
      <w:r w:rsidRPr="00C42607">
        <w:rPr>
          <w:rFonts w:ascii="Times New Roman" w:hAnsi="Times New Roman"/>
          <w:b/>
          <w:sz w:val="24"/>
          <w:szCs w:val="24"/>
          <w:lang w:val="en-NZ"/>
        </w:rPr>
        <w:t>raising costs</w:t>
      </w:r>
      <w:r w:rsidRPr="00B91E3E">
        <w:rPr>
          <w:rFonts w:ascii="Times New Roman" w:hAnsi="Times New Roman"/>
          <w:b/>
          <w:sz w:val="24"/>
          <w:szCs w:val="24"/>
          <w:lang w:val="en-NZ"/>
        </w:rPr>
        <w:t>”</w:t>
      </w:r>
      <w:r w:rsidRPr="00B91E3E">
        <w:rPr>
          <w:rFonts w:ascii="Times New Roman" w:hAnsi="Times New Roman"/>
          <w:b/>
          <w:sz w:val="24"/>
          <w:szCs w:val="24"/>
        </w:rPr>
        <w:t xml:space="preserve"> </w:t>
      </w:r>
      <w:r w:rsidRPr="00B91E3E">
        <w:rPr>
          <w:rFonts w:ascii="Times New Roman" w:hAnsi="Times New Roman"/>
          <w:sz w:val="24"/>
          <w:szCs w:val="24"/>
        </w:rPr>
        <w:t xml:space="preserve">– page </w:t>
      </w:r>
      <w:r w:rsidR="00C42607" w:rsidRPr="00B91E3E">
        <w:rPr>
          <w:rFonts w:ascii="Times New Roman" w:hAnsi="Times New Roman"/>
          <w:sz w:val="24"/>
          <w:szCs w:val="24"/>
        </w:rPr>
        <w:t xml:space="preserve">5 </w:t>
      </w:r>
      <w:r w:rsidRPr="00B91E3E">
        <w:rPr>
          <w:rFonts w:ascii="Times New Roman" w:hAnsi="Times New Roman"/>
          <w:sz w:val="24"/>
          <w:szCs w:val="24"/>
        </w:rPr>
        <w:t xml:space="preserve">- </w:t>
      </w:r>
      <w:r w:rsidR="00625424" w:rsidRPr="00B91E3E">
        <w:rPr>
          <w:rFonts w:ascii="Times New Roman" w:hAnsi="Times New Roman"/>
          <w:sz w:val="24"/>
          <w:szCs w:val="24"/>
        </w:rPr>
        <w:t>10</w:t>
      </w:r>
      <w:r w:rsidRPr="00B91E3E">
        <w:rPr>
          <w:rFonts w:ascii="Times New Roman" w:hAnsi="Times New Roman"/>
          <w:sz w:val="24"/>
          <w:szCs w:val="24"/>
          <w:lang w:val="en-NZ"/>
        </w:rPr>
        <w:t>);</w:t>
      </w:r>
    </w:p>
    <w:p w:rsidR="00AD604C" w:rsidRPr="00B91E3E" w:rsidRDefault="00AD604C" w:rsidP="00B91E3E">
      <w:pPr>
        <w:pStyle w:val="Bullet-list"/>
        <w:numPr>
          <w:ilvl w:val="0"/>
          <w:numId w:val="4"/>
        </w:numPr>
        <w:spacing w:before="120" w:after="0" w:line="240" w:lineRule="auto"/>
        <w:jc w:val="both"/>
        <w:rPr>
          <w:rFonts w:ascii="Times New Roman" w:hAnsi="Times New Roman"/>
          <w:sz w:val="24"/>
          <w:szCs w:val="24"/>
        </w:rPr>
      </w:pPr>
      <w:r w:rsidRPr="00B91E3E">
        <w:rPr>
          <w:rFonts w:ascii="Times New Roman" w:hAnsi="Times New Roman"/>
          <w:sz w:val="24"/>
          <w:szCs w:val="24"/>
        </w:rPr>
        <w:t>The compliance costs incurred in applying the legislated approach to determining the amount of input tax deduction that can be claimed in respect of goods and services used to make both taxable and exempt supplies (</w:t>
      </w:r>
      <w:r w:rsidRPr="00B91E3E">
        <w:rPr>
          <w:rFonts w:ascii="Times New Roman" w:hAnsi="Times New Roman"/>
          <w:b/>
          <w:sz w:val="24"/>
          <w:szCs w:val="24"/>
        </w:rPr>
        <w:t>“Apportionment rules”</w:t>
      </w:r>
      <w:r w:rsidRPr="00B91E3E">
        <w:rPr>
          <w:rFonts w:ascii="Times New Roman" w:hAnsi="Times New Roman"/>
          <w:sz w:val="24"/>
          <w:szCs w:val="24"/>
        </w:rPr>
        <w:t xml:space="preserve"> – page </w:t>
      </w:r>
      <w:r w:rsidR="00625424" w:rsidRPr="00B91E3E">
        <w:rPr>
          <w:rFonts w:ascii="Times New Roman" w:hAnsi="Times New Roman"/>
          <w:sz w:val="24"/>
          <w:szCs w:val="24"/>
        </w:rPr>
        <w:t>10</w:t>
      </w:r>
      <w:r w:rsidR="00C42607" w:rsidRPr="00B91E3E">
        <w:rPr>
          <w:rFonts w:ascii="Times New Roman" w:hAnsi="Times New Roman"/>
          <w:sz w:val="24"/>
          <w:szCs w:val="24"/>
        </w:rPr>
        <w:t xml:space="preserve"> </w:t>
      </w:r>
      <w:r w:rsidRPr="00B91E3E">
        <w:rPr>
          <w:rFonts w:ascii="Times New Roman" w:hAnsi="Times New Roman"/>
          <w:sz w:val="24"/>
          <w:szCs w:val="24"/>
        </w:rPr>
        <w:t xml:space="preserve">- </w:t>
      </w:r>
      <w:r w:rsidR="00C42607" w:rsidRPr="00B91E3E">
        <w:rPr>
          <w:rFonts w:ascii="Times New Roman" w:hAnsi="Times New Roman"/>
          <w:sz w:val="24"/>
          <w:szCs w:val="24"/>
        </w:rPr>
        <w:t>1</w:t>
      </w:r>
      <w:r w:rsidR="00625424" w:rsidRPr="00B91E3E">
        <w:rPr>
          <w:rFonts w:ascii="Times New Roman" w:hAnsi="Times New Roman"/>
          <w:sz w:val="24"/>
          <w:szCs w:val="24"/>
        </w:rPr>
        <w:t>7</w:t>
      </w:r>
      <w:r w:rsidRPr="00B91E3E">
        <w:rPr>
          <w:rFonts w:ascii="Times New Roman" w:hAnsi="Times New Roman"/>
          <w:sz w:val="24"/>
          <w:szCs w:val="24"/>
        </w:rPr>
        <w:t xml:space="preserve">); </w:t>
      </w:r>
    </w:p>
    <w:p w:rsidR="00AD604C" w:rsidRPr="00B91E3E" w:rsidRDefault="00AD604C" w:rsidP="00B91E3E">
      <w:pPr>
        <w:pStyle w:val="Bullet-list"/>
        <w:numPr>
          <w:ilvl w:val="0"/>
          <w:numId w:val="4"/>
        </w:numPr>
        <w:spacing w:before="120" w:after="0" w:line="240" w:lineRule="auto"/>
        <w:jc w:val="both"/>
        <w:rPr>
          <w:rFonts w:ascii="Times New Roman" w:hAnsi="Times New Roman"/>
          <w:sz w:val="24"/>
          <w:szCs w:val="24"/>
        </w:rPr>
      </w:pPr>
      <w:r w:rsidRPr="00B91E3E">
        <w:rPr>
          <w:rFonts w:ascii="Times New Roman" w:hAnsi="Times New Roman"/>
          <w:sz w:val="24"/>
          <w:szCs w:val="24"/>
        </w:rPr>
        <w:t>The ability to claim input tax deductions for secondhand goods composed of gold</w:t>
      </w:r>
      <w:r w:rsidR="00ED0D31" w:rsidRPr="00B91E3E">
        <w:rPr>
          <w:rFonts w:ascii="Times New Roman" w:hAnsi="Times New Roman"/>
          <w:sz w:val="24"/>
          <w:szCs w:val="24"/>
        </w:rPr>
        <w:t>, silver or platinum</w:t>
      </w:r>
      <w:r w:rsidRPr="00B91E3E">
        <w:rPr>
          <w:rFonts w:ascii="Times New Roman" w:hAnsi="Times New Roman"/>
          <w:sz w:val="24"/>
          <w:szCs w:val="24"/>
        </w:rPr>
        <w:t xml:space="preserve"> (</w:t>
      </w:r>
      <w:r w:rsidRPr="00B91E3E">
        <w:rPr>
          <w:rFonts w:ascii="Times New Roman" w:hAnsi="Times New Roman"/>
          <w:b/>
          <w:sz w:val="24"/>
          <w:szCs w:val="24"/>
        </w:rPr>
        <w:t xml:space="preserve">“Secondhand goods and gold” </w:t>
      </w:r>
      <w:r w:rsidRPr="00B91E3E">
        <w:rPr>
          <w:rFonts w:ascii="Times New Roman" w:hAnsi="Times New Roman"/>
          <w:sz w:val="24"/>
          <w:szCs w:val="24"/>
        </w:rPr>
        <w:t xml:space="preserve">– page </w:t>
      </w:r>
      <w:r w:rsidR="00C42607" w:rsidRPr="00B91E3E">
        <w:rPr>
          <w:rFonts w:ascii="Times New Roman" w:hAnsi="Times New Roman"/>
          <w:sz w:val="24"/>
          <w:szCs w:val="24"/>
        </w:rPr>
        <w:t>1</w:t>
      </w:r>
      <w:r w:rsidR="00625424" w:rsidRPr="00B91E3E">
        <w:rPr>
          <w:rFonts w:ascii="Times New Roman" w:hAnsi="Times New Roman"/>
          <w:sz w:val="24"/>
          <w:szCs w:val="24"/>
        </w:rPr>
        <w:t>8</w:t>
      </w:r>
      <w:r w:rsidR="00C42607" w:rsidRPr="00B91E3E">
        <w:rPr>
          <w:rFonts w:ascii="Times New Roman" w:hAnsi="Times New Roman"/>
          <w:sz w:val="24"/>
          <w:szCs w:val="24"/>
        </w:rPr>
        <w:t xml:space="preserve"> </w:t>
      </w:r>
      <w:r w:rsidRPr="00B91E3E">
        <w:rPr>
          <w:rFonts w:ascii="Times New Roman" w:hAnsi="Times New Roman"/>
          <w:sz w:val="24"/>
          <w:szCs w:val="24"/>
        </w:rPr>
        <w:t xml:space="preserve">- </w:t>
      </w:r>
      <w:r w:rsidR="00C42607" w:rsidRPr="00B91E3E">
        <w:rPr>
          <w:rFonts w:ascii="Times New Roman" w:hAnsi="Times New Roman"/>
          <w:sz w:val="24"/>
          <w:szCs w:val="24"/>
        </w:rPr>
        <w:t>2</w:t>
      </w:r>
      <w:r w:rsidR="00625424" w:rsidRPr="00B91E3E">
        <w:rPr>
          <w:rFonts w:ascii="Times New Roman" w:hAnsi="Times New Roman"/>
          <w:sz w:val="24"/>
          <w:szCs w:val="24"/>
        </w:rPr>
        <w:t>5</w:t>
      </w:r>
      <w:r w:rsidRPr="00B91E3E">
        <w:rPr>
          <w:rFonts w:ascii="Times New Roman" w:hAnsi="Times New Roman"/>
          <w:sz w:val="24"/>
          <w:szCs w:val="24"/>
        </w:rPr>
        <w:t>); and</w:t>
      </w:r>
    </w:p>
    <w:p w:rsidR="00AD604C" w:rsidRPr="00B91E3E" w:rsidRDefault="00AD604C" w:rsidP="00B91E3E">
      <w:pPr>
        <w:pStyle w:val="Bullet-list"/>
        <w:numPr>
          <w:ilvl w:val="0"/>
          <w:numId w:val="4"/>
        </w:numPr>
        <w:spacing w:before="120" w:after="0" w:line="240" w:lineRule="auto"/>
        <w:jc w:val="both"/>
        <w:rPr>
          <w:rFonts w:ascii="Times New Roman" w:hAnsi="Times New Roman"/>
          <w:sz w:val="24"/>
          <w:szCs w:val="24"/>
        </w:rPr>
      </w:pPr>
      <w:r w:rsidRPr="00B91E3E">
        <w:rPr>
          <w:rFonts w:ascii="Times New Roman" w:hAnsi="Times New Roman"/>
          <w:sz w:val="24"/>
          <w:szCs w:val="24"/>
        </w:rPr>
        <w:t>The treatment of supplies of services that are connected with land (“</w:t>
      </w:r>
      <w:r w:rsidRPr="00B91E3E">
        <w:rPr>
          <w:rFonts w:ascii="Times New Roman" w:hAnsi="Times New Roman"/>
          <w:b/>
          <w:sz w:val="24"/>
          <w:szCs w:val="24"/>
        </w:rPr>
        <w:t xml:space="preserve">Services connected with land” </w:t>
      </w:r>
      <w:r w:rsidRPr="00B91E3E">
        <w:rPr>
          <w:rFonts w:ascii="Times New Roman" w:hAnsi="Times New Roman"/>
          <w:sz w:val="24"/>
          <w:szCs w:val="24"/>
        </w:rPr>
        <w:t xml:space="preserve">– page </w:t>
      </w:r>
      <w:r w:rsidR="00C42607" w:rsidRPr="00B91E3E">
        <w:rPr>
          <w:rFonts w:ascii="Times New Roman" w:hAnsi="Times New Roman"/>
          <w:sz w:val="24"/>
          <w:szCs w:val="24"/>
        </w:rPr>
        <w:t>2</w:t>
      </w:r>
      <w:r w:rsidR="00625424" w:rsidRPr="00B91E3E">
        <w:rPr>
          <w:rFonts w:ascii="Times New Roman" w:hAnsi="Times New Roman"/>
          <w:sz w:val="24"/>
          <w:szCs w:val="24"/>
        </w:rPr>
        <w:t>5</w:t>
      </w:r>
      <w:r w:rsidR="00C42607" w:rsidRPr="00B91E3E">
        <w:rPr>
          <w:rFonts w:ascii="Times New Roman" w:hAnsi="Times New Roman"/>
          <w:sz w:val="24"/>
          <w:szCs w:val="24"/>
        </w:rPr>
        <w:t xml:space="preserve"> </w:t>
      </w:r>
      <w:r w:rsidRPr="00B91E3E">
        <w:rPr>
          <w:rFonts w:ascii="Times New Roman" w:hAnsi="Times New Roman"/>
          <w:sz w:val="24"/>
          <w:szCs w:val="24"/>
        </w:rPr>
        <w:t xml:space="preserve">- </w:t>
      </w:r>
      <w:r w:rsidR="00625424" w:rsidRPr="00B91E3E">
        <w:rPr>
          <w:rFonts w:ascii="Times New Roman" w:hAnsi="Times New Roman"/>
          <w:sz w:val="24"/>
          <w:szCs w:val="24"/>
        </w:rPr>
        <w:t>32</w:t>
      </w:r>
      <w:r w:rsidRPr="00B91E3E">
        <w:rPr>
          <w:rFonts w:ascii="Times New Roman" w:hAnsi="Times New Roman"/>
          <w:sz w:val="24"/>
          <w:szCs w:val="24"/>
        </w:rPr>
        <w:t>).</w:t>
      </w:r>
    </w:p>
    <w:p w:rsidR="00AD604C" w:rsidRDefault="00AD604C" w:rsidP="009C149F">
      <w:pPr>
        <w:pStyle w:val="Bullet-list"/>
        <w:spacing w:after="0" w:line="240" w:lineRule="auto"/>
        <w:ind w:left="0" w:firstLine="0"/>
        <w:jc w:val="both"/>
        <w:rPr>
          <w:rFonts w:ascii="Times New Roman" w:hAnsi="Times New Roman"/>
          <w:b/>
          <w:i/>
          <w:sz w:val="24"/>
          <w:szCs w:val="24"/>
        </w:rPr>
      </w:pPr>
    </w:p>
    <w:p w:rsidR="002822A3" w:rsidRDefault="002822A3" w:rsidP="009C149F">
      <w:pPr>
        <w:pStyle w:val="Bullet-list"/>
        <w:spacing w:after="0" w:line="240" w:lineRule="auto"/>
        <w:ind w:left="0" w:firstLine="0"/>
        <w:jc w:val="both"/>
        <w:rPr>
          <w:rFonts w:ascii="Times New Roman" w:hAnsi="Times New Roman"/>
          <w:b/>
          <w:i/>
          <w:sz w:val="24"/>
          <w:szCs w:val="24"/>
        </w:rPr>
      </w:pPr>
    </w:p>
    <w:p w:rsidR="00AD604C" w:rsidRPr="005577B8" w:rsidRDefault="00683B49" w:rsidP="00B91E3E">
      <w:pPr>
        <w:pStyle w:val="Bullet-list"/>
        <w:keepNext/>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Item </w:t>
      </w:r>
      <w:r w:rsidR="00202449">
        <w:rPr>
          <w:rFonts w:ascii="Times New Roman" w:hAnsi="Times New Roman"/>
          <w:b/>
          <w:sz w:val="24"/>
          <w:szCs w:val="24"/>
        </w:rPr>
        <w:t>A</w:t>
      </w:r>
      <w:r>
        <w:rPr>
          <w:rFonts w:ascii="Times New Roman" w:hAnsi="Times New Roman"/>
          <w:b/>
          <w:sz w:val="24"/>
          <w:szCs w:val="24"/>
        </w:rPr>
        <w:t>:</w:t>
      </w:r>
      <w:r w:rsidR="00A20A04">
        <w:rPr>
          <w:rFonts w:ascii="Times New Roman" w:hAnsi="Times New Roman"/>
          <w:b/>
          <w:sz w:val="24"/>
          <w:szCs w:val="24"/>
        </w:rPr>
        <w:t xml:space="preserve"> </w:t>
      </w:r>
      <w:r w:rsidR="00AD604C">
        <w:rPr>
          <w:rFonts w:ascii="Times New Roman" w:hAnsi="Times New Roman"/>
          <w:b/>
          <w:sz w:val="24"/>
          <w:szCs w:val="24"/>
        </w:rPr>
        <w:t>Capital raising costs</w:t>
      </w:r>
    </w:p>
    <w:p w:rsidR="00ED0D31" w:rsidRDefault="00ED0D31" w:rsidP="00B91E3E">
      <w:pPr>
        <w:keepNext/>
        <w:spacing w:after="0" w:line="240" w:lineRule="auto"/>
        <w:jc w:val="both"/>
        <w:rPr>
          <w:rFonts w:ascii="Times New Roman" w:hAnsi="Times New Roman"/>
          <w:b/>
          <w:i/>
          <w:sz w:val="24"/>
          <w:szCs w:val="24"/>
          <w:lang w:val="en-AU" w:eastAsia="en-AU"/>
        </w:rPr>
      </w:pPr>
    </w:p>
    <w:p w:rsidR="00ED0D31" w:rsidRPr="00E012CE" w:rsidRDefault="00ED0D31" w:rsidP="00B91E3E">
      <w:pPr>
        <w:keepNext/>
        <w:spacing w:after="0" w:line="240" w:lineRule="auto"/>
        <w:jc w:val="both"/>
        <w:rPr>
          <w:rFonts w:ascii="Times New Roman" w:hAnsi="Times New Roman"/>
          <w:b/>
          <w:i/>
          <w:sz w:val="24"/>
          <w:szCs w:val="24"/>
          <w:lang w:val="en-AU" w:eastAsia="en-AU"/>
        </w:rPr>
      </w:pPr>
      <w:r>
        <w:rPr>
          <w:rFonts w:ascii="Times New Roman" w:hAnsi="Times New Roman"/>
          <w:b/>
          <w:i/>
          <w:sz w:val="24"/>
          <w:szCs w:val="24"/>
          <w:lang w:val="en-AU" w:eastAsia="en-AU"/>
        </w:rPr>
        <w:t>Status quo and problem definition</w:t>
      </w:r>
    </w:p>
    <w:p w:rsidR="00DF560B" w:rsidRPr="00E012CE" w:rsidRDefault="00DF560B" w:rsidP="00B91E3E">
      <w:pPr>
        <w:keepNext/>
        <w:spacing w:after="0" w:line="240" w:lineRule="auto"/>
        <w:jc w:val="both"/>
        <w:rPr>
          <w:rFonts w:ascii="Times New Roman" w:hAnsi="Times New Roman"/>
          <w:sz w:val="24"/>
          <w:szCs w:val="24"/>
          <w:lang w:val="en-AU" w:eastAsia="en-US"/>
        </w:rPr>
      </w:pPr>
    </w:p>
    <w:p w:rsidR="00DF560B" w:rsidRPr="00E012CE" w:rsidRDefault="00DF560B" w:rsidP="009C149F">
      <w:pPr>
        <w:numPr>
          <w:ilvl w:val="0"/>
          <w:numId w:val="2"/>
        </w:numPr>
        <w:tabs>
          <w:tab w:val="clear" w:pos="786"/>
          <w:tab w:val="num" w:pos="567"/>
          <w:tab w:val="num" w:pos="720"/>
        </w:tabs>
        <w:spacing w:after="0" w:line="240" w:lineRule="auto"/>
        <w:ind w:left="0" w:firstLine="0"/>
        <w:jc w:val="both"/>
        <w:rPr>
          <w:rFonts w:ascii="Times New Roman" w:hAnsi="Times New Roman"/>
          <w:sz w:val="24"/>
          <w:szCs w:val="24"/>
          <w:lang w:val="en-AU" w:eastAsia="en-US"/>
        </w:rPr>
      </w:pPr>
      <w:r w:rsidRPr="00323393">
        <w:rPr>
          <w:rFonts w:ascii="Times New Roman" w:hAnsi="Times New Roman"/>
          <w:sz w:val="24"/>
          <w:szCs w:val="24"/>
          <w:lang w:val="en-AU" w:eastAsia="en-US"/>
        </w:rPr>
        <w:t xml:space="preserve">Supplies of financial services are generally exempt </w:t>
      </w:r>
      <w:r w:rsidR="00A20A04">
        <w:rPr>
          <w:rFonts w:ascii="Times New Roman" w:hAnsi="Times New Roman"/>
          <w:sz w:val="24"/>
          <w:szCs w:val="24"/>
          <w:lang w:val="en-AU" w:eastAsia="en-US"/>
        </w:rPr>
        <w:t>supplies</w:t>
      </w:r>
      <w:r w:rsidRPr="00C60A70">
        <w:rPr>
          <w:rFonts w:ascii="Times New Roman" w:hAnsi="Times New Roman"/>
          <w:sz w:val="24"/>
          <w:szCs w:val="24"/>
          <w:lang w:val="en-AU" w:eastAsia="en-US"/>
        </w:rPr>
        <w:t>.</w:t>
      </w:r>
      <w:r>
        <w:rPr>
          <w:rFonts w:ascii="Times New Roman" w:hAnsi="Times New Roman"/>
          <w:sz w:val="24"/>
          <w:szCs w:val="24"/>
          <w:lang w:val="en-AU" w:eastAsia="en-US"/>
        </w:rPr>
        <w:t xml:space="preserve">  </w:t>
      </w:r>
      <w:r w:rsidRPr="00E012CE">
        <w:rPr>
          <w:rFonts w:ascii="Times New Roman" w:hAnsi="Times New Roman"/>
          <w:sz w:val="24"/>
          <w:szCs w:val="24"/>
          <w:lang w:val="en-AU" w:eastAsia="en-US"/>
        </w:rPr>
        <w:t>Exempting financial services recognises the inherent difficulty in determining the value of the service, as the financial service provider may be compensated by a margin or spread</w:t>
      </w:r>
      <w:r w:rsidR="001B7540">
        <w:rPr>
          <w:rFonts w:ascii="Times New Roman" w:hAnsi="Times New Roman"/>
          <w:sz w:val="24"/>
          <w:szCs w:val="24"/>
          <w:lang w:val="en-AU" w:eastAsia="en-US"/>
        </w:rPr>
        <w:t xml:space="preserve"> (for example, on the interest charged for lending)</w:t>
      </w:r>
      <w:r w:rsidRPr="00E012CE">
        <w:rPr>
          <w:rFonts w:ascii="Times New Roman" w:hAnsi="Times New Roman"/>
          <w:sz w:val="24"/>
          <w:szCs w:val="24"/>
          <w:lang w:val="en-AU" w:eastAsia="en-US"/>
        </w:rPr>
        <w:t xml:space="preserve"> rather than an explicit fee. As it is</w:t>
      </w:r>
      <w:r w:rsidR="00A20A04">
        <w:rPr>
          <w:rFonts w:ascii="Times New Roman" w:hAnsi="Times New Roman"/>
          <w:sz w:val="24"/>
          <w:szCs w:val="24"/>
          <w:lang w:val="en-AU" w:eastAsia="en-US"/>
        </w:rPr>
        <w:t xml:space="preserve"> therefore</w:t>
      </w:r>
      <w:r w:rsidRPr="00E012CE">
        <w:rPr>
          <w:rFonts w:ascii="Times New Roman" w:hAnsi="Times New Roman"/>
          <w:sz w:val="24"/>
          <w:szCs w:val="24"/>
          <w:lang w:val="en-AU" w:eastAsia="en-US"/>
        </w:rPr>
        <w:t xml:space="preserve"> difficult to determine the value of the financial service consumed, the supply is effectively taxed by denying input tax deductions. </w:t>
      </w:r>
    </w:p>
    <w:p w:rsidR="00DF560B" w:rsidRPr="00E012CE" w:rsidRDefault="00DF560B" w:rsidP="009C149F">
      <w:pPr>
        <w:spacing w:after="0" w:line="240" w:lineRule="auto"/>
        <w:jc w:val="both"/>
        <w:rPr>
          <w:rFonts w:ascii="Times New Roman" w:hAnsi="Times New Roman"/>
          <w:sz w:val="24"/>
          <w:szCs w:val="24"/>
          <w:lang w:val="en-AU" w:eastAsia="en-US"/>
        </w:rPr>
      </w:pPr>
    </w:p>
    <w:p w:rsidR="00DF560B" w:rsidRDefault="00A20A04" w:rsidP="009C149F">
      <w:pPr>
        <w:numPr>
          <w:ilvl w:val="0"/>
          <w:numId w:val="2"/>
        </w:numPr>
        <w:tabs>
          <w:tab w:val="clear" w:pos="786"/>
          <w:tab w:val="num" w:pos="567"/>
          <w:tab w:val="num" w:pos="720"/>
        </w:tabs>
        <w:spacing w:after="0" w:line="240" w:lineRule="auto"/>
        <w:ind w:left="0" w:firstLine="0"/>
        <w:jc w:val="both"/>
        <w:rPr>
          <w:rFonts w:ascii="Times New Roman" w:hAnsi="Times New Roman"/>
          <w:sz w:val="24"/>
          <w:szCs w:val="24"/>
          <w:lang w:val="en-AU" w:eastAsia="en-US"/>
        </w:rPr>
      </w:pPr>
      <w:r>
        <w:rPr>
          <w:rFonts w:ascii="Times New Roman" w:hAnsi="Times New Roman"/>
          <w:sz w:val="24"/>
          <w:szCs w:val="24"/>
          <w:lang w:val="en-AU" w:eastAsia="en-US"/>
        </w:rPr>
        <w:t xml:space="preserve">There are some exceptions to this approach.  </w:t>
      </w:r>
      <w:r w:rsidR="00DF560B" w:rsidRPr="00E012CE">
        <w:rPr>
          <w:rFonts w:ascii="Times New Roman" w:hAnsi="Times New Roman"/>
          <w:sz w:val="24"/>
          <w:szCs w:val="24"/>
          <w:lang w:val="en-AU" w:eastAsia="en-US"/>
        </w:rPr>
        <w:t xml:space="preserve">Since 1 January 2005, supplies of financial services to GST-registered businesses that predominantly make taxable supplies can be zero-rated, allowing financial service providers to claim deductions for the GST incurred in making these supplies. This was intended to reduce the potential for tax cascades caused by the exempt treatment of financial services, where tax must either be absorbed or passed on by the business </w:t>
      </w:r>
      <w:r w:rsidR="00DF560B">
        <w:rPr>
          <w:rFonts w:ascii="Times New Roman" w:hAnsi="Times New Roman"/>
          <w:sz w:val="24"/>
          <w:szCs w:val="24"/>
          <w:lang w:val="en-AU" w:eastAsia="en-US"/>
        </w:rPr>
        <w:t>receiving the supplies</w:t>
      </w:r>
      <w:r w:rsidR="00DF560B" w:rsidRPr="00E012CE">
        <w:rPr>
          <w:rFonts w:ascii="Times New Roman" w:hAnsi="Times New Roman"/>
          <w:sz w:val="24"/>
          <w:szCs w:val="24"/>
          <w:lang w:val="en-AU" w:eastAsia="en-US"/>
        </w:rPr>
        <w:t>.</w:t>
      </w:r>
    </w:p>
    <w:p w:rsidR="00A20A04" w:rsidRDefault="00A20A04" w:rsidP="009C149F">
      <w:pPr>
        <w:pStyle w:val="ListParagraph"/>
        <w:rPr>
          <w:rFonts w:ascii="Times New Roman" w:hAnsi="Times New Roman"/>
          <w:sz w:val="24"/>
          <w:szCs w:val="24"/>
          <w:lang w:val="en-AU"/>
        </w:rPr>
      </w:pPr>
    </w:p>
    <w:p w:rsidR="00A20A04" w:rsidRPr="00E012CE" w:rsidRDefault="001B7540" w:rsidP="009C149F">
      <w:pPr>
        <w:numPr>
          <w:ilvl w:val="0"/>
          <w:numId w:val="2"/>
        </w:numPr>
        <w:tabs>
          <w:tab w:val="clear" w:pos="786"/>
          <w:tab w:val="num" w:pos="567"/>
          <w:tab w:val="num" w:pos="720"/>
        </w:tabs>
        <w:spacing w:after="0" w:line="240" w:lineRule="auto"/>
        <w:ind w:left="0" w:firstLine="0"/>
        <w:jc w:val="both"/>
        <w:rPr>
          <w:rFonts w:ascii="Times New Roman" w:hAnsi="Times New Roman"/>
          <w:sz w:val="24"/>
          <w:szCs w:val="24"/>
          <w:lang w:val="en-AU" w:eastAsia="en-US"/>
        </w:rPr>
      </w:pPr>
      <w:r>
        <w:rPr>
          <w:rFonts w:ascii="Times New Roman" w:hAnsi="Times New Roman"/>
          <w:sz w:val="24"/>
          <w:szCs w:val="24"/>
          <w:lang w:val="en-AU" w:eastAsia="en-US"/>
        </w:rPr>
        <w:t xml:space="preserve">Another exception is for financial </w:t>
      </w:r>
      <w:r w:rsidR="00A20A04">
        <w:rPr>
          <w:rFonts w:ascii="Times New Roman" w:hAnsi="Times New Roman"/>
          <w:sz w:val="24"/>
          <w:szCs w:val="24"/>
          <w:lang w:val="en-AU" w:eastAsia="en-US"/>
        </w:rPr>
        <w:t>services supplied to non-residents outside New Zealand</w:t>
      </w:r>
      <w:r>
        <w:rPr>
          <w:rFonts w:ascii="Times New Roman" w:hAnsi="Times New Roman"/>
          <w:sz w:val="24"/>
          <w:szCs w:val="24"/>
          <w:lang w:val="en-AU" w:eastAsia="en-US"/>
        </w:rPr>
        <w:t>.  The services</w:t>
      </w:r>
      <w:r w:rsidR="00A20A04">
        <w:rPr>
          <w:rFonts w:ascii="Times New Roman" w:hAnsi="Times New Roman"/>
          <w:sz w:val="24"/>
          <w:szCs w:val="24"/>
          <w:lang w:val="en-AU" w:eastAsia="en-US"/>
        </w:rPr>
        <w:t xml:space="preserve"> are zero-rated, as any consumption occurs offshore.</w:t>
      </w:r>
    </w:p>
    <w:p w:rsidR="00DF560B" w:rsidRPr="00E012CE" w:rsidRDefault="00DF560B" w:rsidP="009C149F">
      <w:pPr>
        <w:spacing w:after="0" w:line="240" w:lineRule="auto"/>
        <w:jc w:val="both"/>
        <w:rPr>
          <w:rFonts w:ascii="Times New Roman" w:hAnsi="Times New Roman"/>
          <w:sz w:val="24"/>
          <w:szCs w:val="24"/>
          <w:lang w:val="en-AU" w:eastAsia="en-US"/>
        </w:rPr>
      </w:pPr>
    </w:p>
    <w:p w:rsidR="00DF560B" w:rsidRPr="00E012CE" w:rsidRDefault="00DF560B" w:rsidP="009C149F">
      <w:pPr>
        <w:numPr>
          <w:ilvl w:val="0"/>
          <w:numId w:val="2"/>
        </w:numPr>
        <w:tabs>
          <w:tab w:val="clear" w:pos="786"/>
          <w:tab w:val="num" w:pos="567"/>
          <w:tab w:val="num" w:pos="720"/>
        </w:tabs>
        <w:spacing w:after="0" w:line="240" w:lineRule="auto"/>
        <w:ind w:left="0" w:firstLine="0"/>
        <w:jc w:val="both"/>
        <w:rPr>
          <w:rFonts w:ascii="Times New Roman" w:hAnsi="Times New Roman"/>
          <w:sz w:val="24"/>
          <w:szCs w:val="24"/>
          <w:lang w:val="en-AU" w:eastAsia="en-US"/>
        </w:rPr>
      </w:pPr>
      <w:r w:rsidRPr="00E012CE">
        <w:rPr>
          <w:rFonts w:ascii="Times New Roman" w:hAnsi="Times New Roman"/>
          <w:sz w:val="24"/>
          <w:szCs w:val="24"/>
          <w:lang w:val="en-AU" w:eastAsia="en-US"/>
        </w:rPr>
        <w:t>Similar concerns arise when businesses that primarily provide taxable goods and services incur costs in raising capital.</w:t>
      </w:r>
      <w:r w:rsidR="001B7540">
        <w:rPr>
          <w:rFonts w:ascii="Times New Roman" w:hAnsi="Times New Roman"/>
          <w:sz w:val="24"/>
          <w:szCs w:val="24"/>
          <w:lang w:val="en-AU" w:eastAsia="en-US"/>
        </w:rPr>
        <w:t xml:space="preserve"> </w:t>
      </w:r>
      <w:r w:rsidRPr="00E012CE">
        <w:rPr>
          <w:rFonts w:ascii="Times New Roman" w:hAnsi="Times New Roman"/>
          <w:sz w:val="24"/>
          <w:szCs w:val="24"/>
          <w:lang w:val="en-AU" w:eastAsia="en-US"/>
        </w:rPr>
        <w:t xml:space="preserve"> As the provision of debt or equity securities is treated as an exempt supply of financial services, the GST costs incurred in making these supplies cannot be recovered.</w:t>
      </w:r>
      <w:r w:rsidR="001B7540">
        <w:rPr>
          <w:rFonts w:ascii="Times New Roman" w:hAnsi="Times New Roman"/>
          <w:sz w:val="24"/>
          <w:szCs w:val="24"/>
          <w:lang w:val="en-AU" w:eastAsia="en-US"/>
        </w:rPr>
        <w:t xml:space="preserve"> </w:t>
      </w:r>
      <w:r w:rsidRPr="00E012CE">
        <w:rPr>
          <w:rFonts w:ascii="Times New Roman" w:hAnsi="Times New Roman"/>
          <w:sz w:val="24"/>
          <w:szCs w:val="24"/>
          <w:lang w:val="en-AU" w:eastAsia="en-US"/>
        </w:rPr>
        <w:t xml:space="preserve"> Examples of these costs may include NZX listing fees, legal fees and costs associated with preparing a product disclosure statement. </w:t>
      </w:r>
    </w:p>
    <w:p w:rsidR="00DF560B" w:rsidRDefault="00DF560B" w:rsidP="009C149F">
      <w:pPr>
        <w:spacing w:after="0" w:line="240" w:lineRule="auto"/>
        <w:ind w:left="720"/>
        <w:contextualSpacing/>
        <w:jc w:val="both"/>
        <w:rPr>
          <w:rFonts w:ascii="Times New Roman" w:hAnsi="Times New Roman"/>
          <w:sz w:val="24"/>
          <w:szCs w:val="24"/>
          <w:lang w:val="en-NZ" w:eastAsia="en-US"/>
        </w:rPr>
      </w:pPr>
    </w:p>
    <w:p w:rsidR="009A66AC" w:rsidRDefault="00DF560B" w:rsidP="009C149F">
      <w:pPr>
        <w:numPr>
          <w:ilvl w:val="0"/>
          <w:numId w:val="2"/>
        </w:numPr>
        <w:tabs>
          <w:tab w:val="clear" w:pos="786"/>
          <w:tab w:val="num" w:pos="567"/>
          <w:tab w:val="num" w:pos="720"/>
        </w:tabs>
        <w:spacing w:after="0" w:line="240" w:lineRule="auto"/>
        <w:ind w:left="0" w:firstLine="0"/>
        <w:jc w:val="both"/>
        <w:rPr>
          <w:rFonts w:ascii="Times New Roman" w:hAnsi="Times New Roman"/>
          <w:sz w:val="24"/>
          <w:szCs w:val="24"/>
          <w:lang w:val="en-AU"/>
        </w:rPr>
      </w:pPr>
      <w:r w:rsidRPr="009A66AC">
        <w:rPr>
          <w:rFonts w:ascii="Times New Roman" w:hAnsi="Times New Roman"/>
          <w:sz w:val="24"/>
          <w:szCs w:val="24"/>
          <w:lang w:val="en-AU" w:eastAsia="en-US"/>
        </w:rPr>
        <w:t xml:space="preserve">As GST is applied on a transactional basis, </w:t>
      </w:r>
      <w:r w:rsidR="009A66AC">
        <w:rPr>
          <w:rFonts w:ascii="Times New Roman" w:hAnsi="Times New Roman"/>
          <w:sz w:val="24"/>
          <w:szCs w:val="24"/>
          <w:lang w:val="en-AU" w:eastAsia="en-US"/>
        </w:rPr>
        <w:t xml:space="preserve">the ability to claim input tax deductions in respect of goods or services is based on the supplies those goods or services are used to make.  </w:t>
      </w:r>
      <w:r w:rsidR="009A66AC" w:rsidRPr="009A66AC">
        <w:rPr>
          <w:rFonts w:ascii="Times New Roman" w:hAnsi="Times New Roman"/>
          <w:sz w:val="24"/>
          <w:szCs w:val="24"/>
          <w:lang w:val="en-AU" w:eastAsia="en-US"/>
        </w:rPr>
        <w:t>As the goods or services are used to make exempt supplies</w:t>
      </w:r>
      <w:r w:rsidR="009A66AC">
        <w:rPr>
          <w:rFonts w:ascii="Times New Roman" w:hAnsi="Times New Roman"/>
          <w:sz w:val="24"/>
          <w:szCs w:val="24"/>
          <w:lang w:val="en-AU" w:eastAsia="en-US"/>
        </w:rPr>
        <w:t xml:space="preserve"> of financial services</w:t>
      </w:r>
      <w:r w:rsidR="009A66AC" w:rsidRPr="009A66AC">
        <w:rPr>
          <w:rFonts w:ascii="Times New Roman" w:hAnsi="Times New Roman"/>
          <w:sz w:val="24"/>
          <w:szCs w:val="24"/>
          <w:lang w:val="en-AU" w:eastAsia="en-US"/>
        </w:rPr>
        <w:t xml:space="preserve">, deductions are denied. </w:t>
      </w:r>
    </w:p>
    <w:p w:rsidR="00DF560B" w:rsidRPr="005577B8" w:rsidRDefault="00DF560B" w:rsidP="009C149F">
      <w:pPr>
        <w:tabs>
          <w:tab w:val="num" w:pos="786"/>
        </w:tabs>
        <w:spacing w:after="0" w:line="240" w:lineRule="auto"/>
        <w:jc w:val="both"/>
        <w:rPr>
          <w:rFonts w:ascii="Times New Roman" w:hAnsi="Times New Roman"/>
          <w:sz w:val="24"/>
          <w:szCs w:val="24"/>
          <w:lang w:val="en-AU"/>
        </w:rPr>
      </w:pPr>
    </w:p>
    <w:p w:rsidR="00DF560B" w:rsidRPr="00F14EBC" w:rsidRDefault="009A66AC" w:rsidP="009C149F">
      <w:pPr>
        <w:numPr>
          <w:ilvl w:val="0"/>
          <w:numId w:val="2"/>
        </w:numPr>
        <w:tabs>
          <w:tab w:val="clear" w:pos="786"/>
          <w:tab w:val="num" w:pos="567"/>
          <w:tab w:val="num" w:pos="720"/>
        </w:tabs>
        <w:spacing w:after="0" w:line="240" w:lineRule="auto"/>
        <w:ind w:left="0" w:firstLine="0"/>
        <w:contextualSpacing/>
        <w:jc w:val="both"/>
        <w:rPr>
          <w:rFonts w:ascii="Times New Roman" w:hAnsi="Times New Roman"/>
          <w:sz w:val="24"/>
          <w:szCs w:val="24"/>
          <w:lang w:val="en-AU" w:eastAsia="en-US"/>
        </w:rPr>
      </w:pPr>
      <w:r>
        <w:rPr>
          <w:rFonts w:ascii="Times New Roman" w:hAnsi="Times New Roman"/>
          <w:sz w:val="24"/>
          <w:szCs w:val="24"/>
          <w:lang w:val="en-AU" w:eastAsia="en-US"/>
        </w:rPr>
        <w:t xml:space="preserve">This produces the correct result where the financial services are being consumed by the recipient (for example, the services are consumer lending).  </w:t>
      </w:r>
      <w:r w:rsidR="00DF560B" w:rsidRPr="00C60A70">
        <w:rPr>
          <w:rFonts w:ascii="Times New Roman" w:hAnsi="Times New Roman"/>
          <w:sz w:val="24"/>
          <w:szCs w:val="24"/>
          <w:lang w:val="en-AU" w:eastAsia="en-US"/>
        </w:rPr>
        <w:t>However, where the financial services are provided to raise capital, there is a strong argument that the</w:t>
      </w:r>
      <w:r w:rsidR="00DF560B" w:rsidRPr="00F14EBC">
        <w:rPr>
          <w:rFonts w:ascii="Times New Roman" w:hAnsi="Times New Roman"/>
          <w:sz w:val="24"/>
          <w:szCs w:val="24"/>
          <w:lang w:val="en-AU" w:eastAsia="en-US"/>
        </w:rPr>
        <w:t xml:space="preserve">se </w:t>
      </w:r>
      <w:r>
        <w:rPr>
          <w:rFonts w:ascii="Times New Roman" w:hAnsi="Times New Roman"/>
          <w:sz w:val="24"/>
          <w:szCs w:val="24"/>
          <w:lang w:val="en-AU" w:eastAsia="en-US"/>
        </w:rPr>
        <w:t xml:space="preserve">supplies are actually part of the business’ supply chain, and are not consumed by the providers of the capital.  </w:t>
      </w:r>
      <w:r w:rsidR="00DF560B" w:rsidRPr="00C60A70">
        <w:rPr>
          <w:rFonts w:ascii="Times New Roman" w:hAnsi="Times New Roman"/>
          <w:sz w:val="24"/>
          <w:szCs w:val="24"/>
          <w:lang w:val="en-AU" w:eastAsia="en-US"/>
        </w:rPr>
        <w:t>Denying deductions for these costs is said to</w:t>
      </w:r>
      <w:r w:rsidR="00DF560B" w:rsidRPr="00F14EBC">
        <w:rPr>
          <w:rFonts w:ascii="Times New Roman" w:hAnsi="Times New Roman"/>
          <w:sz w:val="24"/>
          <w:szCs w:val="24"/>
          <w:lang w:val="en-AU" w:eastAsia="en-US"/>
        </w:rPr>
        <w:t xml:space="preserve"> lead to tax cascades, </w:t>
      </w:r>
      <w:r>
        <w:rPr>
          <w:rFonts w:ascii="Times New Roman" w:hAnsi="Times New Roman"/>
          <w:sz w:val="24"/>
          <w:szCs w:val="24"/>
          <w:lang w:val="en-AU" w:eastAsia="en-US"/>
        </w:rPr>
        <w:t>as</w:t>
      </w:r>
      <w:r w:rsidR="00DF560B" w:rsidRPr="00F14EBC">
        <w:rPr>
          <w:rFonts w:ascii="Times New Roman" w:hAnsi="Times New Roman"/>
          <w:sz w:val="24"/>
          <w:szCs w:val="24"/>
          <w:lang w:val="en-AU" w:eastAsia="en-US"/>
        </w:rPr>
        <w:t xml:space="preserve"> a taxable business must either absorb the GST cost or pass the cost onto its customers, with GST being charged on this amount again in later stages of the supply chain. This is contrary to GST’s role as a tax on consumption, rather than on business.</w:t>
      </w:r>
    </w:p>
    <w:p w:rsidR="00ED0D31" w:rsidRPr="007F377A" w:rsidRDefault="00ED0D31" w:rsidP="00ED0D31">
      <w:pPr>
        <w:pStyle w:val="Bullet-list"/>
        <w:tabs>
          <w:tab w:val="num" w:pos="786"/>
        </w:tabs>
        <w:spacing w:after="0" w:line="240" w:lineRule="auto"/>
        <w:jc w:val="both"/>
        <w:rPr>
          <w:rFonts w:ascii="Times New Roman" w:hAnsi="Times New Roman"/>
          <w:sz w:val="24"/>
          <w:szCs w:val="24"/>
        </w:rPr>
      </w:pPr>
    </w:p>
    <w:p w:rsidR="00ED0D31" w:rsidRDefault="00ED0D31" w:rsidP="00ED0D31">
      <w:pPr>
        <w:numPr>
          <w:ilvl w:val="0"/>
          <w:numId w:val="2"/>
        </w:numPr>
        <w:tabs>
          <w:tab w:val="num" w:pos="567"/>
        </w:tabs>
        <w:spacing w:after="0" w:line="240" w:lineRule="auto"/>
        <w:ind w:left="0" w:firstLine="0"/>
        <w:jc w:val="both"/>
        <w:rPr>
          <w:rFonts w:ascii="Times New Roman" w:hAnsi="Times New Roman"/>
          <w:sz w:val="24"/>
          <w:szCs w:val="24"/>
          <w:lang w:val="en-AU" w:eastAsia="en-US"/>
        </w:rPr>
      </w:pPr>
      <w:r>
        <w:rPr>
          <w:rFonts w:ascii="Times New Roman" w:hAnsi="Times New Roman"/>
          <w:sz w:val="24"/>
          <w:szCs w:val="24"/>
          <w:lang w:val="en-AU" w:eastAsia="en-US"/>
        </w:rPr>
        <w:t>This analysis does not apply to businesses that principally make supplies of financial services.  As these businesses act as intermediaries between borrowers and lenders, it is more difficult to determine the extent borrowing relates to the general business activities and the extent it relates to specific supplies.  Special rules exist to enable businesses to elect to zero-rate their business-to-business supplies of financial services.  Financial service providers may also enter into an agreement with the Commissioner of Inland Revenue on a fair and reasonable method of apportioning their costs between their taxable and exempt supplies</w:t>
      </w:r>
      <w:r w:rsidRPr="00CF241C">
        <w:rPr>
          <w:rFonts w:ascii="Times New Roman" w:hAnsi="Times New Roman"/>
          <w:sz w:val="24"/>
          <w:szCs w:val="24"/>
          <w:lang w:val="en-AU" w:eastAsia="en-US"/>
        </w:rPr>
        <w:t>.</w:t>
      </w:r>
    </w:p>
    <w:p w:rsidR="00ED0D31" w:rsidRDefault="00ED0D31" w:rsidP="00ED0D31">
      <w:pPr>
        <w:pStyle w:val="ListParagraph"/>
        <w:rPr>
          <w:rFonts w:ascii="Times New Roman" w:hAnsi="Times New Roman"/>
          <w:sz w:val="24"/>
          <w:szCs w:val="24"/>
          <w:lang w:val="en-AU"/>
        </w:rPr>
      </w:pPr>
    </w:p>
    <w:p w:rsidR="00ED0D31" w:rsidRPr="00A422F4" w:rsidRDefault="00ED0D31" w:rsidP="00ED0D31">
      <w:pPr>
        <w:numPr>
          <w:ilvl w:val="0"/>
          <w:numId w:val="2"/>
        </w:numPr>
        <w:tabs>
          <w:tab w:val="num" w:pos="567"/>
        </w:tabs>
        <w:spacing w:after="0" w:line="240" w:lineRule="auto"/>
        <w:ind w:left="0" w:firstLine="0"/>
        <w:jc w:val="both"/>
        <w:rPr>
          <w:rFonts w:ascii="Times New Roman" w:hAnsi="Times New Roman"/>
          <w:sz w:val="24"/>
          <w:szCs w:val="24"/>
          <w:lang w:val="en-AU" w:eastAsia="en-US"/>
        </w:rPr>
      </w:pPr>
      <w:r w:rsidRPr="00A422F4">
        <w:rPr>
          <w:rFonts w:ascii="Times New Roman" w:hAnsi="Times New Roman"/>
          <w:sz w:val="24"/>
          <w:szCs w:val="24"/>
          <w:lang w:val="en-AU" w:eastAsia="en-US"/>
        </w:rPr>
        <w:t xml:space="preserve">This analysis is constrained by </w:t>
      </w:r>
      <w:r w:rsidRPr="005B1E55">
        <w:rPr>
          <w:rFonts w:ascii="Times New Roman" w:hAnsi="Times New Roman"/>
          <w:sz w:val="24"/>
          <w:szCs w:val="24"/>
          <w:lang w:val="en-AU" w:eastAsia="en-US"/>
        </w:rPr>
        <w:t xml:space="preserve">the available </w:t>
      </w:r>
      <w:r w:rsidRPr="00A422F4">
        <w:rPr>
          <w:rFonts w:ascii="Times New Roman" w:hAnsi="Times New Roman"/>
          <w:sz w:val="24"/>
          <w:szCs w:val="24"/>
          <w:lang w:val="en-AU" w:eastAsia="en-US"/>
        </w:rPr>
        <w:t>information</w:t>
      </w:r>
      <w:r w:rsidRPr="005B1E55">
        <w:rPr>
          <w:rFonts w:ascii="Times New Roman" w:hAnsi="Times New Roman"/>
          <w:sz w:val="24"/>
          <w:szCs w:val="24"/>
          <w:lang w:val="en-AU" w:eastAsia="en-US"/>
        </w:rPr>
        <w:t xml:space="preserve"> on capital raising activities</w:t>
      </w:r>
      <w:r w:rsidRPr="00A422F4">
        <w:rPr>
          <w:rFonts w:ascii="Times New Roman" w:hAnsi="Times New Roman"/>
          <w:sz w:val="24"/>
          <w:szCs w:val="24"/>
          <w:lang w:val="en-AU" w:eastAsia="en-US"/>
        </w:rPr>
        <w:t>.  Information on new, publicly listed, equity and debt is published by the NZX.  The information published in the annual metrics between 2011 and 2014 indicates approximately $7 billion of new, primary, and secondary and dual equity issued per annum, and $4</w:t>
      </w:r>
      <w:r>
        <w:rPr>
          <w:rFonts w:ascii="Times New Roman" w:hAnsi="Times New Roman"/>
          <w:sz w:val="24"/>
          <w:szCs w:val="24"/>
          <w:lang w:val="en-AU" w:eastAsia="en-US"/>
        </w:rPr>
        <w:t>00</w:t>
      </w:r>
      <w:r w:rsidRPr="00A422F4">
        <w:rPr>
          <w:rFonts w:ascii="Times New Roman" w:hAnsi="Times New Roman"/>
          <w:sz w:val="24"/>
          <w:szCs w:val="24"/>
          <w:lang w:val="en-AU" w:eastAsia="en-US"/>
        </w:rPr>
        <w:t xml:space="preserve">-500 million of debt.   </w:t>
      </w:r>
    </w:p>
    <w:p w:rsidR="00ED0D31" w:rsidRPr="00A422F4" w:rsidRDefault="00ED0D31" w:rsidP="00ED0D31">
      <w:pPr>
        <w:pStyle w:val="ListParagraph"/>
        <w:rPr>
          <w:rFonts w:ascii="Times New Roman" w:hAnsi="Times New Roman"/>
          <w:sz w:val="24"/>
          <w:szCs w:val="24"/>
          <w:lang w:val="en-AU"/>
        </w:rPr>
      </w:pPr>
    </w:p>
    <w:p w:rsidR="00ED0D31" w:rsidRPr="00A422F4" w:rsidRDefault="00ED0D31" w:rsidP="00ED0D31">
      <w:pPr>
        <w:numPr>
          <w:ilvl w:val="0"/>
          <w:numId w:val="2"/>
        </w:numPr>
        <w:tabs>
          <w:tab w:val="num" w:pos="567"/>
        </w:tabs>
        <w:spacing w:after="0" w:line="240" w:lineRule="auto"/>
        <w:ind w:left="0" w:firstLine="0"/>
        <w:jc w:val="both"/>
        <w:rPr>
          <w:rFonts w:ascii="Times New Roman" w:hAnsi="Times New Roman"/>
          <w:sz w:val="24"/>
          <w:szCs w:val="24"/>
          <w:lang w:val="en-AU" w:eastAsia="en-US"/>
        </w:rPr>
      </w:pPr>
      <w:r w:rsidRPr="00A422F4">
        <w:rPr>
          <w:rFonts w:ascii="Times New Roman" w:hAnsi="Times New Roman"/>
          <w:sz w:val="24"/>
          <w:szCs w:val="24"/>
          <w:lang w:val="en-AU" w:eastAsia="en-US"/>
        </w:rPr>
        <w:t xml:space="preserve">Information on private capital </w:t>
      </w:r>
      <w:proofErr w:type="gramStart"/>
      <w:r w:rsidRPr="00A422F4">
        <w:rPr>
          <w:rFonts w:ascii="Times New Roman" w:hAnsi="Times New Roman"/>
          <w:sz w:val="24"/>
          <w:szCs w:val="24"/>
          <w:lang w:val="en-AU" w:eastAsia="en-US"/>
        </w:rPr>
        <w:t>raising</w:t>
      </w:r>
      <w:proofErr w:type="gramEnd"/>
      <w:r w:rsidRPr="00A422F4">
        <w:rPr>
          <w:rFonts w:ascii="Times New Roman" w:hAnsi="Times New Roman"/>
          <w:sz w:val="24"/>
          <w:szCs w:val="24"/>
          <w:lang w:val="en-AU" w:eastAsia="en-US"/>
        </w:rPr>
        <w:t xml:space="preserve"> is less readily available, both as to the amount of capital raised, and the number of participants in the industry.  Industry publications suggest that, in 2014, $200 million of new equity was raised withi</w:t>
      </w:r>
      <w:r w:rsidRPr="005B1E55">
        <w:rPr>
          <w:rFonts w:ascii="Times New Roman" w:hAnsi="Times New Roman"/>
          <w:sz w:val="24"/>
          <w:szCs w:val="24"/>
          <w:lang w:val="en-AU" w:eastAsia="en-US"/>
        </w:rPr>
        <w:t>n the venture capital industry.</w:t>
      </w:r>
      <w:r w:rsidRPr="00A422F4">
        <w:rPr>
          <w:rFonts w:ascii="Times New Roman" w:hAnsi="Times New Roman"/>
          <w:sz w:val="24"/>
          <w:szCs w:val="24"/>
          <w:lang w:val="en-AU" w:eastAsia="en-US"/>
        </w:rPr>
        <w:t xml:space="preserve">  Information on private debt </w:t>
      </w:r>
      <w:r>
        <w:rPr>
          <w:rFonts w:ascii="Times New Roman" w:hAnsi="Times New Roman"/>
          <w:sz w:val="24"/>
          <w:szCs w:val="24"/>
          <w:lang w:val="en-AU" w:eastAsia="en-US"/>
        </w:rPr>
        <w:t>i</w:t>
      </w:r>
      <w:r w:rsidRPr="00A422F4">
        <w:rPr>
          <w:rFonts w:ascii="Times New Roman" w:hAnsi="Times New Roman"/>
          <w:sz w:val="24"/>
          <w:szCs w:val="24"/>
          <w:lang w:val="en-AU" w:eastAsia="en-US"/>
        </w:rPr>
        <w:t>s not available.</w:t>
      </w:r>
    </w:p>
    <w:p w:rsidR="00DF560B" w:rsidRPr="00E012CE" w:rsidRDefault="00DF560B" w:rsidP="009C149F">
      <w:pPr>
        <w:tabs>
          <w:tab w:val="num" w:pos="786"/>
        </w:tabs>
        <w:spacing w:after="0" w:line="240" w:lineRule="auto"/>
        <w:jc w:val="both"/>
        <w:rPr>
          <w:rFonts w:ascii="Times New Roman" w:hAnsi="Times New Roman"/>
          <w:sz w:val="24"/>
          <w:szCs w:val="24"/>
          <w:lang w:val="en-AU" w:eastAsia="en-US"/>
        </w:rPr>
      </w:pPr>
    </w:p>
    <w:p w:rsidR="001C4B87" w:rsidRPr="006B2540" w:rsidRDefault="00DF560B" w:rsidP="00B91E3E">
      <w:pPr>
        <w:pStyle w:val="Bullet-list"/>
        <w:keepNext/>
        <w:spacing w:after="0" w:line="240" w:lineRule="auto"/>
        <w:jc w:val="both"/>
        <w:rPr>
          <w:rFonts w:ascii="Times New Roman" w:hAnsi="Times New Roman"/>
          <w:b/>
          <w:i/>
          <w:sz w:val="24"/>
          <w:szCs w:val="24"/>
        </w:rPr>
      </w:pPr>
      <w:r w:rsidRPr="006B2540">
        <w:rPr>
          <w:rFonts w:ascii="Times New Roman" w:hAnsi="Times New Roman"/>
          <w:b/>
          <w:i/>
          <w:sz w:val="24"/>
          <w:szCs w:val="24"/>
        </w:rPr>
        <w:t>Objectives</w:t>
      </w:r>
    </w:p>
    <w:p w:rsidR="00997B41" w:rsidRPr="00532AAA" w:rsidRDefault="00997B41" w:rsidP="00B91E3E">
      <w:pPr>
        <w:pStyle w:val="Bullet-list"/>
        <w:keepNext/>
        <w:spacing w:after="0" w:line="240" w:lineRule="auto"/>
        <w:ind w:left="0" w:firstLine="0"/>
        <w:jc w:val="both"/>
        <w:rPr>
          <w:rFonts w:ascii="Times New Roman" w:hAnsi="Times New Roman"/>
          <w:i/>
          <w:sz w:val="24"/>
          <w:szCs w:val="24"/>
        </w:rPr>
      </w:pPr>
    </w:p>
    <w:p w:rsidR="00997B41" w:rsidRDefault="00FC3C49" w:rsidP="009C149F">
      <w:pPr>
        <w:numPr>
          <w:ilvl w:val="0"/>
          <w:numId w:val="2"/>
        </w:numPr>
        <w:tabs>
          <w:tab w:val="num" w:pos="567"/>
        </w:tabs>
        <w:spacing w:after="0" w:line="240" w:lineRule="auto"/>
        <w:ind w:left="0" w:firstLine="0"/>
        <w:jc w:val="both"/>
        <w:rPr>
          <w:rFonts w:ascii="Times New Roman" w:hAnsi="Times New Roman"/>
          <w:sz w:val="24"/>
          <w:szCs w:val="24"/>
          <w:lang w:val="en-AU" w:eastAsia="en-US"/>
        </w:rPr>
      </w:pPr>
      <w:r w:rsidRPr="00532AAA">
        <w:rPr>
          <w:rFonts w:ascii="Times New Roman" w:hAnsi="Times New Roman"/>
          <w:sz w:val="24"/>
          <w:szCs w:val="24"/>
          <w:lang w:val="en-AU" w:eastAsia="en-US"/>
        </w:rPr>
        <w:t>The key objective</w:t>
      </w:r>
      <w:r w:rsidR="009A66AC">
        <w:rPr>
          <w:rFonts w:ascii="Times New Roman" w:hAnsi="Times New Roman"/>
          <w:sz w:val="24"/>
          <w:szCs w:val="24"/>
          <w:lang w:val="en-AU" w:eastAsia="en-US"/>
        </w:rPr>
        <w:t xml:space="preserve"> is</w:t>
      </w:r>
      <w:r w:rsidRPr="00532AAA">
        <w:rPr>
          <w:rFonts w:ascii="Times New Roman" w:hAnsi="Times New Roman"/>
          <w:sz w:val="24"/>
          <w:szCs w:val="24"/>
          <w:lang w:val="en-AU" w:eastAsia="en-US"/>
        </w:rPr>
        <w:t xml:space="preserve"> </w:t>
      </w:r>
      <w:r w:rsidR="00202449">
        <w:rPr>
          <w:rFonts w:ascii="Times New Roman" w:hAnsi="Times New Roman"/>
          <w:sz w:val="24"/>
          <w:szCs w:val="24"/>
          <w:lang w:val="en-AU" w:eastAsia="en-US"/>
        </w:rPr>
        <w:t xml:space="preserve">effectiveness and </w:t>
      </w:r>
      <w:r>
        <w:rPr>
          <w:rFonts w:ascii="Times New Roman" w:hAnsi="Times New Roman"/>
          <w:sz w:val="24"/>
          <w:szCs w:val="24"/>
          <w:lang w:val="en-AU" w:eastAsia="en-US"/>
        </w:rPr>
        <w:t>fairness.</w:t>
      </w:r>
      <w:r w:rsidRPr="00532AAA">
        <w:rPr>
          <w:rFonts w:ascii="Times New Roman" w:hAnsi="Times New Roman"/>
          <w:sz w:val="24"/>
          <w:szCs w:val="24"/>
          <w:lang w:val="en-AU" w:eastAsia="en-US"/>
        </w:rPr>
        <w:t xml:space="preserve"> </w:t>
      </w:r>
      <w:r>
        <w:rPr>
          <w:rFonts w:ascii="Times New Roman" w:hAnsi="Times New Roman"/>
          <w:sz w:val="24"/>
          <w:szCs w:val="24"/>
          <w:lang w:val="en-AU" w:eastAsia="en-US"/>
        </w:rPr>
        <w:t xml:space="preserve"> </w:t>
      </w:r>
      <w:r w:rsidR="00997B41">
        <w:rPr>
          <w:rFonts w:ascii="Times New Roman" w:hAnsi="Times New Roman"/>
          <w:sz w:val="24"/>
          <w:szCs w:val="24"/>
          <w:lang w:val="en-AU" w:eastAsia="en-US"/>
        </w:rPr>
        <w:t>GST is intended to be a tax applied once on consumption</w:t>
      </w:r>
      <w:r w:rsidR="009116C3">
        <w:rPr>
          <w:rFonts w:ascii="Times New Roman" w:hAnsi="Times New Roman"/>
          <w:sz w:val="24"/>
          <w:szCs w:val="24"/>
          <w:lang w:val="en-AU" w:eastAsia="en-US"/>
        </w:rPr>
        <w:t xml:space="preserve"> only once so that</w:t>
      </w:r>
      <w:r w:rsidR="00510966">
        <w:rPr>
          <w:rFonts w:ascii="Times New Roman" w:hAnsi="Times New Roman"/>
          <w:sz w:val="24"/>
          <w:szCs w:val="24"/>
          <w:lang w:val="en-AU" w:eastAsia="en-US"/>
        </w:rPr>
        <w:t xml:space="preserve"> </w:t>
      </w:r>
      <w:r w:rsidR="00997B41">
        <w:rPr>
          <w:rFonts w:ascii="Times New Roman" w:hAnsi="Times New Roman"/>
          <w:sz w:val="24"/>
          <w:szCs w:val="24"/>
          <w:lang w:val="en-AU" w:eastAsia="en-US"/>
        </w:rPr>
        <w:t xml:space="preserve">cascades </w:t>
      </w:r>
      <w:r w:rsidR="009116C3">
        <w:rPr>
          <w:rFonts w:ascii="Times New Roman" w:hAnsi="Times New Roman"/>
          <w:sz w:val="24"/>
          <w:szCs w:val="24"/>
          <w:lang w:val="en-AU" w:eastAsia="en-US"/>
        </w:rPr>
        <w:t xml:space="preserve">do </w:t>
      </w:r>
      <w:r w:rsidR="00997B41">
        <w:rPr>
          <w:rFonts w:ascii="Times New Roman" w:hAnsi="Times New Roman"/>
          <w:sz w:val="24"/>
          <w:szCs w:val="24"/>
          <w:lang w:val="en-AU" w:eastAsia="en-US"/>
        </w:rPr>
        <w:t xml:space="preserve">not occur.  This </w:t>
      </w:r>
      <w:r w:rsidR="00510966">
        <w:rPr>
          <w:rFonts w:ascii="Times New Roman" w:hAnsi="Times New Roman"/>
          <w:sz w:val="24"/>
          <w:szCs w:val="24"/>
          <w:lang w:val="en-AU" w:eastAsia="en-US"/>
        </w:rPr>
        <w:t xml:space="preserve">is not the result when </w:t>
      </w:r>
      <w:r w:rsidR="00997B41">
        <w:rPr>
          <w:rFonts w:ascii="Times New Roman" w:hAnsi="Times New Roman"/>
          <w:sz w:val="24"/>
          <w:szCs w:val="24"/>
          <w:lang w:val="en-AU" w:eastAsia="en-US"/>
        </w:rPr>
        <w:t xml:space="preserve">capital raising costs are not deductible, and are incurred by the business or passed on.  Passing </w:t>
      </w:r>
      <w:r w:rsidR="009116C3">
        <w:rPr>
          <w:rFonts w:ascii="Times New Roman" w:hAnsi="Times New Roman"/>
          <w:sz w:val="24"/>
          <w:szCs w:val="24"/>
          <w:lang w:val="en-AU" w:eastAsia="en-US"/>
        </w:rPr>
        <w:t xml:space="preserve">on </w:t>
      </w:r>
      <w:r w:rsidR="00997B41">
        <w:rPr>
          <w:rFonts w:ascii="Times New Roman" w:hAnsi="Times New Roman"/>
          <w:sz w:val="24"/>
          <w:szCs w:val="24"/>
          <w:lang w:val="en-AU" w:eastAsia="en-US"/>
        </w:rPr>
        <w:t xml:space="preserve">the cost of this GST may result in a tax cascade, where the unrecoverable GST is embedded in the price paid for the supply, and the supply itself is </w:t>
      </w:r>
      <w:r w:rsidR="00997B41" w:rsidRPr="00FC6725">
        <w:rPr>
          <w:rFonts w:ascii="Times New Roman" w:hAnsi="Times New Roman"/>
          <w:sz w:val="24"/>
          <w:szCs w:val="24"/>
          <w:lang w:val="en-AU" w:eastAsia="en-US"/>
        </w:rPr>
        <w:t>taxed.</w:t>
      </w:r>
      <w:r w:rsidR="00144E49" w:rsidRPr="00FC6725">
        <w:rPr>
          <w:rFonts w:ascii="Times New Roman" w:hAnsi="Times New Roman"/>
          <w:sz w:val="24"/>
          <w:szCs w:val="24"/>
          <w:lang w:val="en-AU" w:eastAsia="en-US"/>
        </w:rPr>
        <w:t xml:space="preserve">  Neutrality is also an important </w:t>
      </w:r>
      <w:r w:rsidR="00FC6725" w:rsidRPr="00B91E3E">
        <w:rPr>
          <w:rFonts w:ascii="Times New Roman" w:hAnsi="Times New Roman"/>
          <w:sz w:val="24"/>
          <w:szCs w:val="24"/>
          <w:lang w:val="en-AU" w:eastAsia="en-US"/>
        </w:rPr>
        <w:t>objective for this item</w:t>
      </w:r>
      <w:r w:rsidR="00144E49" w:rsidRPr="00FC6725">
        <w:rPr>
          <w:rFonts w:ascii="Times New Roman" w:hAnsi="Times New Roman"/>
          <w:sz w:val="24"/>
          <w:szCs w:val="24"/>
          <w:lang w:val="en-AU" w:eastAsia="en-US"/>
        </w:rPr>
        <w:t>.</w:t>
      </w:r>
    </w:p>
    <w:p w:rsidR="00A20A04" w:rsidRDefault="00A20A04" w:rsidP="009C149F">
      <w:pPr>
        <w:spacing w:after="0" w:line="240" w:lineRule="auto"/>
        <w:jc w:val="both"/>
        <w:rPr>
          <w:rFonts w:ascii="Times New Roman" w:hAnsi="Times New Roman"/>
          <w:sz w:val="24"/>
          <w:szCs w:val="24"/>
          <w:lang w:val="en-AU" w:eastAsia="en-US"/>
        </w:rPr>
      </w:pPr>
    </w:p>
    <w:p w:rsidR="00AD604C" w:rsidRPr="006B2540" w:rsidRDefault="00AD604C" w:rsidP="009C149F">
      <w:pPr>
        <w:spacing w:after="0" w:line="240" w:lineRule="auto"/>
        <w:jc w:val="both"/>
        <w:rPr>
          <w:rFonts w:ascii="Times New Roman" w:hAnsi="Times New Roman"/>
          <w:b/>
          <w:i/>
          <w:sz w:val="24"/>
          <w:szCs w:val="24"/>
          <w:lang w:val="en-AU" w:eastAsia="en-US"/>
        </w:rPr>
      </w:pPr>
      <w:r w:rsidRPr="006B2540">
        <w:rPr>
          <w:rFonts w:ascii="Times New Roman" w:hAnsi="Times New Roman"/>
          <w:b/>
          <w:i/>
          <w:sz w:val="24"/>
          <w:szCs w:val="24"/>
          <w:lang w:val="en-AU" w:eastAsia="en-US"/>
        </w:rPr>
        <w:t>Regulatory impact analysis</w:t>
      </w:r>
    </w:p>
    <w:p w:rsidR="00AD604C" w:rsidRDefault="00AD604C" w:rsidP="009C149F">
      <w:pPr>
        <w:spacing w:after="0" w:line="240" w:lineRule="auto"/>
        <w:jc w:val="both"/>
        <w:rPr>
          <w:rFonts w:ascii="Times New Roman" w:hAnsi="Times New Roman"/>
          <w:sz w:val="24"/>
          <w:szCs w:val="24"/>
          <w:lang w:val="en-AU" w:eastAsia="en-US"/>
        </w:rPr>
      </w:pPr>
    </w:p>
    <w:p w:rsidR="00997B41" w:rsidRPr="001A4044" w:rsidRDefault="00997B41"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32AAA">
        <w:rPr>
          <w:rFonts w:ascii="Times New Roman" w:hAnsi="Times New Roman"/>
          <w:sz w:val="24"/>
          <w:szCs w:val="24"/>
        </w:rPr>
        <w:t xml:space="preserve">One policy option and the status quo were considered for addressing the policy problem and </w:t>
      </w:r>
      <w:r w:rsidRPr="001A4044">
        <w:rPr>
          <w:rFonts w:ascii="Times New Roman" w:hAnsi="Times New Roman"/>
          <w:sz w:val="24"/>
          <w:szCs w:val="24"/>
        </w:rPr>
        <w:t xml:space="preserve">meeting the objectives. </w:t>
      </w:r>
    </w:p>
    <w:p w:rsidR="00997B41" w:rsidRPr="001A4044" w:rsidRDefault="00997B41" w:rsidP="00B91E3E">
      <w:pPr>
        <w:pStyle w:val="Bullet-list"/>
        <w:numPr>
          <w:ilvl w:val="0"/>
          <w:numId w:val="5"/>
        </w:numPr>
        <w:spacing w:before="120" w:after="0" w:line="240" w:lineRule="auto"/>
        <w:ind w:left="782" w:hanging="357"/>
        <w:jc w:val="both"/>
        <w:rPr>
          <w:rFonts w:ascii="Times New Roman" w:hAnsi="Times New Roman"/>
          <w:sz w:val="24"/>
          <w:szCs w:val="24"/>
        </w:rPr>
      </w:pPr>
      <w:r w:rsidRPr="001A4044">
        <w:rPr>
          <w:rFonts w:ascii="Times New Roman" w:hAnsi="Times New Roman"/>
          <w:sz w:val="24"/>
          <w:szCs w:val="24"/>
        </w:rPr>
        <w:t xml:space="preserve">Option 1: Allow a deduction for capital raising costs to the extent that a registered business makes taxable supplies as a proportion of their total supplies. </w:t>
      </w:r>
    </w:p>
    <w:p w:rsidR="00997B41" w:rsidRPr="001A4044" w:rsidRDefault="00997B41" w:rsidP="00B91E3E">
      <w:pPr>
        <w:pStyle w:val="Bullet-list"/>
        <w:numPr>
          <w:ilvl w:val="0"/>
          <w:numId w:val="5"/>
        </w:numPr>
        <w:spacing w:before="120" w:after="0" w:line="240" w:lineRule="auto"/>
        <w:ind w:left="782" w:hanging="357"/>
        <w:jc w:val="both"/>
        <w:rPr>
          <w:rFonts w:ascii="Times New Roman" w:hAnsi="Times New Roman"/>
          <w:sz w:val="24"/>
          <w:szCs w:val="24"/>
        </w:rPr>
      </w:pPr>
      <w:r w:rsidRPr="001A4044">
        <w:rPr>
          <w:rFonts w:ascii="Times New Roman" w:hAnsi="Times New Roman"/>
          <w:sz w:val="24"/>
          <w:szCs w:val="24"/>
        </w:rPr>
        <w:t xml:space="preserve">Option 2: Retain the status quo under which businesses cannot deduct GST costs incurred in raising capital  </w:t>
      </w:r>
    </w:p>
    <w:p w:rsidR="00824197" w:rsidRPr="001A4044" w:rsidRDefault="00824197" w:rsidP="00B91E3E">
      <w:pPr>
        <w:pStyle w:val="Bullet-list"/>
        <w:spacing w:after="0" w:line="240" w:lineRule="auto"/>
        <w:ind w:left="0" w:firstLine="0"/>
        <w:jc w:val="both"/>
        <w:rPr>
          <w:rFonts w:ascii="Times New Roman" w:hAnsi="Times New Roman"/>
          <w:sz w:val="24"/>
          <w:szCs w:val="24"/>
        </w:rPr>
      </w:pPr>
    </w:p>
    <w:p w:rsidR="00997B41" w:rsidRPr="00B91E3E" w:rsidRDefault="00997B41" w:rsidP="00B91E3E">
      <w:pPr>
        <w:pStyle w:val="Bullet-list"/>
        <w:keepNext/>
        <w:spacing w:after="0" w:line="240" w:lineRule="auto"/>
        <w:ind w:left="567" w:hanging="567"/>
        <w:jc w:val="both"/>
        <w:rPr>
          <w:rFonts w:ascii="Times New Roman" w:hAnsi="Times New Roman"/>
          <w:i/>
          <w:sz w:val="24"/>
          <w:szCs w:val="24"/>
          <w:u w:val="single"/>
        </w:rPr>
      </w:pPr>
      <w:r w:rsidRPr="00B91E3E">
        <w:rPr>
          <w:rFonts w:ascii="Times New Roman" w:hAnsi="Times New Roman"/>
          <w:i/>
          <w:sz w:val="24"/>
          <w:szCs w:val="24"/>
          <w:u w:val="single"/>
        </w:rPr>
        <w:t>Option 1: Allowing a dedu</w:t>
      </w:r>
      <w:r w:rsidR="00144E49" w:rsidRPr="00B91E3E">
        <w:rPr>
          <w:rFonts w:ascii="Times New Roman" w:hAnsi="Times New Roman"/>
          <w:i/>
          <w:sz w:val="24"/>
          <w:szCs w:val="24"/>
          <w:u w:val="single"/>
        </w:rPr>
        <w:t>ction for capital raising costs</w:t>
      </w:r>
    </w:p>
    <w:p w:rsidR="00997B41" w:rsidRPr="001A4044" w:rsidRDefault="00997B41" w:rsidP="00B91E3E">
      <w:pPr>
        <w:pStyle w:val="Bullet-list"/>
        <w:spacing w:after="0" w:line="240" w:lineRule="auto"/>
        <w:ind w:left="0" w:firstLine="0"/>
        <w:jc w:val="both"/>
        <w:rPr>
          <w:rFonts w:ascii="Times New Roman" w:hAnsi="Times New Roman"/>
          <w:sz w:val="24"/>
          <w:szCs w:val="24"/>
        </w:rPr>
      </w:pPr>
    </w:p>
    <w:p w:rsidR="00997B41" w:rsidRPr="00B91E3E" w:rsidRDefault="00997B41" w:rsidP="009C149F">
      <w:pPr>
        <w:pStyle w:val="Bullet-list"/>
        <w:keepNext/>
        <w:numPr>
          <w:ilvl w:val="0"/>
          <w:numId w:val="2"/>
        </w:numPr>
        <w:tabs>
          <w:tab w:val="clear" w:pos="786"/>
          <w:tab w:val="num" w:pos="567"/>
        </w:tabs>
        <w:spacing w:after="0" w:line="240" w:lineRule="auto"/>
        <w:ind w:left="0" w:firstLine="0"/>
        <w:jc w:val="both"/>
        <w:rPr>
          <w:rFonts w:ascii="Times New Roman" w:hAnsi="Times New Roman"/>
          <w:sz w:val="24"/>
          <w:szCs w:val="24"/>
        </w:rPr>
      </w:pPr>
      <w:r w:rsidRPr="001A4044">
        <w:rPr>
          <w:rFonts w:ascii="Times New Roman" w:hAnsi="Times New Roman"/>
          <w:sz w:val="24"/>
          <w:szCs w:val="24"/>
        </w:rPr>
        <w:t xml:space="preserve">This option would involve allowing a deduction for GST costs incurred when a registered business raises capital. </w:t>
      </w:r>
      <w:r w:rsidRPr="006A2DE9">
        <w:rPr>
          <w:rFonts w:ascii="Times New Roman" w:hAnsi="Times New Roman"/>
          <w:sz w:val="24"/>
          <w:szCs w:val="24"/>
        </w:rPr>
        <w:t>A</w:t>
      </w:r>
      <w:r w:rsidR="009116C3">
        <w:rPr>
          <w:rFonts w:ascii="Times New Roman" w:hAnsi="Times New Roman"/>
          <w:sz w:val="24"/>
          <w:szCs w:val="24"/>
        </w:rPr>
        <w:t>mending legislation</w:t>
      </w:r>
      <w:r w:rsidRPr="006A2DE9">
        <w:rPr>
          <w:rFonts w:ascii="Times New Roman" w:hAnsi="Times New Roman"/>
          <w:sz w:val="24"/>
          <w:szCs w:val="24"/>
        </w:rPr>
        <w:t xml:space="preserve"> mechanism would provide for registered businesses </w:t>
      </w:r>
      <w:r w:rsidR="00EE5369">
        <w:rPr>
          <w:rFonts w:ascii="Times New Roman" w:hAnsi="Times New Roman"/>
          <w:sz w:val="24"/>
          <w:szCs w:val="24"/>
        </w:rPr>
        <w:t>that</w:t>
      </w:r>
      <w:r w:rsidR="00EE5369" w:rsidRPr="006A2DE9">
        <w:rPr>
          <w:rFonts w:ascii="Times New Roman" w:hAnsi="Times New Roman"/>
          <w:sz w:val="24"/>
          <w:szCs w:val="24"/>
        </w:rPr>
        <w:t xml:space="preserve"> </w:t>
      </w:r>
      <w:r w:rsidRPr="006A2DE9">
        <w:rPr>
          <w:rFonts w:ascii="Times New Roman" w:hAnsi="Times New Roman"/>
          <w:sz w:val="24"/>
          <w:szCs w:val="24"/>
        </w:rPr>
        <w:t xml:space="preserve">are raising capital in order to fund their taxable activity to calculate an amount that </w:t>
      </w:r>
      <w:r w:rsidR="00EE5369" w:rsidRPr="006A2DE9">
        <w:rPr>
          <w:rFonts w:ascii="Times New Roman" w:hAnsi="Times New Roman"/>
          <w:sz w:val="24"/>
          <w:szCs w:val="24"/>
        </w:rPr>
        <w:t>c</w:t>
      </w:r>
      <w:r w:rsidR="00EE5369">
        <w:rPr>
          <w:rFonts w:ascii="Times New Roman" w:hAnsi="Times New Roman"/>
          <w:sz w:val="24"/>
          <w:szCs w:val="24"/>
        </w:rPr>
        <w:t>an</w:t>
      </w:r>
      <w:r w:rsidR="00EE5369" w:rsidRPr="006A2DE9">
        <w:rPr>
          <w:rFonts w:ascii="Times New Roman" w:hAnsi="Times New Roman"/>
          <w:sz w:val="24"/>
          <w:szCs w:val="24"/>
        </w:rPr>
        <w:t xml:space="preserve"> </w:t>
      </w:r>
      <w:r w:rsidRPr="006A2DE9">
        <w:rPr>
          <w:rFonts w:ascii="Times New Roman" w:hAnsi="Times New Roman"/>
          <w:sz w:val="24"/>
          <w:szCs w:val="24"/>
        </w:rPr>
        <w:t>be deducted</w:t>
      </w:r>
      <w:r w:rsidR="002822A3">
        <w:rPr>
          <w:rFonts w:ascii="Times New Roman" w:hAnsi="Times New Roman"/>
          <w:sz w:val="24"/>
          <w:szCs w:val="24"/>
        </w:rPr>
        <w:t>.</w:t>
      </w:r>
    </w:p>
    <w:p w:rsidR="002822A3" w:rsidRPr="003B1D66" w:rsidRDefault="002822A3" w:rsidP="00B91E3E">
      <w:pPr>
        <w:pStyle w:val="Bullet-list"/>
        <w:keepNext/>
        <w:spacing w:after="0" w:line="240" w:lineRule="auto"/>
        <w:ind w:left="0" w:firstLine="0"/>
        <w:jc w:val="both"/>
        <w:rPr>
          <w:rFonts w:ascii="Times New Roman" w:hAnsi="Times New Roman"/>
          <w:sz w:val="24"/>
          <w:szCs w:val="24"/>
        </w:rPr>
      </w:pPr>
    </w:p>
    <w:p w:rsidR="002822A3" w:rsidRPr="009C149F" w:rsidRDefault="002822A3" w:rsidP="002822A3">
      <w:pPr>
        <w:pStyle w:val="Bullet-list"/>
        <w:numPr>
          <w:ilvl w:val="0"/>
          <w:numId w:val="2"/>
        </w:numPr>
        <w:tabs>
          <w:tab w:val="clear" w:pos="786"/>
          <w:tab w:val="num" w:pos="567"/>
        </w:tabs>
        <w:spacing w:after="0" w:line="240" w:lineRule="auto"/>
        <w:ind w:left="0" w:firstLine="0"/>
        <w:jc w:val="both"/>
        <w:rPr>
          <w:rFonts w:ascii="Times New Roman" w:hAnsi="Times New Roman"/>
          <w:sz w:val="24"/>
        </w:rPr>
      </w:pPr>
      <w:r>
        <w:rPr>
          <w:rFonts w:ascii="Times New Roman" w:hAnsi="Times New Roman"/>
          <w:sz w:val="24"/>
        </w:rPr>
        <w:t>In particular, it w</w:t>
      </w:r>
      <w:r w:rsidRPr="00C65A4D">
        <w:rPr>
          <w:rFonts w:ascii="Times New Roman" w:hAnsi="Times New Roman"/>
          <w:sz w:val="24"/>
        </w:rPr>
        <w:t xml:space="preserve">ould allow a GST-registered business, </w:t>
      </w:r>
      <w:r>
        <w:rPr>
          <w:rFonts w:ascii="Times New Roman" w:hAnsi="Times New Roman"/>
          <w:sz w:val="24"/>
        </w:rPr>
        <w:t>that</w:t>
      </w:r>
      <w:r w:rsidRPr="00C65A4D">
        <w:rPr>
          <w:rFonts w:ascii="Times New Roman" w:hAnsi="Times New Roman"/>
          <w:sz w:val="24"/>
        </w:rPr>
        <w:t xml:space="preserve"> does not principally make financial supplies, to claim an in</w:t>
      </w:r>
      <w:r>
        <w:rPr>
          <w:rFonts w:ascii="Times New Roman" w:hAnsi="Times New Roman"/>
          <w:sz w:val="24"/>
        </w:rPr>
        <w:t xml:space="preserve">put tax deduction for GST </w:t>
      </w:r>
      <w:r w:rsidRPr="00C65A4D">
        <w:rPr>
          <w:rFonts w:ascii="Times New Roman" w:hAnsi="Times New Roman"/>
          <w:sz w:val="24"/>
        </w:rPr>
        <w:t>costs incurred in</w:t>
      </w:r>
      <w:r>
        <w:rPr>
          <w:rFonts w:ascii="Times New Roman" w:hAnsi="Times New Roman"/>
          <w:sz w:val="24"/>
        </w:rPr>
        <w:t xml:space="preserve"> the</w:t>
      </w:r>
      <w:r w:rsidRPr="00C65A4D">
        <w:rPr>
          <w:rFonts w:ascii="Times New Roman" w:hAnsi="Times New Roman"/>
          <w:sz w:val="24"/>
        </w:rPr>
        <w:t>:</w:t>
      </w:r>
    </w:p>
    <w:p w:rsidR="002822A3" w:rsidRDefault="002822A3" w:rsidP="002822A3">
      <w:pPr>
        <w:pStyle w:val="Bullet-list"/>
        <w:numPr>
          <w:ilvl w:val="0"/>
          <w:numId w:val="17"/>
        </w:numPr>
        <w:spacing w:before="120" w:after="0" w:line="240" w:lineRule="auto"/>
        <w:ind w:left="714" w:hanging="357"/>
        <w:jc w:val="both"/>
        <w:rPr>
          <w:rFonts w:ascii="Times New Roman" w:hAnsi="Times New Roman"/>
          <w:sz w:val="24"/>
        </w:rPr>
      </w:pPr>
      <w:r>
        <w:rPr>
          <w:rFonts w:ascii="Times New Roman" w:hAnsi="Times New Roman"/>
          <w:sz w:val="24"/>
        </w:rPr>
        <w:t>issue or allotment of a debt or equity security;</w:t>
      </w:r>
    </w:p>
    <w:p w:rsidR="002822A3" w:rsidRDefault="002822A3" w:rsidP="002822A3">
      <w:pPr>
        <w:pStyle w:val="Bullet-list"/>
        <w:numPr>
          <w:ilvl w:val="0"/>
          <w:numId w:val="17"/>
        </w:numPr>
        <w:spacing w:before="120" w:after="0" w:line="240" w:lineRule="auto"/>
        <w:ind w:left="714" w:hanging="357"/>
        <w:jc w:val="both"/>
        <w:rPr>
          <w:rFonts w:ascii="Times New Roman" w:hAnsi="Times New Roman"/>
          <w:sz w:val="24"/>
        </w:rPr>
      </w:pPr>
      <w:r>
        <w:rPr>
          <w:rFonts w:ascii="Times New Roman" w:hAnsi="Times New Roman"/>
          <w:sz w:val="24"/>
        </w:rPr>
        <w:t>renewal or variation of such a security;</w:t>
      </w:r>
    </w:p>
    <w:p w:rsidR="002822A3" w:rsidRDefault="002822A3" w:rsidP="002822A3">
      <w:pPr>
        <w:pStyle w:val="Bullet-list"/>
        <w:numPr>
          <w:ilvl w:val="0"/>
          <w:numId w:val="17"/>
        </w:numPr>
        <w:spacing w:before="120" w:after="0" w:line="240" w:lineRule="auto"/>
        <w:ind w:left="714" w:hanging="357"/>
        <w:jc w:val="both"/>
        <w:rPr>
          <w:rFonts w:ascii="Times New Roman" w:hAnsi="Times New Roman"/>
          <w:sz w:val="24"/>
        </w:rPr>
      </w:pPr>
      <w:r>
        <w:rPr>
          <w:rFonts w:ascii="Times New Roman" w:hAnsi="Times New Roman"/>
          <w:sz w:val="24"/>
        </w:rPr>
        <w:t xml:space="preserve">payment of interest, dividends, or an amount of principal in respect of such a security; </w:t>
      </w:r>
      <w:r w:rsidR="00ED0D31">
        <w:rPr>
          <w:rFonts w:ascii="Times New Roman" w:hAnsi="Times New Roman"/>
          <w:sz w:val="24"/>
        </w:rPr>
        <w:t>and</w:t>
      </w:r>
    </w:p>
    <w:p w:rsidR="002822A3" w:rsidRPr="00C65A4D" w:rsidRDefault="002822A3" w:rsidP="002822A3">
      <w:pPr>
        <w:pStyle w:val="Bullet-list"/>
        <w:numPr>
          <w:ilvl w:val="0"/>
          <w:numId w:val="17"/>
        </w:numPr>
        <w:spacing w:before="120" w:after="0" w:line="240" w:lineRule="auto"/>
        <w:ind w:left="714" w:hanging="357"/>
        <w:jc w:val="both"/>
        <w:rPr>
          <w:rFonts w:ascii="Times New Roman" w:hAnsi="Times New Roman"/>
          <w:sz w:val="24"/>
        </w:rPr>
      </w:pPr>
      <w:proofErr w:type="gramStart"/>
      <w:r>
        <w:rPr>
          <w:rFonts w:ascii="Times New Roman" w:hAnsi="Times New Roman"/>
          <w:sz w:val="24"/>
        </w:rPr>
        <w:t>provision</w:t>
      </w:r>
      <w:proofErr w:type="gramEnd"/>
      <w:r>
        <w:rPr>
          <w:rFonts w:ascii="Times New Roman" w:hAnsi="Times New Roman"/>
          <w:sz w:val="24"/>
        </w:rPr>
        <w:t xml:space="preserve"> of a guarantee of another person</w:t>
      </w:r>
      <w:r w:rsidR="00ED0D31">
        <w:rPr>
          <w:rFonts w:ascii="Times New Roman" w:hAnsi="Times New Roman"/>
          <w:sz w:val="24"/>
        </w:rPr>
        <w:t>’</w:t>
      </w:r>
      <w:r>
        <w:rPr>
          <w:rFonts w:ascii="Times New Roman" w:hAnsi="Times New Roman"/>
          <w:sz w:val="24"/>
        </w:rPr>
        <w:t>s obligations under such a security (for example, to guarantee repayment of the principal advanced under a debt security).</w:t>
      </w:r>
    </w:p>
    <w:p w:rsidR="002822A3" w:rsidRDefault="002822A3" w:rsidP="002822A3">
      <w:pPr>
        <w:pStyle w:val="Bullet-list"/>
        <w:spacing w:after="0" w:line="240" w:lineRule="auto"/>
        <w:ind w:left="0" w:firstLine="0"/>
        <w:jc w:val="both"/>
        <w:rPr>
          <w:rFonts w:ascii="Times New Roman" w:hAnsi="Times New Roman"/>
          <w:sz w:val="24"/>
        </w:rPr>
      </w:pPr>
    </w:p>
    <w:p w:rsidR="002822A3" w:rsidRDefault="002822A3" w:rsidP="002822A3">
      <w:pPr>
        <w:pStyle w:val="Bullet-list"/>
        <w:numPr>
          <w:ilvl w:val="0"/>
          <w:numId w:val="2"/>
        </w:numPr>
        <w:tabs>
          <w:tab w:val="clear" w:pos="786"/>
          <w:tab w:val="num" w:pos="567"/>
        </w:tabs>
        <w:spacing w:after="0" w:line="240" w:lineRule="auto"/>
        <w:ind w:left="0" w:firstLine="0"/>
        <w:jc w:val="both"/>
        <w:rPr>
          <w:rFonts w:ascii="Times New Roman" w:hAnsi="Times New Roman"/>
          <w:sz w:val="24"/>
        </w:rPr>
      </w:pPr>
      <w:r>
        <w:rPr>
          <w:rFonts w:ascii="Times New Roman" w:hAnsi="Times New Roman"/>
          <w:sz w:val="24"/>
        </w:rPr>
        <w:t xml:space="preserve">The GST incurred in relation to these </w:t>
      </w:r>
      <w:r w:rsidRPr="003E525E">
        <w:rPr>
          <w:rFonts w:ascii="Times New Roman" w:hAnsi="Times New Roman"/>
          <w:sz w:val="24"/>
        </w:rPr>
        <w:t xml:space="preserve">costs would be deductible to the extent that the taxpayer makes taxable supplies, as determined using a </w:t>
      </w:r>
      <w:r>
        <w:rPr>
          <w:rFonts w:ascii="Times New Roman" w:hAnsi="Times New Roman"/>
          <w:sz w:val="24"/>
        </w:rPr>
        <w:t xml:space="preserve">method that produces a </w:t>
      </w:r>
      <w:r w:rsidRPr="003E525E">
        <w:rPr>
          <w:rFonts w:ascii="Times New Roman" w:hAnsi="Times New Roman"/>
          <w:sz w:val="24"/>
        </w:rPr>
        <w:t xml:space="preserve">fair and reasonable </w:t>
      </w:r>
      <w:r>
        <w:rPr>
          <w:rFonts w:ascii="Times New Roman" w:hAnsi="Times New Roman"/>
          <w:sz w:val="24"/>
        </w:rPr>
        <w:t xml:space="preserve">result.  This method </w:t>
      </w:r>
      <w:r w:rsidR="001F4163">
        <w:rPr>
          <w:rFonts w:ascii="Times New Roman" w:hAnsi="Times New Roman"/>
          <w:sz w:val="24"/>
        </w:rPr>
        <w:t>would be</w:t>
      </w:r>
      <w:r>
        <w:rPr>
          <w:rFonts w:ascii="Times New Roman" w:hAnsi="Times New Roman"/>
          <w:sz w:val="24"/>
        </w:rPr>
        <w:t xml:space="preserve"> consistent with the approach used to determine GST recovery in respect of other goods</w:t>
      </w:r>
      <w:r w:rsidR="001F4163">
        <w:rPr>
          <w:rFonts w:ascii="Times New Roman" w:hAnsi="Times New Roman"/>
          <w:sz w:val="24"/>
        </w:rPr>
        <w:t xml:space="preserve"> and services</w:t>
      </w:r>
      <w:r>
        <w:rPr>
          <w:rFonts w:ascii="Times New Roman" w:hAnsi="Times New Roman"/>
          <w:sz w:val="24"/>
        </w:rPr>
        <w:t xml:space="preserve"> used to make both taxable and exempt supplies.  The fairness and reasonableness of the result would need to be determined with regard to the overall business activity to ensure that, as money is fungible, the costs are not allocated in a way to maximise deductions.</w:t>
      </w:r>
    </w:p>
    <w:p w:rsidR="005B1E55" w:rsidRDefault="005B1E55" w:rsidP="00B91E3E">
      <w:pPr>
        <w:pStyle w:val="Bullet-list"/>
        <w:spacing w:after="0" w:line="240" w:lineRule="auto"/>
        <w:ind w:left="0" w:firstLine="0"/>
        <w:jc w:val="both"/>
        <w:rPr>
          <w:rFonts w:ascii="Times New Roman" w:hAnsi="Times New Roman"/>
          <w:sz w:val="24"/>
        </w:rPr>
      </w:pPr>
    </w:p>
    <w:p w:rsidR="00997B41" w:rsidRPr="006A2DE9" w:rsidRDefault="00997B41"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6A2DE9">
        <w:rPr>
          <w:rFonts w:ascii="Times New Roman" w:hAnsi="Times New Roman"/>
          <w:sz w:val="24"/>
          <w:szCs w:val="24"/>
        </w:rPr>
        <w:t xml:space="preserve">Currently, there is potentially a tax preference for businesses to source funding </w:t>
      </w:r>
      <w:r w:rsidR="00FC6725">
        <w:rPr>
          <w:rFonts w:ascii="Times New Roman" w:hAnsi="Times New Roman"/>
          <w:sz w:val="24"/>
          <w:szCs w:val="24"/>
        </w:rPr>
        <w:t xml:space="preserve">in ways that would enable GST to be recovered.  Examples include sourcing funds from </w:t>
      </w:r>
      <w:r w:rsidR="00FC6725">
        <w:rPr>
          <w:rFonts w:ascii="Times New Roman" w:hAnsi="Times New Roman"/>
          <w:sz w:val="24"/>
          <w:szCs w:val="24"/>
          <w:lang w:val="en-NZ"/>
        </w:rPr>
        <w:t>offshore or, for businesses that have elected to zero-rate their business-to-business supplies of financial services, from a New Zealand business.</w:t>
      </w:r>
      <w:r w:rsidR="001F4163">
        <w:rPr>
          <w:rFonts w:ascii="Times New Roman" w:hAnsi="Times New Roman"/>
          <w:sz w:val="24"/>
          <w:szCs w:val="24"/>
        </w:rPr>
        <w:t xml:space="preserve"> </w:t>
      </w:r>
      <w:r w:rsidRPr="006A2DE9">
        <w:rPr>
          <w:rFonts w:ascii="Times New Roman" w:hAnsi="Times New Roman"/>
          <w:sz w:val="24"/>
          <w:szCs w:val="24"/>
        </w:rPr>
        <w:t xml:space="preserve"> Providing the ability to deduct capital raising costs that relate to a business’ taxable activi</w:t>
      </w:r>
      <w:r>
        <w:rPr>
          <w:rFonts w:ascii="Times New Roman" w:hAnsi="Times New Roman"/>
          <w:sz w:val="24"/>
          <w:szCs w:val="24"/>
        </w:rPr>
        <w:t xml:space="preserve">ty would help address this bias. </w:t>
      </w:r>
    </w:p>
    <w:p w:rsidR="00997B41" w:rsidRPr="006A2DE9" w:rsidRDefault="00997B41" w:rsidP="009C149F">
      <w:pPr>
        <w:pStyle w:val="Bullet-list"/>
        <w:keepNext/>
        <w:spacing w:after="0" w:line="240" w:lineRule="auto"/>
        <w:ind w:left="0" w:firstLine="0"/>
        <w:jc w:val="both"/>
        <w:rPr>
          <w:rFonts w:ascii="Times New Roman" w:hAnsi="Times New Roman"/>
          <w:sz w:val="24"/>
          <w:szCs w:val="24"/>
        </w:rPr>
      </w:pPr>
    </w:p>
    <w:p w:rsidR="00997B41" w:rsidRPr="00EC3737" w:rsidRDefault="00997B41" w:rsidP="009C149F">
      <w:pPr>
        <w:pStyle w:val="Bullet-list"/>
        <w:keepNex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6A2DE9">
        <w:rPr>
          <w:rFonts w:ascii="Times New Roman" w:hAnsi="Times New Roman"/>
          <w:sz w:val="24"/>
          <w:szCs w:val="24"/>
        </w:rPr>
        <w:t xml:space="preserve">This option </w:t>
      </w:r>
      <w:r w:rsidR="00EE5369">
        <w:rPr>
          <w:rFonts w:ascii="Times New Roman" w:hAnsi="Times New Roman"/>
          <w:sz w:val="24"/>
          <w:szCs w:val="24"/>
        </w:rPr>
        <w:t xml:space="preserve">would </w:t>
      </w:r>
      <w:r w:rsidRPr="006A2DE9">
        <w:rPr>
          <w:rFonts w:ascii="Times New Roman" w:hAnsi="Times New Roman"/>
          <w:sz w:val="24"/>
          <w:szCs w:val="24"/>
        </w:rPr>
        <w:t>reduce compliance costs</w:t>
      </w:r>
      <w:r w:rsidR="00EE5369">
        <w:rPr>
          <w:rFonts w:ascii="Times New Roman" w:hAnsi="Times New Roman"/>
          <w:sz w:val="24"/>
          <w:szCs w:val="24"/>
        </w:rPr>
        <w:t>,</w:t>
      </w:r>
      <w:r w:rsidRPr="006A2DE9">
        <w:rPr>
          <w:rFonts w:ascii="Times New Roman" w:hAnsi="Times New Roman"/>
          <w:sz w:val="24"/>
          <w:szCs w:val="24"/>
        </w:rPr>
        <w:t xml:space="preserve"> as registered businesses that </w:t>
      </w:r>
      <w:r>
        <w:rPr>
          <w:rFonts w:ascii="Times New Roman" w:hAnsi="Times New Roman"/>
          <w:sz w:val="24"/>
          <w:szCs w:val="24"/>
        </w:rPr>
        <w:t xml:space="preserve">only </w:t>
      </w:r>
      <w:r w:rsidRPr="006A2DE9">
        <w:rPr>
          <w:rFonts w:ascii="Times New Roman" w:hAnsi="Times New Roman"/>
          <w:sz w:val="24"/>
          <w:szCs w:val="24"/>
        </w:rPr>
        <w:t xml:space="preserve">make taxable supplies will not need to identify and </w:t>
      </w:r>
      <w:r>
        <w:rPr>
          <w:rFonts w:ascii="Times New Roman" w:hAnsi="Times New Roman"/>
          <w:sz w:val="24"/>
          <w:szCs w:val="24"/>
        </w:rPr>
        <w:t>apportion</w:t>
      </w:r>
      <w:r w:rsidRPr="006A2DE9">
        <w:rPr>
          <w:rFonts w:ascii="Times New Roman" w:hAnsi="Times New Roman"/>
          <w:sz w:val="24"/>
          <w:szCs w:val="24"/>
        </w:rPr>
        <w:t xml:space="preserve"> the costs that relate </w:t>
      </w:r>
      <w:r w:rsidR="00EE5369">
        <w:rPr>
          <w:rFonts w:ascii="Times New Roman" w:hAnsi="Times New Roman"/>
          <w:sz w:val="24"/>
          <w:szCs w:val="24"/>
        </w:rPr>
        <w:t xml:space="preserve">both </w:t>
      </w:r>
      <w:r w:rsidRPr="006A2DE9">
        <w:rPr>
          <w:rFonts w:ascii="Times New Roman" w:hAnsi="Times New Roman"/>
          <w:sz w:val="24"/>
          <w:szCs w:val="24"/>
        </w:rPr>
        <w:t>to raising capital</w:t>
      </w:r>
      <w:r w:rsidR="00EE5369">
        <w:rPr>
          <w:rFonts w:ascii="Times New Roman" w:hAnsi="Times New Roman"/>
          <w:sz w:val="24"/>
          <w:szCs w:val="24"/>
        </w:rPr>
        <w:t xml:space="preserve"> and to </w:t>
      </w:r>
      <w:r>
        <w:rPr>
          <w:rFonts w:ascii="Times New Roman" w:hAnsi="Times New Roman"/>
          <w:sz w:val="24"/>
          <w:szCs w:val="24"/>
        </w:rPr>
        <w:t xml:space="preserve">their </w:t>
      </w:r>
      <w:r w:rsidR="00EE5369">
        <w:rPr>
          <w:rFonts w:ascii="Times New Roman" w:hAnsi="Times New Roman"/>
          <w:sz w:val="24"/>
          <w:szCs w:val="24"/>
        </w:rPr>
        <w:t xml:space="preserve">other, taxable, business </w:t>
      </w:r>
      <w:r>
        <w:rPr>
          <w:rFonts w:ascii="Times New Roman" w:hAnsi="Times New Roman"/>
          <w:sz w:val="24"/>
          <w:szCs w:val="24"/>
        </w:rPr>
        <w:t>activit</w:t>
      </w:r>
      <w:r w:rsidR="00EE5369">
        <w:rPr>
          <w:rFonts w:ascii="Times New Roman" w:hAnsi="Times New Roman"/>
          <w:sz w:val="24"/>
          <w:szCs w:val="24"/>
        </w:rPr>
        <w:t>ies</w:t>
      </w:r>
      <w:r>
        <w:rPr>
          <w:rFonts w:ascii="Times New Roman" w:hAnsi="Times New Roman"/>
          <w:sz w:val="24"/>
          <w:szCs w:val="24"/>
        </w:rPr>
        <w:t xml:space="preserve">. </w:t>
      </w:r>
    </w:p>
    <w:p w:rsidR="00997B41" w:rsidRDefault="00997B41" w:rsidP="009C149F">
      <w:pPr>
        <w:pStyle w:val="ListParagraph"/>
        <w:rPr>
          <w:rFonts w:ascii="Times New Roman" w:hAnsi="Times New Roman"/>
          <w:sz w:val="24"/>
          <w:szCs w:val="24"/>
        </w:rPr>
      </w:pPr>
    </w:p>
    <w:p w:rsidR="00997B41" w:rsidRPr="006A2DE9" w:rsidRDefault="00997B41" w:rsidP="009C149F">
      <w:pPr>
        <w:pStyle w:val="Bullet-list"/>
        <w:keepNex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rPr>
        <w:t xml:space="preserve">This option also </w:t>
      </w:r>
      <w:r w:rsidRPr="006A2DE9">
        <w:rPr>
          <w:rFonts w:ascii="Times New Roman" w:hAnsi="Times New Roman"/>
          <w:sz w:val="24"/>
          <w:szCs w:val="24"/>
        </w:rPr>
        <w:t>reduce</w:t>
      </w:r>
      <w:r>
        <w:rPr>
          <w:rFonts w:ascii="Times New Roman" w:hAnsi="Times New Roman"/>
          <w:sz w:val="24"/>
          <w:szCs w:val="24"/>
        </w:rPr>
        <w:t>s</w:t>
      </w:r>
      <w:r w:rsidRPr="006A2DE9">
        <w:rPr>
          <w:rFonts w:ascii="Times New Roman" w:hAnsi="Times New Roman"/>
          <w:sz w:val="24"/>
          <w:szCs w:val="24"/>
        </w:rPr>
        <w:t xml:space="preserve"> the potential for tax cascades where GST costs are either absorbed by the business or passed on through the supply chain. This improves the effectiveness of GST as a tax on consumption</w:t>
      </w:r>
      <w:r>
        <w:rPr>
          <w:rFonts w:ascii="Times New Roman" w:hAnsi="Times New Roman"/>
          <w:sz w:val="24"/>
          <w:szCs w:val="24"/>
        </w:rPr>
        <w:t>,</w:t>
      </w:r>
      <w:r w:rsidRPr="006A2DE9">
        <w:rPr>
          <w:rFonts w:ascii="Times New Roman" w:hAnsi="Times New Roman"/>
          <w:sz w:val="24"/>
          <w:szCs w:val="24"/>
        </w:rPr>
        <w:t xml:space="preserve"> rather than on registered businesses.</w:t>
      </w:r>
    </w:p>
    <w:p w:rsidR="00997B41" w:rsidRPr="006A2DE9" w:rsidRDefault="00997B41" w:rsidP="009C149F">
      <w:pPr>
        <w:pStyle w:val="Bullet-list"/>
        <w:spacing w:after="0" w:line="240" w:lineRule="auto"/>
        <w:ind w:left="786" w:firstLine="0"/>
        <w:jc w:val="both"/>
        <w:rPr>
          <w:rFonts w:ascii="Times New Roman" w:hAnsi="Times New Roman"/>
          <w:b/>
          <w:i/>
          <w:sz w:val="24"/>
          <w:szCs w:val="24"/>
          <w:lang w:val="en-NZ"/>
        </w:rPr>
      </w:pPr>
    </w:p>
    <w:p w:rsidR="00997B41" w:rsidRPr="00B91E3E" w:rsidRDefault="00997B41" w:rsidP="00B91E3E">
      <w:pPr>
        <w:pStyle w:val="Bullet-list"/>
        <w:spacing w:after="0" w:line="240" w:lineRule="auto"/>
        <w:ind w:left="0" w:firstLine="0"/>
        <w:jc w:val="both"/>
        <w:rPr>
          <w:rFonts w:ascii="Times New Roman" w:hAnsi="Times New Roman"/>
          <w:i/>
          <w:sz w:val="24"/>
          <w:szCs w:val="24"/>
          <w:u w:val="single"/>
        </w:rPr>
      </w:pPr>
      <w:r w:rsidRPr="00B91E3E">
        <w:rPr>
          <w:rFonts w:ascii="Times New Roman" w:hAnsi="Times New Roman"/>
          <w:i/>
          <w:sz w:val="24"/>
          <w:szCs w:val="24"/>
          <w:u w:val="single"/>
        </w:rPr>
        <w:t xml:space="preserve">Option 2: Retain the status quo </w:t>
      </w:r>
    </w:p>
    <w:p w:rsidR="00997B41" w:rsidRPr="006A2DE9" w:rsidRDefault="00997B41" w:rsidP="00B91E3E">
      <w:pPr>
        <w:pStyle w:val="Bullet-list"/>
        <w:spacing w:after="0" w:line="240" w:lineRule="auto"/>
        <w:ind w:left="0" w:firstLine="0"/>
        <w:jc w:val="both"/>
        <w:rPr>
          <w:rFonts w:ascii="Times New Roman" w:hAnsi="Times New Roman"/>
          <w:sz w:val="24"/>
          <w:szCs w:val="24"/>
        </w:rPr>
      </w:pPr>
    </w:p>
    <w:p w:rsidR="00997B41" w:rsidRPr="006A2DE9" w:rsidRDefault="00997B41" w:rsidP="009C149F">
      <w:pPr>
        <w:pStyle w:val="Bullet-list"/>
        <w:keepNex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6A2DE9">
        <w:rPr>
          <w:rFonts w:ascii="Times New Roman" w:hAnsi="Times New Roman"/>
          <w:sz w:val="24"/>
          <w:szCs w:val="24"/>
          <w:lang w:val="en-NZ"/>
        </w:rPr>
        <w:t xml:space="preserve">The status quo potentially creates a disincentive to seeking funding from within New Zealand as businesses issuing securities to domestic investors would be unable to deduct their GST costs, whereas those who are exporting financial services can zero-rate these supplies. </w:t>
      </w:r>
    </w:p>
    <w:p w:rsidR="00997B41" w:rsidRPr="006A2DE9" w:rsidRDefault="00997B41" w:rsidP="00B91E3E">
      <w:pPr>
        <w:pStyle w:val="Bullet-list"/>
        <w:spacing w:after="0" w:line="240" w:lineRule="auto"/>
        <w:ind w:left="567" w:hanging="567"/>
        <w:jc w:val="both"/>
        <w:rPr>
          <w:rFonts w:ascii="Times New Roman" w:hAnsi="Times New Roman"/>
          <w:b/>
          <w:i/>
          <w:sz w:val="24"/>
          <w:szCs w:val="24"/>
        </w:rPr>
      </w:pPr>
    </w:p>
    <w:p w:rsidR="00997B41" w:rsidRPr="006A2DE9" w:rsidRDefault="00997B41" w:rsidP="009C149F">
      <w:pPr>
        <w:pStyle w:val="Bullet-list"/>
        <w:numPr>
          <w:ilvl w:val="0"/>
          <w:numId w:val="2"/>
        </w:numPr>
        <w:tabs>
          <w:tab w:val="clear" w:pos="786"/>
          <w:tab w:val="num" w:pos="567"/>
        </w:tabs>
        <w:spacing w:after="0" w:line="240" w:lineRule="auto"/>
        <w:ind w:left="0" w:firstLine="0"/>
        <w:jc w:val="both"/>
        <w:rPr>
          <w:rFonts w:ascii="Times New Roman" w:hAnsi="Times New Roman"/>
          <w:b/>
          <w:i/>
          <w:sz w:val="24"/>
          <w:szCs w:val="24"/>
        </w:rPr>
      </w:pPr>
      <w:r w:rsidRPr="006A2DE9">
        <w:rPr>
          <w:rFonts w:ascii="Times New Roman" w:hAnsi="Times New Roman"/>
          <w:sz w:val="24"/>
          <w:szCs w:val="24"/>
          <w:lang w:val="en-NZ"/>
        </w:rPr>
        <w:t xml:space="preserve">This option is associated with greater compliance costs for registered businesses </w:t>
      </w:r>
      <w:r w:rsidR="007C4A4C">
        <w:rPr>
          <w:rFonts w:ascii="Times New Roman" w:hAnsi="Times New Roman"/>
          <w:sz w:val="24"/>
          <w:szCs w:val="24"/>
          <w:lang w:val="en-NZ"/>
        </w:rPr>
        <w:t>that</w:t>
      </w:r>
      <w:r w:rsidRPr="006A2DE9">
        <w:rPr>
          <w:rFonts w:ascii="Times New Roman" w:hAnsi="Times New Roman"/>
          <w:sz w:val="24"/>
          <w:szCs w:val="24"/>
          <w:lang w:val="en-NZ"/>
        </w:rPr>
        <w:t xml:space="preserve"> are raising capital, as the costs associated with raising capital need to be determined and treated differently to other inputs acquired by the business to make taxable supplies. This may </w:t>
      </w:r>
      <w:r>
        <w:rPr>
          <w:rFonts w:ascii="Times New Roman" w:hAnsi="Times New Roman"/>
          <w:sz w:val="24"/>
          <w:szCs w:val="24"/>
          <w:lang w:val="en-NZ"/>
        </w:rPr>
        <w:t>result in</w:t>
      </w:r>
      <w:r w:rsidRPr="006A2DE9">
        <w:rPr>
          <w:rFonts w:ascii="Times New Roman" w:hAnsi="Times New Roman"/>
          <w:sz w:val="24"/>
          <w:szCs w:val="24"/>
          <w:lang w:val="en-NZ"/>
        </w:rPr>
        <w:t xml:space="preserve"> less certainty as the business is required to determine whether the good or service it has acquired is used for raising capital.</w:t>
      </w:r>
    </w:p>
    <w:p w:rsidR="00997B41" w:rsidRDefault="00997B41" w:rsidP="009C149F">
      <w:pPr>
        <w:pStyle w:val="Bullet-list"/>
        <w:spacing w:after="0" w:line="240" w:lineRule="auto"/>
        <w:jc w:val="both"/>
        <w:rPr>
          <w:rFonts w:ascii="Times New Roman" w:hAnsi="Times New Roman"/>
          <w:b/>
          <w:i/>
          <w:sz w:val="24"/>
          <w:szCs w:val="24"/>
          <w:lang w:val="en-NZ"/>
        </w:rPr>
      </w:pPr>
    </w:p>
    <w:p w:rsidR="00202449" w:rsidRDefault="00ED0D31" w:rsidP="00B91E3E">
      <w:pPr>
        <w:pStyle w:val="ListParagraph"/>
        <w:rPr>
          <w:rFonts w:ascii="Times New Roman" w:hAnsi="Times New Roman"/>
          <w:sz w:val="24"/>
          <w:szCs w:val="24"/>
        </w:rPr>
      </w:pPr>
      <w:r w:rsidRPr="00B91E3E">
        <w:rPr>
          <w:rFonts w:ascii="Times New Roman" w:hAnsi="Times New Roman"/>
          <w:sz w:val="24"/>
          <w:szCs w:val="24"/>
        </w:rPr>
        <w:t>The identification of additional practical options to address the objectives was limited, due to the cause of the problem.  The problem arises due to a mismatch between the legal and economic frameworks underpinning the GST Act.  The question is therefore whether the current legal framework (Option 2) ought to be altered to match the economic framework (Option 1).</w:t>
      </w:r>
    </w:p>
    <w:p w:rsidR="00B91E3E" w:rsidRDefault="00B91E3E" w:rsidP="00B91E3E">
      <w:pPr>
        <w:pStyle w:val="ListParagraph"/>
        <w:rPr>
          <w:rFonts w:ascii="Times New Roman" w:hAnsi="Times New Roman"/>
          <w:sz w:val="24"/>
          <w:szCs w:val="24"/>
        </w:rPr>
      </w:pPr>
    </w:p>
    <w:p w:rsidR="00202449" w:rsidRDefault="00202449" w:rsidP="00B91E3E">
      <w:pPr>
        <w:pStyle w:val="Bullet-list"/>
        <w:spacing w:after="0" w:line="240" w:lineRule="auto"/>
        <w:jc w:val="both"/>
        <w:rPr>
          <w:rFonts w:ascii="Times New Roman" w:hAnsi="Times New Roman"/>
          <w:b/>
          <w:i/>
          <w:sz w:val="24"/>
          <w:szCs w:val="24"/>
          <w:lang w:val="en-NZ"/>
        </w:rPr>
      </w:pPr>
      <w:r w:rsidRPr="006A2DE9">
        <w:rPr>
          <w:rFonts w:ascii="Times New Roman" w:hAnsi="Times New Roman"/>
          <w:b/>
          <w:i/>
          <w:sz w:val="24"/>
          <w:szCs w:val="24"/>
          <w:lang w:val="en-NZ"/>
        </w:rPr>
        <w:t>Summary of the analysis of the options</w:t>
      </w:r>
    </w:p>
    <w:p w:rsidR="005B1E55" w:rsidRPr="006A2DE9" w:rsidRDefault="005B1E55" w:rsidP="00B91E3E">
      <w:pPr>
        <w:pStyle w:val="Bullet-list"/>
        <w:spacing w:after="0" w:line="240" w:lineRule="auto"/>
        <w:jc w:val="both"/>
        <w:rPr>
          <w:rFonts w:ascii="Times New Roman" w:hAnsi="Times New Roman"/>
          <w:b/>
          <w:i/>
          <w:sz w:val="24"/>
          <w:szCs w:val="24"/>
          <w:lang w:val="en-NZ"/>
        </w:rPr>
      </w:pPr>
    </w:p>
    <w:p w:rsidR="005620B7" w:rsidRPr="00B91E3E" w:rsidRDefault="005620B7"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B91E3E">
        <w:rPr>
          <w:rFonts w:ascii="Times New Roman" w:hAnsi="Times New Roman"/>
          <w:sz w:val="24"/>
          <w:szCs w:val="24"/>
          <w:lang w:val="en-NZ"/>
        </w:rPr>
        <w:t>Option 1 is expected to increase economic efficiency, as it will remove a tax preference for raising capital in ways that maximise GST recovery (for example, from offshore).  However, it is not known whether GST recovery is a significant factor in this decision.</w:t>
      </w:r>
    </w:p>
    <w:p w:rsidR="005620B7" w:rsidRPr="00B91E3E" w:rsidRDefault="005620B7" w:rsidP="00B91E3E">
      <w:pPr>
        <w:pStyle w:val="Bullet-list"/>
        <w:spacing w:after="0" w:line="240" w:lineRule="auto"/>
        <w:ind w:left="0" w:firstLine="0"/>
        <w:jc w:val="both"/>
        <w:rPr>
          <w:rFonts w:ascii="Times New Roman" w:hAnsi="Times New Roman"/>
          <w:sz w:val="24"/>
          <w:szCs w:val="24"/>
          <w:lang w:val="en-NZ"/>
        </w:rPr>
      </w:pPr>
    </w:p>
    <w:p w:rsidR="005620B7" w:rsidRPr="00B91E3E" w:rsidRDefault="005620B7"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B91E3E">
        <w:rPr>
          <w:rFonts w:ascii="Times New Roman" w:hAnsi="Times New Roman"/>
          <w:sz w:val="24"/>
          <w:szCs w:val="24"/>
          <w:lang w:val="en-NZ"/>
        </w:rPr>
        <w:t xml:space="preserve">Compliance costs may be reduced under Option 1.  Some costs may relate to both capital raising and other costs, and may arguably be required to be apportioned.  Where a business is otherwise wholly taxable, these costs would instead be fully deductible and apportionment would not be required. </w:t>
      </w:r>
    </w:p>
    <w:p w:rsidR="005620B7" w:rsidRPr="00B91E3E" w:rsidRDefault="005620B7" w:rsidP="00B91E3E">
      <w:pPr>
        <w:pStyle w:val="Bullet-list"/>
        <w:spacing w:after="0" w:line="240" w:lineRule="auto"/>
        <w:ind w:left="0" w:firstLine="0"/>
        <w:jc w:val="both"/>
        <w:rPr>
          <w:rFonts w:ascii="Times New Roman" w:hAnsi="Times New Roman"/>
          <w:sz w:val="24"/>
          <w:szCs w:val="24"/>
          <w:lang w:val="en-NZ"/>
        </w:rPr>
      </w:pPr>
    </w:p>
    <w:p w:rsidR="005620B7" w:rsidRPr="00B91E3E" w:rsidRDefault="005620B7"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B91E3E">
        <w:rPr>
          <w:rFonts w:ascii="Times New Roman" w:hAnsi="Times New Roman"/>
          <w:sz w:val="24"/>
          <w:szCs w:val="24"/>
          <w:lang w:val="en-NZ"/>
        </w:rPr>
        <w:t xml:space="preserve">Administration costs are not expected to vary significantly between the options, beyond the costs of updating products and communicating changes.  Businesses would be expected to apply the rules under either option, and Inland Revenue would monitor compliance. </w:t>
      </w:r>
    </w:p>
    <w:p w:rsidR="005620B7" w:rsidRPr="00B91E3E" w:rsidRDefault="005620B7" w:rsidP="00B91E3E">
      <w:pPr>
        <w:pStyle w:val="Bullet-list"/>
        <w:spacing w:after="0" w:line="240" w:lineRule="auto"/>
        <w:ind w:left="0" w:firstLine="0"/>
        <w:jc w:val="both"/>
        <w:rPr>
          <w:rFonts w:ascii="Times New Roman" w:hAnsi="Times New Roman"/>
          <w:sz w:val="24"/>
          <w:szCs w:val="24"/>
          <w:lang w:val="en-NZ"/>
        </w:rPr>
      </w:pPr>
    </w:p>
    <w:p w:rsidR="009C149F" w:rsidRPr="005B1E55" w:rsidRDefault="002424F2"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B91E3E">
        <w:rPr>
          <w:rFonts w:ascii="Times New Roman" w:hAnsi="Times New Roman"/>
          <w:sz w:val="24"/>
          <w:szCs w:val="24"/>
          <w:lang w:val="en-NZ"/>
        </w:rPr>
        <w:t xml:space="preserve">As noted in the problem definition above, there is some uncertainty around the total cost of GST that is not deductible under the status quo, </w:t>
      </w:r>
      <w:r w:rsidR="001F4163" w:rsidRPr="00B91E3E">
        <w:rPr>
          <w:rFonts w:ascii="Times New Roman" w:hAnsi="Times New Roman"/>
          <w:sz w:val="24"/>
          <w:szCs w:val="24"/>
          <w:lang w:val="en-NZ"/>
        </w:rPr>
        <w:t xml:space="preserve">but </w:t>
      </w:r>
      <w:r w:rsidRPr="00B91E3E">
        <w:rPr>
          <w:rFonts w:ascii="Times New Roman" w:hAnsi="Times New Roman"/>
          <w:sz w:val="24"/>
          <w:szCs w:val="24"/>
          <w:lang w:val="en-NZ"/>
        </w:rPr>
        <w:t xml:space="preserve">would be </w:t>
      </w:r>
      <w:r w:rsidR="001F4163" w:rsidRPr="00B91E3E">
        <w:rPr>
          <w:rFonts w:ascii="Times New Roman" w:hAnsi="Times New Roman"/>
          <w:sz w:val="24"/>
          <w:szCs w:val="24"/>
          <w:lang w:val="en-NZ"/>
        </w:rPr>
        <w:t xml:space="preserve">deductible </w:t>
      </w:r>
      <w:r w:rsidRPr="00B91E3E">
        <w:rPr>
          <w:rFonts w:ascii="Times New Roman" w:hAnsi="Times New Roman"/>
          <w:sz w:val="24"/>
          <w:szCs w:val="24"/>
          <w:lang w:val="en-NZ"/>
        </w:rPr>
        <w:t xml:space="preserve">under Option </w:t>
      </w:r>
      <w:r w:rsidR="009C58B0">
        <w:rPr>
          <w:rFonts w:ascii="Times New Roman" w:hAnsi="Times New Roman"/>
          <w:sz w:val="24"/>
          <w:szCs w:val="24"/>
          <w:lang w:val="en-NZ"/>
        </w:rPr>
        <w:t>1</w:t>
      </w:r>
      <w:r w:rsidRPr="00B91E3E">
        <w:rPr>
          <w:rFonts w:ascii="Times New Roman" w:hAnsi="Times New Roman"/>
          <w:sz w:val="24"/>
          <w:szCs w:val="24"/>
          <w:lang w:val="en-NZ"/>
        </w:rPr>
        <w:t>.  Officials have estimated the total cost of allowing deductions at $10 million per annum, although submitters have indicated that they consider the true cost to be lower, around $3-4 million per annum.</w:t>
      </w:r>
    </w:p>
    <w:p w:rsidR="005620B7" w:rsidRDefault="005620B7" w:rsidP="005620B7">
      <w:pPr>
        <w:pStyle w:val="Bullet-list"/>
        <w:spacing w:after="0" w:line="240" w:lineRule="auto"/>
        <w:jc w:val="both"/>
        <w:rPr>
          <w:rFonts w:ascii="Times New Roman" w:hAnsi="Times New Roman"/>
          <w:b/>
          <w:i/>
          <w:sz w:val="24"/>
          <w:szCs w:val="24"/>
          <w:lang w:val="en-NZ"/>
        </w:rPr>
      </w:pPr>
    </w:p>
    <w:p w:rsidR="005620B7" w:rsidRDefault="005620B7" w:rsidP="005620B7">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Neither option is expected to have social, cultural or environmental impacts.</w:t>
      </w:r>
    </w:p>
    <w:p w:rsidR="005620B7" w:rsidRPr="006A2DE9" w:rsidRDefault="005620B7" w:rsidP="005620B7">
      <w:pPr>
        <w:pStyle w:val="Bullet-list"/>
        <w:keepNext/>
        <w:spacing w:after="0" w:line="240" w:lineRule="auto"/>
        <w:jc w:val="both"/>
        <w:rPr>
          <w:rFonts w:ascii="Times New Roman" w:hAnsi="Times New Roman"/>
          <w:sz w:val="24"/>
          <w:szCs w:val="24"/>
        </w:rPr>
      </w:pPr>
    </w:p>
    <w:p w:rsidR="005620B7" w:rsidRDefault="005620B7" w:rsidP="005620B7">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Table 1</w:t>
      </w:r>
      <w:r w:rsidRPr="005577B8">
        <w:rPr>
          <w:rFonts w:ascii="Times New Roman" w:hAnsi="Times New Roman"/>
          <w:sz w:val="24"/>
          <w:szCs w:val="24"/>
          <w:lang w:val="en-NZ"/>
        </w:rPr>
        <w:t xml:space="preserve"> summarises the analysis of the options</w:t>
      </w:r>
      <w:r>
        <w:rPr>
          <w:rFonts w:ascii="Times New Roman" w:hAnsi="Times New Roman"/>
          <w:sz w:val="24"/>
          <w:szCs w:val="24"/>
          <w:lang w:val="en-NZ"/>
        </w:rPr>
        <w:t xml:space="preserve"> against the stated objectives</w:t>
      </w:r>
      <w:r w:rsidRPr="005577B8">
        <w:rPr>
          <w:rFonts w:ascii="Times New Roman" w:hAnsi="Times New Roman"/>
          <w:sz w:val="24"/>
          <w:szCs w:val="24"/>
          <w:lang w:val="en-NZ"/>
        </w:rPr>
        <w:t xml:space="preserve">.  </w:t>
      </w:r>
    </w:p>
    <w:p w:rsidR="000C43AB" w:rsidRPr="00E13C47" w:rsidRDefault="000C43AB" w:rsidP="00B91E3E">
      <w:pPr>
        <w:pStyle w:val="Bullet-list"/>
        <w:spacing w:after="0" w:line="240" w:lineRule="auto"/>
        <w:ind w:left="0" w:firstLine="0"/>
        <w:jc w:val="both"/>
        <w:rPr>
          <w:rFonts w:ascii="Times New Roman" w:hAnsi="Times New Roman"/>
          <w:sz w:val="24"/>
          <w:szCs w:val="24"/>
        </w:rPr>
        <w:sectPr w:rsidR="000C43AB" w:rsidRPr="00E13C47" w:rsidSect="00B91E3E">
          <w:footerReference w:type="default" r:id="rId9"/>
          <w:pgSz w:w="11907" w:h="16840" w:code="9"/>
          <w:pgMar w:top="1134" w:right="1418" w:bottom="1134" w:left="1418" w:header="567" w:footer="567" w:gutter="0"/>
          <w:pgNumType w:start="1"/>
          <w:cols w:space="720"/>
          <w:docGrid w:linePitch="360"/>
        </w:sectPr>
      </w:pPr>
    </w:p>
    <w:tbl>
      <w:tblPr>
        <w:tblStyle w:val="TableGrid"/>
        <w:tblW w:w="0" w:type="auto"/>
        <w:tblInd w:w="284" w:type="dxa"/>
        <w:tblLook w:val="04A0" w:firstRow="1" w:lastRow="0" w:firstColumn="1" w:lastColumn="0" w:noHBand="0" w:noVBand="1"/>
      </w:tblPr>
      <w:tblGrid>
        <w:gridCol w:w="1951"/>
        <w:gridCol w:w="2281"/>
        <w:gridCol w:w="2176"/>
        <w:gridCol w:w="1894"/>
        <w:gridCol w:w="2122"/>
        <w:gridCol w:w="2211"/>
        <w:gridCol w:w="1869"/>
      </w:tblGrid>
      <w:tr w:rsidR="000C43AB" w:rsidTr="00B91E3E">
        <w:tc>
          <w:tcPr>
            <w:tcW w:w="1951" w:type="dxa"/>
            <w:vMerge w:val="restart"/>
          </w:tcPr>
          <w:p w:rsidR="000C43AB" w:rsidRPr="002F302C" w:rsidRDefault="000C43AB" w:rsidP="000C43AB">
            <w:pPr>
              <w:pStyle w:val="Bullet-list"/>
              <w:spacing w:after="0" w:line="240" w:lineRule="auto"/>
              <w:ind w:left="0" w:firstLine="0"/>
              <w:rPr>
                <w:rFonts w:ascii="Times New Roman" w:hAnsi="Times New Roman"/>
                <w:b/>
                <w:sz w:val="24"/>
                <w:szCs w:val="24"/>
              </w:rPr>
            </w:pPr>
          </w:p>
        </w:tc>
        <w:tc>
          <w:tcPr>
            <w:tcW w:w="2281" w:type="dxa"/>
            <w:vMerge w:val="restart"/>
          </w:tcPr>
          <w:p w:rsidR="000C43AB" w:rsidRPr="002F302C" w:rsidRDefault="00625424" w:rsidP="000C43AB">
            <w:pPr>
              <w:pStyle w:val="Bullet-list"/>
              <w:spacing w:after="0" w:line="240" w:lineRule="auto"/>
              <w:ind w:left="0" w:firstLine="0"/>
              <w:jc w:val="center"/>
              <w:rPr>
                <w:rFonts w:ascii="Times New Roman" w:hAnsi="Times New Roman"/>
                <w:b/>
                <w:sz w:val="24"/>
                <w:szCs w:val="24"/>
              </w:rPr>
            </w:pPr>
            <w:r w:rsidRPr="00625424">
              <w:rPr>
                <w:rFonts w:ascii="Times New Roman" w:hAnsi="Times New Roman"/>
                <w:noProof/>
                <w:sz w:val="24"/>
                <w:szCs w:val="24"/>
                <w:lang w:val="en-NZ" w:eastAsia="en-NZ"/>
              </w:rPr>
              <mc:AlternateContent>
                <mc:Choice Requires="wps">
                  <w:drawing>
                    <wp:anchor distT="0" distB="0" distL="114300" distR="114300" simplePos="0" relativeHeight="251691008" behindDoc="0" locked="0" layoutInCell="1" allowOverlap="1" wp14:anchorId="1C556442" wp14:editId="12F4090D">
                      <wp:simplePos x="0" y="0"/>
                      <wp:positionH relativeFrom="column">
                        <wp:posOffset>979170</wp:posOffset>
                      </wp:positionH>
                      <wp:positionV relativeFrom="paragraph">
                        <wp:posOffset>-447675</wp:posOffset>
                      </wp:positionV>
                      <wp:extent cx="4906800" cy="392400"/>
                      <wp:effectExtent l="0" t="0" r="825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800" cy="392400"/>
                              </a:xfrm>
                              <a:prstGeom prst="rect">
                                <a:avLst/>
                              </a:prstGeom>
                              <a:solidFill>
                                <a:srgbClr val="FFFFFF"/>
                              </a:solidFill>
                              <a:ln w="9525">
                                <a:noFill/>
                                <a:miter lim="800000"/>
                                <a:headEnd/>
                                <a:tailEnd/>
                              </a:ln>
                            </wps:spPr>
                            <wps:txbx>
                              <w:txbxContent>
                                <w:p w:rsidR="00EC3764" w:rsidRPr="00D0687C" w:rsidRDefault="00EC3764" w:rsidP="00B91E3E">
                                  <w:pPr>
                                    <w:pStyle w:val="Header"/>
                                    <w:jc w:val="center"/>
                                    <w:rPr>
                                      <w:rFonts w:ascii="Times New Roman" w:hAnsi="Times New Roman"/>
                                      <w:b/>
                                      <w:sz w:val="24"/>
                                      <w:szCs w:val="24"/>
                                    </w:rPr>
                                  </w:pPr>
                                  <w:r w:rsidRPr="00D0687C">
                                    <w:rPr>
                                      <w:rFonts w:ascii="Times New Roman" w:hAnsi="Times New Roman"/>
                                      <w:b/>
                                      <w:sz w:val="24"/>
                                      <w:szCs w:val="24"/>
                                    </w:rPr>
                                    <w:t>Table 1</w:t>
                                  </w:r>
                                  <w:r>
                                    <w:rPr>
                                      <w:rFonts w:ascii="Times New Roman" w:hAnsi="Times New Roman"/>
                                      <w:b/>
                                      <w:sz w:val="24"/>
                                      <w:szCs w:val="24"/>
                                    </w:rPr>
                                    <w:t>:</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w:t>
                                  </w:r>
                                  <w:proofErr w:type="gramStart"/>
                                  <w:r>
                                    <w:rPr>
                                      <w:rFonts w:ascii="Times New Roman" w:hAnsi="Times New Roman"/>
                                      <w:b/>
                                      <w:sz w:val="24"/>
                                      <w:szCs w:val="24"/>
                                    </w:rPr>
                                    <w:t>A</w:t>
                                  </w:r>
                                  <w:proofErr w:type="gramEnd"/>
                                  <w:r>
                                    <w:rPr>
                                      <w:rFonts w:ascii="Times New Roman" w:hAnsi="Times New Roman"/>
                                      <w:b/>
                                      <w:sz w:val="24"/>
                                      <w:szCs w:val="24"/>
                                    </w:rPr>
                                    <w:t xml:space="preserve"> (Capital raising costs)</w:t>
                                  </w:r>
                                </w:p>
                                <w:p w:rsidR="00EC3764" w:rsidRDefault="00EC3764" w:rsidP="00B91E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1pt;margin-top:-35.25pt;width:386.35pt;height:3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" stroked="f">
                      <v:textbox>
                        <w:txbxContent>
                          <w:p w:rsidR="00EC3764" w:rsidRPr="00D0687C" w:rsidRDefault="00EC3764" w:rsidP="00B91E3E">
                            <w:pPr>
                              <w:pStyle w:val="Header"/>
                              <w:jc w:val="center"/>
                              <w:rPr>
                                <w:rFonts w:ascii="Times New Roman" w:hAnsi="Times New Roman"/>
                                <w:b/>
                                <w:sz w:val="24"/>
                                <w:szCs w:val="24"/>
                              </w:rPr>
                            </w:pPr>
                            <w:r w:rsidRPr="00D0687C">
                              <w:rPr>
                                <w:rFonts w:ascii="Times New Roman" w:hAnsi="Times New Roman"/>
                                <w:b/>
                                <w:sz w:val="24"/>
                                <w:szCs w:val="24"/>
                              </w:rPr>
                              <w:t>Table 1</w:t>
                            </w:r>
                            <w:r>
                              <w:rPr>
                                <w:rFonts w:ascii="Times New Roman" w:hAnsi="Times New Roman"/>
                                <w:b/>
                                <w:sz w:val="24"/>
                                <w:szCs w:val="24"/>
                              </w:rPr>
                              <w:t>:</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w:t>
                            </w:r>
                            <w:proofErr w:type="gramStart"/>
                            <w:r>
                              <w:rPr>
                                <w:rFonts w:ascii="Times New Roman" w:hAnsi="Times New Roman"/>
                                <w:b/>
                                <w:sz w:val="24"/>
                                <w:szCs w:val="24"/>
                              </w:rPr>
                              <w:t>A</w:t>
                            </w:r>
                            <w:proofErr w:type="gramEnd"/>
                            <w:r>
                              <w:rPr>
                                <w:rFonts w:ascii="Times New Roman" w:hAnsi="Times New Roman"/>
                                <w:b/>
                                <w:sz w:val="24"/>
                                <w:szCs w:val="24"/>
                              </w:rPr>
                              <w:t xml:space="preserve"> (Capital raising costs)</w:t>
                            </w:r>
                          </w:p>
                          <w:p w:rsidR="00EC3764" w:rsidRDefault="00EC3764" w:rsidP="00B91E3E">
                            <w:pPr>
                              <w:jc w:val="center"/>
                            </w:pPr>
                          </w:p>
                        </w:txbxContent>
                      </v:textbox>
                    </v:shape>
                  </w:pict>
                </mc:Fallback>
              </mc:AlternateContent>
            </w:r>
            <w:r w:rsidR="000C43AB" w:rsidRPr="002F302C">
              <w:rPr>
                <w:rFonts w:ascii="Times New Roman" w:hAnsi="Times New Roman"/>
                <w:b/>
                <w:sz w:val="24"/>
                <w:szCs w:val="24"/>
              </w:rPr>
              <w:t>Neutrality</w:t>
            </w:r>
            <w:r w:rsidR="00B36649">
              <w:rPr>
                <w:rFonts w:ascii="Times New Roman" w:hAnsi="Times New Roman"/>
                <w:b/>
                <w:sz w:val="24"/>
                <w:szCs w:val="24"/>
              </w:rPr>
              <w:t>*</w:t>
            </w:r>
          </w:p>
        </w:tc>
        <w:tc>
          <w:tcPr>
            <w:tcW w:w="4070" w:type="dxa"/>
            <w:gridSpan w:val="2"/>
          </w:tcPr>
          <w:p w:rsidR="000C43AB" w:rsidRPr="002F302C" w:rsidRDefault="000C43AB" w:rsidP="000C43AB">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Efficiency</w:t>
            </w:r>
          </w:p>
        </w:tc>
        <w:tc>
          <w:tcPr>
            <w:tcW w:w="2122" w:type="dxa"/>
            <w:vMerge w:val="restart"/>
          </w:tcPr>
          <w:p w:rsidR="000C43AB" w:rsidRPr="005620B7" w:rsidRDefault="000C43AB" w:rsidP="000C43AB">
            <w:pPr>
              <w:pStyle w:val="Bullet-list"/>
              <w:spacing w:after="0" w:line="240" w:lineRule="auto"/>
              <w:ind w:left="0" w:firstLine="0"/>
              <w:jc w:val="center"/>
              <w:rPr>
                <w:rFonts w:ascii="Times New Roman" w:hAnsi="Times New Roman"/>
                <w:b/>
                <w:sz w:val="24"/>
                <w:szCs w:val="24"/>
              </w:rPr>
            </w:pPr>
            <w:r w:rsidRPr="005620B7">
              <w:rPr>
                <w:rFonts w:ascii="Times New Roman" w:hAnsi="Times New Roman"/>
                <w:b/>
                <w:sz w:val="24"/>
                <w:szCs w:val="24"/>
              </w:rPr>
              <w:t>Certainty and simplicity</w:t>
            </w:r>
          </w:p>
        </w:tc>
        <w:tc>
          <w:tcPr>
            <w:tcW w:w="2211" w:type="dxa"/>
            <w:vMerge w:val="restart"/>
          </w:tcPr>
          <w:p w:rsidR="000C43AB" w:rsidRPr="002F302C" w:rsidRDefault="000C43AB" w:rsidP="000C43AB">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Effectiveness and fairness</w:t>
            </w:r>
            <w:r>
              <w:rPr>
                <w:rFonts w:ascii="Times New Roman" w:hAnsi="Times New Roman"/>
                <w:b/>
                <w:sz w:val="24"/>
                <w:szCs w:val="24"/>
              </w:rPr>
              <w:t>*</w:t>
            </w:r>
          </w:p>
        </w:tc>
        <w:tc>
          <w:tcPr>
            <w:tcW w:w="1869" w:type="dxa"/>
            <w:vMerge w:val="restart"/>
          </w:tcPr>
          <w:p w:rsidR="000C43AB" w:rsidRPr="002F302C" w:rsidRDefault="000C43AB" w:rsidP="000C43AB">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Fiscal impact</w:t>
            </w:r>
          </w:p>
        </w:tc>
      </w:tr>
      <w:tr w:rsidR="000C43AB" w:rsidTr="00B91E3E">
        <w:tc>
          <w:tcPr>
            <w:tcW w:w="1951" w:type="dxa"/>
            <w:vMerge/>
          </w:tcPr>
          <w:p w:rsidR="000C43AB" w:rsidRPr="002F302C" w:rsidRDefault="000C43AB" w:rsidP="000C43AB">
            <w:pPr>
              <w:pStyle w:val="Bullet-list"/>
              <w:spacing w:after="0" w:line="240" w:lineRule="auto"/>
              <w:ind w:left="0" w:firstLine="0"/>
              <w:rPr>
                <w:rFonts w:ascii="Times New Roman" w:hAnsi="Times New Roman"/>
                <w:b/>
                <w:sz w:val="24"/>
                <w:szCs w:val="24"/>
              </w:rPr>
            </w:pPr>
          </w:p>
        </w:tc>
        <w:tc>
          <w:tcPr>
            <w:tcW w:w="2281" w:type="dxa"/>
            <w:vMerge/>
          </w:tcPr>
          <w:p w:rsidR="000C43AB" w:rsidRPr="002F302C" w:rsidRDefault="000C43AB" w:rsidP="000C43AB">
            <w:pPr>
              <w:pStyle w:val="Bullet-list"/>
              <w:spacing w:after="0" w:line="240" w:lineRule="auto"/>
              <w:ind w:left="0" w:firstLine="0"/>
              <w:rPr>
                <w:rFonts w:ascii="Times New Roman" w:hAnsi="Times New Roman"/>
                <w:b/>
                <w:sz w:val="24"/>
                <w:szCs w:val="24"/>
              </w:rPr>
            </w:pPr>
          </w:p>
        </w:tc>
        <w:tc>
          <w:tcPr>
            <w:tcW w:w="2176" w:type="dxa"/>
          </w:tcPr>
          <w:p w:rsidR="000C43AB" w:rsidRPr="002F302C" w:rsidRDefault="000C43AB" w:rsidP="000C43AB">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Compliance costs</w:t>
            </w:r>
          </w:p>
        </w:tc>
        <w:tc>
          <w:tcPr>
            <w:tcW w:w="1894" w:type="dxa"/>
          </w:tcPr>
          <w:p w:rsidR="000C43AB" w:rsidRPr="002F302C" w:rsidRDefault="000C43AB" w:rsidP="000C43AB">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Administration costs</w:t>
            </w:r>
          </w:p>
        </w:tc>
        <w:tc>
          <w:tcPr>
            <w:tcW w:w="2122" w:type="dxa"/>
            <w:vMerge/>
          </w:tcPr>
          <w:p w:rsidR="000C43AB" w:rsidRPr="005620B7" w:rsidRDefault="000C43AB" w:rsidP="000C43AB">
            <w:pPr>
              <w:pStyle w:val="Bullet-list"/>
              <w:spacing w:after="0" w:line="240" w:lineRule="auto"/>
              <w:ind w:left="0" w:firstLine="0"/>
              <w:rPr>
                <w:rFonts w:ascii="Times New Roman" w:hAnsi="Times New Roman"/>
                <w:b/>
                <w:sz w:val="24"/>
                <w:szCs w:val="24"/>
              </w:rPr>
            </w:pPr>
          </w:p>
        </w:tc>
        <w:tc>
          <w:tcPr>
            <w:tcW w:w="2211" w:type="dxa"/>
            <w:vMerge/>
          </w:tcPr>
          <w:p w:rsidR="000C43AB" w:rsidRPr="002F302C" w:rsidRDefault="000C43AB" w:rsidP="000C43AB">
            <w:pPr>
              <w:pStyle w:val="Bullet-list"/>
              <w:spacing w:after="0" w:line="240" w:lineRule="auto"/>
              <w:ind w:left="0" w:firstLine="0"/>
              <w:rPr>
                <w:rFonts w:ascii="Times New Roman" w:hAnsi="Times New Roman"/>
                <w:b/>
                <w:sz w:val="24"/>
                <w:szCs w:val="24"/>
              </w:rPr>
            </w:pPr>
          </w:p>
        </w:tc>
        <w:tc>
          <w:tcPr>
            <w:tcW w:w="1869" w:type="dxa"/>
            <w:vMerge/>
          </w:tcPr>
          <w:p w:rsidR="000C43AB" w:rsidRPr="002F302C" w:rsidRDefault="000C43AB" w:rsidP="000C43AB">
            <w:pPr>
              <w:pStyle w:val="Bullet-list"/>
              <w:spacing w:after="0" w:line="240" w:lineRule="auto"/>
              <w:ind w:left="0" w:firstLine="0"/>
              <w:rPr>
                <w:rFonts w:ascii="Times New Roman" w:hAnsi="Times New Roman"/>
                <w:b/>
                <w:sz w:val="24"/>
                <w:szCs w:val="24"/>
              </w:rPr>
            </w:pPr>
          </w:p>
        </w:tc>
      </w:tr>
      <w:tr w:rsidR="000C43AB" w:rsidTr="00B91E3E">
        <w:tc>
          <w:tcPr>
            <w:tcW w:w="1951" w:type="dxa"/>
            <w:tcBorders>
              <w:bottom w:val="nil"/>
            </w:tcBorders>
          </w:tcPr>
          <w:p w:rsidR="000C43AB" w:rsidRPr="002F302C" w:rsidRDefault="000C43AB">
            <w:pPr>
              <w:pStyle w:val="Bullet-list"/>
              <w:spacing w:after="0" w:line="240" w:lineRule="auto"/>
              <w:ind w:left="0" w:firstLine="0"/>
              <w:jc w:val="left"/>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1</w:t>
            </w:r>
            <w:r w:rsidRPr="002F302C">
              <w:rPr>
                <w:rFonts w:ascii="Times New Roman" w:hAnsi="Times New Roman"/>
                <w:b/>
                <w:sz w:val="24"/>
                <w:szCs w:val="24"/>
              </w:rPr>
              <w:t xml:space="preserve">: </w:t>
            </w:r>
            <w:r w:rsidR="00B36649">
              <w:rPr>
                <w:rFonts w:ascii="Times New Roman" w:hAnsi="Times New Roman"/>
                <w:b/>
                <w:sz w:val="24"/>
                <w:szCs w:val="24"/>
              </w:rPr>
              <w:t>allowing a deduction for capital raising costs</w:t>
            </w:r>
            <w:r w:rsidRPr="002F302C">
              <w:rPr>
                <w:rFonts w:ascii="Times New Roman" w:hAnsi="Times New Roman"/>
                <w:b/>
                <w:sz w:val="24"/>
                <w:szCs w:val="24"/>
              </w:rPr>
              <w:t xml:space="preserve"> </w:t>
            </w:r>
          </w:p>
        </w:tc>
        <w:tc>
          <w:tcPr>
            <w:tcW w:w="2281" w:type="dxa"/>
            <w:tcBorders>
              <w:bottom w:val="nil"/>
            </w:tcBorders>
          </w:tcPr>
          <w:p w:rsidR="000C43AB" w:rsidRPr="00EC3737" w:rsidRDefault="00B36649" w:rsidP="00B91E3E">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Increased</w:t>
            </w:r>
            <w:r>
              <w:rPr>
                <w:rFonts w:ascii="Times New Roman" w:hAnsi="Times New Roman"/>
                <w:sz w:val="20"/>
              </w:rPr>
              <w:t xml:space="preserve"> - GST recovery is less influenced by the source of capital.</w:t>
            </w:r>
          </w:p>
        </w:tc>
        <w:tc>
          <w:tcPr>
            <w:tcW w:w="2176" w:type="dxa"/>
            <w:tcBorders>
              <w:bottom w:val="nil"/>
            </w:tcBorders>
          </w:tcPr>
          <w:p w:rsidR="000C43AB" w:rsidRPr="00EC3737" w:rsidRDefault="00BC43A2" w:rsidP="00B91E3E">
            <w:pPr>
              <w:pStyle w:val="Bullet-list"/>
              <w:spacing w:after="0" w:line="240" w:lineRule="auto"/>
              <w:ind w:left="0" w:firstLine="0"/>
              <w:jc w:val="left"/>
              <w:rPr>
                <w:rFonts w:ascii="Times New Roman" w:hAnsi="Times New Roman"/>
                <w:sz w:val="20"/>
              </w:rPr>
            </w:pPr>
            <w:r>
              <w:rPr>
                <w:rFonts w:ascii="Times New Roman" w:hAnsi="Times New Roman"/>
                <w:b/>
                <w:sz w:val="20"/>
              </w:rPr>
              <w:t>Decreased</w:t>
            </w:r>
            <w:r w:rsidR="00B36649">
              <w:rPr>
                <w:rFonts w:ascii="Times New Roman" w:hAnsi="Times New Roman"/>
                <w:b/>
                <w:sz w:val="20"/>
              </w:rPr>
              <w:t xml:space="preserve"> - </w:t>
            </w:r>
            <w:r w:rsidR="00B36649">
              <w:rPr>
                <w:rFonts w:ascii="Times New Roman" w:hAnsi="Times New Roman"/>
                <w:sz w:val="20"/>
              </w:rPr>
              <w:t>the need to apportion deductions is reduced or the calculation of the deductions simplified.</w:t>
            </w:r>
          </w:p>
        </w:tc>
        <w:tc>
          <w:tcPr>
            <w:tcW w:w="1894" w:type="dxa"/>
            <w:tcBorders>
              <w:bottom w:val="nil"/>
            </w:tcBorders>
          </w:tcPr>
          <w:p w:rsidR="000C43AB" w:rsidRPr="00B36649" w:rsidRDefault="00B36649" w:rsidP="00B91E3E">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IRD monitors taxpayers’ compliance with the rules (as with other tax rules).</w:t>
            </w:r>
          </w:p>
        </w:tc>
        <w:tc>
          <w:tcPr>
            <w:tcW w:w="2122" w:type="dxa"/>
            <w:tcBorders>
              <w:bottom w:val="nil"/>
            </w:tcBorders>
          </w:tcPr>
          <w:p w:rsidR="000C43AB" w:rsidRPr="00B91E3E" w:rsidRDefault="00EA3246" w:rsidP="00B91E3E">
            <w:pPr>
              <w:pStyle w:val="Bullet-list"/>
              <w:spacing w:after="0" w:line="240" w:lineRule="auto"/>
              <w:ind w:left="0" w:firstLine="0"/>
              <w:jc w:val="left"/>
              <w:rPr>
                <w:rFonts w:ascii="Times New Roman" w:hAnsi="Times New Roman"/>
                <w:sz w:val="20"/>
              </w:rPr>
            </w:pPr>
            <w:r w:rsidRPr="005620B7">
              <w:rPr>
                <w:rFonts w:ascii="Times New Roman" w:hAnsi="Times New Roman"/>
                <w:b/>
                <w:sz w:val="20"/>
              </w:rPr>
              <w:t>Increased</w:t>
            </w:r>
            <w:r w:rsidRPr="005620B7">
              <w:rPr>
                <w:rFonts w:ascii="Times New Roman" w:hAnsi="Times New Roman"/>
                <w:sz w:val="20"/>
              </w:rPr>
              <w:t xml:space="preserve"> </w:t>
            </w:r>
            <w:r w:rsidR="005620B7" w:rsidRPr="00B91E3E">
              <w:rPr>
                <w:rFonts w:ascii="Times New Roman" w:hAnsi="Times New Roman"/>
                <w:sz w:val="20"/>
              </w:rPr>
              <w:t>–</w:t>
            </w:r>
            <w:r w:rsidRPr="005620B7">
              <w:rPr>
                <w:rFonts w:ascii="Times New Roman" w:hAnsi="Times New Roman"/>
                <w:sz w:val="20"/>
              </w:rPr>
              <w:t xml:space="preserve"> </w:t>
            </w:r>
            <w:r w:rsidR="005620B7" w:rsidRPr="00B91E3E">
              <w:rPr>
                <w:rFonts w:ascii="Times New Roman" w:hAnsi="Times New Roman"/>
                <w:sz w:val="20"/>
              </w:rPr>
              <w:t>fully taxable businesses would not need to apportion costs.</w:t>
            </w:r>
            <w:r w:rsidR="005620B7">
              <w:rPr>
                <w:rFonts w:ascii="Times New Roman" w:hAnsi="Times New Roman"/>
                <w:sz w:val="20"/>
              </w:rPr>
              <w:t xml:space="preserve">  Tax obligations are therefore more transparent.</w:t>
            </w:r>
          </w:p>
          <w:p w:rsidR="005620B7" w:rsidRPr="00B91E3E" w:rsidRDefault="005620B7" w:rsidP="00B91E3E">
            <w:pPr>
              <w:pStyle w:val="Bullet-list"/>
              <w:spacing w:after="0" w:line="240" w:lineRule="auto"/>
              <w:ind w:left="0" w:firstLine="0"/>
              <w:jc w:val="left"/>
              <w:rPr>
                <w:rFonts w:ascii="Times New Roman" w:hAnsi="Times New Roman"/>
                <w:sz w:val="20"/>
              </w:rPr>
            </w:pPr>
          </w:p>
          <w:p w:rsidR="005620B7" w:rsidRPr="005620B7" w:rsidRDefault="005620B7" w:rsidP="00B91E3E">
            <w:pPr>
              <w:pStyle w:val="Bullet-list"/>
              <w:spacing w:after="0" w:line="240" w:lineRule="auto"/>
              <w:ind w:left="0" w:firstLine="0"/>
              <w:jc w:val="left"/>
              <w:rPr>
                <w:rFonts w:ascii="Times New Roman" w:hAnsi="Times New Roman"/>
                <w:sz w:val="20"/>
              </w:rPr>
            </w:pPr>
          </w:p>
        </w:tc>
        <w:tc>
          <w:tcPr>
            <w:tcW w:w="2211" w:type="dxa"/>
            <w:tcBorders>
              <w:bottom w:val="nil"/>
            </w:tcBorders>
          </w:tcPr>
          <w:p w:rsidR="000C43AB" w:rsidRPr="00EC3737" w:rsidRDefault="00B36649" w:rsidP="00B91E3E">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Increased</w:t>
            </w:r>
            <w:r>
              <w:rPr>
                <w:rFonts w:ascii="Times New Roman" w:hAnsi="Times New Roman"/>
                <w:sz w:val="20"/>
              </w:rPr>
              <w:t xml:space="preserve"> - e</w:t>
            </w:r>
            <w:r w:rsidR="00722BC2">
              <w:rPr>
                <w:rFonts w:ascii="Times New Roman" w:hAnsi="Times New Roman"/>
                <w:sz w:val="20"/>
              </w:rPr>
              <w:t xml:space="preserve">nsures that </w:t>
            </w:r>
            <w:r>
              <w:rPr>
                <w:rFonts w:ascii="Times New Roman" w:hAnsi="Times New Roman"/>
                <w:sz w:val="20"/>
              </w:rPr>
              <w:t>final consumption is taxed once.</w:t>
            </w:r>
          </w:p>
        </w:tc>
        <w:tc>
          <w:tcPr>
            <w:tcW w:w="1869" w:type="dxa"/>
            <w:tcBorders>
              <w:bottom w:val="nil"/>
            </w:tcBorders>
          </w:tcPr>
          <w:p w:rsidR="000C43AB" w:rsidRPr="00EC3737" w:rsidRDefault="00B36649">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 xml:space="preserve">Decreased </w:t>
            </w:r>
            <w:r w:rsidR="00ED0D31">
              <w:rPr>
                <w:rFonts w:ascii="Times New Roman" w:hAnsi="Times New Roman"/>
                <w:b/>
                <w:sz w:val="20"/>
              </w:rPr>
              <w:t>–</w:t>
            </w:r>
            <w:r>
              <w:rPr>
                <w:rFonts w:ascii="Times New Roman" w:hAnsi="Times New Roman"/>
                <w:sz w:val="20"/>
              </w:rPr>
              <w:t xml:space="preserve"> </w:t>
            </w:r>
            <w:r w:rsidR="00ED0D31">
              <w:rPr>
                <w:rFonts w:ascii="Times New Roman" w:hAnsi="Times New Roman"/>
                <w:sz w:val="20"/>
              </w:rPr>
              <w:t xml:space="preserve">estimated </w:t>
            </w:r>
            <w:r w:rsidR="00722BC2">
              <w:rPr>
                <w:rFonts w:ascii="Times New Roman" w:hAnsi="Times New Roman"/>
                <w:sz w:val="20"/>
              </w:rPr>
              <w:t>$10 million per annum fiscal cost</w:t>
            </w:r>
            <w:r w:rsidR="00BC43A2">
              <w:rPr>
                <w:rFonts w:ascii="Times New Roman" w:hAnsi="Times New Roman"/>
                <w:sz w:val="20"/>
              </w:rPr>
              <w:t>.</w:t>
            </w:r>
          </w:p>
          <w:p w:rsidR="000C43AB" w:rsidRPr="00EC3737" w:rsidRDefault="000C43AB">
            <w:pPr>
              <w:pStyle w:val="Bullet-list"/>
              <w:spacing w:after="0" w:line="240" w:lineRule="auto"/>
              <w:ind w:left="0" w:firstLine="0"/>
              <w:jc w:val="left"/>
              <w:rPr>
                <w:rFonts w:ascii="Times New Roman" w:hAnsi="Times New Roman"/>
                <w:sz w:val="20"/>
              </w:rPr>
            </w:pPr>
          </w:p>
          <w:p w:rsidR="000C43AB" w:rsidRPr="00EC3737" w:rsidRDefault="000C43AB">
            <w:pPr>
              <w:pStyle w:val="Bullet-list"/>
              <w:spacing w:after="0" w:line="240" w:lineRule="auto"/>
              <w:ind w:left="0" w:firstLine="0"/>
              <w:jc w:val="left"/>
              <w:rPr>
                <w:rFonts w:ascii="Times New Roman" w:hAnsi="Times New Roman"/>
                <w:sz w:val="20"/>
              </w:rPr>
            </w:pPr>
          </w:p>
        </w:tc>
      </w:tr>
      <w:tr w:rsidR="00B36649" w:rsidTr="00B91E3E">
        <w:tc>
          <w:tcPr>
            <w:tcW w:w="1951" w:type="dxa"/>
            <w:tcBorders>
              <w:top w:val="nil"/>
            </w:tcBorders>
          </w:tcPr>
          <w:p w:rsidR="00B36649" w:rsidRPr="002F302C" w:rsidRDefault="00B36649" w:rsidP="00B91E3E">
            <w:pPr>
              <w:pStyle w:val="Bullet-list"/>
              <w:spacing w:after="0" w:line="240" w:lineRule="auto"/>
              <w:ind w:left="0" w:firstLine="0"/>
              <w:jc w:val="left"/>
              <w:rPr>
                <w:rFonts w:ascii="Times New Roman" w:hAnsi="Times New Roman"/>
                <w:b/>
                <w:sz w:val="24"/>
                <w:szCs w:val="24"/>
              </w:rPr>
            </w:pPr>
          </w:p>
        </w:tc>
        <w:tc>
          <w:tcPr>
            <w:tcW w:w="2281" w:type="dxa"/>
            <w:tcBorders>
              <w:top w:val="nil"/>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176" w:type="dxa"/>
            <w:tcBorders>
              <w:top w:val="nil"/>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94" w:type="dxa"/>
            <w:tcBorders>
              <w:top w:val="nil"/>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122" w:type="dxa"/>
            <w:tcBorders>
              <w:top w:val="nil"/>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211" w:type="dxa"/>
            <w:tcBorders>
              <w:top w:val="nil"/>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69" w:type="dxa"/>
            <w:tcBorders>
              <w:top w:val="nil"/>
            </w:tcBorders>
          </w:tcPr>
          <w:p w:rsidR="00B36649" w:rsidRPr="00B91E3E" w:rsidRDefault="00B36649" w:rsidP="000C43AB">
            <w:pPr>
              <w:pStyle w:val="Bullet-list"/>
              <w:spacing w:after="0" w:line="240" w:lineRule="auto"/>
              <w:ind w:left="0" w:firstLine="0"/>
              <w:jc w:val="center"/>
              <w:rPr>
                <w:rFonts w:ascii="Times New Roman" w:hAnsi="Times New Roman"/>
                <w:i/>
                <w:sz w:val="20"/>
              </w:rPr>
            </w:pPr>
          </w:p>
        </w:tc>
      </w:tr>
      <w:tr w:rsidR="00B36649" w:rsidTr="00B91E3E">
        <w:tc>
          <w:tcPr>
            <w:tcW w:w="1951" w:type="dxa"/>
            <w:tcBorders>
              <w:bottom w:val="nil"/>
            </w:tcBorders>
          </w:tcPr>
          <w:p w:rsidR="00B36649" w:rsidRPr="002F302C" w:rsidRDefault="00B36649">
            <w:pPr>
              <w:pStyle w:val="Bullet-list"/>
              <w:spacing w:after="0" w:line="240" w:lineRule="auto"/>
              <w:ind w:left="0" w:firstLine="0"/>
              <w:jc w:val="left"/>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2</w:t>
            </w:r>
            <w:r w:rsidRPr="002F302C">
              <w:rPr>
                <w:rFonts w:ascii="Times New Roman" w:hAnsi="Times New Roman"/>
                <w:b/>
                <w:sz w:val="24"/>
                <w:szCs w:val="24"/>
              </w:rPr>
              <w:t>:</w:t>
            </w:r>
            <w:r w:rsidR="009C58B0">
              <w:rPr>
                <w:rFonts w:ascii="Times New Roman" w:hAnsi="Times New Roman"/>
                <w:b/>
                <w:sz w:val="24"/>
                <w:szCs w:val="24"/>
              </w:rPr>
              <w:t xml:space="preserve"> </w:t>
            </w:r>
            <w:r>
              <w:rPr>
                <w:rFonts w:ascii="Times New Roman" w:hAnsi="Times New Roman"/>
                <w:b/>
                <w:sz w:val="24"/>
                <w:szCs w:val="24"/>
              </w:rPr>
              <w:t>status quo</w:t>
            </w:r>
          </w:p>
        </w:tc>
        <w:tc>
          <w:tcPr>
            <w:tcW w:w="2281" w:type="dxa"/>
            <w:tcBorders>
              <w:bottom w:val="nil"/>
            </w:tcBorders>
          </w:tcPr>
          <w:p w:rsidR="00B36649" w:rsidRPr="00EC3737" w:rsidRDefault="00B36649">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w:t>
            </w:r>
            <w:r w:rsidR="002822A3">
              <w:rPr>
                <w:rFonts w:ascii="Times New Roman" w:hAnsi="Times New Roman"/>
                <w:sz w:val="20"/>
              </w:rPr>
              <w:t>i</w:t>
            </w:r>
            <w:r>
              <w:rPr>
                <w:rFonts w:ascii="Times New Roman" w:hAnsi="Times New Roman"/>
                <w:sz w:val="20"/>
              </w:rPr>
              <w:t>ncentive to obtain funding</w:t>
            </w:r>
            <w:r w:rsidR="002822A3">
              <w:rPr>
                <w:rFonts w:ascii="Times New Roman" w:hAnsi="Times New Roman"/>
                <w:sz w:val="20"/>
              </w:rPr>
              <w:t xml:space="preserve"> in ways that enable GST recovery, such as from overseas</w:t>
            </w:r>
            <w:r>
              <w:rPr>
                <w:rFonts w:ascii="Times New Roman" w:hAnsi="Times New Roman"/>
                <w:sz w:val="20"/>
              </w:rPr>
              <w:t>.</w:t>
            </w:r>
          </w:p>
          <w:p w:rsidR="00B36649" w:rsidRPr="00EC3737" w:rsidRDefault="00B36649" w:rsidP="00B36649">
            <w:pPr>
              <w:pStyle w:val="Bullet-list"/>
              <w:spacing w:after="0" w:line="240" w:lineRule="auto"/>
              <w:ind w:left="0" w:firstLine="0"/>
              <w:jc w:val="left"/>
              <w:rPr>
                <w:rFonts w:ascii="Times New Roman" w:hAnsi="Times New Roman"/>
                <w:sz w:val="20"/>
              </w:rPr>
            </w:pPr>
          </w:p>
        </w:tc>
        <w:tc>
          <w:tcPr>
            <w:tcW w:w="2176" w:type="dxa"/>
            <w:tcBorders>
              <w:bottom w:val="nil"/>
            </w:tcBorders>
          </w:tcPr>
          <w:p w:rsidR="00B36649" w:rsidRDefault="00B36649" w:rsidP="00B91E3E">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some costs relating to both capital </w:t>
            </w:r>
            <w:proofErr w:type="gramStart"/>
            <w:r>
              <w:rPr>
                <w:rFonts w:ascii="Times New Roman" w:hAnsi="Times New Roman"/>
                <w:sz w:val="20"/>
              </w:rPr>
              <w:t>raising</w:t>
            </w:r>
            <w:proofErr w:type="gramEnd"/>
            <w:r>
              <w:rPr>
                <w:rFonts w:ascii="Times New Roman" w:hAnsi="Times New Roman"/>
                <w:sz w:val="20"/>
              </w:rPr>
              <w:t xml:space="preserve"> and other activities of the business may need to be apportioned.</w:t>
            </w:r>
          </w:p>
          <w:p w:rsidR="002822A3" w:rsidRPr="00EC3737" w:rsidRDefault="002822A3" w:rsidP="00B91E3E">
            <w:pPr>
              <w:pStyle w:val="Bullet-list"/>
              <w:spacing w:after="0" w:line="240" w:lineRule="auto"/>
              <w:ind w:left="0" w:firstLine="0"/>
              <w:jc w:val="left"/>
              <w:rPr>
                <w:rFonts w:ascii="Times New Roman" w:hAnsi="Times New Roman"/>
                <w:sz w:val="20"/>
              </w:rPr>
            </w:pPr>
          </w:p>
        </w:tc>
        <w:tc>
          <w:tcPr>
            <w:tcW w:w="1894" w:type="dxa"/>
            <w:tcBorders>
              <w:bottom w:val="nil"/>
            </w:tcBorders>
          </w:tcPr>
          <w:p w:rsidR="00B36649" w:rsidRPr="00EC3737" w:rsidRDefault="00B36649" w:rsidP="00B91E3E">
            <w:pPr>
              <w:pStyle w:val="Bullet-list"/>
              <w:spacing w:after="0" w:line="240" w:lineRule="auto"/>
              <w:ind w:left="0" w:firstLine="0"/>
              <w:jc w:val="left"/>
              <w:rPr>
                <w:rFonts w:ascii="Wingdings" w:hAnsi="Wingdings"/>
                <w:sz w:val="20"/>
              </w:rPr>
            </w:pPr>
            <w:r>
              <w:rPr>
                <w:rFonts w:ascii="Times New Roman" w:hAnsi="Times New Roman"/>
                <w:b/>
                <w:sz w:val="20"/>
              </w:rPr>
              <w:t>No change</w:t>
            </w:r>
            <w:r w:rsidRPr="00B91E3E">
              <w:rPr>
                <w:rFonts w:ascii="Times New Roman" w:hAnsi="Times New Roman"/>
                <w:sz w:val="20"/>
              </w:rPr>
              <w:t xml:space="preserve"> </w:t>
            </w:r>
            <w:r>
              <w:rPr>
                <w:rFonts w:ascii="Times New Roman" w:hAnsi="Times New Roman"/>
                <w:sz w:val="20"/>
              </w:rPr>
              <w:t>- IRD monitors taxpayers’ compliance with the rules (as with other tax rules).</w:t>
            </w:r>
          </w:p>
        </w:tc>
        <w:tc>
          <w:tcPr>
            <w:tcW w:w="2122" w:type="dxa"/>
            <w:tcBorders>
              <w:bottom w:val="nil"/>
            </w:tcBorders>
          </w:tcPr>
          <w:p w:rsidR="00B36649" w:rsidRPr="00B91E3E" w:rsidRDefault="00EA3246" w:rsidP="00B91E3E">
            <w:pPr>
              <w:pStyle w:val="Bullet-list"/>
              <w:spacing w:after="0" w:line="240" w:lineRule="auto"/>
              <w:ind w:left="0" w:firstLine="0"/>
              <w:jc w:val="left"/>
              <w:rPr>
                <w:rFonts w:ascii="Times New Roman" w:hAnsi="Times New Roman"/>
                <w:sz w:val="20"/>
              </w:rPr>
            </w:pPr>
            <w:r w:rsidRPr="005620B7">
              <w:rPr>
                <w:rFonts w:ascii="Times New Roman" w:hAnsi="Times New Roman"/>
                <w:b/>
                <w:sz w:val="20"/>
              </w:rPr>
              <w:t>No change</w:t>
            </w:r>
            <w:r w:rsidRPr="005620B7">
              <w:rPr>
                <w:rFonts w:ascii="Times New Roman" w:hAnsi="Times New Roman"/>
                <w:sz w:val="20"/>
              </w:rPr>
              <w:t xml:space="preserve"> </w:t>
            </w:r>
            <w:r w:rsidR="005620B7" w:rsidRPr="00B91E3E">
              <w:rPr>
                <w:rFonts w:ascii="Times New Roman" w:hAnsi="Times New Roman"/>
                <w:sz w:val="20"/>
              </w:rPr>
              <w:t>–</w:t>
            </w:r>
            <w:r w:rsidR="002F1C24" w:rsidRPr="005620B7">
              <w:rPr>
                <w:rFonts w:ascii="Times New Roman" w:hAnsi="Times New Roman"/>
                <w:sz w:val="20"/>
              </w:rPr>
              <w:t xml:space="preserve"> </w:t>
            </w:r>
            <w:r w:rsidR="005620B7" w:rsidRPr="00B91E3E">
              <w:rPr>
                <w:rFonts w:ascii="Times New Roman" w:hAnsi="Times New Roman"/>
                <w:sz w:val="20"/>
              </w:rPr>
              <w:t>businesses would need to determine which costs relate to capital raising, and which costs relate to other activities.</w:t>
            </w:r>
          </w:p>
          <w:p w:rsidR="005620B7" w:rsidRPr="005620B7" w:rsidRDefault="005620B7" w:rsidP="00B91E3E">
            <w:pPr>
              <w:pStyle w:val="Bullet-list"/>
              <w:spacing w:after="0" w:line="240" w:lineRule="auto"/>
              <w:ind w:left="0" w:firstLine="0"/>
              <w:jc w:val="left"/>
              <w:rPr>
                <w:rFonts w:ascii="Times New Roman" w:hAnsi="Times New Roman"/>
                <w:sz w:val="20"/>
              </w:rPr>
            </w:pPr>
          </w:p>
        </w:tc>
        <w:tc>
          <w:tcPr>
            <w:tcW w:w="2211" w:type="dxa"/>
            <w:tcBorders>
              <w:bottom w:val="nil"/>
            </w:tcBorders>
          </w:tcPr>
          <w:p w:rsidR="00B36649" w:rsidRPr="00EC3737" w:rsidRDefault="00EA3246" w:rsidP="00B91E3E">
            <w:pPr>
              <w:pStyle w:val="Bullet-list"/>
              <w:spacing w:after="0" w:line="240" w:lineRule="auto"/>
              <w:ind w:left="0" w:firstLine="0"/>
              <w:jc w:val="left"/>
              <w:rPr>
                <w:rFonts w:ascii="Times New Roman" w:hAnsi="Times New Roman"/>
                <w:sz w:val="20"/>
              </w:rPr>
            </w:pPr>
            <w:r>
              <w:rPr>
                <w:rFonts w:ascii="Times New Roman" w:hAnsi="Times New Roman"/>
                <w:b/>
                <w:sz w:val="20"/>
              </w:rPr>
              <w:t>No change</w:t>
            </w:r>
            <w:r w:rsidRPr="00A0104F">
              <w:rPr>
                <w:rFonts w:ascii="Times New Roman" w:hAnsi="Times New Roman"/>
                <w:sz w:val="20"/>
              </w:rPr>
              <w:t xml:space="preserve"> </w:t>
            </w:r>
            <w:r>
              <w:rPr>
                <w:rFonts w:ascii="Times New Roman" w:hAnsi="Times New Roman"/>
                <w:sz w:val="20"/>
              </w:rPr>
              <w:t>- d</w:t>
            </w:r>
            <w:r w:rsidR="00B36649">
              <w:rPr>
                <w:rFonts w:ascii="Times New Roman" w:hAnsi="Times New Roman"/>
                <w:sz w:val="20"/>
              </w:rPr>
              <w:t>enial of deductions leads to GST being imposed multiple times in supply chain.  Tax cascade overtaxes the consumption.</w:t>
            </w:r>
          </w:p>
        </w:tc>
        <w:tc>
          <w:tcPr>
            <w:tcW w:w="1869" w:type="dxa"/>
            <w:tcBorders>
              <w:bottom w:val="nil"/>
            </w:tcBorders>
          </w:tcPr>
          <w:p w:rsidR="00B36649" w:rsidRPr="00B91E3E" w:rsidRDefault="00B36649">
            <w:pPr>
              <w:pStyle w:val="Bullet-list"/>
              <w:spacing w:after="0" w:line="240" w:lineRule="auto"/>
              <w:ind w:left="0" w:firstLine="0"/>
              <w:jc w:val="left"/>
              <w:rPr>
                <w:rFonts w:ascii="Times New Roman" w:hAnsi="Times New Roman"/>
                <w:b/>
                <w:sz w:val="20"/>
              </w:rPr>
            </w:pPr>
            <w:r w:rsidRPr="00B91E3E">
              <w:rPr>
                <w:rFonts w:ascii="Times New Roman" w:hAnsi="Times New Roman"/>
                <w:b/>
                <w:sz w:val="20"/>
              </w:rPr>
              <w:t>No change</w:t>
            </w:r>
            <w:r w:rsidR="00EA3246">
              <w:rPr>
                <w:rFonts w:ascii="Times New Roman" w:hAnsi="Times New Roman"/>
                <w:b/>
                <w:sz w:val="20"/>
              </w:rPr>
              <w:t>.</w:t>
            </w:r>
          </w:p>
          <w:p w:rsidR="00B36649" w:rsidRPr="00EC3737" w:rsidRDefault="00B36649">
            <w:pPr>
              <w:pStyle w:val="Bullet-list"/>
              <w:spacing w:after="0" w:line="240" w:lineRule="auto"/>
              <w:ind w:left="0" w:firstLine="0"/>
              <w:jc w:val="left"/>
              <w:rPr>
                <w:rFonts w:ascii="Times New Roman" w:hAnsi="Times New Roman"/>
                <w:sz w:val="20"/>
              </w:rPr>
            </w:pPr>
          </w:p>
          <w:p w:rsidR="00B36649" w:rsidRPr="00EC3737" w:rsidRDefault="00B36649" w:rsidP="00B36649">
            <w:pPr>
              <w:pStyle w:val="Bullet-list"/>
              <w:spacing w:after="0" w:line="240" w:lineRule="auto"/>
              <w:ind w:left="0" w:firstLine="0"/>
              <w:jc w:val="left"/>
              <w:rPr>
                <w:rFonts w:ascii="Times New Roman" w:hAnsi="Times New Roman"/>
                <w:sz w:val="20"/>
              </w:rPr>
            </w:pPr>
          </w:p>
        </w:tc>
      </w:tr>
      <w:tr w:rsidR="00B36649" w:rsidTr="00B91E3E">
        <w:tc>
          <w:tcPr>
            <w:tcW w:w="1951" w:type="dxa"/>
            <w:tcBorders>
              <w:top w:val="nil"/>
              <w:bottom w:val="single" w:sz="4" w:space="0" w:color="auto"/>
            </w:tcBorders>
          </w:tcPr>
          <w:p w:rsidR="00B36649" w:rsidRPr="002F302C" w:rsidRDefault="00B36649" w:rsidP="000C43AB">
            <w:pPr>
              <w:pStyle w:val="Bullet-list"/>
              <w:spacing w:after="0" w:line="240" w:lineRule="auto"/>
              <w:ind w:left="0" w:firstLine="0"/>
              <w:jc w:val="center"/>
              <w:rPr>
                <w:rFonts w:ascii="Times New Roman" w:hAnsi="Times New Roman"/>
                <w:b/>
                <w:sz w:val="24"/>
                <w:szCs w:val="24"/>
              </w:rPr>
            </w:pPr>
          </w:p>
        </w:tc>
        <w:tc>
          <w:tcPr>
            <w:tcW w:w="2281" w:type="dxa"/>
            <w:tcBorders>
              <w:top w:val="nil"/>
              <w:bottom w:val="single" w:sz="4" w:space="0" w:color="auto"/>
            </w:tcBorders>
          </w:tcPr>
          <w:p w:rsidR="00B36649" w:rsidRPr="00B91E3E" w:rsidRDefault="002822A3"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Partially</w:t>
            </w:r>
            <w:r w:rsidR="00683B49" w:rsidRPr="00B91E3E">
              <w:rPr>
                <w:rFonts w:ascii="Times New Roman" w:hAnsi="Times New Roman"/>
                <w:i/>
                <w:sz w:val="20"/>
              </w:rPr>
              <w:t xml:space="preserve"> meet</w:t>
            </w:r>
            <w:r w:rsidRPr="00B91E3E">
              <w:rPr>
                <w:rFonts w:ascii="Times New Roman" w:hAnsi="Times New Roman"/>
                <w:i/>
                <w:sz w:val="20"/>
              </w:rPr>
              <w:t>s</w:t>
            </w:r>
            <w:r w:rsidR="00683B49" w:rsidRPr="00B91E3E">
              <w:rPr>
                <w:rFonts w:ascii="Times New Roman" w:hAnsi="Times New Roman"/>
                <w:i/>
                <w:sz w:val="20"/>
              </w:rPr>
              <w:t xml:space="preserve"> objective</w:t>
            </w:r>
          </w:p>
        </w:tc>
        <w:tc>
          <w:tcPr>
            <w:tcW w:w="2176" w:type="dxa"/>
            <w:tcBorders>
              <w:top w:val="nil"/>
              <w:bottom w:val="single" w:sz="4" w:space="0" w:color="auto"/>
            </w:tcBorders>
          </w:tcPr>
          <w:p w:rsidR="00B36649" w:rsidRPr="00B91E3E" w:rsidRDefault="002822A3"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94" w:type="dxa"/>
            <w:tcBorders>
              <w:top w:val="nil"/>
              <w:bottom w:val="single" w:sz="4" w:space="0" w:color="auto"/>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122" w:type="dxa"/>
            <w:tcBorders>
              <w:top w:val="nil"/>
              <w:bottom w:val="single" w:sz="4" w:space="0" w:color="auto"/>
            </w:tcBorders>
          </w:tcPr>
          <w:p w:rsidR="00B36649" w:rsidRPr="00B91E3E" w:rsidRDefault="00683B49" w:rsidP="000C43A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211" w:type="dxa"/>
            <w:tcBorders>
              <w:top w:val="nil"/>
              <w:bottom w:val="single" w:sz="4" w:space="0" w:color="auto"/>
            </w:tcBorders>
          </w:tcPr>
          <w:p w:rsidR="00B36649" w:rsidRPr="00B91E3E" w:rsidRDefault="00683B49" w:rsidP="00683B4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Does not meet objective</w:t>
            </w:r>
          </w:p>
        </w:tc>
        <w:tc>
          <w:tcPr>
            <w:tcW w:w="1869" w:type="dxa"/>
            <w:tcBorders>
              <w:top w:val="nil"/>
              <w:bottom w:val="single" w:sz="4" w:space="0" w:color="auto"/>
            </w:tcBorders>
          </w:tcPr>
          <w:p w:rsidR="00B36649" w:rsidRPr="00B91E3E" w:rsidRDefault="00B36649" w:rsidP="000C43AB">
            <w:pPr>
              <w:pStyle w:val="Bullet-list"/>
              <w:spacing w:after="0" w:line="240" w:lineRule="auto"/>
              <w:ind w:left="0" w:firstLine="0"/>
              <w:jc w:val="center"/>
              <w:rPr>
                <w:rFonts w:ascii="Times New Roman" w:hAnsi="Times New Roman"/>
                <w:i/>
                <w:sz w:val="20"/>
              </w:rPr>
            </w:pPr>
          </w:p>
        </w:tc>
      </w:tr>
      <w:tr w:rsidR="00ED0D31" w:rsidTr="00ED0D31">
        <w:tc>
          <w:tcPr>
            <w:tcW w:w="14504" w:type="dxa"/>
            <w:gridSpan w:val="7"/>
            <w:tcBorders>
              <w:top w:val="single" w:sz="4" w:space="0" w:color="auto"/>
            </w:tcBorders>
          </w:tcPr>
          <w:p w:rsidR="00ED0D31" w:rsidRPr="00B91E3E" w:rsidRDefault="00ED0D31" w:rsidP="00B91E3E">
            <w:pPr>
              <w:pStyle w:val="Bullet-list"/>
              <w:spacing w:after="0" w:line="240" w:lineRule="auto"/>
              <w:ind w:left="0" w:firstLine="0"/>
              <w:jc w:val="center"/>
              <w:rPr>
                <w:rFonts w:ascii="Times New Roman" w:hAnsi="Times New Roman"/>
                <w:i/>
                <w:sz w:val="20"/>
              </w:rPr>
            </w:pPr>
            <w:r>
              <w:rPr>
                <w:rFonts w:ascii="Times New Roman" w:hAnsi="Times New Roman"/>
                <w:i/>
                <w:sz w:val="20"/>
              </w:rPr>
              <w:t>* = Key objective</w:t>
            </w:r>
          </w:p>
        </w:tc>
      </w:tr>
    </w:tbl>
    <w:p w:rsidR="000C43AB" w:rsidRDefault="000C43AB" w:rsidP="00B91E3E">
      <w:pPr>
        <w:pStyle w:val="Bullet-list"/>
        <w:spacing w:after="0" w:line="240" w:lineRule="auto"/>
        <w:ind w:left="786" w:firstLine="0"/>
        <w:rPr>
          <w:rFonts w:ascii="Times New Roman" w:hAnsi="Times New Roman"/>
          <w:sz w:val="24"/>
          <w:szCs w:val="24"/>
        </w:rPr>
      </w:pPr>
    </w:p>
    <w:p w:rsidR="000C43AB" w:rsidRDefault="000C43AB" w:rsidP="00B91E3E">
      <w:pPr>
        <w:pStyle w:val="Bullet-list"/>
        <w:spacing w:after="0" w:line="240" w:lineRule="auto"/>
        <w:ind w:left="786" w:firstLine="0"/>
        <w:rPr>
          <w:rFonts w:ascii="Times New Roman" w:hAnsi="Times New Roman"/>
          <w:sz w:val="24"/>
          <w:szCs w:val="24"/>
        </w:rPr>
      </w:pPr>
    </w:p>
    <w:p w:rsidR="00966ABE" w:rsidRPr="00B91E3E" w:rsidRDefault="00966ABE" w:rsidP="00966ABE">
      <w:pPr>
        <w:pStyle w:val="Bullet-list"/>
        <w:numPr>
          <w:ilvl w:val="0"/>
          <w:numId w:val="2"/>
        </w:numPr>
        <w:tabs>
          <w:tab w:val="num" w:pos="567"/>
          <w:tab w:val="num" w:pos="644"/>
        </w:tabs>
        <w:spacing w:after="0" w:line="240" w:lineRule="auto"/>
        <w:ind w:left="0" w:firstLine="0"/>
        <w:rPr>
          <w:rFonts w:ascii="Times New Roman" w:hAnsi="Times New Roman"/>
          <w:sz w:val="24"/>
          <w:szCs w:val="24"/>
          <w:highlight w:val="yellow"/>
        </w:rPr>
        <w:sectPr w:rsidR="00966ABE" w:rsidRPr="00B91E3E" w:rsidSect="00B91E3E">
          <w:pgSz w:w="16840" w:h="11907" w:orient="landscape" w:code="9"/>
          <w:pgMar w:top="1418" w:right="1134" w:bottom="1418" w:left="1134" w:header="567" w:footer="567" w:gutter="0"/>
          <w:cols w:space="720"/>
          <w:docGrid w:linePitch="360"/>
        </w:sectPr>
      </w:pPr>
    </w:p>
    <w:p w:rsidR="00D06D45" w:rsidRPr="00ED5E55" w:rsidRDefault="00D06D45" w:rsidP="00B91E3E">
      <w:pPr>
        <w:jc w:val="both"/>
        <w:rPr>
          <w:rFonts w:ascii="Times New Roman" w:hAnsi="Times New Roman"/>
          <w:b/>
          <w:i/>
          <w:sz w:val="24"/>
          <w:szCs w:val="24"/>
        </w:rPr>
      </w:pPr>
      <w:r>
        <w:rPr>
          <w:rFonts w:ascii="Times New Roman" w:hAnsi="Times New Roman"/>
          <w:b/>
          <w:i/>
          <w:sz w:val="24"/>
          <w:szCs w:val="24"/>
        </w:rPr>
        <w:t>Consultation</w:t>
      </w:r>
    </w:p>
    <w:p w:rsidR="00D06D45" w:rsidRDefault="009C149F"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Feedback from consultation</w:t>
      </w:r>
      <w:r w:rsidR="00144E49">
        <w:rPr>
          <w:rFonts w:ascii="Times New Roman" w:hAnsi="Times New Roman"/>
          <w:sz w:val="24"/>
          <w:szCs w:val="24"/>
        </w:rPr>
        <w:t xml:space="preserve"> </w:t>
      </w:r>
      <w:r>
        <w:rPr>
          <w:rFonts w:ascii="Times New Roman" w:hAnsi="Times New Roman"/>
          <w:sz w:val="24"/>
          <w:szCs w:val="24"/>
        </w:rPr>
        <w:t xml:space="preserve">supported Option </w:t>
      </w:r>
      <w:r w:rsidR="005B1E55">
        <w:rPr>
          <w:rFonts w:ascii="Times New Roman" w:hAnsi="Times New Roman"/>
          <w:sz w:val="24"/>
          <w:szCs w:val="24"/>
        </w:rPr>
        <w:t>1</w:t>
      </w:r>
      <w:r w:rsidR="00144E49">
        <w:rPr>
          <w:rFonts w:ascii="Times New Roman" w:hAnsi="Times New Roman"/>
          <w:sz w:val="24"/>
          <w:szCs w:val="24"/>
        </w:rPr>
        <w:t>.</w:t>
      </w:r>
    </w:p>
    <w:p w:rsidR="00D06D45" w:rsidRDefault="00D06D45" w:rsidP="009C149F">
      <w:pPr>
        <w:pStyle w:val="Bullet-list"/>
        <w:spacing w:after="0" w:line="240" w:lineRule="auto"/>
        <w:ind w:left="0" w:firstLine="0"/>
        <w:jc w:val="both"/>
        <w:rPr>
          <w:rFonts w:ascii="Times New Roman" w:hAnsi="Times New Roman"/>
          <w:sz w:val="24"/>
          <w:szCs w:val="24"/>
        </w:rPr>
      </w:pPr>
    </w:p>
    <w:p w:rsidR="00D06D45" w:rsidRDefault="00144E49"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Submitters made points about the technical features of </w:t>
      </w:r>
      <w:r w:rsidR="009C149F">
        <w:rPr>
          <w:rFonts w:ascii="Times New Roman" w:hAnsi="Times New Roman"/>
          <w:sz w:val="24"/>
          <w:szCs w:val="24"/>
        </w:rPr>
        <w:t xml:space="preserve">Option </w:t>
      </w:r>
      <w:r w:rsidR="005B1E55">
        <w:rPr>
          <w:rFonts w:ascii="Times New Roman" w:hAnsi="Times New Roman"/>
          <w:sz w:val="24"/>
          <w:szCs w:val="24"/>
        </w:rPr>
        <w:t>1</w:t>
      </w:r>
      <w:r w:rsidR="009C149F">
        <w:rPr>
          <w:rFonts w:ascii="Times New Roman" w:hAnsi="Times New Roman"/>
          <w:sz w:val="24"/>
          <w:szCs w:val="24"/>
        </w:rPr>
        <w:t>,</w:t>
      </w:r>
      <w:r>
        <w:rPr>
          <w:rFonts w:ascii="Times New Roman" w:hAnsi="Times New Roman"/>
          <w:sz w:val="24"/>
          <w:szCs w:val="24"/>
        </w:rPr>
        <w:t xml:space="preserve"> including the services involved in capital raising and the method that</w:t>
      </w:r>
      <w:r w:rsidR="009C149F">
        <w:rPr>
          <w:rFonts w:ascii="Times New Roman" w:hAnsi="Times New Roman"/>
          <w:sz w:val="24"/>
          <w:szCs w:val="24"/>
        </w:rPr>
        <w:t xml:space="preserve"> should</w:t>
      </w:r>
      <w:r>
        <w:rPr>
          <w:rFonts w:ascii="Times New Roman" w:hAnsi="Times New Roman"/>
          <w:sz w:val="24"/>
          <w:szCs w:val="24"/>
        </w:rPr>
        <w:t xml:space="preserve"> be used to determine the proportion of input tax that may be deducted, where the funds may relate to both taxable and exempt activities.  T</w:t>
      </w:r>
      <w:r w:rsidR="009C149F">
        <w:rPr>
          <w:rFonts w:ascii="Times New Roman" w:hAnsi="Times New Roman"/>
          <w:sz w:val="24"/>
          <w:szCs w:val="24"/>
        </w:rPr>
        <w:t xml:space="preserve">his feedback has </w:t>
      </w:r>
      <w:r>
        <w:rPr>
          <w:rFonts w:ascii="Times New Roman" w:hAnsi="Times New Roman"/>
          <w:sz w:val="24"/>
          <w:szCs w:val="24"/>
        </w:rPr>
        <w:t>been taken into account in refining these features.</w:t>
      </w:r>
    </w:p>
    <w:p w:rsidR="00CF241C" w:rsidRDefault="00CF241C" w:rsidP="00B91E3E">
      <w:pPr>
        <w:pStyle w:val="ListParagraph"/>
        <w:rPr>
          <w:rFonts w:ascii="Times New Roman" w:hAnsi="Times New Roman"/>
          <w:sz w:val="24"/>
          <w:szCs w:val="24"/>
        </w:rPr>
      </w:pPr>
    </w:p>
    <w:p w:rsidR="00CF241C" w:rsidRDefault="00CF241C"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Submitters also suggested various application dates, including a retrospective change to enable businesses to claim past deductions.  We do not support this suggestion.  Policy changes generally apply prospectively, and making an exception in this case could give rise to fairness concerns if the same treatment was not extended in other situations.</w:t>
      </w:r>
    </w:p>
    <w:p w:rsidR="00144E49" w:rsidRPr="006B2540" w:rsidRDefault="00144E49" w:rsidP="009C149F">
      <w:pPr>
        <w:pStyle w:val="Bullet-list"/>
        <w:spacing w:after="0" w:line="240" w:lineRule="auto"/>
        <w:ind w:left="0" w:firstLine="0"/>
        <w:jc w:val="both"/>
        <w:rPr>
          <w:rFonts w:ascii="Times New Roman" w:hAnsi="Times New Roman"/>
          <w:sz w:val="24"/>
          <w:szCs w:val="24"/>
        </w:rPr>
      </w:pPr>
    </w:p>
    <w:p w:rsidR="00D06D45" w:rsidRDefault="00D06D45"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We note that one submitter submitted on the application of the suggested rules to financial service providers, and supported their exclusion.</w:t>
      </w:r>
    </w:p>
    <w:p w:rsidR="00D06D45" w:rsidRDefault="00D06D45" w:rsidP="00B91E3E">
      <w:pPr>
        <w:pStyle w:val="Bullet-list"/>
        <w:spacing w:after="0" w:line="240" w:lineRule="auto"/>
        <w:ind w:left="0" w:firstLine="0"/>
        <w:jc w:val="both"/>
        <w:rPr>
          <w:rFonts w:ascii="Times New Roman" w:hAnsi="Times New Roman"/>
          <w:b/>
          <w:sz w:val="24"/>
          <w:szCs w:val="24"/>
          <w:lang w:val="en-GB" w:eastAsia="en-GB"/>
        </w:rPr>
      </w:pPr>
    </w:p>
    <w:p w:rsidR="00D06D45" w:rsidRDefault="00D06D45" w:rsidP="00B91E3E">
      <w:pPr>
        <w:pStyle w:val="Bullet-list"/>
        <w:spacing w:after="0" w:line="240" w:lineRule="auto"/>
        <w:jc w:val="both"/>
        <w:rPr>
          <w:rFonts w:ascii="Times New Roman" w:hAnsi="Times New Roman"/>
          <w:b/>
          <w:i/>
          <w:sz w:val="24"/>
        </w:rPr>
      </w:pPr>
      <w:r w:rsidRPr="006B2540">
        <w:rPr>
          <w:rFonts w:ascii="Times New Roman" w:hAnsi="Times New Roman"/>
          <w:b/>
          <w:i/>
          <w:sz w:val="24"/>
        </w:rPr>
        <w:t>Conclusions and recommendations</w:t>
      </w:r>
    </w:p>
    <w:p w:rsidR="00D06D45" w:rsidRPr="006B2540" w:rsidRDefault="00D06D45" w:rsidP="00B91E3E">
      <w:pPr>
        <w:pStyle w:val="Bullet-list"/>
        <w:spacing w:after="0" w:line="240" w:lineRule="auto"/>
        <w:jc w:val="both"/>
        <w:rPr>
          <w:rFonts w:ascii="Times New Roman" w:hAnsi="Times New Roman"/>
          <w:b/>
          <w:i/>
          <w:sz w:val="24"/>
        </w:rPr>
      </w:pPr>
    </w:p>
    <w:p w:rsidR="002822A3" w:rsidRDefault="009C58B0"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rPr>
      </w:pPr>
      <w:r>
        <w:rPr>
          <w:rFonts w:ascii="Times New Roman" w:hAnsi="Times New Roman"/>
          <w:sz w:val="24"/>
        </w:rPr>
        <w:t>Option 1</w:t>
      </w:r>
      <w:r w:rsidR="00D06D45">
        <w:rPr>
          <w:rFonts w:ascii="Times New Roman" w:hAnsi="Times New Roman"/>
          <w:sz w:val="24"/>
        </w:rPr>
        <w:t xml:space="preserve"> </w:t>
      </w:r>
      <w:r w:rsidR="009C149F">
        <w:rPr>
          <w:rFonts w:ascii="Times New Roman" w:hAnsi="Times New Roman"/>
          <w:sz w:val="24"/>
        </w:rPr>
        <w:t xml:space="preserve">is </w:t>
      </w:r>
      <w:r w:rsidR="005620B7">
        <w:rPr>
          <w:rFonts w:ascii="Times New Roman" w:hAnsi="Times New Roman"/>
          <w:sz w:val="24"/>
        </w:rPr>
        <w:t xml:space="preserve">officials’ </w:t>
      </w:r>
      <w:r w:rsidR="009C149F">
        <w:rPr>
          <w:rFonts w:ascii="Times New Roman" w:hAnsi="Times New Roman"/>
          <w:sz w:val="24"/>
        </w:rPr>
        <w:t xml:space="preserve">preferred option on the basis that it best meets the </w:t>
      </w:r>
      <w:r w:rsidR="00ED0D31">
        <w:rPr>
          <w:rFonts w:ascii="Times New Roman" w:hAnsi="Times New Roman"/>
          <w:sz w:val="24"/>
        </w:rPr>
        <w:t>objective</w:t>
      </w:r>
      <w:r w:rsidR="009C149F">
        <w:rPr>
          <w:rFonts w:ascii="Times New Roman" w:hAnsi="Times New Roman"/>
          <w:sz w:val="24"/>
        </w:rPr>
        <w:t xml:space="preserve">.  </w:t>
      </w:r>
      <w:r>
        <w:rPr>
          <w:rFonts w:ascii="Times New Roman" w:hAnsi="Times New Roman"/>
          <w:sz w:val="24"/>
        </w:rPr>
        <w:t>Option 1</w:t>
      </w:r>
      <w:r w:rsidR="005620B7">
        <w:rPr>
          <w:rFonts w:ascii="Times New Roman" w:hAnsi="Times New Roman"/>
          <w:sz w:val="24"/>
        </w:rPr>
        <w:t xml:space="preserve"> better achieves the key objectives of neutrality and effectiveness and fairness.  Both options satisfy the other objectives. </w:t>
      </w:r>
    </w:p>
    <w:p w:rsidR="002822A3" w:rsidRDefault="002822A3" w:rsidP="00B91E3E">
      <w:pPr>
        <w:pStyle w:val="Bullet-list"/>
        <w:spacing w:after="0" w:line="240" w:lineRule="auto"/>
        <w:jc w:val="both"/>
        <w:rPr>
          <w:rFonts w:ascii="Times New Roman" w:hAnsi="Times New Roman"/>
          <w:sz w:val="24"/>
        </w:rPr>
      </w:pPr>
    </w:p>
    <w:p w:rsidR="00D06D45" w:rsidRPr="006B2540" w:rsidRDefault="00D06D45" w:rsidP="00B91E3E">
      <w:pPr>
        <w:pStyle w:val="Bullet-list"/>
        <w:spacing w:after="0" w:line="240" w:lineRule="auto"/>
        <w:jc w:val="both"/>
        <w:rPr>
          <w:rFonts w:ascii="Times New Roman" w:hAnsi="Times New Roman"/>
          <w:b/>
          <w:sz w:val="24"/>
          <w:szCs w:val="24"/>
        </w:rPr>
      </w:pPr>
    </w:p>
    <w:p w:rsidR="00FD4053" w:rsidRDefault="00683B49" w:rsidP="00B91E3E">
      <w:pPr>
        <w:pStyle w:val="Bullet-list"/>
        <w:keepNext/>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Item </w:t>
      </w:r>
      <w:r w:rsidR="00B36649">
        <w:rPr>
          <w:rFonts w:ascii="Times New Roman" w:hAnsi="Times New Roman"/>
          <w:b/>
          <w:sz w:val="24"/>
          <w:szCs w:val="24"/>
        </w:rPr>
        <w:t>B</w:t>
      </w:r>
      <w:r w:rsidR="00EE5369">
        <w:rPr>
          <w:rFonts w:ascii="Times New Roman" w:hAnsi="Times New Roman"/>
          <w:b/>
          <w:sz w:val="24"/>
          <w:szCs w:val="24"/>
        </w:rPr>
        <w:t xml:space="preserve">: </w:t>
      </w:r>
      <w:r w:rsidR="00FD4053" w:rsidRPr="006B2540">
        <w:rPr>
          <w:rFonts w:ascii="Times New Roman" w:hAnsi="Times New Roman"/>
          <w:b/>
          <w:sz w:val="24"/>
          <w:szCs w:val="24"/>
        </w:rPr>
        <w:t>Apportionment rules</w:t>
      </w:r>
    </w:p>
    <w:p w:rsidR="009B26B8" w:rsidRDefault="009B26B8" w:rsidP="009B26B8">
      <w:pPr>
        <w:keepNext/>
        <w:spacing w:after="0" w:line="240" w:lineRule="auto"/>
        <w:jc w:val="both"/>
        <w:rPr>
          <w:rFonts w:ascii="Times New Roman" w:hAnsi="Times New Roman"/>
          <w:b/>
          <w:i/>
          <w:sz w:val="24"/>
          <w:szCs w:val="24"/>
          <w:lang w:val="en-AU" w:eastAsia="en-AU"/>
        </w:rPr>
      </w:pPr>
    </w:p>
    <w:p w:rsidR="009B26B8" w:rsidRPr="00E012CE" w:rsidRDefault="009B26B8" w:rsidP="009B26B8">
      <w:pPr>
        <w:keepNext/>
        <w:spacing w:after="0" w:line="240" w:lineRule="auto"/>
        <w:jc w:val="both"/>
        <w:rPr>
          <w:rFonts w:ascii="Times New Roman" w:hAnsi="Times New Roman"/>
          <w:b/>
          <w:i/>
          <w:sz w:val="24"/>
          <w:szCs w:val="24"/>
          <w:lang w:val="en-AU" w:eastAsia="en-AU"/>
        </w:rPr>
      </w:pPr>
      <w:r>
        <w:rPr>
          <w:rFonts w:ascii="Times New Roman" w:hAnsi="Times New Roman"/>
          <w:b/>
          <w:i/>
          <w:sz w:val="24"/>
          <w:szCs w:val="24"/>
          <w:lang w:val="en-AU" w:eastAsia="en-AU"/>
        </w:rPr>
        <w:t>Status quo and problem definition</w:t>
      </w:r>
    </w:p>
    <w:p w:rsidR="009B26B8" w:rsidRPr="00E012CE" w:rsidRDefault="009B26B8" w:rsidP="009B26B8">
      <w:pPr>
        <w:keepNext/>
        <w:spacing w:after="0" w:line="240" w:lineRule="auto"/>
        <w:jc w:val="both"/>
        <w:rPr>
          <w:rFonts w:ascii="Times New Roman" w:hAnsi="Times New Roman"/>
          <w:sz w:val="24"/>
          <w:szCs w:val="24"/>
          <w:lang w:val="en-AU" w:eastAsia="en-US"/>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business that makes both taxable and exempt supplies, must apply certain rules to determine the amount of input tax it may deduct.  A business that acquires goods or services must estimate the extent to which it expects to use the goods or services to make taxable supplies, as a percentage of total use.  The method of determining the use of the goods and services is not prescribed, and the legislation provides for businesses to use a method that produces a fair and reasonable result.  This estimated </w:t>
      </w:r>
      <w:r w:rsidR="00FC2F74">
        <w:rPr>
          <w:rFonts w:ascii="Times New Roman" w:hAnsi="Times New Roman"/>
          <w:sz w:val="24"/>
          <w:szCs w:val="24"/>
        </w:rPr>
        <w:t>percentage use</w:t>
      </w:r>
      <w:r>
        <w:rPr>
          <w:rFonts w:ascii="Times New Roman" w:hAnsi="Times New Roman"/>
          <w:sz w:val="24"/>
          <w:szCs w:val="24"/>
        </w:rPr>
        <w:t xml:space="preserve"> is the proportion of input tax which </w:t>
      </w:r>
      <w:r w:rsidR="00FC2F74">
        <w:rPr>
          <w:rFonts w:ascii="Times New Roman" w:hAnsi="Times New Roman"/>
          <w:sz w:val="24"/>
          <w:szCs w:val="24"/>
        </w:rPr>
        <w:t>the business</w:t>
      </w:r>
      <w:r>
        <w:rPr>
          <w:rFonts w:ascii="Times New Roman" w:hAnsi="Times New Roman"/>
          <w:sz w:val="24"/>
          <w:szCs w:val="24"/>
        </w:rPr>
        <w:t xml:space="preserve"> may deduct in respect of those goods or services.</w:t>
      </w:r>
    </w:p>
    <w:p w:rsidR="00D06D45"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Once a year</w:t>
      </w:r>
      <w:r w:rsidR="00FC2F74">
        <w:rPr>
          <w:rFonts w:ascii="Times New Roman" w:hAnsi="Times New Roman"/>
          <w:sz w:val="24"/>
          <w:szCs w:val="24"/>
        </w:rPr>
        <w:t xml:space="preserve"> –</w:t>
      </w:r>
      <w:r>
        <w:rPr>
          <w:rFonts w:ascii="Times New Roman" w:hAnsi="Times New Roman"/>
          <w:sz w:val="24"/>
          <w:szCs w:val="24"/>
        </w:rPr>
        <w:t xml:space="preserve"> </w:t>
      </w:r>
      <w:r w:rsidR="00FC2F74">
        <w:rPr>
          <w:rFonts w:ascii="Times New Roman" w:hAnsi="Times New Roman"/>
          <w:sz w:val="24"/>
          <w:szCs w:val="24"/>
        </w:rPr>
        <w:t xml:space="preserve">and subject to exceptions, including for low-value goods and services – </w:t>
      </w:r>
      <w:r>
        <w:rPr>
          <w:rFonts w:ascii="Times New Roman" w:hAnsi="Times New Roman"/>
          <w:sz w:val="24"/>
          <w:szCs w:val="24"/>
        </w:rPr>
        <w:t>at</w:t>
      </w:r>
      <w:r w:rsidR="00FC2F74">
        <w:rPr>
          <w:rFonts w:ascii="Times New Roman" w:hAnsi="Times New Roman"/>
          <w:sz w:val="24"/>
          <w:szCs w:val="24"/>
        </w:rPr>
        <w:t xml:space="preserve"> </w:t>
      </w:r>
      <w:r>
        <w:rPr>
          <w:rFonts w:ascii="Times New Roman" w:hAnsi="Times New Roman"/>
          <w:sz w:val="24"/>
          <w:szCs w:val="24"/>
        </w:rPr>
        <w:t>the end of an “adjustment period” each GST-registered business is required to review the actual use of goods or services</w:t>
      </w:r>
      <w:r w:rsidR="00FC2F74">
        <w:rPr>
          <w:rFonts w:ascii="Times New Roman" w:hAnsi="Times New Roman"/>
          <w:sz w:val="24"/>
          <w:szCs w:val="24"/>
        </w:rPr>
        <w:t xml:space="preserve"> it has acquired</w:t>
      </w:r>
      <w:r>
        <w:rPr>
          <w:rFonts w:ascii="Times New Roman" w:hAnsi="Times New Roman"/>
          <w:sz w:val="24"/>
          <w:szCs w:val="24"/>
        </w:rPr>
        <w:t xml:space="preserve">, and compare it to the estimated use in making taxable supplies.  If there is a difference </w:t>
      </w:r>
      <w:r w:rsidR="00FC2F74">
        <w:rPr>
          <w:rFonts w:ascii="Times New Roman" w:hAnsi="Times New Roman"/>
          <w:sz w:val="24"/>
          <w:szCs w:val="24"/>
        </w:rPr>
        <w:t>between</w:t>
      </w:r>
      <w:r>
        <w:rPr>
          <w:rFonts w:ascii="Times New Roman" w:hAnsi="Times New Roman"/>
          <w:sz w:val="24"/>
          <w:szCs w:val="24"/>
        </w:rPr>
        <w:t xml:space="preserve"> the estimated use and actual use, the business </w:t>
      </w:r>
      <w:r w:rsidR="00FC2F74">
        <w:rPr>
          <w:rFonts w:ascii="Times New Roman" w:hAnsi="Times New Roman"/>
          <w:sz w:val="24"/>
          <w:szCs w:val="24"/>
        </w:rPr>
        <w:t xml:space="preserve">may be required to </w:t>
      </w:r>
      <w:r>
        <w:rPr>
          <w:rFonts w:ascii="Times New Roman" w:hAnsi="Times New Roman"/>
          <w:sz w:val="24"/>
          <w:szCs w:val="24"/>
        </w:rPr>
        <w:t>make an adjustment – either claiming an additional deduction, or repaying some of a claimed deduction – so that the proportion of input tax deducted accurately matches the actual use of the goods and services in making taxable supplies.</w:t>
      </w:r>
    </w:p>
    <w:p w:rsidR="00D06D45" w:rsidRDefault="00D06D45" w:rsidP="009C149F">
      <w:pPr>
        <w:pStyle w:val="ListParagraph"/>
        <w:rPr>
          <w:rFonts w:ascii="Times New Roman" w:hAnsi="Times New Roman"/>
          <w:sz w:val="24"/>
          <w:szCs w:val="24"/>
        </w:rPr>
      </w:pPr>
    </w:p>
    <w:p w:rsidR="00D06D45" w:rsidRPr="00520970"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Review of the actual use may be required for a number of adjustment periods, subject to rules which reduce compliance costs by only requiring adjustment where the difference </w:t>
      </w:r>
      <w:r w:rsidR="00EE5369">
        <w:rPr>
          <w:rFonts w:ascii="Times New Roman" w:hAnsi="Times New Roman"/>
          <w:sz w:val="24"/>
          <w:szCs w:val="24"/>
        </w:rPr>
        <w:t xml:space="preserve">between the use and actual use </w:t>
      </w:r>
      <w:r>
        <w:rPr>
          <w:rFonts w:ascii="Times New Roman" w:hAnsi="Times New Roman"/>
          <w:sz w:val="24"/>
          <w:szCs w:val="24"/>
        </w:rPr>
        <w:t xml:space="preserve">exceeds a certain percentage point </w:t>
      </w:r>
      <w:r w:rsidR="00EE5369">
        <w:rPr>
          <w:rFonts w:ascii="Times New Roman" w:hAnsi="Times New Roman"/>
          <w:sz w:val="24"/>
          <w:szCs w:val="24"/>
        </w:rPr>
        <w:t>amount or the difference in available deduction exceeds $1,000</w:t>
      </w:r>
      <w:r>
        <w:rPr>
          <w:rFonts w:ascii="Times New Roman" w:hAnsi="Times New Roman"/>
          <w:sz w:val="24"/>
          <w:szCs w:val="24"/>
        </w:rPr>
        <w:t>, and by setting out the maximum number of periods for which adjustments need to be made</w:t>
      </w:r>
      <w:r w:rsidR="001F4163">
        <w:rPr>
          <w:rFonts w:ascii="Times New Roman" w:hAnsi="Times New Roman"/>
          <w:sz w:val="24"/>
          <w:szCs w:val="24"/>
        </w:rPr>
        <w:t>.  (For land,</w:t>
      </w:r>
      <w:r>
        <w:rPr>
          <w:rFonts w:ascii="Times New Roman" w:hAnsi="Times New Roman"/>
          <w:sz w:val="24"/>
          <w:szCs w:val="24"/>
        </w:rPr>
        <w:t xml:space="preserve"> there is no maximum number of adjustment periods).</w:t>
      </w:r>
    </w:p>
    <w:p w:rsidR="00D06D45" w:rsidRPr="00520970" w:rsidRDefault="00D06D45" w:rsidP="00B91E3E">
      <w:pPr>
        <w:pStyle w:val="Bullet-list"/>
        <w:spacing w:after="0" w:line="240" w:lineRule="auto"/>
        <w:jc w:val="both"/>
        <w:rPr>
          <w:rFonts w:ascii="Times New Roman" w:hAnsi="Times New Roman"/>
          <w:sz w:val="24"/>
          <w:szCs w:val="24"/>
        </w:rPr>
      </w:pPr>
    </w:p>
    <w:p w:rsidR="00D06D45" w:rsidRDefault="00FC2F74"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While most businesses </w:t>
      </w:r>
      <w:r w:rsidR="002822A3">
        <w:rPr>
          <w:rFonts w:ascii="Times New Roman" w:hAnsi="Times New Roman"/>
          <w:sz w:val="24"/>
          <w:szCs w:val="24"/>
        </w:rPr>
        <w:t xml:space="preserve">are </w:t>
      </w:r>
      <w:r>
        <w:rPr>
          <w:rFonts w:ascii="Times New Roman" w:hAnsi="Times New Roman"/>
          <w:sz w:val="24"/>
          <w:szCs w:val="24"/>
        </w:rPr>
        <w:t xml:space="preserve">required to apply these apportionment and adjustment rules, there are a limited number of exceptions.  One exception applies to allow the </w:t>
      </w:r>
      <w:r w:rsidR="00D06D45">
        <w:rPr>
          <w:rFonts w:ascii="Times New Roman" w:hAnsi="Times New Roman"/>
          <w:sz w:val="24"/>
          <w:szCs w:val="24"/>
        </w:rPr>
        <w:t>Commissioner of Inland Revenue and a person who principally supplies financial services to agree an alternative method of calculating deductions</w:t>
      </w:r>
      <w:r>
        <w:rPr>
          <w:rFonts w:ascii="Times New Roman" w:hAnsi="Times New Roman"/>
          <w:sz w:val="24"/>
          <w:szCs w:val="24"/>
        </w:rPr>
        <w:t>.  The alternative method must have</w:t>
      </w:r>
      <w:r w:rsidR="00D06D45">
        <w:rPr>
          <w:rFonts w:ascii="Times New Roman" w:hAnsi="Times New Roman"/>
          <w:sz w:val="24"/>
          <w:szCs w:val="24"/>
        </w:rPr>
        <w:t xml:space="preserve"> regard to the tenor of the apportionment and adjustment rules.  This recognises the complexity of applying these rules to this industry, and provides a lower compliance-cost alternative. </w:t>
      </w:r>
    </w:p>
    <w:p w:rsidR="00D06D45" w:rsidRDefault="00D06D45" w:rsidP="00B91E3E">
      <w:pPr>
        <w:pStyle w:val="Bullet-list"/>
        <w:spacing w:after="0" w:line="240" w:lineRule="auto"/>
        <w:ind w:left="0" w:firstLine="0"/>
        <w:jc w:val="both"/>
        <w:rPr>
          <w:rFonts w:ascii="Times New Roman" w:hAnsi="Times New Roman"/>
          <w:sz w:val="24"/>
          <w:szCs w:val="24"/>
        </w:rPr>
      </w:pPr>
    </w:p>
    <w:p w:rsidR="005B1E55" w:rsidRDefault="00D06D45" w:rsidP="00B91E3E">
      <w:pPr>
        <w:keepNext/>
        <w:spacing w:after="0"/>
        <w:jc w:val="both"/>
        <w:rPr>
          <w:rFonts w:ascii="Times New Roman" w:hAnsi="Times New Roman"/>
          <w:i/>
          <w:sz w:val="24"/>
          <w:szCs w:val="24"/>
        </w:rPr>
      </w:pPr>
      <w:r>
        <w:rPr>
          <w:rFonts w:ascii="Times New Roman" w:hAnsi="Times New Roman"/>
          <w:i/>
          <w:sz w:val="24"/>
          <w:szCs w:val="24"/>
        </w:rPr>
        <w:t>Problem definition</w:t>
      </w:r>
    </w:p>
    <w:p w:rsidR="005B1E55" w:rsidRDefault="005B1E55" w:rsidP="00B91E3E">
      <w:pPr>
        <w:keepNext/>
        <w:spacing w:after="0"/>
        <w:jc w:val="both"/>
        <w:rPr>
          <w:rFonts w:ascii="Times New Roman" w:hAnsi="Times New Roman"/>
          <w:i/>
          <w:sz w:val="24"/>
          <w:szCs w:val="24"/>
        </w:rPr>
      </w:pPr>
    </w:p>
    <w:p w:rsidR="00D06D45" w:rsidRPr="0073067E" w:rsidRDefault="001F416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w:t>
      </w:r>
      <w:r w:rsidR="00D06D45" w:rsidRPr="0073067E">
        <w:rPr>
          <w:rFonts w:ascii="Times New Roman" w:hAnsi="Times New Roman"/>
          <w:sz w:val="24"/>
          <w:szCs w:val="24"/>
        </w:rPr>
        <w:t>n most cases the</w:t>
      </w:r>
      <w:r>
        <w:rPr>
          <w:rFonts w:ascii="Times New Roman" w:hAnsi="Times New Roman"/>
          <w:sz w:val="24"/>
          <w:szCs w:val="24"/>
        </w:rPr>
        <w:t xml:space="preserve"> apportionment</w:t>
      </w:r>
      <w:r w:rsidR="00D06D45" w:rsidRPr="0073067E">
        <w:rPr>
          <w:rFonts w:ascii="Times New Roman" w:hAnsi="Times New Roman"/>
          <w:sz w:val="24"/>
          <w:szCs w:val="24"/>
        </w:rPr>
        <w:t xml:space="preserve"> rules are expected to be relatively straightforward to apply</w:t>
      </w:r>
      <w:r>
        <w:rPr>
          <w:rFonts w:ascii="Times New Roman" w:hAnsi="Times New Roman"/>
          <w:sz w:val="24"/>
          <w:szCs w:val="24"/>
        </w:rPr>
        <w:t>, as most</w:t>
      </w:r>
      <w:r w:rsidR="00D06D45" w:rsidRPr="0073067E">
        <w:rPr>
          <w:rFonts w:ascii="Times New Roman" w:hAnsi="Times New Roman"/>
          <w:sz w:val="24"/>
          <w:szCs w:val="24"/>
        </w:rPr>
        <w:t xml:space="preserve"> businesses </w:t>
      </w:r>
      <w:r w:rsidR="00762645">
        <w:rPr>
          <w:rFonts w:ascii="Times New Roman" w:hAnsi="Times New Roman"/>
          <w:sz w:val="24"/>
          <w:szCs w:val="24"/>
        </w:rPr>
        <w:t xml:space="preserve">can </w:t>
      </w:r>
      <w:r w:rsidR="00D06D45" w:rsidRPr="0073067E">
        <w:rPr>
          <w:rFonts w:ascii="Times New Roman" w:hAnsi="Times New Roman"/>
          <w:sz w:val="24"/>
          <w:szCs w:val="24"/>
        </w:rPr>
        <w:t>expect to perform a one-off apportionment upon acquisition, with limited further adjustment</w:t>
      </w:r>
      <w:r w:rsidR="00762645">
        <w:rPr>
          <w:rFonts w:ascii="Times New Roman" w:hAnsi="Times New Roman"/>
          <w:sz w:val="24"/>
          <w:szCs w:val="24"/>
        </w:rPr>
        <w:t>.  However,</w:t>
      </w:r>
      <w:r w:rsidR="00D06D45" w:rsidRPr="0073067E">
        <w:rPr>
          <w:rFonts w:ascii="Times New Roman" w:hAnsi="Times New Roman"/>
          <w:sz w:val="24"/>
          <w:szCs w:val="24"/>
        </w:rPr>
        <w:t xml:space="preserve"> some business may experience</w:t>
      </w:r>
      <w:r w:rsidR="00FC2F74">
        <w:rPr>
          <w:rFonts w:ascii="Times New Roman" w:hAnsi="Times New Roman"/>
          <w:sz w:val="24"/>
          <w:szCs w:val="24"/>
        </w:rPr>
        <w:t xml:space="preserve"> a</w:t>
      </w:r>
      <w:r w:rsidR="00D06D45" w:rsidRPr="0073067E">
        <w:rPr>
          <w:rFonts w:ascii="Times New Roman" w:hAnsi="Times New Roman"/>
          <w:sz w:val="24"/>
          <w:szCs w:val="24"/>
        </w:rPr>
        <w:t xml:space="preserve"> greater cost in performing these calculations</w:t>
      </w:r>
      <w:r w:rsidR="00D06D45">
        <w:rPr>
          <w:rFonts w:ascii="Times New Roman" w:hAnsi="Times New Roman"/>
          <w:sz w:val="24"/>
          <w:szCs w:val="24"/>
        </w:rPr>
        <w:t xml:space="preserve">.  </w:t>
      </w:r>
      <w:r w:rsidR="00D06D45" w:rsidRPr="0073067E">
        <w:rPr>
          <w:rFonts w:ascii="Times New Roman" w:hAnsi="Times New Roman"/>
          <w:sz w:val="24"/>
          <w:szCs w:val="24"/>
        </w:rPr>
        <w:t>The key features that are said to give rise to a higher cost include:</w:t>
      </w:r>
    </w:p>
    <w:p w:rsidR="00D06D45" w:rsidRDefault="00D06D45" w:rsidP="00B91E3E">
      <w:pPr>
        <w:pStyle w:val="Bullet-list"/>
        <w:numPr>
          <w:ilvl w:val="0"/>
          <w:numId w:val="17"/>
        </w:numPr>
        <w:spacing w:before="120" w:after="0" w:line="240" w:lineRule="auto"/>
        <w:jc w:val="both"/>
        <w:rPr>
          <w:rFonts w:ascii="Times New Roman" w:hAnsi="Times New Roman"/>
          <w:sz w:val="24"/>
          <w:szCs w:val="24"/>
        </w:rPr>
      </w:pPr>
      <w:r>
        <w:rPr>
          <w:rFonts w:ascii="Times New Roman" w:hAnsi="Times New Roman"/>
          <w:sz w:val="24"/>
          <w:szCs w:val="24"/>
        </w:rPr>
        <w:t xml:space="preserve">A business activity that includes </w:t>
      </w:r>
      <w:r w:rsidR="00FC2F74">
        <w:rPr>
          <w:rFonts w:ascii="Times New Roman" w:hAnsi="Times New Roman"/>
          <w:sz w:val="24"/>
          <w:szCs w:val="24"/>
        </w:rPr>
        <w:t xml:space="preserve">making </w:t>
      </w:r>
      <w:r>
        <w:rPr>
          <w:rFonts w:ascii="Times New Roman" w:hAnsi="Times New Roman"/>
          <w:sz w:val="24"/>
          <w:szCs w:val="24"/>
        </w:rPr>
        <w:t>both taxable and exempt supplies;</w:t>
      </w:r>
    </w:p>
    <w:p w:rsidR="00D06D45" w:rsidRDefault="00D06D45" w:rsidP="00B91E3E">
      <w:pPr>
        <w:pStyle w:val="Bullet-list"/>
        <w:numPr>
          <w:ilvl w:val="0"/>
          <w:numId w:val="22"/>
        </w:numPr>
        <w:spacing w:before="120" w:after="0" w:line="240" w:lineRule="auto"/>
        <w:jc w:val="both"/>
        <w:rPr>
          <w:rFonts w:ascii="Times New Roman" w:hAnsi="Times New Roman"/>
          <w:sz w:val="24"/>
          <w:szCs w:val="24"/>
        </w:rPr>
      </w:pPr>
      <w:r>
        <w:rPr>
          <w:rFonts w:ascii="Times New Roman" w:hAnsi="Times New Roman"/>
          <w:sz w:val="24"/>
          <w:szCs w:val="24"/>
        </w:rPr>
        <w:t xml:space="preserve">Use of the same goods and services </w:t>
      </w:r>
      <w:r w:rsidR="00FC2F74">
        <w:rPr>
          <w:rFonts w:ascii="Times New Roman" w:hAnsi="Times New Roman"/>
          <w:sz w:val="24"/>
          <w:szCs w:val="24"/>
        </w:rPr>
        <w:t>to</w:t>
      </w:r>
      <w:r>
        <w:rPr>
          <w:rFonts w:ascii="Times New Roman" w:hAnsi="Times New Roman"/>
          <w:sz w:val="24"/>
          <w:szCs w:val="24"/>
        </w:rPr>
        <w:t xml:space="preserve"> mak</w:t>
      </w:r>
      <w:r w:rsidR="00FC2F74">
        <w:rPr>
          <w:rFonts w:ascii="Times New Roman" w:hAnsi="Times New Roman"/>
          <w:sz w:val="24"/>
          <w:szCs w:val="24"/>
        </w:rPr>
        <w:t>e</w:t>
      </w:r>
      <w:r>
        <w:rPr>
          <w:rFonts w:ascii="Times New Roman" w:hAnsi="Times New Roman"/>
          <w:sz w:val="24"/>
          <w:szCs w:val="24"/>
        </w:rPr>
        <w:t xml:space="preserve"> both taxable and exempt supplies;</w:t>
      </w:r>
    </w:p>
    <w:p w:rsidR="00D06D45" w:rsidRDefault="00D06D45" w:rsidP="00B91E3E">
      <w:pPr>
        <w:pStyle w:val="Bullet-list"/>
        <w:numPr>
          <w:ilvl w:val="0"/>
          <w:numId w:val="22"/>
        </w:numPr>
        <w:spacing w:before="120" w:after="0" w:line="240" w:lineRule="auto"/>
        <w:jc w:val="both"/>
        <w:rPr>
          <w:rFonts w:ascii="Times New Roman" w:hAnsi="Times New Roman"/>
          <w:sz w:val="24"/>
          <w:szCs w:val="24"/>
        </w:rPr>
      </w:pPr>
      <w:r>
        <w:rPr>
          <w:rFonts w:ascii="Times New Roman" w:hAnsi="Times New Roman"/>
          <w:sz w:val="24"/>
          <w:szCs w:val="24"/>
        </w:rPr>
        <w:t xml:space="preserve">A changing proportion of taxable </w:t>
      </w:r>
      <w:r w:rsidR="00F40A9E">
        <w:rPr>
          <w:rFonts w:ascii="Times New Roman" w:hAnsi="Times New Roman"/>
          <w:sz w:val="24"/>
          <w:szCs w:val="24"/>
        </w:rPr>
        <w:t>use of the goods or services, or one-off use (in an adjustment period) that does not reflect the long term use</w:t>
      </w:r>
      <w:r>
        <w:rPr>
          <w:rFonts w:ascii="Times New Roman" w:hAnsi="Times New Roman"/>
          <w:sz w:val="24"/>
          <w:szCs w:val="24"/>
        </w:rPr>
        <w:t xml:space="preserve">; </w:t>
      </w:r>
    </w:p>
    <w:p w:rsidR="00D06D45" w:rsidRDefault="00D06D45" w:rsidP="00B91E3E">
      <w:pPr>
        <w:pStyle w:val="Bullet-list"/>
        <w:numPr>
          <w:ilvl w:val="0"/>
          <w:numId w:val="22"/>
        </w:numPr>
        <w:spacing w:before="120" w:after="0" w:line="240" w:lineRule="auto"/>
        <w:jc w:val="both"/>
        <w:rPr>
          <w:rFonts w:ascii="Times New Roman" w:hAnsi="Times New Roman"/>
          <w:sz w:val="24"/>
          <w:szCs w:val="24"/>
        </w:rPr>
      </w:pPr>
      <w:r>
        <w:rPr>
          <w:rFonts w:ascii="Times New Roman" w:hAnsi="Times New Roman"/>
          <w:sz w:val="24"/>
          <w:szCs w:val="24"/>
        </w:rPr>
        <w:t>A high volume of purchased goods or services; and</w:t>
      </w:r>
    </w:p>
    <w:p w:rsidR="00D06D45" w:rsidRDefault="00D06D45" w:rsidP="00B91E3E">
      <w:pPr>
        <w:pStyle w:val="Bullet-list"/>
        <w:numPr>
          <w:ilvl w:val="0"/>
          <w:numId w:val="22"/>
        </w:numPr>
        <w:spacing w:before="120" w:after="0" w:line="240" w:lineRule="auto"/>
        <w:jc w:val="both"/>
        <w:rPr>
          <w:rFonts w:ascii="Times New Roman" w:hAnsi="Times New Roman"/>
          <w:sz w:val="24"/>
          <w:szCs w:val="24"/>
        </w:rPr>
      </w:pPr>
      <w:r>
        <w:rPr>
          <w:rFonts w:ascii="Times New Roman" w:hAnsi="Times New Roman"/>
          <w:sz w:val="24"/>
          <w:szCs w:val="24"/>
        </w:rPr>
        <w:t>A use of the goods or services which is unknown at the time the goods or services are acquired, or is difficult to determine.</w:t>
      </w:r>
    </w:p>
    <w:p w:rsidR="00D06D45" w:rsidRDefault="00D06D45" w:rsidP="00B91E3E">
      <w:pPr>
        <w:pStyle w:val="Bullet-list"/>
        <w:spacing w:after="0" w:line="240" w:lineRule="auto"/>
        <w:jc w:val="both"/>
        <w:rPr>
          <w:rFonts w:ascii="Times New Roman" w:hAnsi="Times New Roman"/>
          <w:sz w:val="24"/>
          <w:szCs w:val="24"/>
        </w:rPr>
      </w:pPr>
    </w:p>
    <w:p w:rsidR="00D06D45" w:rsidRPr="00576604" w:rsidRDefault="00762645" w:rsidP="00B91E3E">
      <w:pPr>
        <w:pStyle w:val="Bullet-list"/>
        <w:numPr>
          <w:ilvl w:val="0"/>
          <w:numId w:val="2"/>
        </w:numPr>
        <w:tabs>
          <w:tab w:val="num" w:pos="567"/>
        </w:tabs>
        <w:spacing w:after="0" w:line="240" w:lineRule="auto"/>
        <w:ind w:left="0" w:firstLine="0"/>
        <w:jc w:val="both"/>
        <w:rPr>
          <w:rFonts w:ascii="Times New Roman" w:hAnsi="Times New Roman"/>
          <w:i/>
          <w:sz w:val="24"/>
          <w:szCs w:val="24"/>
        </w:rPr>
      </w:pPr>
      <w:r>
        <w:rPr>
          <w:rFonts w:ascii="Times New Roman" w:hAnsi="Times New Roman"/>
          <w:sz w:val="24"/>
          <w:szCs w:val="24"/>
        </w:rPr>
        <w:t>P</w:t>
      </w:r>
      <w:r w:rsidR="002822A3">
        <w:rPr>
          <w:rFonts w:ascii="Times New Roman" w:hAnsi="Times New Roman"/>
          <w:sz w:val="24"/>
          <w:szCs w:val="24"/>
        </w:rPr>
        <w:t>roblem</w:t>
      </w:r>
      <w:r>
        <w:rPr>
          <w:rFonts w:ascii="Times New Roman" w:hAnsi="Times New Roman"/>
          <w:sz w:val="24"/>
          <w:szCs w:val="24"/>
        </w:rPr>
        <w:t>s also</w:t>
      </w:r>
      <w:r w:rsidR="00D06D45" w:rsidRPr="0064303D">
        <w:rPr>
          <w:rFonts w:ascii="Times New Roman" w:hAnsi="Times New Roman"/>
          <w:sz w:val="24"/>
          <w:szCs w:val="24"/>
        </w:rPr>
        <w:t xml:space="preserve"> arise due to the need to apportion and adjust the input tax deductions claimed in respect of goods and services, on a supply-by-supply basis.</w:t>
      </w:r>
      <w:r w:rsidR="00F40A9E">
        <w:rPr>
          <w:rFonts w:ascii="Times New Roman" w:hAnsi="Times New Roman"/>
          <w:sz w:val="24"/>
          <w:szCs w:val="24"/>
        </w:rPr>
        <w:t xml:space="preserve">  Retirement villages provide an example of these difficulties.</w:t>
      </w:r>
      <w:r w:rsidR="00D06D45" w:rsidRPr="0064303D">
        <w:rPr>
          <w:rFonts w:ascii="Times New Roman" w:hAnsi="Times New Roman"/>
          <w:sz w:val="24"/>
          <w:szCs w:val="24"/>
        </w:rPr>
        <w:t xml:space="preserve">  The GST treatment of retirement villages, including the treatment of accommodation and the application of the apportionment rules, is discussed in </w:t>
      </w:r>
      <w:r>
        <w:rPr>
          <w:rFonts w:ascii="Times New Roman" w:hAnsi="Times New Roman"/>
          <w:sz w:val="24"/>
          <w:szCs w:val="24"/>
        </w:rPr>
        <w:t>Inland Revenue’s</w:t>
      </w:r>
      <w:r w:rsidRPr="0064303D">
        <w:rPr>
          <w:rFonts w:ascii="Times New Roman" w:hAnsi="Times New Roman"/>
          <w:sz w:val="24"/>
          <w:szCs w:val="24"/>
        </w:rPr>
        <w:t xml:space="preserve"> </w:t>
      </w:r>
      <w:r w:rsidR="00D06D45" w:rsidRPr="0064303D">
        <w:rPr>
          <w:rFonts w:ascii="Times New Roman" w:hAnsi="Times New Roman"/>
          <w:sz w:val="24"/>
          <w:szCs w:val="24"/>
        </w:rPr>
        <w:t xml:space="preserve">standard practice statement </w:t>
      </w:r>
      <w:r w:rsidR="00D06D45" w:rsidRPr="0064303D">
        <w:rPr>
          <w:rFonts w:ascii="Times New Roman" w:hAnsi="Times New Roman"/>
          <w:i/>
          <w:sz w:val="24"/>
          <w:szCs w:val="24"/>
        </w:rPr>
        <w:t>IS 15/02 - Goods and Services Tax - GST and retirement villages</w:t>
      </w:r>
      <w:r w:rsidR="00D06D45" w:rsidRPr="0064303D">
        <w:rPr>
          <w:rFonts w:ascii="Times New Roman" w:hAnsi="Times New Roman"/>
          <w:sz w:val="24"/>
          <w:szCs w:val="24"/>
        </w:rPr>
        <w:t>.</w:t>
      </w:r>
      <w:r w:rsidR="00D06D45" w:rsidRPr="00520970">
        <w:rPr>
          <w:rStyle w:val="FootnoteReference"/>
          <w:szCs w:val="24"/>
        </w:rPr>
        <w:footnoteReference w:id="1"/>
      </w:r>
      <w:r w:rsidR="00D06D45" w:rsidRPr="0064303D">
        <w:rPr>
          <w:rFonts w:ascii="Times New Roman" w:hAnsi="Times New Roman"/>
          <w:sz w:val="24"/>
          <w:szCs w:val="24"/>
        </w:rPr>
        <w:t xml:space="preserve">  </w:t>
      </w:r>
    </w:p>
    <w:p w:rsidR="00D06D45" w:rsidRPr="00576604" w:rsidRDefault="00D06D45" w:rsidP="00B91E3E">
      <w:pPr>
        <w:pStyle w:val="Bullet-list"/>
        <w:spacing w:after="0" w:line="240" w:lineRule="auto"/>
        <w:ind w:left="0" w:firstLine="0"/>
        <w:jc w:val="both"/>
        <w:rPr>
          <w:rFonts w:ascii="Times New Roman" w:hAnsi="Times New Roman"/>
          <w:i/>
          <w:sz w:val="24"/>
          <w:szCs w:val="24"/>
        </w:rPr>
      </w:pPr>
    </w:p>
    <w:p w:rsidR="00D06D45" w:rsidRPr="0064303D" w:rsidRDefault="00D06D45" w:rsidP="00B91E3E">
      <w:pPr>
        <w:pStyle w:val="Bullet-list"/>
        <w:numPr>
          <w:ilvl w:val="0"/>
          <w:numId w:val="2"/>
        </w:numPr>
        <w:tabs>
          <w:tab w:val="num" w:pos="567"/>
        </w:tabs>
        <w:spacing w:after="0" w:line="240" w:lineRule="auto"/>
        <w:ind w:left="0" w:firstLine="0"/>
        <w:jc w:val="both"/>
        <w:rPr>
          <w:rFonts w:ascii="Times New Roman" w:hAnsi="Times New Roman"/>
          <w:i/>
          <w:sz w:val="24"/>
          <w:szCs w:val="24"/>
        </w:rPr>
      </w:pPr>
      <w:r w:rsidRPr="0064303D">
        <w:rPr>
          <w:rFonts w:ascii="Times New Roman" w:hAnsi="Times New Roman"/>
          <w:sz w:val="24"/>
          <w:szCs w:val="24"/>
        </w:rPr>
        <w:t>The GST treatment of accommodation depends on the nature of the supply of accommodation</w:t>
      </w:r>
      <w:r>
        <w:rPr>
          <w:rFonts w:ascii="Times New Roman" w:hAnsi="Times New Roman"/>
          <w:sz w:val="24"/>
          <w:szCs w:val="24"/>
        </w:rPr>
        <w:t>.  A supply of accommodation in a residential dwelling is exempt, and commercial accommodation is taxable.</w:t>
      </w:r>
      <w:r w:rsidRPr="0064303D">
        <w:rPr>
          <w:rFonts w:ascii="Times New Roman" w:hAnsi="Times New Roman"/>
          <w:sz w:val="24"/>
          <w:szCs w:val="24"/>
        </w:rPr>
        <w:t xml:space="preserve"> </w:t>
      </w:r>
      <w:r>
        <w:rPr>
          <w:rFonts w:ascii="Times New Roman" w:hAnsi="Times New Roman"/>
          <w:sz w:val="24"/>
          <w:szCs w:val="24"/>
        </w:rPr>
        <w:t xml:space="preserve"> Many retirement village operators will supply both kinds of accommodation.  In some cases, the factor that determines whether a supply is exempt or taxable will be </w:t>
      </w:r>
      <w:r w:rsidRPr="0064303D">
        <w:rPr>
          <w:rFonts w:ascii="Times New Roman" w:hAnsi="Times New Roman"/>
          <w:sz w:val="24"/>
          <w:szCs w:val="24"/>
        </w:rPr>
        <w:t xml:space="preserve">whether, and what kind of, additional </w:t>
      </w:r>
      <w:r>
        <w:rPr>
          <w:rFonts w:ascii="Times New Roman" w:hAnsi="Times New Roman"/>
          <w:sz w:val="24"/>
          <w:szCs w:val="24"/>
        </w:rPr>
        <w:t xml:space="preserve">goods and </w:t>
      </w:r>
      <w:r w:rsidRPr="0064303D">
        <w:rPr>
          <w:rFonts w:ascii="Times New Roman" w:hAnsi="Times New Roman"/>
          <w:sz w:val="24"/>
          <w:szCs w:val="24"/>
        </w:rPr>
        <w:t xml:space="preserve">services are supplied alongside </w:t>
      </w:r>
      <w:r>
        <w:rPr>
          <w:rFonts w:ascii="Times New Roman" w:hAnsi="Times New Roman"/>
          <w:sz w:val="24"/>
          <w:szCs w:val="24"/>
        </w:rPr>
        <w:t>the accommodation</w:t>
      </w:r>
      <w:r w:rsidR="00762645">
        <w:rPr>
          <w:rFonts w:ascii="Times New Roman" w:hAnsi="Times New Roman"/>
          <w:sz w:val="24"/>
          <w:szCs w:val="24"/>
        </w:rPr>
        <w:t>.  This</w:t>
      </w:r>
      <w:r>
        <w:rPr>
          <w:rFonts w:ascii="Times New Roman" w:hAnsi="Times New Roman"/>
          <w:sz w:val="24"/>
          <w:szCs w:val="24"/>
        </w:rPr>
        <w:t xml:space="preserve"> may depend on the package of goods and services residents choose, or are required to acquire</w:t>
      </w:r>
      <w:r w:rsidR="00762645">
        <w:rPr>
          <w:rFonts w:ascii="Times New Roman" w:hAnsi="Times New Roman"/>
          <w:sz w:val="24"/>
          <w:szCs w:val="24"/>
        </w:rPr>
        <w:t>,</w:t>
      </w:r>
      <w:r>
        <w:rPr>
          <w:rFonts w:ascii="Times New Roman" w:hAnsi="Times New Roman"/>
          <w:sz w:val="24"/>
          <w:szCs w:val="24"/>
        </w:rPr>
        <w:t xml:space="preserve"> </w:t>
      </w:r>
      <w:r w:rsidR="00EE5369">
        <w:rPr>
          <w:rFonts w:ascii="Times New Roman" w:hAnsi="Times New Roman"/>
          <w:sz w:val="24"/>
          <w:szCs w:val="24"/>
        </w:rPr>
        <w:t>alongside the accommodation</w:t>
      </w:r>
      <w:r w:rsidRPr="0064303D">
        <w:rPr>
          <w:rFonts w:ascii="Times New Roman" w:hAnsi="Times New Roman"/>
          <w:sz w:val="24"/>
          <w:szCs w:val="24"/>
        </w:rPr>
        <w:t xml:space="preserve">. </w:t>
      </w:r>
    </w:p>
    <w:p w:rsidR="00D06D45" w:rsidRPr="007A51B2"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This means that it cannot</w:t>
      </w:r>
      <w:r w:rsidR="00762645">
        <w:rPr>
          <w:rFonts w:ascii="Times New Roman" w:hAnsi="Times New Roman"/>
          <w:sz w:val="24"/>
          <w:szCs w:val="24"/>
        </w:rPr>
        <w:t xml:space="preserve"> always</w:t>
      </w:r>
      <w:r>
        <w:rPr>
          <w:rFonts w:ascii="Times New Roman" w:hAnsi="Times New Roman"/>
          <w:sz w:val="24"/>
          <w:szCs w:val="24"/>
        </w:rPr>
        <w:t xml:space="preserve"> be </w:t>
      </w:r>
      <w:r w:rsidR="00762645">
        <w:rPr>
          <w:rFonts w:ascii="Times New Roman" w:hAnsi="Times New Roman"/>
          <w:sz w:val="24"/>
          <w:szCs w:val="24"/>
        </w:rPr>
        <w:t xml:space="preserve">possible to </w:t>
      </w:r>
      <w:r>
        <w:rPr>
          <w:rFonts w:ascii="Times New Roman" w:hAnsi="Times New Roman"/>
          <w:sz w:val="24"/>
          <w:szCs w:val="24"/>
        </w:rPr>
        <w:t>accurately determine</w:t>
      </w:r>
      <w:r w:rsidR="00762645">
        <w:rPr>
          <w:rFonts w:ascii="Times New Roman" w:hAnsi="Times New Roman"/>
          <w:sz w:val="24"/>
          <w:szCs w:val="24"/>
        </w:rPr>
        <w:t xml:space="preserve"> in advance</w:t>
      </w:r>
      <w:r>
        <w:rPr>
          <w:rFonts w:ascii="Times New Roman" w:hAnsi="Times New Roman"/>
          <w:sz w:val="24"/>
          <w:szCs w:val="24"/>
        </w:rPr>
        <w:t xml:space="preserve"> whether a unit will be used to make taxable or exempt supplies.  The actual use will have to be monitored, and adjustments to deductions claimed for goods and services used to construct that unit may be required.  This use may also change over time – for example, if residents choose to acquire additional goods and services; or if an existing resident moves to a different unit to receive more intensive care and a new resident acquires the old unit, along with a different package of goods and services.  This change in use may also require adjustment of claimed deductions, in respect of specific goods and services, even if the relative taxable/exempt make-up of the entire activity does not change.</w:t>
      </w:r>
    </w:p>
    <w:p w:rsidR="00D06D45"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These difficulties in applying the </w:t>
      </w:r>
      <w:r w:rsidR="00762645">
        <w:rPr>
          <w:rFonts w:ascii="Times New Roman" w:hAnsi="Times New Roman"/>
          <w:sz w:val="24"/>
          <w:szCs w:val="24"/>
        </w:rPr>
        <w:t>legislation</w:t>
      </w:r>
      <w:r>
        <w:rPr>
          <w:rFonts w:ascii="Times New Roman" w:hAnsi="Times New Roman"/>
          <w:sz w:val="24"/>
          <w:szCs w:val="24"/>
        </w:rPr>
        <w:t xml:space="preserve"> are understood to also be exacerbated by practical difficulties – in particular, where there is a large volume of goods or services purchased, that must be apportioned and adjusted, and where it is difficult to determine the actual </w:t>
      </w:r>
      <w:r w:rsidR="00762645">
        <w:rPr>
          <w:rFonts w:ascii="Times New Roman" w:hAnsi="Times New Roman"/>
          <w:sz w:val="24"/>
          <w:szCs w:val="24"/>
        </w:rPr>
        <w:t xml:space="preserve">use </w:t>
      </w:r>
      <w:r>
        <w:rPr>
          <w:rFonts w:ascii="Times New Roman" w:hAnsi="Times New Roman"/>
          <w:sz w:val="24"/>
          <w:szCs w:val="24"/>
        </w:rPr>
        <w:t>of the goods and services</w:t>
      </w:r>
      <w:r w:rsidR="00762645">
        <w:rPr>
          <w:rFonts w:ascii="Times New Roman" w:hAnsi="Times New Roman"/>
          <w:sz w:val="24"/>
          <w:szCs w:val="24"/>
        </w:rPr>
        <w:t>.</w:t>
      </w:r>
      <w:r>
        <w:rPr>
          <w:rFonts w:ascii="Times New Roman" w:hAnsi="Times New Roman"/>
          <w:sz w:val="24"/>
          <w:szCs w:val="24"/>
        </w:rPr>
        <w:t xml:space="preserve"> </w:t>
      </w:r>
      <w:r w:rsidR="00762645">
        <w:rPr>
          <w:rFonts w:ascii="Times New Roman" w:hAnsi="Times New Roman"/>
          <w:sz w:val="24"/>
          <w:szCs w:val="24"/>
        </w:rPr>
        <w:t xml:space="preserve">  An</w:t>
      </w:r>
      <w:r>
        <w:rPr>
          <w:rFonts w:ascii="Times New Roman" w:hAnsi="Times New Roman"/>
          <w:sz w:val="24"/>
          <w:szCs w:val="24"/>
        </w:rPr>
        <w:t xml:space="preserve"> example</w:t>
      </w:r>
      <w:r w:rsidR="00762645">
        <w:rPr>
          <w:rFonts w:ascii="Times New Roman" w:hAnsi="Times New Roman"/>
          <w:sz w:val="24"/>
          <w:szCs w:val="24"/>
        </w:rPr>
        <w:t xml:space="preserve"> of the latter is</w:t>
      </w:r>
      <w:r>
        <w:rPr>
          <w:rFonts w:ascii="Times New Roman" w:hAnsi="Times New Roman"/>
          <w:sz w:val="24"/>
          <w:szCs w:val="24"/>
        </w:rPr>
        <w:t xml:space="preserve"> where the goods and services provided are used to construct buildings</w:t>
      </w:r>
      <w:r w:rsidR="00F80AD5">
        <w:rPr>
          <w:rFonts w:ascii="Times New Roman" w:hAnsi="Times New Roman"/>
          <w:sz w:val="24"/>
          <w:szCs w:val="24"/>
        </w:rPr>
        <w:t xml:space="preserve"> in which residents will receive accommodation</w:t>
      </w:r>
      <w:r>
        <w:rPr>
          <w:rFonts w:ascii="Times New Roman" w:hAnsi="Times New Roman"/>
          <w:sz w:val="24"/>
          <w:szCs w:val="24"/>
        </w:rPr>
        <w:t>, but it is not clear to what extent the supplies relate to the particular buildings because the invoices do not</w:t>
      </w:r>
      <w:r w:rsidR="00762645">
        <w:rPr>
          <w:rFonts w:ascii="Times New Roman" w:hAnsi="Times New Roman"/>
          <w:sz w:val="24"/>
          <w:szCs w:val="24"/>
        </w:rPr>
        <w:t xml:space="preserve"> or cannot</w:t>
      </w:r>
      <w:r>
        <w:rPr>
          <w:rFonts w:ascii="Times New Roman" w:hAnsi="Times New Roman"/>
          <w:sz w:val="24"/>
          <w:szCs w:val="24"/>
        </w:rPr>
        <w:t xml:space="preserve"> provide sufficient detail.</w:t>
      </w:r>
    </w:p>
    <w:p w:rsidR="009C149F" w:rsidRDefault="009C149F" w:rsidP="00B91E3E">
      <w:pPr>
        <w:pStyle w:val="ListParagraph"/>
        <w:rPr>
          <w:rFonts w:ascii="Times New Roman" w:hAnsi="Times New Roman"/>
          <w:sz w:val="24"/>
          <w:szCs w:val="24"/>
        </w:rPr>
      </w:pPr>
    </w:p>
    <w:p w:rsidR="009C149F" w:rsidRPr="00B91E3E" w:rsidRDefault="004F415B"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The scale of the difficulties experienced</w:t>
      </w:r>
      <w:r w:rsidR="00762645" w:rsidRPr="00B91E3E">
        <w:rPr>
          <w:rFonts w:ascii="Times New Roman" w:hAnsi="Times New Roman"/>
          <w:sz w:val="24"/>
          <w:szCs w:val="24"/>
        </w:rPr>
        <w:t xml:space="preserve"> by businesses in the retirement village sector</w:t>
      </w:r>
      <w:r w:rsidRPr="00B91E3E">
        <w:rPr>
          <w:rFonts w:ascii="Times New Roman" w:hAnsi="Times New Roman"/>
          <w:sz w:val="24"/>
          <w:szCs w:val="24"/>
        </w:rPr>
        <w:t xml:space="preserve"> is expected</w:t>
      </w:r>
      <w:r w:rsidR="00762645" w:rsidRPr="00B91E3E">
        <w:rPr>
          <w:rFonts w:ascii="Times New Roman" w:hAnsi="Times New Roman"/>
          <w:sz w:val="24"/>
          <w:szCs w:val="24"/>
        </w:rPr>
        <w:t xml:space="preserve"> to</w:t>
      </w:r>
      <w:r w:rsidRPr="00B91E3E">
        <w:rPr>
          <w:rFonts w:ascii="Times New Roman" w:hAnsi="Times New Roman"/>
          <w:sz w:val="24"/>
          <w:szCs w:val="24"/>
        </w:rPr>
        <w:t xml:space="preserve"> increase as the number of businesses, or the size of businesses, participating in this sector increases.  Figures published </w:t>
      </w:r>
      <w:r w:rsidR="00D05759" w:rsidRPr="00B91E3E">
        <w:rPr>
          <w:rFonts w:ascii="Times New Roman" w:hAnsi="Times New Roman"/>
          <w:sz w:val="24"/>
          <w:szCs w:val="24"/>
        </w:rPr>
        <w:t>in</w:t>
      </w:r>
      <w:r w:rsidRPr="00B91E3E">
        <w:rPr>
          <w:rFonts w:ascii="Times New Roman" w:hAnsi="Times New Roman"/>
          <w:sz w:val="24"/>
          <w:szCs w:val="24"/>
        </w:rPr>
        <w:t xml:space="preserve"> the Retirement Village Association’s 2015 Annual Report indicate that there are over three hundred registered retirement villages, with over twenty three thousand units, in New Zealand.</w:t>
      </w:r>
    </w:p>
    <w:p w:rsidR="004F415B" w:rsidRPr="00B91E3E" w:rsidRDefault="004F415B" w:rsidP="00B91E3E">
      <w:pPr>
        <w:pStyle w:val="ListParagraph"/>
        <w:rPr>
          <w:rFonts w:ascii="Times New Roman" w:hAnsi="Times New Roman"/>
          <w:sz w:val="24"/>
          <w:szCs w:val="24"/>
        </w:rPr>
      </w:pPr>
    </w:p>
    <w:p w:rsidR="004F415B" w:rsidRPr="005B1E55" w:rsidRDefault="004F415B"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 xml:space="preserve">Submitters have also indicated that this difficulty may be experienced outside the retirement village industry, by other providers of mixed </w:t>
      </w:r>
      <w:r w:rsidR="00D05759" w:rsidRPr="00B91E3E">
        <w:rPr>
          <w:rFonts w:ascii="Times New Roman" w:hAnsi="Times New Roman"/>
          <w:sz w:val="24"/>
          <w:szCs w:val="24"/>
        </w:rPr>
        <w:t>commercial and residential accommodation</w:t>
      </w:r>
      <w:r w:rsidRPr="00B91E3E">
        <w:rPr>
          <w:rFonts w:ascii="Times New Roman" w:hAnsi="Times New Roman"/>
          <w:sz w:val="24"/>
          <w:szCs w:val="24"/>
        </w:rPr>
        <w:t xml:space="preserve">.  The size of this </w:t>
      </w:r>
      <w:r w:rsidR="00D05759" w:rsidRPr="00B91E3E">
        <w:rPr>
          <w:rFonts w:ascii="Times New Roman" w:hAnsi="Times New Roman"/>
          <w:sz w:val="24"/>
          <w:szCs w:val="24"/>
        </w:rPr>
        <w:t>group</w:t>
      </w:r>
      <w:r w:rsidRPr="00B91E3E">
        <w:rPr>
          <w:rFonts w:ascii="Times New Roman" w:hAnsi="Times New Roman"/>
          <w:sz w:val="24"/>
          <w:szCs w:val="24"/>
        </w:rPr>
        <w:t xml:space="preserve"> is not known.</w:t>
      </w:r>
    </w:p>
    <w:p w:rsidR="00093451" w:rsidRPr="00636861" w:rsidRDefault="00093451" w:rsidP="00B91E3E">
      <w:pPr>
        <w:pStyle w:val="Bullet-list"/>
        <w:spacing w:after="0" w:line="240" w:lineRule="auto"/>
        <w:ind w:left="0" w:firstLine="0"/>
        <w:jc w:val="both"/>
        <w:rPr>
          <w:rFonts w:ascii="Times New Roman" w:hAnsi="Times New Roman"/>
          <w:sz w:val="24"/>
          <w:szCs w:val="24"/>
        </w:rPr>
      </w:pPr>
    </w:p>
    <w:p w:rsidR="00D06D45" w:rsidRDefault="00D06D45" w:rsidP="00B91E3E">
      <w:pPr>
        <w:spacing w:after="0"/>
        <w:jc w:val="both"/>
        <w:rPr>
          <w:rFonts w:ascii="Times New Roman" w:hAnsi="Times New Roman"/>
          <w:b/>
          <w:i/>
          <w:sz w:val="24"/>
          <w:szCs w:val="24"/>
        </w:rPr>
      </w:pPr>
      <w:r w:rsidRPr="006B2540">
        <w:rPr>
          <w:rFonts w:ascii="Times New Roman" w:hAnsi="Times New Roman"/>
          <w:b/>
          <w:i/>
          <w:sz w:val="24"/>
          <w:szCs w:val="24"/>
        </w:rPr>
        <w:t>Objectives</w:t>
      </w:r>
    </w:p>
    <w:p w:rsidR="005B1E55" w:rsidRPr="006B2540" w:rsidRDefault="005B1E55" w:rsidP="00B91E3E">
      <w:pPr>
        <w:spacing w:after="0"/>
        <w:jc w:val="both"/>
        <w:rPr>
          <w:rFonts w:ascii="Times New Roman" w:hAnsi="Times New Roman"/>
          <w:b/>
          <w:i/>
          <w:sz w:val="24"/>
          <w:szCs w:val="24"/>
        </w:rPr>
      </w:pPr>
    </w:p>
    <w:p w:rsidR="002822A3" w:rsidRDefault="0069188E"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The key o</w:t>
      </w:r>
      <w:r w:rsidR="004B238C">
        <w:rPr>
          <w:rFonts w:ascii="Times New Roman" w:hAnsi="Times New Roman"/>
          <w:sz w:val="24"/>
          <w:szCs w:val="24"/>
        </w:rPr>
        <w:t>bjectives are efficiency and</w:t>
      </w:r>
      <w:r>
        <w:rPr>
          <w:rFonts w:ascii="Times New Roman" w:hAnsi="Times New Roman"/>
          <w:sz w:val="24"/>
          <w:szCs w:val="24"/>
        </w:rPr>
        <w:t xml:space="preserve"> effectiveness and fairness.  </w:t>
      </w:r>
      <w:r w:rsidR="002822A3">
        <w:rPr>
          <w:rFonts w:ascii="Times New Roman" w:hAnsi="Times New Roman"/>
          <w:sz w:val="24"/>
          <w:szCs w:val="24"/>
        </w:rPr>
        <w:t>However, there may be a trade-off in designing a rule to reduce compliance costs incurred in calculating deductions, while also ensuring that the correct amount of tax is collected at the correct time.  Improvements in accuracy of the rule will increase compliance costs for taxpayers.</w:t>
      </w:r>
    </w:p>
    <w:p w:rsidR="002822A3" w:rsidRDefault="002822A3" w:rsidP="00B91E3E">
      <w:pPr>
        <w:pStyle w:val="Bullet-list"/>
        <w:tabs>
          <w:tab w:val="num" w:pos="786"/>
        </w:tabs>
        <w:spacing w:after="0" w:line="240" w:lineRule="auto"/>
        <w:ind w:left="0" w:firstLine="0"/>
        <w:jc w:val="both"/>
        <w:rPr>
          <w:rFonts w:ascii="Times New Roman" w:hAnsi="Times New Roman"/>
          <w:sz w:val="24"/>
          <w:szCs w:val="24"/>
        </w:rPr>
      </w:pPr>
    </w:p>
    <w:p w:rsidR="002822A3" w:rsidRPr="002822A3" w:rsidRDefault="002822A3"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It is more important that the effectiveness and fairness of GST is maintained.  Effectiveness and fairness is therefore a more important objective than efficiency.</w:t>
      </w:r>
    </w:p>
    <w:p w:rsidR="00FD4053" w:rsidRDefault="00FD4053" w:rsidP="00B91E3E">
      <w:pPr>
        <w:pStyle w:val="Bullet-list"/>
        <w:tabs>
          <w:tab w:val="num" w:pos="644"/>
        </w:tabs>
        <w:spacing w:after="0" w:line="240" w:lineRule="auto"/>
        <w:ind w:left="0" w:firstLine="0"/>
        <w:jc w:val="both"/>
        <w:rPr>
          <w:rFonts w:ascii="Times New Roman" w:hAnsi="Times New Roman"/>
          <w:sz w:val="24"/>
          <w:szCs w:val="24"/>
        </w:rPr>
      </w:pPr>
    </w:p>
    <w:p w:rsidR="00D06D45" w:rsidRPr="006B2540" w:rsidRDefault="00D06D45" w:rsidP="00B91E3E">
      <w:pPr>
        <w:pStyle w:val="Bullet-list"/>
        <w:tabs>
          <w:tab w:val="num" w:pos="644"/>
        </w:tabs>
        <w:spacing w:after="0" w:line="240" w:lineRule="auto"/>
        <w:ind w:left="0" w:firstLine="0"/>
        <w:jc w:val="both"/>
        <w:rPr>
          <w:rFonts w:ascii="Times New Roman" w:hAnsi="Times New Roman"/>
          <w:b/>
          <w:i/>
          <w:sz w:val="24"/>
          <w:szCs w:val="24"/>
        </w:rPr>
      </w:pPr>
      <w:r>
        <w:rPr>
          <w:rFonts w:ascii="Times New Roman" w:hAnsi="Times New Roman"/>
          <w:b/>
          <w:i/>
          <w:sz w:val="24"/>
          <w:szCs w:val="24"/>
        </w:rPr>
        <w:t>Regulatory impact analysis</w:t>
      </w:r>
    </w:p>
    <w:p w:rsidR="00D06D45" w:rsidRDefault="00D06D45" w:rsidP="00B91E3E">
      <w:pPr>
        <w:pStyle w:val="Bullet-list"/>
        <w:tabs>
          <w:tab w:val="num" w:pos="644"/>
        </w:tabs>
        <w:spacing w:after="0" w:line="240" w:lineRule="auto"/>
        <w:ind w:left="0" w:firstLine="0"/>
        <w:jc w:val="both"/>
        <w:rPr>
          <w:rFonts w:ascii="Times New Roman" w:hAnsi="Times New Roman"/>
          <w:sz w:val="24"/>
          <w:szCs w:val="24"/>
        </w:rPr>
      </w:pPr>
    </w:p>
    <w:p w:rsidR="000C6385" w:rsidRPr="006B2540" w:rsidRDefault="000C6385"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6B2540">
        <w:rPr>
          <w:rFonts w:ascii="Times New Roman" w:hAnsi="Times New Roman"/>
          <w:sz w:val="24"/>
          <w:szCs w:val="24"/>
        </w:rPr>
        <w:t xml:space="preserve">The </w:t>
      </w:r>
      <w:r w:rsidR="00A1525E" w:rsidRPr="006B2540">
        <w:rPr>
          <w:rFonts w:ascii="Times New Roman" w:hAnsi="Times New Roman"/>
          <w:sz w:val="24"/>
          <w:szCs w:val="24"/>
        </w:rPr>
        <w:t>approach</w:t>
      </w:r>
      <w:r w:rsidRPr="006B2540">
        <w:rPr>
          <w:rFonts w:ascii="Times New Roman" w:hAnsi="Times New Roman"/>
          <w:sz w:val="24"/>
          <w:szCs w:val="24"/>
        </w:rPr>
        <w:t xml:space="preserve"> preferred </w:t>
      </w:r>
      <w:r w:rsidR="00A1525E" w:rsidRPr="006B2540">
        <w:rPr>
          <w:rFonts w:ascii="Times New Roman" w:hAnsi="Times New Roman"/>
          <w:sz w:val="24"/>
          <w:szCs w:val="24"/>
        </w:rPr>
        <w:t>by</w:t>
      </w:r>
      <w:r w:rsidR="00ED0D31">
        <w:rPr>
          <w:rFonts w:ascii="Times New Roman" w:hAnsi="Times New Roman"/>
          <w:sz w:val="24"/>
          <w:szCs w:val="24"/>
        </w:rPr>
        <w:t xml:space="preserve"> the</w:t>
      </w:r>
      <w:r w:rsidR="00A1525E" w:rsidRPr="006B2540">
        <w:rPr>
          <w:rFonts w:ascii="Times New Roman" w:hAnsi="Times New Roman"/>
          <w:sz w:val="24"/>
          <w:szCs w:val="24"/>
        </w:rPr>
        <w:t xml:space="preserve"> industry during preliminary consultation was to extend the Commissioner’s ability to agree an alternative method of apportioning, and making subsequent adjustment to, input tax deductions.  This gave rise to two alternative options: enabling </w:t>
      </w:r>
      <w:r w:rsidR="00E3620E">
        <w:rPr>
          <w:rFonts w:ascii="Times New Roman" w:hAnsi="Times New Roman"/>
          <w:sz w:val="24"/>
          <w:szCs w:val="24"/>
        </w:rPr>
        <w:t xml:space="preserve">large, partially exempt, </w:t>
      </w:r>
      <w:r w:rsidR="00A1525E" w:rsidRPr="006B2540">
        <w:rPr>
          <w:rFonts w:ascii="Times New Roman" w:hAnsi="Times New Roman"/>
          <w:sz w:val="24"/>
          <w:szCs w:val="24"/>
        </w:rPr>
        <w:t xml:space="preserve">businesses </w:t>
      </w:r>
      <w:r w:rsidR="00E3620E">
        <w:rPr>
          <w:rFonts w:ascii="Times New Roman" w:hAnsi="Times New Roman"/>
          <w:sz w:val="24"/>
          <w:szCs w:val="24"/>
        </w:rPr>
        <w:t xml:space="preserve">to agree an alternative method with the Commissioner </w:t>
      </w:r>
      <w:r w:rsidR="00A1525E" w:rsidRPr="006B2540">
        <w:rPr>
          <w:rFonts w:ascii="Times New Roman" w:hAnsi="Times New Roman"/>
          <w:sz w:val="24"/>
          <w:szCs w:val="24"/>
        </w:rPr>
        <w:t>(</w:t>
      </w:r>
      <w:r w:rsidR="0049327E">
        <w:rPr>
          <w:rFonts w:ascii="Times New Roman" w:hAnsi="Times New Roman"/>
          <w:sz w:val="24"/>
          <w:szCs w:val="24"/>
        </w:rPr>
        <w:t xml:space="preserve">which is assessed as </w:t>
      </w:r>
      <w:r w:rsidR="009C58B0">
        <w:rPr>
          <w:rFonts w:ascii="Times New Roman" w:hAnsi="Times New Roman"/>
          <w:sz w:val="24"/>
          <w:szCs w:val="24"/>
        </w:rPr>
        <w:t>Option 1</w:t>
      </w:r>
      <w:r w:rsidR="00A1525E" w:rsidRPr="006B2540">
        <w:rPr>
          <w:rFonts w:ascii="Times New Roman" w:hAnsi="Times New Roman"/>
          <w:sz w:val="24"/>
          <w:szCs w:val="24"/>
        </w:rPr>
        <w:t xml:space="preserve">); and, following consultation, extending this </w:t>
      </w:r>
      <w:r w:rsidRPr="006B2540">
        <w:rPr>
          <w:rFonts w:ascii="Times New Roman" w:hAnsi="Times New Roman"/>
          <w:sz w:val="24"/>
          <w:szCs w:val="24"/>
        </w:rPr>
        <w:t xml:space="preserve">to </w:t>
      </w:r>
      <w:r w:rsidR="00A1525E" w:rsidRPr="006B2540">
        <w:rPr>
          <w:rFonts w:ascii="Times New Roman" w:hAnsi="Times New Roman"/>
          <w:sz w:val="24"/>
          <w:szCs w:val="24"/>
        </w:rPr>
        <w:t>also enable industry associations to apply to the Commissioner to agree a method that could be applied across the industry (</w:t>
      </w:r>
      <w:r w:rsidR="0049327E">
        <w:rPr>
          <w:rFonts w:ascii="Times New Roman" w:hAnsi="Times New Roman"/>
          <w:sz w:val="24"/>
          <w:szCs w:val="24"/>
        </w:rPr>
        <w:t xml:space="preserve">which is assessed as </w:t>
      </w:r>
      <w:r w:rsidR="009C58B0">
        <w:rPr>
          <w:rFonts w:ascii="Times New Roman" w:hAnsi="Times New Roman"/>
          <w:sz w:val="24"/>
          <w:szCs w:val="24"/>
        </w:rPr>
        <w:t>Option 2</w:t>
      </w:r>
      <w:r w:rsidR="00A1525E" w:rsidRPr="006B2540">
        <w:rPr>
          <w:rFonts w:ascii="Times New Roman" w:hAnsi="Times New Roman"/>
          <w:sz w:val="24"/>
          <w:szCs w:val="24"/>
        </w:rPr>
        <w:t xml:space="preserve">).  </w:t>
      </w:r>
    </w:p>
    <w:p w:rsidR="00E3620E" w:rsidRPr="006B2540" w:rsidRDefault="00E3620E" w:rsidP="00B91E3E">
      <w:pPr>
        <w:pStyle w:val="Bullet-list"/>
        <w:tabs>
          <w:tab w:val="num" w:pos="786"/>
        </w:tabs>
        <w:spacing w:after="0" w:line="240" w:lineRule="auto"/>
        <w:ind w:left="0" w:firstLine="0"/>
        <w:jc w:val="both"/>
        <w:rPr>
          <w:rFonts w:ascii="Times New Roman" w:hAnsi="Times New Roman"/>
          <w:sz w:val="24"/>
          <w:szCs w:val="24"/>
        </w:rPr>
      </w:pPr>
    </w:p>
    <w:p w:rsidR="00BA60ED" w:rsidRDefault="00E3620E"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6B2540">
        <w:rPr>
          <w:rFonts w:ascii="Times New Roman" w:hAnsi="Times New Roman"/>
          <w:sz w:val="24"/>
          <w:szCs w:val="24"/>
        </w:rPr>
        <w:t>In either approach, an</w:t>
      </w:r>
      <w:r>
        <w:rPr>
          <w:rFonts w:ascii="Times New Roman" w:hAnsi="Times New Roman"/>
          <w:sz w:val="24"/>
          <w:szCs w:val="24"/>
        </w:rPr>
        <w:t xml:space="preserve"> applicant would be expected to apply to the Commissioner to agree an alternative me</w:t>
      </w:r>
      <w:r w:rsidR="00BA60ED">
        <w:rPr>
          <w:rFonts w:ascii="Times New Roman" w:hAnsi="Times New Roman"/>
          <w:sz w:val="24"/>
          <w:szCs w:val="24"/>
        </w:rPr>
        <w:t xml:space="preserve">thod.  The purpose of an agreed method would be to reduce compliance costs by </w:t>
      </w:r>
      <w:r w:rsidR="0049327E">
        <w:rPr>
          <w:rFonts w:ascii="Times New Roman" w:hAnsi="Times New Roman"/>
          <w:sz w:val="24"/>
          <w:szCs w:val="24"/>
        </w:rPr>
        <w:t xml:space="preserve">providing </w:t>
      </w:r>
      <w:r w:rsidR="00BA60ED">
        <w:rPr>
          <w:rFonts w:ascii="Times New Roman" w:hAnsi="Times New Roman"/>
          <w:sz w:val="24"/>
          <w:szCs w:val="24"/>
        </w:rPr>
        <w:t xml:space="preserve">an easier way to reach </w:t>
      </w:r>
      <w:r w:rsidR="00762645">
        <w:rPr>
          <w:rFonts w:ascii="Times New Roman" w:hAnsi="Times New Roman"/>
          <w:sz w:val="24"/>
          <w:szCs w:val="24"/>
        </w:rPr>
        <w:t xml:space="preserve">a similar </w:t>
      </w:r>
      <w:r w:rsidR="00BA60ED">
        <w:rPr>
          <w:rFonts w:ascii="Times New Roman" w:hAnsi="Times New Roman"/>
          <w:sz w:val="24"/>
          <w:szCs w:val="24"/>
        </w:rPr>
        <w:t xml:space="preserve">input tax deduction </w:t>
      </w:r>
      <w:r w:rsidR="00762645">
        <w:rPr>
          <w:rFonts w:ascii="Times New Roman" w:hAnsi="Times New Roman"/>
          <w:sz w:val="24"/>
          <w:szCs w:val="24"/>
        </w:rPr>
        <w:t xml:space="preserve">entitlement </w:t>
      </w:r>
      <w:r w:rsidR="00BA60ED">
        <w:rPr>
          <w:rFonts w:ascii="Times New Roman" w:hAnsi="Times New Roman"/>
          <w:sz w:val="24"/>
          <w:szCs w:val="24"/>
        </w:rPr>
        <w:t>as would be reached under the apportionment and adjustment rules.</w:t>
      </w:r>
      <w:r w:rsidR="00D5733E">
        <w:rPr>
          <w:rFonts w:ascii="Times New Roman" w:hAnsi="Times New Roman"/>
          <w:sz w:val="24"/>
          <w:szCs w:val="24"/>
        </w:rPr>
        <w:t xml:space="preserve">  To this end, methods would be required to be fair and reasonable, and to have regard to the outcomes that would be reached under the existing apportionment and adjustment rules.</w:t>
      </w:r>
    </w:p>
    <w:p w:rsidR="00BA60ED" w:rsidRDefault="00BA60ED" w:rsidP="009C149F">
      <w:pPr>
        <w:pStyle w:val="ListParagraph"/>
        <w:rPr>
          <w:rFonts w:ascii="Times New Roman" w:hAnsi="Times New Roman"/>
          <w:sz w:val="24"/>
          <w:szCs w:val="24"/>
        </w:rPr>
      </w:pPr>
    </w:p>
    <w:p w:rsidR="00BA60ED" w:rsidRDefault="00BA60ED"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0049327E">
        <w:rPr>
          <w:rFonts w:ascii="Times New Roman" w:hAnsi="Times New Roman"/>
          <w:sz w:val="24"/>
          <w:szCs w:val="24"/>
        </w:rPr>
        <w:t xml:space="preserve">n agreed method would be expected to be specially tailored to address the specific difficulties encountered by a business or sector in applying these rules.  Therefore, </w:t>
      </w:r>
      <w:r>
        <w:rPr>
          <w:rFonts w:ascii="Times New Roman" w:hAnsi="Times New Roman"/>
          <w:sz w:val="24"/>
          <w:szCs w:val="24"/>
        </w:rPr>
        <w:t>it is not proposed to specify the format or content of a method, however,  i</w:t>
      </w:r>
      <w:r w:rsidR="00E3620E">
        <w:rPr>
          <w:rFonts w:ascii="Times New Roman" w:hAnsi="Times New Roman"/>
          <w:sz w:val="24"/>
          <w:szCs w:val="24"/>
        </w:rPr>
        <w:t>t is expected that an</w:t>
      </w:r>
      <w:r w:rsidR="00E3620E" w:rsidRPr="006B2540">
        <w:rPr>
          <w:rFonts w:ascii="Times New Roman" w:hAnsi="Times New Roman"/>
          <w:sz w:val="24"/>
          <w:szCs w:val="24"/>
        </w:rPr>
        <w:t xml:space="preserve"> agreed method would </w:t>
      </w:r>
      <w:r>
        <w:rPr>
          <w:rFonts w:ascii="Times New Roman" w:hAnsi="Times New Roman"/>
          <w:sz w:val="24"/>
          <w:szCs w:val="24"/>
        </w:rPr>
        <w:t>set out:</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all relevant business activities of the applicant;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the methodology proposed (for example, calculation based on turnover, floor space, time spent, number of transactions or cost allocations);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categories of costs that can be directly attributed to either taxable or non-taxable supplies, and categories of costs that relate to both taxable and non-taxable supplies;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the methodology proposed for significant one-off acquisitions such as land;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the method by which disposals of assets will be dealt with (for example, what input tax adjustments will be made);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any adjustments that will be made in relation to goods and services that have already been acquired, including those that are subject to the current apportionment rules, transitional rules or old apportionment rules;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details of any proposed variations to the minimum number of adjustment periods for which adjustments will be made; </w:t>
      </w:r>
    </w:p>
    <w:p w:rsidR="00BA60ED" w:rsidRPr="00BA60ED" w:rsidRDefault="00BA60ED" w:rsidP="00B91E3E">
      <w:pPr>
        <w:pStyle w:val="Bullet-list"/>
        <w:numPr>
          <w:ilvl w:val="0"/>
          <w:numId w:val="21"/>
        </w:numPr>
        <w:spacing w:before="120" w:after="0" w:line="240" w:lineRule="auto"/>
        <w:jc w:val="both"/>
        <w:rPr>
          <w:rFonts w:ascii="Times New Roman" w:hAnsi="Times New Roman"/>
          <w:sz w:val="24"/>
          <w:szCs w:val="24"/>
        </w:rPr>
      </w:pPr>
      <w:r w:rsidRPr="00BA60ED">
        <w:rPr>
          <w:rFonts w:ascii="Times New Roman" w:hAnsi="Times New Roman"/>
          <w:sz w:val="24"/>
          <w:szCs w:val="24"/>
        </w:rPr>
        <w:t xml:space="preserve">details of any proposed variations to the period in which adjustments will be returned; and </w:t>
      </w:r>
    </w:p>
    <w:p w:rsidR="00E3620E" w:rsidRPr="006B2540" w:rsidRDefault="00BA60ED" w:rsidP="00B91E3E">
      <w:pPr>
        <w:pStyle w:val="Bullet-list"/>
        <w:numPr>
          <w:ilvl w:val="0"/>
          <w:numId w:val="21"/>
        </w:numPr>
        <w:spacing w:before="120" w:after="0" w:line="240" w:lineRule="auto"/>
        <w:jc w:val="both"/>
        <w:rPr>
          <w:rFonts w:ascii="Times New Roman" w:hAnsi="Times New Roman"/>
          <w:sz w:val="24"/>
          <w:szCs w:val="24"/>
        </w:rPr>
      </w:pPr>
      <w:proofErr w:type="gramStart"/>
      <w:r w:rsidRPr="00BA60ED">
        <w:rPr>
          <w:rFonts w:ascii="Times New Roman" w:hAnsi="Times New Roman"/>
          <w:sz w:val="24"/>
          <w:szCs w:val="24"/>
        </w:rPr>
        <w:t>an</w:t>
      </w:r>
      <w:proofErr w:type="gramEnd"/>
      <w:r w:rsidRPr="00BA60ED">
        <w:rPr>
          <w:rFonts w:ascii="Times New Roman" w:hAnsi="Times New Roman"/>
          <w:sz w:val="24"/>
          <w:szCs w:val="24"/>
        </w:rPr>
        <w:t xml:space="preserve"> explanation of why the proposed methodology is fair and reasonable, and how it reflects the outcomes that would be reached under the apportionment rules.</w:t>
      </w:r>
    </w:p>
    <w:p w:rsidR="00BA60ED" w:rsidRDefault="00BA60ED" w:rsidP="00B91E3E">
      <w:pPr>
        <w:pStyle w:val="Bullet-list"/>
        <w:tabs>
          <w:tab w:val="num" w:pos="786"/>
        </w:tabs>
        <w:spacing w:after="0" w:line="240" w:lineRule="auto"/>
        <w:ind w:left="0" w:firstLine="0"/>
        <w:jc w:val="both"/>
        <w:rPr>
          <w:rFonts w:ascii="Times New Roman" w:hAnsi="Times New Roman"/>
          <w:sz w:val="24"/>
          <w:szCs w:val="24"/>
        </w:rPr>
      </w:pPr>
    </w:p>
    <w:p w:rsidR="00E3620E" w:rsidRPr="006B2540" w:rsidRDefault="001B7540"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 xml:space="preserve">Both Inland Revenue and </w:t>
      </w:r>
      <w:r w:rsidR="00762645">
        <w:rPr>
          <w:rFonts w:ascii="Times New Roman" w:hAnsi="Times New Roman"/>
          <w:sz w:val="24"/>
          <w:szCs w:val="24"/>
        </w:rPr>
        <w:t>the</w:t>
      </w:r>
      <w:r w:rsidRPr="00B91E3E">
        <w:rPr>
          <w:rFonts w:ascii="Times New Roman" w:hAnsi="Times New Roman"/>
          <w:sz w:val="24"/>
          <w:szCs w:val="24"/>
        </w:rPr>
        <w:t xml:space="preserve"> applicant are expected to incur costs in agreeing, and maintaining a method</w:t>
      </w:r>
      <w:r w:rsidR="00762645">
        <w:rPr>
          <w:rFonts w:ascii="Times New Roman" w:hAnsi="Times New Roman"/>
          <w:sz w:val="24"/>
          <w:szCs w:val="24"/>
        </w:rPr>
        <w:t>.  However,</w:t>
      </w:r>
      <w:r w:rsidRPr="00B91E3E">
        <w:rPr>
          <w:rFonts w:ascii="Times New Roman" w:hAnsi="Times New Roman"/>
          <w:sz w:val="24"/>
          <w:szCs w:val="24"/>
        </w:rPr>
        <w:t xml:space="preserve"> it is expected that generally there would be an ongoing compliance cost saving to the customer and a minimal administrative cost for the Commissioner.</w:t>
      </w:r>
    </w:p>
    <w:p w:rsidR="00E3620E" w:rsidRPr="00B91E3E" w:rsidRDefault="00E3620E" w:rsidP="00B91E3E">
      <w:pPr>
        <w:pStyle w:val="Bullet-list"/>
        <w:tabs>
          <w:tab w:val="num" w:pos="786"/>
        </w:tabs>
        <w:spacing w:after="0" w:line="240" w:lineRule="auto"/>
        <w:ind w:left="0" w:firstLine="0"/>
        <w:jc w:val="both"/>
        <w:rPr>
          <w:rFonts w:ascii="Times New Roman" w:hAnsi="Times New Roman"/>
          <w:sz w:val="24"/>
          <w:szCs w:val="24"/>
        </w:rPr>
      </w:pPr>
    </w:p>
    <w:p w:rsidR="00E3620E" w:rsidRDefault="009C58B0" w:rsidP="00B91E3E">
      <w:pPr>
        <w:pStyle w:val="Bullet-list"/>
        <w:tabs>
          <w:tab w:val="num" w:pos="786"/>
        </w:tabs>
        <w:spacing w:after="0" w:line="240" w:lineRule="auto"/>
        <w:ind w:left="0" w:firstLine="0"/>
        <w:jc w:val="both"/>
        <w:rPr>
          <w:rFonts w:ascii="Times New Roman" w:hAnsi="Times New Roman"/>
          <w:i/>
          <w:sz w:val="24"/>
          <w:szCs w:val="24"/>
          <w:u w:val="single"/>
        </w:rPr>
      </w:pPr>
      <w:r>
        <w:rPr>
          <w:rFonts w:ascii="Times New Roman" w:hAnsi="Times New Roman"/>
          <w:i/>
          <w:sz w:val="24"/>
          <w:szCs w:val="24"/>
          <w:u w:val="single"/>
        </w:rPr>
        <w:t>Option 1</w:t>
      </w:r>
      <w:r w:rsidR="00E3620E" w:rsidRPr="006B2540">
        <w:rPr>
          <w:rFonts w:ascii="Times New Roman" w:hAnsi="Times New Roman"/>
          <w:i/>
          <w:sz w:val="24"/>
          <w:szCs w:val="24"/>
          <w:u w:val="single"/>
        </w:rPr>
        <w:t>: agreed methods</w:t>
      </w:r>
    </w:p>
    <w:p w:rsidR="00E3620E" w:rsidRPr="006B2540" w:rsidRDefault="00E3620E" w:rsidP="00B91E3E">
      <w:pPr>
        <w:pStyle w:val="Bullet-list"/>
        <w:tabs>
          <w:tab w:val="num" w:pos="786"/>
        </w:tabs>
        <w:spacing w:after="0" w:line="240" w:lineRule="auto"/>
        <w:ind w:left="0" w:firstLine="0"/>
        <w:jc w:val="both"/>
        <w:rPr>
          <w:rFonts w:ascii="Times New Roman" w:hAnsi="Times New Roman"/>
          <w:i/>
          <w:sz w:val="24"/>
          <w:szCs w:val="24"/>
          <w:u w:val="single"/>
        </w:rPr>
      </w:pPr>
    </w:p>
    <w:p w:rsidR="00BA60ED" w:rsidRDefault="009C58B0"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BA60ED">
        <w:rPr>
          <w:rFonts w:ascii="Times New Roman" w:hAnsi="Times New Roman"/>
          <w:sz w:val="24"/>
          <w:szCs w:val="24"/>
        </w:rPr>
        <w:t xml:space="preserve"> would limit eligibility to agree a method to large businesses, which have</w:t>
      </w:r>
      <w:r w:rsidR="0049327E">
        <w:rPr>
          <w:rFonts w:ascii="Times New Roman" w:hAnsi="Times New Roman"/>
          <w:sz w:val="24"/>
          <w:szCs w:val="24"/>
        </w:rPr>
        <w:t xml:space="preserve"> or expect to have</w:t>
      </w:r>
      <w:r w:rsidR="00BA60ED">
        <w:rPr>
          <w:rFonts w:ascii="Times New Roman" w:hAnsi="Times New Roman"/>
          <w:sz w:val="24"/>
          <w:szCs w:val="24"/>
        </w:rPr>
        <w:t xml:space="preserve"> a turnover in a 12-month period exceeding $24</w:t>
      </w:r>
      <w:r w:rsidR="0049327E">
        <w:rPr>
          <w:rFonts w:ascii="Times New Roman" w:hAnsi="Times New Roman"/>
          <w:sz w:val="24"/>
          <w:szCs w:val="24"/>
        </w:rPr>
        <w:t xml:space="preserve"> </w:t>
      </w:r>
      <w:r w:rsidR="00BA60ED">
        <w:rPr>
          <w:rFonts w:ascii="Times New Roman" w:hAnsi="Times New Roman"/>
          <w:sz w:val="24"/>
          <w:szCs w:val="24"/>
        </w:rPr>
        <w:t>m</w:t>
      </w:r>
      <w:r w:rsidR="0049327E">
        <w:rPr>
          <w:rFonts w:ascii="Times New Roman" w:hAnsi="Times New Roman"/>
          <w:sz w:val="24"/>
          <w:szCs w:val="24"/>
        </w:rPr>
        <w:t>illion</w:t>
      </w:r>
      <w:r w:rsidR="00BA60ED">
        <w:rPr>
          <w:rFonts w:ascii="Times New Roman" w:hAnsi="Times New Roman"/>
          <w:sz w:val="24"/>
          <w:szCs w:val="24"/>
        </w:rPr>
        <w:t xml:space="preserve">.  </w:t>
      </w:r>
      <w:r w:rsidR="00762645">
        <w:rPr>
          <w:rFonts w:ascii="Times New Roman" w:hAnsi="Times New Roman"/>
          <w:sz w:val="24"/>
          <w:szCs w:val="24"/>
        </w:rPr>
        <w:t xml:space="preserve">In the absence of some kind of threshold, while </w:t>
      </w:r>
      <w:r w:rsidR="006F6430">
        <w:rPr>
          <w:rFonts w:ascii="Times New Roman" w:hAnsi="Times New Roman"/>
          <w:sz w:val="24"/>
          <w:szCs w:val="24"/>
        </w:rPr>
        <w:t>the Commissioner would not be required to agree a method with every applicant, costs would still be experienced from processing application</w:t>
      </w:r>
      <w:r w:rsidR="00FE2DF5">
        <w:rPr>
          <w:rFonts w:ascii="Times New Roman" w:hAnsi="Times New Roman"/>
          <w:sz w:val="24"/>
          <w:szCs w:val="24"/>
        </w:rPr>
        <w:t>s</w:t>
      </w:r>
      <w:r w:rsidR="006F6430">
        <w:rPr>
          <w:rFonts w:ascii="Times New Roman" w:hAnsi="Times New Roman"/>
          <w:sz w:val="24"/>
          <w:szCs w:val="24"/>
        </w:rPr>
        <w:t xml:space="preserve"> and assessing their merits.  A turnover threshold would provide an objective test that could easily be applied as a filter, and would limit applications to those expected to be more likely to produce an overall </w:t>
      </w:r>
      <w:r w:rsidR="00637B0C">
        <w:rPr>
          <w:rFonts w:ascii="Times New Roman" w:hAnsi="Times New Roman"/>
          <w:sz w:val="24"/>
          <w:szCs w:val="24"/>
        </w:rPr>
        <w:t>benefit.</w:t>
      </w:r>
    </w:p>
    <w:p w:rsidR="00637B0C" w:rsidRDefault="00637B0C" w:rsidP="00B91E3E">
      <w:pPr>
        <w:pStyle w:val="Bullet-list"/>
        <w:tabs>
          <w:tab w:val="num" w:pos="786"/>
        </w:tabs>
        <w:spacing w:after="0" w:line="240" w:lineRule="auto"/>
        <w:ind w:left="0" w:firstLine="0"/>
        <w:jc w:val="both"/>
        <w:rPr>
          <w:rFonts w:ascii="Times New Roman" w:hAnsi="Times New Roman"/>
          <w:sz w:val="24"/>
          <w:szCs w:val="24"/>
        </w:rPr>
      </w:pPr>
    </w:p>
    <w:p w:rsidR="00E3620E" w:rsidRPr="006B2540" w:rsidRDefault="006F6430"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Businesses would be expected to experience greater certainty under an agreed methodology.  It is expected that, for businesses </w:t>
      </w:r>
      <w:r w:rsidR="00762645">
        <w:rPr>
          <w:rFonts w:ascii="Times New Roman" w:hAnsi="Times New Roman"/>
          <w:sz w:val="24"/>
          <w:szCs w:val="24"/>
        </w:rPr>
        <w:t>experiencing the compliance difficulties outlined,</w:t>
      </w:r>
      <w:r w:rsidR="00762645" w:rsidDel="00762645">
        <w:rPr>
          <w:rFonts w:ascii="Times New Roman" w:hAnsi="Times New Roman"/>
          <w:sz w:val="24"/>
          <w:szCs w:val="24"/>
        </w:rPr>
        <w:t xml:space="preserve"> </w:t>
      </w:r>
      <w:r>
        <w:rPr>
          <w:rFonts w:ascii="Times New Roman" w:hAnsi="Times New Roman"/>
          <w:sz w:val="24"/>
          <w:szCs w:val="24"/>
        </w:rPr>
        <w:t>an agreed alternative method would enable the tax consequences of their transactions to be more readily apparent than under the apportionment rules.</w:t>
      </w:r>
    </w:p>
    <w:p w:rsidR="00E3620E" w:rsidRPr="006B2540" w:rsidRDefault="00E3620E" w:rsidP="009C149F">
      <w:pPr>
        <w:pStyle w:val="ListParagraph"/>
        <w:rPr>
          <w:rFonts w:ascii="Times New Roman" w:hAnsi="Times New Roman"/>
          <w:sz w:val="24"/>
          <w:szCs w:val="24"/>
        </w:rPr>
      </w:pPr>
    </w:p>
    <w:p w:rsidR="00D5733E" w:rsidRDefault="006F6430"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It is not expected that an agreed apportionment method would significantly affect the substantive amount of tax paid by a business</w:t>
      </w:r>
      <w:r w:rsidR="00D5733E">
        <w:rPr>
          <w:rFonts w:ascii="Times New Roman" w:hAnsi="Times New Roman"/>
          <w:sz w:val="24"/>
          <w:szCs w:val="24"/>
        </w:rPr>
        <w:t>, and therefore methods should not affect competition between businesses</w:t>
      </w:r>
      <w:r w:rsidR="00762645">
        <w:rPr>
          <w:rFonts w:ascii="Times New Roman" w:hAnsi="Times New Roman"/>
          <w:sz w:val="24"/>
          <w:szCs w:val="24"/>
        </w:rPr>
        <w:t xml:space="preserve"> nor </w:t>
      </w:r>
      <w:r w:rsidR="00D5733E">
        <w:rPr>
          <w:rFonts w:ascii="Times New Roman" w:hAnsi="Times New Roman"/>
          <w:sz w:val="24"/>
          <w:szCs w:val="24"/>
        </w:rPr>
        <w:t xml:space="preserve">the effectiveness and fairness of the tax system, </w:t>
      </w:r>
      <w:r w:rsidR="00762645">
        <w:rPr>
          <w:rFonts w:ascii="Times New Roman" w:hAnsi="Times New Roman"/>
          <w:sz w:val="24"/>
          <w:szCs w:val="24"/>
        </w:rPr>
        <w:t xml:space="preserve">and should not </w:t>
      </w:r>
      <w:r w:rsidR="00D5733E">
        <w:rPr>
          <w:rFonts w:ascii="Times New Roman" w:hAnsi="Times New Roman"/>
          <w:sz w:val="24"/>
          <w:szCs w:val="24"/>
        </w:rPr>
        <w:t xml:space="preserve">have a fiscal impact.  </w:t>
      </w:r>
      <w:r>
        <w:rPr>
          <w:rFonts w:ascii="Times New Roman" w:hAnsi="Times New Roman"/>
          <w:sz w:val="24"/>
          <w:szCs w:val="24"/>
        </w:rPr>
        <w:t>Where a</w:t>
      </w:r>
      <w:r w:rsidR="00762645">
        <w:rPr>
          <w:rFonts w:ascii="Times New Roman" w:hAnsi="Times New Roman"/>
          <w:sz w:val="24"/>
          <w:szCs w:val="24"/>
        </w:rPr>
        <w:t xml:space="preserve"> </w:t>
      </w:r>
      <w:r>
        <w:rPr>
          <w:rFonts w:ascii="Times New Roman" w:hAnsi="Times New Roman"/>
          <w:sz w:val="24"/>
          <w:szCs w:val="24"/>
        </w:rPr>
        <w:t xml:space="preserve">method </w:t>
      </w:r>
      <w:r w:rsidR="00762645">
        <w:rPr>
          <w:rFonts w:ascii="Times New Roman" w:hAnsi="Times New Roman"/>
          <w:sz w:val="24"/>
          <w:szCs w:val="24"/>
        </w:rPr>
        <w:t xml:space="preserve">produced </w:t>
      </w:r>
      <w:r>
        <w:rPr>
          <w:rFonts w:ascii="Times New Roman" w:hAnsi="Times New Roman"/>
          <w:sz w:val="24"/>
          <w:szCs w:val="24"/>
        </w:rPr>
        <w:t xml:space="preserve">a timing advantage or disadvantage in relation to an input tax deduction (for example, by allowing a </w:t>
      </w:r>
      <w:r w:rsidR="00762645">
        <w:rPr>
          <w:rFonts w:ascii="Times New Roman" w:hAnsi="Times New Roman"/>
          <w:sz w:val="24"/>
          <w:szCs w:val="24"/>
        </w:rPr>
        <w:t xml:space="preserve">flat </w:t>
      </w:r>
      <w:r>
        <w:rPr>
          <w:rFonts w:ascii="Times New Roman" w:hAnsi="Times New Roman"/>
          <w:sz w:val="24"/>
          <w:szCs w:val="24"/>
        </w:rPr>
        <w:t>percentage to be deducted immediately, rather than increasing the amount over a number of years), it is expected that this would be accounted for</w:t>
      </w:r>
      <w:r w:rsidR="00762645">
        <w:rPr>
          <w:rFonts w:ascii="Times New Roman" w:hAnsi="Times New Roman"/>
          <w:sz w:val="24"/>
          <w:szCs w:val="24"/>
        </w:rPr>
        <w:t xml:space="preserve"> in the agreement with the Commissioner</w:t>
      </w:r>
      <w:r>
        <w:rPr>
          <w:rFonts w:ascii="Times New Roman" w:hAnsi="Times New Roman"/>
          <w:sz w:val="24"/>
          <w:szCs w:val="24"/>
        </w:rPr>
        <w:t xml:space="preserve">.  For example, a smaller </w:t>
      </w:r>
      <w:r w:rsidR="00762645">
        <w:rPr>
          <w:rFonts w:ascii="Times New Roman" w:hAnsi="Times New Roman"/>
          <w:sz w:val="24"/>
          <w:szCs w:val="24"/>
        </w:rPr>
        <w:t xml:space="preserve">percentage </w:t>
      </w:r>
      <w:r>
        <w:rPr>
          <w:rFonts w:ascii="Times New Roman" w:hAnsi="Times New Roman"/>
          <w:sz w:val="24"/>
          <w:szCs w:val="24"/>
        </w:rPr>
        <w:t>deduction may be allowed to take into account a timing advantage.</w:t>
      </w:r>
    </w:p>
    <w:p w:rsidR="00D5733E" w:rsidRDefault="00D5733E" w:rsidP="009C149F">
      <w:pPr>
        <w:pStyle w:val="ListParagraph"/>
        <w:rPr>
          <w:rFonts w:ascii="Times New Roman" w:hAnsi="Times New Roman"/>
          <w:sz w:val="24"/>
          <w:szCs w:val="24"/>
        </w:rPr>
      </w:pPr>
    </w:p>
    <w:p w:rsidR="00D5733E" w:rsidRPr="006B2540" w:rsidRDefault="00D5733E"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use of </w:t>
      </w:r>
      <w:r w:rsidR="00762645">
        <w:rPr>
          <w:rFonts w:ascii="Times New Roman" w:hAnsi="Times New Roman"/>
          <w:sz w:val="24"/>
          <w:szCs w:val="24"/>
        </w:rPr>
        <w:t xml:space="preserve">the </w:t>
      </w:r>
      <w:r>
        <w:rPr>
          <w:rFonts w:ascii="Times New Roman" w:hAnsi="Times New Roman"/>
          <w:sz w:val="24"/>
          <w:szCs w:val="24"/>
        </w:rPr>
        <w:t>turnover threshold</w:t>
      </w:r>
      <w:r w:rsidR="00762645">
        <w:rPr>
          <w:rFonts w:ascii="Times New Roman" w:hAnsi="Times New Roman"/>
          <w:sz w:val="24"/>
          <w:szCs w:val="24"/>
        </w:rPr>
        <w:t xml:space="preserve"> under this option</w:t>
      </w:r>
      <w:r>
        <w:rPr>
          <w:rFonts w:ascii="Times New Roman" w:hAnsi="Times New Roman"/>
          <w:sz w:val="24"/>
          <w:szCs w:val="24"/>
        </w:rPr>
        <w:t xml:space="preserve"> to govern applications could potentially create some fairness issues between taxpayers, to the extent that taxpayers who would experience significant compliance cost savings f</w:t>
      </w:r>
      <w:r w:rsidR="00762645">
        <w:rPr>
          <w:rFonts w:ascii="Times New Roman" w:hAnsi="Times New Roman"/>
          <w:sz w:val="24"/>
          <w:szCs w:val="24"/>
        </w:rPr>
        <w:t>e</w:t>
      </w:r>
      <w:r>
        <w:rPr>
          <w:rFonts w:ascii="Times New Roman" w:hAnsi="Times New Roman"/>
          <w:sz w:val="24"/>
          <w:szCs w:val="24"/>
        </w:rPr>
        <w:t xml:space="preserve">ll </w:t>
      </w:r>
      <w:r w:rsidR="0049327E">
        <w:rPr>
          <w:rFonts w:ascii="Times New Roman" w:hAnsi="Times New Roman"/>
          <w:sz w:val="24"/>
          <w:szCs w:val="24"/>
        </w:rPr>
        <w:t>beneath</w:t>
      </w:r>
      <w:r>
        <w:rPr>
          <w:rFonts w:ascii="Times New Roman" w:hAnsi="Times New Roman"/>
          <w:sz w:val="24"/>
          <w:szCs w:val="24"/>
        </w:rPr>
        <w:t xml:space="preserve"> the threshold.</w:t>
      </w:r>
    </w:p>
    <w:p w:rsidR="00A1525E" w:rsidRPr="006B2540" w:rsidRDefault="00A1525E" w:rsidP="00B91E3E">
      <w:pPr>
        <w:pStyle w:val="Bullet-list"/>
        <w:tabs>
          <w:tab w:val="num" w:pos="786"/>
        </w:tabs>
        <w:spacing w:after="0" w:line="240" w:lineRule="auto"/>
        <w:ind w:left="0" w:firstLine="0"/>
        <w:jc w:val="both"/>
        <w:rPr>
          <w:rFonts w:ascii="Times New Roman" w:hAnsi="Times New Roman"/>
          <w:sz w:val="24"/>
          <w:szCs w:val="24"/>
        </w:rPr>
      </w:pPr>
    </w:p>
    <w:p w:rsidR="00E3620E" w:rsidRPr="006B2540" w:rsidRDefault="009C58B0" w:rsidP="00B91E3E">
      <w:pPr>
        <w:pStyle w:val="Bullet-list"/>
        <w:keepNext/>
        <w:tabs>
          <w:tab w:val="num" w:pos="786"/>
        </w:tabs>
        <w:spacing w:after="0" w:line="240" w:lineRule="auto"/>
        <w:ind w:left="0" w:firstLine="0"/>
        <w:jc w:val="both"/>
        <w:rPr>
          <w:rFonts w:ascii="Times New Roman" w:hAnsi="Times New Roman"/>
          <w:i/>
          <w:sz w:val="24"/>
          <w:szCs w:val="24"/>
          <w:u w:val="single"/>
        </w:rPr>
      </w:pPr>
      <w:r>
        <w:rPr>
          <w:rFonts w:ascii="Times New Roman" w:hAnsi="Times New Roman"/>
          <w:i/>
          <w:sz w:val="24"/>
          <w:szCs w:val="24"/>
          <w:u w:val="single"/>
        </w:rPr>
        <w:t>Option 2</w:t>
      </w:r>
      <w:r w:rsidR="00E3620E" w:rsidRPr="006B2540">
        <w:rPr>
          <w:rFonts w:ascii="Times New Roman" w:hAnsi="Times New Roman"/>
          <w:i/>
          <w:sz w:val="24"/>
          <w:szCs w:val="24"/>
          <w:u w:val="single"/>
        </w:rPr>
        <w:t>: agreed methods (inc</w:t>
      </w:r>
      <w:r w:rsidR="000C43AB">
        <w:rPr>
          <w:rFonts w:ascii="Times New Roman" w:hAnsi="Times New Roman"/>
          <w:i/>
          <w:sz w:val="24"/>
          <w:szCs w:val="24"/>
          <w:u w:val="single"/>
        </w:rPr>
        <w:t>luding</w:t>
      </w:r>
      <w:r w:rsidR="00E3620E" w:rsidRPr="006B2540">
        <w:rPr>
          <w:rFonts w:ascii="Times New Roman" w:hAnsi="Times New Roman"/>
          <w:i/>
          <w:sz w:val="24"/>
          <w:szCs w:val="24"/>
          <w:u w:val="single"/>
        </w:rPr>
        <w:t xml:space="preserve"> industry methods)</w:t>
      </w:r>
    </w:p>
    <w:p w:rsidR="00E3620E" w:rsidRPr="006B2540" w:rsidRDefault="00E3620E" w:rsidP="00B91E3E">
      <w:pPr>
        <w:pStyle w:val="Bullet-list"/>
        <w:keepNext/>
        <w:tabs>
          <w:tab w:val="num" w:pos="786"/>
        </w:tabs>
        <w:spacing w:after="0" w:line="240" w:lineRule="auto"/>
        <w:ind w:left="0" w:firstLine="0"/>
        <w:jc w:val="both"/>
        <w:rPr>
          <w:rFonts w:ascii="Times New Roman" w:hAnsi="Times New Roman"/>
          <w:sz w:val="24"/>
          <w:szCs w:val="24"/>
        </w:rPr>
      </w:pPr>
    </w:p>
    <w:p w:rsidR="000C6385" w:rsidRDefault="0049327E"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This</w:t>
      </w:r>
      <w:r w:rsidR="000C6385" w:rsidRPr="006B2540">
        <w:rPr>
          <w:rFonts w:ascii="Times New Roman" w:hAnsi="Times New Roman"/>
          <w:sz w:val="24"/>
          <w:szCs w:val="24"/>
        </w:rPr>
        <w:t xml:space="preserve"> option</w:t>
      </w:r>
      <w:r w:rsidR="00D5733E">
        <w:rPr>
          <w:rFonts w:ascii="Times New Roman" w:hAnsi="Times New Roman"/>
          <w:sz w:val="24"/>
          <w:szCs w:val="24"/>
        </w:rPr>
        <w:t xml:space="preserve"> </w:t>
      </w:r>
      <w:r>
        <w:rPr>
          <w:rFonts w:ascii="Times New Roman" w:hAnsi="Times New Roman"/>
          <w:sz w:val="24"/>
          <w:szCs w:val="24"/>
        </w:rPr>
        <w:t>would</w:t>
      </w:r>
      <w:r w:rsidR="00D5733E">
        <w:rPr>
          <w:rFonts w:ascii="Times New Roman" w:hAnsi="Times New Roman"/>
          <w:sz w:val="24"/>
          <w:szCs w:val="24"/>
        </w:rPr>
        <w:t xml:space="preserve"> expand eligibility to agree a method to a wider group of businesses</w:t>
      </w:r>
      <w:r>
        <w:rPr>
          <w:rFonts w:ascii="Times New Roman" w:hAnsi="Times New Roman"/>
          <w:sz w:val="24"/>
          <w:szCs w:val="24"/>
        </w:rPr>
        <w:t>.  Industry associations</w:t>
      </w:r>
      <w:r w:rsidR="00762645">
        <w:rPr>
          <w:rFonts w:ascii="Times New Roman" w:hAnsi="Times New Roman"/>
          <w:sz w:val="24"/>
          <w:szCs w:val="24"/>
        </w:rPr>
        <w:t xml:space="preserve"> as well as businesses under </w:t>
      </w:r>
      <w:r w:rsidR="009C58B0">
        <w:rPr>
          <w:rFonts w:ascii="Times New Roman" w:hAnsi="Times New Roman"/>
          <w:sz w:val="24"/>
          <w:szCs w:val="24"/>
        </w:rPr>
        <w:t>Option 1</w:t>
      </w:r>
      <w:r>
        <w:rPr>
          <w:rFonts w:ascii="Times New Roman" w:hAnsi="Times New Roman"/>
          <w:sz w:val="24"/>
          <w:szCs w:val="24"/>
        </w:rPr>
        <w:t xml:space="preserve"> would be able</w:t>
      </w:r>
      <w:r w:rsidR="00D5733E">
        <w:rPr>
          <w:rFonts w:ascii="Times New Roman" w:hAnsi="Times New Roman"/>
          <w:sz w:val="24"/>
          <w:szCs w:val="24"/>
        </w:rPr>
        <w:t xml:space="preserve"> to agree a methodology</w:t>
      </w:r>
      <w:r>
        <w:rPr>
          <w:rFonts w:ascii="Times New Roman" w:hAnsi="Times New Roman"/>
          <w:sz w:val="24"/>
          <w:szCs w:val="24"/>
        </w:rPr>
        <w:t>.</w:t>
      </w:r>
      <w:r w:rsidR="00D5733E">
        <w:rPr>
          <w:rFonts w:ascii="Times New Roman" w:hAnsi="Times New Roman"/>
          <w:sz w:val="24"/>
          <w:szCs w:val="24"/>
        </w:rPr>
        <w:t xml:space="preserve"> </w:t>
      </w:r>
      <w:r>
        <w:rPr>
          <w:rFonts w:ascii="Times New Roman" w:hAnsi="Times New Roman"/>
          <w:sz w:val="24"/>
          <w:szCs w:val="24"/>
        </w:rPr>
        <w:t xml:space="preserve"> Businesses within that</w:t>
      </w:r>
      <w:r w:rsidR="00D5733E">
        <w:rPr>
          <w:rFonts w:ascii="Times New Roman" w:hAnsi="Times New Roman"/>
          <w:sz w:val="24"/>
          <w:szCs w:val="24"/>
        </w:rPr>
        <w:t xml:space="preserve"> industry could </w:t>
      </w:r>
      <w:r>
        <w:rPr>
          <w:rFonts w:ascii="Times New Roman" w:hAnsi="Times New Roman"/>
          <w:sz w:val="24"/>
          <w:szCs w:val="24"/>
        </w:rPr>
        <w:t xml:space="preserve">then apply to use the agreement </w:t>
      </w:r>
      <w:r w:rsidR="00D5733E">
        <w:rPr>
          <w:rFonts w:ascii="Times New Roman" w:hAnsi="Times New Roman"/>
          <w:sz w:val="24"/>
          <w:szCs w:val="24"/>
        </w:rPr>
        <w:t>with any necessary adjustments as agreed with the Commissioner.</w:t>
      </w:r>
    </w:p>
    <w:p w:rsidR="00D5733E" w:rsidRDefault="00D5733E" w:rsidP="00B91E3E">
      <w:pPr>
        <w:pStyle w:val="Bullet-list"/>
        <w:tabs>
          <w:tab w:val="num" w:pos="786"/>
        </w:tabs>
        <w:spacing w:after="0" w:line="240" w:lineRule="auto"/>
        <w:ind w:left="0" w:firstLine="0"/>
        <w:jc w:val="both"/>
        <w:rPr>
          <w:rFonts w:ascii="Times New Roman" w:hAnsi="Times New Roman"/>
          <w:sz w:val="24"/>
          <w:szCs w:val="24"/>
        </w:rPr>
      </w:pPr>
    </w:p>
    <w:p w:rsidR="00046BBC" w:rsidRDefault="00D5733E"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046BBC">
        <w:rPr>
          <w:rFonts w:ascii="Times New Roman" w:hAnsi="Times New Roman"/>
          <w:sz w:val="24"/>
          <w:szCs w:val="24"/>
        </w:rPr>
        <w:t xml:space="preserve">Enabling industry associations to also agree a method would be </w:t>
      </w:r>
      <w:r w:rsidR="000C43AB">
        <w:rPr>
          <w:rFonts w:ascii="Times New Roman" w:hAnsi="Times New Roman"/>
          <w:sz w:val="24"/>
          <w:szCs w:val="24"/>
        </w:rPr>
        <w:t xml:space="preserve">comparatively more </w:t>
      </w:r>
      <w:r w:rsidRPr="00046BBC">
        <w:rPr>
          <w:rFonts w:ascii="Times New Roman" w:hAnsi="Times New Roman"/>
          <w:sz w:val="24"/>
          <w:szCs w:val="24"/>
        </w:rPr>
        <w:t>efficient,</w:t>
      </w:r>
      <w:r w:rsidR="0049327E">
        <w:rPr>
          <w:rFonts w:ascii="Times New Roman" w:hAnsi="Times New Roman"/>
          <w:sz w:val="24"/>
          <w:szCs w:val="24"/>
        </w:rPr>
        <w:t xml:space="preserve"> as</w:t>
      </w:r>
      <w:r w:rsidRPr="00046BBC">
        <w:rPr>
          <w:rFonts w:ascii="Times New Roman" w:hAnsi="Times New Roman"/>
          <w:sz w:val="24"/>
          <w:szCs w:val="24"/>
        </w:rPr>
        <w:t xml:space="preserve"> a</w:t>
      </w:r>
      <w:r w:rsidR="0049327E">
        <w:rPr>
          <w:rFonts w:ascii="Times New Roman" w:hAnsi="Times New Roman"/>
          <w:sz w:val="24"/>
          <w:szCs w:val="24"/>
        </w:rPr>
        <w:t xml:space="preserve"> </w:t>
      </w:r>
      <w:r w:rsidRPr="00046BBC">
        <w:rPr>
          <w:rFonts w:ascii="Times New Roman" w:hAnsi="Times New Roman"/>
          <w:sz w:val="24"/>
          <w:szCs w:val="24"/>
        </w:rPr>
        <w:t>s</w:t>
      </w:r>
      <w:r w:rsidR="0049327E">
        <w:rPr>
          <w:rFonts w:ascii="Times New Roman" w:hAnsi="Times New Roman"/>
          <w:sz w:val="24"/>
          <w:szCs w:val="24"/>
        </w:rPr>
        <w:t>ingle agreement would apply</w:t>
      </w:r>
      <w:r w:rsidRPr="00046BBC">
        <w:rPr>
          <w:rFonts w:ascii="Times New Roman" w:hAnsi="Times New Roman"/>
          <w:sz w:val="24"/>
          <w:szCs w:val="24"/>
        </w:rPr>
        <w:t xml:space="preserve"> </w:t>
      </w:r>
      <w:r w:rsidR="0049327E">
        <w:rPr>
          <w:rFonts w:ascii="Times New Roman" w:hAnsi="Times New Roman"/>
          <w:sz w:val="24"/>
          <w:szCs w:val="24"/>
        </w:rPr>
        <w:t xml:space="preserve">to a number of businesses.  </w:t>
      </w:r>
      <w:r w:rsidR="00046BBC">
        <w:rPr>
          <w:rFonts w:ascii="Times New Roman" w:hAnsi="Times New Roman"/>
          <w:sz w:val="24"/>
          <w:szCs w:val="24"/>
        </w:rPr>
        <w:t>The benefit experienced by the entire group could mean that agreeing a method was efficient, taking into account compliance and administration costs, even if the cost of negotiating the method</w:t>
      </w:r>
      <w:r w:rsidR="00762645">
        <w:rPr>
          <w:rFonts w:ascii="Times New Roman" w:hAnsi="Times New Roman"/>
          <w:sz w:val="24"/>
          <w:szCs w:val="24"/>
        </w:rPr>
        <w:t>,</w:t>
      </w:r>
      <w:r w:rsidR="00046BBC">
        <w:rPr>
          <w:rFonts w:ascii="Times New Roman" w:hAnsi="Times New Roman"/>
          <w:sz w:val="24"/>
          <w:szCs w:val="24"/>
        </w:rPr>
        <w:t xml:space="preserve"> for an individual member</w:t>
      </w:r>
      <w:r w:rsidR="00762645">
        <w:rPr>
          <w:rFonts w:ascii="Times New Roman" w:hAnsi="Times New Roman"/>
          <w:sz w:val="24"/>
          <w:szCs w:val="24"/>
        </w:rPr>
        <w:t>, would not be efficient</w:t>
      </w:r>
      <w:r w:rsidR="00046BBC">
        <w:rPr>
          <w:rFonts w:ascii="Times New Roman" w:hAnsi="Times New Roman"/>
          <w:sz w:val="24"/>
          <w:szCs w:val="24"/>
        </w:rPr>
        <w:t>.</w:t>
      </w:r>
    </w:p>
    <w:p w:rsidR="00046BBC" w:rsidRDefault="00046BBC" w:rsidP="009C149F">
      <w:pPr>
        <w:pStyle w:val="ListParagraph"/>
        <w:rPr>
          <w:rFonts w:ascii="Times New Roman" w:hAnsi="Times New Roman"/>
          <w:sz w:val="24"/>
          <w:szCs w:val="24"/>
        </w:rPr>
      </w:pPr>
    </w:p>
    <w:p w:rsidR="00046BBC" w:rsidRPr="00E3620E" w:rsidRDefault="00DF1DF8"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sidRPr="00046BBC">
        <w:rPr>
          <w:rFonts w:ascii="Times New Roman" w:hAnsi="Times New Roman"/>
          <w:sz w:val="24"/>
          <w:szCs w:val="24"/>
        </w:rPr>
        <w:t>This would also help ensure that businesses competing within a sector are on the same footing</w:t>
      </w:r>
      <w:r w:rsidR="00046BBC">
        <w:rPr>
          <w:rFonts w:ascii="Times New Roman" w:hAnsi="Times New Roman"/>
          <w:sz w:val="24"/>
          <w:szCs w:val="24"/>
        </w:rPr>
        <w:t>, and the threshold does not create a benefit of larger size through reduced compliance costs</w:t>
      </w:r>
      <w:r w:rsidRPr="00046BBC">
        <w:rPr>
          <w:rFonts w:ascii="Times New Roman" w:hAnsi="Times New Roman"/>
          <w:sz w:val="24"/>
          <w:szCs w:val="24"/>
        </w:rPr>
        <w:t xml:space="preserve"> – </w:t>
      </w:r>
      <w:r w:rsidR="00046BBC">
        <w:rPr>
          <w:rFonts w:ascii="Times New Roman" w:hAnsi="Times New Roman"/>
          <w:sz w:val="24"/>
          <w:szCs w:val="24"/>
        </w:rPr>
        <w:t xml:space="preserve">as </w:t>
      </w:r>
      <w:r w:rsidRPr="00046BBC">
        <w:rPr>
          <w:rFonts w:ascii="Times New Roman" w:hAnsi="Times New Roman"/>
          <w:sz w:val="24"/>
          <w:szCs w:val="24"/>
        </w:rPr>
        <w:t xml:space="preserve">all </w:t>
      </w:r>
      <w:r w:rsidR="00046BBC">
        <w:rPr>
          <w:rFonts w:ascii="Times New Roman" w:hAnsi="Times New Roman"/>
          <w:sz w:val="24"/>
          <w:szCs w:val="24"/>
        </w:rPr>
        <w:t xml:space="preserve">could </w:t>
      </w:r>
      <w:r w:rsidRPr="00046BBC">
        <w:rPr>
          <w:rFonts w:ascii="Times New Roman" w:hAnsi="Times New Roman"/>
          <w:sz w:val="24"/>
          <w:szCs w:val="24"/>
        </w:rPr>
        <w:t xml:space="preserve">potentially </w:t>
      </w:r>
      <w:r w:rsidR="00046BBC">
        <w:rPr>
          <w:rFonts w:ascii="Times New Roman" w:hAnsi="Times New Roman"/>
          <w:sz w:val="24"/>
          <w:szCs w:val="24"/>
        </w:rPr>
        <w:t>apply the method</w:t>
      </w:r>
      <w:r w:rsidRPr="00046BBC">
        <w:rPr>
          <w:rFonts w:ascii="Times New Roman" w:hAnsi="Times New Roman"/>
          <w:sz w:val="24"/>
          <w:szCs w:val="24"/>
        </w:rPr>
        <w:t>.</w:t>
      </w:r>
    </w:p>
    <w:p w:rsidR="00FD4053" w:rsidRPr="006B2540" w:rsidRDefault="00FD4053" w:rsidP="00B91E3E">
      <w:pPr>
        <w:pStyle w:val="Bullet-list"/>
        <w:tabs>
          <w:tab w:val="num" w:pos="644"/>
        </w:tabs>
        <w:spacing w:after="0" w:line="240" w:lineRule="auto"/>
        <w:ind w:left="0" w:firstLine="0"/>
        <w:jc w:val="both"/>
        <w:rPr>
          <w:rFonts w:ascii="Times New Roman" w:hAnsi="Times New Roman"/>
          <w:sz w:val="24"/>
          <w:szCs w:val="24"/>
        </w:rPr>
      </w:pPr>
    </w:p>
    <w:p w:rsidR="00E3620E" w:rsidRPr="006B2540" w:rsidRDefault="00E3620E" w:rsidP="00B91E3E">
      <w:pPr>
        <w:pStyle w:val="Bullet-list"/>
        <w:tabs>
          <w:tab w:val="num" w:pos="644"/>
        </w:tabs>
        <w:spacing w:after="0" w:line="240" w:lineRule="auto"/>
        <w:ind w:left="0" w:firstLine="0"/>
        <w:jc w:val="both"/>
        <w:rPr>
          <w:rFonts w:ascii="Times New Roman" w:hAnsi="Times New Roman"/>
          <w:i/>
          <w:sz w:val="24"/>
          <w:szCs w:val="24"/>
          <w:u w:val="single"/>
        </w:rPr>
      </w:pPr>
      <w:r w:rsidRPr="006B2540">
        <w:rPr>
          <w:rFonts w:ascii="Times New Roman" w:hAnsi="Times New Roman"/>
          <w:i/>
          <w:sz w:val="24"/>
          <w:szCs w:val="24"/>
          <w:u w:val="single"/>
        </w:rPr>
        <w:t xml:space="preserve">Option </w:t>
      </w:r>
      <w:r w:rsidR="005B1E55">
        <w:rPr>
          <w:rFonts w:ascii="Times New Roman" w:hAnsi="Times New Roman"/>
          <w:i/>
          <w:sz w:val="24"/>
          <w:szCs w:val="24"/>
          <w:u w:val="single"/>
        </w:rPr>
        <w:t>3</w:t>
      </w:r>
      <w:r w:rsidRPr="006B2540">
        <w:rPr>
          <w:rFonts w:ascii="Times New Roman" w:hAnsi="Times New Roman"/>
          <w:i/>
          <w:sz w:val="24"/>
          <w:szCs w:val="24"/>
          <w:u w:val="single"/>
        </w:rPr>
        <w:t>: Status quo</w:t>
      </w:r>
    </w:p>
    <w:p w:rsidR="00E3620E" w:rsidRDefault="00E3620E" w:rsidP="00B91E3E">
      <w:pPr>
        <w:pStyle w:val="Bullet-list"/>
        <w:tabs>
          <w:tab w:val="num" w:pos="644"/>
        </w:tabs>
        <w:spacing w:after="0" w:line="240" w:lineRule="auto"/>
        <w:ind w:left="0" w:firstLine="0"/>
        <w:jc w:val="both"/>
        <w:rPr>
          <w:rFonts w:ascii="Times New Roman" w:hAnsi="Times New Roman"/>
          <w:sz w:val="24"/>
          <w:szCs w:val="24"/>
          <w:highlight w:val="yellow"/>
        </w:rPr>
      </w:pPr>
    </w:p>
    <w:p w:rsidR="00E3620E" w:rsidRDefault="00E3620E"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It would also be poss</w:t>
      </w:r>
      <w:r w:rsidR="00046BBC">
        <w:rPr>
          <w:rFonts w:ascii="Times New Roman" w:hAnsi="Times New Roman"/>
          <w:sz w:val="24"/>
          <w:szCs w:val="24"/>
        </w:rPr>
        <w:t xml:space="preserve">ible to maintain the status quo, in which case the situation described in the problem definition would prevail. </w:t>
      </w:r>
    </w:p>
    <w:p w:rsidR="00E3620E" w:rsidRDefault="00E3620E" w:rsidP="00B91E3E">
      <w:pPr>
        <w:pStyle w:val="Bullet-list"/>
        <w:spacing w:after="0" w:line="240" w:lineRule="auto"/>
        <w:ind w:left="0" w:firstLine="0"/>
        <w:jc w:val="both"/>
        <w:rPr>
          <w:rFonts w:ascii="Times New Roman" w:hAnsi="Times New Roman"/>
          <w:sz w:val="24"/>
          <w:szCs w:val="24"/>
        </w:rPr>
      </w:pPr>
    </w:p>
    <w:p w:rsidR="000C43AB" w:rsidRPr="006A2DE9" w:rsidRDefault="000C43AB" w:rsidP="000C43AB">
      <w:pPr>
        <w:pStyle w:val="Bullet-list"/>
        <w:spacing w:after="0" w:line="240" w:lineRule="auto"/>
        <w:jc w:val="both"/>
        <w:rPr>
          <w:rFonts w:ascii="Times New Roman" w:hAnsi="Times New Roman"/>
          <w:b/>
          <w:i/>
          <w:sz w:val="24"/>
          <w:szCs w:val="24"/>
          <w:lang w:val="en-NZ"/>
        </w:rPr>
      </w:pPr>
      <w:r w:rsidRPr="006A2DE9">
        <w:rPr>
          <w:rFonts w:ascii="Times New Roman" w:hAnsi="Times New Roman"/>
          <w:b/>
          <w:i/>
          <w:sz w:val="24"/>
          <w:szCs w:val="24"/>
          <w:lang w:val="en-NZ"/>
        </w:rPr>
        <w:t>Summary of the analysis of the options</w:t>
      </w:r>
    </w:p>
    <w:p w:rsidR="000C43AB" w:rsidRDefault="000C43AB" w:rsidP="00B91E3E">
      <w:pPr>
        <w:pStyle w:val="Bullet-list"/>
        <w:spacing w:after="0" w:line="240" w:lineRule="auto"/>
        <w:ind w:left="0" w:firstLine="0"/>
        <w:jc w:val="both"/>
        <w:rPr>
          <w:rFonts w:ascii="Times New Roman" w:hAnsi="Times New Roman"/>
          <w:sz w:val="24"/>
          <w:szCs w:val="24"/>
        </w:rPr>
      </w:pPr>
    </w:p>
    <w:p w:rsidR="00571FDE" w:rsidRPr="00B91E3E" w:rsidRDefault="009C58B0" w:rsidP="00571FD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4228D7" w:rsidRPr="00B91E3E">
        <w:rPr>
          <w:rFonts w:ascii="Times New Roman" w:hAnsi="Times New Roman"/>
          <w:sz w:val="24"/>
          <w:szCs w:val="24"/>
        </w:rPr>
        <w:t xml:space="preserve"> may affect competition between the group of businesses that exceed the threshold and those that do not.  Those exceeding the threshold would have an advantage, at the margins, as they would be able to agree an alternative method to reduce the costs of complying with their tax obligations.</w:t>
      </w:r>
      <w:r w:rsidR="00571FDE" w:rsidRPr="00B91E3E">
        <w:rPr>
          <w:rFonts w:ascii="Times New Roman" w:hAnsi="Times New Roman"/>
          <w:sz w:val="24"/>
          <w:szCs w:val="24"/>
        </w:rPr>
        <w:t xml:space="preserve">  </w:t>
      </w:r>
      <w:r>
        <w:rPr>
          <w:rFonts w:ascii="Times New Roman" w:hAnsi="Times New Roman"/>
          <w:sz w:val="24"/>
          <w:szCs w:val="24"/>
        </w:rPr>
        <w:t>Option 2</w:t>
      </w:r>
      <w:r w:rsidR="004228D7" w:rsidRPr="00B91E3E">
        <w:rPr>
          <w:rFonts w:ascii="Times New Roman" w:hAnsi="Times New Roman"/>
          <w:sz w:val="24"/>
          <w:szCs w:val="24"/>
        </w:rPr>
        <w:t xml:space="preserve"> is not expected to produce this same distortion, as where difficulties are experienced by competitors within the same industry, this may be addressed by an industry agreement.  </w:t>
      </w:r>
      <w:r w:rsidR="00E34A97" w:rsidRPr="00B91E3E">
        <w:rPr>
          <w:rFonts w:ascii="Times New Roman" w:hAnsi="Times New Roman"/>
          <w:sz w:val="24"/>
          <w:szCs w:val="24"/>
        </w:rPr>
        <w:t>Neither</w:t>
      </w:r>
      <w:r w:rsidR="00571FDE" w:rsidRPr="00B91E3E">
        <w:rPr>
          <w:rFonts w:ascii="Times New Roman" w:hAnsi="Times New Roman"/>
          <w:sz w:val="24"/>
          <w:szCs w:val="24"/>
        </w:rPr>
        <w:t xml:space="preserve"> option </w:t>
      </w:r>
      <w:r w:rsidR="00E34A97" w:rsidRPr="00B91E3E">
        <w:rPr>
          <w:rFonts w:ascii="Times New Roman" w:hAnsi="Times New Roman"/>
          <w:sz w:val="24"/>
          <w:szCs w:val="24"/>
        </w:rPr>
        <w:t>is</w:t>
      </w:r>
      <w:r w:rsidR="004228D7" w:rsidRPr="00B91E3E">
        <w:rPr>
          <w:rFonts w:ascii="Times New Roman" w:hAnsi="Times New Roman"/>
          <w:sz w:val="24"/>
          <w:szCs w:val="24"/>
        </w:rPr>
        <w:t xml:space="preserve"> </w:t>
      </w:r>
      <w:r w:rsidR="00571FDE" w:rsidRPr="00B91E3E">
        <w:rPr>
          <w:rFonts w:ascii="Times New Roman" w:hAnsi="Times New Roman"/>
          <w:sz w:val="24"/>
          <w:szCs w:val="24"/>
        </w:rPr>
        <w:t xml:space="preserve">expected </w:t>
      </w:r>
      <w:r w:rsidR="004228D7" w:rsidRPr="00B91E3E">
        <w:rPr>
          <w:rFonts w:ascii="Times New Roman" w:hAnsi="Times New Roman"/>
          <w:sz w:val="24"/>
          <w:szCs w:val="24"/>
        </w:rPr>
        <w:t xml:space="preserve">to </w:t>
      </w:r>
      <w:r w:rsidR="00571FDE" w:rsidRPr="00B91E3E">
        <w:rPr>
          <w:rFonts w:ascii="Times New Roman" w:hAnsi="Times New Roman"/>
          <w:sz w:val="24"/>
          <w:szCs w:val="24"/>
        </w:rPr>
        <w:t>have an economic impact.</w:t>
      </w:r>
    </w:p>
    <w:p w:rsidR="00571FDE" w:rsidRPr="00B91E3E" w:rsidRDefault="00571FDE" w:rsidP="00B91E3E">
      <w:pPr>
        <w:pStyle w:val="Bullet-list"/>
        <w:spacing w:after="0" w:line="240" w:lineRule="auto"/>
        <w:ind w:left="0" w:firstLine="0"/>
        <w:jc w:val="both"/>
        <w:rPr>
          <w:rFonts w:ascii="Times New Roman" w:hAnsi="Times New Roman"/>
          <w:sz w:val="24"/>
          <w:szCs w:val="24"/>
        </w:rPr>
      </w:pPr>
    </w:p>
    <w:p w:rsidR="004228D7" w:rsidRPr="00B91E3E" w:rsidRDefault="009C58B0" w:rsidP="00571FD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571FDE" w:rsidRPr="00B91E3E">
        <w:rPr>
          <w:rFonts w:ascii="Times New Roman" w:hAnsi="Times New Roman"/>
          <w:sz w:val="24"/>
          <w:szCs w:val="24"/>
        </w:rPr>
        <w:t xml:space="preserve"> and </w:t>
      </w:r>
      <w:r>
        <w:rPr>
          <w:rFonts w:ascii="Times New Roman" w:hAnsi="Times New Roman"/>
          <w:sz w:val="24"/>
          <w:szCs w:val="24"/>
        </w:rPr>
        <w:t>Option 2</w:t>
      </w:r>
      <w:r w:rsidR="00571FDE" w:rsidRPr="00B91E3E">
        <w:rPr>
          <w:rFonts w:ascii="Times New Roman" w:hAnsi="Times New Roman"/>
          <w:sz w:val="24"/>
          <w:szCs w:val="24"/>
        </w:rPr>
        <w:t xml:space="preserve"> are expected to reduce compliance costs compared to the status quo.  </w:t>
      </w:r>
      <w:r w:rsidR="004228D7" w:rsidRPr="00B91E3E">
        <w:rPr>
          <w:rFonts w:ascii="Times New Roman" w:hAnsi="Times New Roman"/>
          <w:sz w:val="24"/>
          <w:szCs w:val="24"/>
        </w:rPr>
        <w:t>The exact savings are not known.</w:t>
      </w:r>
    </w:p>
    <w:p w:rsidR="004228D7" w:rsidRPr="00B91E3E" w:rsidRDefault="004228D7" w:rsidP="00B91E3E">
      <w:pPr>
        <w:pStyle w:val="ListParagraph"/>
        <w:rPr>
          <w:rFonts w:ascii="Times New Roman" w:hAnsi="Times New Roman"/>
          <w:sz w:val="24"/>
          <w:szCs w:val="24"/>
        </w:rPr>
      </w:pPr>
    </w:p>
    <w:p w:rsidR="00571FDE" w:rsidRPr="00B91E3E" w:rsidRDefault="004228D7" w:rsidP="00571FD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 xml:space="preserve">Administration costs under </w:t>
      </w:r>
      <w:r w:rsidR="009C58B0">
        <w:rPr>
          <w:rFonts w:ascii="Times New Roman" w:hAnsi="Times New Roman"/>
          <w:sz w:val="24"/>
          <w:szCs w:val="24"/>
        </w:rPr>
        <w:t>O</w:t>
      </w:r>
      <w:r w:rsidR="009C58B0" w:rsidRPr="009C58B0">
        <w:rPr>
          <w:rFonts w:ascii="Times New Roman" w:hAnsi="Times New Roman"/>
          <w:sz w:val="24"/>
          <w:szCs w:val="24"/>
        </w:rPr>
        <w:t>ption</w:t>
      </w:r>
      <w:r w:rsidRPr="00B91E3E">
        <w:rPr>
          <w:rFonts w:ascii="Times New Roman" w:hAnsi="Times New Roman"/>
          <w:sz w:val="24"/>
          <w:szCs w:val="24"/>
        </w:rPr>
        <w:t xml:space="preserve"> </w:t>
      </w:r>
      <w:r w:rsidR="009C58B0">
        <w:rPr>
          <w:rFonts w:ascii="Times New Roman" w:hAnsi="Times New Roman"/>
          <w:sz w:val="24"/>
          <w:szCs w:val="24"/>
        </w:rPr>
        <w:t>1</w:t>
      </w:r>
      <w:r w:rsidR="00ED0D31" w:rsidRPr="00B91E3E">
        <w:rPr>
          <w:rFonts w:ascii="Times New Roman" w:hAnsi="Times New Roman"/>
          <w:sz w:val="24"/>
          <w:szCs w:val="24"/>
        </w:rPr>
        <w:t xml:space="preserve"> a</w:t>
      </w:r>
      <w:r w:rsidR="00ED0D31">
        <w:rPr>
          <w:rFonts w:ascii="Times New Roman" w:hAnsi="Times New Roman"/>
          <w:sz w:val="24"/>
          <w:szCs w:val="24"/>
        </w:rPr>
        <w:t>nd</w:t>
      </w:r>
      <w:r w:rsidRPr="00B91E3E">
        <w:rPr>
          <w:rFonts w:ascii="Times New Roman" w:hAnsi="Times New Roman"/>
          <w:sz w:val="24"/>
          <w:szCs w:val="24"/>
        </w:rPr>
        <w:t xml:space="preserve"> </w:t>
      </w:r>
      <w:r w:rsidR="009C58B0">
        <w:rPr>
          <w:rFonts w:ascii="Times New Roman" w:hAnsi="Times New Roman"/>
          <w:sz w:val="24"/>
          <w:szCs w:val="24"/>
        </w:rPr>
        <w:t>Option 2</w:t>
      </w:r>
      <w:r w:rsidRPr="00B91E3E">
        <w:rPr>
          <w:rFonts w:ascii="Times New Roman" w:hAnsi="Times New Roman"/>
          <w:sz w:val="24"/>
          <w:szCs w:val="24"/>
        </w:rPr>
        <w:t xml:space="preserve"> are expected to be relatively constant.  Some administration costs will be incurred in agreeing a method.  The amount of this cost cannot be quantified, as it will depend on the specific circumstances raised, which a</w:t>
      </w:r>
      <w:r w:rsidR="00E34A97" w:rsidRPr="00B91E3E">
        <w:rPr>
          <w:rFonts w:ascii="Times New Roman" w:hAnsi="Times New Roman"/>
          <w:sz w:val="24"/>
          <w:szCs w:val="24"/>
        </w:rPr>
        <w:t>ny alternative</w:t>
      </w:r>
      <w:r w:rsidRPr="00B91E3E">
        <w:rPr>
          <w:rFonts w:ascii="Times New Roman" w:hAnsi="Times New Roman"/>
          <w:sz w:val="24"/>
          <w:szCs w:val="24"/>
        </w:rPr>
        <w:t xml:space="preserve"> method needs to address.  Minimal costs are expected to be incurred in m</w:t>
      </w:r>
      <w:r w:rsidR="00E34A97" w:rsidRPr="00B91E3E">
        <w:rPr>
          <w:rFonts w:ascii="Times New Roman" w:hAnsi="Times New Roman"/>
          <w:sz w:val="24"/>
          <w:szCs w:val="24"/>
        </w:rPr>
        <w:t xml:space="preserve">onitoring the suitability of </w:t>
      </w:r>
      <w:r w:rsidRPr="00B91E3E">
        <w:rPr>
          <w:rFonts w:ascii="Times New Roman" w:hAnsi="Times New Roman"/>
          <w:sz w:val="24"/>
          <w:szCs w:val="24"/>
        </w:rPr>
        <w:t>an existing method.</w:t>
      </w:r>
    </w:p>
    <w:p w:rsidR="004228D7" w:rsidRPr="00B91E3E" w:rsidRDefault="004228D7" w:rsidP="00B91E3E">
      <w:pPr>
        <w:pStyle w:val="ListParagraph"/>
        <w:rPr>
          <w:rFonts w:ascii="Times New Roman" w:hAnsi="Times New Roman"/>
          <w:sz w:val="24"/>
          <w:szCs w:val="24"/>
        </w:rPr>
      </w:pPr>
    </w:p>
    <w:p w:rsidR="004228D7" w:rsidRPr="00B91E3E" w:rsidRDefault="004228D7" w:rsidP="00571FD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As the correct treatment of deductions will be easier to determine under a method, it is expected that there will be some administration cost savings in ensuring the compliance of businesses subject to a method.  The exact savings cannot be quantified, as it would depend on the specific facts in each instance.</w:t>
      </w:r>
    </w:p>
    <w:p w:rsidR="00571FDE" w:rsidRPr="005B1E55" w:rsidRDefault="00571FDE" w:rsidP="00B91E3E">
      <w:pPr>
        <w:pStyle w:val="Bullet-list"/>
        <w:spacing w:after="0" w:line="240" w:lineRule="auto"/>
        <w:ind w:left="0" w:firstLine="0"/>
        <w:jc w:val="both"/>
        <w:rPr>
          <w:rFonts w:ascii="Times New Roman" w:hAnsi="Times New Roman"/>
          <w:sz w:val="24"/>
          <w:szCs w:val="24"/>
        </w:rPr>
      </w:pPr>
    </w:p>
    <w:p w:rsidR="00B763C8" w:rsidRPr="005B1E55" w:rsidRDefault="00B763C8"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5B1E55">
        <w:rPr>
          <w:rFonts w:ascii="Times New Roman" w:hAnsi="Times New Roman"/>
          <w:sz w:val="24"/>
          <w:szCs w:val="24"/>
        </w:rPr>
        <w:t>None of the options are expected to have social, cultural or environmental impacts.</w:t>
      </w:r>
    </w:p>
    <w:p w:rsidR="00571FDE" w:rsidRPr="006B2540" w:rsidRDefault="00571FDE" w:rsidP="00B91E3E">
      <w:pPr>
        <w:pStyle w:val="Bullet-list"/>
        <w:tabs>
          <w:tab w:val="num" w:pos="786"/>
        </w:tabs>
        <w:spacing w:after="0" w:line="240" w:lineRule="auto"/>
        <w:ind w:left="0" w:firstLine="0"/>
        <w:jc w:val="both"/>
        <w:rPr>
          <w:rFonts w:ascii="Times New Roman" w:hAnsi="Times New Roman"/>
          <w:sz w:val="24"/>
          <w:szCs w:val="24"/>
          <w:highlight w:val="yellow"/>
        </w:rPr>
      </w:pPr>
    </w:p>
    <w:p w:rsidR="00CA6A0D" w:rsidRDefault="000C43AB"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Table 2 summarises the analysis of the options against the stated objectives.</w:t>
      </w:r>
    </w:p>
    <w:p w:rsidR="000C43AB" w:rsidRDefault="000C43AB" w:rsidP="00B91E3E">
      <w:pPr>
        <w:pStyle w:val="ListParagraph"/>
        <w:rPr>
          <w:rFonts w:ascii="Times New Roman" w:hAnsi="Times New Roman"/>
          <w:sz w:val="24"/>
          <w:szCs w:val="24"/>
        </w:rPr>
      </w:pPr>
    </w:p>
    <w:p w:rsidR="00CA6A0D" w:rsidRPr="00E13C47" w:rsidRDefault="00CA6A0D" w:rsidP="00B91E3E">
      <w:pPr>
        <w:pStyle w:val="Bullet-list"/>
        <w:spacing w:after="0" w:line="240" w:lineRule="auto"/>
        <w:ind w:left="0" w:firstLine="0"/>
        <w:jc w:val="both"/>
        <w:rPr>
          <w:rFonts w:ascii="Times New Roman" w:hAnsi="Times New Roman"/>
          <w:sz w:val="24"/>
          <w:szCs w:val="24"/>
        </w:rPr>
        <w:sectPr w:rsidR="00CA6A0D" w:rsidRPr="00E13C47" w:rsidSect="004B238C">
          <w:pgSz w:w="11907" w:h="16840" w:code="9"/>
          <w:pgMar w:top="1134" w:right="1418" w:bottom="1134" w:left="1418" w:header="567" w:footer="567" w:gutter="0"/>
          <w:cols w:space="720"/>
          <w:docGrid w:linePitch="360"/>
        </w:sectPr>
      </w:pPr>
    </w:p>
    <w:tbl>
      <w:tblPr>
        <w:tblStyle w:val="TableGrid"/>
        <w:tblW w:w="0" w:type="auto"/>
        <w:tblInd w:w="284" w:type="dxa"/>
        <w:tblLook w:val="04A0" w:firstRow="1" w:lastRow="0" w:firstColumn="1" w:lastColumn="0" w:noHBand="0" w:noVBand="1"/>
      </w:tblPr>
      <w:tblGrid>
        <w:gridCol w:w="2106"/>
        <w:gridCol w:w="1971"/>
        <w:gridCol w:w="2410"/>
        <w:gridCol w:w="2268"/>
        <w:gridCol w:w="1984"/>
        <w:gridCol w:w="2126"/>
        <w:gridCol w:w="1639"/>
      </w:tblGrid>
      <w:tr w:rsidR="00AE2FB3" w:rsidTr="00AE2FB3">
        <w:tc>
          <w:tcPr>
            <w:tcW w:w="2106" w:type="dxa"/>
            <w:vMerge w:val="restart"/>
          </w:tcPr>
          <w:p w:rsidR="00CA6A0D" w:rsidRPr="002F302C" w:rsidRDefault="00CA6A0D" w:rsidP="00CA6A0D">
            <w:pPr>
              <w:pStyle w:val="Bullet-list"/>
              <w:spacing w:after="0" w:line="240" w:lineRule="auto"/>
              <w:ind w:left="0" w:firstLine="0"/>
              <w:rPr>
                <w:rFonts w:ascii="Times New Roman" w:hAnsi="Times New Roman"/>
                <w:b/>
                <w:sz w:val="24"/>
                <w:szCs w:val="24"/>
              </w:rPr>
            </w:pPr>
          </w:p>
        </w:tc>
        <w:tc>
          <w:tcPr>
            <w:tcW w:w="1971" w:type="dxa"/>
            <w:vMerge w:val="restart"/>
          </w:tcPr>
          <w:p w:rsidR="00CA6A0D" w:rsidRPr="002F302C" w:rsidRDefault="00625424" w:rsidP="00CA6A0D">
            <w:pPr>
              <w:pStyle w:val="Bullet-list"/>
              <w:spacing w:after="0" w:line="240" w:lineRule="auto"/>
              <w:ind w:left="0" w:firstLine="0"/>
              <w:jc w:val="center"/>
              <w:rPr>
                <w:rFonts w:ascii="Times New Roman" w:hAnsi="Times New Roman"/>
                <w:b/>
                <w:sz w:val="24"/>
                <w:szCs w:val="24"/>
              </w:rPr>
            </w:pPr>
            <w:r w:rsidRPr="00625424">
              <w:rPr>
                <w:rFonts w:ascii="Times New Roman" w:hAnsi="Times New Roman"/>
                <w:noProof/>
                <w:sz w:val="24"/>
                <w:szCs w:val="24"/>
                <w:lang w:val="en-NZ" w:eastAsia="en-NZ"/>
              </w:rPr>
              <mc:AlternateContent>
                <mc:Choice Requires="wps">
                  <w:drawing>
                    <wp:anchor distT="0" distB="0" distL="114300" distR="114300" simplePos="0" relativeHeight="251693056" behindDoc="0" locked="0" layoutInCell="1" allowOverlap="1" wp14:anchorId="7A830A46" wp14:editId="102E2A93">
                      <wp:simplePos x="0" y="0"/>
                      <wp:positionH relativeFrom="column">
                        <wp:posOffset>1033145</wp:posOffset>
                      </wp:positionH>
                      <wp:positionV relativeFrom="paragraph">
                        <wp:posOffset>-552450</wp:posOffset>
                      </wp:positionV>
                      <wp:extent cx="4906645" cy="391795"/>
                      <wp:effectExtent l="0" t="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391795"/>
                              </a:xfrm>
                              <a:prstGeom prst="rect">
                                <a:avLst/>
                              </a:prstGeom>
                              <a:solidFill>
                                <a:srgbClr val="FFFFFF"/>
                              </a:solidFill>
                              <a:ln w="9525">
                                <a:noFill/>
                                <a:miter lim="800000"/>
                                <a:headEnd/>
                                <a:tailEnd/>
                              </a:ln>
                            </wps:spPr>
                            <wps:txbx>
                              <w:txbxContent>
                                <w:p w:rsidR="00EC3764" w:rsidRPr="00D0687C" w:rsidRDefault="00EC3764" w:rsidP="00625424">
                                  <w:pPr>
                                    <w:pStyle w:val="Header"/>
                                    <w:jc w:val="center"/>
                                    <w:rPr>
                                      <w:rFonts w:ascii="Times New Roman" w:hAnsi="Times New Roman"/>
                                      <w:b/>
                                      <w:sz w:val="24"/>
                                      <w:szCs w:val="24"/>
                                    </w:rPr>
                                  </w:pPr>
                                  <w:r w:rsidRPr="00D0687C">
                                    <w:rPr>
                                      <w:rFonts w:ascii="Times New Roman" w:hAnsi="Times New Roman"/>
                                      <w:b/>
                                      <w:sz w:val="24"/>
                                      <w:szCs w:val="24"/>
                                    </w:rPr>
                                    <w:t xml:space="preserve">Table </w:t>
                                  </w:r>
                                  <w:r>
                                    <w:rPr>
                                      <w:rFonts w:ascii="Times New Roman" w:hAnsi="Times New Roman"/>
                                      <w:b/>
                                      <w:sz w:val="24"/>
                                      <w:szCs w:val="24"/>
                                    </w:rPr>
                                    <w:t>2:</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B (Apportionment rules)</w:t>
                                  </w:r>
                                </w:p>
                                <w:p w:rsidR="00EC3764" w:rsidRDefault="00EC3764" w:rsidP="00B91E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1.35pt;margin-top:-43.5pt;width:386.35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JHJAIAACM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" stroked="f">
                      <v:textbox>
                        <w:txbxContent>
                          <w:p w:rsidR="00EC3764" w:rsidRPr="00D0687C" w:rsidRDefault="00EC3764" w:rsidP="00625424">
                            <w:pPr>
                              <w:pStyle w:val="Header"/>
                              <w:jc w:val="center"/>
                              <w:rPr>
                                <w:rFonts w:ascii="Times New Roman" w:hAnsi="Times New Roman"/>
                                <w:b/>
                                <w:sz w:val="24"/>
                                <w:szCs w:val="24"/>
                              </w:rPr>
                            </w:pPr>
                            <w:r w:rsidRPr="00D0687C">
                              <w:rPr>
                                <w:rFonts w:ascii="Times New Roman" w:hAnsi="Times New Roman"/>
                                <w:b/>
                                <w:sz w:val="24"/>
                                <w:szCs w:val="24"/>
                              </w:rPr>
                              <w:t xml:space="preserve">Table </w:t>
                            </w:r>
                            <w:r>
                              <w:rPr>
                                <w:rFonts w:ascii="Times New Roman" w:hAnsi="Times New Roman"/>
                                <w:b/>
                                <w:sz w:val="24"/>
                                <w:szCs w:val="24"/>
                              </w:rPr>
                              <w:t>2:</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B (Apportionment rules)</w:t>
                            </w:r>
                          </w:p>
                          <w:p w:rsidR="00EC3764" w:rsidRDefault="00EC3764" w:rsidP="00B91E3E">
                            <w:pPr>
                              <w:jc w:val="center"/>
                            </w:pPr>
                          </w:p>
                        </w:txbxContent>
                      </v:textbox>
                    </v:shape>
                  </w:pict>
                </mc:Fallback>
              </mc:AlternateContent>
            </w:r>
            <w:r w:rsidR="00CA6A0D" w:rsidRPr="002F302C">
              <w:rPr>
                <w:rFonts w:ascii="Times New Roman" w:hAnsi="Times New Roman"/>
                <w:b/>
                <w:sz w:val="24"/>
                <w:szCs w:val="24"/>
              </w:rPr>
              <w:t>Neutrality</w:t>
            </w:r>
          </w:p>
        </w:tc>
        <w:tc>
          <w:tcPr>
            <w:tcW w:w="4678" w:type="dxa"/>
            <w:gridSpan w:val="2"/>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Efficiency</w:t>
            </w:r>
            <w:r>
              <w:rPr>
                <w:rFonts w:ascii="Times New Roman" w:hAnsi="Times New Roman"/>
                <w:b/>
                <w:sz w:val="24"/>
                <w:szCs w:val="24"/>
              </w:rPr>
              <w:t>*</w:t>
            </w:r>
          </w:p>
        </w:tc>
        <w:tc>
          <w:tcPr>
            <w:tcW w:w="1984" w:type="dxa"/>
            <w:vMerge w:val="restart"/>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Certainty and simplicity</w:t>
            </w:r>
          </w:p>
        </w:tc>
        <w:tc>
          <w:tcPr>
            <w:tcW w:w="2126" w:type="dxa"/>
            <w:vMerge w:val="restart"/>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Effectiveness and fairness</w:t>
            </w:r>
            <w:r>
              <w:rPr>
                <w:rFonts w:ascii="Times New Roman" w:hAnsi="Times New Roman"/>
                <w:b/>
                <w:sz w:val="24"/>
                <w:szCs w:val="24"/>
              </w:rPr>
              <w:t>*</w:t>
            </w:r>
          </w:p>
        </w:tc>
        <w:tc>
          <w:tcPr>
            <w:tcW w:w="1639" w:type="dxa"/>
            <w:vMerge w:val="restart"/>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Fiscal impact</w:t>
            </w:r>
          </w:p>
        </w:tc>
      </w:tr>
      <w:tr w:rsidR="00AE2FB3" w:rsidTr="00B91E3E">
        <w:tc>
          <w:tcPr>
            <w:tcW w:w="2106" w:type="dxa"/>
            <w:vMerge/>
          </w:tcPr>
          <w:p w:rsidR="00CA6A0D" w:rsidRPr="002F302C" w:rsidRDefault="00CA6A0D" w:rsidP="00CA6A0D">
            <w:pPr>
              <w:pStyle w:val="Bullet-list"/>
              <w:spacing w:after="0" w:line="240" w:lineRule="auto"/>
              <w:ind w:left="0" w:firstLine="0"/>
              <w:rPr>
                <w:rFonts w:ascii="Times New Roman" w:hAnsi="Times New Roman"/>
                <w:b/>
                <w:sz w:val="24"/>
                <w:szCs w:val="24"/>
              </w:rPr>
            </w:pPr>
          </w:p>
        </w:tc>
        <w:tc>
          <w:tcPr>
            <w:tcW w:w="1971" w:type="dxa"/>
            <w:vMerge/>
          </w:tcPr>
          <w:p w:rsidR="00CA6A0D" w:rsidRPr="002F302C" w:rsidRDefault="00CA6A0D" w:rsidP="00CA6A0D">
            <w:pPr>
              <w:pStyle w:val="Bullet-list"/>
              <w:spacing w:after="0" w:line="240" w:lineRule="auto"/>
              <w:ind w:left="0" w:firstLine="0"/>
              <w:rPr>
                <w:rFonts w:ascii="Times New Roman" w:hAnsi="Times New Roman"/>
                <w:b/>
                <w:sz w:val="24"/>
                <w:szCs w:val="24"/>
              </w:rPr>
            </w:pPr>
          </w:p>
        </w:tc>
        <w:tc>
          <w:tcPr>
            <w:tcW w:w="2410" w:type="dxa"/>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Compliance costs</w:t>
            </w:r>
            <w:r>
              <w:rPr>
                <w:rFonts w:ascii="Times New Roman" w:hAnsi="Times New Roman"/>
                <w:b/>
                <w:sz w:val="24"/>
                <w:szCs w:val="24"/>
              </w:rPr>
              <w:t>*</w:t>
            </w:r>
          </w:p>
        </w:tc>
        <w:tc>
          <w:tcPr>
            <w:tcW w:w="2268" w:type="dxa"/>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Administration costs</w:t>
            </w:r>
          </w:p>
        </w:tc>
        <w:tc>
          <w:tcPr>
            <w:tcW w:w="1984" w:type="dxa"/>
            <w:vMerge/>
          </w:tcPr>
          <w:p w:rsidR="00CA6A0D" w:rsidRPr="002F302C" w:rsidRDefault="00CA6A0D" w:rsidP="00CA6A0D">
            <w:pPr>
              <w:pStyle w:val="Bullet-list"/>
              <w:spacing w:after="0" w:line="240" w:lineRule="auto"/>
              <w:ind w:left="0" w:firstLine="0"/>
              <w:rPr>
                <w:rFonts w:ascii="Times New Roman" w:hAnsi="Times New Roman"/>
                <w:b/>
                <w:sz w:val="24"/>
                <w:szCs w:val="24"/>
              </w:rPr>
            </w:pPr>
          </w:p>
        </w:tc>
        <w:tc>
          <w:tcPr>
            <w:tcW w:w="2126" w:type="dxa"/>
            <w:vMerge/>
          </w:tcPr>
          <w:p w:rsidR="00CA6A0D" w:rsidRPr="002F302C" w:rsidRDefault="00CA6A0D" w:rsidP="00CA6A0D">
            <w:pPr>
              <w:pStyle w:val="Bullet-list"/>
              <w:spacing w:after="0" w:line="240" w:lineRule="auto"/>
              <w:ind w:left="0" w:firstLine="0"/>
              <w:rPr>
                <w:rFonts w:ascii="Times New Roman" w:hAnsi="Times New Roman"/>
                <w:b/>
                <w:sz w:val="24"/>
                <w:szCs w:val="24"/>
              </w:rPr>
            </w:pPr>
          </w:p>
        </w:tc>
        <w:tc>
          <w:tcPr>
            <w:tcW w:w="1639" w:type="dxa"/>
            <w:vMerge/>
          </w:tcPr>
          <w:p w:rsidR="00CA6A0D" w:rsidRPr="002F302C" w:rsidRDefault="00CA6A0D" w:rsidP="00CA6A0D">
            <w:pPr>
              <w:pStyle w:val="Bullet-list"/>
              <w:spacing w:after="0" w:line="240" w:lineRule="auto"/>
              <w:ind w:left="0" w:firstLine="0"/>
              <w:rPr>
                <w:rFonts w:ascii="Times New Roman" w:hAnsi="Times New Roman"/>
                <w:b/>
                <w:sz w:val="24"/>
                <w:szCs w:val="24"/>
              </w:rPr>
            </w:pPr>
          </w:p>
        </w:tc>
      </w:tr>
      <w:tr w:rsidR="00AE2FB3" w:rsidTr="00B91E3E">
        <w:tc>
          <w:tcPr>
            <w:tcW w:w="2106" w:type="dxa"/>
            <w:tcBorders>
              <w:bottom w:val="nil"/>
            </w:tcBorders>
          </w:tcPr>
          <w:p w:rsidR="00CA6A0D" w:rsidRPr="002F302C" w:rsidRDefault="00CA6A0D" w:rsidP="00CA6A0D">
            <w:pPr>
              <w:pStyle w:val="Bullet-list"/>
              <w:spacing w:after="0" w:line="240" w:lineRule="auto"/>
              <w:ind w:left="0" w:firstLine="0"/>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1</w:t>
            </w:r>
            <w:r w:rsidRPr="002F302C">
              <w:rPr>
                <w:rFonts w:ascii="Times New Roman" w:hAnsi="Times New Roman"/>
                <w:b/>
                <w:sz w:val="24"/>
                <w:szCs w:val="24"/>
              </w:rPr>
              <w:t xml:space="preserve">: agreed methods </w:t>
            </w:r>
          </w:p>
        </w:tc>
        <w:tc>
          <w:tcPr>
            <w:tcW w:w="1971"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a</w:t>
            </w:r>
            <w:r w:rsidRPr="00EC3737">
              <w:rPr>
                <w:rFonts w:ascii="Times New Roman" w:hAnsi="Times New Roman"/>
                <w:sz w:val="20"/>
              </w:rPr>
              <w:t xml:space="preserve">lternative </w:t>
            </w:r>
            <w:r w:rsidR="00CA6A0D" w:rsidRPr="00EC3737">
              <w:rPr>
                <w:rFonts w:ascii="Times New Roman" w:hAnsi="Times New Roman"/>
                <w:sz w:val="20"/>
              </w:rPr>
              <w:t xml:space="preserve">methods are not </w:t>
            </w:r>
            <w:r w:rsidR="009B26B8">
              <w:rPr>
                <w:rFonts w:ascii="Times New Roman" w:hAnsi="Times New Roman"/>
                <w:sz w:val="20"/>
              </w:rPr>
              <w:t>expected</w:t>
            </w:r>
            <w:r w:rsidR="009B26B8" w:rsidRPr="00EC3737">
              <w:rPr>
                <w:rFonts w:ascii="Times New Roman" w:hAnsi="Times New Roman"/>
                <w:sz w:val="20"/>
              </w:rPr>
              <w:t xml:space="preserve"> </w:t>
            </w:r>
            <w:r w:rsidR="00CA6A0D" w:rsidRPr="00EC3737">
              <w:rPr>
                <w:rFonts w:ascii="Times New Roman" w:hAnsi="Times New Roman"/>
                <w:sz w:val="20"/>
              </w:rPr>
              <w:t>to disturb the substantive amount of tax payable</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2410" w:type="dxa"/>
            <w:tcBorders>
              <w:bottom w:val="nil"/>
            </w:tcBorders>
          </w:tcPr>
          <w:p w:rsidR="00AE2FB3"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Decreased -</w:t>
            </w:r>
            <w:r>
              <w:rPr>
                <w:rFonts w:ascii="Times New Roman" w:hAnsi="Times New Roman"/>
                <w:sz w:val="20"/>
              </w:rPr>
              <w:t xml:space="preserve"> </w:t>
            </w:r>
            <w:r w:rsidRPr="00EC3737">
              <w:rPr>
                <w:rFonts w:ascii="Times New Roman" w:hAnsi="Times New Roman"/>
                <w:sz w:val="20"/>
              </w:rPr>
              <w:t>costs in</w:t>
            </w:r>
            <w:r>
              <w:rPr>
                <w:rFonts w:ascii="Times New Roman" w:hAnsi="Times New Roman"/>
                <w:sz w:val="20"/>
              </w:rPr>
              <w:t>curred in</w:t>
            </w:r>
            <w:r w:rsidRPr="00EC3737">
              <w:rPr>
                <w:rFonts w:ascii="Times New Roman" w:hAnsi="Times New Roman"/>
                <w:sz w:val="20"/>
              </w:rPr>
              <w:t xml:space="preserve"> </w:t>
            </w:r>
            <w:r>
              <w:rPr>
                <w:rFonts w:ascii="Times New Roman" w:hAnsi="Times New Roman"/>
                <w:sz w:val="20"/>
              </w:rPr>
              <w:t>agreeing</w:t>
            </w:r>
            <w:r w:rsidRPr="00EC3737">
              <w:rPr>
                <w:rFonts w:ascii="Times New Roman" w:hAnsi="Times New Roman"/>
                <w:sz w:val="20"/>
              </w:rPr>
              <w:t xml:space="preserve"> methods</w:t>
            </w:r>
            <w:r>
              <w:rPr>
                <w:rFonts w:ascii="Times New Roman" w:hAnsi="Times New Roman"/>
                <w:sz w:val="20"/>
              </w:rPr>
              <w:t>.</w:t>
            </w:r>
          </w:p>
          <w:p w:rsidR="00AE2FB3"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Pr>
                <w:rFonts w:ascii="Times New Roman" w:hAnsi="Times New Roman"/>
                <w:sz w:val="20"/>
              </w:rPr>
              <w:t>Minimal cost of maintaining a method.</w:t>
            </w:r>
          </w:p>
          <w:p w:rsidR="00AE2FB3" w:rsidRPr="00EC3737"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Pr>
                <w:rFonts w:ascii="Times New Roman" w:hAnsi="Times New Roman"/>
                <w:sz w:val="20"/>
              </w:rPr>
              <w:t>L</w:t>
            </w:r>
            <w:r w:rsidRPr="00EC3737">
              <w:rPr>
                <w:rFonts w:ascii="Times New Roman" w:hAnsi="Times New Roman"/>
                <w:sz w:val="20"/>
              </w:rPr>
              <w:t xml:space="preserve">ower </w:t>
            </w:r>
            <w:r>
              <w:rPr>
                <w:rFonts w:ascii="Times New Roman" w:hAnsi="Times New Roman"/>
                <w:sz w:val="20"/>
              </w:rPr>
              <w:t>cost incurred in</w:t>
            </w:r>
            <w:r w:rsidRPr="00EC3737">
              <w:rPr>
                <w:rFonts w:ascii="Times New Roman" w:hAnsi="Times New Roman"/>
                <w:sz w:val="20"/>
              </w:rPr>
              <w:t xml:space="preserve"> </w:t>
            </w:r>
            <w:r>
              <w:rPr>
                <w:rFonts w:ascii="Times New Roman" w:hAnsi="Times New Roman"/>
                <w:sz w:val="20"/>
              </w:rPr>
              <w:t>applying a method to calculate deductions.</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2268" w:type="dxa"/>
            <w:tcBorders>
              <w:bottom w:val="nil"/>
            </w:tcBorders>
          </w:tcPr>
          <w:p w:rsidR="00CA6A0D"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 -</w:t>
            </w:r>
            <w:r>
              <w:rPr>
                <w:rFonts w:ascii="Times New Roman" w:hAnsi="Times New Roman"/>
                <w:sz w:val="20"/>
              </w:rPr>
              <w:t xml:space="preserve"> </w:t>
            </w:r>
            <w:r w:rsidR="00CA6A0D" w:rsidRPr="00EC3737">
              <w:rPr>
                <w:rFonts w:ascii="Times New Roman" w:hAnsi="Times New Roman"/>
                <w:sz w:val="20"/>
              </w:rPr>
              <w:t>costs in</w:t>
            </w:r>
            <w:r w:rsidR="00AE2FB3">
              <w:rPr>
                <w:rFonts w:ascii="Times New Roman" w:hAnsi="Times New Roman"/>
                <w:sz w:val="20"/>
              </w:rPr>
              <w:t>curred in</w:t>
            </w:r>
            <w:r w:rsidR="00CA6A0D" w:rsidRPr="00EC3737">
              <w:rPr>
                <w:rFonts w:ascii="Times New Roman" w:hAnsi="Times New Roman"/>
                <w:sz w:val="20"/>
              </w:rPr>
              <w:t xml:space="preserve"> </w:t>
            </w:r>
            <w:r w:rsidR="00AE2FB3">
              <w:rPr>
                <w:rFonts w:ascii="Times New Roman" w:hAnsi="Times New Roman"/>
                <w:sz w:val="20"/>
              </w:rPr>
              <w:t>agreeing</w:t>
            </w:r>
            <w:r w:rsidR="00CA6A0D" w:rsidRPr="00EC3737">
              <w:rPr>
                <w:rFonts w:ascii="Times New Roman" w:hAnsi="Times New Roman"/>
                <w:sz w:val="20"/>
              </w:rPr>
              <w:t xml:space="preserve"> methods</w:t>
            </w:r>
            <w:r>
              <w:rPr>
                <w:rFonts w:ascii="Times New Roman" w:hAnsi="Times New Roman"/>
                <w:sz w:val="20"/>
              </w:rPr>
              <w:t>.</w:t>
            </w:r>
          </w:p>
          <w:p w:rsidR="00AE2FB3"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Pr>
                <w:rFonts w:ascii="Times New Roman" w:hAnsi="Times New Roman"/>
                <w:sz w:val="20"/>
              </w:rPr>
              <w:t>Minimal cost of maintaining a method.</w:t>
            </w:r>
          </w:p>
          <w:p w:rsidR="00CA6A0D" w:rsidRPr="00EC3737" w:rsidRDefault="00CA6A0D">
            <w:pPr>
              <w:pStyle w:val="Bullet-list"/>
              <w:spacing w:after="0" w:line="240" w:lineRule="auto"/>
              <w:ind w:left="0" w:firstLine="0"/>
              <w:jc w:val="left"/>
              <w:rPr>
                <w:rFonts w:ascii="Times New Roman" w:hAnsi="Times New Roman"/>
                <w:sz w:val="20"/>
              </w:rPr>
            </w:pPr>
          </w:p>
          <w:p w:rsidR="00CA6A0D" w:rsidRPr="00EC3737" w:rsidRDefault="00CA6A0D">
            <w:pPr>
              <w:pStyle w:val="Bullet-list"/>
              <w:spacing w:after="0" w:line="240" w:lineRule="auto"/>
              <w:ind w:left="0" w:firstLine="0"/>
              <w:jc w:val="left"/>
              <w:rPr>
                <w:rFonts w:ascii="Times New Roman" w:hAnsi="Times New Roman"/>
                <w:sz w:val="20"/>
              </w:rPr>
            </w:pPr>
            <w:r w:rsidRPr="00EC3737">
              <w:rPr>
                <w:rFonts w:ascii="Times New Roman" w:hAnsi="Times New Roman"/>
                <w:sz w:val="20"/>
              </w:rPr>
              <w:t>Expected lower costs of ensuring compliance</w:t>
            </w:r>
            <w:r w:rsidR="00BC43A2">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1984"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Increased -</w:t>
            </w:r>
            <w:r>
              <w:rPr>
                <w:rFonts w:ascii="Times New Roman" w:hAnsi="Times New Roman"/>
                <w:sz w:val="20"/>
              </w:rPr>
              <w:t xml:space="preserve"> c</w:t>
            </w:r>
            <w:r w:rsidRPr="00EC3737">
              <w:rPr>
                <w:rFonts w:ascii="Times New Roman" w:hAnsi="Times New Roman"/>
                <w:sz w:val="20"/>
              </w:rPr>
              <w:t xml:space="preserve">alculation </w:t>
            </w:r>
            <w:r w:rsidR="00CA6A0D" w:rsidRPr="00EC3737">
              <w:rPr>
                <w:rFonts w:ascii="Times New Roman" w:hAnsi="Times New Roman"/>
                <w:sz w:val="20"/>
              </w:rPr>
              <w:t>of tax liability expected to be easier as the agreed method can be tailored to the specific difficulties</w:t>
            </w:r>
            <w:r>
              <w:rPr>
                <w:rFonts w:ascii="Times New Roman" w:hAnsi="Times New Roman"/>
                <w:sz w:val="20"/>
              </w:rPr>
              <w:t>.</w:t>
            </w:r>
          </w:p>
          <w:p w:rsidR="00CA6A0D" w:rsidRPr="00EC3737" w:rsidRDefault="00CA6A0D">
            <w:pPr>
              <w:pStyle w:val="Bullet-list"/>
              <w:spacing w:after="0" w:line="240" w:lineRule="auto"/>
              <w:ind w:left="0" w:firstLine="0"/>
              <w:jc w:val="left"/>
              <w:rPr>
                <w:rFonts w:ascii="Times New Roman" w:hAnsi="Times New Roman"/>
                <w:sz w:val="20"/>
              </w:rPr>
            </w:pP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2126"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b/>
                <w:sz w:val="20"/>
              </w:rPr>
              <w:t xml:space="preserve"> </w:t>
            </w:r>
            <w:r>
              <w:rPr>
                <w:rFonts w:ascii="Times New Roman" w:hAnsi="Times New Roman"/>
                <w:sz w:val="20"/>
              </w:rPr>
              <w:t>- m</w:t>
            </w:r>
            <w:r w:rsidRPr="00EC3737">
              <w:rPr>
                <w:rFonts w:ascii="Times New Roman" w:hAnsi="Times New Roman"/>
                <w:sz w:val="20"/>
              </w:rPr>
              <w:t xml:space="preserve">ethods </w:t>
            </w:r>
            <w:r w:rsidR="00CA6A0D" w:rsidRPr="00EC3737">
              <w:rPr>
                <w:rFonts w:ascii="Times New Roman" w:hAnsi="Times New Roman"/>
                <w:sz w:val="20"/>
              </w:rPr>
              <w:t>required to have regard to the outcomes under the apportionment and adjustment rules, to ensure quantity and timing of tax is fair and reasonable</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1639" w:type="dxa"/>
            <w:tcBorders>
              <w:bottom w:val="nil"/>
            </w:tcBorders>
          </w:tcPr>
          <w:p w:rsidR="00BC43A2" w:rsidRPr="00A0104F" w:rsidRDefault="00CA6A0D">
            <w:pPr>
              <w:pStyle w:val="Bullet-list"/>
              <w:spacing w:after="0" w:line="240" w:lineRule="auto"/>
              <w:ind w:left="0" w:firstLine="0"/>
              <w:jc w:val="left"/>
              <w:rPr>
                <w:rFonts w:ascii="Times New Roman" w:hAnsi="Times New Roman"/>
                <w:b/>
                <w:sz w:val="20"/>
              </w:rPr>
            </w:pPr>
            <w:r w:rsidRPr="00B91E3E">
              <w:rPr>
                <w:rFonts w:ascii="Times New Roman" w:hAnsi="Times New Roman"/>
                <w:b/>
                <w:sz w:val="20"/>
              </w:rPr>
              <w:t>No change</w:t>
            </w:r>
            <w:r w:rsidR="00BC43A2">
              <w:rPr>
                <w:rFonts w:ascii="Times New Roman" w:hAnsi="Times New Roman"/>
                <w:b/>
                <w:sz w:val="20"/>
              </w:rPr>
              <w:t xml:space="preserve"> </w:t>
            </w:r>
            <w:r w:rsidR="00BC43A2">
              <w:rPr>
                <w:rFonts w:ascii="Times New Roman" w:hAnsi="Times New Roman"/>
                <w:sz w:val="20"/>
              </w:rPr>
              <w:t xml:space="preserve">- agreed methods are not </w:t>
            </w:r>
            <w:r w:rsidR="009B26B8">
              <w:rPr>
                <w:rFonts w:ascii="Times New Roman" w:hAnsi="Times New Roman"/>
                <w:sz w:val="20"/>
              </w:rPr>
              <w:t>expected</w:t>
            </w:r>
            <w:r w:rsidR="00BC43A2">
              <w:rPr>
                <w:rFonts w:ascii="Times New Roman" w:hAnsi="Times New Roman"/>
                <w:sz w:val="20"/>
              </w:rPr>
              <w:t xml:space="preserve"> to alter the amount of deduction that can be claimed.</w:t>
            </w:r>
          </w:p>
          <w:p w:rsidR="00CA6A0D" w:rsidRPr="00EC3737" w:rsidRDefault="00CA6A0D">
            <w:pPr>
              <w:pStyle w:val="Bullet-list"/>
              <w:spacing w:after="0" w:line="240" w:lineRule="auto"/>
              <w:ind w:left="0" w:firstLine="0"/>
              <w:jc w:val="left"/>
              <w:rPr>
                <w:rFonts w:ascii="Times New Roman" w:hAnsi="Times New Roman"/>
                <w:sz w:val="20"/>
              </w:rPr>
            </w:pPr>
          </w:p>
        </w:tc>
      </w:tr>
      <w:tr w:rsidR="00AE2FB3" w:rsidTr="00B91E3E">
        <w:tc>
          <w:tcPr>
            <w:tcW w:w="2106" w:type="dxa"/>
            <w:tcBorders>
              <w:top w:val="nil"/>
            </w:tcBorders>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p>
        </w:tc>
        <w:tc>
          <w:tcPr>
            <w:tcW w:w="1971"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410"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268"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984"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126"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639" w:type="dxa"/>
            <w:tcBorders>
              <w:top w:val="nil"/>
            </w:tcBorders>
          </w:tcPr>
          <w:p w:rsidR="00CA6A0D" w:rsidRPr="00B91E3E" w:rsidRDefault="00CA6A0D" w:rsidP="00CA6A0D">
            <w:pPr>
              <w:pStyle w:val="Bullet-list"/>
              <w:spacing w:after="0" w:line="240" w:lineRule="auto"/>
              <w:ind w:left="0" w:firstLine="0"/>
              <w:jc w:val="center"/>
              <w:rPr>
                <w:rFonts w:ascii="Times New Roman" w:hAnsi="Times New Roman"/>
                <w:i/>
                <w:sz w:val="20"/>
              </w:rPr>
            </w:pPr>
          </w:p>
        </w:tc>
      </w:tr>
      <w:tr w:rsidR="00AE2FB3" w:rsidTr="00B91E3E">
        <w:tc>
          <w:tcPr>
            <w:tcW w:w="2106" w:type="dxa"/>
            <w:tcBorders>
              <w:bottom w:val="nil"/>
            </w:tcBorders>
          </w:tcPr>
          <w:p w:rsidR="00CA6A0D" w:rsidRPr="002F302C" w:rsidRDefault="00CA6A0D" w:rsidP="00CA6A0D">
            <w:pPr>
              <w:pStyle w:val="Bullet-list"/>
              <w:spacing w:after="0" w:line="240" w:lineRule="auto"/>
              <w:ind w:left="0" w:firstLine="0"/>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2</w:t>
            </w:r>
            <w:r w:rsidRPr="002F302C">
              <w:rPr>
                <w:rFonts w:ascii="Times New Roman" w:hAnsi="Times New Roman"/>
                <w:b/>
                <w:sz w:val="24"/>
                <w:szCs w:val="24"/>
              </w:rPr>
              <w:t>: agreed methods (inc</w:t>
            </w:r>
            <w:r w:rsidR="000C43AB">
              <w:rPr>
                <w:rFonts w:ascii="Times New Roman" w:hAnsi="Times New Roman"/>
                <w:b/>
                <w:sz w:val="24"/>
                <w:szCs w:val="24"/>
              </w:rPr>
              <w:t>luding</w:t>
            </w:r>
            <w:r w:rsidRPr="002F302C">
              <w:rPr>
                <w:rFonts w:ascii="Times New Roman" w:hAnsi="Times New Roman"/>
                <w:b/>
                <w:sz w:val="24"/>
                <w:szCs w:val="24"/>
              </w:rPr>
              <w:t xml:space="preserve"> industry methods)</w:t>
            </w:r>
          </w:p>
        </w:tc>
        <w:tc>
          <w:tcPr>
            <w:tcW w:w="1971"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a</w:t>
            </w:r>
            <w:r w:rsidRPr="00EC3737">
              <w:rPr>
                <w:rFonts w:ascii="Times New Roman" w:hAnsi="Times New Roman"/>
                <w:sz w:val="20"/>
              </w:rPr>
              <w:t xml:space="preserve">lternative </w:t>
            </w:r>
            <w:r w:rsidR="00CA6A0D" w:rsidRPr="00EC3737">
              <w:rPr>
                <w:rFonts w:ascii="Times New Roman" w:hAnsi="Times New Roman"/>
                <w:sz w:val="20"/>
              </w:rPr>
              <w:t xml:space="preserve">methods are not </w:t>
            </w:r>
            <w:r w:rsidR="009B26B8">
              <w:rPr>
                <w:rFonts w:ascii="Times New Roman" w:hAnsi="Times New Roman"/>
                <w:sz w:val="20"/>
              </w:rPr>
              <w:t>expected</w:t>
            </w:r>
            <w:r w:rsidR="009B26B8" w:rsidRPr="00EC3737">
              <w:rPr>
                <w:rFonts w:ascii="Times New Roman" w:hAnsi="Times New Roman"/>
                <w:sz w:val="20"/>
              </w:rPr>
              <w:t xml:space="preserve"> </w:t>
            </w:r>
            <w:r w:rsidR="00CA6A0D" w:rsidRPr="00EC3737">
              <w:rPr>
                <w:rFonts w:ascii="Times New Roman" w:hAnsi="Times New Roman"/>
                <w:sz w:val="20"/>
              </w:rPr>
              <w:t>to disturb the substantive amount of tax payable</w:t>
            </w:r>
            <w:r>
              <w:rPr>
                <w:rFonts w:ascii="Times New Roman" w:hAnsi="Times New Roman"/>
                <w:sz w:val="20"/>
              </w:rPr>
              <w:t>.</w:t>
            </w:r>
          </w:p>
          <w:p w:rsidR="00CA6A0D" w:rsidRPr="00EC3737" w:rsidRDefault="00CA6A0D" w:rsidP="00AE2FB3">
            <w:pPr>
              <w:pStyle w:val="Bullet-list"/>
              <w:spacing w:after="0" w:line="240" w:lineRule="auto"/>
              <w:ind w:left="0" w:firstLine="0"/>
              <w:jc w:val="left"/>
              <w:rPr>
                <w:rFonts w:ascii="Times New Roman" w:hAnsi="Times New Roman"/>
                <w:sz w:val="20"/>
              </w:rPr>
            </w:pPr>
          </w:p>
        </w:tc>
        <w:tc>
          <w:tcPr>
            <w:tcW w:w="2410" w:type="dxa"/>
            <w:tcBorders>
              <w:bottom w:val="nil"/>
            </w:tcBorders>
          </w:tcPr>
          <w:p w:rsidR="00AE2FB3"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Decreased -</w:t>
            </w:r>
            <w:r>
              <w:rPr>
                <w:rFonts w:ascii="Times New Roman" w:hAnsi="Times New Roman"/>
                <w:sz w:val="20"/>
              </w:rPr>
              <w:t xml:space="preserve"> </w:t>
            </w:r>
            <w:r w:rsidR="00AE2FB3" w:rsidRPr="00EC3737">
              <w:rPr>
                <w:rFonts w:ascii="Times New Roman" w:hAnsi="Times New Roman"/>
                <w:sz w:val="20"/>
              </w:rPr>
              <w:t>costs in</w:t>
            </w:r>
            <w:r w:rsidR="00AE2FB3">
              <w:rPr>
                <w:rFonts w:ascii="Times New Roman" w:hAnsi="Times New Roman"/>
                <w:sz w:val="20"/>
              </w:rPr>
              <w:t>curred in</w:t>
            </w:r>
            <w:r w:rsidR="00AE2FB3" w:rsidRPr="00EC3737">
              <w:rPr>
                <w:rFonts w:ascii="Times New Roman" w:hAnsi="Times New Roman"/>
                <w:sz w:val="20"/>
              </w:rPr>
              <w:t xml:space="preserve"> </w:t>
            </w:r>
            <w:r w:rsidR="00AE2FB3">
              <w:rPr>
                <w:rFonts w:ascii="Times New Roman" w:hAnsi="Times New Roman"/>
                <w:sz w:val="20"/>
              </w:rPr>
              <w:t>agreeing</w:t>
            </w:r>
            <w:r w:rsidR="00AE2FB3" w:rsidRPr="00EC3737">
              <w:rPr>
                <w:rFonts w:ascii="Times New Roman" w:hAnsi="Times New Roman"/>
                <w:sz w:val="20"/>
              </w:rPr>
              <w:t xml:space="preserve"> methods</w:t>
            </w:r>
            <w:r w:rsidR="00AE2FB3">
              <w:rPr>
                <w:rFonts w:ascii="Times New Roman" w:hAnsi="Times New Roman"/>
                <w:sz w:val="20"/>
              </w:rPr>
              <w:t>.</w:t>
            </w:r>
          </w:p>
          <w:p w:rsidR="00AE2FB3"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Pr>
                <w:rFonts w:ascii="Times New Roman" w:hAnsi="Times New Roman"/>
                <w:sz w:val="20"/>
              </w:rPr>
              <w:t>Minimal cost of maintaining a method.</w:t>
            </w:r>
          </w:p>
          <w:p w:rsidR="00AE2FB3" w:rsidRPr="00EC3737"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Pr>
                <w:rFonts w:ascii="Times New Roman" w:hAnsi="Times New Roman"/>
                <w:sz w:val="20"/>
              </w:rPr>
              <w:t>L</w:t>
            </w:r>
            <w:r w:rsidRPr="00EC3737">
              <w:rPr>
                <w:rFonts w:ascii="Times New Roman" w:hAnsi="Times New Roman"/>
                <w:sz w:val="20"/>
              </w:rPr>
              <w:t xml:space="preserve">ower </w:t>
            </w:r>
            <w:r>
              <w:rPr>
                <w:rFonts w:ascii="Times New Roman" w:hAnsi="Times New Roman"/>
                <w:sz w:val="20"/>
              </w:rPr>
              <w:t>cost incurred in</w:t>
            </w:r>
            <w:r w:rsidRPr="00EC3737">
              <w:rPr>
                <w:rFonts w:ascii="Times New Roman" w:hAnsi="Times New Roman"/>
                <w:sz w:val="20"/>
              </w:rPr>
              <w:t xml:space="preserve"> </w:t>
            </w:r>
            <w:r>
              <w:rPr>
                <w:rFonts w:ascii="Times New Roman" w:hAnsi="Times New Roman"/>
                <w:sz w:val="20"/>
              </w:rPr>
              <w:t>applying a method to calculate deductions.</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2268" w:type="dxa"/>
            <w:tcBorders>
              <w:bottom w:val="nil"/>
            </w:tcBorders>
          </w:tcPr>
          <w:p w:rsidR="00AE2FB3"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 -</w:t>
            </w:r>
            <w:r>
              <w:rPr>
                <w:rFonts w:ascii="Times New Roman" w:hAnsi="Times New Roman"/>
                <w:sz w:val="20"/>
              </w:rPr>
              <w:t xml:space="preserve"> </w:t>
            </w:r>
            <w:r w:rsidRPr="00EC3737">
              <w:rPr>
                <w:rFonts w:ascii="Times New Roman" w:hAnsi="Times New Roman"/>
                <w:sz w:val="20"/>
              </w:rPr>
              <w:t>costs in</w:t>
            </w:r>
            <w:r>
              <w:rPr>
                <w:rFonts w:ascii="Times New Roman" w:hAnsi="Times New Roman"/>
                <w:sz w:val="20"/>
              </w:rPr>
              <w:t>curred in</w:t>
            </w:r>
            <w:r w:rsidRPr="00EC3737">
              <w:rPr>
                <w:rFonts w:ascii="Times New Roman" w:hAnsi="Times New Roman"/>
                <w:sz w:val="20"/>
              </w:rPr>
              <w:t xml:space="preserve"> </w:t>
            </w:r>
            <w:r>
              <w:rPr>
                <w:rFonts w:ascii="Times New Roman" w:hAnsi="Times New Roman"/>
                <w:sz w:val="20"/>
              </w:rPr>
              <w:t>agreeing</w:t>
            </w:r>
            <w:r w:rsidRPr="00EC3737">
              <w:rPr>
                <w:rFonts w:ascii="Times New Roman" w:hAnsi="Times New Roman"/>
                <w:sz w:val="20"/>
              </w:rPr>
              <w:t xml:space="preserve"> methods</w:t>
            </w:r>
            <w:r>
              <w:rPr>
                <w:rFonts w:ascii="Times New Roman" w:hAnsi="Times New Roman"/>
                <w:sz w:val="20"/>
              </w:rPr>
              <w:t>.</w:t>
            </w:r>
          </w:p>
          <w:p w:rsidR="00AE2FB3"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Pr>
                <w:rFonts w:ascii="Times New Roman" w:hAnsi="Times New Roman"/>
                <w:sz w:val="20"/>
              </w:rPr>
              <w:t>Minimal cost of maintaining a method.</w:t>
            </w:r>
          </w:p>
          <w:p w:rsidR="00AE2FB3" w:rsidRPr="00EC3737" w:rsidRDefault="00AE2FB3">
            <w:pPr>
              <w:pStyle w:val="Bullet-list"/>
              <w:spacing w:after="0" w:line="240" w:lineRule="auto"/>
              <w:ind w:left="0" w:firstLine="0"/>
              <w:jc w:val="left"/>
              <w:rPr>
                <w:rFonts w:ascii="Times New Roman" w:hAnsi="Times New Roman"/>
                <w:sz w:val="20"/>
              </w:rPr>
            </w:pPr>
          </w:p>
          <w:p w:rsidR="00AE2FB3" w:rsidRPr="00EC3737" w:rsidRDefault="00AE2FB3">
            <w:pPr>
              <w:pStyle w:val="Bullet-list"/>
              <w:spacing w:after="0" w:line="240" w:lineRule="auto"/>
              <w:ind w:left="0" w:firstLine="0"/>
              <w:jc w:val="left"/>
              <w:rPr>
                <w:rFonts w:ascii="Times New Roman" w:hAnsi="Times New Roman"/>
                <w:sz w:val="20"/>
              </w:rPr>
            </w:pPr>
            <w:r w:rsidRPr="00EC3737">
              <w:rPr>
                <w:rFonts w:ascii="Times New Roman" w:hAnsi="Times New Roman"/>
                <w:sz w:val="20"/>
              </w:rPr>
              <w:t>Expected lower costs of ensuring compliance</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Wingdings" w:hAnsi="Wingdings"/>
                <w:sz w:val="20"/>
              </w:rPr>
            </w:pPr>
          </w:p>
        </w:tc>
        <w:tc>
          <w:tcPr>
            <w:tcW w:w="1984"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 -</w:t>
            </w:r>
            <w:r>
              <w:rPr>
                <w:rFonts w:ascii="Times New Roman" w:hAnsi="Times New Roman"/>
                <w:sz w:val="20"/>
              </w:rPr>
              <w:t xml:space="preserve"> c</w:t>
            </w:r>
            <w:r w:rsidR="00CA6A0D" w:rsidRPr="00EC3737">
              <w:rPr>
                <w:rFonts w:ascii="Times New Roman" w:hAnsi="Times New Roman"/>
                <w:sz w:val="20"/>
              </w:rPr>
              <w:t>alculation of tax liability expected to be easier as the agreed method can be tailored to the specific difficulties, across a broader group</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2126"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b/>
                <w:sz w:val="20"/>
              </w:rPr>
              <w:t xml:space="preserve"> </w:t>
            </w:r>
            <w:r>
              <w:rPr>
                <w:rFonts w:ascii="Times New Roman" w:hAnsi="Times New Roman"/>
                <w:sz w:val="20"/>
              </w:rPr>
              <w:t>- m</w:t>
            </w:r>
            <w:r w:rsidRPr="00EC3737">
              <w:rPr>
                <w:rFonts w:ascii="Times New Roman" w:hAnsi="Times New Roman"/>
                <w:sz w:val="20"/>
              </w:rPr>
              <w:t xml:space="preserve">ethods </w:t>
            </w:r>
            <w:r w:rsidR="00CA6A0D" w:rsidRPr="00EC3737">
              <w:rPr>
                <w:rFonts w:ascii="Times New Roman" w:hAnsi="Times New Roman"/>
                <w:sz w:val="20"/>
              </w:rPr>
              <w:t>required to have regard to the outcomes under the apportionment and adjustment rules, to ensure quantity and timing of tax is fair and reasonable</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1639" w:type="dxa"/>
            <w:tcBorders>
              <w:bottom w:val="nil"/>
            </w:tcBorders>
          </w:tcPr>
          <w:p w:rsidR="00CA6A0D" w:rsidRPr="00B91E3E" w:rsidRDefault="00CA6A0D">
            <w:pPr>
              <w:pStyle w:val="Bullet-list"/>
              <w:spacing w:after="0" w:line="240" w:lineRule="auto"/>
              <w:ind w:left="0" w:firstLine="0"/>
              <w:jc w:val="left"/>
              <w:rPr>
                <w:rFonts w:ascii="Times New Roman" w:hAnsi="Times New Roman"/>
                <w:b/>
                <w:sz w:val="20"/>
              </w:rPr>
            </w:pPr>
            <w:r w:rsidRPr="00B91E3E">
              <w:rPr>
                <w:rFonts w:ascii="Times New Roman" w:hAnsi="Times New Roman"/>
                <w:b/>
                <w:sz w:val="20"/>
              </w:rPr>
              <w:t>No change</w:t>
            </w:r>
            <w:r w:rsidR="00BC43A2">
              <w:rPr>
                <w:rFonts w:ascii="Times New Roman" w:hAnsi="Times New Roman"/>
                <w:sz w:val="20"/>
              </w:rPr>
              <w:t xml:space="preserve"> - agreed methods are not </w:t>
            </w:r>
            <w:r w:rsidR="009B26B8">
              <w:rPr>
                <w:rFonts w:ascii="Times New Roman" w:hAnsi="Times New Roman"/>
                <w:sz w:val="20"/>
              </w:rPr>
              <w:t>expected</w:t>
            </w:r>
            <w:r w:rsidR="00BC43A2">
              <w:rPr>
                <w:rFonts w:ascii="Times New Roman" w:hAnsi="Times New Roman"/>
                <w:sz w:val="20"/>
              </w:rPr>
              <w:t xml:space="preserve"> to alter the amount of deduction that can be claimed.</w:t>
            </w:r>
          </w:p>
          <w:p w:rsidR="00CA6A0D" w:rsidRPr="00EC3737" w:rsidRDefault="00CA6A0D">
            <w:pPr>
              <w:pStyle w:val="Bullet-list"/>
              <w:spacing w:after="0" w:line="240" w:lineRule="auto"/>
              <w:ind w:left="0" w:firstLine="0"/>
              <w:jc w:val="left"/>
              <w:rPr>
                <w:rFonts w:ascii="Times New Roman" w:hAnsi="Times New Roman"/>
                <w:sz w:val="20"/>
              </w:rPr>
            </w:pPr>
          </w:p>
          <w:p w:rsidR="00CA6A0D" w:rsidRPr="00EC3737" w:rsidRDefault="00CA6A0D" w:rsidP="00AE2FB3">
            <w:pPr>
              <w:pStyle w:val="Bullet-list"/>
              <w:spacing w:after="0" w:line="240" w:lineRule="auto"/>
              <w:ind w:left="0" w:firstLine="0"/>
              <w:jc w:val="left"/>
              <w:rPr>
                <w:rFonts w:ascii="Times New Roman" w:hAnsi="Times New Roman"/>
                <w:sz w:val="20"/>
              </w:rPr>
            </w:pPr>
          </w:p>
        </w:tc>
      </w:tr>
      <w:tr w:rsidR="00AE2FB3" w:rsidTr="00B91E3E">
        <w:tc>
          <w:tcPr>
            <w:tcW w:w="2106" w:type="dxa"/>
            <w:tcBorders>
              <w:top w:val="nil"/>
            </w:tcBorders>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p>
        </w:tc>
        <w:tc>
          <w:tcPr>
            <w:tcW w:w="1971"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410"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268"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984"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126" w:type="dxa"/>
            <w:tcBorders>
              <w:top w:val="nil"/>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639" w:type="dxa"/>
            <w:tcBorders>
              <w:top w:val="nil"/>
            </w:tcBorders>
          </w:tcPr>
          <w:p w:rsidR="00CA6A0D" w:rsidRPr="00B91E3E" w:rsidRDefault="00CA6A0D" w:rsidP="00CA6A0D">
            <w:pPr>
              <w:pStyle w:val="Bullet-list"/>
              <w:spacing w:after="0" w:line="240" w:lineRule="auto"/>
              <w:ind w:left="0" w:firstLine="0"/>
              <w:jc w:val="center"/>
              <w:rPr>
                <w:rFonts w:ascii="Times New Roman" w:hAnsi="Times New Roman"/>
                <w:i/>
                <w:sz w:val="20"/>
              </w:rPr>
            </w:pPr>
          </w:p>
        </w:tc>
      </w:tr>
      <w:tr w:rsidR="00AE2FB3" w:rsidTr="00B91E3E">
        <w:tc>
          <w:tcPr>
            <w:tcW w:w="2106" w:type="dxa"/>
            <w:tcBorders>
              <w:bottom w:val="nil"/>
            </w:tcBorders>
          </w:tcPr>
          <w:p w:rsidR="00CA6A0D" w:rsidRPr="002F302C" w:rsidRDefault="00CA6A0D" w:rsidP="00CA6A0D">
            <w:pPr>
              <w:pStyle w:val="Bullet-list"/>
              <w:spacing w:after="0" w:line="240" w:lineRule="auto"/>
              <w:ind w:left="0" w:firstLine="0"/>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3</w:t>
            </w:r>
            <w:r w:rsidRPr="002F302C">
              <w:rPr>
                <w:rFonts w:ascii="Times New Roman" w:hAnsi="Times New Roman"/>
                <w:b/>
                <w:sz w:val="24"/>
                <w:szCs w:val="24"/>
              </w:rPr>
              <w:t>: Status quo</w:t>
            </w:r>
          </w:p>
        </w:tc>
        <w:tc>
          <w:tcPr>
            <w:tcW w:w="1971" w:type="dxa"/>
            <w:tcBorders>
              <w:bottom w:val="nil"/>
            </w:tcBorders>
          </w:tcPr>
          <w:p w:rsidR="00CA6A0D" w:rsidRPr="00EC3737" w:rsidRDefault="00BC43A2" w:rsidP="00B91E3E">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e</w:t>
            </w:r>
            <w:r w:rsidRPr="00EC3737">
              <w:rPr>
                <w:rFonts w:ascii="Times New Roman" w:hAnsi="Times New Roman"/>
                <w:sz w:val="20"/>
              </w:rPr>
              <w:t xml:space="preserve">xisting </w:t>
            </w:r>
            <w:r>
              <w:rPr>
                <w:rFonts w:ascii="Times New Roman" w:hAnsi="Times New Roman"/>
                <w:sz w:val="20"/>
              </w:rPr>
              <w:t xml:space="preserve">apportionment </w:t>
            </w:r>
            <w:r w:rsidR="00CA6A0D" w:rsidRPr="00EC3737">
              <w:rPr>
                <w:rFonts w:ascii="Times New Roman" w:hAnsi="Times New Roman"/>
                <w:sz w:val="20"/>
              </w:rPr>
              <w:t xml:space="preserve">rules determine amount of </w:t>
            </w:r>
            <w:r>
              <w:rPr>
                <w:rFonts w:ascii="Times New Roman" w:hAnsi="Times New Roman"/>
                <w:sz w:val="20"/>
              </w:rPr>
              <w:t>deductions.</w:t>
            </w:r>
          </w:p>
        </w:tc>
        <w:tc>
          <w:tcPr>
            <w:tcW w:w="2410"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h</w:t>
            </w:r>
            <w:r w:rsidRPr="00EC3737">
              <w:rPr>
                <w:rFonts w:ascii="Times New Roman" w:hAnsi="Times New Roman"/>
                <w:sz w:val="20"/>
              </w:rPr>
              <w:t xml:space="preserve">igh </w:t>
            </w:r>
            <w:r w:rsidR="00CA6A0D" w:rsidRPr="00EC3737">
              <w:rPr>
                <w:rFonts w:ascii="Times New Roman" w:hAnsi="Times New Roman"/>
                <w:sz w:val="20"/>
              </w:rPr>
              <w:t>compliance costs experienced in applying rules</w:t>
            </w:r>
            <w:r>
              <w:rPr>
                <w:rFonts w:ascii="Times New Roman" w:hAnsi="Times New Roman"/>
                <w:sz w:val="20"/>
              </w:rPr>
              <w:t>.</w:t>
            </w:r>
          </w:p>
        </w:tc>
        <w:tc>
          <w:tcPr>
            <w:tcW w:w="2268" w:type="dxa"/>
            <w:tcBorders>
              <w:bottom w:val="nil"/>
            </w:tcBorders>
          </w:tcPr>
          <w:p w:rsidR="00CA6A0D" w:rsidRPr="00EC3737" w:rsidRDefault="00BC43A2" w:rsidP="00B91E3E">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b/>
                <w:sz w:val="20"/>
              </w:rPr>
              <w:t xml:space="preserve"> - </w:t>
            </w:r>
            <w:r w:rsidRPr="00B91E3E">
              <w:rPr>
                <w:rFonts w:ascii="Times New Roman" w:hAnsi="Times New Roman"/>
                <w:sz w:val="20"/>
              </w:rPr>
              <w:t>IRD will</w:t>
            </w:r>
            <w:r>
              <w:rPr>
                <w:rFonts w:ascii="Times New Roman" w:hAnsi="Times New Roman"/>
                <w:sz w:val="20"/>
              </w:rPr>
              <w:t xml:space="preserve"> continue to monitor </w:t>
            </w:r>
            <w:r w:rsidR="00FE2DF5">
              <w:rPr>
                <w:rFonts w:ascii="Times New Roman" w:hAnsi="Times New Roman"/>
                <w:sz w:val="20"/>
              </w:rPr>
              <w:t xml:space="preserve">taxpayers’ </w:t>
            </w:r>
            <w:r>
              <w:rPr>
                <w:rFonts w:ascii="Times New Roman" w:hAnsi="Times New Roman"/>
                <w:sz w:val="20"/>
              </w:rPr>
              <w:t>compliance</w:t>
            </w:r>
            <w:r w:rsidR="00FE2DF5">
              <w:rPr>
                <w:rFonts w:ascii="Times New Roman" w:hAnsi="Times New Roman"/>
                <w:sz w:val="20"/>
              </w:rPr>
              <w:t xml:space="preserve"> with the rules</w:t>
            </w:r>
            <w:r>
              <w:rPr>
                <w:rFonts w:ascii="Times New Roman" w:hAnsi="Times New Roman"/>
                <w:sz w:val="20"/>
              </w:rPr>
              <w:t>.</w:t>
            </w:r>
          </w:p>
        </w:tc>
        <w:tc>
          <w:tcPr>
            <w:tcW w:w="1984" w:type="dxa"/>
            <w:tcBorders>
              <w:bottom w:val="nil"/>
            </w:tcBorders>
          </w:tcPr>
          <w:p w:rsidR="00CA6A0D" w:rsidRPr="00EC3737" w:rsidRDefault="00BC43A2">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c</w:t>
            </w:r>
            <w:r w:rsidRPr="00EC3737">
              <w:rPr>
                <w:rFonts w:ascii="Times New Roman" w:hAnsi="Times New Roman"/>
                <w:sz w:val="20"/>
              </w:rPr>
              <w:t xml:space="preserve">alculation </w:t>
            </w:r>
            <w:r w:rsidR="00CA6A0D" w:rsidRPr="00EC3737">
              <w:rPr>
                <w:rFonts w:ascii="Times New Roman" w:hAnsi="Times New Roman"/>
                <w:sz w:val="20"/>
              </w:rPr>
              <w:t>of liability may be difficult and complex</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2126" w:type="dxa"/>
            <w:tcBorders>
              <w:bottom w:val="nil"/>
            </w:tcBorders>
          </w:tcPr>
          <w:p w:rsidR="00CA6A0D" w:rsidRPr="00EC3737" w:rsidRDefault="00BC43A2">
            <w:pPr>
              <w:pStyle w:val="Bullet-list"/>
              <w:spacing w:after="0" w:line="240" w:lineRule="auto"/>
              <w:ind w:left="0" w:firstLine="0"/>
              <w:jc w:val="left"/>
              <w:rPr>
                <w:rFonts w:ascii="Wingdings" w:hAnsi="Wingdings"/>
                <w:sz w:val="20"/>
              </w:rPr>
            </w:pPr>
            <w:r w:rsidRPr="00A0104F">
              <w:rPr>
                <w:rFonts w:ascii="Times New Roman" w:hAnsi="Times New Roman"/>
                <w:b/>
                <w:sz w:val="20"/>
              </w:rPr>
              <w:t>No change</w:t>
            </w:r>
            <w:r>
              <w:rPr>
                <w:rFonts w:ascii="Times New Roman" w:hAnsi="Times New Roman"/>
                <w:b/>
                <w:sz w:val="20"/>
              </w:rPr>
              <w:t xml:space="preserve"> </w:t>
            </w:r>
            <w:r>
              <w:rPr>
                <w:rFonts w:ascii="Times New Roman" w:hAnsi="Times New Roman"/>
                <w:sz w:val="20"/>
              </w:rPr>
              <w:t>- e</w:t>
            </w:r>
            <w:r w:rsidRPr="00EC3737">
              <w:rPr>
                <w:rFonts w:ascii="Times New Roman" w:hAnsi="Times New Roman"/>
                <w:sz w:val="20"/>
              </w:rPr>
              <w:t xml:space="preserve">xisting </w:t>
            </w:r>
            <w:r w:rsidR="00CA6A0D" w:rsidRPr="00EC3737">
              <w:rPr>
                <w:rFonts w:ascii="Times New Roman" w:hAnsi="Times New Roman"/>
                <w:sz w:val="20"/>
              </w:rPr>
              <w:t>apportionment and adjustment rules ensure correct tax paid at the correct time</w:t>
            </w:r>
            <w:r>
              <w:rPr>
                <w:rFonts w:ascii="Times New Roman" w:hAnsi="Times New Roman"/>
                <w:sz w:val="20"/>
              </w:rPr>
              <w:t>.</w:t>
            </w:r>
          </w:p>
          <w:p w:rsidR="00CA6A0D" w:rsidRPr="00EC3737" w:rsidRDefault="00CA6A0D" w:rsidP="00B91E3E">
            <w:pPr>
              <w:pStyle w:val="Bullet-list"/>
              <w:spacing w:after="0" w:line="240" w:lineRule="auto"/>
              <w:ind w:left="0" w:firstLine="0"/>
              <w:jc w:val="left"/>
              <w:rPr>
                <w:rFonts w:ascii="Times New Roman" w:hAnsi="Times New Roman"/>
                <w:sz w:val="20"/>
              </w:rPr>
            </w:pPr>
          </w:p>
        </w:tc>
        <w:tc>
          <w:tcPr>
            <w:tcW w:w="1639" w:type="dxa"/>
            <w:tcBorders>
              <w:bottom w:val="nil"/>
            </w:tcBorders>
          </w:tcPr>
          <w:p w:rsidR="00CA6A0D" w:rsidRPr="00B91E3E" w:rsidRDefault="00CA6A0D">
            <w:pPr>
              <w:pStyle w:val="Bullet-list"/>
              <w:spacing w:after="0" w:line="240" w:lineRule="auto"/>
              <w:ind w:left="0" w:firstLine="0"/>
              <w:jc w:val="left"/>
              <w:rPr>
                <w:rFonts w:ascii="Times New Roman" w:hAnsi="Times New Roman"/>
                <w:b/>
                <w:sz w:val="20"/>
              </w:rPr>
            </w:pPr>
            <w:r w:rsidRPr="00B91E3E">
              <w:rPr>
                <w:rFonts w:ascii="Times New Roman" w:hAnsi="Times New Roman"/>
                <w:b/>
                <w:sz w:val="20"/>
              </w:rPr>
              <w:t>No change</w:t>
            </w:r>
            <w:r w:rsidR="00BC43A2">
              <w:rPr>
                <w:rFonts w:ascii="Times New Roman" w:hAnsi="Times New Roman"/>
                <w:b/>
                <w:sz w:val="20"/>
              </w:rPr>
              <w:t xml:space="preserve"> -</w:t>
            </w:r>
            <w:r w:rsidR="00BC43A2" w:rsidRPr="00B91E3E">
              <w:rPr>
                <w:rFonts w:ascii="Times New Roman" w:hAnsi="Times New Roman"/>
                <w:sz w:val="20"/>
              </w:rPr>
              <w:t xml:space="preserve"> existing rules would continue to apply to determine</w:t>
            </w:r>
            <w:r w:rsidR="00EA3246">
              <w:rPr>
                <w:rFonts w:ascii="Times New Roman" w:hAnsi="Times New Roman"/>
                <w:sz w:val="20"/>
              </w:rPr>
              <w:t xml:space="preserve"> the deduction that can be claimed.</w:t>
            </w:r>
          </w:p>
          <w:p w:rsidR="00CA6A0D" w:rsidRPr="00EC3737" w:rsidRDefault="00CA6A0D" w:rsidP="00B91E3E">
            <w:pPr>
              <w:pStyle w:val="Bullet-list"/>
              <w:spacing w:after="0" w:line="240" w:lineRule="auto"/>
              <w:ind w:left="0" w:firstLine="0"/>
              <w:jc w:val="left"/>
              <w:rPr>
                <w:rFonts w:ascii="Times New Roman" w:hAnsi="Times New Roman"/>
                <w:sz w:val="20"/>
              </w:rPr>
            </w:pPr>
          </w:p>
        </w:tc>
      </w:tr>
      <w:tr w:rsidR="00AE2FB3" w:rsidTr="00B91E3E">
        <w:tc>
          <w:tcPr>
            <w:tcW w:w="2106" w:type="dxa"/>
            <w:tcBorders>
              <w:top w:val="nil"/>
              <w:bottom w:val="single" w:sz="4" w:space="0" w:color="auto"/>
            </w:tcBorders>
          </w:tcPr>
          <w:p w:rsidR="00CA6A0D" w:rsidRPr="002F302C" w:rsidRDefault="00CA6A0D" w:rsidP="00CA6A0D">
            <w:pPr>
              <w:pStyle w:val="Bullet-list"/>
              <w:spacing w:after="0" w:line="240" w:lineRule="auto"/>
              <w:ind w:left="0" w:firstLine="0"/>
              <w:jc w:val="center"/>
              <w:rPr>
                <w:rFonts w:ascii="Times New Roman" w:hAnsi="Times New Roman"/>
                <w:b/>
                <w:sz w:val="24"/>
                <w:szCs w:val="24"/>
              </w:rPr>
            </w:pPr>
          </w:p>
        </w:tc>
        <w:tc>
          <w:tcPr>
            <w:tcW w:w="1971" w:type="dxa"/>
            <w:tcBorders>
              <w:top w:val="nil"/>
              <w:bottom w:val="single" w:sz="4" w:space="0" w:color="auto"/>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410" w:type="dxa"/>
            <w:tcBorders>
              <w:top w:val="nil"/>
              <w:bottom w:val="single" w:sz="4" w:space="0" w:color="auto"/>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Does not meet objective</w:t>
            </w:r>
          </w:p>
        </w:tc>
        <w:tc>
          <w:tcPr>
            <w:tcW w:w="2268" w:type="dxa"/>
            <w:tcBorders>
              <w:top w:val="nil"/>
              <w:bottom w:val="single" w:sz="4" w:space="0" w:color="auto"/>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984" w:type="dxa"/>
            <w:tcBorders>
              <w:top w:val="nil"/>
              <w:bottom w:val="single" w:sz="4" w:space="0" w:color="auto"/>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Does not meet objective</w:t>
            </w:r>
          </w:p>
        </w:tc>
        <w:tc>
          <w:tcPr>
            <w:tcW w:w="2126" w:type="dxa"/>
            <w:tcBorders>
              <w:top w:val="nil"/>
              <w:bottom w:val="single" w:sz="4" w:space="0" w:color="auto"/>
            </w:tcBorders>
          </w:tcPr>
          <w:p w:rsidR="00CA6A0D" w:rsidRPr="00B91E3E" w:rsidRDefault="00FE2DF5" w:rsidP="00CA6A0D">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639" w:type="dxa"/>
            <w:tcBorders>
              <w:top w:val="nil"/>
              <w:bottom w:val="single" w:sz="4" w:space="0" w:color="auto"/>
            </w:tcBorders>
          </w:tcPr>
          <w:p w:rsidR="00CA6A0D" w:rsidRPr="00B91E3E" w:rsidRDefault="00CA6A0D" w:rsidP="00CA6A0D">
            <w:pPr>
              <w:pStyle w:val="Bullet-list"/>
              <w:spacing w:after="0" w:line="240" w:lineRule="auto"/>
              <w:ind w:left="0" w:firstLine="0"/>
              <w:jc w:val="center"/>
              <w:rPr>
                <w:rFonts w:ascii="Times New Roman" w:hAnsi="Times New Roman"/>
                <w:i/>
                <w:sz w:val="20"/>
              </w:rPr>
            </w:pPr>
          </w:p>
        </w:tc>
      </w:tr>
      <w:tr w:rsidR="009B26B8" w:rsidTr="009B26B8">
        <w:tc>
          <w:tcPr>
            <w:tcW w:w="14504" w:type="dxa"/>
            <w:gridSpan w:val="7"/>
            <w:tcBorders>
              <w:top w:val="single" w:sz="4" w:space="0" w:color="auto"/>
            </w:tcBorders>
          </w:tcPr>
          <w:p w:rsidR="009B26B8" w:rsidRPr="00B91E3E" w:rsidDel="00FE2DF5" w:rsidRDefault="009B26B8" w:rsidP="00B91E3E">
            <w:pPr>
              <w:pStyle w:val="Bullet-list"/>
              <w:spacing w:after="0" w:line="240" w:lineRule="auto"/>
              <w:ind w:left="0" w:firstLine="0"/>
              <w:jc w:val="center"/>
              <w:rPr>
                <w:rFonts w:ascii="Wingdings" w:hAnsi="Wingdings"/>
                <w:i/>
                <w:sz w:val="20"/>
              </w:rPr>
            </w:pPr>
            <w:r>
              <w:rPr>
                <w:rFonts w:ascii="Times New Roman" w:hAnsi="Times New Roman"/>
                <w:i/>
                <w:sz w:val="20"/>
              </w:rPr>
              <w:t>* = Key objective</w:t>
            </w:r>
          </w:p>
        </w:tc>
      </w:tr>
    </w:tbl>
    <w:p w:rsidR="00CA6A0D" w:rsidRDefault="00CA6A0D" w:rsidP="00CA6A0D">
      <w:pPr>
        <w:pStyle w:val="Bullet-list"/>
        <w:spacing w:after="0" w:line="240" w:lineRule="auto"/>
        <w:ind w:left="786" w:firstLine="0"/>
        <w:rPr>
          <w:rFonts w:ascii="Times New Roman" w:hAnsi="Times New Roman"/>
          <w:sz w:val="24"/>
          <w:szCs w:val="24"/>
        </w:rPr>
      </w:pPr>
    </w:p>
    <w:p w:rsidR="00CA6A0D" w:rsidRDefault="00CA6A0D" w:rsidP="00B91E3E">
      <w:pPr>
        <w:pStyle w:val="Bullet-list"/>
        <w:spacing w:after="0" w:line="240" w:lineRule="auto"/>
        <w:ind w:left="0" w:firstLine="0"/>
        <w:rPr>
          <w:rFonts w:ascii="Times New Roman" w:hAnsi="Times New Roman"/>
          <w:sz w:val="24"/>
          <w:szCs w:val="24"/>
        </w:rPr>
        <w:sectPr w:rsidR="00CA6A0D" w:rsidSect="00AF0D94">
          <w:pgSz w:w="16840" w:h="11907" w:orient="landscape" w:code="9"/>
          <w:pgMar w:top="1418" w:right="1134" w:bottom="1418" w:left="1134" w:header="567" w:footer="567" w:gutter="0"/>
          <w:cols w:space="720"/>
          <w:docGrid w:linePitch="360"/>
        </w:sectPr>
      </w:pPr>
    </w:p>
    <w:p w:rsidR="00F8133F" w:rsidRPr="00ED5E55" w:rsidRDefault="00F8133F" w:rsidP="00F8133F">
      <w:pPr>
        <w:pStyle w:val="Bullet-list"/>
        <w:spacing w:after="0" w:line="240" w:lineRule="auto"/>
        <w:jc w:val="both"/>
        <w:rPr>
          <w:rFonts w:ascii="Times New Roman" w:hAnsi="Times New Roman"/>
          <w:b/>
          <w:i/>
          <w:sz w:val="24"/>
          <w:szCs w:val="24"/>
        </w:rPr>
      </w:pPr>
      <w:r>
        <w:rPr>
          <w:rFonts w:ascii="Times New Roman" w:hAnsi="Times New Roman"/>
          <w:b/>
          <w:i/>
          <w:sz w:val="24"/>
          <w:szCs w:val="24"/>
        </w:rPr>
        <w:t>Consultation</w:t>
      </w:r>
    </w:p>
    <w:p w:rsidR="00F8133F" w:rsidRDefault="00F8133F" w:rsidP="00F8133F">
      <w:pPr>
        <w:pStyle w:val="Bullet-list"/>
        <w:spacing w:after="0" w:line="240" w:lineRule="auto"/>
        <w:jc w:val="both"/>
        <w:rPr>
          <w:rFonts w:ascii="Times New Roman" w:hAnsi="Times New Roman"/>
          <w:sz w:val="24"/>
          <w:szCs w:val="24"/>
        </w:rPr>
      </w:pPr>
    </w:p>
    <w:p w:rsidR="00F8133F" w:rsidRDefault="00F8133F" w:rsidP="00F8133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Seven </w:t>
      </w:r>
      <w:r w:rsidR="00FE2DF5">
        <w:rPr>
          <w:rFonts w:ascii="Times New Roman" w:hAnsi="Times New Roman"/>
          <w:sz w:val="24"/>
          <w:szCs w:val="24"/>
        </w:rPr>
        <w:t xml:space="preserve">submitters supported </w:t>
      </w:r>
      <w:r w:rsidR="009C58B0">
        <w:rPr>
          <w:rFonts w:ascii="Times New Roman" w:hAnsi="Times New Roman"/>
          <w:sz w:val="24"/>
          <w:szCs w:val="24"/>
        </w:rPr>
        <w:t>Option 1</w:t>
      </w:r>
      <w:r w:rsidR="00FE2DF5">
        <w:rPr>
          <w:rFonts w:ascii="Times New Roman" w:hAnsi="Times New Roman"/>
          <w:sz w:val="24"/>
          <w:szCs w:val="24"/>
        </w:rPr>
        <w:t xml:space="preserve">, although submissions raised concerns </w:t>
      </w:r>
      <w:r>
        <w:rPr>
          <w:rFonts w:ascii="Times New Roman" w:hAnsi="Times New Roman"/>
          <w:sz w:val="24"/>
          <w:szCs w:val="24"/>
        </w:rPr>
        <w:t xml:space="preserve">that the </w:t>
      </w:r>
      <w:r w:rsidR="004B238C">
        <w:rPr>
          <w:rFonts w:ascii="Times New Roman" w:hAnsi="Times New Roman"/>
          <w:sz w:val="24"/>
          <w:szCs w:val="24"/>
        </w:rPr>
        <w:t xml:space="preserve">suggested </w:t>
      </w:r>
      <w:r>
        <w:rPr>
          <w:rFonts w:ascii="Times New Roman" w:hAnsi="Times New Roman"/>
          <w:sz w:val="24"/>
          <w:szCs w:val="24"/>
        </w:rPr>
        <w:t>$24</w:t>
      </w:r>
      <w:r w:rsidR="000C43AB">
        <w:rPr>
          <w:rFonts w:ascii="Times New Roman" w:hAnsi="Times New Roman"/>
          <w:sz w:val="24"/>
          <w:szCs w:val="24"/>
        </w:rPr>
        <w:t xml:space="preserve"> </w:t>
      </w:r>
      <w:r>
        <w:rPr>
          <w:rFonts w:ascii="Times New Roman" w:hAnsi="Times New Roman"/>
          <w:sz w:val="24"/>
          <w:szCs w:val="24"/>
        </w:rPr>
        <w:t>m</w:t>
      </w:r>
      <w:r w:rsidR="000C43AB">
        <w:rPr>
          <w:rFonts w:ascii="Times New Roman" w:hAnsi="Times New Roman"/>
          <w:sz w:val="24"/>
          <w:szCs w:val="24"/>
        </w:rPr>
        <w:t>illion</w:t>
      </w:r>
      <w:r>
        <w:rPr>
          <w:rFonts w:ascii="Times New Roman" w:hAnsi="Times New Roman"/>
          <w:sz w:val="24"/>
          <w:szCs w:val="24"/>
        </w:rPr>
        <w:t xml:space="preserve"> turnover threshold was too high and that it would exclude a number of businesses who experienced high cost</w:t>
      </w:r>
      <w:r w:rsidR="004B238C">
        <w:rPr>
          <w:rFonts w:ascii="Times New Roman" w:hAnsi="Times New Roman"/>
          <w:sz w:val="24"/>
          <w:szCs w:val="24"/>
        </w:rPr>
        <w:t>s</w:t>
      </w:r>
      <w:r>
        <w:rPr>
          <w:rFonts w:ascii="Times New Roman" w:hAnsi="Times New Roman"/>
          <w:sz w:val="24"/>
          <w:szCs w:val="24"/>
        </w:rPr>
        <w:t xml:space="preserve"> in applying the apportionment rules.</w:t>
      </w:r>
      <w:r w:rsidR="006F6430">
        <w:rPr>
          <w:rFonts w:ascii="Times New Roman" w:hAnsi="Times New Roman"/>
          <w:sz w:val="24"/>
          <w:szCs w:val="24"/>
        </w:rPr>
        <w:t xml:space="preserve">  However, a more appropriate threshold, that would still manage the risk of incurring administration costs from a high volume of applications, was not suggested.</w:t>
      </w:r>
      <w:r>
        <w:rPr>
          <w:rFonts w:ascii="Times New Roman" w:hAnsi="Times New Roman"/>
          <w:sz w:val="24"/>
          <w:szCs w:val="24"/>
        </w:rPr>
        <w:t xml:space="preserve"> </w:t>
      </w:r>
    </w:p>
    <w:p w:rsidR="00F8133F" w:rsidRDefault="00F8133F" w:rsidP="00F8133F">
      <w:pPr>
        <w:pStyle w:val="Bullet-list"/>
        <w:spacing w:after="0" w:line="240" w:lineRule="auto"/>
        <w:jc w:val="both"/>
        <w:rPr>
          <w:rFonts w:ascii="Times New Roman" w:hAnsi="Times New Roman"/>
          <w:sz w:val="24"/>
          <w:szCs w:val="24"/>
        </w:rPr>
      </w:pPr>
    </w:p>
    <w:p w:rsidR="00F8133F" w:rsidRDefault="00FE2DF5" w:rsidP="00F8133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Submitters suggested e</w:t>
      </w:r>
      <w:r w:rsidR="00F8133F">
        <w:rPr>
          <w:rFonts w:ascii="Times New Roman" w:hAnsi="Times New Roman"/>
          <w:sz w:val="24"/>
          <w:szCs w:val="24"/>
        </w:rPr>
        <w:t>xtending the application of the rules to industry associations to extend the ability to agree a method to these groups too.</w:t>
      </w:r>
      <w:r>
        <w:rPr>
          <w:rFonts w:ascii="Times New Roman" w:hAnsi="Times New Roman"/>
          <w:sz w:val="24"/>
          <w:szCs w:val="24"/>
        </w:rPr>
        <w:t xml:space="preserve">  This suggestion is assessed as </w:t>
      </w:r>
      <w:r w:rsidR="009C58B0">
        <w:rPr>
          <w:rFonts w:ascii="Times New Roman" w:hAnsi="Times New Roman"/>
          <w:sz w:val="24"/>
          <w:szCs w:val="24"/>
        </w:rPr>
        <w:t>Option 2</w:t>
      </w:r>
      <w:r>
        <w:rPr>
          <w:rFonts w:ascii="Times New Roman" w:hAnsi="Times New Roman"/>
          <w:sz w:val="24"/>
          <w:szCs w:val="24"/>
        </w:rPr>
        <w:t xml:space="preserve"> in our analysis.</w:t>
      </w:r>
    </w:p>
    <w:p w:rsidR="00F8133F" w:rsidRDefault="00F8133F" w:rsidP="00F8133F">
      <w:pPr>
        <w:pStyle w:val="Bullet-list"/>
        <w:spacing w:after="0" w:line="240" w:lineRule="auto"/>
        <w:jc w:val="both"/>
        <w:rPr>
          <w:rFonts w:ascii="Times New Roman" w:hAnsi="Times New Roman"/>
          <w:sz w:val="24"/>
          <w:szCs w:val="24"/>
        </w:rPr>
      </w:pPr>
    </w:p>
    <w:p w:rsidR="00F8133F" w:rsidRDefault="00F8133F" w:rsidP="00F8133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FE2DF5">
        <w:rPr>
          <w:rFonts w:ascii="Times New Roman" w:hAnsi="Times New Roman"/>
          <w:sz w:val="24"/>
          <w:szCs w:val="24"/>
        </w:rPr>
        <w:t xml:space="preserve">Three submitters suggested that </w:t>
      </w:r>
      <w:r w:rsidR="00FE2DF5" w:rsidRPr="00FE2DF5">
        <w:rPr>
          <w:rFonts w:ascii="Times New Roman" w:hAnsi="Times New Roman"/>
          <w:sz w:val="24"/>
          <w:szCs w:val="24"/>
        </w:rPr>
        <w:t xml:space="preserve">apportionment </w:t>
      </w:r>
      <w:r w:rsidRPr="00FE2DF5">
        <w:rPr>
          <w:rFonts w:ascii="Times New Roman" w:hAnsi="Times New Roman"/>
          <w:sz w:val="24"/>
          <w:szCs w:val="24"/>
        </w:rPr>
        <w:t xml:space="preserve">methods </w:t>
      </w:r>
      <w:r w:rsidR="00FE2DF5" w:rsidRPr="00FE2DF5">
        <w:rPr>
          <w:rFonts w:ascii="Times New Roman" w:hAnsi="Times New Roman"/>
          <w:sz w:val="24"/>
          <w:szCs w:val="24"/>
        </w:rPr>
        <w:t>should</w:t>
      </w:r>
      <w:r w:rsidR="004B238C" w:rsidRPr="00FE2DF5">
        <w:rPr>
          <w:rFonts w:ascii="Times New Roman" w:hAnsi="Times New Roman"/>
          <w:sz w:val="24"/>
          <w:szCs w:val="24"/>
        </w:rPr>
        <w:t xml:space="preserve"> apply retrospectively to legitimise past approaches.  This was </w:t>
      </w:r>
      <w:r w:rsidR="00FE2DF5" w:rsidRPr="00FE2DF5">
        <w:rPr>
          <w:rFonts w:ascii="Times New Roman" w:hAnsi="Times New Roman"/>
          <w:sz w:val="24"/>
          <w:szCs w:val="24"/>
        </w:rPr>
        <w:t xml:space="preserve">considered </w:t>
      </w:r>
      <w:r w:rsidR="004B238C" w:rsidRPr="00FE2DF5">
        <w:rPr>
          <w:rFonts w:ascii="Times New Roman" w:hAnsi="Times New Roman"/>
          <w:sz w:val="24"/>
          <w:szCs w:val="24"/>
        </w:rPr>
        <w:t xml:space="preserve">to increase certainty and be more efficient – submitters were concerned that they may be required to </w:t>
      </w:r>
      <w:r w:rsidRPr="00FE2DF5">
        <w:rPr>
          <w:rFonts w:ascii="Times New Roman" w:hAnsi="Times New Roman"/>
          <w:sz w:val="24"/>
          <w:szCs w:val="24"/>
        </w:rPr>
        <w:t xml:space="preserve">discuss the same issues </w:t>
      </w:r>
      <w:r w:rsidR="004B238C" w:rsidRPr="00FE2DF5">
        <w:rPr>
          <w:rFonts w:ascii="Times New Roman" w:hAnsi="Times New Roman"/>
          <w:sz w:val="24"/>
          <w:szCs w:val="24"/>
        </w:rPr>
        <w:t xml:space="preserve">more than </w:t>
      </w:r>
      <w:r w:rsidRPr="00FE2DF5">
        <w:rPr>
          <w:rFonts w:ascii="Times New Roman" w:hAnsi="Times New Roman"/>
          <w:sz w:val="24"/>
          <w:szCs w:val="24"/>
        </w:rPr>
        <w:t>once</w:t>
      </w:r>
      <w:r w:rsidR="004B238C" w:rsidRPr="00FE2DF5">
        <w:rPr>
          <w:rFonts w:ascii="Times New Roman" w:hAnsi="Times New Roman"/>
          <w:sz w:val="24"/>
          <w:szCs w:val="24"/>
        </w:rPr>
        <w:t xml:space="preserve">, </w:t>
      </w:r>
      <w:r w:rsidR="00F80AD5" w:rsidRPr="00FE2DF5">
        <w:rPr>
          <w:rFonts w:ascii="Times New Roman" w:hAnsi="Times New Roman"/>
          <w:sz w:val="24"/>
          <w:szCs w:val="24"/>
        </w:rPr>
        <w:t>for example</w:t>
      </w:r>
      <w:r w:rsidR="004B238C" w:rsidRPr="00FE2DF5">
        <w:rPr>
          <w:rFonts w:ascii="Times New Roman" w:hAnsi="Times New Roman"/>
          <w:sz w:val="24"/>
          <w:szCs w:val="24"/>
        </w:rPr>
        <w:t xml:space="preserve"> as </w:t>
      </w:r>
      <w:r w:rsidRPr="00FE2DF5">
        <w:rPr>
          <w:rFonts w:ascii="Times New Roman" w:hAnsi="Times New Roman"/>
          <w:sz w:val="24"/>
          <w:szCs w:val="24"/>
        </w:rPr>
        <w:t>part of an audit and in agreeing a method.</w:t>
      </w:r>
      <w:r w:rsidR="00FE2DF5">
        <w:rPr>
          <w:rFonts w:ascii="Times New Roman" w:hAnsi="Times New Roman"/>
          <w:sz w:val="24"/>
          <w:szCs w:val="24"/>
        </w:rPr>
        <w:t xml:space="preserve">  </w:t>
      </w:r>
      <w:r>
        <w:rPr>
          <w:rFonts w:ascii="Times New Roman" w:hAnsi="Times New Roman"/>
          <w:sz w:val="24"/>
          <w:szCs w:val="24"/>
        </w:rPr>
        <w:t xml:space="preserve">We do not agree with this </w:t>
      </w:r>
      <w:r w:rsidR="00FE2DF5">
        <w:rPr>
          <w:rFonts w:ascii="Times New Roman" w:hAnsi="Times New Roman"/>
          <w:sz w:val="24"/>
          <w:szCs w:val="24"/>
        </w:rPr>
        <w:t>suggestion</w:t>
      </w:r>
      <w:r>
        <w:rPr>
          <w:rFonts w:ascii="Times New Roman" w:hAnsi="Times New Roman"/>
          <w:sz w:val="24"/>
          <w:szCs w:val="24"/>
        </w:rPr>
        <w:t>.  Allowing a method to be retrospective would increase uncertainty around a business’ obligations in the interim, as it</w:t>
      </w:r>
      <w:r w:rsidR="004B238C">
        <w:rPr>
          <w:rFonts w:ascii="Times New Roman" w:hAnsi="Times New Roman"/>
          <w:sz w:val="24"/>
          <w:szCs w:val="24"/>
        </w:rPr>
        <w:t xml:space="preserve"> would not be clear whether a business needed to comply with the </w:t>
      </w:r>
      <w:r w:rsidR="007C4A4C">
        <w:rPr>
          <w:rFonts w:ascii="Times New Roman" w:hAnsi="Times New Roman"/>
          <w:sz w:val="24"/>
          <w:szCs w:val="24"/>
        </w:rPr>
        <w:t>apportionment rules</w:t>
      </w:r>
      <w:r w:rsidR="004B238C">
        <w:rPr>
          <w:rFonts w:ascii="Times New Roman" w:hAnsi="Times New Roman"/>
          <w:sz w:val="24"/>
          <w:szCs w:val="24"/>
        </w:rPr>
        <w:t xml:space="preserve"> or </w:t>
      </w:r>
      <w:r w:rsidR="007C4A4C">
        <w:rPr>
          <w:rFonts w:ascii="Times New Roman" w:hAnsi="Times New Roman"/>
          <w:sz w:val="24"/>
          <w:szCs w:val="24"/>
        </w:rPr>
        <w:t xml:space="preserve">if it could </w:t>
      </w:r>
      <w:r w:rsidR="004B238C">
        <w:rPr>
          <w:rFonts w:ascii="Times New Roman" w:hAnsi="Times New Roman"/>
          <w:sz w:val="24"/>
          <w:szCs w:val="24"/>
        </w:rPr>
        <w:t>instead</w:t>
      </w:r>
      <w:r>
        <w:rPr>
          <w:rFonts w:ascii="Times New Roman" w:hAnsi="Times New Roman"/>
          <w:sz w:val="24"/>
          <w:szCs w:val="24"/>
        </w:rPr>
        <w:t xml:space="preserve"> </w:t>
      </w:r>
      <w:r w:rsidR="004B238C">
        <w:rPr>
          <w:rFonts w:ascii="Times New Roman" w:hAnsi="Times New Roman"/>
          <w:sz w:val="24"/>
          <w:szCs w:val="24"/>
        </w:rPr>
        <w:t xml:space="preserve">use a different method (which may be later approved by the Commissioner).  </w:t>
      </w:r>
      <w:r>
        <w:rPr>
          <w:rFonts w:ascii="Times New Roman" w:hAnsi="Times New Roman"/>
          <w:sz w:val="24"/>
          <w:szCs w:val="24"/>
        </w:rPr>
        <w:t xml:space="preserve">Inland Revenue’s internal processes should help </w:t>
      </w:r>
      <w:r w:rsidR="004B238C">
        <w:rPr>
          <w:rFonts w:ascii="Times New Roman" w:hAnsi="Times New Roman"/>
          <w:sz w:val="24"/>
          <w:szCs w:val="24"/>
        </w:rPr>
        <w:t>minimi</w:t>
      </w:r>
      <w:r w:rsidR="000C43AB">
        <w:rPr>
          <w:rFonts w:ascii="Times New Roman" w:hAnsi="Times New Roman"/>
          <w:sz w:val="24"/>
          <w:szCs w:val="24"/>
        </w:rPr>
        <w:t>s</w:t>
      </w:r>
      <w:r w:rsidR="004B238C">
        <w:rPr>
          <w:rFonts w:ascii="Times New Roman" w:hAnsi="Times New Roman"/>
          <w:sz w:val="24"/>
          <w:szCs w:val="24"/>
        </w:rPr>
        <w:t>e duplication of effort and avoid submitters</w:t>
      </w:r>
      <w:r w:rsidR="00FE2DF5">
        <w:rPr>
          <w:rFonts w:ascii="Times New Roman" w:hAnsi="Times New Roman"/>
          <w:sz w:val="24"/>
          <w:szCs w:val="24"/>
        </w:rPr>
        <w:t>’</w:t>
      </w:r>
      <w:r w:rsidR="004B238C">
        <w:rPr>
          <w:rFonts w:ascii="Times New Roman" w:hAnsi="Times New Roman"/>
          <w:sz w:val="24"/>
          <w:szCs w:val="24"/>
        </w:rPr>
        <w:t xml:space="preserve"> </w:t>
      </w:r>
      <w:r w:rsidR="00FE2DF5">
        <w:rPr>
          <w:rFonts w:ascii="Times New Roman" w:hAnsi="Times New Roman"/>
          <w:sz w:val="24"/>
          <w:szCs w:val="24"/>
        </w:rPr>
        <w:t xml:space="preserve">efficiency </w:t>
      </w:r>
      <w:r w:rsidR="004B238C">
        <w:rPr>
          <w:rFonts w:ascii="Times New Roman" w:hAnsi="Times New Roman"/>
          <w:sz w:val="24"/>
          <w:szCs w:val="24"/>
        </w:rPr>
        <w:t>concerns.</w:t>
      </w:r>
    </w:p>
    <w:p w:rsidR="004B238C" w:rsidRDefault="004B238C" w:rsidP="006B2540">
      <w:pPr>
        <w:pStyle w:val="ListParagraph"/>
        <w:rPr>
          <w:rFonts w:ascii="Times New Roman" w:hAnsi="Times New Roman"/>
          <w:sz w:val="24"/>
          <w:szCs w:val="24"/>
        </w:rPr>
      </w:pPr>
    </w:p>
    <w:p w:rsidR="00F8133F" w:rsidRPr="00B91E3E" w:rsidRDefault="00F8133F" w:rsidP="00F8133F">
      <w:pPr>
        <w:pStyle w:val="Bullet-list"/>
        <w:spacing w:after="0" w:line="240" w:lineRule="auto"/>
        <w:ind w:left="0" w:firstLine="0"/>
        <w:rPr>
          <w:rFonts w:ascii="Times New Roman" w:hAnsi="Times New Roman"/>
          <w:b/>
          <w:i/>
          <w:sz w:val="24"/>
          <w:szCs w:val="24"/>
        </w:rPr>
      </w:pPr>
      <w:r w:rsidRPr="00B91E3E">
        <w:rPr>
          <w:rFonts w:ascii="Times New Roman" w:hAnsi="Times New Roman"/>
          <w:b/>
          <w:i/>
          <w:sz w:val="24"/>
          <w:szCs w:val="24"/>
        </w:rPr>
        <w:t>Conclusion and recommendation</w:t>
      </w:r>
    </w:p>
    <w:p w:rsidR="00F8133F" w:rsidRDefault="00F8133F" w:rsidP="00B91E3E">
      <w:pPr>
        <w:pStyle w:val="Bullet-list"/>
        <w:spacing w:after="0" w:line="240" w:lineRule="auto"/>
        <w:ind w:left="0" w:firstLine="0"/>
        <w:jc w:val="both"/>
        <w:rPr>
          <w:rFonts w:ascii="Times New Roman" w:hAnsi="Times New Roman"/>
          <w:sz w:val="24"/>
          <w:szCs w:val="24"/>
        </w:rPr>
      </w:pPr>
    </w:p>
    <w:p w:rsidR="00F8133F" w:rsidRDefault="00F8133F"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Pr="00E13C47">
        <w:rPr>
          <w:rFonts w:ascii="Times New Roman" w:hAnsi="Times New Roman"/>
          <w:sz w:val="24"/>
          <w:szCs w:val="24"/>
        </w:rPr>
        <w:t xml:space="preserve">ll options </w:t>
      </w:r>
      <w:r>
        <w:rPr>
          <w:rFonts w:ascii="Times New Roman" w:hAnsi="Times New Roman"/>
          <w:sz w:val="24"/>
          <w:szCs w:val="24"/>
        </w:rPr>
        <w:t>me</w:t>
      </w:r>
      <w:r w:rsidR="00E34A97">
        <w:rPr>
          <w:rFonts w:ascii="Times New Roman" w:hAnsi="Times New Roman"/>
          <w:sz w:val="24"/>
          <w:szCs w:val="24"/>
        </w:rPr>
        <w:t>e</w:t>
      </w:r>
      <w:r>
        <w:rPr>
          <w:rFonts w:ascii="Times New Roman" w:hAnsi="Times New Roman"/>
          <w:sz w:val="24"/>
          <w:szCs w:val="24"/>
        </w:rPr>
        <w:t xml:space="preserve">t the objective of neutrality.  Agreements with the </w:t>
      </w:r>
      <w:r w:rsidR="00FE2DF5">
        <w:rPr>
          <w:rFonts w:ascii="Times New Roman" w:hAnsi="Times New Roman"/>
          <w:sz w:val="24"/>
          <w:szCs w:val="24"/>
        </w:rPr>
        <w:t>Commissioner</w:t>
      </w:r>
      <w:r>
        <w:rPr>
          <w:rFonts w:ascii="Times New Roman" w:hAnsi="Times New Roman"/>
          <w:sz w:val="24"/>
          <w:szCs w:val="24"/>
        </w:rPr>
        <w:t xml:space="preserve">, under </w:t>
      </w:r>
      <w:r w:rsidR="009C58B0">
        <w:rPr>
          <w:rFonts w:ascii="Times New Roman" w:hAnsi="Times New Roman"/>
          <w:sz w:val="24"/>
          <w:szCs w:val="24"/>
        </w:rPr>
        <w:t>Option 1</w:t>
      </w:r>
      <w:r>
        <w:rPr>
          <w:rFonts w:ascii="Times New Roman" w:hAnsi="Times New Roman"/>
          <w:sz w:val="24"/>
          <w:szCs w:val="24"/>
        </w:rPr>
        <w:t xml:space="preserve"> or </w:t>
      </w:r>
      <w:r w:rsidR="009C58B0">
        <w:rPr>
          <w:rFonts w:ascii="Times New Roman" w:hAnsi="Times New Roman"/>
          <w:sz w:val="24"/>
          <w:szCs w:val="24"/>
        </w:rPr>
        <w:t>Option 2</w:t>
      </w:r>
      <w:r>
        <w:rPr>
          <w:rFonts w:ascii="Times New Roman" w:hAnsi="Times New Roman"/>
          <w:sz w:val="24"/>
          <w:szCs w:val="24"/>
        </w:rPr>
        <w:t xml:space="preserve"> would not be expected to significantly alter the incidence of tax, </w:t>
      </w:r>
      <w:r w:rsidR="004B238C">
        <w:rPr>
          <w:rFonts w:ascii="Times New Roman" w:hAnsi="Times New Roman"/>
          <w:sz w:val="24"/>
          <w:szCs w:val="24"/>
        </w:rPr>
        <w:t xml:space="preserve">from the status quo, </w:t>
      </w:r>
      <w:r>
        <w:rPr>
          <w:rFonts w:ascii="Times New Roman" w:hAnsi="Times New Roman"/>
          <w:sz w:val="24"/>
          <w:szCs w:val="24"/>
        </w:rPr>
        <w:t>but rather be limited to an easier way of reaching a similar figure</w:t>
      </w:r>
      <w:r w:rsidR="004C3F61">
        <w:rPr>
          <w:rFonts w:ascii="Times New Roman" w:hAnsi="Times New Roman"/>
          <w:sz w:val="24"/>
          <w:szCs w:val="24"/>
        </w:rPr>
        <w:t>, so should not affect competition between businesses</w:t>
      </w:r>
      <w:r>
        <w:rPr>
          <w:rFonts w:ascii="Times New Roman" w:hAnsi="Times New Roman"/>
          <w:sz w:val="24"/>
          <w:szCs w:val="24"/>
        </w:rPr>
        <w:t>.</w:t>
      </w:r>
      <w:r w:rsidR="004C3F61">
        <w:rPr>
          <w:rFonts w:ascii="Times New Roman" w:hAnsi="Times New Roman"/>
          <w:sz w:val="24"/>
          <w:szCs w:val="24"/>
        </w:rPr>
        <w:t xml:space="preserve">  Consequently</w:t>
      </w:r>
      <w:r w:rsidR="004908E6">
        <w:rPr>
          <w:rFonts w:ascii="Times New Roman" w:hAnsi="Times New Roman"/>
          <w:sz w:val="24"/>
          <w:szCs w:val="24"/>
        </w:rPr>
        <w:t>, all options should also result in businesses paying the correct amount of tax at the right time (as agreed methods would be required to take into account the timing of deductions), and</w:t>
      </w:r>
      <w:r w:rsidR="004C3F61">
        <w:rPr>
          <w:rFonts w:ascii="Times New Roman" w:hAnsi="Times New Roman"/>
          <w:sz w:val="24"/>
          <w:szCs w:val="24"/>
        </w:rPr>
        <w:t xml:space="preserve"> there should also be no fiscal impact from any option.</w:t>
      </w:r>
    </w:p>
    <w:p w:rsidR="00F8133F" w:rsidRDefault="00F8133F" w:rsidP="00B91E3E">
      <w:pPr>
        <w:pStyle w:val="Bullet-list"/>
        <w:tabs>
          <w:tab w:val="num" w:pos="786"/>
        </w:tabs>
        <w:spacing w:after="0" w:line="240" w:lineRule="auto"/>
        <w:ind w:left="0" w:firstLine="0"/>
        <w:jc w:val="both"/>
        <w:rPr>
          <w:rFonts w:ascii="Times New Roman" w:hAnsi="Times New Roman"/>
          <w:sz w:val="24"/>
          <w:szCs w:val="24"/>
        </w:rPr>
      </w:pPr>
    </w:p>
    <w:p w:rsidR="00F8133F" w:rsidRPr="005577B8" w:rsidRDefault="009C58B0"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F8133F" w:rsidRPr="005577B8">
        <w:rPr>
          <w:rFonts w:ascii="Times New Roman" w:hAnsi="Times New Roman"/>
          <w:sz w:val="24"/>
          <w:szCs w:val="24"/>
        </w:rPr>
        <w:t xml:space="preserve"> and </w:t>
      </w:r>
      <w:r>
        <w:rPr>
          <w:rFonts w:ascii="Times New Roman" w:hAnsi="Times New Roman"/>
          <w:sz w:val="24"/>
          <w:szCs w:val="24"/>
        </w:rPr>
        <w:t>Option 2</w:t>
      </w:r>
      <w:r w:rsidR="00F8133F" w:rsidRPr="005577B8">
        <w:rPr>
          <w:rFonts w:ascii="Times New Roman" w:hAnsi="Times New Roman"/>
          <w:sz w:val="24"/>
          <w:szCs w:val="24"/>
        </w:rPr>
        <w:t xml:space="preserve"> </w:t>
      </w:r>
      <w:r w:rsidR="004B238C" w:rsidRPr="005577B8">
        <w:rPr>
          <w:rFonts w:ascii="Times New Roman" w:hAnsi="Times New Roman"/>
          <w:sz w:val="24"/>
          <w:szCs w:val="24"/>
        </w:rPr>
        <w:t xml:space="preserve">both satisfy the </w:t>
      </w:r>
      <w:r w:rsidR="004C3F61">
        <w:rPr>
          <w:rFonts w:ascii="Times New Roman" w:hAnsi="Times New Roman"/>
          <w:sz w:val="24"/>
          <w:szCs w:val="24"/>
        </w:rPr>
        <w:t xml:space="preserve">key </w:t>
      </w:r>
      <w:r w:rsidR="004B238C" w:rsidRPr="005577B8">
        <w:rPr>
          <w:rFonts w:ascii="Times New Roman" w:hAnsi="Times New Roman"/>
          <w:sz w:val="24"/>
          <w:szCs w:val="24"/>
        </w:rPr>
        <w:t>objective of efficiency, as the</w:t>
      </w:r>
      <w:r w:rsidR="004C3F61" w:rsidRPr="005577B8">
        <w:rPr>
          <w:rFonts w:ascii="Times New Roman" w:hAnsi="Times New Roman"/>
          <w:sz w:val="24"/>
          <w:szCs w:val="24"/>
        </w:rPr>
        <w:t xml:space="preserve"> methods agreed between the Commissioner and businesses</w:t>
      </w:r>
      <w:r w:rsidR="004B238C" w:rsidRPr="005577B8">
        <w:rPr>
          <w:rFonts w:ascii="Times New Roman" w:hAnsi="Times New Roman"/>
          <w:sz w:val="24"/>
          <w:szCs w:val="24"/>
        </w:rPr>
        <w:t xml:space="preserve"> would reduce compliance costs.  </w:t>
      </w:r>
      <w:r>
        <w:rPr>
          <w:rFonts w:ascii="Times New Roman" w:hAnsi="Times New Roman"/>
          <w:sz w:val="24"/>
          <w:szCs w:val="24"/>
        </w:rPr>
        <w:t>Option 2</w:t>
      </w:r>
      <w:r w:rsidR="004B238C" w:rsidRPr="005577B8">
        <w:rPr>
          <w:rFonts w:ascii="Times New Roman" w:hAnsi="Times New Roman"/>
          <w:sz w:val="24"/>
          <w:szCs w:val="24"/>
        </w:rPr>
        <w:t xml:space="preserve"> best satisfies </w:t>
      </w:r>
      <w:r w:rsidR="004C3F61" w:rsidRPr="005577B8">
        <w:rPr>
          <w:rFonts w:ascii="Times New Roman" w:hAnsi="Times New Roman"/>
          <w:sz w:val="24"/>
          <w:szCs w:val="24"/>
        </w:rPr>
        <w:t>this criterion</w:t>
      </w:r>
      <w:r w:rsidR="004B238C" w:rsidRPr="005577B8">
        <w:rPr>
          <w:rFonts w:ascii="Times New Roman" w:hAnsi="Times New Roman"/>
          <w:sz w:val="24"/>
          <w:szCs w:val="24"/>
        </w:rPr>
        <w:t>, as the benefit is</w:t>
      </w:r>
      <w:r w:rsidR="00F80AD5">
        <w:rPr>
          <w:rFonts w:ascii="Times New Roman" w:hAnsi="Times New Roman"/>
          <w:sz w:val="24"/>
          <w:szCs w:val="24"/>
        </w:rPr>
        <w:t xml:space="preserve"> extended to a wider group via industry methods</w:t>
      </w:r>
      <w:r w:rsidR="004B238C" w:rsidRPr="005577B8">
        <w:rPr>
          <w:rFonts w:ascii="Times New Roman" w:hAnsi="Times New Roman"/>
          <w:sz w:val="24"/>
          <w:szCs w:val="24"/>
        </w:rPr>
        <w:t>.</w:t>
      </w:r>
      <w:r w:rsidR="004C3F61" w:rsidRPr="005577B8">
        <w:rPr>
          <w:rFonts w:ascii="Times New Roman" w:hAnsi="Times New Roman"/>
          <w:sz w:val="24"/>
          <w:szCs w:val="24"/>
        </w:rPr>
        <w:t xml:space="preserve">  </w:t>
      </w:r>
      <w:r w:rsidR="00F8133F" w:rsidRPr="005577B8">
        <w:rPr>
          <w:rFonts w:ascii="Times New Roman" w:hAnsi="Times New Roman"/>
          <w:sz w:val="24"/>
          <w:szCs w:val="24"/>
        </w:rPr>
        <w:t xml:space="preserve">The status quo does not satisfy this objective, as high compliance costs will continue to be incurred </w:t>
      </w:r>
      <w:r w:rsidR="004C3F61" w:rsidRPr="005577B8">
        <w:rPr>
          <w:rFonts w:ascii="Times New Roman" w:hAnsi="Times New Roman"/>
          <w:sz w:val="24"/>
          <w:szCs w:val="24"/>
        </w:rPr>
        <w:t>in applying the existing rules.</w:t>
      </w:r>
      <w:r w:rsidR="004C3F61">
        <w:rPr>
          <w:rFonts w:ascii="Times New Roman" w:hAnsi="Times New Roman"/>
          <w:sz w:val="24"/>
          <w:szCs w:val="24"/>
        </w:rPr>
        <w:t xml:space="preserve">  </w:t>
      </w:r>
      <w:r w:rsidR="004C3F61" w:rsidRPr="005577B8">
        <w:rPr>
          <w:rFonts w:ascii="Times New Roman" w:hAnsi="Times New Roman"/>
          <w:sz w:val="24"/>
          <w:szCs w:val="24"/>
        </w:rPr>
        <w:t>All o</w:t>
      </w:r>
      <w:r w:rsidR="00F8133F" w:rsidRPr="005577B8">
        <w:rPr>
          <w:rFonts w:ascii="Times New Roman" w:hAnsi="Times New Roman"/>
          <w:sz w:val="24"/>
          <w:szCs w:val="24"/>
        </w:rPr>
        <w:t>ption</w:t>
      </w:r>
      <w:r w:rsidR="004C3F61" w:rsidRPr="005577B8">
        <w:rPr>
          <w:rFonts w:ascii="Times New Roman" w:hAnsi="Times New Roman"/>
          <w:sz w:val="24"/>
          <w:szCs w:val="24"/>
        </w:rPr>
        <w:t xml:space="preserve">s (including the status quo) are expected to meet this requirement in respect of </w:t>
      </w:r>
      <w:r w:rsidR="00F80AD5">
        <w:rPr>
          <w:rFonts w:ascii="Times New Roman" w:hAnsi="Times New Roman"/>
          <w:sz w:val="24"/>
          <w:szCs w:val="24"/>
        </w:rPr>
        <w:t>administration costs</w:t>
      </w:r>
      <w:r w:rsidR="004C3F61" w:rsidRPr="005577B8">
        <w:rPr>
          <w:rFonts w:ascii="Times New Roman" w:hAnsi="Times New Roman"/>
          <w:sz w:val="24"/>
          <w:szCs w:val="24"/>
        </w:rPr>
        <w:t xml:space="preserve">.  Although entering into an alternative agreement would involve some </w:t>
      </w:r>
      <w:r w:rsidR="00F80AD5">
        <w:rPr>
          <w:rFonts w:ascii="Times New Roman" w:hAnsi="Times New Roman"/>
          <w:sz w:val="24"/>
          <w:szCs w:val="24"/>
        </w:rPr>
        <w:t>minor ongoing administration</w:t>
      </w:r>
      <w:r w:rsidR="00F80AD5" w:rsidRPr="005577B8">
        <w:rPr>
          <w:rFonts w:ascii="Times New Roman" w:hAnsi="Times New Roman"/>
          <w:sz w:val="24"/>
          <w:szCs w:val="24"/>
        </w:rPr>
        <w:t xml:space="preserve"> </w:t>
      </w:r>
      <w:r w:rsidR="004C3F61" w:rsidRPr="005577B8">
        <w:rPr>
          <w:rFonts w:ascii="Times New Roman" w:hAnsi="Times New Roman"/>
          <w:sz w:val="24"/>
          <w:szCs w:val="24"/>
        </w:rPr>
        <w:t>costs, they would produce benefits from making compliance easier to monitor</w:t>
      </w:r>
      <w:r w:rsidR="00F8133F" w:rsidRPr="005577B8">
        <w:rPr>
          <w:rFonts w:ascii="Times New Roman" w:hAnsi="Times New Roman"/>
          <w:sz w:val="24"/>
          <w:szCs w:val="24"/>
        </w:rPr>
        <w:t xml:space="preserve">. </w:t>
      </w:r>
    </w:p>
    <w:p w:rsidR="004B238C" w:rsidRDefault="004B238C" w:rsidP="00B91E3E">
      <w:pPr>
        <w:pStyle w:val="Bullet-list"/>
        <w:tabs>
          <w:tab w:val="num" w:pos="786"/>
        </w:tabs>
        <w:spacing w:after="0" w:line="240" w:lineRule="auto"/>
        <w:ind w:left="0" w:firstLine="0"/>
        <w:jc w:val="both"/>
        <w:rPr>
          <w:rFonts w:ascii="Times New Roman" w:hAnsi="Times New Roman"/>
          <w:sz w:val="24"/>
          <w:szCs w:val="24"/>
        </w:rPr>
      </w:pPr>
    </w:p>
    <w:p w:rsidR="004C3F61" w:rsidRPr="005577B8" w:rsidRDefault="004C3F61"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Both </w:t>
      </w:r>
      <w:r w:rsidR="009C58B0">
        <w:rPr>
          <w:rFonts w:ascii="Times New Roman" w:hAnsi="Times New Roman"/>
          <w:sz w:val="24"/>
          <w:szCs w:val="24"/>
        </w:rPr>
        <w:t>Option 1</w:t>
      </w:r>
      <w:r>
        <w:rPr>
          <w:rFonts w:ascii="Times New Roman" w:hAnsi="Times New Roman"/>
          <w:sz w:val="24"/>
          <w:szCs w:val="24"/>
        </w:rPr>
        <w:t xml:space="preserve"> and </w:t>
      </w:r>
      <w:r w:rsidR="009C58B0">
        <w:rPr>
          <w:rFonts w:ascii="Times New Roman" w:hAnsi="Times New Roman"/>
          <w:sz w:val="24"/>
          <w:szCs w:val="24"/>
        </w:rPr>
        <w:t>Option 2</w:t>
      </w:r>
      <w:r>
        <w:rPr>
          <w:rFonts w:ascii="Times New Roman" w:hAnsi="Times New Roman"/>
          <w:sz w:val="24"/>
          <w:szCs w:val="24"/>
        </w:rPr>
        <w:t xml:space="preserve"> would increase certainty for businesses </w:t>
      </w:r>
      <w:r w:rsidR="007C4A4C">
        <w:rPr>
          <w:rFonts w:ascii="Times New Roman" w:hAnsi="Times New Roman"/>
          <w:sz w:val="24"/>
          <w:szCs w:val="24"/>
        </w:rPr>
        <w:t>that</w:t>
      </w:r>
      <w:r>
        <w:rPr>
          <w:rFonts w:ascii="Times New Roman" w:hAnsi="Times New Roman"/>
          <w:sz w:val="24"/>
          <w:szCs w:val="24"/>
        </w:rPr>
        <w:t xml:space="preserve"> enter into an agreed method, and the treatment of supplies under an agreed method is expected to be simpler to understand than under the status quo.  However, </w:t>
      </w:r>
      <w:r w:rsidR="009C58B0">
        <w:rPr>
          <w:rFonts w:ascii="Times New Roman" w:hAnsi="Times New Roman"/>
          <w:sz w:val="24"/>
          <w:szCs w:val="24"/>
        </w:rPr>
        <w:t>Option 2</w:t>
      </w:r>
      <w:r>
        <w:rPr>
          <w:rFonts w:ascii="Times New Roman" w:hAnsi="Times New Roman"/>
          <w:sz w:val="24"/>
          <w:szCs w:val="24"/>
        </w:rPr>
        <w:t xml:space="preserve"> applies this to a wider group so </w:t>
      </w:r>
      <w:r w:rsidR="007C4A4C">
        <w:rPr>
          <w:rFonts w:ascii="Times New Roman" w:hAnsi="Times New Roman"/>
          <w:sz w:val="24"/>
          <w:szCs w:val="24"/>
        </w:rPr>
        <w:t>therefore better meets this objective.</w:t>
      </w:r>
      <w:r>
        <w:rPr>
          <w:rFonts w:ascii="Times New Roman" w:hAnsi="Times New Roman"/>
          <w:sz w:val="24"/>
          <w:szCs w:val="24"/>
        </w:rPr>
        <w:t xml:space="preserve">  Businesses (in particular, retirement villages) consulted have indicated that they do not find the status quo simple or certain to apply.</w:t>
      </w:r>
    </w:p>
    <w:p w:rsidR="00F8133F" w:rsidRDefault="00F8133F" w:rsidP="00B91E3E">
      <w:pPr>
        <w:pStyle w:val="Bullet-list"/>
        <w:tabs>
          <w:tab w:val="num" w:pos="786"/>
        </w:tabs>
        <w:spacing w:after="0" w:line="240" w:lineRule="auto"/>
        <w:ind w:left="0" w:firstLine="0"/>
        <w:jc w:val="both"/>
        <w:rPr>
          <w:rFonts w:ascii="Times New Roman" w:hAnsi="Times New Roman"/>
          <w:sz w:val="24"/>
          <w:szCs w:val="24"/>
        </w:rPr>
      </w:pPr>
    </w:p>
    <w:p w:rsidR="00F8133F" w:rsidRPr="005577B8" w:rsidRDefault="00F8133F"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5577B8">
        <w:rPr>
          <w:rFonts w:ascii="Times New Roman" w:hAnsi="Times New Roman"/>
          <w:sz w:val="24"/>
          <w:szCs w:val="24"/>
        </w:rPr>
        <w:t xml:space="preserve">On balance, </w:t>
      </w:r>
      <w:r w:rsidR="009C58B0">
        <w:rPr>
          <w:rFonts w:ascii="Times New Roman" w:hAnsi="Times New Roman"/>
          <w:sz w:val="24"/>
          <w:szCs w:val="24"/>
        </w:rPr>
        <w:t>Option 2</w:t>
      </w:r>
      <w:r w:rsidRPr="005577B8">
        <w:rPr>
          <w:rFonts w:ascii="Times New Roman" w:hAnsi="Times New Roman"/>
          <w:sz w:val="24"/>
          <w:szCs w:val="24"/>
        </w:rPr>
        <w:t xml:space="preserve"> best meets the objectiv</w:t>
      </w:r>
      <w:r w:rsidR="004908E6" w:rsidRPr="005577B8">
        <w:rPr>
          <w:rFonts w:ascii="Times New Roman" w:hAnsi="Times New Roman"/>
          <w:sz w:val="24"/>
          <w:szCs w:val="24"/>
        </w:rPr>
        <w:t>es, including the key objective</w:t>
      </w:r>
      <w:r w:rsidRPr="005577B8">
        <w:rPr>
          <w:rFonts w:ascii="Times New Roman" w:hAnsi="Times New Roman"/>
          <w:sz w:val="24"/>
          <w:szCs w:val="24"/>
        </w:rPr>
        <w:t xml:space="preserve"> of efficiency.  </w:t>
      </w:r>
      <w:r w:rsidR="009C58B0">
        <w:rPr>
          <w:rFonts w:ascii="Times New Roman" w:hAnsi="Times New Roman"/>
          <w:sz w:val="24"/>
          <w:szCs w:val="24"/>
        </w:rPr>
        <w:t>Option 2</w:t>
      </w:r>
      <w:r w:rsidRPr="005577B8">
        <w:rPr>
          <w:rFonts w:ascii="Times New Roman" w:hAnsi="Times New Roman"/>
          <w:sz w:val="24"/>
          <w:szCs w:val="24"/>
        </w:rPr>
        <w:t xml:space="preserve"> is therefore officials preferred option.</w:t>
      </w:r>
    </w:p>
    <w:p w:rsidR="00093451" w:rsidRDefault="00093451" w:rsidP="00B91E3E">
      <w:pPr>
        <w:pStyle w:val="Bullet-list"/>
        <w:spacing w:after="0" w:line="240" w:lineRule="auto"/>
        <w:jc w:val="both"/>
        <w:rPr>
          <w:rFonts w:ascii="Times New Roman" w:hAnsi="Times New Roman"/>
          <w:sz w:val="24"/>
          <w:szCs w:val="24"/>
        </w:rPr>
      </w:pPr>
    </w:p>
    <w:p w:rsidR="00FD4053" w:rsidRPr="006B2540" w:rsidRDefault="00683B49" w:rsidP="00B91E3E">
      <w:pPr>
        <w:pStyle w:val="Bullet-list"/>
        <w:keepNext/>
        <w:spacing w:after="0" w:line="240" w:lineRule="auto"/>
        <w:rPr>
          <w:rFonts w:ascii="Times New Roman" w:hAnsi="Times New Roman"/>
          <w:b/>
          <w:sz w:val="24"/>
          <w:szCs w:val="24"/>
        </w:rPr>
      </w:pPr>
      <w:r>
        <w:rPr>
          <w:rFonts w:ascii="Times New Roman" w:hAnsi="Times New Roman"/>
          <w:b/>
          <w:sz w:val="24"/>
          <w:szCs w:val="24"/>
        </w:rPr>
        <w:t xml:space="preserve">Item </w:t>
      </w:r>
      <w:r w:rsidR="00B36649">
        <w:rPr>
          <w:rFonts w:ascii="Times New Roman" w:hAnsi="Times New Roman"/>
          <w:b/>
          <w:sz w:val="24"/>
          <w:szCs w:val="24"/>
        </w:rPr>
        <w:t>C</w:t>
      </w:r>
      <w:r w:rsidR="00EE5369">
        <w:rPr>
          <w:rFonts w:ascii="Times New Roman" w:hAnsi="Times New Roman"/>
          <w:b/>
          <w:sz w:val="24"/>
          <w:szCs w:val="24"/>
        </w:rPr>
        <w:t xml:space="preserve">: </w:t>
      </w:r>
      <w:r w:rsidR="00FD4053" w:rsidRPr="006B2540">
        <w:rPr>
          <w:rFonts w:ascii="Times New Roman" w:hAnsi="Times New Roman"/>
          <w:b/>
          <w:sz w:val="24"/>
          <w:szCs w:val="24"/>
        </w:rPr>
        <w:t>Secondhand goods and gold</w:t>
      </w:r>
    </w:p>
    <w:p w:rsidR="009B26B8" w:rsidRDefault="009B26B8" w:rsidP="009B26B8">
      <w:pPr>
        <w:keepNext/>
        <w:spacing w:after="0" w:line="240" w:lineRule="auto"/>
        <w:jc w:val="both"/>
        <w:rPr>
          <w:rFonts w:ascii="Times New Roman" w:hAnsi="Times New Roman"/>
          <w:b/>
          <w:i/>
          <w:sz w:val="24"/>
          <w:szCs w:val="24"/>
          <w:lang w:val="en-AU" w:eastAsia="en-AU"/>
        </w:rPr>
      </w:pPr>
    </w:p>
    <w:p w:rsidR="009B26B8" w:rsidRPr="00E012CE" w:rsidRDefault="009B26B8" w:rsidP="009B26B8">
      <w:pPr>
        <w:keepNext/>
        <w:spacing w:after="0" w:line="240" w:lineRule="auto"/>
        <w:jc w:val="both"/>
        <w:rPr>
          <w:rFonts w:ascii="Times New Roman" w:hAnsi="Times New Roman"/>
          <w:b/>
          <w:i/>
          <w:sz w:val="24"/>
          <w:szCs w:val="24"/>
          <w:lang w:val="en-AU" w:eastAsia="en-AU"/>
        </w:rPr>
      </w:pPr>
      <w:r>
        <w:rPr>
          <w:rFonts w:ascii="Times New Roman" w:hAnsi="Times New Roman"/>
          <w:b/>
          <w:i/>
          <w:sz w:val="24"/>
          <w:szCs w:val="24"/>
          <w:lang w:val="en-AU" w:eastAsia="en-AU"/>
        </w:rPr>
        <w:t>Status quo and problem definition</w:t>
      </w:r>
    </w:p>
    <w:p w:rsidR="00D06D45" w:rsidRDefault="00D06D45" w:rsidP="00B91E3E">
      <w:pPr>
        <w:pStyle w:val="Bullet-list"/>
        <w:keepNext/>
        <w:spacing w:after="0" w:line="240" w:lineRule="auto"/>
        <w:ind w:left="0" w:firstLine="0"/>
        <w:jc w:val="both"/>
        <w:rPr>
          <w:rFonts w:ascii="Times New Roman" w:hAnsi="Times New Roman"/>
          <w:sz w:val="24"/>
          <w:szCs w:val="24"/>
        </w:rPr>
      </w:pPr>
    </w:p>
    <w:p w:rsidR="004908E6" w:rsidRDefault="004908E6"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While input tax deductions </w:t>
      </w:r>
      <w:r w:rsidR="00FE2DF5">
        <w:rPr>
          <w:rFonts w:ascii="Times New Roman" w:hAnsi="Times New Roman"/>
          <w:sz w:val="24"/>
          <w:szCs w:val="24"/>
        </w:rPr>
        <w:t>ar</w:t>
      </w:r>
      <w:r>
        <w:rPr>
          <w:rFonts w:ascii="Times New Roman" w:hAnsi="Times New Roman"/>
          <w:sz w:val="24"/>
          <w:szCs w:val="24"/>
        </w:rPr>
        <w:t xml:space="preserve">e allowed for most secondhand good with few exceptions, one exception is for goods composed of </w:t>
      </w:r>
      <w:r w:rsidR="00D06D45" w:rsidRPr="00516E98">
        <w:rPr>
          <w:rFonts w:ascii="Times New Roman" w:hAnsi="Times New Roman"/>
          <w:sz w:val="24"/>
          <w:szCs w:val="24"/>
        </w:rPr>
        <w:t>gold</w:t>
      </w:r>
      <w:r w:rsidR="00D06D45">
        <w:rPr>
          <w:rFonts w:ascii="Times New Roman" w:hAnsi="Times New Roman"/>
          <w:sz w:val="24"/>
          <w:szCs w:val="24"/>
        </w:rPr>
        <w:t>, silver, or platinum</w:t>
      </w:r>
      <w:r>
        <w:rPr>
          <w:rFonts w:ascii="Times New Roman" w:hAnsi="Times New Roman"/>
          <w:sz w:val="24"/>
          <w:szCs w:val="24"/>
        </w:rPr>
        <w:t xml:space="preserve"> (collectively referred to as “gold”)</w:t>
      </w:r>
      <w:r w:rsidR="00D06D45">
        <w:rPr>
          <w:rFonts w:ascii="Times New Roman" w:hAnsi="Times New Roman"/>
          <w:sz w:val="24"/>
          <w:szCs w:val="24"/>
        </w:rPr>
        <w:t xml:space="preserve">.  </w:t>
      </w:r>
      <w:r>
        <w:rPr>
          <w:rFonts w:ascii="Times New Roman" w:hAnsi="Times New Roman"/>
          <w:sz w:val="24"/>
          <w:szCs w:val="24"/>
        </w:rPr>
        <w:t>The exception applies to the extent that the goods are composed of gold.</w:t>
      </w:r>
    </w:p>
    <w:p w:rsidR="004908E6" w:rsidRDefault="004908E6"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w:t>
      </w:r>
      <w:r w:rsidR="004908E6">
        <w:rPr>
          <w:rFonts w:ascii="Times New Roman" w:hAnsi="Times New Roman"/>
          <w:sz w:val="24"/>
          <w:szCs w:val="24"/>
        </w:rPr>
        <w:t xml:space="preserve">exception </w:t>
      </w:r>
      <w:r>
        <w:rPr>
          <w:rFonts w:ascii="Times New Roman" w:hAnsi="Times New Roman"/>
          <w:sz w:val="24"/>
          <w:szCs w:val="24"/>
        </w:rPr>
        <w:t>potentially results in multiple layers of GST accruing on th</w:t>
      </w:r>
      <w:r w:rsidR="004908E6">
        <w:rPr>
          <w:rFonts w:ascii="Times New Roman" w:hAnsi="Times New Roman"/>
          <w:sz w:val="24"/>
          <w:szCs w:val="24"/>
        </w:rPr>
        <w:t>is gold content</w:t>
      </w:r>
      <w:r>
        <w:rPr>
          <w:rFonts w:ascii="Times New Roman" w:hAnsi="Times New Roman"/>
          <w:sz w:val="24"/>
          <w:szCs w:val="24"/>
        </w:rPr>
        <w:t xml:space="preserve"> </w:t>
      </w:r>
      <w:r w:rsidR="00F80AD5">
        <w:rPr>
          <w:rFonts w:ascii="Times New Roman" w:hAnsi="Times New Roman"/>
          <w:sz w:val="24"/>
          <w:szCs w:val="24"/>
        </w:rPr>
        <w:t xml:space="preserve">of secondhand </w:t>
      </w:r>
      <w:r>
        <w:rPr>
          <w:rFonts w:ascii="Times New Roman" w:hAnsi="Times New Roman"/>
          <w:sz w:val="24"/>
          <w:szCs w:val="24"/>
        </w:rPr>
        <w:t>goods</w:t>
      </w:r>
      <w:r w:rsidR="004908E6">
        <w:rPr>
          <w:rFonts w:ascii="Times New Roman" w:hAnsi="Times New Roman"/>
          <w:sz w:val="24"/>
          <w:szCs w:val="24"/>
        </w:rPr>
        <w:t>.</w:t>
      </w:r>
      <w:r>
        <w:rPr>
          <w:rFonts w:ascii="Times New Roman" w:hAnsi="Times New Roman"/>
          <w:sz w:val="24"/>
          <w:szCs w:val="24"/>
        </w:rPr>
        <w:t xml:space="preserve"> </w:t>
      </w:r>
      <w:r w:rsidR="004908E6">
        <w:rPr>
          <w:rFonts w:ascii="Times New Roman" w:hAnsi="Times New Roman"/>
          <w:sz w:val="24"/>
          <w:szCs w:val="24"/>
        </w:rPr>
        <w:t xml:space="preserve"> </w:t>
      </w:r>
      <w:r w:rsidR="00F80AD5">
        <w:rPr>
          <w:rFonts w:ascii="Times New Roman" w:hAnsi="Times New Roman"/>
          <w:sz w:val="24"/>
          <w:szCs w:val="24"/>
        </w:rPr>
        <w:t xml:space="preserve">A </w:t>
      </w:r>
      <w:r w:rsidR="004908E6">
        <w:rPr>
          <w:rFonts w:ascii="Times New Roman" w:hAnsi="Times New Roman"/>
          <w:sz w:val="24"/>
          <w:szCs w:val="24"/>
        </w:rPr>
        <w:t xml:space="preserve">business </w:t>
      </w:r>
      <w:r w:rsidR="00F80AD5">
        <w:rPr>
          <w:rFonts w:ascii="Times New Roman" w:hAnsi="Times New Roman"/>
          <w:sz w:val="24"/>
          <w:szCs w:val="24"/>
        </w:rPr>
        <w:t xml:space="preserve">acquiring these goods </w:t>
      </w:r>
      <w:r w:rsidR="004908E6">
        <w:rPr>
          <w:rFonts w:ascii="Times New Roman" w:hAnsi="Times New Roman"/>
          <w:sz w:val="24"/>
          <w:szCs w:val="24"/>
        </w:rPr>
        <w:t xml:space="preserve">will not be able to claim an input tax </w:t>
      </w:r>
      <w:r w:rsidR="00F80AD5">
        <w:rPr>
          <w:rFonts w:ascii="Times New Roman" w:hAnsi="Times New Roman"/>
          <w:sz w:val="24"/>
          <w:szCs w:val="24"/>
        </w:rPr>
        <w:t>deduction;</w:t>
      </w:r>
      <w:r w:rsidR="004908E6">
        <w:rPr>
          <w:rFonts w:ascii="Times New Roman" w:hAnsi="Times New Roman"/>
          <w:sz w:val="24"/>
          <w:szCs w:val="24"/>
        </w:rPr>
        <w:t xml:space="preserve"> however it may be required to return GST when it supplies the good itself.</w:t>
      </w:r>
    </w:p>
    <w:p w:rsidR="00D06D45" w:rsidRDefault="00D06D45" w:rsidP="00B91E3E">
      <w:pPr>
        <w:pStyle w:val="Bullet-list"/>
        <w:spacing w:after="0" w:line="240" w:lineRule="auto"/>
        <w:ind w:left="0" w:firstLine="0"/>
        <w:jc w:val="both"/>
        <w:rPr>
          <w:rFonts w:ascii="Times New Roman" w:hAnsi="Times New Roman"/>
          <w:sz w:val="24"/>
          <w:szCs w:val="24"/>
        </w:rPr>
      </w:pPr>
    </w:p>
    <w:p w:rsidR="004908E6" w:rsidRPr="005577B8"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Alternatively, where secondhand gold is supplied to a refiner who is using it to produce new fine </w:t>
      </w:r>
      <w:r w:rsidR="004908E6">
        <w:rPr>
          <w:rFonts w:ascii="Times New Roman" w:hAnsi="Times New Roman"/>
          <w:sz w:val="24"/>
          <w:szCs w:val="24"/>
        </w:rPr>
        <w:t xml:space="preserve">(very high purity) </w:t>
      </w:r>
      <w:r>
        <w:rPr>
          <w:rFonts w:ascii="Times New Roman" w:hAnsi="Times New Roman"/>
          <w:sz w:val="24"/>
          <w:szCs w:val="24"/>
        </w:rPr>
        <w:t>gold, multiple layers of GST should not be incurred</w:t>
      </w:r>
      <w:r w:rsidR="004908E6">
        <w:rPr>
          <w:rFonts w:ascii="Times New Roman" w:hAnsi="Times New Roman"/>
          <w:sz w:val="24"/>
          <w:szCs w:val="24"/>
        </w:rPr>
        <w:t xml:space="preserve"> (as the fine gold will not be subsequently taxed)</w:t>
      </w:r>
      <w:r>
        <w:rPr>
          <w:rFonts w:ascii="Times New Roman" w:hAnsi="Times New Roman"/>
          <w:sz w:val="24"/>
          <w:szCs w:val="24"/>
        </w:rPr>
        <w:t xml:space="preserve"> </w:t>
      </w:r>
      <w:r w:rsidR="00E34A97">
        <w:rPr>
          <w:rFonts w:ascii="Times New Roman" w:hAnsi="Times New Roman"/>
          <w:sz w:val="24"/>
          <w:szCs w:val="24"/>
        </w:rPr>
        <w:t xml:space="preserve">but this is the result if </w:t>
      </w:r>
      <w:r>
        <w:rPr>
          <w:rFonts w:ascii="Times New Roman" w:hAnsi="Times New Roman"/>
          <w:sz w:val="24"/>
          <w:szCs w:val="24"/>
        </w:rPr>
        <w:t>th</w:t>
      </w:r>
      <w:r w:rsidR="004908E6">
        <w:rPr>
          <w:rFonts w:ascii="Times New Roman" w:hAnsi="Times New Roman"/>
          <w:sz w:val="24"/>
          <w:szCs w:val="24"/>
        </w:rPr>
        <w:t>e</w:t>
      </w:r>
      <w:r>
        <w:rPr>
          <w:rFonts w:ascii="Times New Roman" w:hAnsi="Times New Roman"/>
          <w:sz w:val="24"/>
          <w:szCs w:val="24"/>
        </w:rPr>
        <w:t xml:space="preserve"> GST </w:t>
      </w:r>
      <w:r w:rsidR="00E34A97">
        <w:rPr>
          <w:rFonts w:ascii="Times New Roman" w:hAnsi="Times New Roman"/>
          <w:sz w:val="24"/>
          <w:szCs w:val="24"/>
        </w:rPr>
        <w:t>is</w:t>
      </w:r>
      <w:r>
        <w:rPr>
          <w:rFonts w:ascii="Times New Roman" w:hAnsi="Times New Roman"/>
          <w:sz w:val="24"/>
          <w:szCs w:val="24"/>
        </w:rPr>
        <w:t xml:space="preserve"> unrecoverable.  </w:t>
      </w:r>
      <w:r w:rsidR="00E34A97">
        <w:rPr>
          <w:rFonts w:ascii="Times New Roman" w:hAnsi="Times New Roman"/>
          <w:sz w:val="24"/>
          <w:szCs w:val="24"/>
        </w:rPr>
        <w:t>T</w:t>
      </w:r>
      <w:r>
        <w:rPr>
          <w:rFonts w:ascii="Times New Roman" w:hAnsi="Times New Roman"/>
          <w:sz w:val="24"/>
          <w:szCs w:val="24"/>
        </w:rPr>
        <w:t>his outcome is contrary to the policy that fine gold not have embedded GST, and</w:t>
      </w:r>
      <w:r w:rsidR="004908E6">
        <w:rPr>
          <w:rFonts w:ascii="Times New Roman" w:hAnsi="Times New Roman"/>
          <w:sz w:val="24"/>
          <w:szCs w:val="24"/>
        </w:rPr>
        <w:t xml:space="preserve"> therefore</w:t>
      </w:r>
      <w:r>
        <w:rPr>
          <w:rFonts w:ascii="Times New Roman" w:hAnsi="Times New Roman"/>
          <w:sz w:val="24"/>
          <w:szCs w:val="24"/>
        </w:rPr>
        <w:t xml:space="preserve"> results in taxation </w:t>
      </w:r>
      <w:r w:rsidR="004908E6">
        <w:rPr>
          <w:rFonts w:ascii="Times New Roman" w:hAnsi="Times New Roman"/>
          <w:sz w:val="24"/>
          <w:szCs w:val="24"/>
        </w:rPr>
        <w:t>contrary to the purpose of the Act.</w:t>
      </w:r>
    </w:p>
    <w:p w:rsidR="00D06D45"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keepNext/>
        <w:numPr>
          <w:ilvl w:val="0"/>
          <w:numId w:val="2"/>
        </w:numPr>
        <w:tabs>
          <w:tab w:val="num" w:pos="567"/>
        </w:tabs>
        <w:spacing w:after="0" w:line="240" w:lineRule="auto"/>
        <w:ind w:left="0" w:firstLine="0"/>
        <w:jc w:val="both"/>
        <w:rPr>
          <w:rFonts w:ascii="Times New Roman" w:hAnsi="Times New Roman"/>
          <w:sz w:val="24"/>
          <w:szCs w:val="24"/>
        </w:rPr>
      </w:pPr>
      <w:r w:rsidRPr="00516E98">
        <w:rPr>
          <w:rFonts w:ascii="Times New Roman" w:hAnsi="Times New Roman"/>
          <w:sz w:val="24"/>
          <w:szCs w:val="24"/>
        </w:rPr>
        <w:t>Compliance with the strict rules</w:t>
      </w:r>
      <w:r>
        <w:rPr>
          <w:rFonts w:ascii="Times New Roman" w:hAnsi="Times New Roman"/>
          <w:sz w:val="24"/>
          <w:szCs w:val="24"/>
        </w:rPr>
        <w:t xml:space="preserve"> den</w:t>
      </w:r>
      <w:r w:rsidR="00E34A97">
        <w:rPr>
          <w:rFonts w:ascii="Times New Roman" w:hAnsi="Times New Roman"/>
          <w:sz w:val="24"/>
          <w:szCs w:val="24"/>
        </w:rPr>
        <w:t>y</w:t>
      </w:r>
      <w:r>
        <w:rPr>
          <w:rFonts w:ascii="Times New Roman" w:hAnsi="Times New Roman"/>
          <w:sz w:val="24"/>
          <w:szCs w:val="24"/>
        </w:rPr>
        <w:t>i</w:t>
      </w:r>
      <w:r w:rsidR="00E34A97">
        <w:rPr>
          <w:rFonts w:ascii="Times New Roman" w:hAnsi="Times New Roman"/>
          <w:sz w:val="24"/>
          <w:szCs w:val="24"/>
        </w:rPr>
        <w:t>ng</w:t>
      </w:r>
      <w:r>
        <w:rPr>
          <w:rFonts w:ascii="Times New Roman" w:hAnsi="Times New Roman"/>
          <w:sz w:val="24"/>
          <w:szCs w:val="24"/>
        </w:rPr>
        <w:t xml:space="preserve"> </w:t>
      </w:r>
      <w:r w:rsidR="00E34A97">
        <w:rPr>
          <w:rFonts w:ascii="Times New Roman" w:hAnsi="Times New Roman"/>
          <w:sz w:val="24"/>
          <w:szCs w:val="24"/>
        </w:rPr>
        <w:t xml:space="preserve">GST </w:t>
      </w:r>
      <w:r>
        <w:rPr>
          <w:rFonts w:ascii="Times New Roman" w:hAnsi="Times New Roman"/>
          <w:sz w:val="24"/>
          <w:szCs w:val="24"/>
        </w:rPr>
        <w:t>deductions</w:t>
      </w:r>
      <w:r w:rsidRPr="00516E98">
        <w:rPr>
          <w:rFonts w:ascii="Times New Roman" w:hAnsi="Times New Roman"/>
          <w:sz w:val="24"/>
          <w:szCs w:val="24"/>
        </w:rPr>
        <w:t xml:space="preserve"> results in</w:t>
      </w:r>
      <w:r>
        <w:rPr>
          <w:rFonts w:ascii="Times New Roman" w:hAnsi="Times New Roman"/>
          <w:sz w:val="24"/>
          <w:szCs w:val="24"/>
        </w:rPr>
        <w:t xml:space="preserve"> a number of effects</w:t>
      </w:r>
      <w:r w:rsidRPr="00516E98">
        <w:rPr>
          <w:rFonts w:ascii="Times New Roman" w:hAnsi="Times New Roman"/>
          <w:sz w:val="24"/>
          <w:szCs w:val="24"/>
        </w:rPr>
        <w:t>:</w:t>
      </w:r>
    </w:p>
    <w:p w:rsidR="00D06D45" w:rsidRDefault="00D06D45" w:rsidP="00B91E3E">
      <w:pPr>
        <w:pStyle w:val="ListParagraph"/>
        <w:numPr>
          <w:ilvl w:val="0"/>
          <w:numId w:val="25"/>
        </w:numPr>
        <w:spacing w:before="120"/>
        <w:contextualSpacing w:val="0"/>
        <w:rPr>
          <w:rFonts w:ascii="Times New Roman" w:hAnsi="Times New Roman"/>
          <w:sz w:val="24"/>
          <w:szCs w:val="24"/>
        </w:rPr>
      </w:pPr>
      <w:r>
        <w:rPr>
          <w:rFonts w:ascii="Times New Roman" w:hAnsi="Times New Roman"/>
          <w:sz w:val="24"/>
          <w:szCs w:val="24"/>
        </w:rPr>
        <w:t>C</w:t>
      </w:r>
      <w:r w:rsidRPr="00DE4D13">
        <w:rPr>
          <w:rFonts w:ascii="Times New Roman" w:hAnsi="Times New Roman"/>
          <w:sz w:val="24"/>
          <w:szCs w:val="24"/>
        </w:rPr>
        <w:t xml:space="preserve">ompliance costs </w:t>
      </w:r>
      <w:r>
        <w:rPr>
          <w:rFonts w:ascii="Times New Roman" w:hAnsi="Times New Roman"/>
          <w:sz w:val="24"/>
          <w:szCs w:val="24"/>
        </w:rPr>
        <w:t>must be incurred in valuing the gold content to determine the extent of permissible deductions;</w:t>
      </w:r>
    </w:p>
    <w:p w:rsidR="00D06D45" w:rsidRDefault="00D06D45" w:rsidP="00B91E3E">
      <w:pPr>
        <w:pStyle w:val="ListParagraph"/>
        <w:numPr>
          <w:ilvl w:val="0"/>
          <w:numId w:val="25"/>
        </w:numPr>
        <w:spacing w:before="120"/>
        <w:contextualSpacing w:val="0"/>
        <w:rPr>
          <w:rFonts w:ascii="Times New Roman" w:hAnsi="Times New Roman"/>
          <w:sz w:val="24"/>
          <w:szCs w:val="24"/>
        </w:rPr>
      </w:pPr>
      <w:r>
        <w:rPr>
          <w:rFonts w:ascii="Times New Roman" w:hAnsi="Times New Roman"/>
          <w:sz w:val="24"/>
          <w:szCs w:val="24"/>
        </w:rPr>
        <w:t>Gold goods potentially bear a higher GST burden than other goods, as they are</w:t>
      </w:r>
      <w:r w:rsidR="00F80AD5">
        <w:rPr>
          <w:rFonts w:ascii="Times New Roman" w:hAnsi="Times New Roman"/>
          <w:sz w:val="24"/>
          <w:szCs w:val="24"/>
        </w:rPr>
        <w:t xml:space="preserve"> taxed every time they are supplied between a GST-registered business and a consumer, rather than only being taxed on their final consumption</w:t>
      </w:r>
      <w:r>
        <w:rPr>
          <w:rFonts w:ascii="Times New Roman" w:hAnsi="Times New Roman"/>
          <w:sz w:val="24"/>
          <w:szCs w:val="24"/>
        </w:rPr>
        <w:t>;</w:t>
      </w:r>
    </w:p>
    <w:p w:rsidR="00D06D45" w:rsidRDefault="00D06D45" w:rsidP="00B91E3E">
      <w:pPr>
        <w:pStyle w:val="ListParagraph"/>
        <w:numPr>
          <w:ilvl w:val="0"/>
          <w:numId w:val="25"/>
        </w:numPr>
        <w:spacing w:before="120"/>
        <w:contextualSpacing w:val="0"/>
        <w:rPr>
          <w:rFonts w:ascii="Times New Roman" w:hAnsi="Times New Roman"/>
          <w:sz w:val="24"/>
          <w:szCs w:val="24"/>
        </w:rPr>
      </w:pPr>
      <w:r>
        <w:rPr>
          <w:rFonts w:ascii="Times New Roman" w:hAnsi="Times New Roman"/>
          <w:sz w:val="24"/>
          <w:szCs w:val="24"/>
        </w:rPr>
        <w:t>Certain methods of transacting, that avoid double taxation, are tax-favoured.  For example, there may be a</w:t>
      </w:r>
      <w:r w:rsidR="004908E6">
        <w:rPr>
          <w:rFonts w:ascii="Times New Roman" w:hAnsi="Times New Roman"/>
          <w:sz w:val="24"/>
          <w:szCs w:val="24"/>
        </w:rPr>
        <w:t xml:space="preserve">n incentive </w:t>
      </w:r>
      <w:r>
        <w:rPr>
          <w:rFonts w:ascii="Times New Roman" w:hAnsi="Times New Roman"/>
          <w:sz w:val="24"/>
          <w:szCs w:val="24"/>
        </w:rPr>
        <w:t xml:space="preserve">for a secondhand dealer to instead supply an item as an agent for the owner, as only their agent fees will be subject to GST, rather than the full sale price of the item.  Alternatively, there is an incentive to sell jewellery privately, thereby avoiding the imposition of additional GST on the gold; </w:t>
      </w:r>
      <w:r w:rsidR="00F80AD5">
        <w:rPr>
          <w:rFonts w:ascii="Times New Roman" w:hAnsi="Times New Roman"/>
          <w:sz w:val="24"/>
          <w:szCs w:val="24"/>
        </w:rPr>
        <w:t>and</w:t>
      </w:r>
    </w:p>
    <w:p w:rsidR="00D06D45" w:rsidRDefault="00D06D45" w:rsidP="00B91E3E">
      <w:pPr>
        <w:pStyle w:val="ListParagraph"/>
        <w:numPr>
          <w:ilvl w:val="0"/>
          <w:numId w:val="25"/>
        </w:numPr>
        <w:spacing w:before="120"/>
        <w:contextualSpacing w:val="0"/>
        <w:rPr>
          <w:rFonts w:ascii="Times New Roman" w:hAnsi="Times New Roman"/>
          <w:sz w:val="24"/>
          <w:szCs w:val="24"/>
        </w:rPr>
      </w:pPr>
      <w:r>
        <w:rPr>
          <w:rFonts w:ascii="Times New Roman" w:hAnsi="Times New Roman"/>
          <w:sz w:val="24"/>
          <w:szCs w:val="24"/>
        </w:rPr>
        <w:t>Consequently, government revenue is higher, to the extent of the denied deductions.  Input tax deductions would offset tax that would otherwise be paid, or paid out as a refund</w:t>
      </w:r>
      <w:r w:rsidR="00F80AD5">
        <w:rPr>
          <w:rFonts w:ascii="Times New Roman" w:hAnsi="Times New Roman"/>
          <w:sz w:val="24"/>
          <w:szCs w:val="24"/>
        </w:rPr>
        <w:t>.</w:t>
      </w:r>
    </w:p>
    <w:p w:rsidR="00D06D45" w:rsidRDefault="00D06D45" w:rsidP="009C149F">
      <w:pPr>
        <w:pStyle w:val="ListParagraph"/>
        <w:rPr>
          <w:rFonts w:ascii="Times New Roman" w:hAnsi="Times New Roman"/>
          <w:sz w:val="24"/>
          <w:szCs w:val="24"/>
        </w:rPr>
      </w:pPr>
    </w:p>
    <w:p w:rsidR="00D06D45" w:rsidRPr="00F711B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F711B5">
        <w:rPr>
          <w:rFonts w:ascii="Times New Roman" w:hAnsi="Times New Roman"/>
          <w:sz w:val="24"/>
          <w:szCs w:val="24"/>
        </w:rPr>
        <w:t xml:space="preserve">In practice, these rules are said to be poorly understood, and compliance is said to be low.  </w:t>
      </w:r>
      <w:r w:rsidR="00E34A97">
        <w:rPr>
          <w:rFonts w:ascii="Times New Roman" w:hAnsi="Times New Roman"/>
          <w:sz w:val="24"/>
          <w:szCs w:val="24"/>
        </w:rPr>
        <w:t>Most</w:t>
      </w:r>
      <w:r w:rsidRPr="00F711B5">
        <w:rPr>
          <w:rFonts w:ascii="Times New Roman" w:hAnsi="Times New Roman"/>
          <w:sz w:val="24"/>
          <w:szCs w:val="24"/>
        </w:rPr>
        <w:t xml:space="preserve"> businesses are understood to be claiming input tax deductions for this secondhand gold already.</w:t>
      </w:r>
      <w:r>
        <w:rPr>
          <w:rFonts w:ascii="Times New Roman" w:hAnsi="Times New Roman"/>
          <w:sz w:val="24"/>
          <w:szCs w:val="24"/>
        </w:rPr>
        <w:t xml:space="preserve">  </w:t>
      </w:r>
      <w:r w:rsidRPr="00F711B5">
        <w:rPr>
          <w:rFonts w:ascii="Times New Roman" w:hAnsi="Times New Roman"/>
          <w:sz w:val="24"/>
          <w:szCs w:val="24"/>
        </w:rPr>
        <w:t xml:space="preserve">This is said </w:t>
      </w:r>
      <w:r w:rsidR="009B26B8">
        <w:rPr>
          <w:rFonts w:ascii="Times New Roman" w:hAnsi="Times New Roman"/>
          <w:sz w:val="24"/>
          <w:szCs w:val="24"/>
        </w:rPr>
        <w:t xml:space="preserve">by </w:t>
      </w:r>
      <w:r w:rsidR="00625424">
        <w:rPr>
          <w:rFonts w:ascii="Times New Roman" w:hAnsi="Times New Roman"/>
          <w:sz w:val="24"/>
          <w:szCs w:val="24"/>
        </w:rPr>
        <w:t>businesses</w:t>
      </w:r>
      <w:r w:rsidR="009B26B8">
        <w:rPr>
          <w:rFonts w:ascii="Times New Roman" w:hAnsi="Times New Roman"/>
          <w:sz w:val="24"/>
          <w:szCs w:val="24"/>
        </w:rPr>
        <w:t xml:space="preserve"> </w:t>
      </w:r>
      <w:r w:rsidRPr="00F711B5">
        <w:rPr>
          <w:rFonts w:ascii="Times New Roman" w:hAnsi="Times New Roman"/>
          <w:sz w:val="24"/>
          <w:szCs w:val="24"/>
        </w:rPr>
        <w:t>to distort competition</w:t>
      </w:r>
      <w:r w:rsidR="00E34A97">
        <w:rPr>
          <w:rFonts w:ascii="Times New Roman" w:hAnsi="Times New Roman"/>
          <w:sz w:val="24"/>
          <w:szCs w:val="24"/>
        </w:rPr>
        <w:t xml:space="preserve"> for compliant businesses</w:t>
      </w:r>
      <w:r w:rsidRPr="00F711B5">
        <w:rPr>
          <w:rFonts w:ascii="Times New Roman" w:hAnsi="Times New Roman"/>
          <w:sz w:val="24"/>
          <w:szCs w:val="24"/>
        </w:rPr>
        <w:t xml:space="preserve"> as businesses that claim deductions can offer a higher purchase price for this secondhand gold</w:t>
      </w:r>
      <w:r w:rsidR="00E34A97">
        <w:rPr>
          <w:rFonts w:ascii="Times New Roman" w:hAnsi="Times New Roman"/>
          <w:sz w:val="24"/>
          <w:szCs w:val="24"/>
        </w:rPr>
        <w:t xml:space="preserve"> because</w:t>
      </w:r>
      <w:r w:rsidRPr="00F711B5">
        <w:rPr>
          <w:rFonts w:ascii="Times New Roman" w:hAnsi="Times New Roman"/>
          <w:sz w:val="24"/>
          <w:szCs w:val="24"/>
        </w:rPr>
        <w:t xml:space="preserve"> the </w:t>
      </w:r>
      <w:r>
        <w:rPr>
          <w:rFonts w:ascii="Times New Roman" w:hAnsi="Times New Roman"/>
          <w:sz w:val="24"/>
          <w:szCs w:val="24"/>
        </w:rPr>
        <w:t>cost to the business is reduced to the extent a claimed deduction is received.</w:t>
      </w:r>
    </w:p>
    <w:p w:rsidR="00D06D45" w:rsidRPr="00F711B5" w:rsidRDefault="00D06D45" w:rsidP="009C149F">
      <w:pPr>
        <w:pStyle w:val="ListParagraph"/>
        <w:rPr>
          <w:rFonts w:ascii="Times New Roman" w:hAnsi="Times New Roman"/>
          <w:sz w:val="24"/>
          <w:szCs w:val="24"/>
        </w:rPr>
      </w:pPr>
    </w:p>
    <w:p w:rsidR="00D06D45" w:rsidRPr="00B91E3E" w:rsidRDefault="00E34A97" w:rsidP="00B91E3E">
      <w:pPr>
        <w:pStyle w:val="Bullet-list"/>
        <w:numPr>
          <w:ilvl w:val="0"/>
          <w:numId w:val="2"/>
        </w:numPr>
        <w:tabs>
          <w:tab w:val="num" w:pos="567"/>
        </w:tabs>
        <w:spacing w:after="0" w:line="240" w:lineRule="auto"/>
        <w:ind w:left="0" w:firstLine="0"/>
        <w:jc w:val="both"/>
        <w:rPr>
          <w:rFonts w:ascii="Times New Roman" w:hAnsi="Times New Roman"/>
          <w:i/>
          <w:sz w:val="24"/>
          <w:szCs w:val="24"/>
        </w:rPr>
      </w:pPr>
      <w:r>
        <w:rPr>
          <w:rFonts w:ascii="Times New Roman" w:hAnsi="Times New Roman"/>
          <w:sz w:val="24"/>
          <w:szCs w:val="24"/>
        </w:rPr>
        <w:t>N</w:t>
      </w:r>
      <w:r w:rsidR="00D06D45" w:rsidRPr="009A4686">
        <w:rPr>
          <w:rFonts w:ascii="Times New Roman" w:hAnsi="Times New Roman"/>
          <w:sz w:val="24"/>
          <w:szCs w:val="24"/>
        </w:rPr>
        <w:t xml:space="preserve">on-compliant businesses (anecdotally expected to be primarily smaller, less tax-sophisticated, businesses) may be exposed to reassessment by the Commissioner, and to claims for unpaid tax, penalties and interest. </w:t>
      </w:r>
    </w:p>
    <w:p w:rsidR="00D05759" w:rsidRDefault="00D05759" w:rsidP="00B91E3E">
      <w:pPr>
        <w:pStyle w:val="ListParagraph"/>
        <w:rPr>
          <w:rFonts w:ascii="Times New Roman" w:hAnsi="Times New Roman"/>
          <w:i/>
          <w:sz w:val="24"/>
          <w:szCs w:val="24"/>
        </w:rPr>
      </w:pPr>
    </w:p>
    <w:p w:rsidR="00D05759" w:rsidRPr="005B1E55" w:rsidRDefault="00D05759" w:rsidP="00B91E3E">
      <w:pPr>
        <w:pStyle w:val="Bullet-list"/>
        <w:numPr>
          <w:ilvl w:val="0"/>
          <w:numId w:val="2"/>
        </w:numPr>
        <w:tabs>
          <w:tab w:val="num" w:pos="567"/>
        </w:tabs>
        <w:spacing w:after="0" w:line="240" w:lineRule="auto"/>
        <w:ind w:left="0" w:firstLine="0"/>
        <w:jc w:val="both"/>
        <w:rPr>
          <w:rFonts w:ascii="Times New Roman" w:hAnsi="Times New Roman"/>
          <w:i/>
          <w:sz w:val="24"/>
          <w:szCs w:val="24"/>
        </w:rPr>
      </w:pPr>
      <w:r w:rsidRPr="005B1E55">
        <w:rPr>
          <w:rFonts w:ascii="Times New Roman" w:hAnsi="Times New Roman"/>
          <w:sz w:val="24"/>
          <w:szCs w:val="24"/>
        </w:rPr>
        <w:t xml:space="preserve">Stakeholders have indicated that there are approximately two to three hundred businesses that deal in secondhand gold </w:t>
      </w:r>
      <w:r w:rsidRPr="00B91E3E">
        <w:rPr>
          <w:rFonts w:ascii="Times New Roman" w:hAnsi="Times New Roman"/>
          <w:sz w:val="24"/>
          <w:szCs w:val="24"/>
        </w:rPr>
        <w:t>goods.</w:t>
      </w:r>
      <w:r w:rsidRPr="005B1E55">
        <w:rPr>
          <w:rFonts w:ascii="Times New Roman" w:hAnsi="Times New Roman"/>
          <w:sz w:val="24"/>
          <w:szCs w:val="24"/>
        </w:rPr>
        <w:t xml:space="preserve"> </w:t>
      </w:r>
      <w:r w:rsidRPr="00B91E3E">
        <w:rPr>
          <w:rFonts w:ascii="Times New Roman" w:hAnsi="Times New Roman"/>
          <w:sz w:val="24"/>
          <w:szCs w:val="24"/>
        </w:rPr>
        <w:t xml:space="preserve"> M</w:t>
      </w:r>
      <w:r w:rsidRPr="005B1E55">
        <w:rPr>
          <w:rFonts w:ascii="Times New Roman" w:hAnsi="Times New Roman"/>
          <w:sz w:val="24"/>
          <w:szCs w:val="24"/>
        </w:rPr>
        <w:t xml:space="preserve">any of these businesses </w:t>
      </w:r>
      <w:r w:rsidRPr="00B91E3E">
        <w:rPr>
          <w:rFonts w:ascii="Times New Roman" w:hAnsi="Times New Roman"/>
          <w:sz w:val="24"/>
          <w:szCs w:val="24"/>
        </w:rPr>
        <w:t xml:space="preserve">are said to </w:t>
      </w:r>
      <w:r w:rsidRPr="005B1E55">
        <w:rPr>
          <w:rFonts w:ascii="Times New Roman" w:hAnsi="Times New Roman"/>
          <w:sz w:val="24"/>
          <w:szCs w:val="24"/>
        </w:rPr>
        <w:t>have claimed deductions for these goods</w:t>
      </w:r>
      <w:r w:rsidRPr="00B91E3E">
        <w:rPr>
          <w:rFonts w:ascii="Times New Roman" w:hAnsi="Times New Roman"/>
          <w:sz w:val="24"/>
          <w:szCs w:val="24"/>
        </w:rPr>
        <w:t>, based on a lack of understanding of the current obligations.</w:t>
      </w:r>
      <w:r w:rsidRPr="005B1E55">
        <w:rPr>
          <w:rFonts w:ascii="Times New Roman" w:hAnsi="Times New Roman"/>
          <w:sz w:val="24"/>
          <w:szCs w:val="24"/>
        </w:rPr>
        <w:t xml:space="preserve">  </w:t>
      </w:r>
      <w:r w:rsidRPr="00B91E3E">
        <w:rPr>
          <w:rFonts w:ascii="Times New Roman" w:hAnsi="Times New Roman"/>
          <w:sz w:val="24"/>
          <w:szCs w:val="24"/>
        </w:rPr>
        <w:t xml:space="preserve">Anecdotally, this lack of understanding is also said to extend to some advisors. </w:t>
      </w:r>
    </w:p>
    <w:p w:rsidR="00D06D45" w:rsidRDefault="00D06D45" w:rsidP="00D06D45">
      <w:pPr>
        <w:pStyle w:val="ListParagraph"/>
        <w:rPr>
          <w:rFonts w:ascii="Times New Roman" w:hAnsi="Times New Roman"/>
          <w:i/>
          <w:sz w:val="24"/>
          <w:szCs w:val="24"/>
        </w:rPr>
      </w:pPr>
    </w:p>
    <w:p w:rsidR="00D06D45" w:rsidRDefault="00D06D45" w:rsidP="00B91E3E">
      <w:pPr>
        <w:pStyle w:val="Bullet-list"/>
        <w:keepNext/>
        <w:spacing w:after="0" w:line="240" w:lineRule="auto"/>
        <w:ind w:left="0" w:firstLine="0"/>
        <w:jc w:val="both"/>
        <w:rPr>
          <w:rFonts w:ascii="Times New Roman" w:hAnsi="Times New Roman"/>
          <w:i/>
          <w:sz w:val="24"/>
          <w:szCs w:val="24"/>
        </w:rPr>
      </w:pPr>
      <w:r w:rsidRPr="009A4686">
        <w:rPr>
          <w:rFonts w:ascii="Times New Roman" w:hAnsi="Times New Roman"/>
          <w:i/>
          <w:sz w:val="24"/>
          <w:szCs w:val="24"/>
        </w:rPr>
        <w:t>Root cause</w:t>
      </w:r>
    </w:p>
    <w:p w:rsidR="00D06D45" w:rsidRPr="009A4686" w:rsidRDefault="00D06D45" w:rsidP="00B91E3E">
      <w:pPr>
        <w:pStyle w:val="Bullet-list"/>
        <w:keepNext/>
        <w:spacing w:after="0" w:line="240" w:lineRule="auto"/>
        <w:ind w:left="0" w:firstLine="0"/>
        <w:jc w:val="both"/>
        <w:rPr>
          <w:rFonts w:ascii="Times New Roman" w:hAnsi="Times New Roman"/>
          <w:i/>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This situation arises due to a technical exception to the definition of “secondhand goods” in the Goods and Services Tax Act 1985.  In particular, deductions are denied for two kinds of secondhand goods that include a gold component:</w:t>
      </w:r>
    </w:p>
    <w:p w:rsidR="00D06D45" w:rsidRDefault="00D06D45" w:rsidP="00B91E3E">
      <w:pPr>
        <w:pStyle w:val="Bullet-list"/>
        <w:numPr>
          <w:ilvl w:val="0"/>
          <w:numId w:val="21"/>
        </w:numPr>
        <w:spacing w:before="120" w:after="0" w:line="240" w:lineRule="auto"/>
        <w:jc w:val="both"/>
        <w:rPr>
          <w:rFonts w:ascii="Times New Roman" w:hAnsi="Times New Roman"/>
          <w:sz w:val="24"/>
          <w:szCs w:val="24"/>
        </w:rPr>
      </w:pPr>
      <w:r>
        <w:rPr>
          <w:rFonts w:ascii="Times New Roman" w:hAnsi="Times New Roman"/>
          <w:sz w:val="24"/>
          <w:szCs w:val="24"/>
        </w:rPr>
        <w:t>Secondhand goods which consist of fine gold, silver or platinum; and</w:t>
      </w:r>
    </w:p>
    <w:p w:rsidR="00D06D45" w:rsidRDefault="00D06D45" w:rsidP="00B91E3E">
      <w:pPr>
        <w:pStyle w:val="Bullet-list"/>
        <w:numPr>
          <w:ilvl w:val="0"/>
          <w:numId w:val="21"/>
        </w:numPr>
        <w:spacing w:before="120" w:after="0" w:line="240" w:lineRule="auto"/>
        <w:jc w:val="both"/>
        <w:rPr>
          <w:rFonts w:ascii="Times New Roman" w:hAnsi="Times New Roman"/>
          <w:sz w:val="24"/>
          <w:szCs w:val="24"/>
        </w:rPr>
      </w:pPr>
      <w:r>
        <w:rPr>
          <w:rFonts w:ascii="Times New Roman" w:hAnsi="Times New Roman"/>
          <w:sz w:val="24"/>
          <w:szCs w:val="24"/>
        </w:rPr>
        <w:t>Secondhand goods which are, or to the extent they are, manufactured from gold silver or platinum.</w:t>
      </w:r>
    </w:p>
    <w:p w:rsidR="00D06D45" w:rsidRDefault="00D06D45" w:rsidP="00B91E3E">
      <w:pPr>
        <w:pStyle w:val="Bullet-list"/>
        <w:spacing w:after="0" w:line="240" w:lineRule="auto"/>
        <w:jc w:val="both"/>
        <w:rPr>
          <w:rFonts w:ascii="Times New Roman" w:hAnsi="Times New Roman"/>
          <w:sz w:val="24"/>
          <w:szCs w:val="24"/>
        </w:rPr>
      </w:pPr>
    </w:p>
    <w:p w:rsidR="00410383"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This first exception recognises that the GST policy settings are intended to result in no GST being payable in respect of supplies of fine gold, silver or platinum, and therefore no credit should be available in respect of these goods.</w:t>
      </w:r>
    </w:p>
    <w:p w:rsidR="00D06D45"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As a supply of these metals is not taxed (being exempt, with the first supply of new fine metal being zero-rated) this first exception does not give rise to double taxation concerns </w:t>
      </w:r>
      <w:r w:rsidR="00F80AD5">
        <w:rPr>
          <w:rFonts w:ascii="Times New Roman" w:hAnsi="Times New Roman"/>
          <w:sz w:val="24"/>
          <w:szCs w:val="24"/>
        </w:rPr>
        <w:t xml:space="preserve">– </w:t>
      </w:r>
      <w:r>
        <w:rPr>
          <w:rFonts w:ascii="Times New Roman" w:hAnsi="Times New Roman"/>
          <w:sz w:val="24"/>
          <w:szCs w:val="24"/>
        </w:rPr>
        <w:t>there</w:t>
      </w:r>
      <w:r w:rsidR="00F80AD5">
        <w:rPr>
          <w:rFonts w:ascii="Times New Roman" w:hAnsi="Times New Roman"/>
          <w:sz w:val="24"/>
          <w:szCs w:val="24"/>
        </w:rPr>
        <w:t xml:space="preserve"> </w:t>
      </w:r>
      <w:r>
        <w:rPr>
          <w:rFonts w:ascii="Times New Roman" w:hAnsi="Times New Roman"/>
          <w:sz w:val="24"/>
          <w:szCs w:val="24"/>
        </w:rPr>
        <w:t xml:space="preserve">should be no embedded GST to be recovered. </w:t>
      </w:r>
    </w:p>
    <w:p w:rsidR="00D06D45" w:rsidRDefault="00D06D45" w:rsidP="00B91E3E">
      <w:pPr>
        <w:pStyle w:val="Bullet-list"/>
        <w:tabs>
          <w:tab w:val="left" w:pos="1985"/>
        </w:tabs>
        <w:spacing w:after="0" w:line="240" w:lineRule="auto"/>
        <w:jc w:val="both"/>
        <w:rPr>
          <w:rFonts w:ascii="Times New Roman" w:hAnsi="Times New Roman"/>
          <w:sz w:val="24"/>
          <w:szCs w:val="24"/>
        </w:rP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7F65CA">
        <w:rPr>
          <w:rFonts w:ascii="Times New Roman" w:hAnsi="Times New Roman"/>
          <w:sz w:val="24"/>
          <w:szCs w:val="24"/>
        </w:rPr>
        <w:t xml:space="preserve">The second exception results from </w:t>
      </w:r>
      <w:r w:rsidR="00E34A97">
        <w:rPr>
          <w:rFonts w:ascii="Times New Roman" w:hAnsi="Times New Roman"/>
          <w:sz w:val="24"/>
          <w:szCs w:val="24"/>
        </w:rPr>
        <w:t xml:space="preserve">historic </w:t>
      </w:r>
      <w:r w:rsidRPr="007F65CA">
        <w:rPr>
          <w:rFonts w:ascii="Times New Roman" w:hAnsi="Times New Roman"/>
          <w:sz w:val="24"/>
          <w:szCs w:val="24"/>
        </w:rPr>
        <w:t xml:space="preserve">concerns about a kind of fraud.  As gold may be transmuted between fine and non-fine forms, by combining it with other metal(s), there was a concern this difference in treatment </w:t>
      </w:r>
      <w:r w:rsidR="00F80AD5">
        <w:rPr>
          <w:rFonts w:ascii="Times New Roman" w:hAnsi="Times New Roman"/>
          <w:sz w:val="24"/>
          <w:szCs w:val="24"/>
        </w:rPr>
        <w:t xml:space="preserve">between fine gold and other gold </w:t>
      </w:r>
      <w:r w:rsidRPr="007F65CA">
        <w:rPr>
          <w:rFonts w:ascii="Times New Roman" w:hAnsi="Times New Roman"/>
          <w:sz w:val="24"/>
          <w:szCs w:val="24"/>
        </w:rPr>
        <w:t>could be abused</w:t>
      </w:r>
      <w:r w:rsidR="00F80AD5">
        <w:rPr>
          <w:rFonts w:ascii="Times New Roman" w:hAnsi="Times New Roman"/>
          <w:sz w:val="24"/>
          <w:szCs w:val="24"/>
        </w:rPr>
        <w:t xml:space="preserve"> and used</w:t>
      </w:r>
      <w:r w:rsidRPr="007F65CA">
        <w:rPr>
          <w:rFonts w:ascii="Times New Roman" w:hAnsi="Times New Roman"/>
          <w:sz w:val="24"/>
          <w:szCs w:val="24"/>
        </w:rPr>
        <w:t xml:space="preserve"> to produce input tax deductions (under the rules for secondhand goods) without any tax having been paid.</w:t>
      </w:r>
    </w:p>
    <w:p w:rsidR="00D06D45" w:rsidRDefault="00D06D45" w:rsidP="009C149F">
      <w:pPr>
        <w:pStyle w:val="ListParagraph"/>
        <w:rPr>
          <w:rFonts w:ascii="Times New Roman" w:hAnsi="Times New Roman"/>
          <w:sz w:val="24"/>
          <w:szCs w:val="24"/>
        </w:rPr>
      </w:pPr>
    </w:p>
    <w:p w:rsidR="00D06D45" w:rsidRPr="007F65CA"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specific concern was that</w:t>
      </w:r>
      <w:r w:rsidRPr="007F65CA">
        <w:rPr>
          <w:rFonts w:ascii="Times New Roman" w:hAnsi="Times New Roman"/>
          <w:sz w:val="24"/>
          <w:szCs w:val="24"/>
        </w:rPr>
        <w:t xml:space="preserve"> untaxed fine gold would be converted to non-fine gold by an unregistered person, and supplied to a registered person who claimed a deduction.  </w:t>
      </w:r>
      <w:r>
        <w:rPr>
          <w:rFonts w:ascii="Times New Roman" w:hAnsi="Times New Roman"/>
          <w:sz w:val="24"/>
          <w:szCs w:val="24"/>
        </w:rPr>
        <w:t xml:space="preserve">The gold would be </w:t>
      </w:r>
      <w:r w:rsidRPr="007F65CA">
        <w:rPr>
          <w:rFonts w:ascii="Times New Roman" w:hAnsi="Times New Roman"/>
          <w:sz w:val="24"/>
          <w:szCs w:val="24"/>
        </w:rPr>
        <w:t>subsequent</w:t>
      </w:r>
      <w:r>
        <w:rPr>
          <w:rFonts w:ascii="Times New Roman" w:hAnsi="Times New Roman"/>
          <w:sz w:val="24"/>
          <w:szCs w:val="24"/>
        </w:rPr>
        <w:t>ly supplied between other parties, and eventually</w:t>
      </w:r>
      <w:r w:rsidRPr="007F65CA">
        <w:rPr>
          <w:rFonts w:ascii="Times New Roman" w:hAnsi="Times New Roman"/>
          <w:sz w:val="24"/>
          <w:szCs w:val="24"/>
        </w:rPr>
        <w:t xml:space="preserve"> </w:t>
      </w:r>
      <w:r>
        <w:rPr>
          <w:rFonts w:ascii="Times New Roman" w:hAnsi="Times New Roman"/>
          <w:sz w:val="24"/>
          <w:szCs w:val="24"/>
        </w:rPr>
        <w:t xml:space="preserve">exported (as a zero-rated supply) to be </w:t>
      </w:r>
      <w:r w:rsidRPr="007F65CA">
        <w:rPr>
          <w:rFonts w:ascii="Times New Roman" w:hAnsi="Times New Roman"/>
          <w:sz w:val="24"/>
          <w:szCs w:val="24"/>
        </w:rPr>
        <w:t>refined into a fine form again</w:t>
      </w:r>
      <w:r>
        <w:rPr>
          <w:rFonts w:ascii="Times New Roman" w:hAnsi="Times New Roman"/>
          <w:sz w:val="24"/>
          <w:szCs w:val="24"/>
        </w:rPr>
        <w:t>.</w:t>
      </w:r>
      <w:r w:rsidR="00410383">
        <w:rPr>
          <w:rFonts w:ascii="Times New Roman" w:hAnsi="Times New Roman"/>
          <w:sz w:val="24"/>
          <w:szCs w:val="24"/>
        </w:rPr>
        <w:t xml:space="preserve">  (At least two parties were required, as there was, at the time, a prohibition against zero-rating </w:t>
      </w:r>
      <w:r w:rsidR="00E616D3">
        <w:rPr>
          <w:rFonts w:ascii="Times New Roman" w:hAnsi="Times New Roman"/>
          <w:sz w:val="24"/>
          <w:szCs w:val="24"/>
        </w:rPr>
        <w:t xml:space="preserve">an export, </w:t>
      </w:r>
      <w:r w:rsidR="00E34A97">
        <w:rPr>
          <w:rFonts w:ascii="Times New Roman" w:hAnsi="Times New Roman"/>
          <w:sz w:val="24"/>
          <w:szCs w:val="24"/>
        </w:rPr>
        <w:t xml:space="preserve">if </w:t>
      </w:r>
      <w:r w:rsidR="00E616D3">
        <w:rPr>
          <w:rFonts w:ascii="Times New Roman" w:hAnsi="Times New Roman"/>
          <w:sz w:val="24"/>
          <w:szCs w:val="24"/>
        </w:rPr>
        <w:t>a</w:t>
      </w:r>
      <w:r w:rsidR="00410383">
        <w:rPr>
          <w:rFonts w:ascii="Times New Roman" w:hAnsi="Times New Roman"/>
          <w:sz w:val="24"/>
          <w:szCs w:val="24"/>
        </w:rPr>
        <w:t xml:space="preserve"> </w:t>
      </w:r>
      <w:r w:rsidR="00E616D3">
        <w:rPr>
          <w:rFonts w:ascii="Times New Roman" w:hAnsi="Times New Roman"/>
          <w:sz w:val="24"/>
          <w:szCs w:val="24"/>
        </w:rPr>
        <w:t xml:space="preserve">secondhand goods </w:t>
      </w:r>
      <w:r w:rsidR="00410383">
        <w:rPr>
          <w:rFonts w:ascii="Times New Roman" w:hAnsi="Times New Roman"/>
          <w:sz w:val="24"/>
          <w:szCs w:val="24"/>
        </w:rPr>
        <w:t>input tax deduction had been claimed).</w:t>
      </w:r>
      <w:r>
        <w:rPr>
          <w:rFonts w:ascii="Times New Roman" w:hAnsi="Times New Roman"/>
          <w:sz w:val="24"/>
          <w:szCs w:val="24"/>
        </w:rPr>
        <w:t xml:space="preserve">  Any GST charged as part of this arrangement would be deducted by another party</w:t>
      </w:r>
      <w:r w:rsidRPr="007F65CA">
        <w:rPr>
          <w:rFonts w:ascii="Times New Roman" w:hAnsi="Times New Roman"/>
          <w:sz w:val="24"/>
          <w:szCs w:val="24"/>
        </w:rPr>
        <w:t>.</w:t>
      </w:r>
      <w:r w:rsidR="00F80AD5">
        <w:rPr>
          <w:rFonts w:ascii="Times New Roman" w:hAnsi="Times New Roman"/>
          <w:sz w:val="24"/>
          <w:szCs w:val="24"/>
        </w:rPr>
        <w:t xml:space="preserve">  This is shown diagrammatically on the following page.</w:t>
      </w:r>
    </w:p>
    <w:p w:rsidR="00D06D45" w:rsidRDefault="00D06D45" w:rsidP="009C149F">
      <w:pPr>
        <w:pStyle w:val="ListParagraph"/>
        <w:rPr>
          <w:rFonts w:ascii="Times New Roman" w:hAnsi="Times New Roman"/>
          <w:sz w:val="24"/>
          <w:szCs w:val="24"/>
        </w:rPr>
      </w:pPr>
    </w:p>
    <w:p w:rsidR="00D06D45" w:rsidRDefault="009B26B8"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We note </w:t>
      </w:r>
      <w:r w:rsidR="00D06D45">
        <w:rPr>
          <w:rFonts w:ascii="Times New Roman" w:hAnsi="Times New Roman"/>
          <w:sz w:val="24"/>
          <w:szCs w:val="24"/>
        </w:rPr>
        <w:t xml:space="preserve">that the conversion between forms </w:t>
      </w:r>
      <w:r w:rsidR="00D06D45" w:rsidRPr="00FD6D00">
        <w:rPr>
          <w:rFonts w:ascii="Times New Roman" w:hAnsi="Times New Roman"/>
          <w:sz w:val="24"/>
          <w:szCs w:val="24"/>
          <w:u w:val="single"/>
        </w:rPr>
        <w:t>must</w:t>
      </w:r>
      <w:r w:rsidR="00D06D45">
        <w:rPr>
          <w:rFonts w:ascii="Times New Roman" w:hAnsi="Times New Roman"/>
          <w:sz w:val="24"/>
          <w:szCs w:val="24"/>
        </w:rPr>
        <w:t xml:space="preserve"> take place by an unregistered person,</w:t>
      </w:r>
      <w:r w:rsidR="00410383">
        <w:rPr>
          <w:rFonts w:ascii="Times New Roman" w:hAnsi="Times New Roman"/>
          <w:sz w:val="24"/>
          <w:szCs w:val="24"/>
        </w:rPr>
        <w:t xml:space="preserve"> for this concern to arise,</w:t>
      </w:r>
      <w:r w:rsidR="00D06D45">
        <w:rPr>
          <w:rFonts w:ascii="Times New Roman" w:hAnsi="Times New Roman"/>
          <w:sz w:val="24"/>
          <w:szCs w:val="24"/>
        </w:rPr>
        <w:t xml:space="preserve"> as a registered person carrying on this activity would be required to charge GST</w:t>
      </w:r>
      <w:r w:rsidR="00410383">
        <w:rPr>
          <w:rFonts w:ascii="Times New Roman" w:hAnsi="Times New Roman"/>
          <w:sz w:val="24"/>
          <w:szCs w:val="24"/>
        </w:rPr>
        <w:t xml:space="preserve"> when they supplied the gold</w:t>
      </w:r>
      <w:r w:rsidR="00E34A97">
        <w:rPr>
          <w:rFonts w:ascii="Times New Roman" w:hAnsi="Times New Roman"/>
          <w:sz w:val="24"/>
          <w:szCs w:val="24"/>
        </w:rPr>
        <w:t>,</w:t>
      </w:r>
      <w:r w:rsidR="00410383">
        <w:rPr>
          <w:rFonts w:ascii="Times New Roman" w:hAnsi="Times New Roman"/>
          <w:sz w:val="24"/>
          <w:szCs w:val="24"/>
        </w:rPr>
        <w:t xml:space="preserve"> in which case GST paid and input tax deductions </w:t>
      </w:r>
      <w:r w:rsidR="00E34A97">
        <w:rPr>
          <w:rFonts w:ascii="Times New Roman" w:hAnsi="Times New Roman"/>
          <w:sz w:val="24"/>
          <w:szCs w:val="24"/>
        </w:rPr>
        <w:t xml:space="preserve">claimed </w:t>
      </w:r>
      <w:r w:rsidR="00410383">
        <w:rPr>
          <w:rFonts w:ascii="Times New Roman" w:hAnsi="Times New Roman"/>
          <w:sz w:val="24"/>
          <w:szCs w:val="24"/>
        </w:rPr>
        <w:t>would net off</w:t>
      </w:r>
      <w:r w:rsidR="00D06D45">
        <w:rPr>
          <w:rFonts w:ascii="Times New Roman" w:hAnsi="Times New Roman"/>
          <w:sz w:val="24"/>
          <w:szCs w:val="24"/>
        </w:rPr>
        <w:t>.</w:t>
      </w:r>
    </w:p>
    <w:p w:rsidR="00D06D45"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D06D45">
      <w:pPr>
        <w:pStyle w:val="Bullet-list"/>
        <w:spacing w:after="0" w:line="240" w:lineRule="auto"/>
        <w:ind w:left="0" w:firstLine="0"/>
        <w:rPr>
          <w:rFonts w:ascii="Times New Roman" w:hAnsi="Times New Roman"/>
          <w:sz w:val="24"/>
          <w:szCs w:val="24"/>
        </w:rPr>
      </w:pPr>
    </w:p>
    <w:p w:rsidR="00D06D45" w:rsidRPr="006B2540" w:rsidRDefault="00D06D45" w:rsidP="00D06D45">
      <w:pPr>
        <w:keepNext/>
        <w:pBdr>
          <w:top w:val="single" w:sz="4" w:space="10" w:color="auto"/>
          <w:left w:val="single" w:sz="4" w:space="10" w:color="auto"/>
          <w:bottom w:val="single" w:sz="4" w:space="10" w:color="auto"/>
          <w:right w:val="single" w:sz="4" w:space="10" w:color="auto"/>
        </w:pBdr>
        <w:rPr>
          <w:rFonts w:ascii="Times New Roman" w:hAnsi="Times New Roman"/>
          <w:b/>
          <w:sz w:val="20"/>
        </w:rPr>
      </w:pPr>
      <w:r w:rsidRPr="006B2540">
        <w:rPr>
          <w:rFonts w:ascii="Times New Roman" w:hAnsi="Times New Roman"/>
          <w:b/>
          <w:sz w:val="20"/>
        </w:rPr>
        <w:t>Example: fraud involving gold</w:t>
      </w:r>
    </w:p>
    <w:p w:rsidR="00D06D45" w:rsidRDefault="00174597" w:rsidP="00D06D45">
      <w:pPr>
        <w:keepNext/>
        <w:pBdr>
          <w:top w:val="single" w:sz="4" w:space="10" w:color="auto"/>
          <w:left w:val="single" w:sz="4" w:space="10" w:color="auto"/>
          <w:bottom w:val="single" w:sz="4" w:space="10" w:color="auto"/>
          <w:right w:val="single" w:sz="4" w:space="10" w:color="auto"/>
        </w:pBdr>
      </w:pPr>
      <w:r>
        <w:rPr>
          <w:noProof/>
          <w:lang w:val="en-NZ" w:eastAsia="en-NZ"/>
        </w:rPr>
        <mc:AlternateContent>
          <mc:Choice Requires="wps">
            <w:drawing>
              <wp:anchor distT="0" distB="0" distL="114300" distR="114300" simplePos="0" relativeHeight="251688960" behindDoc="0" locked="0" layoutInCell="1" allowOverlap="1" wp14:anchorId="1BBEE8AB" wp14:editId="05F09C0D">
                <wp:simplePos x="0" y="0"/>
                <wp:positionH relativeFrom="column">
                  <wp:posOffset>1947545</wp:posOffset>
                </wp:positionH>
                <wp:positionV relativeFrom="paragraph">
                  <wp:posOffset>264160</wp:posOffset>
                </wp:positionV>
                <wp:extent cx="1676400" cy="624840"/>
                <wp:effectExtent l="0" t="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730477">
                            <w:pPr>
                              <w:keepNext/>
                              <w:jc w:val="center"/>
                              <w:rPr>
                                <w:rFonts w:ascii="Garamond" w:hAnsi="Garamond"/>
                                <w:sz w:val="18"/>
                              </w:rPr>
                            </w:pPr>
                            <w:r>
                              <w:rPr>
                                <w:rFonts w:ascii="Garamond" w:hAnsi="Garamond"/>
                                <w:sz w:val="18"/>
                              </w:rPr>
                              <w:t>Supply of non-fine gold and secondhand goods input tax deduction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53.35pt;margin-top:20.8pt;width:132pt;height:4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FtAIAALo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" filled="f" stroked="f">
                <v:textbox>
                  <w:txbxContent>
                    <w:p w:rsidR="00EC3764" w:rsidRDefault="00EC3764" w:rsidP="00730477">
                      <w:pPr>
                        <w:keepNext/>
                        <w:jc w:val="center"/>
                        <w:rPr>
                          <w:rFonts w:ascii="Garamond" w:hAnsi="Garamond"/>
                          <w:sz w:val="18"/>
                        </w:rPr>
                      </w:pPr>
                      <w:r>
                        <w:rPr>
                          <w:rFonts w:ascii="Garamond" w:hAnsi="Garamond"/>
                          <w:sz w:val="18"/>
                        </w:rPr>
                        <w:t>Supply of non-fine gold and secondhand goods input tax deduction</w:t>
                      </w:r>
                    </w:p>
                  </w:txbxContent>
                </v:textbox>
              </v:shape>
            </w:pict>
          </mc:Fallback>
        </mc:AlternateContent>
      </w:r>
    </w:p>
    <w:p w:rsidR="00D06D45" w:rsidRDefault="00174597" w:rsidP="00D06D45">
      <w:pPr>
        <w:keepNext/>
        <w:pBdr>
          <w:top w:val="single" w:sz="4" w:space="10" w:color="auto"/>
          <w:left w:val="single" w:sz="4" w:space="10" w:color="auto"/>
          <w:bottom w:val="single" w:sz="4" w:space="10" w:color="auto"/>
          <w:right w:val="single" w:sz="4" w:space="10" w:color="auto"/>
        </w:pBdr>
      </w:pPr>
      <w:r>
        <w:rPr>
          <w:noProof/>
          <w:lang w:val="en-NZ" w:eastAsia="en-NZ"/>
        </w:rPr>
        <mc:AlternateContent>
          <mc:Choice Requires="wpg">
            <w:drawing>
              <wp:anchor distT="0" distB="0" distL="114300" distR="114300" simplePos="0" relativeHeight="251675648" behindDoc="0" locked="0" layoutInCell="1" allowOverlap="1" wp14:anchorId="7A9F4D7A" wp14:editId="4C6C2859">
                <wp:simplePos x="0" y="0"/>
                <wp:positionH relativeFrom="column">
                  <wp:posOffset>100965</wp:posOffset>
                </wp:positionH>
                <wp:positionV relativeFrom="paragraph">
                  <wp:posOffset>105410</wp:posOffset>
                </wp:positionV>
                <wp:extent cx="5556885" cy="3697605"/>
                <wp:effectExtent l="0" t="0" r="0" b="0"/>
                <wp:wrapNone/>
                <wp:docPr id="101" name="Group 101"/>
                <wp:cNvGraphicFramePr/>
                <a:graphic xmlns:a="http://schemas.openxmlformats.org/drawingml/2006/main">
                  <a:graphicData uri="http://schemas.microsoft.com/office/word/2010/wordprocessingGroup">
                    <wpg:wgp>
                      <wpg:cNvGrpSpPr/>
                      <wpg:grpSpPr>
                        <a:xfrm>
                          <a:off x="0" y="0"/>
                          <a:ext cx="5556885" cy="3697605"/>
                          <a:chOff x="647996" y="175674"/>
                          <a:chExt cx="5557369" cy="3697912"/>
                        </a:xfrm>
                      </wpg:grpSpPr>
                      <wps:wsp>
                        <wps:cNvPr id="97" name="Text Box 5"/>
                        <wps:cNvSpPr txBox="1">
                          <a:spLocks noChangeArrowheads="1"/>
                        </wps:cNvSpPr>
                        <wps:spPr bwMode="auto">
                          <a:xfrm>
                            <a:off x="3942608" y="1092529"/>
                            <a:ext cx="846654" cy="562147"/>
                          </a:xfrm>
                          <a:prstGeom prst="rect">
                            <a:avLst/>
                          </a:prstGeom>
                          <a:solidFill>
                            <a:srgbClr val="FFFFFF"/>
                          </a:solidFill>
                          <a:ln w="9525">
                            <a:solidFill>
                              <a:srgbClr val="000000"/>
                            </a:solidFill>
                            <a:prstDash val="dash"/>
                            <a:miter lim="800000"/>
                            <a:headEnd/>
                            <a:tailEnd/>
                          </a:ln>
                        </wps:spPr>
                        <wps:txbx>
                          <w:txbxContent>
                            <w:p w:rsidR="00EC3764" w:rsidRDefault="00EC3764" w:rsidP="00D06D45">
                              <w:pPr>
                                <w:jc w:val="center"/>
                                <w:rPr>
                                  <w:rFonts w:ascii="Garamond" w:hAnsi="Garamond"/>
                                </w:rPr>
                              </w:pPr>
                              <w:r>
                                <w:rPr>
                                  <w:rFonts w:ascii="Garamond" w:hAnsi="Garamond"/>
                                </w:rPr>
                                <w:t>Registered person #2</w:t>
                              </w:r>
                            </w:p>
                          </w:txbxContent>
                        </wps:txbx>
                        <wps:bodyPr rot="0" vert="horz" wrap="square" lIns="91440" tIns="45720" rIns="91440" bIns="45720" anchor="t" anchorCtr="0" upright="1">
                          <a:noAutofit/>
                        </wps:bodyPr>
                      </wps:wsp>
                      <wpg:grpSp>
                        <wpg:cNvPr id="100" name="Group 100"/>
                        <wpg:cNvGrpSpPr/>
                        <wpg:grpSpPr>
                          <a:xfrm>
                            <a:off x="647996" y="175674"/>
                            <a:ext cx="5557369" cy="3697912"/>
                            <a:chOff x="647996" y="175674"/>
                            <a:chExt cx="5557369" cy="3697912"/>
                          </a:xfrm>
                        </wpg:grpSpPr>
                        <wps:wsp>
                          <wps:cNvPr id="96" name="Text Box 5"/>
                          <wps:cNvSpPr txBox="1">
                            <a:spLocks noChangeArrowheads="1"/>
                          </wps:cNvSpPr>
                          <wps:spPr bwMode="auto">
                            <a:xfrm>
                              <a:off x="4892634" y="1092529"/>
                              <a:ext cx="846455" cy="561975"/>
                            </a:xfrm>
                            <a:prstGeom prst="rect">
                              <a:avLst/>
                            </a:prstGeom>
                            <a:solidFill>
                              <a:srgbClr val="FFFFFF"/>
                            </a:solidFill>
                            <a:ln w="9525">
                              <a:solidFill>
                                <a:srgbClr val="000000"/>
                              </a:solidFill>
                              <a:prstDash val="dash"/>
                              <a:miter lim="800000"/>
                              <a:headEnd/>
                              <a:tailEnd/>
                            </a:ln>
                          </wps:spPr>
                          <wps:txbx>
                            <w:txbxContent>
                              <w:p w:rsidR="00EC3764" w:rsidRDefault="00EC3764" w:rsidP="00D06D45">
                                <w:pPr>
                                  <w:jc w:val="center"/>
                                  <w:rPr>
                                    <w:rFonts w:ascii="Garamond" w:hAnsi="Garamond"/>
                                  </w:rPr>
                                </w:pPr>
                                <w:r>
                                  <w:rPr>
                                    <w:rFonts w:ascii="Garamond" w:hAnsi="Garamond"/>
                                  </w:rPr>
                                  <w:t>Registered person #3</w:t>
                                </w:r>
                              </w:p>
                            </w:txbxContent>
                          </wps:txbx>
                          <wps:bodyPr rot="0" vert="horz" wrap="square" lIns="91440" tIns="45720" rIns="91440" bIns="45720" anchor="t" anchorCtr="0" upright="1">
                            <a:noAutofit/>
                          </wps:bodyPr>
                        </wps:wsp>
                        <wpg:grpSp>
                          <wpg:cNvPr id="99" name="Group 99"/>
                          <wpg:cNvGrpSpPr/>
                          <wpg:grpSpPr>
                            <a:xfrm>
                              <a:off x="647996" y="175674"/>
                              <a:ext cx="5557369" cy="3697912"/>
                              <a:chOff x="647996" y="175674"/>
                              <a:chExt cx="5557369" cy="3697912"/>
                            </a:xfrm>
                          </wpg:grpSpPr>
                          <wps:wsp>
                            <wps:cNvPr id="31" name="Arc 7"/>
                            <wps:cNvSpPr>
                              <a:spLocks/>
                            </wps:cNvSpPr>
                            <wps:spPr bwMode="auto">
                              <a:xfrm>
                                <a:off x="4417621" y="641267"/>
                                <a:ext cx="715010" cy="449580"/>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cmpd="sng">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98"/>
                            <wpg:cNvGrpSpPr/>
                            <wpg:grpSpPr>
                              <a:xfrm>
                                <a:off x="647996" y="175674"/>
                                <a:ext cx="5557369" cy="3697912"/>
                                <a:chOff x="647996" y="175674"/>
                                <a:chExt cx="5557369" cy="3697912"/>
                              </a:xfrm>
                            </wpg:grpSpPr>
                            <wpg:grpSp>
                              <wpg:cNvPr id="7" name="Group 7"/>
                              <wpg:cNvGrpSpPr/>
                              <wpg:grpSpPr>
                                <a:xfrm>
                                  <a:off x="647996" y="175674"/>
                                  <a:ext cx="5557369" cy="3697912"/>
                                  <a:chOff x="494648" y="416578"/>
                                  <a:chExt cx="4792702" cy="3007474"/>
                                </a:xfrm>
                              </wpg:grpSpPr>
                              <wpg:grpSp>
                                <wpg:cNvPr id="9" name="Group 46"/>
                                <wpg:cNvGrpSpPr/>
                                <wpg:grpSpPr>
                                  <a:xfrm>
                                    <a:off x="1097777" y="416578"/>
                                    <a:ext cx="4189573" cy="2624334"/>
                                    <a:chOff x="1097915" y="292735"/>
                                    <a:chExt cx="4190097" cy="2624353"/>
                                  </a:xfrm>
                                </wpg:grpSpPr>
                                <wpg:grpSp>
                                  <wpg:cNvPr id="10" name="Group 47"/>
                                  <wpg:cNvGrpSpPr/>
                                  <wpg:grpSpPr>
                                    <a:xfrm>
                                      <a:off x="1097915" y="292735"/>
                                      <a:ext cx="4157106" cy="2287903"/>
                                      <a:chOff x="1097915" y="292735"/>
                                      <a:chExt cx="4157106" cy="2287903"/>
                                    </a:xfrm>
                                  </wpg:grpSpPr>
                                  <wpg:grpSp>
                                    <wpg:cNvPr id="11" name="Group 48"/>
                                    <wpg:cNvGrpSpPr/>
                                    <wpg:grpSpPr>
                                      <a:xfrm>
                                        <a:off x="1097915" y="292735"/>
                                        <a:ext cx="4157106" cy="1196975"/>
                                        <a:chOff x="1097915" y="292735"/>
                                        <a:chExt cx="4157106" cy="1196975"/>
                                      </a:xfrm>
                                    </wpg:grpSpPr>
                                    <wpg:grpSp>
                                      <wpg:cNvPr id="12" name="Group 49"/>
                                      <wpg:cNvGrpSpPr>
                                        <a:grpSpLocks/>
                                      </wpg:cNvGrpSpPr>
                                      <wpg:grpSpPr bwMode="auto">
                                        <a:xfrm>
                                          <a:off x="1097915" y="292735"/>
                                          <a:ext cx="2136775" cy="1196975"/>
                                          <a:chOff x="2848" y="12135"/>
                                          <a:chExt cx="3365" cy="1885"/>
                                        </a:xfrm>
                                      </wpg:grpSpPr>
                                      <wps:wsp>
                                        <wps:cNvPr id="13" name="Text Box 3"/>
                                        <wps:cNvSpPr txBox="1">
                                          <a:spLocks noChangeArrowheads="1"/>
                                        </wps:cNvSpPr>
                                        <wps:spPr bwMode="auto">
                                          <a:xfrm>
                                            <a:off x="2848" y="13300"/>
                                            <a:ext cx="2016" cy="720"/>
                                          </a:xfrm>
                                          <a:prstGeom prst="rect">
                                            <a:avLst/>
                                          </a:prstGeom>
                                          <a:solidFill>
                                            <a:srgbClr val="FFFFFF"/>
                                          </a:solidFill>
                                          <a:ln w="9525">
                                            <a:solidFill>
                                              <a:srgbClr val="000000"/>
                                            </a:solidFill>
                                            <a:miter lim="800000"/>
                                            <a:headEnd/>
                                            <a:tailEnd/>
                                          </a:ln>
                                        </wps:spPr>
                                        <wps:txbx>
                                          <w:txbxContent>
                                            <w:p w:rsidR="00EC3764" w:rsidRDefault="00EC3764" w:rsidP="00D06D45">
                                              <w:pPr>
                                                <w:pStyle w:val="BodyText3"/>
                                                <w:jc w:val="center"/>
                                                <w:rPr>
                                                  <w:rFonts w:ascii="Garamond" w:hAnsi="Garamond"/>
                                                  <w:sz w:val="24"/>
                                                </w:rPr>
                                              </w:pPr>
                                              <w:r>
                                                <w:rPr>
                                                  <w:rFonts w:ascii="Garamond" w:hAnsi="Garamond"/>
                                                  <w:sz w:val="24"/>
                                                </w:rPr>
                                                <w:t>Unregistered person</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5063" y="13300"/>
                                            <a:ext cx="1150" cy="720"/>
                                          </a:xfrm>
                                          <a:prstGeom prst="rect">
                                            <a:avLst/>
                                          </a:prstGeom>
                                          <a:solidFill>
                                            <a:srgbClr val="FFFFFF"/>
                                          </a:solidFill>
                                          <a:ln w="9525">
                                            <a:solidFill>
                                              <a:srgbClr val="000000"/>
                                            </a:solidFill>
                                            <a:miter lim="800000"/>
                                            <a:headEnd/>
                                            <a:tailEnd/>
                                          </a:ln>
                                        </wps:spPr>
                                        <wps:txbx>
                                          <w:txbxContent>
                                            <w:p w:rsidR="00EC3764" w:rsidRDefault="00EC3764" w:rsidP="00D06D45">
                                              <w:pPr>
                                                <w:jc w:val="center"/>
                                                <w:rPr>
                                                  <w:rFonts w:ascii="Garamond" w:hAnsi="Garamond"/>
                                                </w:rPr>
                                              </w:pPr>
                                              <w:r>
                                                <w:rPr>
                                                  <w:rFonts w:ascii="Garamond" w:hAnsi="Garamond"/>
                                                </w:rPr>
                                                <w:t>Registered person #1</w:t>
                                              </w:r>
                                            </w:p>
                                          </w:txbxContent>
                                        </wps:txbx>
                                        <wps:bodyPr rot="0" vert="horz" wrap="square" lIns="91440" tIns="45720" rIns="91440" bIns="45720" anchor="t" anchorCtr="0" upright="1">
                                          <a:noAutofit/>
                                        </wps:bodyPr>
                                      </wps:wsp>
                                      <wps:wsp>
                                        <wps:cNvPr id="17" name="Arc 8"/>
                                        <wps:cNvSpPr>
                                          <a:spLocks/>
                                        </wps:cNvSpPr>
                                        <wps:spPr bwMode="auto">
                                          <a:xfrm>
                                            <a:off x="3696" y="12729"/>
                                            <a:ext cx="521" cy="667"/>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1"/>
                                        <wps:cNvSpPr txBox="1">
                                          <a:spLocks noChangeArrowheads="1"/>
                                        </wps:cNvSpPr>
                                        <wps:spPr bwMode="auto">
                                          <a:xfrm>
                                            <a:off x="3299" y="12135"/>
                                            <a:ext cx="130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D06D45">
                                              <w:pPr>
                                                <w:keepNext/>
                                                <w:jc w:val="center"/>
                                                <w:rPr>
                                                  <w:rFonts w:ascii="Garamond" w:hAnsi="Garamond"/>
                                                  <w:sz w:val="18"/>
                                                </w:rPr>
                                              </w:pPr>
                                              <w:r>
                                                <w:rPr>
                                                  <w:rFonts w:ascii="Garamond" w:hAnsi="Garamond"/>
                                                  <w:sz w:val="18"/>
                                                </w:rPr>
                                                <w:t>Converts to non-fine gold</w:t>
                                              </w:r>
                                            </w:p>
                                          </w:txbxContent>
                                        </wps:txbx>
                                        <wps:bodyPr rot="0" vert="horz" wrap="square" lIns="91440" tIns="45720" rIns="91440" bIns="45720" anchor="t" anchorCtr="0" upright="1">
                                          <a:noAutofit/>
                                        </wps:bodyPr>
                                      </wps:wsp>
                                    </wpg:grpSp>
                                    <wps:wsp>
                                      <wps:cNvPr id="20" name="Arc 7"/>
                                      <wps:cNvSpPr>
                                        <a:spLocks/>
                                      </wps:cNvSpPr>
                                      <wps:spPr bwMode="auto">
                                        <a:xfrm>
                                          <a:off x="2961050" y="672647"/>
                                          <a:ext cx="616726" cy="365760"/>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4"/>
                                      <wps:cNvSpPr txBox="1">
                                        <a:spLocks noChangeArrowheads="1"/>
                                      </wps:cNvSpPr>
                                      <wps:spPr bwMode="auto">
                                        <a:xfrm>
                                          <a:off x="3336354" y="307976"/>
                                          <a:ext cx="1918667"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6B2540">
                                            <w:pPr>
                                              <w:spacing w:after="0"/>
                                              <w:jc w:val="center"/>
                                              <w:rPr>
                                                <w:rFonts w:ascii="Garamond" w:hAnsi="Garamond"/>
                                                <w:sz w:val="18"/>
                                              </w:rPr>
                                            </w:pPr>
                                            <w:r>
                                              <w:rPr>
                                                <w:rFonts w:ascii="Garamond" w:hAnsi="Garamond"/>
                                                <w:sz w:val="18"/>
                                              </w:rPr>
                                              <w:t xml:space="preserve">Supplies of non-fine gold between </w:t>
                                            </w:r>
                                            <w:proofErr w:type="gramStart"/>
                                            <w:r>
                                              <w:rPr>
                                                <w:rFonts w:ascii="Garamond" w:hAnsi="Garamond"/>
                                                <w:sz w:val="18"/>
                                              </w:rPr>
                                              <w:t>chain</w:t>
                                            </w:r>
                                            <w:proofErr w:type="gramEnd"/>
                                            <w:r>
                                              <w:rPr>
                                                <w:rFonts w:ascii="Garamond" w:hAnsi="Garamond"/>
                                                <w:sz w:val="18"/>
                                              </w:rPr>
                                              <w:t xml:space="preserve"> of two or more registered persons</w:t>
                                            </w:r>
                                          </w:p>
                                          <w:p w:rsidR="00EC3764" w:rsidRDefault="00EC3764" w:rsidP="00D06D45">
                                            <w:pPr>
                                              <w:jc w:val="center"/>
                                              <w:rPr>
                                                <w:rFonts w:ascii="Garamond" w:hAnsi="Garamond"/>
                                                <w:sz w:val="18"/>
                                              </w:rPr>
                                            </w:pPr>
                                            <w:r>
                                              <w:rPr>
                                                <w:rFonts w:ascii="Garamond" w:hAnsi="Garamond"/>
                                                <w:sz w:val="18"/>
                                              </w:rPr>
                                              <w:t>(</w:t>
                                            </w:r>
                                            <w:proofErr w:type="gramStart"/>
                                            <w:r>
                                              <w:rPr>
                                                <w:rFonts w:ascii="Garamond" w:hAnsi="Garamond"/>
                                                <w:sz w:val="18"/>
                                              </w:rPr>
                                              <w:t>secondhand</w:t>
                                            </w:r>
                                            <w:proofErr w:type="gramEnd"/>
                                            <w:r>
                                              <w:rPr>
                                                <w:rFonts w:ascii="Garamond" w:hAnsi="Garamond"/>
                                                <w:sz w:val="18"/>
                                              </w:rPr>
                                              <w:t xml:space="preserve"> goods deduction)</w:t>
                                            </w:r>
                                          </w:p>
                                        </w:txbxContent>
                                      </wps:txbx>
                                      <wps:bodyPr rot="0" vert="horz" wrap="square" lIns="91440" tIns="45720" rIns="91440" bIns="45720" anchor="t" anchorCtr="0" upright="1">
                                        <a:noAutofit/>
                                      </wps:bodyPr>
                                    </wps:wsp>
                                  </wpg:grpSp>
                                  <wps:wsp>
                                    <wps:cNvPr id="22" name="Text Box 5"/>
                                    <wps:cNvSpPr txBox="1">
                                      <a:spLocks noChangeArrowheads="1"/>
                                    </wps:cNvSpPr>
                                    <wps:spPr bwMode="auto">
                                      <a:xfrm>
                                        <a:off x="1710700" y="2124073"/>
                                        <a:ext cx="1356360" cy="456565"/>
                                      </a:xfrm>
                                      <a:prstGeom prst="rect">
                                        <a:avLst/>
                                      </a:prstGeom>
                                      <a:solidFill>
                                        <a:srgbClr val="FFFFFF"/>
                                      </a:solidFill>
                                      <a:ln w="9525">
                                        <a:solidFill>
                                          <a:srgbClr val="000000"/>
                                        </a:solidFill>
                                        <a:prstDash val="solid"/>
                                        <a:miter lim="800000"/>
                                        <a:headEnd/>
                                        <a:tailEnd/>
                                      </a:ln>
                                    </wps:spPr>
                                    <wps:txbx>
                                      <w:txbxContent>
                                        <w:p w:rsidR="00EC3764" w:rsidRDefault="00EC3764" w:rsidP="00D06D45">
                                          <w:pPr>
                                            <w:jc w:val="center"/>
                                            <w:rPr>
                                              <w:rFonts w:ascii="Garamond" w:hAnsi="Garamond"/>
                                            </w:rPr>
                                          </w:pPr>
                                          <w:r>
                                            <w:rPr>
                                              <w:rFonts w:ascii="Garamond" w:hAnsi="Garamond"/>
                                            </w:rPr>
                                            <w:t>Refiner</w:t>
                                          </w:r>
                                        </w:p>
                                      </w:txbxContent>
                                    </wps:txbx>
                                    <wps:bodyPr rot="0" vert="horz" wrap="square" lIns="91440" tIns="45720" rIns="91440" bIns="45720" anchor="t" anchorCtr="0" upright="1">
                                      <a:noAutofit/>
                                    </wps:bodyPr>
                                  </wps:wsp>
                                </wpg:grpSp>
                                <wps:wsp>
                                  <wps:cNvPr id="23" name="Text Box 15"/>
                                  <wps:cNvSpPr txBox="1">
                                    <a:spLocks noChangeArrowheads="1"/>
                                  </wps:cNvSpPr>
                                  <wps:spPr bwMode="auto">
                                    <a:xfrm>
                                      <a:off x="3374773" y="2423031"/>
                                      <a:ext cx="1913239" cy="494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D06D45">
                                        <w:pPr>
                                          <w:spacing w:after="0"/>
                                          <w:jc w:val="center"/>
                                          <w:rPr>
                                            <w:rFonts w:ascii="Garamond" w:hAnsi="Garamond"/>
                                            <w:sz w:val="18"/>
                                          </w:rPr>
                                        </w:pPr>
                                        <w:r>
                                          <w:rPr>
                                            <w:rFonts w:ascii="Garamond" w:hAnsi="Garamond"/>
                                            <w:sz w:val="18"/>
                                          </w:rPr>
                                          <w:t>Registered person exports gold</w:t>
                                        </w:r>
                                      </w:p>
                                      <w:p w:rsidR="00EC3764" w:rsidRDefault="00EC3764" w:rsidP="00D06D45">
                                        <w:pPr>
                                          <w:spacing w:after="0"/>
                                          <w:jc w:val="center"/>
                                          <w:rPr>
                                            <w:rFonts w:ascii="Garamond" w:hAnsi="Garamond"/>
                                            <w:sz w:val="18"/>
                                          </w:rPr>
                                        </w:pPr>
                                        <w:r>
                                          <w:rPr>
                                            <w:rFonts w:ascii="Garamond" w:hAnsi="Garamond"/>
                                            <w:sz w:val="18"/>
                                          </w:rPr>
                                          <w:t>(Zero-rated import)</w:t>
                                        </w:r>
                                      </w:p>
                                    </w:txbxContent>
                                  </wps:txbx>
                                  <wps:bodyPr rot="0" vert="horz" wrap="square" lIns="91440" tIns="45720" rIns="91440" bIns="45720" anchor="t" anchorCtr="0" upright="1">
                                    <a:noAutofit/>
                                  </wps:bodyPr>
                                </wps:wsp>
                              </wpg:grpSp>
                              <wps:wsp>
                                <wps:cNvPr id="25" name="Arc 8"/>
                                <wps:cNvSpPr>
                                  <a:spLocks/>
                                </wps:cNvSpPr>
                                <wps:spPr bwMode="auto">
                                  <a:xfrm rot="3911679" flipH="1" flipV="1">
                                    <a:off x="637360" y="1772289"/>
                                    <a:ext cx="1050385" cy="528767"/>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8"/>
                                <wps:cNvSpPr>
                                  <a:spLocks/>
                                </wps:cNvSpPr>
                                <wps:spPr bwMode="auto">
                                  <a:xfrm rot="19841556" flipH="1" flipV="1">
                                    <a:off x="3068921" y="2104104"/>
                                    <a:ext cx="1939436" cy="273685"/>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8"/>
                                <wps:cNvSpPr>
                                  <a:spLocks/>
                                </wps:cNvSpPr>
                                <wps:spPr bwMode="auto">
                                  <a:xfrm rot="10800000">
                                    <a:off x="1999873" y="2618004"/>
                                    <a:ext cx="802640" cy="422910"/>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1"/>
                                <wps:cNvSpPr txBox="1">
                                  <a:spLocks noChangeArrowheads="1"/>
                                </wps:cNvSpPr>
                                <wps:spPr bwMode="auto">
                                  <a:xfrm>
                                    <a:off x="1936520" y="3040912"/>
                                    <a:ext cx="828040" cy="38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D06D45">
                                      <w:pPr>
                                        <w:jc w:val="center"/>
                                        <w:rPr>
                                          <w:rFonts w:ascii="Garamond" w:hAnsi="Garamond"/>
                                          <w:sz w:val="18"/>
                                        </w:rPr>
                                      </w:pPr>
                                      <w:r>
                                        <w:rPr>
                                          <w:rFonts w:ascii="Garamond" w:hAnsi="Garamond"/>
                                          <w:sz w:val="18"/>
                                        </w:rPr>
                                        <w:t>Converts to fine gold</w:t>
                                      </w:r>
                                    </w:p>
                                  </w:txbxContent>
                                </wps:txbx>
                                <wps:bodyPr rot="0" vert="horz" wrap="square" lIns="91440" tIns="45720" rIns="91440" bIns="45720" anchor="t" anchorCtr="0" upright="1">
                                  <a:noAutofit/>
                                </wps:bodyPr>
                              </wps:wsp>
                              <wps:wsp>
                                <wps:cNvPr id="29" name="Text Box 14"/>
                                <wps:cNvSpPr txBox="1">
                                  <a:spLocks noChangeArrowheads="1"/>
                                </wps:cNvSpPr>
                                <wps:spPr bwMode="auto">
                                  <a:xfrm>
                                    <a:off x="494648" y="2428163"/>
                                    <a:ext cx="889472" cy="734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D06D45">
                                      <w:pPr>
                                        <w:jc w:val="center"/>
                                        <w:rPr>
                                          <w:rFonts w:ascii="Garamond" w:hAnsi="Garamond"/>
                                          <w:sz w:val="18"/>
                                        </w:rPr>
                                      </w:pPr>
                                      <w:r>
                                        <w:rPr>
                                          <w:rFonts w:ascii="Garamond" w:hAnsi="Garamond"/>
                                          <w:sz w:val="18"/>
                                        </w:rPr>
                                        <w:t>Fine gold reimported (GST not charged upon import)</w:t>
                                      </w:r>
                                    </w:p>
                                  </w:txbxContent>
                                </wps:txbx>
                                <wps:bodyPr rot="0" vert="horz" wrap="square" lIns="91440" tIns="45720" rIns="91440" bIns="45720" anchor="t" anchorCtr="0" upright="1">
                                  <a:noAutofit/>
                                </wps:bodyPr>
                              </wps:wsp>
                            </wpg:grpSp>
                            <wps:wsp>
                              <wps:cNvPr id="30" name="Arc 7"/>
                              <wps:cNvSpPr>
                                <a:spLocks/>
                              </wps:cNvSpPr>
                              <wps:spPr bwMode="auto">
                                <a:xfrm>
                                  <a:off x="2565070" y="629392"/>
                                  <a:ext cx="715010" cy="449580"/>
                                </a:xfrm>
                                <a:custGeom>
                                  <a:avLst/>
                                  <a:gdLst>
                                    <a:gd name="G0" fmla="+- 20801 0 0"/>
                                    <a:gd name="G1" fmla="+- 21600 0 0"/>
                                    <a:gd name="G2" fmla="+- 21600 0 0"/>
                                    <a:gd name="T0" fmla="*/ 0 w 41683"/>
                                    <a:gd name="T1" fmla="*/ 15781 h 21600"/>
                                    <a:gd name="T2" fmla="*/ 41683 w 41683"/>
                                    <a:gd name="T3" fmla="*/ 16079 h 21600"/>
                                    <a:gd name="T4" fmla="*/ 20801 w 41683"/>
                                    <a:gd name="T5" fmla="*/ 21600 h 21600"/>
                                  </a:gdLst>
                                  <a:ahLst/>
                                  <a:cxnLst>
                                    <a:cxn ang="0">
                                      <a:pos x="T0" y="T1"/>
                                    </a:cxn>
                                    <a:cxn ang="0">
                                      <a:pos x="T2" y="T3"/>
                                    </a:cxn>
                                    <a:cxn ang="0">
                                      <a:pos x="T4" y="T5"/>
                                    </a:cxn>
                                  </a:cxnLst>
                                  <a:rect l="0" t="0" r="r" b="b"/>
                                  <a:pathLst>
                                    <a:path w="41683" h="21600" fill="none" extrusionOk="0">
                                      <a:moveTo>
                                        <a:pt x="-1" y="15780"/>
                                      </a:moveTo>
                                      <a:cubicBezTo>
                                        <a:pt x="2609" y="6450"/>
                                        <a:pt x="11112" y="-1"/>
                                        <a:pt x="20801" y="0"/>
                                      </a:cubicBezTo>
                                      <a:cubicBezTo>
                                        <a:pt x="30603" y="0"/>
                                        <a:pt x="39177" y="6601"/>
                                        <a:pt x="41683" y="16078"/>
                                      </a:cubicBezTo>
                                    </a:path>
                                    <a:path w="41683" h="21600" stroke="0" extrusionOk="0">
                                      <a:moveTo>
                                        <a:pt x="-1" y="15780"/>
                                      </a:moveTo>
                                      <a:cubicBezTo>
                                        <a:pt x="2609" y="6450"/>
                                        <a:pt x="11112" y="-1"/>
                                        <a:pt x="20801" y="0"/>
                                      </a:cubicBezTo>
                                      <a:cubicBezTo>
                                        <a:pt x="30603" y="0"/>
                                        <a:pt x="39177" y="6601"/>
                                        <a:pt x="41683" y="16078"/>
                                      </a:cubicBezTo>
                                      <a:lnTo>
                                        <a:pt x="20801"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101" o:spid="_x0000_s1031" style="position:absolute;margin-left:7.95pt;margin-top:8.3pt;width:437.55pt;height:291.15pt;z-index:251675648;mso-width-relative:margin;mso-height-relative:margin" coordorigin="6479,1756" coordsize="55573,3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">
                <v:shape id="Text Box 5" o:spid="_x0000_s1032" type="#_x0000_t202" style="position:absolute;left:39426;top:10925;width:8466;height: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lG8QA&#10;AADbAAAADwAAAGRycy9kb3ducmV2LnhtbESPzWvCQBTE74L/w/KE3nRToY2NriL2Q09CUw89PrMv&#10;HzT7NmS3SfzvXUHwOMzMb5jVZjC16Kh1lWUFz7MIBHFmdcWFgtPP53QBwnlkjbVlUnAhB5v1eLTC&#10;RNuev6lLfSEChF2CCkrvm0RKl5Vk0M1sQxy83LYGfZBtIXWLfYCbWs6j6FUarDgslNjQrqTsL/03&#10;Co57tzjHH93vV3qy78c+zvFlniv1NBm2SxCeBv8I39sHreAthtu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5RvEAAAA2wAAAA8AAAAAAAAAAAAAAAAAmAIAAGRycy9k&#10;b3ducmV2LnhtbFBLBQYAAAAABAAEAPUAAACJAwAAAAA=&#10;">
                  <v:stroke dashstyle="dash"/>
                  <v:textbox>
                    <w:txbxContent>
                      <w:p w:rsidR="00EC3764" w:rsidRDefault="00EC3764" w:rsidP="00D06D45">
                        <w:pPr>
                          <w:jc w:val="center"/>
                          <w:rPr>
                            <w:rFonts w:ascii="Garamond" w:hAnsi="Garamond"/>
                          </w:rPr>
                        </w:pPr>
                        <w:r>
                          <w:rPr>
                            <w:rFonts w:ascii="Garamond" w:hAnsi="Garamond"/>
                          </w:rPr>
                          <w:t>Registered person #2</w:t>
                        </w:r>
                      </w:p>
                    </w:txbxContent>
                  </v:textbox>
                </v:shape>
                <v:group id="Group 100" o:spid="_x0000_s1033" style="position:absolute;left:6479;top:1756;width:55574;height:36979" coordorigin="6479,1756" coordsize="55573,3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5" o:spid="_x0000_s1034" type="#_x0000_t202" style="position:absolute;left:48926;top:10925;width:846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AgMUA&#10;AADbAAAADwAAAGRycy9kb3ducmV2LnhtbESPS2vDMBCE74X8B7GB3ho5gbzcyCYkaZtToE4OPW6t&#10;9YNaK2Optvvvq0Kgx2FmvmF26Wga0VPnassK5rMIBHFudc2lgtv15WkDwnlkjY1lUvBDDtJk8rDD&#10;WNuB36nPfCkChF2MCirv21hKl1dk0M1sSxy8wnYGfZBdKXWHQ4CbRi6iaCUN1hwWKmzpUFH+lX0b&#10;BZc3t/lcn/qP1+xmj5dhXeByUSj1OB33zyA8jf4/fG+ftYLtCv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kCAxQAAANsAAAAPAAAAAAAAAAAAAAAAAJgCAABkcnMv&#10;ZG93bnJldi54bWxQSwUGAAAAAAQABAD1AAAAigMAAAAA&#10;">
                    <v:stroke dashstyle="dash"/>
                    <v:textbox>
                      <w:txbxContent>
                        <w:p w:rsidR="00EC3764" w:rsidRDefault="00EC3764" w:rsidP="00D06D45">
                          <w:pPr>
                            <w:jc w:val="center"/>
                            <w:rPr>
                              <w:rFonts w:ascii="Garamond" w:hAnsi="Garamond"/>
                            </w:rPr>
                          </w:pPr>
                          <w:r>
                            <w:rPr>
                              <w:rFonts w:ascii="Garamond" w:hAnsi="Garamond"/>
                            </w:rPr>
                            <w:t>Registered person #3</w:t>
                          </w:r>
                        </w:p>
                      </w:txbxContent>
                    </v:textbox>
                  </v:shape>
                  <v:group id="Group 99" o:spid="_x0000_s1035" style="position:absolute;left:6479;top:1756;width:55574;height:36979" coordorigin="6479,1756" coordsize="55573,3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rc 7" o:spid="_x0000_s1036" style="position:absolute;left:44176;top:6412;width:7150;height:4496;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ScUA&#10;AADbAAAADwAAAGRycy9kb3ducmV2LnhtbESPQWvCQBSE7wX/w/IEb83GWopEV9GKVQoeGj3o7Zl9&#10;JsHs25BdTfz3bqHQ4zAz3zDTeWcqcafGlZYVDKMYBHFmdcm5gsN+/ToG4TyyxsoyKXiQg/ms9zLF&#10;RNuWf+ie+lwECLsEFRTe14mULivIoItsTRy8i20M+iCbXOoG2wA3lXyL4w9psOSwUGBNnwVl1/Rm&#10;FOxO27LL+ft4St93X2e93KxW7UapQb9bTEB46vx/+K+91QpGQ/j9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gtJxQAAANsAAAAPAAAAAAAAAAAAAAAAAJgCAABkcnMv&#10;ZG93bnJldi54bWxQSwUGAAAAAAQABAD1AAAAigMAAAAA&#10;" path="m-1,15780nfc2609,6450,11112,-1,20801,v9802,,18376,6601,20882,16078em-1,15780nsc2609,6450,11112,-1,20801,v9802,,18376,6601,20882,16078l20801,21600,-1,15780xe" filled="f">
                      <v:stroke dashstyle="dash" endarrow="block"/>
                      <v:path arrowok="t" o:extrusionok="f" o:connecttype="custom" o:connectlocs="0,328464;715010,334667;356810,449580" o:connectangles="0,0,0"/>
                    </v:shape>
                    <v:group id="Group 98" o:spid="_x0000_s1037" style="position:absolute;left:6479;top:1756;width:55574;height:36979" coordorigin="6479,1756" coordsize="55573,3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7" o:spid="_x0000_s1038" style="position:absolute;left:6479;top:1756;width:55574;height:36979" coordorigin="4946,4165" coordsize="47927,30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6" o:spid="_x0000_s1039" style="position:absolute;left:10977;top:4165;width:41896;height:26244" coordorigin="10979,2927" coordsize="41900,26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47" o:spid="_x0000_s1040" style="position:absolute;left:10979;top:2927;width:41571;height:22879" coordorigin="10979,2927" coordsize="41571,2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8" o:spid="_x0000_s1041" style="position:absolute;left:10979;top:2927;width:41571;height:11970" coordorigin="10979,2927" coordsize="41571,1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9" o:spid="_x0000_s1042" style="position:absolute;left:10979;top:2927;width:21367;height:11970" coordorigin="2848,12135" coordsize="3365,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_x0000_s1043" type="#_x0000_t202" style="position:absolute;left:2848;top:13300;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C3764" w:rsidRDefault="00EC3764" w:rsidP="00D06D45">
                                        <w:pPr>
                                          <w:pStyle w:val="BodyText3"/>
                                          <w:jc w:val="center"/>
                                          <w:rPr>
                                            <w:rFonts w:ascii="Garamond" w:hAnsi="Garamond"/>
                                            <w:sz w:val="24"/>
                                          </w:rPr>
                                        </w:pPr>
                                        <w:r>
                                          <w:rPr>
                                            <w:rFonts w:ascii="Garamond" w:hAnsi="Garamond"/>
                                            <w:sz w:val="24"/>
                                          </w:rPr>
                                          <w:t>Unregistered person</w:t>
                                        </w:r>
                                      </w:p>
                                    </w:txbxContent>
                                  </v:textbox>
                                </v:shape>
                                <v:shape id="Text Box 5" o:spid="_x0000_s1044" type="#_x0000_t202" style="position:absolute;left:5063;top:13300;width:1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C3764" w:rsidRDefault="00EC3764" w:rsidP="00D06D45">
                                        <w:pPr>
                                          <w:jc w:val="center"/>
                                          <w:rPr>
                                            <w:rFonts w:ascii="Garamond" w:hAnsi="Garamond"/>
                                          </w:rPr>
                                        </w:pPr>
                                        <w:r>
                                          <w:rPr>
                                            <w:rFonts w:ascii="Garamond" w:hAnsi="Garamond"/>
                                          </w:rPr>
                                          <w:t>Registered person #1</w:t>
                                        </w:r>
                                      </w:p>
                                    </w:txbxContent>
                                  </v:textbox>
                                </v:shape>
                                <v:shape id="Arc 8" o:spid="_x0000_s1045" style="position:absolute;left:3696;top:12729;width:521;height:667;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kTsIA&#10;AADbAAAADwAAAGRycy9kb3ducmV2LnhtbERP32vCMBB+H+x/CDfwTVMF3dYZRaZCUQSnsuejuTV1&#10;zaU2Uet/bwbC3u7j+3njaWsrcaHGl44V9HsJCOLc6ZILBYf9svsGwgdkjZVjUnAjD9PJ89MYU+2u&#10;/EWXXShEDGGfogITQp1K6XNDFn3P1cSR+3GNxRBhU0jd4DWG20oOkmQkLZYcGwzW9Gko/92drYLs&#10;uNL799PQlN+H9fzY32yz22KmVOelnX2ACNSGf/HDnek4/xX+fok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PqROwgAAANsAAAAPAAAAAAAAAAAAAAAAAJgCAABkcnMvZG93&#10;bnJldi54bWxQSwUGAAAAAAQABAD1AAAAhwMAAAAA&#10;" path="m-1,15780nfc2609,6450,11112,-1,20801,v9802,,18376,6601,20882,16078em-1,15780nsc2609,6450,11112,-1,20801,v9802,,18376,6601,20882,16078l20801,21600,-1,15780xe" filled="f">
                                  <v:stroke endarrow="block"/>
                                  <v:path arrowok="t" o:extrusionok="f" o:connecttype="custom" o:connectlocs="0,487;521,497;260,667" o:connectangles="0,0,0"/>
                                </v:shape>
                                <v:shape id="_x0000_s1046" type="#_x0000_t202" style="position:absolute;left:3299;top:12135;width:1305;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C3764" w:rsidRDefault="00EC3764" w:rsidP="00D06D45">
                                        <w:pPr>
                                          <w:keepNext/>
                                          <w:jc w:val="center"/>
                                          <w:rPr>
                                            <w:rFonts w:ascii="Garamond" w:hAnsi="Garamond"/>
                                            <w:sz w:val="18"/>
                                          </w:rPr>
                                        </w:pPr>
                                        <w:r>
                                          <w:rPr>
                                            <w:rFonts w:ascii="Garamond" w:hAnsi="Garamond"/>
                                            <w:sz w:val="18"/>
                                          </w:rPr>
                                          <w:t>Converts to non-fine gold</w:t>
                                        </w:r>
                                      </w:p>
                                    </w:txbxContent>
                                  </v:textbox>
                                </v:shape>
                              </v:group>
                              <v:shape id="Arc 7" o:spid="_x0000_s1047" style="position:absolute;left:29610;top:6726;width:6167;height:3658;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4D8MA&#10;AADbAAAADwAAAGRycy9kb3ducmV2LnhtbERPTWvCQBC9F/oflil4azZKKRKzCbXSKgUPRg/mNs1O&#10;k9DsbMiuJv333YPg8fG+03wynbjS4FrLCuZRDIK4srrlWsHp+PG8BOE8ssbOMin4Iwd59viQYqLt&#10;yAe6Fr4WIYRdggoa7/tESlc1ZNBFticO3I8dDPoAh1rqAccQbjq5iONXabDl0NBgT+8NVb/FxSjY&#10;l7t2qvnrXBYv+89vvd5uNuNWqdnT9LYC4Wnyd/HNvdMKFmF9+B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4D8MAAADbAAAADwAAAAAAAAAAAAAAAACYAgAAZHJzL2Rv&#10;d25yZXYueG1sUEsFBgAAAAAEAAQA9QAAAIgDAAAAAA==&#10;" path="m-1,15780nfc2609,6450,11112,-1,20801,v9802,,18376,6601,20882,16078em-1,15780nsc2609,6450,11112,-1,20801,v9802,,18376,6601,20882,16078l20801,21600,-1,15780xe" filled="f">
                                <v:stroke dashstyle="dash" endarrow="block"/>
                                <v:path arrowok="t" o:extrusionok="f" o:connecttype="custom" o:connectlocs="0,267225;616726,272271;307764,365760" o:connectangles="0,0,0"/>
                              </v:shape>
                              <v:shape id="Text Box 14" o:spid="_x0000_s1048" type="#_x0000_t202" style="position:absolute;left:33363;top:3079;width:1918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C3764" w:rsidRDefault="00EC3764" w:rsidP="006B2540">
                                      <w:pPr>
                                        <w:spacing w:after="0"/>
                                        <w:jc w:val="center"/>
                                        <w:rPr>
                                          <w:rFonts w:ascii="Garamond" w:hAnsi="Garamond"/>
                                          <w:sz w:val="18"/>
                                        </w:rPr>
                                      </w:pPr>
                                      <w:r>
                                        <w:rPr>
                                          <w:rFonts w:ascii="Garamond" w:hAnsi="Garamond"/>
                                          <w:sz w:val="18"/>
                                        </w:rPr>
                                        <w:t xml:space="preserve">Supplies of non-fine gold between </w:t>
                                      </w:r>
                                      <w:proofErr w:type="gramStart"/>
                                      <w:r>
                                        <w:rPr>
                                          <w:rFonts w:ascii="Garamond" w:hAnsi="Garamond"/>
                                          <w:sz w:val="18"/>
                                        </w:rPr>
                                        <w:t>chain</w:t>
                                      </w:r>
                                      <w:proofErr w:type="gramEnd"/>
                                      <w:r>
                                        <w:rPr>
                                          <w:rFonts w:ascii="Garamond" w:hAnsi="Garamond"/>
                                          <w:sz w:val="18"/>
                                        </w:rPr>
                                        <w:t xml:space="preserve"> of two or more registered persons</w:t>
                                      </w:r>
                                    </w:p>
                                    <w:p w:rsidR="00EC3764" w:rsidRDefault="00EC3764" w:rsidP="00D06D45">
                                      <w:pPr>
                                        <w:jc w:val="center"/>
                                        <w:rPr>
                                          <w:rFonts w:ascii="Garamond" w:hAnsi="Garamond"/>
                                          <w:sz w:val="18"/>
                                        </w:rPr>
                                      </w:pPr>
                                      <w:r>
                                        <w:rPr>
                                          <w:rFonts w:ascii="Garamond" w:hAnsi="Garamond"/>
                                          <w:sz w:val="18"/>
                                        </w:rPr>
                                        <w:t>(</w:t>
                                      </w:r>
                                      <w:proofErr w:type="gramStart"/>
                                      <w:r>
                                        <w:rPr>
                                          <w:rFonts w:ascii="Garamond" w:hAnsi="Garamond"/>
                                          <w:sz w:val="18"/>
                                        </w:rPr>
                                        <w:t>secondhand</w:t>
                                      </w:r>
                                      <w:proofErr w:type="gramEnd"/>
                                      <w:r>
                                        <w:rPr>
                                          <w:rFonts w:ascii="Garamond" w:hAnsi="Garamond"/>
                                          <w:sz w:val="18"/>
                                        </w:rPr>
                                        <w:t xml:space="preserve"> goods deduction)</w:t>
                                      </w:r>
                                    </w:p>
                                  </w:txbxContent>
                                </v:textbox>
                              </v:shape>
                            </v:group>
                            <v:shape id="Text Box 5" o:spid="_x0000_s1049" type="#_x0000_t202" style="position:absolute;left:17107;top:21240;width:13563;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C3764" w:rsidRDefault="00EC3764" w:rsidP="00D06D45">
                                    <w:pPr>
                                      <w:jc w:val="center"/>
                                      <w:rPr>
                                        <w:rFonts w:ascii="Garamond" w:hAnsi="Garamond"/>
                                      </w:rPr>
                                    </w:pPr>
                                    <w:r>
                                      <w:rPr>
                                        <w:rFonts w:ascii="Garamond" w:hAnsi="Garamond"/>
                                      </w:rPr>
                                      <w:t>Refiner</w:t>
                                    </w:r>
                                  </w:p>
                                </w:txbxContent>
                              </v:textbox>
                            </v:shape>
                          </v:group>
                          <v:shape id="Text Box 15" o:spid="_x0000_s1050" type="#_x0000_t202" style="position:absolute;left:33747;top:24230;width:19133;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C3764" w:rsidRDefault="00EC3764" w:rsidP="00D06D45">
                                  <w:pPr>
                                    <w:spacing w:after="0"/>
                                    <w:jc w:val="center"/>
                                    <w:rPr>
                                      <w:rFonts w:ascii="Garamond" w:hAnsi="Garamond"/>
                                      <w:sz w:val="18"/>
                                    </w:rPr>
                                  </w:pPr>
                                  <w:r>
                                    <w:rPr>
                                      <w:rFonts w:ascii="Garamond" w:hAnsi="Garamond"/>
                                      <w:sz w:val="18"/>
                                    </w:rPr>
                                    <w:t>Registered person exports gold</w:t>
                                  </w:r>
                                </w:p>
                                <w:p w:rsidR="00EC3764" w:rsidRDefault="00EC3764" w:rsidP="00D06D45">
                                  <w:pPr>
                                    <w:spacing w:after="0"/>
                                    <w:jc w:val="center"/>
                                    <w:rPr>
                                      <w:rFonts w:ascii="Garamond" w:hAnsi="Garamond"/>
                                      <w:sz w:val="18"/>
                                    </w:rPr>
                                  </w:pPr>
                                  <w:r>
                                    <w:rPr>
                                      <w:rFonts w:ascii="Garamond" w:hAnsi="Garamond"/>
                                      <w:sz w:val="18"/>
                                    </w:rPr>
                                    <w:t>(Zero-rated import)</w:t>
                                  </w:r>
                                </w:p>
                              </w:txbxContent>
                            </v:textbox>
                          </v:shape>
                        </v:group>
                        <v:shape id="Arc 8" o:spid="_x0000_s1051" style="position:absolute;left:6373;top:17722;width:10504;height:5288;rotation:4272597fd;flip:x y;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IMUA&#10;AADbAAAADwAAAGRycy9kb3ducmV2LnhtbESPQWvCQBSE70L/w/IKvYhuVCyauopECh6K2Cj2+si+&#10;JqHZtyG7JvHfuwXB4zAz3zCrTW8q0VLjSssKJuMIBHFmdcm5gvPpc7QA4TyyxsoyKbiRg836ZbDC&#10;WNuOv6lNfS4ChF2MCgrv61hKlxVk0I1tTRy8X9sY9EE2udQNdgFuKjmNondpsOSwUGBNSUHZX3o1&#10;Co7LpN0dvoa7i/wpk1l27W4z6pR6e+23HyA89f4ZfrT3WsF0Dv9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IcgxQAAANsAAAAPAAAAAAAAAAAAAAAAAJgCAABkcnMv&#10;ZG93bnJldi54bWxQSwUGAAAAAAQABAD1AAAAigMAAAAA&#10;" path="m-1,15780nfc2609,6450,11112,-1,20801,v9802,,18376,6601,20882,16078em-1,15780nsc2609,6450,11112,-1,20801,v9802,,18376,6601,20882,16078l20801,21600,-1,15780xe" filled="f">
                          <v:stroke endarrow="block"/>
                          <v:path arrowok="t" o:extrusionok="f" o:connecttype="custom" o:connectlocs="0,386318;1050385,393613;524172,528767" o:connectangles="0,0,0"/>
                        </v:shape>
                        <v:shape id="Arc 8" o:spid="_x0000_s1052" style="position:absolute;left:30689;top:21041;width:19394;height:2736;rotation:-1920690fd;flip:x y;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NZ8UA&#10;AADbAAAADwAAAGRycy9kb3ducmV2LnhtbESPQWvCQBSE70L/w/IK3nSjllCimyBplR7ag1b0+sy+&#10;ZkOzb0N21fTfdwsFj8PMfMOsisG24kq9bxwrmE0TEMSV0w3XCg6fm8kzCB+QNbaOScEPeSjyh9EK&#10;M+1uvKPrPtQiQthnqMCE0GVS+sqQRT91HXH0vlxvMUTZ11L3eItw28p5kqTSYsNxwWBHpaHqe3+x&#10;Cs7Hj9N7Vab65VQvFkn5ap78dqfU+HFYL0EEGsI9/N9+0wrmK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g1nxQAAANsAAAAPAAAAAAAAAAAAAAAAAJgCAABkcnMv&#10;ZG93bnJldi54bWxQSwUGAAAAAAQABAD1AAAAigMAAAAA&#10;" path="m-1,15780nfc2609,6450,11112,-1,20801,v9802,,18376,6601,20882,16078em-1,15780nsc2609,6450,11112,-1,20801,v9802,,18376,6601,20882,16078l20801,21600,-1,15780xe" filled="f">
                          <v:stroke endarrow="block"/>
                          <v:path arrowok="t" o:extrusionok="f" o:connecttype="custom" o:connectlocs="0,199955;1939436,203731;967834,273685" o:connectangles="0,0,0"/>
                        </v:shape>
                        <v:shape id="Arc 8" o:spid="_x0000_s1053" style="position:absolute;left:19998;top:26180;width:8027;height:4229;rotation:180;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W1MQA&#10;AADbAAAADwAAAGRycy9kb3ducmV2LnhtbESPUWvCMBSF3wX/Q7jC3maqD7N0jTJlg00ZONcfcGmu&#10;TbG5qUmm3b83g4GPh3POdzjlarCduJAPrWMFs2kGgrh2uuVGQfX99piDCBFZY+eYFPxSgNVyPCqx&#10;0O7KX3Q5xEYkCIcCFZgY+0LKUBuyGKauJ07e0XmLMUnfSO3xmuC2k/Mse5IWW04LBnvaGKpPhx+r&#10;4Ozzz2q3bdah3e1P5viR2Xz7qtTDZHh5BhFpiPfwf/tdK5gv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ltTEAAAA2wAAAA8AAAAAAAAAAAAAAAAAmAIAAGRycy9k&#10;b3ducmV2LnhtbFBLBQYAAAAABAAEAPUAAACJAwAAAAA=&#10;" path="m-1,15780nfc2609,6450,11112,-1,20801,v9802,,18376,6601,20882,16078em-1,15780nsc2609,6450,11112,-1,20801,v9802,,18376,6601,20882,16078l20801,21600,-1,15780xe" filled="f">
                          <v:stroke endarrow="block"/>
                          <v:path arrowok="t" o:extrusionok="f" o:connecttype="custom" o:connectlocs="0,308979;802640,314813;400540,422910" o:connectangles="0,0,0"/>
                        </v:shape>
                        <v:shape id="_x0000_s1054" type="#_x0000_t202" style="position:absolute;left:19365;top:30409;width:8280;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C3764" w:rsidRDefault="00EC3764" w:rsidP="00D06D45">
                                <w:pPr>
                                  <w:jc w:val="center"/>
                                  <w:rPr>
                                    <w:rFonts w:ascii="Garamond" w:hAnsi="Garamond"/>
                                    <w:sz w:val="18"/>
                                  </w:rPr>
                                </w:pPr>
                                <w:r>
                                  <w:rPr>
                                    <w:rFonts w:ascii="Garamond" w:hAnsi="Garamond"/>
                                    <w:sz w:val="18"/>
                                  </w:rPr>
                                  <w:t>Converts to fine gold</w:t>
                                </w:r>
                              </w:p>
                            </w:txbxContent>
                          </v:textbox>
                        </v:shape>
                        <v:shape id="Text Box 14" o:spid="_x0000_s1055" type="#_x0000_t202" style="position:absolute;left:4946;top:24281;width:8895;height:7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C3764" w:rsidRDefault="00EC3764" w:rsidP="00D06D45">
                                <w:pPr>
                                  <w:jc w:val="center"/>
                                  <w:rPr>
                                    <w:rFonts w:ascii="Garamond" w:hAnsi="Garamond"/>
                                    <w:sz w:val="18"/>
                                  </w:rPr>
                                </w:pPr>
                                <w:r>
                                  <w:rPr>
                                    <w:rFonts w:ascii="Garamond" w:hAnsi="Garamond"/>
                                    <w:sz w:val="18"/>
                                  </w:rPr>
                                  <w:t>Fine gold reimported (GST not charged upon import)</w:t>
                                </w:r>
                              </w:p>
                            </w:txbxContent>
                          </v:textbox>
                        </v:shape>
                      </v:group>
                      <v:shape id="Arc 7" o:spid="_x0000_s1056" style="position:absolute;left:25650;top:6293;width:7150;height:4496;visibility:visible;mso-wrap-style:square;v-text-anchor:top" coordsize="4168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gWsIA&#10;AADbAAAADwAAAGRycy9kb3ducmV2LnhtbERPW2vCMBR+H+w/hDPwTVMnjlmNIlOhOIR5wedDc9bU&#10;NSe1iVr/vXkQ9vjx3Sez1lbiSo0vHSvo9xIQxLnTJRcKDvtV9xOED8gaK8ek4E4eZtPXlwmm2t14&#10;S9ddKEQMYZ+iAhNCnUrpc0MWfc/VxJH7dY3FEGFTSN3gLYbbSr4nyYe0WHJsMFjTl6H8b3exCrLT&#10;Wu9H56Epj4fvxam/+cnuy7lSnbd2PgYRqA3/4qc70woGcX3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mBawgAAANsAAAAPAAAAAAAAAAAAAAAAAJgCAABkcnMvZG93&#10;bnJldi54bWxQSwUGAAAAAAQABAD1AAAAhwMAAAAA&#10;" path="m-1,15780nfc2609,6450,11112,-1,20801,v9802,,18376,6601,20882,16078em-1,15780nsc2609,6450,11112,-1,20801,v9802,,18376,6601,20882,16078l20801,21600,-1,15780xe" filled="f">
                        <v:stroke endarrow="block"/>
                        <v:path arrowok="t" o:extrusionok="f" o:connecttype="custom" o:connectlocs="0,328464;715010,334667;356810,449580" o:connectangles="0,0,0"/>
                      </v:shape>
                    </v:group>
                  </v:group>
                </v:group>
              </v:group>
            </w:pict>
          </mc:Fallback>
        </mc:AlternateContent>
      </w:r>
    </w:p>
    <w:p w:rsidR="00D06D45" w:rsidRDefault="00F80AD5" w:rsidP="00D06D45">
      <w:pPr>
        <w:keepNext/>
        <w:pBdr>
          <w:top w:val="single" w:sz="4" w:space="10" w:color="auto"/>
          <w:left w:val="single" w:sz="4" w:space="10" w:color="auto"/>
          <w:bottom w:val="single" w:sz="4" w:space="10" w:color="auto"/>
          <w:right w:val="single" w:sz="4" w:space="10" w:color="auto"/>
        </w:pBdr>
      </w:pPr>
      <w:r>
        <w:rPr>
          <w:noProof/>
          <w:lang w:val="en-NZ" w:eastAsia="en-NZ"/>
        </w:rPr>
        <mc:AlternateContent>
          <mc:Choice Requires="wps">
            <w:drawing>
              <wp:anchor distT="0" distB="0" distL="114300" distR="114300" simplePos="0" relativeHeight="251676672" behindDoc="0" locked="0" layoutInCell="1" allowOverlap="1" wp14:anchorId="6C54AEE1" wp14:editId="07C5D1B2">
                <wp:simplePos x="0" y="0"/>
                <wp:positionH relativeFrom="column">
                  <wp:posOffset>2835275</wp:posOffset>
                </wp:positionH>
                <wp:positionV relativeFrom="paragraph">
                  <wp:posOffset>177165</wp:posOffset>
                </wp:positionV>
                <wp:extent cx="0" cy="428625"/>
                <wp:effectExtent l="95250" t="0" r="57150" b="66675"/>
                <wp:wrapNone/>
                <wp:docPr id="102" name="Straight Arrow Connector 102"/>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2" o:spid="_x0000_s1026" type="#_x0000_t32" style="position:absolute;margin-left:223.25pt;margin-top:13.95pt;width:0;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" strokecolor="black [3040]">
                <v:stroke endarrow="open"/>
              </v:shape>
            </w:pict>
          </mc:Fallback>
        </mc:AlternateContent>
      </w: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410383" w:rsidP="00D06D45">
      <w:pPr>
        <w:keepNext/>
        <w:pBdr>
          <w:top w:val="single" w:sz="4" w:space="10" w:color="auto"/>
          <w:left w:val="single" w:sz="4" w:space="10" w:color="auto"/>
          <w:bottom w:val="single" w:sz="4" w:space="10" w:color="auto"/>
          <w:right w:val="single" w:sz="4" w:space="10" w:color="auto"/>
        </w:pBdr>
      </w:pPr>
      <w:r>
        <w:rPr>
          <w:noProof/>
          <w:lang w:val="en-NZ" w:eastAsia="en-NZ"/>
        </w:rPr>
        <mc:AlternateContent>
          <mc:Choice Requires="wps">
            <w:drawing>
              <wp:anchor distT="0" distB="0" distL="114300" distR="114300" simplePos="0" relativeHeight="251686912" behindDoc="0" locked="0" layoutInCell="1" allowOverlap="1" wp14:anchorId="4B0A58FA" wp14:editId="67045B50">
                <wp:simplePos x="0" y="0"/>
                <wp:positionH relativeFrom="column">
                  <wp:posOffset>1897538</wp:posOffset>
                </wp:positionH>
                <wp:positionV relativeFrom="paragraph">
                  <wp:posOffset>245110</wp:posOffset>
                </wp:positionV>
                <wp:extent cx="3072706" cy="444500"/>
                <wp:effectExtent l="0" t="0" r="0" b="0"/>
                <wp:wrapNone/>
                <wp:docPr id="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06"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764" w:rsidRDefault="00EC3764" w:rsidP="006B2540">
                            <w:pPr>
                              <w:keepNext/>
                              <w:spacing w:after="0"/>
                              <w:jc w:val="center"/>
                              <w:rPr>
                                <w:rFonts w:ascii="Garamond" w:hAnsi="Garamond"/>
                                <w:sz w:val="18"/>
                              </w:rPr>
                            </w:pPr>
                            <w:r>
                              <w:rPr>
                                <w:rFonts w:ascii="Garamond" w:hAnsi="Garamond"/>
                                <w:sz w:val="18"/>
                              </w:rPr>
                              <w:t>Registered persons #2 and #3 claim input tax deductions</w:t>
                            </w:r>
                          </w:p>
                          <w:p w:rsidR="00EC3764" w:rsidRDefault="00EC3764" w:rsidP="00410383">
                            <w:pPr>
                              <w:keepNext/>
                              <w:jc w:val="center"/>
                              <w:rPr>
                                <w:rFonts w:ascii="Garamond" w:hAnsi="Garamond"/>
                                <w:sz w:val="18"/>
                              </w:rPr>
                            </w:pPr>
                            <w:r>
                              <w:rPr>
                                <w:rFonts w:ascii="Garamond" w:hAnsi="Garamond"/>
                                <w:sz w:val="18"/>
                              </w:rPr>
                              <w:t>Registered persons #1 and #2 pay GST on supplies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57" type="#_x0000_t202" style="position:absolute;margin-left:149.4pt;margin-top:19.3pt;width:241.95pt;height: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" filled="f" stroked="f">
                <v:textbox>
                  <w:txbxContent>
                    <w:p w:rsidR="00EC3764" w:rsidRDefault="00EC3764" w:rsidP="006B2540">
                      <w:pPr>
                        <w:keepNext/>
                        <w:spacing w:after="0"/>
                        <w:jc w:val="center"/>
                        <w:rPr>
                          <w:rFonts w:ascii="Garamond" w:hAnsi="Garamond"/>
                          <w:sz w:val="18"/>
                        </w:rPr>
                      </w:pPr>
                      <w:r>
                        <w:rPr>
                          <w:rFonts w:ascii="Garamond" w:hAnsi="Garamond"/>
                          <w:sz w:val="18"/>
                        </w:rPr>
                        <w:t>Registered persons #2 and #3 claim input tax deductions</w:t>
                      </w:r>
                    </w:p>
                    <w:p w:rsidR="00EC3764" w:rsidRDefault="00EC3764" w:rsidP="00410383">
                      <w:pPr>
                        <w:keepNext/>
                        <w:jc w:val="center"/>
                        <w:rPr>
                          <w:rFonts w:ascii="Garamond" w:hAnsi="Garamond"/>
                          <w:sz w:val="18"/>
                        </w:rPr>
                      </w:pPr>
                      <w:r>
                        <w:rPr>
                          <w:rFonts w:ascii="Garamond" w:hAnsi="Garamond"/>
                          <w:sz w:val="18"/>
                        </w:rPr>
                        <w:t>Registered persons #1 and #2 pay GST on supplies</w:t>
                      </w:r>
                    </w:p>
                  </w:txbxContent>
                </v:textbox>
              </v:shape>
            </w:pict>
          </mc:Fallback>
        </mc:AlternateContent>
      </w:r>
      <w:r>
        <w:rPr>
          <w:noProof/>
          <w:lang w:val="en-NZ" w:eastAsia="en-NZ"/>
        </w:rPr>
        <mc:AlternateContent>
          <mc:Choice Requires="wps">
            <w:drawing>
              <wp:anchor distT="0" distB="0" distL="114300" distR="114300" simplePos="0" relativeHeight="251684864" behindDoc="0" locked="0" layoutInCell="1" allowOverlap="1" wp14:anchorId="2D300CDE" wp14:editId="276A5D58">
                <wp:simplePos x="0" y="0"/>
                <wp:positionH relativeFrom="column">
                  <wp:posOffset>4259580</wp:posOffset>
                </wp:positionH>
                <wp:positionV relativeFrom="paragraph">
                  <wp:posOffset>19419</wp:posOffset>
                </wp:positionV>
                <wp:extent cx="241300" cy="267970"/>
                <wp:effectExtent l="0" t="0" r="82550" b="55880"/>
                <wp:wrapNone/>
                <wp:docPr id="106" name="Straight Arrow Connector 106"/>
                <wp:cNvGraphicFramePr/>
                <a:graphic xmlns:a="http://schemas.openxmlformats.org/drawingml/2006/main">
                  <a:graphicData uri="http://schemas.microsoft.com/office/word/2010/wordprocessingShape">
                    <wps:wsp>
                      <wps:cNvCnPr/>
                      <wps:spPr>
                        <a:xfrm>
                          <a:off x="0" y="0"/>
                          <a:ext cx="241300" cy="26797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6" o:spid="_x0000_s1026" type="#_x0000_t32" style="position:absolute;margin-left:335.4pt;margin-top:1.55pt;width:19pt;height:21.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" strokecolor="black [3040]">
                <v:stroke dashstyle="dash" endarrow="open"/>
              </v:shape>
            </w:pict>
          </mc:Fallback>
        </mc:AlternateContent>
      </w:r>
      <w:r>
        <w:rPr>
          <w:noProof/>
          <w:lang w:val="en-NZ" w:eastAsia="en-NZ"/>
        </w:rPr>
        <mc:AlternateContent>
          <mc:Choice Requires="wps">
            <w:drawing>
              <wp:anchor distT="0" distB="0" distL="114300" distR="114300" simplePos="0" relativeHeight="251682816" behindDoc="0" locked="0" layoutInCell="1" allowOverlap="1" wp14:anchorId="368BB164" wp14:editId="28211A8D">
                <wp:simplePos x="0" y="0"/>
                <wp:positionH relativeFrom="column">
                  <wp:posOffset>3192780</wp:posOffset>
                </wp:positionH>
                <wp:positionV relativeFrom="paragraph">
                  <wp:posOffset>27940</wp:posOffset>
                </wp:positionV>
                <wp:extent cx="241300" cy="267970"/>
                <wp:effectExtent l="0" t="0" r="82550" b="55880"/>
                <wp:wrapNone/>
                <wp:docPr id="105" name="Straight Arrow Connector 105"/>
                <wp:cNvGraphicFramePr/>
                <a:graphic xmlns:a="http://schemas.openxmlformats.org/drawingml/2006/main">
                  <a:graphicData uri="http://schemas.microsoft.com/office/word/2010/wordprocessingShape">
                    <wps:wsp>
                      <wps:cNvCnPr/>
                      <wps:spPr>
                        <a:xfrm>
                          <a:off x="0" y="0"/>
                          <a:ext cx="241300" cy="26797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5" o:spid="_x0000_s1026" type="#_x0000_t32" style="position:absolute;margin-left:251.4pt;margin-top:2.2pt;width:19pt;height:21.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" strokecolor="black [3040]">
                <v:stroke dashstyle="dash" endarrow="open"/>
              </v:shape>
            </w:pict>
          </mc:Fallback>
        </mc:AlternateContent>
      </w:r>
      <w:r>
        <w:rPr>
          <w:noProof/>
          <w:lang w:val="en-NZ" w:eastAsia="en-NZ"/>
        </w:rPr>
        <mc:AlternateContent>
          <mc:Choice Requires="wps">
            <w:drawing>
              <wp:anchor distT="0" distB="0" distL="114300" distR="114300" simplePos="0" relativeHeight="251680768" behindDoc="0" locked="0" layoutInCell="1" allowOverlap="1" wp14:anchorId="1904692B" wp14:editId="59435735">
                <wp:simplePos x="0" y="0"/>
                <wp:positionH relativeFrom="column">
                  <wp:posOffset>4788445</wp:posOffset>
                </wp:positionH>
                <wp:positionV relativeFrom="paragraph">
                  <wp:posOffset>25148</wp:posOffset>
                </wp:positionV>
                <wp:extent cx="241300" cy="256447"/>
                <wp:effectExtent l="0" t="38100" r="63500" b="29845"/>
                <wp:wrapNone/>
                <wp:docPr id="104" name="Straight Arrow Connector 104"/>
                <wp:cNvGraphicFramePr/>
                <a:graphic xmlns:a="http://schemas.openxmlformats.org/drawingml/2006/main">
                  <a:graphicData uri="http://schemas.microsoft.com/office/word/2010/wordprocessingShape">
                    <wps:wsp>
                      <wps:cNvCnPr/>
                      <wps:spPr>
                        <a:xfrm flipV="1">
                          <a:off x="0" y="0"/>
                          <a:ext cx="241300" cy="256447"/>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4" o:spid="_x0000_s1026" type="#_x0000_t32" style="position:absolute;margin-left:377.05pt;margin-top:2pt;width:19pt;height:20.2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" strokecolor="black [3040]">
                <v:stroke dashstyle="dash" endarrow="open"/>
              </v:shape>
            </w:pict>
          </mc:Fallback>
        </mc:AlternateContent>
      </w:r>
      <w:r>
        <w:rPr>
          <w:noProof/>
          <w:lang w:val="en-NZ" w:eastAsia="en-NZ"/>
        </w:rPr>
        <mc:AlternateContent>
          <mc:Choice Requires="wps">
            <w:drawing>
              <wp:anchor distT="0" distB="0" distL="114300" distR="114300" simplePos="0" relativeHeight="251678720" behindDoc="0" locked="0" layoutInCell="1" allowOverlap="1" wp14:anchorId="07757C20" wp14:editId="4127925E">
                <wp:simplePos x="0" y="0"/>
                <wp:positionH relativeFrom="column">
                  <wp:posOffset>3941810</wp:posOffset>
                </wp:positionH>
                <wp:positionV relativeFrom="paragraph">
                  <wp:posOffset>-2008</wp:posOffset>
                </wp:positionV>
                <wp:extent cx="241300" cy="256447"/>
                <wp:effectExtent l="0" t="38100" r="63500" b="29845"/>
                <wp:wrapNone/>
                <wp:docPr id="103" name="Straight Arrow Connector 103"/>
                <wp:cNvGraphicFramePr/>
                <a:graphic xmlns:a="http://schemas.openxmlformats.org/drawingml/2006/main">
                  <a:graphicData uri="http://schemas.microsoft.com/office/word/2010/wordprocessingShape">
                    <wps:wsp>
                      <wps:cNvCnPr/>
                      <wps:spPr>
                        <a:xfrm flipV="1">
                          <a:off x="0" y="0"/>
                          <a:ext cx="241300" cy="256447"/>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3" o:spid="_x0000_s1026" type="#_x0000_t32" style="position:absolute;margin-left:310.4pt;margin-top:-.15pt;width:19pt;height:20.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" strokecolor="black [3040]">
                <v:stroke dashstyle="dash" endarrow="open"/>
              </v:shape>
            </w:pict>
          </mc:Fallback>
        </mc:AlternateContent>
      </w: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D06D45">
      <w:pPr>
        <w:keepNext/>
        <w:pBdr>
          <w:top w:val="single" w:sz="4" w:space="10" w:color="auto"/>
          <w:left w:val="single" w:sz="4" w:space="10" w:color="auto"/>
          <w:bottom w:val="single" w:sz="4" w:space="10" w:color="auto"/>
          <w:right w:val="single" w:sz="4" w:space="10" w:color="auto"/>
        </w:pBdr>
      </w:pPr>
    </w:p>
    <w:p w:rsidR="00D06D45" w:rsidRDefault="00D06D45"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taxation without crediting embedded tax potentially produces two results in respect of the gold content of these goods.  Where these goods are on-sold, or are subsequently used to make taxable supplies, the lack of input tax for the value attributable to this gold content potentially results in its double taxation.  Alternatively, where these goods are fine gold, which is </w:t>
      </w:r>
      <w:proofErr w:type="gramStart"/>
      <w:r>
        <w:rPr>
          <w:rFonts w:ascii="Times New Roman" w:hAnsi="Times New Roman"/>
          <w:sz w:val="24"/>
          <w:szCs w:val="24"/>
        </w:rPr>
        <w:t>not</w:t>
      </w:r>
      <w:proofErr w:type="gramEnd"/>
      <w:r>
        <w:rPr>
          <w:rFonts w:ascii="Times New Roman" w:hAnsi="Times New Roman"/>
          <w:sz w:val="24"/>
          <w:szCs w:val="24"/>
        </w:rPr>
        <w:t xml:space="preserve"> taxed itself, the denial of deductions means that it may be effectively taxed, contrary to the policy intention.</w:t>
      </w:r>
    </w:p>
    <w:p w:rsidR="00FD4053" w:rsidRDefault="00FD4053" w:rsidP="00B91E3E">
      <w:pPr>
        <w:pStyle w:val="Bullet-list"/>
        <w:spacing w:after="0" w:line="240" w:lineRule="auto"/>
        <w:jc w:val="both"/>
        <w:rPr>
          <w:rFonts w:ascii="Times New Roman" w:hAnsi="Times New Roman"/>
          <w:sz w:val="24"/>
          <w:szCs w:val="24"/>
        </w:rPr>
      </w:pPr>
    </w:p>
    <w:p w:rsidR="00D06D45" w:rsidRPr="006B2540" w:rsidRDefault="00D06D45" w:rsidP="00B91E3E">
      <w:pPr>
        <w:pStyle w:val="Bullet-list"/>
        <w:spacing w:after="0" w:line="240" w:lineRule="auto"/>
        <w:jc w:val="both"/>
        <w:rPr>
          <w:rFonts w:ascii="Times New Roman" w:hAnsi="Times New Roman"/>
          <w:b/>
          <w:i/>
          <w:sz w:val="24"/>
          <w:szCs w:val="24"/>
        </w:rPr>
      </w:pPr>
      <w:r>
        <w:rPr>
          <w:rFonts w:ascii="Times New Roman" w:hAnsi="Times New Roman"/>
          <w:b/>
          <w:i/>
          <w:sz w:val="24"/>
          <w:szCs w:val="24"/>
        </w:rPr>
        <w:t>Objectives</w:t>
      </w:r>
    </w:p>
    <w:p w:rsidR="00D06D45" w:rsidRDefault="00D06D45" w:rsidP="00B91E3E">
      <w:pPr>
        <w:pStyle w:val="Bullet-list"/>
        <w:spacing w:after="0" w:line="240" w:lineRule="auto"/>
        <w:jc w:val="both"/>
        <w:rPr>
          <w:rFonts w:ascii="Times New Roman" w:hAnsi="Times New Roman"/>
          <w:sz w:val="24"/>
          <w:szCs w:val="24"/>
        </w:rPr>
      </w:pPr>
    </w:p>
    <w:p w:rsidR="00254EC6" w:rsidRDefault="004C6540"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The key objective</w:t>
      </w:r>
      <w:r w:rsidR="00E616D3">
        <w:rPr>
          <w:rFonts w:ascii="Times New Roman" w:hAnsi="Times New Roman"/>
          <w:sz w:val="24"/>
          <w:szCs w:val="24"/>
        </w:rPr>
        <w:t>s</w:t>
      </w:r>
      <w:r>
        <w:rPr>
          <w:rFonts w:ascii="Times New Roman" w:hAnsi="Times New Roman"/>
          <w:sz w:val="24"/>
          <w:szCs w:val="24"/>
        </w:rPr>
        <w:t xml:space="preserve"> </w:t>
      </w:r>
      <w:r w:rsidR="00E616D3">
        <w:rPr>
          <w:rFonts w:ascii="Times New Roman" w:hAnsi="Times New Roman"/>
          <w:sz w:val="24"/>
          <w:szCs w:val="24"/>
        </w:rPr>
        <w:t xml:space="preserve">are </w:t>
      </w:r>
      <w:r w:rsidR="005577B8">
        <w:rPr>
          <w:rFonts w:ascii="Times New Roman" w:hAnsi="Times New Roman"/>
          <w:sz w:val="24"/>
          <w:szCs w:val="24"/>
        </w:rPr>
        <w:t>e</w:t>
      </w:r>
      <w:r w:rsidR="004348C8">
        <w:rPr>
          <w:rFonts w:ascii="Times New Roman" w:hAnsi="Times New Roman"/>
          <w:sz w:val="24"/>
          <w:szCs w:val="24"/>
        </w:rPr>
        <w:t>ffectiveness and</w:t>
      </w:r>
      <w:r>
        <w:rPr>
          <w:rFonts w:ascii="Times New Roman" w:hAnsi="Times New Roman"/>
          <w:sz w:val="24"/>
          <w:szCs w:val="24"/>
        </w:rPr>
        <w:t xml:space="preserve"> </w:t>
      </w:r>
      <w:r w:rsidR="005577B8">
        <w:rPr>
          <w:rFonts w:ascii="Times New Roman" w:hAnsi="Times New Roman"/>
          <w:sz w:val="24"/>
          <w:szCs w:val="24"/>
        </w:rPr>
        <w:t>fairness,</w:t>
      </w:r>
      <w:r w:rsidR="004348C8">
        <w:rPr>
          <w:rFonts w:ascii="Times New Roman" w:hAnsi="Times New Roman"/>
          <w:sz w:val="24"/>
          <w:szCs w:val="24"/>
        </w:rPr>
        <w:t xml:space="preserve"> </w:t>
      </w:r>
      <w:r w:rsidR="005577B8">
        <w:rPr>
          <w:rFonts w:ascii="Times New Roman" w:hAnsi="Times New Roman"/>
          <w:sz w:val="24"/>
          <w:szCs w:val="24"/>
        </w:rPr>
        <w:t>neutrality, and certainty and simplicity</w:t>
      </w:r>
      <w:r w:rsidR="004348C8">
        <w:rPr>
          <w:rFonts w:ascii="Times New Roman" w:hAnsi="Times New Roman"/>
          <w:sz w:val="24"/>
          <w:szCs w:val="24"/>
        </w:rPr>
        <w:t xml:space="preserve">.  That is, </w:t>
      </w:r>
      <w:r>
        <w:rPr>
          <w:rFonts w:ascii="Times New Roman" w:hAnsi="Times New Roman"/>
          <w:sz w:val="24"/>
          <w:szCs w:val="24"/>
        </w:rPr>
        <w:t>to ensure that</w:t>
      </w:r>
      <w:r w:rsidR="004348C8">
        <w:rPr>
          <w:rFonts w:ascii="Times New Roman" w:hAnsi="Times New Roman"/>
          <w:sz w:val="24"/>
          <w:szCs w:val="24"/>
        </w:rPr>
        <w:t xml:space="preserve"> </w:t>
      </w:r>
      <w:r w:rsidR="0069188E">
        <w:rPr>
          <w:rFonts w:ascii="Times New Roman" w:hAnsi="Times New Roman"/>
          <w:sz w:val="24"/>
          <w:szCs w:val="24"/>
        </w:rPr>
        <w:t xml:space="preserve">the rules meet the underlying objective that GST applies evenly to the consumption of different goods and services, and that </w:t>
      </w:r>
      <w:r w:rsidR="004348C8">
        <w:rPr>
          <w:rFonts w:ascii="Times New Roman" w:hAnsi="Times New Roman"/>
          <w:sz w:val="24"/>
          <w:szCs w:val="24"/>
        </w:rPr>
        <w:t>GST distorts competition as little as possible</w:t>
      </w:r>
      <w:r w:rsidR="005577B8">
        <w:rPr>
          <w:rFonts w:ascii="Times New Roman" w:hAnsi="Times New Roman"/>
          <w:sz w:val="24"/>
          <w:szCs w:val="24"/>
        </w:rPr>
        <w:t>, while providing certainty in a complex area of law.</w:t>
      </w:r>
    </w:p>
    <w:p w:rsidR="00DF560B" w:rsidRDefault="00DF560B" w:rsidP="00B91E3E">
      <w:pPr>
        <w:pStyle w:val="Bullet-list"/>
        <w:tabs>
          <w:tab w:val="num" w:pos="786"/>
        </w:tabs>
        <w:spacing w:after="0" w:line="240" w:lineRule="auto"/>
        <w:ind w:left="0" w:firstLine="0"/>
        <w:jc w:val="both"/>
        <w:rPr>
          <w:rFonts w:ascii="Times New Roman" w:hAnsi="Times New Roman"/>
          <w:sz w:val="24"/>
          <w:szCs w:val="24"/>
        </w:rPr>
      </w:pPr>
    </w:p>
    <w:p w:rsidR="00DF560B" w:rsidRPr="006B2540" w:rsidRDefault="00DF560B" w:rsidP="00B91E3E">
      <w:pPr>
        <w:pStyle w:val="Bullet-list"/>
        <w:tabs>
          <w:tab w:val="num" w:pos="786"/>
        </w:tabs>
        <w:spacing w:after="0" w:line="240" w:lineRule="auto"/>
        <w:ind w:left="0" w:firstLine="0"/>
        <w:jc w:val="both"/>
        <w:rPr>
          <w:rFonts w:ascii="Times New Roman" w:hAnsi="Times New Roman"/>
          <w:b/>
          <w:i/>
          <w:sz w:val="24"/>
          <w:szCs w:val="24"/>
        </w:rPr>
      </w:pPr>
      <w:r>
        <w:rPr>
          <w:rFonts w:ascii="Times New Roman" w:hAnsi="Times New Roman"/>
          <w:b/>
          <w:i/>
          <w:sz w:val="24"/>
          <w:szCs w:val="24"/>
        </w:rPr>
        <w:t>Regulatory impact analysis</w:t>
      </w:r>
    </w:p>
    <w:p w:rsidR="001942D5" w:rsidRDefault="001942D5" w:rsidP="00B91E3E">
      <w:pPr>
        <w:pStyle w:val="Bullet-list"/>
        <w:tabs>
          <w:tab w:val="num" w:pos="786"/>
        </w:tabs>
        <w:spacing w:after="0" w:line="240" w:lineRule="auto"/>
        <w:ind w:left="0" w:firstLine="0"/>
        <w:jc w:val="both"/>
        <w:rPr>
          <w:rFonts w:ascii="Times New Roman" w:hAnsi="Times New Roman"/>
          <w:sz w:val="24"/>
          <w:szCs w:val="24"/>
        </w:rPr>
      </w:pPr>
    </w:p>
    <w:p w:rsidR="0016570E" w:rsidRDefault="00066C51" w:rsidP="00B91E3E">
      <w:pPr>
        <w:pStyle w:val="Bullet-list"/>
        <w:numPr>
          <w:ilvl w:val="0"/>
          <w:numId w:val="2"/>
        </w:numPr>
        <w:tabs>
          <w:tab w:val="num" w:pos="567"/>
          <w:tab w:val="num" w:pos="64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Given that the </w:t>
      </w:r>
      <w:r w:rsidR="0016570E">
        <w:rPr>
          <w:rFonts w:ascii="Times New Roman" w:hAnsi="Times New Roman"/>
          <w:sz w:val="24"/>
          <w:szCs w:val="24"/>
        </w:rPr>
        <w:t xml:space="preserve">underlying issue is caused by an exception to the framework that is designed to provide for goods to be taxed evenly, both options </w:t>
      </w:r>
      <w:r w:rsidR="00E616D3">
        <w:rPr>
          <w:rFonts w:ascii="Times New Roman" w:hAnsi="Times New Roman"/>
          <w:sz w:val="24"/>
          <w:szCs w:val="24"/>
        </w:rPr>
        <w:t xml:space="preserve">analysed </w:t>
      </w:r>
      <w:r w:rsidR="0016570E">
        <w:rPr>
          <w:rFonts w:ascii="Times New Roman" w:hAnsi="Times New Roman"/>
          <w:sz w:val="24"/>
          <w:szCs w:val="24"/>
        </w:rPr>
        <w:t xml:space="preserve">(aside from the status quo) </w:t>
      </w:r>
      <w:r w:rsidR="00E616D3">
        <w:rPr>
          <w:rFonts w:ascii="Times New Roman" w:hAnsi="Times New Roman"/>
          <w:sz w:val="24"/>
          <w:szCs w:val="24"/>
        </w:rPr>
        <w:t>adopt</w:t>
      </w:r>
      <w:r w:rsidR="0016570E">
        <w:rPr>
          <w:rFonts w:ascii="Times New Roman" w:hAnsi="Times New Roman"/>
          <w:sz w:val="24"/>
          <w:szCs w:val="24"/>
        </w:rPr>
        <w:t xml:space="preserve"> this as a starting point, with the main difference being the timing of a change</w:t>
      </w:r>
      <w:r w:rsidR="00E34A97">
        <w:rPr>
          <w:rFonts w:ascii="Times New Roman" w:hAnsi="Times New Roman"/>
          <w:sz w:val="24"/>
          <w:szCs w:val="24"/>
        </w:rPr>
        <w:t>, that is,</w:t>
      </w:r>
      <w:r w:rsidR="0016570E">
        <w:rPr>
          <w:rFonts w:ascii="Times New Roman" w:hAnsi="Times New Roman"/>
          <w:sz w:val="24"/>
          <w:szCs w:val="24"/>
        </w:rPr>
        <w:t xml:space="preserve"> whether or not it </w:t>
      </w:r>
      <w:r w:rsidR="00E34A97">
        <w:rPr>
          <w:rFonts w:ascii="Times New Roman" w:hAnsi="Times New Roman"/>
          <w:sz w:val="24"/>
          <w:szCs w:val="24"/>
        </w:rPr>
        <w:t xml:space="preserve">should </w:t>
      </w:r>
      <w:r w:rsidR="0016570E">
        <w:rPr>
          <w:rFonts w:ascii="Times New Roman" w:hAnsi="Times New Roman"/>
          <w:sz w:val="24"/>
          <w:szCs w:val="24"/>
        </w:rPr>
        <w:t>be retrospective.</w:t>
      </w:r>
    </w:p>
    <w:p w:rsidR="007F0718" w:rsidRDefault="007F0718" w:rsidP="00B91E3E">
      <w:pPr>
        <w:pStyle w:val="Bullet-list"/>
        <w:spacing w:after="0" w:line="240" w:lineRule="auto"/>
        <w:ind w:left="0" w:firstLine="0"/>
        <w:jc w:val="both"/>
        <w:rPr>
          <w:rFonts w:ascii="Times New Roman" w:hAnsi="Times New Roman"/>
          <w:sz w:val="24"/>
          <w:szCs w:val="24"/>
        </w:rPr>
      </w:pPr>
    </w:p>
    <w:p w:rsidR="00D71A24" w:rsidRPr="00F51496" w:rsidRDefault="00D71A24"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F51496">
        <w:rPr>
          <w:rFonts w:ascii="Times New Roman" w:hAnsi="Times New Roman"/>
          <w:sz w:val="24"/>
          <w:szCs w:val="24"/>
        </w:rPr>
        <w:t xml:space="preserve">One option </w:t>
      </w:r>
      <w:r w:rsidR="0016570E" w:rsidRPr="00F51496">
        <w:rPr>
          <w:rFonts w:ascii="Times New Roman" w:hAnsi="Times New Roman"/>
          <w:sz w:val="24"/>
          <w:szCs w:val="24"/>
        </w:rPr>
        <w:t xml:space="preserve">is therefore </w:t>
      </w:r>
      <w:r w:rsidRPr="00F51496">
        <w:rPr>
          <w:rFonts w:ascii="Times New Roman" w:hAnsi="Times New Roman"/>
          <w:sz w:val="24"/>
          <w:szCs w:val="24"/>
        </w:rPr>
        <w:t xml:space="preserve">to </w:t>
      </w:r>
      <w:r w:rsidR="0016570E" w:rsidRPr="00F51496">
        <w:rPr>
          <w:rFonts w:ascii="Times New Roman" w:hAnsi="Times New Roman"/>
          <w:sz w:val="24"/>
          <w:szCs w:val="24"/>
        </w:rPr>
        <w:t xml:space="preserve">narrow the exception to the secondhand goods rules, to </w:t>
      </w:r>
      <w:r w:rsidRPr="00F51496">
        <w:rPr>
          <w:rFonts w:ascii="Times New Roman" w:hAnsi="Times New Roman"/>
          <w:sz w:val="24"/>
          <w:szCs w:val="24"/>
        </w:rPr>
        <w:t xml:space="preserve">allow deductions to be claimed for these </w:t>
      </w:r>
      <w:r w:rsidR="0016570E" w:rsidRPr="00F51496">
        <w:rPr>
          <w:rFonts w:ascii="Times New Roman" w:hAnsi="Times New Roman"/>
          <w:sz w:val="24"/>
          <w:szCs w:val="24"/>
        </w:rPr>
        <w:t xml:space="preserve">secondhand </w:t>
      </w:r>
      <w:r w:rsidRPr="00F51496">
        <w:rPr>
          <w:rFonts w:ascii="Times New Roman" w:hAnsi="Times New Roman"/>
          <w:sz w:val="24"/>
          <w:szCs w:val="24"/>
        </w:rPr>
        <w:t>goods.</w:t>
      </w:r>
      <w:r w:rsidR="006D46B6" w:rsidRPr="00F51496">
        <w:rPr>
          <w:rFonts w:ascii="Times New Roman" w:hAnsi="Times New Roman"/>
          <w:sz w:val="24"/>
          <w:szCs w:val="24"/>
        </w:rPr>
        <w:t xml:space="preserve">  </w:t>
      </w:r>
      <w:r w:rsidR="0016570E" w:rsidRPr="00F51496">
        <w:rPr>
          <w:rFonts w:ascii="Times New Roman" w:hAnsi="Times New Roman"/>
          <w:sz w:val="24"/>
          <w:szCs w:val="24"/>
        </w:rPr>
        <w:t xml:space="preserve">Another option is to make </w:t>
      </w:r>
      <w:r w:rsidR="00E34A97">
        <w:rPr>
          <w:rFonts w:ascii="Times New Roman" w:hAnsi="Times New Roman"/>
          <w:sz w:val="24"/>
          <w:szCs w:val="24"/>
        </w:rPr>
        <w:t>the</w:t>
      </w:r>
      <w:r w:rsidR="0016570E" w:rsidRPr="00F51496">
        <w:rPr>
          <w:rFonts w:ascii="Times New Roman" w:hAnsi="Times New Roman"/>
          <w:sz w:val="24"/>
          <w:szCs w:val="24"/>
        </w:rPr>
        <w:t xml:space="preserve"> change retrospective, aligned with the time bar for </w:t>
      </w:r>
      <w:r w:rsidR="008C7A70">
        <w:rPr>
          <w:rFonts w:ascii="Times New Roman" w:hAnsi="Times New Roman"/>
          <w:sz w:val="24"/>
          <w:szCs w:val="24"/>
        </w:rPr>
        <w:t>the Commissioner to reassess a return</w:t>
      </w:r>
      <w:r w:rsidR="0016570E" w:rsidRPr="00F51496">
        <w:rPr>
          <w:rFonts w:ascii="Times New Roman" w:hAnsi="Times New Roman"/>
          <w:sz w:val="24"/>
          <w:szCs w:val="24"/>
        </w:rPr>
        <w:t>.</w:t>
      </w:r>
      <w:r w:rsidRPr="00F51496" w:rsidDel="00D71A24">
        <w:rPr>
          <w:rFonts w:ascii="Times New Roman" w:hAnsi="Times New Roman"/>
          <w:sz w:val="24"/>
          <w:szCs w:val="24"/>
        </w:rPr>
        <w:t xml:space="preserve"> </w:t>
      </w:r>
    </w:p>
    <w:p w:rsidR="00254EC6" w:rsidRDefault="00254EC6" w:rsidP="00B91E3E">
      <w:pPr>
        <w:pStyle w:val="Bullet-list"/>
        <w:spacing w:after="0" w:line="240" w:lineRule="auto"/>
        <w:ind w:left="0" w:firstLine="0"/>
        <w:jc w:val="both"/>
        <w:rPr>
          <w:rFonts w:ascii="Times New Roman" w:hAnsi="Times New Roman"/>
          <w:sz w:val="24"/>
          <w:szCs w:val="24"/>
        </w:rPr>
      </w:pPr>
    </w:p>
    <w:p w:rsidR="00254EC6" w:rsidRPr="006B2540" w:rsidRDefault="00254EC6" w:rsidP="00B91E3E">
      <w:pPr>
        <w:jc w:val="both"/>
        <w:rPr>
          <w:rFonts w:ascii="Times New Roman" w:hAnsi="Times New Roman"/>
          <w:i/>
          <w:sz w:val="24"/>
          <w:szCs w:val="24"/>
          <w:u w:val="single"/>
        </w:rPr>
      </w:pPr>
      <w:r w:rsidRPr="006B2540">
        <w:rPr>
          <w:rFonts w:ascii="Times New Roman" w:hAnsi="Times New Roman"/>
          <w:i/>
          <w:sz w:val="24"/>
          <w:szCs w:val="24"/>
          <w:u w:val="single"/>
        </w:rPr>
        <w:t xml:space="preserve">Option 1: allowing secondhand goods deductions </w:t>
      </w:r>
    </w:p>
    <w:p w:rsidR="00D71A24" w:rsidRDefault="00D71A24"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exception to the secondhand goods rules</w:t>
      </w:r>
      <w:r w:rsidR="00C34903">
        <w:rPr>
          <w:rFonts w:ascii="Times New Roman" w:hAnsi="Times New Roman"/>
          <w:sz w:val="24"/>
          <w:szCs w:val="24"/>
        </w:rPr>
        <w:t xml:space="preserve"> for the gold content of any goods</w:t>
      </w:r>
      <w:r>
        <w:rPr>
          <w:rFonts w:ascii="Times New Roman" w:hAnsi="Times New Roman"/>
          <w:sz w:val="24"/>
          <w:szCs w:val="24"/>
        </w:rPr>
        <w:t xml:space="preserve"> could be </w:t>
      </w:r>
      <w:r w:rsidR="00C34903">
        <w:rPr>
          <w:rFonts w:ascii="Times New Roman" w:hAnsi="Times New Roman"/>
          <w:sz w:val="24"/>
          <w:szCs w:val="24"/>
        </w:rPr>
        <w:t xml:space="preserve">narrowed.  A narrower exception could allow </w:t>
      </w:r>
      <w:r w:rsidR="00E34A97">
        <w:rPr>
          <w:rFonts w:ascii="Times New Roman" w:hAnsi="Times New Roman"/>
          <w:sz w:val="24"/>
          <w:szCs w:val="24"/>
        </w:rPr>
        <w:t xml:space="preserve">these </w:t>
      </w:r>
      <w:r w:rsidR="00C34903">
        <w:rPr>
          <w:rFonts w:ascii="Times New Roman" w:hAnsi="Times New Roman"/>
          <w:sz w:val="24"/>
          <w:szCs w:val="24"/>
        </w:rPr>
        <w:t>deductions for goods, such as jewellery, that would pose a lower risk of fraud</w:t>
      </w:r>
      <w:r>
        <w:rPr>
          <w:rFonts w:ascii="Times New Roman" w:hAnsi="Times New Roman"/>
          <w:sz w:val="24"/>
          <w:szCs w:val="24"/>
        </w:rPr>
        <w:t>.</w:t>
      </w:r>
    </w:p>
    <w:p w:rsidR="008C7A70" w:rsidRPr="006B2540" w:rsidRDefault="008C7A70" w:rsidP="00B91E3E">
      <w:pPr>
        <w:pStyle w:val="Bullet-list"/>
        <w:spacing w:after="0" w:line="240" w:lineRule="auto"/>
        <w:ind w:left="0" w:firstLine="0"/>
        <w:jc w:val="both"/>
        <w:rPr>
          <w:rFonts w:ascii="Times New Roman" w:hAnsi="Times New Roman"/>
          <w:i/>
          <w:sz w:val="24"/>
          <w:szCs w:val="24"/>
        </w:rPr>
      </w:pPr>
    </w:p>
    <w:p w:rsidR="0016570E" w:rsidRDefault="00C34903"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Narrowing the exception </w:t>
      </w:r>
      <w:r w:rsidR="00D71A24">
        <w:rPr>
          <w:rFonts w:ascii="Times New Roman" w:hAnsi="Times New Roman"/>
          <w:sz w:val="24"/>
          <w:szCs w:val="24"/>
        </w:rPr>
        <w:t xml:space="preserve">would help ensure neutrality </w:t>
      </w:r>
      <w:r w:rsidR="0016570E">
        <w:rPr>
          <w:rFonts w:ascii="Times New Roman" w:hAnsi="Times New Roman"/>
          <w:sz w:val="24"/>
          <w:szCs w:val="24"/>
        </w:rPr>
        <w:t>within business sectors that deal in these goods:</w:t>
      </w:r>
    </w:p>
    <w:p w:rsidR="0016570E" w:rsidRDefault="0016570E" w:rsidP="00B91E3E">
      <w:pPr>
        <w:pStyle w:val="Bullet-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All businesses would be able to claim deductions in respect of these goods, ensuring that competition takes place upon an even playing field;</w:t>
      </w:r>
    </w:p>
    <w:p w:rsidR="0016570E" w:rsidRDefault="0016570E" w:rsidP="00B91E3E">
      <w:pPr>
        <w:pStyle w:val="Bullet-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Allowing deductions would remove the tax preference</w:t>
      </w:r>
      <w:r w:rsidR="00E616D3">
        <w:rPr>
          <w:rFonts w:ascii="Times New Roman" w:hAnsi="Times New Roman"/>
          <w:sz w:val="24"/>
          <w:szCs w:val="24"/>
        </w:rPr>
        <w:t xml:space="preserve"> to transact in certain ways, for example,</w:t>
      </w:r>
      <w:r>
        <w:rPr>
          <w:rFonts w:ascii="Times New Roman" w:hAnsi="Times New Roman"/>
          <w:sz w:val="24"/>
          <w:szCs w:val="24"/>
        </w:rPr>
        <w:t xml:space="preserve"> for bu</w:t>
      </w:r>
      <w:r w:rsidR="00E616D3">
        <w:rPr>
          <w:rFonts w:ascii="Times New Roman" w:hAnsi="Times New Roman"/>
          <w:sz w:val="24"/>
          <w:szCs w:val="24"/>
        </w:rPr>
        <w:t>sinesses to add value as agents</w:t>
      </w:r>
      <w:r>
        <w:rPr>
          <w:rFonts w:ascii="Times New Roman" w:hAnsi="Times New Roman"/>
          <w:sz w:val="24"/>
          <w:szCs w:val="24"/>
        </w:rPr>
        <w:t xml:space="preserve"> rather than to purchase and resupply goods themselves</w:t>
      </w:r>
      <w:r w:rsidR="00F657B8">
        <w:rPr>
          <w:rFonts w:ascii="Times New Roman" w:hAnsi="Times New Roman"/>
          <w:sz w:val="24"/>
          <w:szCs w:val="24"/>
        </w:rPr>
        <w:t>, or for consumers to sell items privately</w:t>
      </w:r>
      <w:r w:rsidR="00E34A97">
        <w:rPr>
          <w:rFonts w:ascii="Times New Roman" w:hAnsi="Times New Roman"/>
          <w:sz w:val="24"/>
          <w:szCs w:val="24"/>
        </w:rPr>
        <w:t>.</w:t>
      </w:r>
    </w:p>
    <w:p w:rsidR="00014CA5" w:rsidRDefault="00014CA5" w:rsidP="009C149F">
      <w:pPr>
        <w:pStyle w:val="ListParagraph"/>
        <w:rPr>
          <w:rFonts w:ascii="Times New Roman" w:hAnsi="Times New Roman"/>
          <w:sz w:val="24"/>
          <w:szCs w:val="24"/>
        </w:rPr>
      </w:pPr>
    </w:p>
    <w:p w:rsidR="00014CA5" w:rsidRDefault="004715FF"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S</w:t>
      </w:r>
      <w:r w:rsidR="00014CA5">
        <w:rPr>
          <w:rFonts w:ascii="Times New Roman" w:hAnsi="Times New Roman"/>
          <w:sz w:val="24"/>
          <w:szCs w:val="24"/>
        </w:rPr>
        <w:t xml:space="preserve">econdhand gold goods </w:t>
      </w:r>
      <w:r>
        <w:rPr>
          <w:rFonts w:ascii="Times New Roman" w:hAnsi="Times New Roman"/>
          <w:sz w:val="24"/>
          <w:szCs w:val="24"/>
        </w:rPr>
        <w:t xml:space="preserve">would bear a similar tax burden to other </w:t>
      </w:r>
      <w:r w:rsidR="00014CA5">
        <w:rPr>
          <w:rFonts w:ascii="Times New Roman" w:hAnsi="Times New Roman"/>
          <w:sz w:val="24"/>
          <w:szCs w:val="24"/>
        </w:rPr>
        <w:t>goods</w:t>
      </w:r>
      <w:r>
        <w:rPr>
          <w:rFonts w:ascii="Times New Roman" w:hAnsi="Times New Roman"/>
          <w:sz w:val="24"/>
          <w:szCs w:val="24"/>
        </w:rPr>
        <w:t>.  This would have a dual effect of ensuring that GST applies to tax consumption evenly, and collects the right amount of tax at the right time, and would increase neutrality between business sectors, by ensuring that the additional taxation did not distort purchasing or investment decisions.</w:t>
      </w:r>
    </w:p>
    <w:p w:rsidR="008C7A70" w:rsidRDefault="008C7A70" w:rsidP="00B91E3E">
      <w:pPr>
        <w:pStyle w:val="Bullet-list"/>
        <w:spacing w:after="0" w:line="240" w:lineRule="auto"/>
        <w:ind w:left="0" w:firstLine="0"/>
        <w:jc w:val="both"/>
        <w:rPr>
          <w:rFonts w:ascii="Times New Roman" w:hAnsi="Times New Roman"/>
          <w:i/>
          <w:sz w:val="24"/>
          <w:szCs w:val="24"/>
        </w:rPr>
      </w:pPr>
    </w:p>
    <w:p w:rsidR="00FA165D" w:rsidRDefault="00F51496"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w:t>
      </w:r>
      <w:r w:rsidR="00014CA5">
        <w:rPr>
          <w:rFonts w:ascii="Times New Roman" w:hAnsi="Times New Roman"/>
          <w:sz w:val="24"/>
          <w:szCs w:val="24"/>
        </w:rPr>
        <w:t xml:space="preserve">s the current </w:t>
      </w:r>
      <w:r w:rsidR="00FA165D">
        <w:rPr>
          <w:rFonts w:ascii="Times New Roman" w:hAnsi="Times New Roman"/>
          <w:sz w:val="24"/>
          <w:szCs w:val="24"/>
        </w:rPr>
        <w:t xml:space="preserve">treatment of gold results from </w:t>
      </w:r>
      <w:r w:rsidR="00014CA5">
        <w:rPr>
          <w:rFonts w:ascii="Times New Roman" w:hAnsi="Times New Roman"/>
          <w:sz w:val="24"/>
          <w:szCs w:val="24"/>
        </w:rPr>
        <w:t xml:space="preserve">an </w:t>
      </w:r>
      <w:r w:rsidR="00FA165D">
        <w:rPr>
          <w:rFonts w:ascii="Times New Roman" w:hAnsi="Times New Roman"/>
          <w:sz w:val="24"/>
          <w:szCs w:val="24"/>
        </w:rPr>
        <w:t>exception to the ordinary rules that apply to secondhand goods, restricting the application of this exception (so that it is not commonly applied</w:t>
      </w:r>
      <w:r w:rsidR="008C0280">
        <w:rPr>
          <w:rFonts w:ascii="Times New Roman" w:hAnsi="Times New Roman"/>
          <w:sz w:val="24"/>
          <w:szCs w:val="24"/>
        </w:rPr>
        <w:t xml:space="preserve"> and is effectively limited to preventing this fraud</w:t>
      </w:r>
      <w:r w:rsidR="00FA165D">
        <w:rPr>
          <w:rFonts w:ascii="Times New Roman" w:hAnsi="Times New Roman"/>
          <w:sz w:val="24"/>
          <w:szCs w:val="24"/>
        </w:rPr>
        <w:t xml:space="preserve">) would make the legislation clearer and </w:t>
      </w:r>
      <w:r w:rsidR="00F657B8">
        <w:rPr>
          <w:rFonts w:ascii="Times New Roman" w:hAnsi="Times New Roman"/>
          <w:sz w:val="24"/>
          <w:szCs w:val="24"/>
        </w:rPr>
        <w:t>simpler</w:t>
      </w:r>
      <w:r w:rsidR="00FA165D">
        <w:rPr>
          <w:rFonts w:ascii="Times New Roman" w:hAnsi="Times New Roman"/>
          <w:sz w:val="24"/>
          <w:szCs w:val="24"/>
        </w:rPr>
        <w:t xml:space="preserve">, and businesses could be more confident that they have applied it correctly.  In addition, it is </w:t>
      </w:r>
      <w:r w:rsidR="00F42E5F">
        <w:rPr>
          <w:rFonts w:ascii="Times New Roman" w:hAnsi="Times New Roman"/>
          <w:sz w:val="24"/>
          <w:szCs w:val="24"/>
        </w:rPr>
        <w:t xml:space="preserve">consistent with </w:t>
      </w:r>
      <w:r w:rsidR="004715FF">
        <w:rPr>
          <w:rFonts w:ascii="Times New Roman" w:hAnsi="Times New Roman"/>
          <w:sz w:val="24"/>
          <w:szCs w:val="24"/>
        </w:rPr>
        <w:t xml:space="preserve">what we understand to be </w:t>
      </w:r>
      <w:r w:rsidR="00F42E5F">
        <w:rPr>
          <w:rFonts w:ascii="Times New Roman" w:hAnsi="Times New Roman"/>
          <w:sz w:val="24"/>
          <w:szCs w:val="24"/>
        </w:rPr>
        <w:t>many businesses’</w:t>
      </w:r>
      <w:r w:rsidR="004715FF">
        <w:rPr>
          <w:rFonts w:ascii="Times New Roman" w:hAnsi="Times New Roman"/>
          <w:sz w:val="24"/>
          <w:szCs w:val="24"/>
        </w:rPr>
        <w:t xml:space="preserve"> current practice.</w:t>
      </w:r>
    </w:p>
    <w:p w:rsidR="00E616D3" w:rsidRDefault="00E616D3" w:rsidP="009C149F">
      <w:pPr>
        <w:pStyle w:val="ListParagraph"/>
        <w:rPr>
          <w:rFonts w:ascii="Times New Roman" w:hAnsi="Times New Roman"/>
          <w:sz w:val="24"/>
          <w:szCs w:val="24"/>
        </w:rPr>
      </w:pPr>
    </w:p>
    <w:p w:rsidR="00E616D3" w:rsidRPr="00F42E5F" w:rsidRDefault="004715FF"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However, t</w:t>
      </w:r>
      <w:r w:rsidR="00E616D3">
        <w:rPr>
          <w:rFonts w:ascii="Times New Roman" w:hAnsi="Times New Roman"/>
          <w:sz w:val="24"/>
          <w:szCs w:val="24"/>
        </w:rPr>
        <w:t xml:space="preserve">here may be some </w:t>
      </w:r>
      <w:r>
        <w:rPr>
          <w:rFonts w:ascii="Times New Roman" w:hAnsi="Times New Roman"/>
          <w:sz w:val="24"/>
          <w:szCs w:val="24"/>
        </w:rPr>
        <w:t xml:space="preserve">remaining </w:t>
      </w:r>
      <w:r w:rsidR="00E616D3">
        <w:rPr>
          <w:rFonts w:ascii="Times New Roman" w:hAnsi="Times New Roman"/>
          <w:sz w:val="24"/>
          <w:szCs w:val="24"/>
        </w:rPr>
        <w:t>uncertainty surrounding businesses</w:t>
      </w:r>
      <w:r w:rsidR="00E34A97">
        <w:rPr>
          <w:rFonts w:ascii="Times New Roman" w:hAnsi="Times New Roman"/>
          <w:sz w:val="24"/>
          <w:szCs w:val="24"/>
        </w:rPr>
        <w:t>’</w:t>
      </w:r>
      <w:r w:rsidR="00E616D3">
        <w:rPr>
          <w:rFonts w:ascii="Times New Roman" w:hAnsi="Times New Roman"/>
          <w:sz w:val="24"/>
          <w:szCs w:val="24"/>
        </w:rPr>
        <w:t xml:space="preserve"> past compliance.  The </w:t>
      </w:r>
      <w:r w:rsidR="00E34A97">
        <w:rPr>
          <w:rFonts w:ascii="Times New Roman" w:hAnsi="Times New Roman"/>
          <w:sz w:val="24"/>
          <w:szCs w:val="24"/>
        </w:rPr>
        <w:t xml:space="preserve">current </w:t>
      </w:r>
      <w:r w:rsidR="00E616D3">
        <w:rPr>
          <w:rFonts w:ascii="Times New Roman" w:hAnsi="Times New Roman"/>
          <w:sz w:val="24"/>
          <w:szCs w:val="24"/>
        </w:rPr>
        <w:t xml:space="preserve">legislation </w:t>
      </w:r>
      <w:r w:rsidR="00E34A97">
        <w:rPr>
          <w:rFonts w:ascii="Times New Roman" w:hAnsi="Times New Roman"/>
          <w:sz w:val="24"/>
          <w:szCs w:val="24"/>
        </w:rPr>
        <w:t xml:space="preserve">is </w:t>
      </w:r>
      <w:r w:rsidR="00E616D3">
        <w:rPr>
          <w:rFonts w:ascii="Times New Roman" w:hAnsi="Times New Roman"/>
          <w:sz w:val="24"/>
          <w:szCs w:val="24"/>
        </w:rPr>
        <w:t xml:space="preserve">complex and poorly understood, so businesses may not have </w:t>
      </w:r>
      <w:r w:rsidR="008C0280">
        <w:rPr>
          <w:rFonts w:ascii="Times New Roman" w:hAnsi="Times New Roman"/>
          <w:sz w:val="24"/>
          <w:szCs w:val="24"/>
        </w:rPr>
        <w:t xml:space="preserve">a high degree of </w:t>
      </w:r>
      <w:r w:rsidR="00E616D3">
        <w:rPr>
          <w:rFonts w:ascii="Times New Roman" w:hAnsi="Times New Roman"/>
          <w:sz w:val="24"/>
          <w:szCs w:val="24"/>
        </w:rPr>
        <w:t>certainty in their past transactions,</w:t>
      </w:r>
      <w:r w:rsidR="00A2516B">
        <w:rPr>
          <w:rFonts w:ascii="Times New Roman" w:hAnsi="Times New Roman"/>
          <w:sz w:val="24"/>
          <w:szCs w:val="24"/>
        </w:rPr>
        <w:t xml:space="preserve"> including the amount of claimed deductions they may</w:t>
      </w:r>
      <w:r w:rsidR="00E34A97">
        <w:rPr>
          <w:rFonts w:ascii="Times New Roman" w:hAnsi="Times New Roman"/>
          <w:sz w:val="24"/>
          <w:szCs w:val="24"/>
        </w:rPr>
        <w:t xml:space="preserve"> technically</w:t>
      </w:r>
      <w:r w:rsidR="00A2516B">
        <w:rPr>
          <w:rFonts w:ascii="Times New Roman" w:hAnsi="Times New Roman"/>
          <w:sz w:val="24"/>
          <w:szCs w:val="24"/>
        </w:rPr>
        <w:t xml:space="preserve"> have to repay,</w:t>
      </w:r>
      <w:r w:rsidR="00E616D3">
        <w:rPr>
          <w:rFonts w:ascii="Times New Roman" w:hAnsi="Times New Roman"/>
          <w:sz w:val="24"/>
          <w:szCs w:val="24"/>
        </w:rPr>
        <w:t xml:space="preserve"> or </w:t>
      </w:r>
      <w:r w:rsidR="00A2516B">
        <w:rPr>
          <w:rFonts w:ascii="Times New Roman" w:hAnsi="Times New Roman"/>
          <w:sz w:val="24"/>
          <w:szCs w:val="24"/>
        </w:rPr>
        <w:t xml:space="preserve">certainty </w:t>
      </w:r>
      <w:r w:rsidR="00E616D3">
        <w:rPr>
          <w:rFonts w:ascii="Times New Roman" w:hAnsi="Times New Roman"/>
          <w:sz w:val="24"/>
          <w:szCs w:val="24"/>
        </w:rPr>
        <w:t>that they have accurately determined the allowable deduction</w:t>
      </w:r>
      <w:r w:rsidR="008C0280">
        <w:rPr>
          <w:rFonts w:ascii="Times New Roman" w:hAnsi="Times New Roman"/>
          <w:sz w:val="24"/>
          <w:szCs w:val="24"/>
        </w:rPr>
        <w:t xml:space="preserve"> </w:t>
      </w:r>
      <w:r w:rsidR="00E34A97">
        <w:rPr>
          <w:rFonts w:ascii="Times New Roman" w:hAnsi="Times New Roman"/>
          <w:sz w:val="24"/>
          <w:szCs w:val="24"/>
        </w:rPr>
        <w:t>given that</w:t>
      </w:r>
      <w:r w:rsidR="00E616D3">
        <w:rPr>
          <w:rFonts w:ascii="Times New Roman" w:hAnsi="Times New Roman"/>
          <w:sz w:val="24"/>
          <w:szCs w:val="24"/>
        </w:rPr>
        <w:t xml:space="preserve"> </w:t>
      </w:r>
      <w:r w:rsidR="00A2516B">
        <w:rPr>
          <w:rFonts w:ascii="Times New Roman" w:hAnsi="Times New Roman"/>
          <w:sz w:val="24"/>
          <w:szCs w:val="24"/>
        </w:rPr>
        <w:t xml:space="preserve">in some cases it </w:t>
      </w:r>
      <w:r w:rsidR="00E616D3">
        <w:rPr>
          <w:rFonts w:ascii="Times New Roman" w:hAnsi="Times New Roman"/>
          <w:sz w:val="24"/>
          <w:szCs w:val="24"/>
        </w:rPr>
        <w:t>may be difficult to precisely</w:t>
      </w:r>
      <w:r w:rsidR="00A2516B">
        <w:rPr>
          <w:rFonts w:ascii="Times New Roman" w:hAnsi="Times New Roman"/>
          <w:sz w:val="24"/>
          <w:szCs w:val="24"/>
        </w:rPr>
        <w:t xml:space="preserve"> value the gold content</w:t>
      </w:r>
      <w:r w:rsidR="00E616D3">
        <w:rPr>
          <w:rFonts w:ascii="Times New Roman" w:hAnsi="Times New Roman"/>
          <w:sz w:val="24"/>
          <w:szCs w:val="24"/>
        </w:rPr>
        <w:t>.</w:t>
      </w:r>
    </w:p>
    <w:p w:rsidR="008C7A70" w:rsidRDefault="008C7A70" w:rsidP="00B91E3E">
      <w:pPr>
        <w:pStyle w:val="Bullet-list"/>
        <w:spacing w:after="0" w:line="240" w:lineRule="auto"/>
        <w:ind w:left="0" w:firstLine="0"/>
        <w:jc w:val="both"/>
        <w:rPr>
          <w:rFonts w:ascii="Times New Roman" w:hAnsi="Times New Roman"/>
          <w:sz w:val="24"/>
          <w:szCs w:val="24"/>
        </w:rPr>
      </w:pPr>
    </w:p>
    <w:p w:rsidR="00FA165D" w:rsidRDefault="00FA165D"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Allowing deductions for the gold content of these goods would be expected to reduce compliance costs for compliant businesses.  </w:t>
      </w:r>
      <w:r w:rsidR="00E616D3">
        <w:rPr>
          <w:rFonts w:ascii="Times New Roman" w:hAnsi="Times New Roman"/>
          <w:sz w:val="24"/>
          <w:szCs w:val="24"/>
        </w:rPr>
        <w:t xml:space="preserve">Under this </w:t>
      </w:r>
      <w:r w:rsidR="001362F9">
        <w:rPr>
          <w:rFonts w:ascii="Times New Roman" w:hAnsi="Times New Roman"/>
          <w:sz w:val="24"/>
          <w:szCs w:val="24"/>
        </w:rPr>
        <w:t>option</w:t>
      </w:r>
      <w:r w:rsidR="00E616D3">
        <w:rPr>
          <w:rFonts w:ascii="Times New Roman" w:hAnsi="Times New Roman"/>
          <w:sz w:val="24"/>
          <w:szCs w:val="24"/>
        </w:rPr>
        <w:t>, t</w:t>
      </w:r>
      <w:r w:rsidR="00F42E5F">
        <w:rPr>
          <w:rFonts w:ascii="Times New Roman" w:hAnsi="Times New Roman"/>
          <w:sz w:val="24"/>
          <w:szCs w:val="24"/>
        </w:rPr>
        <w:t xml:space="preserve">hese businesses should </w:t>
      </w:r>
      <w:r w:rsidR="00E616D3">
        <w:rPr>
          <w:rFonts w:ascii="Times New Roman" w:hAnsi="Times New Roman"/>
          <w:sz w:val="24"/>
          <w:szCs w:val="24"/>
        </w:rPr>
        <w:t>onl</w:t>
      </w:r>
      <w:r w:rsidR="004715FF">
        <w:rPr>
          <w:rFonts w:ascii="Times New Roman" w:hAnsi="Times New Roman"/>
          <w:sz w:val="24"/>
          <w:szCs w:val="24"/>
        </w:rPr>
        <w:t>y</w:t>
      </w:r>
      <w:r w:rsidR="00E616D3">
        <w:rPr>
          <w:rFonts w:ascii="Times New Roman" w:hAnsi="Times New Roman"/>
          <w:sz w:val="24"/>
          <w:szCs w:val="24"/>
        </w:rPr>
        <w:t xml:space="preserve"> </w:t>
      </w:r>
      <w:r w:rsidR="00F42E5F">
        <w:rPr>
          <w:rFonts w:ascii="Times New Roman" w:hAnsi="Times New Roman"/>
          <w:sz w:val="24"/>
          <w:szCs w:val="24"/>
        </w:rPr>
        <w:t xml:space="preserve">incur </w:t>
      </w:r>
      <w:r w:rsidR="00E616D3">
        <w:rPr>
          <w:rFonts w:ascii="Times New Roman" w:hAnsi="Times New Roman"/>
          <w:sz w:val="24"/>
          <w:szCs w:val="24"/>
        </w:rPr>
        <w:t xml:space="preserve">the ordinary costs of maintaining the required records (which they would currently be expected to do, to claim input tax deductions for the non-gold component of secondhand goods) and would </w:t>
      </w:r>
      <w:r w:rsidR="00F42E5F">
        <w:rPr>
          <w:rFonts w:ascii="Times New Roman" w:hAnsi="Times New Roman"/>
          <w:sz w:val="24"/>
          <w:szCs w:val="24"/>
        </w:rPr>
        <w:t>no longer</w:t>
      </w:r>
      <w:r w:rsidR="00E616D3">
        <w:rPr>
          <w:rFonts w:ascii="Times New Roman" w:hAnsi="Times New Roman"/>
          <w:sz w:val="24"/>
          <w:szCs w:val="24"/>
        </w:rPr>
        <w:t xml:space="preserve"> incur cost in </w:t>
      </w:r>
      <w:r w:rsidR="00F42E5F">
        <w:rPr>
          <w:rFonts w:ascii="Times New Roman" w:hAnsi="Times New Roman"/>
          <w:sz w:val="24"/>
          <w:szCs w:val="24"/>
        </w:rPr>
        <w:t>apportion</w:t>
      </w:r>
      <w:r w:rsidR="00E616D3">
        <w:rPr>
          <w:rFonts w:ascii="Times New Roman" w:hAnsi="Times New Roman"/>
          <w:sz w:val="24"/>
          <w:szCs w:val="24"/>
        </w:rPr>
        <w:t>ing</w:t>
      </w:r>
      <w:r w:rsidR="00F42E5F">
        <w:rPr>
          <w:rFonts w:ascii="Times New Roman" w:hAnsi="Times New Roman"/>
          <w:sz w:val="24"/>
          <w:szCs w:val="24"/>
        </w:rPr>
        <w:t xml:space="preserve"> the price paid for the good between the gold content and the non-gold content.</w:t>
      </w:r>
    </w:p>
    <w:p w:rsidR="00FA165D" w:rsidRDefault="00FA165D" w:rsidP="009C149F">
      <w:pPr>
        <w:pStyle w:val="ListParagraph"/>
        <w:rPr>
          <w:rFonts w:ascii="Times New Roman" w:hAnsi="Times New Roman"/>
          <w:sz w:val="24"/>
          <w:szCs w:val="24"/>
        </w:rPr>
      </w:pPr>
    </w:p>
    <w:p w:rsidR="00FA165D" w:rsidRDefault="00FA165D"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Businesses that comply with the secondhand goods rules, but not the exception for gold</w:t>
      </w:r>
      <w:r w:rsidR="00F42E5F">
        <w:rPr>
          <w:rFonts w:ascii="Times New Roman" w:hAnsi="Times New Roman"/>
          <w:sz w:val="24"/>
          <w:szCs w:val="24"/>
        </w:rPr>
        <w:t xml:space="preserve"> (</w:t>
      </w:r>
      <w:r w:rsidR="009B26B8">
        <w:rPr>
          <w:rFonts w:ascii="Times New Roman" w:hAnsi="Times New Roman"/>
          <w:sz w:val="24"/>
          <w:szCs w:val="24"/>
        </w:rPr>
        <w:t>that is, they</w:t>
      </w:r>
      <w:r w:rsidR="00F42E5F">
        <w:rPr>
          <w:rFonts w:ascii="Times New Roman" w:hAnsi="Times New Roman"/>
          <w:sz w:val="24"/>
          <w:szCs w:val="24"/>
        </w:rPr>
        <w:t xml:space="preserve"> are already claiming these deductions)</w:t>
      </w:r>
      <w:r>
        <w:rPr>
          <w:rFonts w:ascii="Times New Roman" w:hAnsi="Times New Roman"/>
          <w:sz w:val="24"/>
          <w:szCs w:val="24"/>
        </w:rPr>
        <w:t>, would be expected to already maintain these records</w:t>
      </w:r>
      <w:r w:rsidR="00F42E5F">
        <w:rPr>
          <w:rFonts w:ascii="Times New Roman" w:hAnsi="Times New Roman"/>
          <w:sz w:val="24"/>
          <w:szCs w:val="24"/>
        </w:rPr>
        <w:t>, so this approach would maintain their status quo.</w:t>
      </w:r>
    </w:p>
    <w:p w:rsidR="00014CA5" w:rsidRDefault="00014CA5" w:rsidP="009C149F">
      <w:pPr>
        <w:pStyle w:val="ListParagraph"/>
        <w:rPr>
          <w:rFonts w:ascii="Times New Roman" w:hAnsi="Times New Roman"/>
          <w:sz w:val="24"/>
          <w:szCs w:val="24"/>
        </w:rPr>
      </w:pPr>
    </w:p>
    <w:p w:rsidR="00014CA5" w:rsidRDefault="00014CA5"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No special administration costs are expected to be incurred in administering this option.  Costs would be incurred in communicating the changes, updating products and dealing with customer contacts.  </w:t>
      </w:r>
      <w:r w:rsidR="00FA165D">
        <w:rPr>
          <w:rFonts w:ascii="Times New Roman" w:hAnsi="Times New Roman"/>
          <w:sz w:val="24"/>
          <w:szCs w:val="24"/>
        </w:rPr>
        <w:t>These costs would</w:t>
      </w:r>
      <w:r>
        <w:rPr>
          <w:rFonts w:ascii="Times New Roman" w:hAnsi="Times New Roman"/>
          <w:sz w:val="24"/>
          <w:szCs w:val="24"/>
        </w:rPr>
        <w:t xml:space="preserve"> not be expected to be </w:t>
      </w:r>
      <w:r w:rsidR="00FA165D">
        <w:rPr>
          <w:rFonts w:ascii="Times New Roman" w:hAnsi="Times New Roman"/>
          <w:sz w:val="24"/>
          <w:szCs w:val="24"/>
        </w:rPr>
        <w:t>significant.</w:t>
      </w:r>
    </w:p>
    <w:p w:rsidR="008C7A70" w:rsidRPr="006B2540" w:rsidRDefault="008C7A70" w:rsidP="00B91E3E">
      <w:pPr>
        <w:pStyle w:val="Bullet-list"/>
        <w:spacing w:after="0" w:line="240" w:lineRule="auto"/>
        <w:ind w:left="0" w:firstLine="0"/>
        <w:jc w:val="both"/>
        <w:rPr>
          <w:rFonts w:ascii="Times New Roman" w:hAnsi="Times New Roman"/>
          <w:sz w:val="24"/>
          <w:szCs w:val="24"/>
          <w:highlight w:val="yellow"/>
        </w:rPr>
      </w:pPr>
    </w:p>
    <w:p w:rsidR="006D46B6" w:rsidRPr="005577B8" w:rsidRDefault="006E6E13"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5577B8">
        <w:rPr>
          <w:rFonts w:ascii="Times New Roman" w:hAnsi="Times New Roman"/>
          <w:sz w:val="24"/>
          <w:szCs w:val="24"/>
        </w:rPr>
        <w:t xml:space="preserve">Allowing input tax deductions in respect of these goods would reduce the amount of GST </w:t>
      </w:r>
      <w:proofErr w:type="gramStart"/>
      <w:r w:rsidRPr="005577B8">
        <w:rPr>
          <w:rFonts w:ascii="Times New Roman" w:hAnsi="Times New Roman"/>
          <w:sz w:val="24"/>
          <w:szCs w:val="24"/>
        </w:rPr>
        <w:t>collected,</w:t>
      </w:r>
      <w:proofErr w:type="gramEnd"/>
      <w:r w:rsidRPr="005577B8">
        <w:rPr>
          <w:rFonts w:ascii="Times New Roman" w:hAnsi="Times New Roman"/>
          <w:sz w:val="24"/>
          <w:szCs w:val="24"/>
        </w:rPr>
        <w:t xml:space="preserve"> as the deductions </w:t>
      </w:r>
      <w:r w:rsidR="008C0280">
        <w:rPr>
          <w:rFonts w:ascii="Times New Roman" w:hAnsi="Times New Roman"/>
          <w:sz w:val="24"/>
          <w:szCs w:val="24"/>
        </w:rPr>
        <w:t>would reduce GST paid by the business or be refunded</w:t>
      </w:r>
      <w:r w:rsidRPr="005577B8">
        <w:rPr>
          <w:rFonts w:ascii="Times New Roman" w:hAnsi="Times New Roman"/>
          <w:sz w:val="24"/>
          <w:szCs w:val="24"/>
        </w:rPr>
        <w:t xml:space="preserve">.  </w:t>
      </w:r>
      <w:r w:rsidR="00F42E5F" w:rsidRPr="005577B8">
        <w:rPr>
          <w:rFonts w:ascii="Times New Roman" w:hAnsi="Times New Roman"/>
          <w:sz w:val="24"/>
          <w:szCs w:val="24"/>
        </w:rPr>
        <w:t xml:space="preserve">This would reduce </w:t>
      </w:r>
      <w:r w:rsidRPr="005577B8">
        <w:rPr>
          <w:rFonts w:ascii="Times New Roman" w:hAnsi="Times New Roman"/>
          <w:sz w:val="24"/>
          <w:szCs w:val="24"/>
        </w:rPr>
        <w:t>GST</w:t>
      </w:r>
      <w:r w:rsidR="00F42E5F" w:rsidRPr="005577B8">
        <w:rPr>
          <w:rFonts w:ascii="Times New Roman" w:hAnsi="Times New Roman"/>
          <w:sz w:val="24"/>
          <w:szCs w:val="24"/>
        </w:rPr>
        <w:t xml:space="preserve"> </w:t>
      </w:r>
      <w:r w:rsidR="008C0280">
        <w:rPr>
          <w:rFonts w:ascii="Times New Roman" w:hAnsi="Times New Roman"/>
          <w:sz w:val="24"/>
          <w:szCs w:val="24"/>
        </w:rPr>
        <w:t>revenue</w:t>
      </w:r>
      <w:r w:rsidR="008C0280" w:rsidRPr="005577B8">
        <w:rPr>
          <w:rFonts w:ascii="Times New Roman" w:hAnsi="Times New Roman"/>
          <w:sz w:val="24"/>
          <w:szCs w:val="24"/>
        </w:rPr>
        <w:t xml:space="preserve"> </w:t>
      </w:r>
      <w:r w:rsidRPr="005577B8">
        <w:rPr>
          <w:rFonts w:ascii="Times New Roman" w:hAnsi="Times New Roman"/>
          <w:sz w:val="24"/>
          <w:szCs w:val="24"/>
        </w:rPr>
        <w:t>by a forecast $0.4</w:t>
      </w:r>
      <w:r w:rsidR="000C43AB">
        <w:rPr>
          <w:rFonts w:ascii="Times New Roman" w:hAnsi="Times New Roman"/>
          <w:sz w:val="24"/>
          <w:szCs w:val="24"/>
        </w:rPr>
        <w:t xml:space="preserve"> </w:t>
      </w:r>
      <w:r w:rsidRPr="005577B8">
        <w:rPr>
          <w:rFonts w:ascii="Times New Roman" w:hAnsi="Times New Roman"/>
          <w:sz w:val="24"/>
          <w:szCs w:val="24"/>
        </w:rPr>
        <w:t>m</w:t>
      </w:r>
      <w:r w:rsidR="000C43AB">
        <w:rPr>
          <w:rFonts w:ascii="Times New Roman" w:hAnsi="Times New Roman"/>
          <w:sz w:val="24"/>
          <w:szCs w:val="24"/>
        </w:rPr>
        <w:t>illion</w:t>
      </w:r>
      <w:r w:rsidRPr="005577B8">
        <w:rPr>
          <w:rFonts w:ascii="Times New Roman" w:hAnsi="Times New Roman"/>
          <w:sz w:val="24"/>
          <w:szCs w:val="24"/>
        </w:rPr>
        <w:t xml:space="preserve"> per annum.</w:t>
      </w:r>
      <w:r w:rsidR="00B00DE4">
        <w:rPr>
          <w:rFonts w:ascii="Times New Roman" w:hAnsi="Times New Roman"/>
          <w:sz w:val="24"/>
          <w:szCs w:val="24"/>
        </w:rPr>
        <w:t xml:space="preserve">  </w:t>
      </w:r>
      <w:r w:rsidRPr="005577B8">
        <w:rPr>
          <w:rFonts w:ascii="Times New Roman" w:hAnsi="Times New Roman"/>
          <w:sz w:val="24"/>
          <w:szCs w:val="24"/>
        </w:rPr>
        <w:t>Persons dealing in these goods would receive a correspond</w:t>
      </w:r>
      <w:r w:rsidR="00B00DE4" w:rsidRPr="005577B8">
        <w:rPr>
          <w:rFonts w:ascii="Times New Roman" w:hAnsi="Times New Roman"/>
          <w:sz w:val="24"/>
          <w:szCs w:val="24"/>
        </w:rPr>
        <w:t>ing benefit of $0.4</w:t>
      </w:r>
      <w:r w:rsidR="000C43AB">
        <w:rPr>
          <w:rFonts w:ascii="Times New Roman" w:hAnsi="Times New Roman"/>
          <w:sz w:val="24"/>
          <w:szCs w:val="24"/>
        </w:rPr>
        <w:t xml:space="preserve"> million</w:t>
      </w:r>
      <w:r w:rsidR="00B00DE4" w:rsidRPr="005577B8">
        <w:rPr>
          <w:rFonts w:ascii="Times New Roman" w:hAnsi="Times New Roman"/>
          <w:sz w:val="24"/>
          <w:szCs w:val="24"/>
        </w:rPr>
        <w:t xml:space="preserve"> per annum.</w:t>
      </w:r>
    </w:p>
    <w:p w:rsidR="00637749" w:rsidRDefault="00637749" w:rsidP="00B91E3E">
      <w:pPr>
        <w:pStyle w:val="Bullet-list"/>
        <w:spacing w:after="0" w:line="240" w:lineRule="auto"/>
        <w:ind w:left="0" w:firstLine="0"/>
        <w:jc w:val="both"/>
        <w:rPr>
          <w:rFonts w:ascii="Times New Roman" w:hAnsi="Times New Roman"/>
          <w:sz w:val="24"/>
          <w:szCs w:val="24"/>
          <w:lang w:val="en-NZ"/>
        </w:rPr>
      </w:pPr>
    </w:p>
    <w:p w:rsidR="00637749" w:rsidRPr="006B2540" w:rsidRDefault="00637749" w:rsidP="00B91E3E">
      <w:pPr>
        <w:jc w:val="both"/>
        <w:rPr>
          <w:rFonts w:ascii="Times New Roman" w:hAnsi="Times New Roman"/>
          <w:i/>
          <w:sz w:val="24"/>
          <w:szCs w:val="24"/>
          <w:u w:val="single"/>
        </w:rPr>
      </w:pPr>
      <w:r w:rsidRPr="006B2540">
        <w:rPr>
          <w:rFonts w:ascii="Times New Roman" w:hAnsi="Times New Roman"/>
          <w:i/>
          <w:sz w:val="24"/>
          <w:szCs w:val="24"/>
          <w:u w:val="single"/>
        </w:rPr>
        <w:t>Option 2: allowing secondhand goods deductions – retrospective (officials preferred option)</w:t>
      </w:r>
    </w:p>
    <w:p w:rsidR="00B00DE4" w:rsidRDefault="00F969F6"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A variant of the option above would be to apply a change retrospectively, aligned with the time bar for Commissioner </w:t>
      </w:r>
      <w:proofErr w:type="gramStart"/>
      <w:r>
        <w:rPr>
          <w:rFonts w:ascii="Times New Roman" w:hAnsi="Times New Roman"/>
          <w:sz w:val="24"/>
          <w:szCs w:val="24"/>
        </w:rPr>
        <w:t>reassessments</w:t>
      </w:r>
      <w:proofErr w:type="gramEnd"/>
      <w:r>
        <w:rPr>
          <w:rFonts w:ascii="Times New Roman" w:hAnsi="Times New Roman"/>
          <w:sz w:val="24"/>
          <w:szCs w:val="24"/>
        </w:rPr>
        <w:t xml:space="preserve"> to increase tax payable in a period.  This would depart from the above</w:t>
      </w:r>
      <w:r w:rsidR="00B00DE4">
        <w:rPr>
          <w:rFonts w:ascii="Times New Roman" w:hAnsi="Times New Roman"/>
          <w:sz w:val="24"/>
          <w:szCs w:val="24"/>
        </w:rPr>
        <w:t xml:space="preserve"> analysis in the following ways</w:t>
      </w:r>
      <w:r w:rsidR="00A2516B">
        <w:rPr>
          <w:rFonts w:ascii="Times New Roman" w:hAnsi="Times New Roman"/>
          <w:sz w:val="24"/>
          <w:szCs w:val="24"/>
        </w:rPr>
        <w:t>:</w:t>
      </w:r>
    </w:p>
    <w:p w:rsidR="00B00DE4" w:rsidRDefault="00B00DE4" w:rsidP="00B91E3E">
      <w:pPr>
        <w:pStyle w:val="Bullet-list"/>
        <w:spacing w:after="0" w:line="240" w:lineRule="auto"/>
        <w:ind w:left="0" w:firstLine="0"/>
        <w:jc w:val="both"/>
        <w:rPr>
          <w:rFonts w:ascii="Times New Roman" w:hAnsi="Times New Roman"/>
          <w:sz w:val="24"/>
          <w:szCs w:val="24"/>
        </w:rPr>
      </w:pPr>
    </w:p>
    <w:p w:rsidR="00F51496" w:rsidRPr="005577B8" w:rsidRDefault="00F51496" w:rsidP="00B91E3E">
      <w:pPr>
        <w:pStyle w:val="Bullet-list"/>
        <w:numPr>
          <w:ilvl w:val="0"/>
          <w:numId w:val="5"/>
        </w:numPr>
        <w:spacing w:after="0" w:line="240" w:lineRule="auto"/>
        <w:jc w:val="both"/>
        <w:rPr>
          <w:rFonts w:ascii="Times New Roman" w:hAnsi="Times New Roman"/>
          <w:sz w:val="24"/>
          <w:szCs w:val="24"/>
        </w:rPr>
      </w:pPr>
      <w:r w:rsidRPr="005577B8">
        <w:rPr>
          <w:rFonts w:ascii="Times New Roman" w:hAnsi="Times New Roman"/>
          <w:sz w:val="24"/>
          <w:szCs w:val="24"/>
        </w:rPr>
        <w:t>It would provide greater certainty to those taxpayers who have previously claimed these deductions</w:t>
      </w:r>
      <w:r w:rsidR="00B00DE4" w:rsidRPr="005577B8">
        <w:rPr>
          <w:rFonts w:ascii="Times New Roman" w:hAnsi="Times New Roman"/>
          <w:sz w:val="24"/>
          <w:szCs w:val="24"/>
        </w:rPr>
        <w:t>, as they would not be required to</w:t>
      </w:r>
      <w:r w:rsidR="00B00DE4">
        <w:rPr>
          <w:rFonts w:ascii="Times New Roman" w:hAnsi="Times New Roman"/>
          <w:sz w:val="24"/>
          <w:szCs w:val="24"/>
        </w:rPr>
        <w:t xml:space="preserve"> reassess</w:t>
      </w:r>
      <w:r w:rsidR="00B00DE4" w:rsidRPr="005577B8">
        <w:rPr>
          <w:rFonts w:ascii="Times New Roman" w:hAnsi="Times New Roman"/>
          <w:sz w:val="24"/>
          <w:szCs w:val="24"/>
        </w:rPr>
        <w:t xml:space="preserve"> their </w:t>
      </w:r>
      <w:r w:rsidR="00B00DE4">
        <w:rPr>
          <w:rFonts w:ascii="Times New Roman" w:hAnsi="Times New Roman"/>
          <w:sz w:val="24"/>
          <w:szCs w:val="24"/>
        </w:rPr>
        <w:t xml:space="preserve">past </w:t>
      </w:r>
      <w:r w:rsidR="00B00DE4" w:rsidRPr="005577B8">
        <w:rPr>
          <w:rFonts w:ascii="Times New Roman" w:hAnsi="Times New Roman"/>
          <w:sz w:val="24"/>
          <w:szCs w:val="24"/>
        </w:rPr>
        <w:t xml:space="preserve">tax positions, and to businesses who have </w:t>
      </w:r>
      <w:r w:rsidR="00B00DE4">
        <w:rPr>
          <w:rFonts w:ascii="Times New Roman" w:hAnsi="Times New Roman"/>
          <w:sz w:val="24"/>
          <w:szCs w:val="24"/>
        </w:rPr>
        <w:t xml:space="preserve">valued the gold content to </w:t>
      </w:r>
      <w:r w:rsidR="00B00DE4" w:rsidRPr="005577B8">
        <w:rPr>
          <w:rFonts w:ascii="Times New Roman" w:hAnsi="Times New Roman"/>
          <w:sz w:val="24"/>
          <w:szCs w:val="24"/>
        </w:rPr>
        <w:t>claim</w:t>
      </w:r>
      <w:r w:rsidR="00B00DE4">
        <w:rPr>
          <w:rFonts w:ascii="Times New Roman" w:hAnsi="Times New Roman"/>
          <w:sz w:val="24"/>
          <w:szCs w:val="24"/>
        </w:rPr>
        <w:t xml:space="preserve"> input tax</w:t>
      </w:r>
      <w:r w:rsidR="00B00DE4" w:rsidRPr="005577B8">
        <w:rPr>
          <w:rFonts w:ascii="Times New Roman" w:hAnsi="Times New Roman"/>
          <w:sz w:val="24"/>
          <w:szCs w:val="24"/>
        </w:rPr>
        <w:t xml:space="preserve"> </w:t>
      </w:r>
      <w:r w:rsidR="00B00DE4">
        <w:rPr>
          <w:rFonts w:ascii="Times New Roman" w:hAnsi="Times New Roman"/>
          <w:sz w:val="24"/>
          <w:szCs w:val="24"/>
        </w:rPr>
        <w:t>deductions in respect of the non-gold component.</w:t>
      </w:r>
    </w:p>
    <w:p w:rsidR="008C7A70" w:rsidRPr="005577B8" w:rsidRDefault="008C7A70" w:rsidP="00B91E3E">
      <w:pPr>
        <w:pStyle w:val="Bullet-list"/>
        <w:spacing w:after="0" w:line="240" w:lineRule="auto"/>
        <w:ind w:left="426" w:firstLine="0"/>
        <w:jc w:val="both"/>
        <w:rPr>
          <w:rFonts w:ascii="Times New Roman" w:hAnsi="Times New Roman"/>
          <w:sz w:val="24"/>
          <w:szCs w:val="24"/>
        </w:rPr>
      </w:pPr>
    </w:p>
    <w:p w:rsidR="0075326D" w:rsidRDefault="00F51496" w:rsidP="00B91E3E">
      <w:pPr>
        <w:pStyle w:val="Bullet-list"/>
        <w:numPr>
          <w:ilvl w:val="0"/>
          <w:numId w:val="5"/>
        </w:numPr>
        <w:spacing w:after="0" w:line="240" w:lineRule="auto"/>
        <w:jc w:val="both"/>
        <w:rPr>
          <w:rFonts w:ascii="Times New Roman" w:hAnsi="Times New Roman"/>
          <w:sz w:val="24"/>
          <w:szCs w:val="24"/>
        </w:rPr>
      </w:pPr>
      <w:r>
        <w:rPr>
          <w:rFonts w:ascii="Times New Roman" w:hAnsi="Times New Roman"/>
          <w:sz w:val="24"/>
          <w:szCs w:val="24"/>
        </w:rPr>
        <w:t>It would maintain greater fairness and equity between taxpayers.</w:t>
      </w:r>
      <w:r w:rsidR="0075326D">
        <w:rPr>
          <w:rFonts w:ascii="Times New Roman" w:hAnsi="Times New Roman"/>
          <w:sz w:val="24"/>
          <w:szCs w:val="24"/>
        </w:rPr>
        <w:t xml:space="preserve">  It</w:t>
      </w:r>
      <w:r>
        <w:rPr>
          <w:rFonts w:ascii="Times New Roman" w:hAnsi="Times New Roman"/>
          <w:sz w:val="24"/>
          <w:szCs w:val="24"/>
        </w:rPr>
        <w:t xml:space="preserve"> is possible that non-compliant taxpayers would be </w:t>
      </w:r>
      <w:r w:rsidR="0075326D">
        <w:rPr>
          <w:rFonts w:ascii="Times New Roman" w:hAnsi="Times New Roman"/>
          <w:sz w:val="24"/>
          <w:szCs w:val="24"/>
        </w:rPr>
        <w:t>reassessed by the Commissioner, and required to repay amounts claimed, use-of-money interest, and penalties.</w:t>
      </w:r>
      <w:r>
        <w:rPr>
          <w:rFonts w:ascii="Times New Roman" w:hAnsi="Times New Roman"/>
          <w:sz w:val="24"/>
          <w:szCs w:val="24"/>
        </w:rPr>
        <w:t xml:space="preserve">  </w:t>
      </w:r>
      <w:r w:rsidR="0075326D">
        <w:rPr>
          <w:rFonts w:ascii="Times New Roman" w:hAnsi="Times New Roman"/>
          <w:sz w:val="24"/>
          <w:szCs w:val="24"/>
        </w:rPr>
        <w:t>This could have a</w:t>
      </w:r>
      <w:r w:rsidR="001362F9">
        <w:rPr>
          <w:rFonts w:ascii="Times New Roman" w:hAnsi="Times New Roman"/>
          <w:sz w:val="24"/>
          <w:szCs w:val="24"/>
        </w:rPr>
        <w:t xml:space="preserve"> sig</w:t>
      </w:r>
      <w:r w:rsidR="0075326D">
        <w:rPr>
          <w:rFonts w:ascii="Times New Roman" w:hAnsi="Times New Roman"/>
          <w:sz w:val="24"/>
          <w:szCs w:val="24"/>
        </w:rPr>
        <w:t>n</w:t>
      </w:r>
      <w:r w:rsidR="001362F9">
        <w:rPr>
          <w:rFonts w:ascii="Times New Roman" w:hAnsi="Times New Roman"/>
          <w:sz w:val="24"/>
          <w:szCs w:val="24"/>
        </w:rPr>
        <w:t>ificant</w:t>
      </w:r>
      <w:r w:rsidR="0075326D">
        <w:rPr>
          <w:rFonts w:ascii="Times New Roman" w:hAnsi="Times New Roman"/>
          <w:sz w:val="24"/>
          <w:szCs w:val="24"/>
        </w:rPr>
        <w:t xml:space="preserve"> effect on a wide group of businesses</w:t>
      </w:r>
      <w:r w:rsidR="0075326D" w:rsidRPr="0075326D">
        <w:rPr>
          <w:rFonts w:ascii="Times New Roman" w:hAnsi="Times New Roman"/>
          <w:sz w:val="24"/>
          <w:szCs w:val="24"/>
        </w:rPr>
        <w:t xml:space="preserve"> </w:t>
      </w:r>
      <w:r w:rsidR="0075326D">
        <w:rPr>
          <w:rFonts w:ascii="Times New Roman" w:hAnsi="Times New Roman"/>
          <w:sz w:val="24"/>
          <w:szCs w:val="24"/>
        </w:rPr>
        <w:t>given that many businesses are expected to have claimed these deductions.  It is arguably not fair for businesses to suffer a significant impact due to a misapplying a complex piece of technical legislation, that is a counter-intuitive exception (for those who are not aware of the underlying policy reason) to the ordinary rules.</w:t>
      </w:r>
    </w:p>
    <w:p w:rsidR="0075326D" w:rsidRDefault="0075326D" w:rsidP="009C149F">
      <w:pPr>
        <w:pStyle w:val="ListParagraph"/>
        <w:rPr>
          <w:rFonts w:ascii="Times New Roman" w:hAnsi="Times New Roman"/>
          <w:sz w:val="24"/>
          <w:szCs w:val="24"/>
        </w:rPr>
      </w:pPr>
    </w:p>
    <w:p w:rsidR="0075326D" w:rsidRDefault="0075326D" w:rsidP="00B91E3E">
      <w:pPr>
        <w:pStyle w:val="Bullet-list"/>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Conversely, compliant businesses should not be disadvantaged by </w:t>
      </w:r>
      <w:r w:rsidR="00B173DB">
        <w:rPr>
          <w:rFonts w:ascii="Times New Roman" w:hAnsi="Times New Roman"/>
          <w:sz w:val="24"/>
          <w:szCs w:val="24"/>
        </w:rPr>
        <w:t>reason of their compliance</w:t>
      </w:r>
      <w:r w:rsidR="00B00DE4">
        <w:rPr>
          <w:rFonts w:ascii="Times New Roman" w:hAnsi="Times New Roman"/>
          <w:sz w:val="24"/>
          <w:szCs w:val="24"/>
        </w:rPr>
        <w:t>.  Enabling these businesses to recover deductions within this period ensures they are treated equivalently.</w:t>
      </w:r>
      <w:r w:rsidR="00B173DB">
        <w:rPr>
          <w:rFonts w:ascii="Times New Roman" w:hAnsi="Times New Roman"/>
          <w:sz w:val="24"/>
          <w:szCs w:val="24"/>
        </w:rPr>
        <w:t xml:space="preserve"> </w:t>
      </w:r>
    </w:p>
    <w:p w:rsidR="008C7A70" w:rsidRDefault="008C7A70" w:rsidP="00B91E3E">
      <w:pPr>
        <w:pStyle w:val="Bullet-list"/>
        <w:spacing w:after="0" w:line="240" w:lineRule="auto"/>
        <w:ind w:left="0" w:firstLine="0"/>
        <w:jc w:val="both"/>
        <w:rPr>
          <w:rFonts w:ascii="Times New Roman" w:hAnsi="Times New Roman"/>
          <w:sz w:val="24"/>
          <w:szCs w:val="24"/>
        </w:rPr>
      </w:pPr>
    </w:p>
    <w:p w:rsidR="00F969F6" w:rsidRDefault="00F969F6"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w:t>
      </w:r>
      <w:r w:rsidR="00B173DB">
        <w:rPr>
          <w:rFonts w:ascii="Times New Roman" w:hAnsi="Times New Roman"/>
          <w:sz w:val="24"/>
          <w:szCs w:val="24"/>
        </w:rPr>
        <w:t>is</w:t>
      </w:r>
      <w:r>
        <w:rPr>
          <w:rFonts w:ascii="Times New Roman" w:hAnsi="Times New Roman"/>
          <w:sz w:val="24"/>
          <w:szCs w:val="24"/>
        </w:rPr>
        <w:t xml:space="preserve"> option would have a </w:t>
      </w:r>
      <w:r w:rsidR="00F51496">
        <w:rPr>
          <w:rFonts w:ascii="Times New Roman" w:hAnsi="Times New Roman"/>
          <w:sz w:val="24"/>
          <w:szCs w:val="24"/>
        </w:rPr>
        <w:t xml:space="preserve">higher fiscal cost, due to the </w:t>
      </w:r>
      <w:r>
        <w:rPr>
          <w:rFonts w:ascii="Times New Roman" w:hAnsi="Times New Roman"/>
          <w:sz w:val="24"/>
          <w:szCs w:val="24"/>
        </w:rPr>
        <w:t xml:space="preserve">payment of previously </w:t>
      </w:r>
      <w:r w:rsidR="001362F9">
        <w:rPr>
          <w:rFonts w:ascii="Times New Roman" w:hAnsi="Times New Roman"/>
          <w:sz w:val="24"/>
          <w:szCs w:val="24"/>
        </w:rPr>
        <w:t xml:space="preserve">unrecovered </w:t>
      </w:r>
      <w:r>
        <w:rPr>
          <w:rFonts w:ascii="Times New Roman" w:hAnsi="Times New Roman"/>
          <w:sz w:val="24"/>
          <w:szCs w:val="24"/>
        </w:rPr>
        <w:t>deductions.</w:t>
      </w:r>
      <w:r w:rsidR="00B173DB">
        <w:rPr>
          <w:rFonts w:ascii="Times New Roman" w:hAnsi="Times New Roman"/>
          <w:sz w:val="24"/>
          <w:szCs w:val="24"/>
        </w:rPr>
        <w:t xml:space="preserve">  </w:t>
      </w:r>
      <w:r w:rsidR="00B00DE4">
        <w:rPr>
          <w:rFonts w:ascii="Times New Roman" w:hAnsi="Times New Roman"/>
          <w:sz w:val="24"/>
          <w:szCs w:val="24"/>
        </w:rPr>
        <w:t>This is estimated as an additional one-off cost of $1.6</w:t>
      </w:r>
      <w:r w:rsidR="000C43AB">
        <w:rPr>
          <w:rFonts w:ascii="Times New Roman" w:hAnsi="Times New Roman"/>
          <w:sz w:val="24"/>
          <w:szCs w:val="24"/>
        </w:rPr>
        <w:t xml:space="preserve"> </w:t>
      </w:r>
      <w:r w:rsidR="00B00DE4">
        <w:rPr>
          <w:rFonts w:ascii="Times New Roman" w:hAnsi="Times New Roman"/>
          <w:sz w:val="24"/>
          <w:szCs w:val="24"/>
        </w:rPr>
        <w:t>m</w:t>
      </w:r>
      <w:r w:rsidR="000C43AB">
        <w:rPr>
          <w:rFonts w:ascii="Times New Roman" w:hAnsi="Times New Roman"/>
          <w:sz w:val="24"/>
          <w:szCs w:val="24"/>
        </w:rPr>
        <w:t>illion</w:t>
      </w:r>
      <w:r w:rsidR="00B00DE4">
        <w:rPr>
          <w:rFonts w:ascii="Times New Roman" w:hAnsi="Times New Roman"/>
          <w:sz w:val="24"/>
          <w:szCs w:val="24"/>
        </w:rPr>
        <w:t>.</w:t>
      </w:r>
    </w:p>
    <w:p w:rsidR="00A56878" w:rsidRPr="00B173DB" w:rsidRDefault="00A56878" w:rsidP="00B91E3E">
      <w:pPr>
        <w:pStyle w:val="Bullet-list"/>
        <w:spacing w:after="0" w:line="240" w:lineRule="auto"/>
        <w:ind w:left="0" w:firstLine="0"/>
        <w:jc w:val="both"/>
        <w:rPr>
          <w:rFonts w:ascii="Times New Roman" w:hAnsi="Times New Roman"/>
          <w:sz w:val="24"/>
          <w:szCs w:val="24"/>
        </w:rPr>
      </w:pPr>
    </w:p>
    <w:p w:rsidR="00254EC6" w:rsidRPr="006B2540" w:rsidRDefault="00254EC6" w:rsidP="00B91E3E">
      <w:pPr>
        <w:jc w:val="both"/>
        <w:rPr>
          <w:rFonts w:ascii="Times New Roman" w:hAnsi="Times New Roman"/>
          <w:i/>
          <w:sz w:val="24"/>
          <w:szCs w:val="24"/>
          <w:u w:val="single"/>
        </w:rPr>
      </w:pPr>
      <w:r w:rsidRPr="006B2540">
        <w:rPr>
          <w:rFonts w:ascii="Times New Roman" w:hAnsi="Times New Roman"/>
          <w:i/>
          <w:sz w:val="24"/>
          <w:szCs w:val="24"/>
          <w:u w:val="single"/>
        </w:rPr>
        <w:t xml:space="preserve">Option </w:t>
      </w:r>
      <w:r w:rsidR="00F969F6" w:rsidRPr="006B2540">
        <w:rPr>
          <w:rFonts w:ascii="Times New Roman" w:hAnsi="Times New Roman"/>
          <w:i/>
          <w:sz w:val="24"/>
          <w:szCs w:val="24"/>
          <w:u w:val="single"/>
        </w:rPr>
        <w:t>3</w:t>
      </w:r>
      <w:r w:rsidRPr="006B2540">
        <w:rPr>
          <w:rFonts w:ascii="Times New Roman" w:hAnsi="Times New Roman"/>
          <w:i/>
          <w:sz w:val="24"/>
          <w:szCs w:val="24"/>
          <w:u w:val="single"/>
        </w:rPr>
        <w:t>: status quo</w:t>
      </w:r>
    </w:p>
    <w:p w:rsidR="00F969F6" w:rsidRDefault="00F969F6"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It would be an option to maintain the current treatment.  In that case, the situation outlined in the problem definition would continue.</w:t>
      </w:r>
    </w:p>
    <w:p w:rsidR="0073093A" w:rsidRDefault="0073093A" w:rsidP="00A87D1D">
      <w:pPr>
        <w:pStyle w:val="Bullet-list"/>
        <w:spacing w:after="0" w:line="240" w:lineRule="auto"/>
        <w:jc w:val="both"/>
        <w:rPr>
          <w:rFonts w:ascii="Times New Roman" w:hAnsi="Times New Roman"/>
          <w:b/>
          <w:i/>
          <w:sz w:val="24"/>
          <w:szCs w:val="24"/>
          <w:lang w:val="en-NZ"/>
        </w:rPr>
      </w:pPr>
    </w:p>
    <w:p w:rsidR="00A87D1D" w:rsidRPr="006A2DE9" w:rsidRDefault="00A87D1D" w:rsidP="00A87D1D">
      <w:pPr>
        <w:pStyle w:val="Bullet-list"/>
        <w:spacing w:after="0" w:line="240" w:lineRule="auto"/>
        <w:jc w:val="both"/>
        <w:rPr>
          <w:rFonts w:ascii="Times New Roman" w:hAnsi="Times New Roman"/>
          <w:b/>
          <w:i/>
          <w:sz w:val="24"/>
          <w:szCs w:val="24"/>
          <w:lang w:val="en-NZ"/>
        </w:rPr>
      </w:pPr>
      <w:r w:rsidRPr="006A2DE9">
        <w:rPr>
          <w:rFonts w:ascii="Times New Roman" w:hAnsi="Times New Roman"/>
          <w:b/>
          <w:i/>
          <w:sz w:val="24"/>
          <w:szCs w:val="24"/>
          <w:lang w:val="en-NZ"/>
        </w:rPr>
        <w:t>Summary of the analysis of the options</w:t>
      </w:r>
    </w:p>
    <w:p w:rsidR="00A87D1D" w:rsidRDefault="00A87D1D" w:rsidP="00A87D1D">
      <w:pPr>
        <w:pStyle w:val="ListParagraph"/>
        <w:rPr>
          <w:rFonts w:ascii="Times New Roman" w:hAnsi="Times New Roman"/>
          <w:sz w:val="24"/>
          <w:szCs w:val="24"/>
        </w:rPr>
      </w:pPr>
    </w:p>
    <w:p w:rsidR="0073093A" w:rsidRDefault="001362F9"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w:t>
      </w:r>
      <w:r w:rsidR="009C58B0">
        <w:rPr>
          <w:rFonts w:ascii="Times New Roman" w:hAnsi="Times New Roman"/>
          <w:sz w:val="24"/>
          <w:szCs w:val="24"/>
        </w:rPr>
        <w:t xml:space="preserve"> 1</w:t>
      </w:r>
      <w:r>
        <w:rPr>
          <w:rFonts w:ascii="Times New Roman" w:hAnsi="Times New Roman"/>
          <w:sz w:val="24"/>
          <w:szCs w:val="24"/>
        </w:rPr>
        <w:t xml:space="preserve"> and </w:t>
      </w:r>
      <w:r w:rsidR="009C58B0">
        <w:rPr>
          <w:rFonts w:ascii="Times New Roman" w:hAnsi="Times New Roman"/>
          <w:sz w:val="24"/>
          <w:szCs w:val="24"/>
        </w:rPr>
        <w:t>Option 2</w:t>
      </w:r>
      <w:r w:rsidR="0073093A">
        <w:rPr>
          <w:rFonts w:ascii="Times New Roman" w:hAnsi="Times New Roman"/>
          <w:sz w:val="24"/>
          <w:szCs w:val="24"/>
        </w:rPr>
        <w:t xml:space="preserve"> are expected to increase economic efficiency by removing a tax preference for certain kinds of transactions, and by ensuring all businesses </w:t>
      </w:r>
      <w:r>
        <w:rPr>
          <w:rFonts w:ascii="Times New Roman" w:hAnsi="Times New Roman"/>
          <w:sz w:val="24"/>
          <w:szCs w:val="24"/>
        </w:rPr>
        <w:t xml:space="preserve">have a similar entitlement to </w:t>
      </w:r>
      <w:r w:rsidR="0073093A">
        <w:rPr>
          <w:rFonts w:ascii="Times New Roman" w:hAnsi="Times New Roman"/>
          <w:sz w:val="24"/>
          <w:szCs w:val="24"/>
        </w:rPr>
        <w:t xml:space="preserve">deductions. </w:t>
      </w:r>
    </w:p>
    <w:p w:rsidR="0073093A" w:rsidRDefault="0073093A" w:rsidP="00B91E3E">
      <w:pPr>
        <w:pStyle w:val="Bullet-list"/>
        <w:spacing w:after="0" w:line="240" w:lineRule="auto"/>
        <w:jc w:val="both"/>
        <w:rPr>
          <w:rFonts w:ascii="Times New Roman" w:hAnsi="Times New Roman"/>
          <w:sz w:val="24"/>
          <w:szCs w:val="24"/>
        </w:rPr>
      </w:pPr>
    </w:p>
    <w:p w:rsidR="0073093A" w:rsidRDefault="001362F9"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w:t>
      </w:r>
      <w:r w:rsidR="0073093A">
        <w:rPr>
          <w:rFonts w:ascii="Times New Roman" w:hAnsi="Times New Roman"/>
          <w:sz w:val="24"/>
          <w:szCs w:val="24"/>
        </w:rPr>
        <w:t>ption</w:t>
      </w:r>
      <w:r w:rsidR="009C58B0">
        <w:rPr>
          <w:rFonts w:ascii="Times New Roman" w:hAnsi="Times New Roman"/>
          <w:sz w:val="24"/>
          <w:szCs w:val="24"/>
        </w:rPr>
        <w:t xml:space="preserve"> 1 and Option 2</w:t>
      </w:r>
      <w:r>
        <w:rPr>
          <w:rFonts w:ascii="Times New Roman" w:hAnsi="Times New Roman"/>
          <w:sz w:val="24"/>
          <w:szCs w:val="24"/>
        </w:rPr>
        <w:t xml:space="preserve"> </w:t>
      </w:r>
      <w:r w:rsidR="0073093A">
        <w:rPr>
          <w:rFonts w:ascii="Times New Roman" w:hAnsi="Times New Roman"/>
          <w:sz w:val="24"/>
          <w:szCs w:val="24"/>
        </w:rPr>
        <w:t>are expected to reduce compliance costs, as businesses will not be required to determine the gold content of secondhand goods, for the purpose of claiming a deduction for the non-gold portion of the goods.</w:t>
      </w:r>
    </w:p>
    <w:p w:rsidR="0073093A" w:rsidRDefault="0073093A" w:rsidP="00B91E3E">
      <w:pPr>
        <w:pStyle w:val="ListParagraph"/>
        <w:rPr>
          <w:rFonts w:ascii="Times New Roman" w:hAnsi="Times New Roman"/>
          <w:sz w:val="24"/>
          <w:szCs w:val="24"/>
        </w:rPr>
      </w:pPr>
    </w:p>
    <w:p w:rsidR="0073093A" w:rsidRDefault="0073093A"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Neither option is expected to significantly increase administration costs.</w:t>
      </w:r>
    </w:p>
    <w:p w:rsidR="0073093A" w:rsidRDefault="0073093A" w:rsidP="00B91E3E">
      <w:pPr>
        <w:pStyle w:val="Bullet-list"/>
        <w:spacing w:after="0" w:line="240" w:lineRule="auto"/>
        <w:ind w:left="0" w:firstLine="0"/>
        <w:jc w:val="both"/>
        <w:rPr>
          <w:rFonts w:ascii="Times New Roman" w:hAnsi="Times New Roman"/>
          <w:sz w:val="24"/>
          <w:szCs w:val="24"/>
        </w:rPr>
      </w:pPr>
    </w:p>
    <w:p w:rsidR="00B763C8" w:rsidRDefault="00B763C8"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None of the options are expected to have social, cultural or environmental impacts.</w:t>
      </w:r>
    </w:p>
    <w:p w:rsidR="00B00DE4" w:rsidRDefault="00B00DE4" w:rsidP="00B91E3E">
      <w:pPr>
        <w:pStyle w:val="Bullet-list"/>
        <w:spacing w:after="0" w:line="240" w:lineRule="auto"/>
        <w:ind w:left="0" w:firstLine="0"/>
        <w:jc w:val="both"/>
        <w:rPr>
          <w:rFonts w:ascii="Times New Roman" w:hAnsi="Times New Roman"/>
          <w:sz w:val="24"/>
          <w:szCs w:val="24"/>
        </w:rPr>
      </w:pPr>
    </w:p>
    <w:p w:rsidR="002424F2" w:rsidRDefault="002424F2" w:rsidP="002424F2">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Table 3 summarises the analysis of the options against the stated objectives.</w:t>
      </w:r>
    </w:p>
    <w:p w:rsidR="00B00DE4" w:rsidRPr="00F969F6" w:rsidRDefault="00B00DE4" w:rsidP="00B00DE4">
      <w:pPr>
        <w:pStyle w:val="Bullet-list"/>
        <w:spacing w:after="0" w:line="240" w:lineRule="auto"/>
        <w:ind w:left="0" w:firstLine="0"/>
        <w:rPr>
          <w:rFonts w:ascii="Times New Roman" w:hAnsi="Times New Roman"/>
          <w:sz w:val="24"/>
          <w:szCs w:val="24"/>
        </w:rPr>
        <w:sectPr w:rsidR="00B00DE4" w:rsidRPr="00F969F6" w:rsidSect="00B91E3E">
          <w:pgSz w:w="11907" w:h="16840" w:code="9"/>
          <w:pgMar w:top="1134" w:right="1418" w:bottom="1134" w:left="1418" w:header="567" w:footer="567" w:gutter="0"/>
          <w:cols w:space="720"/>
          <w:docGrid w:linePitch="360"/>
        </w:sectPr>
      </w:pPr>
    </w:p>
    <w:tbl>
      <w:tblPr>
        <w:tblStyle w:val="TableGrid"/>
        <w:tblW w:w="0" w:type="auto"/>
        <w:tblInd w:w="284" w:type="dxa"/>
        <w:tblLayout w:type="fixed"/>
        <w:tblLook w:val="04A0" w:firstRow="1" w:lastRow="0" w:firstColumn="1" w:lastColumn="0" w:noHBand="0" w:noVBand="1"/>
      </w:tblPr>
      <w:tblGrid>
        <w:gridCol w:w="2234"/>
        <w:gridCol w:w="1985"/>
        <w:gridCol w:w="1842"/>
        <w:gridCol w:w="1701"/>
        <w:gridCol w:w="1802"/>
        <w:gridCol w:w="1888"/>
        <w:gridCol w:w="1689"/>
        <w:gridCol w:w="1363"/>
      </w:tblGrid>
      <w:tr w:rsidR="00B00DE4" w:rsidRPr="002F302C" w:rsidTr="00B91E3E">
        <w:tc>
          <w:tcPr>
            <w:tcW w:w="2234" w:type="dxa"/>
            <w:vMerge w:val="restart"/>
          </w:tcPr>
          <w:p w:rsidR="00B00DE4" w:rsidRPr="002F302C" w:rsidRDefault="00B00DE4" w:rsidP="00B00DE4">
            <w:pPr>
              <w:pStyle w:val="Bullet-list"/>
              <w:spacing w:after="0" w:line="240" w:lineRule="auto"/>
              <w:ind w:left="0" w:firstLine="0"/>
              <w:rPr>
                <w:rFonts w:ascii="Times New Roman" w:hAnsi="Times New Roman"/>
                <w:b/>
                <w:sz w:val="24"/>
                <w:szCs w:val="24"/>
              </w:rPr>
            </w:pPr>
          </w:p>
        </w:tc>
        <w:tc>
          <w:tcPr>
            <w:tcW w:w="3827" w:type="dxa"/>
            <w:gridSpan w:val="2"/>
          </w:tcPr>
          <w:p w:rsidR="00B00DE4" w:rsidRPr="002F302C" w:rsidRDefault="00625424" w:rsidP="00B00DE4">
            <w:pPr>
              <w:pStyle w:val="Bullet-list"/>
              <w:spacing w:after="0" w:line="240" w:lineRule="auto"/>
              <w:ind w:left="0" w:firstLine="0"/>
              <w:jc w:val="center"/>
              <w:rPr>
                <w:rFonts w:ascii="Times New Roman" w:hAnsi="Times New Roman"/>
                <w:b/>
                <w:sz w:val="24"/>
                <w:szCs w:val="24"/>
              </w:rPr>
            </w:pPr>
            <w:r w:rsidRPr="00625424">
              <w:rPr>
                <w:rFonts w:ascii="Times New Roman" w:hAnsi="Times New Roman"/>
                <w:noProof/>
                <w:sz w:val="24"/>
                <w:szCs w:val="24"/>
                <w:lang w:val="en-NZ" w:eastAsia="en-NZ"/>
              </w:rPr>
              <mc:AlternateContent>
                <mc:Choice Requires="wps">
                  <w:drawing>
                    <wp:anchor distT="0" distB="0" distL="114300" distR="114300" simplePos="0" relativeHeight="251695104" behindDoc="0" locked="0" layoutInCell="1" allowOverlap="1" wp14:anchorId="36CE3C29" wp14:editId="20E6AF76">
                      <wp:simplePos x="0" y="0"/>
                      <wp:positionH relativeFrom="column">
                        <wp:posOffset>770890</wp:posOffset>
                      </wp:positionH>
                      <wp:positionV relativeFrom="paragraph">
                        <wp:posOffset>-400050</wp:posOffset>
                      </wp:positionV>
                      <wp:extent cx="4906645" cy="391795"/>
                      <wp:effectExtent l="0" t="0"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391795"/>
                              </a:xfrm>
                              <a:prstGeom prst="rect">
                                <a:avLst/>
                              </a:prstGeom>
                              <a:solidFill>
                                <a:srgbClr val="FFFFFF"/>
                              </a:solidFill>
                              <a:ln w="9525">
                                <a:noFill/>
                                <a:miter lim="800000"/>
                                <a:headEnd/>
                                <a:tailEnd/>
                              </a:ln>
                            </wps:spPr>
                            <wps:txbx>
                              <w:txbxContent>
                                <w:p w:rsidR="00EC3764" w:rsidRPr="00D0687C" w:rsidRDefault="00EC3764" w:rsidP="00625424">
                                  <w:pPr>
                                    <w:pStyle w:val="Header"/>
                                    <w:jc w:val="center"/>
                                    <w:rPr>
                                      <w:rFonts w:ascii="Times New Roman" w:hAnsi="Times New Roman"/>
                                      <w:b/>
                                      <w:sz w:val="24"/>
                                      <w:szCs w:val="24"/>
                                    </w:rPr>
                                  </w:pPr>
                                  <w:r w:rsidRPr="00D0687C">
                                    <w:rPr>
                                      <w:rFonts w:ascii="Times New Roman" w:hAnsi="Times New Roman"/>
                                      <w:b/>
                                      <w:sz w:val="24"/>
                                      <w:szCs w:val="24"/>
                                    </w:rPr>
                                    <w:t xml:space="preserve">Table </w:t>
                                  </w:r>
                                  <w:r>
                                    <w:rPr>
                                      <w:rFonts w:ascii="Times New Roman" w:hAnsi="Times New Roman"/>
                                      <w:b/>
                                      <w:sz w:val="24"/>
                                      <w:szCs w:val="24"/>
                                    </w:rPr>
                                    <w:t>3:</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C (Secondhand goods and gold)</w:t>
                                  </w:r>
                                </w:p>
                                <w:p w:rsidR="00EC3764" w:rsidRDefault="00EC3764" w:rsidP="00B91E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58" type="#_x0000_t202" style="position:absolute;left:0;text-align:left;margin-left:60.7pt;margin-top:-31.5pt;width:386.35pt;height:3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" stroked="f">
                      <v:textbox>
                        <w:txbxContent>
                          <w:p w:rsidR="00EC3764" w:rsidRPr="00D0687C" w:rsidRDefault="00EC3764" w:rsidP="00625424">
                            <w:pPr>
                              <w:pStyle w:val="Header"/>
                              <w:jc w:val="center"/>
                              <w:rPr>
                                <w:rFonts w:ascii="Times New Roman" w:hAnsi="Times New Roman"/>
                                <w:b/>
                                <w:sz w:val="24"/>
                                <w:szCs w:val="24"/>
                              </w:rPr>
                            </w:pPr>
                            <w:r w:rsidRPr="00D0687C">
                              <w:rPr>
                                <w:rFonts w:ascii="Times New Roman" w:hAnsi="Times New Roman"/>
                                <w:b/>
                                <w:sz w:val="24"/>
                                <w:szCs w:val="24"/>
                              </w:rPr>
                              <w:t xml:space="preserve">Table </w:t>
                            </w:r>
                            <w:r>
                              <w:rPr>
                                <w:rFonts w:ascii="Times New Roman" w:hAnsi="Times New Roman"/>
                                <w:b/>
                                <w:sz w:val="24"/>
                                <w:szCs w:val="24"/>
                              </w:rPr>
                              <w:t>3:</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C (Secondhand goods and gold)</w:t>
                            </w:r>
                          </w:p>
                          <w:p w:rsidR="00EC3764" w:rsidRDefault="00EC3764" w:rsidP="00B91E3E">
                            <w:pPr>
                              <w:jc w:val="center"/>
                            </w:pPr>
                          </w:p>
                        </w:txbxContent>
                      </v:textbox>
                    </v:shape>
                  </w:pict>
                </mc:Fallback>
              </mc:AlternateContent>
            </w:r>
            <w:r w:rsidR="00B00DE4" w:rsidRPr="002F302C">
              <w:rPr>
                <w:rFonts w:ascii="Times New Roman" w:hAnsi="Times New Roman"/>
                <w:b/>
                <w:sz w:val="24"/>
                <w:szCs w:val="24"/>
              </w:rPr>
              <w:t>Neutrality</w:t>
            </w:r>
            <w:r w:rsidR="00B00DE4">
              <w:rPr>
                <w:rFonts w:ascii="Times New Roman" w:hAnsi="Times New Roman"/>
                <w:b/>
                <w:sz w:val="24"/>
                <w:szCs w:val="24"/>
              </w:rPr>
              <w:t>*</w:t>
            </w:r>
          </w:p>
        </w:tc>
        <w:tc>
          <w:tcPr>
            <w:tcW w:w="3503" w:type="dxa"/>
            <w:gridSpan w:val="2"/>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Efficiency</w:t>
            </w:r>
          </w:p>
        </w:tc>
        <w:tc>
          <w:tcPr>
            <w:tcW w:w="1888" w:type="dxa"/>
            <w:vMerge w:val="restart"/>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Certainty and simplicity</w:t>
            </w:r>
            <w:r>
              <w:rPr>
                <w:rFonts w:ascii="Times New Roman" w:hAnsi="Times New Roman"/>
                <w:b/>
                <w:sz w:val="24"/>
                <w:szCs w:val="24"/>
              </w:rPr>
              <w:t>*</w:t>
            </w:r>
          </w:p>
        </w:tc>
        <w:tc>
          <w:tcPr>
            <w:tcW w:w="1689" w:type="dxa"/>
            <w:vMerge w:val="restart"/>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Effectiveness and fairness</w:t>
            </w:r>
            <w:r>
              <w:rPr>
                <w:rFonts w:ascii="Times New Roman" w:hAnsi="Times New Roman"/>
                <w:b/>
                <w:sz w:val="24"/>
                <w:szCs w:val="24"/>
              </w:rPr>
              <w:t>*</w:t>
            </w:r>
          </w:p>
        </w:tc>
        <w:tc>
          <w:tcPr>
            <w:tcW w:w="1363" w:type="dxa"/>
            <w:vMerge w:val="restart"/>
          </w:tcPr>
          <w:p w:rsidR="00B00DE4" w:rsidRPr="002F302C" w:rsidRDefault="00B00DE4" w:rsidP="00F1236B">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Fi</w:t>
            </w:r>
            <w:r w:rsidR="00A2516B">
              <w:rPr>
                <w:rFonts w:ascii="Times New Roman" w:hAnsi="Times New Roman"/>
                <w:b/>
                <w:sz w:val="24"/>
                <w:szCs w:val="24"/>
              </w:rPr>
              <w:t>scal</w:t>
            </w:r>
            <w:r>
              <w:rPr>
                <w:rFonts w:ascii="Times New Roman" w:hAnsi="Times New Roman"/>
                <w:b/>
                <w:sz w:val="24"/>
                <w:szCs w:val="24"/>
              </w:rPr>
              <w:t xml:space="preserve"> impact</w:t>
            </w:r>
          </w:p>
        </w:tc>
      </w:tr>
      <w:tr w:rsidR="00B00DE4" w:rsidRPr="002F302C" w:rsidTr="00B91E3E">
        <w:tc>
          <w:tcPr>
            <w:tcW w:w="2234" w:type="dxa"/>
            <w:vMerge/>
          </w:tcPr>
          <w:p w:rsidR="00B00DE4" w:rsidRPr="002F302C" w:rsidRDefault="00B00DE4" w:rsidP="00B00DE4">
            <w:pPr>
              <w:pStyle w:val="Bullet-list"/>
              <w:spacing w:after="0" w:line="240" w:lineRule="auto"/>
              <w:ind w:left="0" w:firstLine="0"/>
              <w:rPr>
                <w:rFonts w:ascii="Times New Roman" w:hAnsi="Times New Roman"/>
                <w:b/>
                <w:sz w:val="24"/>
                <w:szCs w:val="24"/>
              </w:rPr>
            </w:pPr>
          </w:p>
        </w:tc>
        <w:tc>
          <w:tcPr>
            <w:tcW w:w="1985" w:type="dxa"/>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Within sectors</w:t>
            </w:r>
          </w:p>
        </w:tc>
        <w:tc>
          <w:tcPr>
            <w:tcW w:w="1842" w:type="dxa"/>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Between sectors</w:t>
            </w:r>
          </w:p>
        </w:tc>
        <w:tc>
          <w:tcPr>
            <w:tcW w:w="1701" w:type="dxa"/>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 xml:space="preserve">Compliance </w:t>
            </w:r>
            <w:r w:rsidR="00AE2FB3">
              <w:rPr>
                <w:rFonts w:ascii="Times New Roman" w:hAnsi="Times New Roman"/>
                <w:b/>
                <w:sz w:val="24"/>
                <w:szCs w:val="24"/>
              </w:rPr>
              <w:t xml:space="preserve"> costs</w:t>
            </w:r>
          </w:p>
        </w:tc>
        <w:tc>
          <w:tcPr>
            <w:tcW w:w="1802" w:type="dxa"/>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Administration</w:t>
            </w:r>
            <w:r w:rsidR="00AE2FB3">
              <w:rPr>
                <w:rFonts w:ascii="Times New Roman" w:hAnsi="Times New Roman"/>
                <w:b/>
                <w:sz w:val="24"/>
                <w:szCs w:val="24"/>
              </w:rPr>
              <w:t xml:space="preserve"> costs</w:t>
            </w:r>
            <w:r w:rsidRPr="002F302C">
              <w:rPr>
                <w:rFonts w:ascii="Times New Roman" w:hAnsi="Times New Roman"/>
                <w:b/>
                <w:sz w:val="24"/>
                <w:szCs w:val="24"/>
              </w:rPr>
              <w:t xml:space="preserve"> </w:t>
            </w:r>
          </w:p>
        </w:tc>
        <w:tc>
          <w:tcPr>
            <w:tcW w:w="1888" w:type="dxa"/>
            <w:vMerge/>
          </w:tcPr>
          <w:p w:rsidR="00B00DE4" w:rsidRPr="002F302C" w:rsidRDefault="00B00DE4" w:rsidP="00B00DE4">
            <w:pPr>
              <w:pStyle w:val="Bullet-list"/>
              <w:spacing w:after="0" w:line="240" w:lineRule="auto"/>
              <w:ind w:left="0" w:firstLine="0"/>
              <w:rPr>
                <w:rFonts w:ascii="Times New Roman" w:hAnsi="Times New Roman"/>
                <w:b/>
                <w:sz w:val="24"/>
                <w:szCs w:val="24"/>
              </w:rPr>
            </w:pPr>
          </w:p>
        </w:tc>
        <w:tc>
          <w:tcPr>
            <w:tcW w:w="1689" w:type="dxa"/>
            <w:vMerge/>
          </w:tcPr>
          <w:p w:rsidR="00B00DE4" w:rsidRPr="002F302C" w:rsidRDefault="00B00DE4" w:rsidP="00B00DE4">
            <w:pPr>
              <w:pStyle w:val="Bullet-list"/>
              <w:spacing w:after="0" w:line="240" w:lineRule="auto"/>
              <w:ind w:left="0" w:firstLine="0"/>
              <w:rPr>
                <w:rFonts w:ascii="Times New Roman" w:hAnsi="Times New Roman"/>
                <w:b/>
                <w:sz w:val="24"/>
                <w:szCs w:val="24"/>
              </w:rPr>
            </w:pPr>
          </w:p>
        </w:tc>
        <w:tc>
          <w:tcPr>
            <w:tcW w:w="1363" w:type="dxa"/>
            <w:vMerge/>
          </w:tcPr>
          <w:p w:rsidR="00B00DE4" w:rsidRPr="002F302C" w:rsidRDefault="00B00DE4" w:rsidP="00B00DE4">
            <w:pPr>
              <w:pStyle w:val="Bullet-list"/>
              <w:spacing w:after="0" w:line="240" w:lineRule="auto"/>
              <w:ind w:left="0" w:firstLine="0"/>
              <w:rPr>
                <w:rFonts w:ascii="Times New Roman" w:hAnsi="Times New Roman"/>
                <w:b/>
                <w:sz w:val="24"/>
                <w:szCs w:val="24"/>
              </w:rPr>
            </w:pPr>
          </w:p>
        </w:tc>
      </w:tr>
      <w:tr w:rsidR="00B00DE4" w:rsidTr="00B91E3E">
        <w:tc>
          <w:tcPr>
            <w:tcW w:w="2234" w:type="dxa"/>
            <w:tcBorders>
              <w:bottom w:val="nil"/>
            </w:tcBorders>
          </w:tcPr>
          <w:p w:rsidR="00B00DE4" w:rsidRPr="002F302C" w:rsidRDefault="00B00DE4" w:rsidP="00B00DE4">
            <w:pPr>
              <w:pStyle w:val="Bullet-list"/>
              <w:spacing w:after="0" w:line="240" w:lineRule="auto"/>
              <w:ind w:left="0" w:firstLine="0"/>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1</w:t>
            </w:r>
            <w:r w:rsidRPr="002F302C">
              <w:rPr>
                <w:rFonts w:ascii="Times New Roman" w:hAnsi="Times New Roman"/>
                <w:b/>
                <w:sz w:val="24"/>
                <w:szCs w:val="24"/>
              </w:rPr>
              <w:t xml:space="preserve">: </w:t>
            </w:r>
            <w:r>
              <w:rPr>
                <w:rFonts w:ascii="Times New Roman" w:hAnsi="Times New Roman"/>
                <w:b/>
                <w:sz w:val="24"/>
                <w:szCs w:val="24"/>
              </w:rPr>
              <w:t>A</w:t>
            </w:r>
            <w:r w:rsidRPr="004C7051">
              <w:rPr>
                <w:rFonts w:ascii="Times New Roman" w:hAnsi="Times New Roman"/>
                <w:b/>
                <w:sz w:val="24"/>
                <w:szCs w:val="24"/>
              </w:rPr>
              <w:t>llow</w:t>
            </w:r>
            <w:r>
              <w:rPr>
                <w:rFonts w:ascii="Times New Roman" w:hAnsi="Times New Roman"/>
                <w:b/>
                <w:sz w:val="24"/>
                <w:szCs w:val="24"/>
              </w:rPr>
              <w:t>ing secondhand goods deductions</w:t>
            </w:r>
          </w:p>
        </w:tc>
        <w:tc>
          <w:tcPr>
            <w:tcW w:w="1985" w:type="dxa"/>
            <w:tcBorders>
              <w:bottom w:val="nil"/>
            </w:tcBorders>
          </w:tcPr>
          <w:p w:rsidR="00B00DE4" w:rsidRPr="005B3497" w:rsidRDefault="00AE2FB3">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Increased</w:t>
            </w:r>
            <w:r>
              <w:rPr>
                <w:rFonts w:ascii="Times New Roman" w:hAnsi="Times New Roman"/>
                <w:sz w:val="20"/>
              </w:rPr>
              <w:t xml:space="preserve"> - v</w:t>
            </w:r>
            <w:r w:rsidRPr="005B3497">
              <w:rPr>
                <w:rFonts w:ascii="Times New Roman" w:hAnsi="Times New Roman"/>
                <w:sz w:val="20"/>
              </w:rPr>
              <w:t xml:space="preserve">alue </w:t>
            </w:r>
            <w:r w:rsidR="00B00DE4" w:rsidRPr="005B3497">
              <w:rPr>
                <w:rFonts w:ascii="Times New Roman" w:hAnsi="Times New Roman"/>
                <w:sz w:val="20"/>
              </w:rPr>
              <w:t>added is taxed</w:t>
            </w:r>
            <w:r w:rsidR="00B00DE4">
              <w:rPr>
                <w:rFonts w:ascii="Times New Roman" w:hAnsi="Times New Roman"/>
                <w:sz w:val="20"/>
              </w:rPr>
              <w:t xml:space="preserve"> – GST is otherwise neutral between businesses and transaction types.</w:t>
            </w:r>
          </w:p>
          <w:p w:rsidR="00B00DE4" w:rsidRPr="00ED5E55" w:rsidRDefault="00B00DE4" w:rsidP="00B91E3E">
            <w:pPr>
              <w:pStyle w:val="Bullet-list"/>
              <w:spacing w:after="0" w:line="240" w:lineRule="auto"/>
              <w:ind w:left="0" w:firstLine="0"/>
              <w:jc w:val="left"/>
              <w:rPr>
                <w:rFonts w:ascii="Times New Roman" w:hAnsi="Times New Roman"/>
                <w:sz w:val="20"/>
              </w:rPr>
            </w:pPr>
          </w:p>
        </w:tc>
        <w:tc>
          <w:tcPr>
            <w:tcW w:w="1842" w:type="dxa"/>
            <w:tcBorders>
              <w:bottom w:val="nil"/>
            </w:tcBorders>
          </w:tcPr>
          <w:p w:rsidR="00AE2FB3" w:rsidRPr="005B349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-s</w:t>
            </w:r>
            <w:r w:rsidRPr="005B3497">
              <w:rPr>
                <w:rFonts w:ascii="Times New Roman" w:hAnsi="Times New Roman"/>
                <w:sz w:val="20"/>
              </w:rPr>
              <w:t>econdhand gold treated the same as most other secondhand goods</w:t>
            </w:r>
            <w:r>
              <w:rPr>
                <w:rFonts w:ascii="Times New Roman" w:hAnsi="Times New Roman"/>
                <w:sz w:val="20"/>
              </w:rPr>
              <w:t>.</w:t>
            </w:r>
          </w:p>
          <w:p w:rsidR="00B00DE4" w:rsidRPr="005B3497" w:rsidRDefault="00B00DE4">
            <w:pPr>
              <w:pStyle w:val="Bullet-list"/>
              <w:spacing w:after="0" w:line="240" w:lineRule="auto"/>
              <w:ind w:left="0" w:firstLine="0"/>
              <w:jc w:val="left"/>
              <w:rPr>
                <w:rFonts w:ascii="Times New Roman" w:hAnsi="Times New Roman"/>
                <w:sz w:val="20"/>
              </w:rPr>
            </w:pPr>
          </w:p>
          <w:p w:rsidR="00B00DE4" w:rsidRPr="00ED5E55" w:rsidRDefault="00B00DE4" w:rsidP="00B91E3E">
            <w:pPr>
              <w:pStyle w:val="Bullet-list"/>
              <w:spacing w:after="0" w:line="240" w:lineRule="auto"/>
              <w:ind w:left="0" w:firstLine="0"/>
              <w:jc w:val="left"/>
              <w:rPr>
                <w:rFonts w:ascii="Times New Roman" w:hAnsi="Times New Roman"/>
                <w:sz w:val="20"/>
              </w:rPr>
            </w:pPr>
          </w:p>
        </w:tc>
        <w:tc>
          <w:tcPr>
            <w:tcW w:w="1701" w:type="dxa"/>
            <w:tcBorders>
              <w:bottom w:val="nil"/>
            </w:tcBorders>
          </w:tcPr>
          <w:p w:rsidR="00B00DE4" w:rsidRPr="005B349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Decreased</w:t>
            </w:r>
            <w:r>
              <w:rPr>
                <w:rFonts w:ascii="Times New Roman" w:hAnsi="Times New Roman"/>
                <w:sz w:val="20"/>
              </w:rPr>
              <w:t xml:space="preserve"> - c</w:t>
            </w:r>
            <w:r w:rsidRPr="005B3497">
              <w:rPr>
                <w:rFonts w:ascii="Times New Roman" w:hAnsi="Times New Roman"/>
                <w:sz w:val="20"/>
              </w:rPr>
              <w:t xml:space="preserve">ompliance </w:t>
            </w:r>
            <w:r w:rsidR="00B00DE4" w:rsidRPr="005B3497">
              <w:rPr>
                <w:rFonts w:ascii="Times New Roman" w:hAnsi="Times New Roman"/>
                <w:sz w:val="20"/>
              </w:rPr>
              <w:t>costs comparable to other secondhand goods</w:t>
            </w:r>
            <w:r>
              <w:rPr>
                <w:rFonts w:ascii="Times New Roman" w:hAnsi="Times New Roman"/>
                <w:sz w:val="20"/>
              </w:rPr>
              <w:t>.</w:t>
            </w:r>
          </w:p>
          <w:p w:rsidR="00B00DE4" w:rsidRPr="00ED5E55" w:rsidRDefault="00B00DE4" w:rsidP="00B91E3E">
            <w:pPr>
              <w:pStyle w:val="Bullet-list"/>
              <w:spacing w:after="0" w:line="240" w:lineRule="auto"/>
              <w:ind w:left="0" w:firstLine="0"/>
              <w:jc w:val="left"/>
              <w:rPr>
                <w:rFonts w:ascii="Times New Roman" w:hAnsi="Times New Roman"/>
                <w:sz w:val="20"/>
              </w:rPr>
            </w:pPr>
          </w:p>
        </w:tc>
        <w:tc>
          <w:tcPr>
            <w:tcW w:w="1802" w:type="dxa"/>
            <w:tcBorders>
              <w:bottom w:val="nil"/>
            </w:tcBorders>
          </w:tcPr>
          <w:p w:rsidR="00B00DE4" w:rsidRPr="00ED5E55" w:rsidRDefault="00AE2FB3" w:rsidP="00B91E3E">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IRD monitors taxpayers’ compliance with the rules (as with other tax rules).</w:t>
            </w:r>
          </w:p>
        </w:tc>
        <w:tc>
          <w:tcPr>
            <w:tcW w:w="1888" w:type="dxa"/>
            <w:tcBorders>
              <w:bottom w:val="nil"/>
            </w:tcBorders>
          </w:tcPr>
          <w:p w:rsidR="00B00DE4"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 n</w:t>
            </w:r>
            <w:r w:rsidRPr="005B3497">
              <w:rPr>
                <w:rFonts w:ascii="Times New Roman" w:hAnsi="Times New Roman"/>
                <w:sz w:val="20"/>
              </w:rPr>
              <w:t xml:space="preserve">o </w:t>
            </w:r>
            <w:r w:rsidR="00B00DE4" w:rsidRPr="005B3497">
              <w:rPr>
                <w:rFonts w:ascii="Times New Roman" w:hAnsi="Times New Roman"/>
                <w:sz w:val="20"/>
              </w:rPr>
              <w:t>special rule for gold.  Rules consistent with the rest of the Act.</w:t>
            </w:r>
          </w:p>
          <w:p w:rsidR="00D05759" w:rsidRDefault="00D05759">
            <w:pPr>
              <w:pStyle w:val="Bullet-list"/>
              <w:spacing w:after="0" w:line="240" w:lineRule="auto"/>
              <w:ind w:left="0" w:firstLine="0"/>
              <w:jc w:val="left"/>
              <w:rPr>
                <w:rFonts w:ascii="Times New Roman" w:hAnsi="Times New Roman"/>
                <w:sz w:val="20"/>
              </w:rPr>
            </w:pPr>
          </w:p>
          <w:p w:rsidR="00D05759" w:rsidRPr="005B3497" w:rsidRDefault="00D05759">
            <w:pPr>
              <w:pStyle w:val="Bullet-list"/>
              <w:spacing w:after="0" w:line="240" w:lineRule="auto"/>
              <w:ind w:left="0" w:firstLine="0"/>
              <w:jc w:val="left"/>
              <w:rPr>
                <w:rFonts w:ascii="Times New Roman" w:hAnsi="Times New Roman"/>
                <w:sz w:val="20"/>
              </w:rPr>
            </w:pPr>
            <w:r>
              <w:rPr>
                <w:rFonts w:ascii="Times New Roman" w:hAnsi="Times New Roman"/>
                <w:sz w:val="20"/>
              </w:rPr>
              <w:t>Some uncertainty regarding past positions.</w:t>
            </w:r>
          </w:p>
          <w:p w:rsidR="00B00DE4" w:rsidRPr="00ED5E55" w:rsidRDefault="00B00DE4" w:rsidP="00AE2FB3">
            <w:pPr>
              <w:pStyle w:val="Bullet-list"/>
              <w:spacing w:after="0" w:line="240" w:lineRule="auto"/>
              <w:ind w:left="0" w:firstLine="0"/>
              <w:jc w:val="left"/>
              <w:rPr>
                <w:rFonts w:ascii="Times New Roman" w:hAnsi="Times New Roman"/>
                <w:sz w:val="20"/>
              </w:rPr>
            </w:pPr>
          </w:p>
        </w:tc>
        <w:tc>
          <w:tcPr>
            <w:tcW w:w="1689" w:type="dxa"/>
            <w:tcBorders>
              <w:bottom w:val="nil"/>
            </w:tcBorders>
          </w:tcPr>
          <w:p w:rsidR="00B00DE4" w:rsidRPr="00ED5E55" w:rsidRDefault="00AE2FB3" w:rsidP="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 results in taxation of consumption of gold.</w:t>
            </w:r>
          </w:p>
        </w:tc>
        <w:tc>
          <w:tcPr>
            <w:tcW w:w="1363" w:type="dxa"/>
            <w:tcBorders>
              <w:bottom w:val="nil"/>
            </w:tcBorders>
          </w:tcPr>
          <w:p w:rsidR="00B00DE4" w:rsidRPr="00ED5E55" w:rsidRDefault="00AE2FB3" w:rsidP="00B91E3E">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 xml:space="preserve">Reduced </w:t>
            </w:r>
            <w:r>
              <w:rPr>
                <w:rFonts w:ascii="Times New Roman" w:hAnsi="Times New Roman"/>
                <w:b/>
                <w:sz w:val="20"/>
              </w:rPr>
              <w:t>–</w:t>
            </w:r>
            <w:r>
              <w:rPr>
                <w:rFonts w:ascii="Times New Roman" w:hAnsi="Times New Roman"/>
                <w:sz w:val="20"/>
              </w:rPr>
              <w:t xml:space="preserve"> revenue decrease </w:t>
            </w:r>
            <w:r w:rsidR="009B26B8">
              <w:rPr>
                <w:rFonts w:ascii="Times New Roman" w:hAnsi="Times New Roman"/>
                <w:sz w:val="20"/>
              </w:rPr>
              <w:t>estimated</w:t>
            </w:r>
            <w:r>
              <w:rPr>
                <w:rFonts w:ascii="Times New Roman" w:hAnsi="Times New Roman"/>
                <w:sz w:val="20"/>
              </w:rPr>
              <w:t xml:space="preserve"> at $0.4 million per annum.</w:t>
            </w:r>
          </w:p>
        </w:tc>
      </w:tr>
      <w:tr w:rsidR="00B00DE4" w:rsidTr="00B91E3E">
        <w:tc>
          <w:tcPr>
            <w:tcW w:w="2234" w:type="dxa"/>
            <w:tcBorders>
              <w:top w:val="nil"/>
            </w:tcBorders>
          </w:tcPr>
          <w:p w:rsidR="00B00DE4" w:rsidRPr="002F302C" w:rsidRDefault="00B00DE4" w:rsidP="00B00DE4">
            <w:pPr>
              <w:pStyle w:val="Bullet-list"/>
              <w:spacing w:after="0" w:line="240" w:lineRule="auto"/>
              <w:ind w:left="0" w:firstLine="0"/>
              <w:rPr>
                <w:rFonts w:ascii="Times New Roman" w:hAnsi="Times New Roman"/>
                <w:b/>
                <w:sz w:val="24"/>
                <w:szCs w:val="24"/>
              </w:rPr>
            </w:pPr>
          </w:p>
        </w:tc>
        <w:tc>
          <w:tcPr>
            <w:tcW w:w="1985" w:type="dxa"/>
            <w:tcBorders>
              <w:top w:val="nil"/>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42" w:type="dxa"/>
            <w:tcBorders>
              <w:top w:val="nil"/>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701" w:type="dxa"/>
            <w:tcBorders>
              <w:top w:val="nil"/>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02" w:type="dxa"/>
            <w:tcBorders>
              <w:top w:val="nil"/>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88" w:type="dxa"/>
            <w:tcBorders>
              <w:top w:val="nil"/>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689" w:type="dxa"/>
            <w:tcBorders>
              <w:top w:val="nil"/>
            </w:tcBorders>
          </w:tcPr>
          <w:p w:rsidR="00B00DE4" w:rsidRPr="00B91E3E" w:rsidRDefault="00D05759" w:rsidP="00F1236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363" w:type="dxa"/>
            <w:tcBorders>
              <w:top w:val="nil"/>
            </w:tcBorders>
          </w:tcPr>
          <w:p w:rsidR="00B00DE4" w:rsidRPr="00ED5E55" w:rsidRDefault="00B00DE4" w:rsidP="006B2540">
            <w:pPr>
              <w:pStyle w:val="Bullet-list"/>
              <w:spacing w:after="0" w:line="240" w:lineRule="auto"/>
              <w:ind w:left="0" w:firstLine="0"/>
              <w:jc w:val="center"/>
              <w:rPr>
                <w:rFonts w:ascii="Times New Roman" w:hAnsi="Times New Roman"/>
                <w:sz w:val="20"/>
              </w:rPr>
            </w:pPr>
          </w:p>
        </w:tc>
      </w:tr>
      <w:tr w:rsidR="00B00DE4" w:rsidTr="00B91E3E">
        <w:tc>
          <w:tcPr>
            <w:tcW w:w="2234" w:type="dxa"/>
            <w:tcBorders>
              <w:bottom w:val="nil"/>
            </w:tcBorders>
          </w:tcPr>
          <w:p w:rsidR="00B00DE4" w:rsidRPr="002F302C" w:rsidRDefault="00B00DE4" w:rsidP="00B00DE4">
            <w:pPr>
              <w:pStyle w:val="Bullet-list"/>
              <w:spacing w:after="0" w:line="240" w:lineRule="auto"/>
              <w:ind w:left="0" w:firstLine="0"/>
              <w:jc w:val="left"/>
              <w:rPr>
                <w:rFonts w:ascii="Times New Roman" w:hAnsi="Times New Roman"/>
                <w:b/>
                <w:sz w:val="24"/>
                <w:szCs w:val="24"/>
              </w:rPr>
            </w:pPr>
            <w:r w:rsidRPr="002F302C">
              <w:rPr>
                <w:rFonts w:ascii="Times New Roman" w:hAnsi="Times New Roman"/>
                <w:b/>
                <w:sz w:val="24"/>
                <w:szCs w:val="24"/>
              </w:rPr>
              <w:t xml:space="preserve">Option </w:t>
            </w:r>
            <w:r>
              <w:rPr>
                <w:rFonts w:ascii="Times New Roman" w:hAnsi="Times New Roman"/>
                <w:b/>
                <w:sz w:val="24"/>
                <w:szCs w:val="24"/>
              </w:rPr>
              <w:t>2</w:t>
            </w:r>
            <w:r w:rsidRPr="002F302C">
              <w:rPr>
                <w:rFonts w:ascii="Times New Roman" w:hAnsi="Times New Roman"/>
                <w:b/>
                <w:sz w:val="24"/>
                <w:szCs w:val="24"/>
              </w:rPr>
              <w:t xml:space="preserve">: </w:t>
            </w:r>
            <w:r>
              <w:rPr>
                <w:rFonts w:ascii="Times New Roman" w:hAnsi="Times New Roman"/>
                <w:b/>
                <w:sz w:val="24"/>
                <w:szCs w:val="24"/>
              </w:rPr>
              <w:t>A</w:t>
            </w:r>
            <w:r w:rsidRPr="004C7051">
              <w:rPr>
                <w:rFonts w:ascii="Times New Roman" w:hAnsi="Times New Roman"/>
                <w:b/>
                <w:sz w:val="24"/>
                <w:szCs w:val="24"/>
              </w:rPr>
              <w:t xml:space="preserve">llowing secondhand goods deductions </w:t>
            </w:r>
            <w:r>
              <w:rPr>
                <w:rFonts w:ascii="Times New Roman" w:hAnsi="Times New Roman"/>
                <w:b/>
                <w:sz w:val="24"/>
                <w:szCs w:val="24"/>
              </w:rPr>
              <w:t>– retrospective (officials’ preferred option)</w:t>
            </w:r>
          </w:p>
        </w:tc>
        <w:tc>
          <w:tcPr>
            <w:tcW w:w="1985" w:type="dxa"/>
            <w:tcBorders>
              <w:bottom w:val="nil"/>
            </w:tcBorders>
          </w:tcPr>
          <w:p w:rsidR="00B00DE4" w:rsidRPr="005B349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 v</w:t>
            </w:r>
            <w:r w:rsidRPr="005B3497">
              <w:rPr>
                <w:rFonts w:ascii="Times New Roman" w:hAnsi="Times New Roman"/>
                <w:sz w:val="20"/>
              </w:rPr>
              <w:t xml:space="preserve">alue </w:t>
            </w:r>
            <w:r w:rsidR="00B00DE4" w:rsidRPr="005B3497">
              <w:rPr>
                <w:rFonts w:ascii="Times New Roman" w:hAnsi="Times New Roman"/>
                <w:sz w:val="20"/>
              </w:rPr>
              <w:t>added is taxed</w:t>
            </w:r>
            <w:r w:rsidR="00B00DE4">
              <w:rPr>
                <w:rFonts w:ascii="Times New Roman" w:hAnsi="Times New Roman"/>
                <w:sz w:val="20"/>
              </w:rPr>
              <w:t xml:space="preserve"> – GST is otherwise neutral between businesses and transaction types.</w:t>
            </w:r>
          </w:p>
          <w:p w:rsidR="00B00DE4" w:rsidRPr="00ED5E55" w:rsidRDefault="00B00DE4" w:rsidP="00B91E3E">
            <w:pPr>
              <w:pStyle w:val="Bullet-list"/>
              <w:spacing w:after="0" w:line="240" w:lineRule="auto"/>
              <w:ind w:left="0" w:firstLine="0"/>
              <w:jc w:val="left"/>
              <w:rPr>
                <w:rFonts w:ascii="Times New Roman" w:hAnsi="Times New Roman"/>
                <w:sz w:val="20"/>
              </w:rPr>
            </w:pPr>
          </w:p>
        </w:tc>
        <w:tc>
          <w:tcPr>
            <w:tcW w:w="1842" w:type="dxa"/>
            <w:tcBorders>
              <w:bottom w:val="nil"/>
            </w:tcBorders>
          </w:tcPr>
          <w:p w:rsidR="00B00DE4" w:rsidRPr="005B349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-s</w:t>
            </w:r>
            <w:r w:rsidRPr="005B3497">
              <w:rPr>
                <w:rFonts w:ascii="Times New Roman" w:hAnsi="Times New Roman"/>
                <w:sz w:val="20"/>
              </w:rPr>
              <w:t xml:space="preserve">econdhand </w:t>
            </w:r>
            <w:r w:rsidR="00B00DE4" w:rsidRPr="005B3497">
              <w:rPr>
                <w:rFonts w:ascii="Times New Roman" w:hAnsi="Times New Roman"/>
                <w:sz w:val="20"/>
              </w:rPr>
              <w:t>gold treated the same as most other secondhand goods</w:t>
            </w:r>
            <w:r>
              <w:rPr>
                <w:rFonts w:ascii="Times New Roman" w:hAnsi="Times New Roman"/>
                <w:sz w:val="20"/>
              </w:rPr>
              <w:t>.</w:t>
            </w:r>
          </w:p>
          <w:p w:rsidR="00B00DE4" w:rsidRPr="005B3497" w:rsidRDefault="00B00DE4">
            <w:pPr>
              <w:pStyle w:val="Bullet-list"/>
              <w:spacing w:after="0" w:line="240" w:lineRule="auto"/>
              <w:ind w:left="0" w:firstLine="0"/>
              <w:jc w:val="left"/>
              <w:rPr>
                <w:rFonts w:ascii="Times New Roman" w:hAnsi="Times New Roman"/>
                <w:sz w:val="20"/>
              </w:rPr>
            </w:pPr>
          </w:p>
          <w:p w:rsidR="00B00DE4" w:rsidRPr="00ED5E55" w:rsidRDefault="00B00DE4" w:rsidP="00B91E3E">
            <w:pPr>
              <w:pStyle w:val="Bullet-list"/>
              <w:spacing w:after="0" w:line="240" w:lineRule="auto"/>
              <w:ind w:left="0" w:firstLine="0"/>
              <w:jc w:val="left"/>
              <w:rPr>
                <w:rFonts w:ascii="Times New Roman" w:hAnsi="Times New Roman"/>
                <w:sz w:val="20"/>
              </w:rPr>
            </w:pPr>
          </w:p>
        </w:tc>
        <w:tc>
          <w:tcPr>
            <w:tcW w:w="1701" w:type="dxa"/>
            <w:tcBorders>
              <w:bottom w:val="nil"/>
            </w:tcBorders>
          </w:tcPr>
          <w:p w:rsidR="00B00DE4" w:rsidRPr="00ED5E55" w:rsidRDefault="00AE2FB3">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Decreased</w:t>
            </w:r>
            <w:r>
              <w:rPr>
                <w:rFonts w:ascii="Times New Roman" w:hAnsi="Times New Roman"/>
                <w:sz w:val="20"/>
              </w:rPr>
              <w:t xml:space="preserve"> - c</w:t>
            </w:r>
            <w:r w:rsidRPr="005B3497">
              <w:rPr>
                <w:rFonts w:ascii="Times New Roman" w:hAnsi="Times New Roman"/>
                <w:sz w:val="20"/>
              </w:rPr>
              <w:t xml:space="preserve">ompliance </w:t>
            </w:r>
            <w:r w:rsidR="00B00DE4" w:rsidRPr="005B3497">
              <w:rPr>
                <w:rFonts w:ascii="Times New Roman" w:hAnsi="Times New Roman"/>
                <w:sz w:val="20"/>
              </w:rPr>
              <w:t>costs comparable to other secondhand goods</w:t>
            </w:r>
            <w:r w:rsidR="009B26B8">
              <w:rPr>
                <w:rFonts w:ascii="Times New Roman" w:hAnsi="Times New Roman"/>
                <w:sz w:val="20"/>
              </w:rPr>
              <w:t>.</w:t>
            </w:r>
          </w:p>
        </w:tc>
        <w:tc>
          <w:tcPr>
            <w:tcW w:w="1802" w:type="dxa"/>
            <w:tcBorders>
              <w:bottom w:val="nil"/>
            </w:tcBorders>
          </w:tcPr>
          <w:p w:rsidR="00AE2FB3"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IRD monitors taxpayers’ compliance with the rules (as with other tax rules).</w:t>
            </w:r>
          </w:p>
          <w:p w:rsidR="00AE2FB3" w:rsidRDefault="00AE2FB3">
            <w:pPr>
              <w:pStyle w:val="Bullet-list"/>
              <w:spacing w:after="0" w:line="240" w:lineRule="auto"/>
              <w:ind w:left="0" w:firstLine="0"/>
              <w:jc w:val="left"/>
              <w:rPr>
                <w:rFonts w:ascii="Times New Roman" w:hAnsi="Times New Roman"/>
                <w:sz w:val="20"/>
              </w:rPr>
            </w:pPr>
          </w:p>
          <w:p w:rsidR="00B00DE4" w:rsidRPr="005B3497" w:rsidRDefault="00B62E1F">
            <w:pPr>
              <w:pStyle w:val="Bullet-list"/>
              <w:spacing w:after="0" w:line="240" w:lineRule="auto"/>
              <w:ind w:left="0" w:firstLine="0"/>
              <w:jc w:val="left"/>
              <w:rPr>
                <w:rFonts w:ascii="Times New Roman" w:hAnsi="Times New Roman"/>
                <w:sz w:val="20"/>
              </w:rPr>
            </w:pPr>
            <w:r>
              <w:rPr>
                <w:rFonts w:ascii="Times New Roman" w:hAnsi="Times New Roman"/>
                <w:sz w:val="20"/>
              </w:rPr>
              <w:t>Some returns would need to be reopened.</w:t>
            </w:r>
          </w:p>
          <w:p w:rsidR="00B00DE4" w:rsidRPr="00ED5E55" w:rsidRDefault="00B00DE4" w:rsidP="00B91E3E">
            <w:pPr>
              <w:pStyle w:val="Bullet-list"/>
              <w:spacing w:after="0" w:line="240" w:lineRule="auto"/>
              <w:ind w:left="0" w:firstLine="0"/>
              <w:jc w:val="left"/>
              <w:rPr>
                <w:rFonts w:ascii="Times New Roman" w:hAnsi="Times New Roman"/>
                <w:sz w:val="20"/>
              </w:rPr>
            </w:pPr>
          </w:p>
        </w:tc>
        <w:tc>
          <w:tcPr>
            <w:tcW w:w="1888" w:type="dxa"/>
            <w:tcBorders>
              <w:bottom w:val="nil"/>
            </w:tcBorders>
          </w:tcPr>
          <w:p w:rsidR="00B00DE4" w:rsidRPr="005B349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 n</w:t>
            </w:r>
            <w:r w:rsidRPr="005B3497">
              <w:rPr>
                <w:rFonts w:ascii="Times New Roman" w:hAnsi="Times New Roman"/>
                <w:sz w:val="20"/>
              </w:rPr>
              <w:t xml:space="preserve">o </w:t>
            </w:r>
            <w:r w:rsidR="00B00DE4" w:rsidRPr="005B3497">
              <w:rPr>
                <w:rFonts w:ascii="Times New Roman" w:hAnsi="Times New Roman"/>
                <w:sz w:val="20"/>
              </w:rPr>
              <w:t>special rule for gold.  Rules consistent with the rest of the Act.</w:t>
            </w:r>
          </w:p>
          <w:p w:rsidR="00B00DE4" w:rsidRDefault="00B00DE4" w:rsidP="00B91E3E">
            <w:pPr>
              <w:pStyle w:val="Bullet-list"/>
              <w:spacing w:after="0" w:line="240" w:lineRule="auto"/>
              <w:ind w:left="0" w:firstLine="0"/>
              <w:jc w:val="left"/>
              <w:rPr>
                <w:rFonts w:ascii="Times New Roman" w:hAnsi="Times New Roman"/>
                <w:sz w:val="20"/>
              </w:rPr>
            </w:pPr>
          </w:p>
          <w:p w:rsidR="00D05759" w:rsidRPr="00ED5E55" w:rsidRDefault="00D05759" w:rsidP="00B91E3E">
            <w:pPr>
              <w:pStyle w:val="Bullet-list"/>
              <w:spacing w:after="0" w:line="240" w:lineRule="auto"/>
              <w:ind w:left="0" w:firstLine="0"/>
              <w:jc w:val="left"/>
              <w:rPr>
                <w:rFonts w:ascii="Times New Roman" w:hAnsi="Times New Roman"/>
                <w:sz w:val="20"/>
              </w:rPr>
            </w:pPr>
            <w:r>
              <w:rPr>
                <w:rFonts w:ascii="Times New Roman" w:hAnsi="Times New Roman"/>
                <w:sz w:val="20"/>
              </w:rPr>
              <w:t>Past positions preserved.</w:t>
            </w:r>
          </w:p>
        </w:tc>
        <w:tc>
          <w:tcPr>
            <w:tcW w:w="1689" w:type="dxa"/>
            <w:tcBorders>
              <w:bottom w:val="nil"/>
            </w:tcBorders>
          </w:tcPr>
          <w:p w:rsidR="00B00DE4" w:rsidRPr="00ED5E55" w:rsidRDefault="00AE2FB3" w:rsidP="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Increased</w:t>
            </w:r>
            <w:r>
              <w:rPr>
                <w:rFonts w:ascii="Times New Roman" w:hAnsi="Times New Roman"/>
                <w:sz w:val="20"/>
              </w:rPr>
              <w:t xml:space="preserve"> - results in taxation of consumption of gold.</w:t>
            </w:r>
          </w:p>
        </w:tc>
        <w:tc>
          <w:tcPr>
            <w:tcW w:w="1363" w:type="dxa"/>
            <w:tcBorders>
              <w:bottom w:val="nil"/>
            </w:tcBorders>
          </w:tcPr>
          <w:p w:rsidR="00B00DE4"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 xml:space="preserve">Reduced </w:t>
            </w:r>
            <w:r>
              <w:rPr>
                <w:rFonts w:ascii="Times New Roman" w:hAnsi="Times New Roman"/>
                <w:b/>
                <w:sz w:val="20"/>
              </w:rPr>
              <w:t>–</w:t>
            </w:r>
            <w:r>
              <w:rPr>
                <w:rFonts w:ascii="Times New Roman" w:hAnsi="Times New Roman"/>
                <w:sz w:val="20"/>
              </w:rPr>
              <w:t xml:space="preserve"> revenue decrease </w:t>
            </w:r>
            <w:r w:rsidR="009B26B8">
              <w:rPr>
                <w:rFonts w:ascii="Times New Roman" w:hAnsi="Times New Roman"/>
                <w:sz w:val="20"/>
              </w:rPr>
              <w:t>estimated</w:t>
            </w:r>
            <w:r>
              <w:rPr>
                <w:rFonts w:ascii="Times New Roman" w:hAnsi="Times New Roman"/>
                <w:sz w:val="20"/>
              </w:rPr>
              <w:t xml:space="preserve"> at $0.4 million per annum.</w:t>
            </w:r>
          </w:p>
          <w:p w:rsidR="00AE2FB3" w:rsidRDefault="00AE2FB3">
            <w:pPr>
              <w:pStyle w:val="Bullet-list"/>
              <w:spacing w:after="0" w:line="240" w:lineRule="auto"/>
              <w:ind w:left="0" w:firstLine="0"/>
              <w:jc w:val="left"/>
              <w:rPr>
                <w:rFonts w:ascii="Times New Roman" w:hAnsi="Times New Roman"/>
                <w:sz w:val="20"/>
              </w:rPr>
            </w:pPr>
          </w:p>
          <w:p w:rsidR="00AE2FB3" w:rsidRPr="00ED5E55" w:rsidRDefault="00AE2FB3" w:rsidP="00B91E3E">
            <w:pPr>
              <w:pStyle w:val="Bullet-list"/>
              <w:spacing w:after="0" w:line="240" w:lineRule="auto"/>
              <w:ind w:left="0" w:firstLine="0"/>
              <w:jc w:val="left"/>
              <w:rPr>
                <w:rFonts w:ascii="Times New Roman" w:hAnsi="Times New Roman"/>
                <w:sz w:val="20"/>
              </w:rPr>
            </w:pPr>
            <w:r>
              <w:rPr>
                <w:rFonts w:ascii="Times New Roman" w:hAnsi="Times New Roman"/>
                <w:sz w:val="20"/>
              </w:rPr>
              <w:t>One-off cost forecast at $1.6 million</w:t>
            </w:r>
            <w:r w:rsidR="009B26B8">
              <w:rPr>
                <w:rFonts w:ascii="Times New Roman" w:hAnsi="Times New Roman"/>
                <w:sz w:val="20"/>
              </w:rPr>
              <w:t>.</w:t>
            </w:r>
          </w:p>
        </w:tc>
      </w:tr>
      <w:tr w:rsidR="00B00DE4" w:rsidTr="00B91E3E">
        <w:tc>
          <w:tcPr>
            <w:tcW w:w="2234" w:type="dxa"/>
            <w:tcBorders>
              <w:top w:val="nil"/>
              <w:bottom w:val="single" w:sz="4" w:space="0" w:color="auto"/>
            </w:tcBorders>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p>
        </w:tc>
        <w:tc>
          <w:tcPr>
            <w:tcW w:w="1985" w:type="dxa"/>
            <w:tcBorders>
              <w:top w:val="nil"/>
              <w:bottom w:val="single" w:sz="4" w:space="0" w:color="auto"/>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42" w:type="dxa"/>
            <w:tcBorders>
              <w:top w:val="nil"/>
              <w:bottom w:val="single" w:sz="4" w:space="0" w:color="auto"/>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701" w:type="dxa"/>
            <w:tcBorders>
              <w:top w:val="nil"/>
              <w:bottom w:val="single" w:sz="4" w:space="0" w:color="auto"/>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02" w:type="dxa"/>
            <w:tcBorders>
              <w:top w:val="nil"/>
              <w:bottom w:val="single" w:sz="4" w:space="0" w:color="auto"/>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88" w:type="dxa"/>
            <w:tcBorders>
              <w:top w:val="nil"/>
              <w:bottom w:val="single" w:sz="4" w:space="0" w:color="auto"/>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689" w:type="dxa"/>
            <w:tcBorders>
              <w:top w:val="nil"/>
              <w:bottom w:val="single" w:sz="4" w:space="0" w:color="auto"/>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363" w:type="dxa"/>
            <w:tcBorders>
              <w:top w:val="nil"/>
              <w:bottom w:val="single" w:sz="4" w:space="0" w:color="auto"/>
            </w:tcBorders>
          </w:tcPr>
          <w:p w:rsidR="00B00DE4" w:rsidRPr="00B91E3E" w:rsidRDefault="00B00DE4" w:rsidP="006B2540">
            <w:pPr>
              <w:pStyle w:val="Bullet-list"/>
              <w:spacing w:after="0" w:line="240" w:lineRule="auto"/>
              <w:ind w:left="0" w:firstLine="0"/>
              <w:jc w:val="center"/>
              <w:rPr>
                <w:rFonts w:ascii="Times New Roman" w:hAnsi="Times New Roman"/>
                <w:i/>
                <w:sz w:val="20"/>
              </w:rPr>
            </w:pPr>
          </w:p>
        </w:tc>
      </w:tr>
      <w:tr w:rsidR="00B00DE4" w:rsidTr="00B91E3E">
        <w:tc>
          <w:tcPr>
            <w:tcW w:w="2234" w:type="dxa"/>
            <w:tcBorders>
              <w:top w:val="single" w:sz="4" w:space="0" w:color="auto"/>
              <w:bottom w:val="nil"/>
            </w:tcBorders>
          </w:tcPr>
          <w:p w:rsidR="00B00DE4" w:rsidRPr="002F302C" w:rsidRDefault="00B00DE4" w:rsidP="00B00DE4">
            <w:pPr>
              <w:pStyle w:val="Bullet-list"/>
              <w:spacing w:after="0" w:line="240" w:lineRule="auto"/>
              <w:ind w:left="0" w:firstLine="0"/>
              <w:jc w:val="left"/>
              <w:rPr>
                <w:rFonts w:ascii="Times New Roman" w:hAnsi="Times New Roman"/>
                <w:b/>
                <w:sz w:val="24"/>
                <w:szCs w:val="24"/>
              </w:rPr>
            </w:pPr>
            <w:r>
              <w:rPr>
                <w:rFonts w:ascii="Times New Roman" w:hAnsi="Times New Roman"/>
                <w:b/>
                <w:sz w:val="24"/>
                <w:szCs w:val="24"/>
              </w:rPr>
              <w:t>Option 3</w:t>
            </w:r>
            <w:r w:rsidRPr="002F302C">
              <w:rPr>
                <w:rFonts w:ascii="Times New Roman" w:hAnsi="Times New Roman"/>
                <w:b/>
                <w:sz w:val="24"/>
                <w:szCs w:val="24"/>
              </w:rPr>
              <w:t>: Status quo</w:t>
            </w:r>
          </w:p>
        </w:tc>
        <w:tc>
          <w:tcPr>
            <w:tcW w:w="1985" w:type="dxa"/>
            <w:tcBorders>
              <w:top w:val="single" w:sz="4" w:space="0" w:color="auto"/>
              <w:bottom w:val="nil"/>
            </w:tcBorders>
          </w:tcPr>
          <w:p w:rsidR="00B00DE4" w:rsidRPr="00EC3737" w:rsidRDefault="00AE2FB3">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w:t>
            </w:r>
            <w:r w:rsidR="00B00DE4" w:rsidRPr="00EC3737">
              <w:rPr>
                <w:rFonts w:ascii="Times New Roman" w:hAnsi="Times New Roman"/>
                <w:sz w:val="20"/>
              </w:rPr>
              <w:t>GST-registered businesses disadvantaged compared to unregistered businesses.</w:t>
            </w:r>
          </w:p>
          <w:p w:rsidR="00B00DE4" w:rsidRPr="00EC3737" w:rsidRDefault="00B00DE4">
            <w:pPr>
              <w:pStyle w:val="Bullet-list"/>
              <w:spacing w:after="0" w:line="240" w:lineRule="auto"/>
              <w:ind w:left="0" w:firstLine="0"/>
              <w:jc w:val="left"/>
              <w:rPr>
                <w:rFonts w:ascii="Times New Roman" w:hAnsi="Times New Roman"/>
                <w:sz w:val="20"/>
              </w:rPr>
            </w:pPr>
          </w:p>
          <w:p w:rsidR="00B00DE4" w:rsidRPr="00EC3737" w:rsidRDefault="00B00DE4" w:rsidP="00AE2FB3">
            <w:pPr>
              <w:pStyle w:val="Bullet-list"/>
              <w:spacing w:after="0" w:line="240" w:lineRule="auto"/>
              <w:ind w:left="0" w:firstLine="0"/>
              <w:jc w:val="left"/>
              <w:rPr>
                <w:rFonts w:ascii="Wingdings" w:hAnsi="Wingdings"/>
                <w:sz w:val="20"/>
              </w:rPr>
            </w:pPr>
            <w:r w:rsidRPr="00EC3737">
              <w:rPr>
                <w:rFonts w:ascii="Times New Roman" w:hAnsi="Times New Roman"/>
                <w:sz w:val="20"/>
              </w:rPr>
              <w:t>Non-compliance distorts competition.</w:t>
            </w:r>
          </w:p>
          <w:p w:rsidR="00B00DE4" w:rsidRPr="00ED5E55" w:rsidRDefault="00B00DE4" w:rsidP="00B91E3E">
            <w:pPr>
              <w:pStyle w:val="Bullet-list"/>
              <w:spacing w:after="0" w:line="240" w:lineRule="auto"/>
              <w:ind w:left="0" w:firstLine="0"/>
              <w:jc w:val="left"/>
              <w:rPr>
                <w:rFonts w:ascii="Wingdings" w:hAnsi="Wingdings"/>
                <w:sz w:val="20"/>
              </w:rPr>
            </w:pPr>
          </w:p>
        </w:tc>
        <w:tc>
          <w:tcPr>
            <w:tcW w:w="1842" w:type="dxa"/>
            <w:tcBorders>
              <w:top w:val="single" w:sz="4" w:space="0" w:color="auto"/>
              <w:bottom w:val="nil"/>
            </w:tcBorders>
          </w:tcPr>
          <w:p w:rsidR="00B00DE4" w:rsidRPr="00EC373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s</w:t>
            </w:r>
            <w:r w:rsidRPr="00EC3737">
              <w:rPr>
                <w:rFonts w:ascii="Times New Roman" w:hAnsi="Times New Roman"/>
                <w:sz w:val="20"/>
              </w:rPr>
              <w:t xml:space="preserve">econdhand </w:t>
            </w:r>
            <w:r w:rsidR="00B00DE4" w:rsidRPr="00EC3737">
              <w:rPr>
                <w:rFonts w:ascii="Times New Roman" w:hAnsi="Times New Roman"/>
                <w:sz w:val="20"/>
              </w:rPr>
              <w:t>gold treated less favourably than other secondhand goods</w:t>
            </w:r>
            <w:r>
              <w:rPr>
                <w:rFonts w:ascii="Times New Roman" w:hAnsi="Times New Roman"/>
                <w:sz w:val="20"/>
              </w:rPr>
              <w:t>.</w:t>
            </w:r>
          </w:p>
          <w:p w:rsidR="00B00DE4" w:rsidRPr="00ED5E55" w:rsidRDefault="00B00DE4" w:rsidP="00B91E3E">
            <w:pPr>
              <w:pStyle w:val="Bullet-list"/>
              <w:spacing w:after="0" w:line="240" w:lineRule="auto"/>
              <w:ind w:left="0" w:firstLine="0"/>
              <w:jc w:val="left"/>
              <w:rPr>
                <w:rFonts w:ascii="Wingdings" w:hAnsi="Wingdings"/>
                <w:sz w:val="20"/>
              </w:rPr>
            </w:pPr>
          </w:p>
        </w:tc>
        <w:tc>
          <w:tcPr>
            <w:tcW w:w="1701" w:type="dxa"/>
            <w:tcBorders>
              <w:top w:val="single" w:sz="4" w:space="0" w:color="auto"/>
              <w:bottom w:val="nil"/>
            </w:tcBorders>
          </w:tcPr>
          <w:p w:rsidR="00B00DE4" w:rsidRPr="00EC373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c</w:t>
            </w:r>
            <w:r w:rsidRPr="00EC3737">
              <w:rPr>
                <w:rFonts w:ascii="Times New Roman" w:hAnsi="Times New Roman"/>
                <w:sz w:val="20"/>
              </w:rPr>
              <w:t xml:space="preserve">ompliance </w:t>
            </w:r>
            <w:r w:rsidR="00B00DE4" w:rsidRPr="00EC3737">
              <w:rPr>
                <w:rFonts w:ascii="Times New Roman" w:hAnsi="Times New Roman"/>
                <w:sz w:val="20"/>
              </w:rPr>
              <w:t xml:space="preserve">costs </w:t>
            </w:r>
            <w:r w:rsidR="00B00DE4">
              <w:rPr>
                <w:rFonts w:ascii="Times New Roman" w:hAnsi="Times New Roman"/>
                <w:sz w:val="20"/>
              </w:rPr>
              <w:t>higher</w:t>
            </w:r>
            <w:r w:rsidR="00B00DE4" w:rsidRPr="00EC3737">
              <w:rPr>
                <w:rFonts w:ascii="Times New Roman" w:hAnsi="Times New Roman"/>
                <w:sz w:val="20"/>
              </w:rPr>
              <w:t xml:space="preserve"> </w:t>
            </w:r>
            <w:r w:rsidR="00B00DE4">
              <w:rPr>
                <w:rFonts w:ascii="Times New Roman" w:hAnsi="Times New Roman"/>
                <w:sz w:val="20"/>
              </w:rPr>
              <w:t xml:space="preserve">than </w:t>
            </w:r>
            <w:r w:rsidR="00B00DE4" w:rsidRPr="00EC3737">
              <w:rPr>
                <w:rFonts w:ascii="Times New Roman" w:hAnsi="Times New Roman"/>
                <w:sz w:val="20"/>
              </w:rPr>
              <w:t>other secondhand goods</w:t>
            </w:r>
            <w:r w:rsidR="00B00DE4">
              <w:rPr>
                <w:rFonts w:ascii="Times New Roman" w:hAnsi="Times New Roman"/>
                <w:sz w:val="20"/>
              </w:rPr>
              <w:t xml:space="preserve"> as p</w:t>
            </w:r>
            <w:r w:rsidR="00B00DE4" w:rsidRPr="00EC3737">
              <w:rPr>
                <w:rFonts w:ascii="Times New Roman" w:hAnsi="Times New Roman"/>
                <w:sz w:val="20"/>
              </w:rPr>
              <w:t xml:space="preserve">urchaser </w:t>
            </w:r>
            <w:r w:rsidR="00B00DE4">
              <w:rPr>
                <w:rFonts w:ascii="Times New Roman" w:hAnsi="Times New Roman"/>
                <w:sz w:val="20"/>
              </w:rPr>
              <w:t xml:space="preserve">must </w:t>
            </w:r>
            <w:r w:rsidR="00B00DE4" w:rsidRPr="00EC3737">
              <w:rPr>
                <w:rFonts w:ascii="Times New Roman" w:hAnsi="Times New Roman"/>
                <w:sz w:val="20"/>
              </w:rPr>
              <w:t>determin</w:t>
            </w:r>
            <w:r w:rsidR="00B00DE4">
              <w:rPr>
                <w:rFonts w:ascii="Times New Roman" w:hAnsi="Times New Roman"/>
                <w:sz w:val="20"/>
              </w:rPr>
              <w:t>e</w:t>
            </w:r>
            <w:r w:rsidR="00B00DE4" w:rsidRPr="00EC3737">
              <w:rPr>
                <w:rFonts w:ascii="Times New Roman" w:hAnsi="Times New Roman"/>
                <w:sz w:val="20"/>
              </w:rPr>
              <w:t xml:space="preserve"> gold metal content</w:t>
            </w:r>
            <w:r>
              <w:rPr>
                <w:rFonts w:ascii="Times New Roman" w:hAnsi="Times New Roman"/>
                <w:sz w:val="20"/>
              </w:rPr>
              <w:t>.</w:t>
            </w:r>
          </w:p>
          <w:p w:rsidR="00B00DE4" w:rsidRPr="00ED5E55" w:rsidRDefault="00B00DE4" w:rsidP="00B91E3E">
            <w:pPr>
              <w:pStyle w:val="Bullet-list"/>
              <w:spacing w:after="0" w:line="240" w:lineRule="auto"/>
              <w:ind w:left="0" w:firstLine="0"/>
              <w:jc w:val="left"/>
              <w:rPr>
                <w:rFonts w:ascii="Wingdings" w:hAnsi="Wingdings"/>
                <w:sz w:val="20"/>
              </w:rPr>
            </w:pPr>
          </w:p>
        </w:tc>
        <w:tc>
          <w:tcPr>
            <w:tcW w:w="1802" w:type="dxa"/>
            <w:tcBorders>
              <w:top w:val="single" w:sz="4" w:space="0" w:color="auto"/>
              <w:bottom w:val="nil"/>
            </w:tcBorders>
          </w:tcPr>
          <w:p w:rsidR="00B00DE4" w:rsidRPr="00ED5E55" w:rsidRDefault="00EA3246" w:rsidP="00B91E3E">
            <w:pPr>
              <w:pStyle w:val="Bullet-list"/>
              <w:spacing w:after="0" w:line="240" w:lineRule="auto"/>
              <w:ind w:left="0" w:firstLine="0"/>
              <w:jc w:val="left"/>
              <w:rPr>
                <w:rFonts w:ascii="Wingdings" w:hAnsi="Wingdings"/>
                <w:sz w:val="20"/>
              </w:rPr>
            </w:pPr>
            <w:r w:rsidRPr="00A0104F">
              <w:rPr>
                <w:rFonts w:ascii="Times New Roman" w:hAnsi="Times New Roman"/>
                <w:b/>
                <w:sz w:val="20"/>
              </w:rPr>
              <w:t>No change</w:t>
            </w:r>
            <w:r>
              <w:rPr>
                <w:rFonts w:ascii="Times New Roman" w:hAnsi="Times New Roman"/>
                <w:sz w:val="20"/>
              </w:rPr>
              <w:t xml:space="preserve"> - IRD monitors taxpayers’ compliance with the rules (as with other tax rules).</w:t>
            </w:r>
          </w:p>
        </w:tc>
        <w:tc>
          <w:tcPr>
            <w:tcW w:w="1888" w:type="dxa"/>
            <w:tcBorders>
              <w:top w:val="single" w:sz="4" w:space="0" w:color="auto"/>
              <w:bottom w:val="nil"/>
            </w:tcBorders>
          </w:tcPr>
          <w:p w:rsidR="00B00DE4" w:rsidRPr="00EC3737" w:rsidRDefault="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w:t>
            </w:r>
            <w:r w:rsidR="00EA3246">
              <w:rPr>
                <w:rFonts w:ascii="Times New Roman" w:hAnsi="Times New Roman"/>
                <w:sz w:val="20"/>
              </w:rPr>
              <w:t>r</w:t>
            </w:r>
            <w:r w:rsidR="00EA3246" w:rsidRPr="00EC3737">
              <w:rPr>
                <w:rFonts w:ascii="Times New Roman" w:hAnsi="Times New Roman"/>
                <w:sz w:val="20"/>
              </w:rPr>
              <w:t xml:space="preserve">ules </w:t>
            </w:r>
            <w:r w:rsidR="00B00DE4" w:rsidRPr="00EC3737">
              <w:rPr>
                <w:rFonts w:ascii="Times New Roman" w:hAnsi="Times New Roman"/>
                <w:sz w:val="20"/>
              </w:rPr>
              <w:t>more complex and less consistent, require greater understanding.</w:t>
            </w:r>
          </w:p>
          <w:p w:rsidR="00B00DE4" w:rsidRPr="00EC3737" w:rsidRDefault="00B00DE4" w:rsidP="00AE2FB3">
            <w:pPr>
              <w:pStyle w:val="Bullet-list"/>
              <w:spacing w:after="0" w:line="240" w:lineRule="auto"/>
              <w:ind w:left="0" w:firstLine="0"/>
              <w:jc w:val="left"/>
              <w:rPr>
                <w:rFonts w:ascii="Times New Roman" w:hAnsi="Times New Roman"/>
                <w:sz w:val="20"/>
              </w:rPr>
            </w:pPr>
          </w:p>
          <w:p w:rsidR="00D05759" w:rsidRPr="005B3497" w:rsidRDefault="00D05759" w:rsidP="00D05759">
            <w:pPr>
              <w:pStyle w:val="Bullet-list"/>
              <w:spacing w:after="0" w:line="240" w:lineRule="auto"/>
              <w:ind w:left="0" w:firstLine="0"/>
              <w:jc w:val="left"/>
              <w:rPr>
                <w:rFonts w:ascii="Times New Roman" w:hAnsi="Times New Roman"/>
                <w:sz w:val="20"/>
              </w:rPr>
            </w:pPr>
            <w:r>
              <w:rPr>
                <w:rFonts w:ascii="Times New Roman" w:hAnsi="Times New Roman"/>
                <w:sz w:val="20"/>
              </w:rPr>
              <w:t>Some uncertainty regarding past positions.</w:t>
            </w:r>
          </w:p>
          <w:p w:rsidR="00B00DE4" w:rsidRPr="00ED5E55" w:rsidRDefault="00B00DE4" w:rsidP="00B91E3E">
            <w:pPr>
              <w:pStyle w:val="Bullet-list"/>
              <w:spacing w:after="0" w:line="240" w:lineRule="auto"/>
              <w:ind w:left="0" w:firstLine="0"/>
              <w:jc w:val="left"/>
              <w:rPr>
                <w:rFonts w:ascii="Wingdings" w:hAnsi="Wingdings"/>
                <w:sz w:val="20"/>
              </w:rPr>
            </w:pPr>
          </w:p>
        </w:tc>
        <w:tc>
          <w:tcPr>
            <w:tcW w:w="1689" w:type="dxa"/>
            <w:tcBorders>
              <w:top w:val="single" w:sz="4" w:space="0" w:color="auto"/>
              <w:bottom w:val="nil"/>
            </w:tcBorders>
          </w:tcPr>
          <w:p w:rsidR="00B00DE4" w:rsidRPr="00ED5E55" w:rsidRDefault="00AE2FB3" w:rsidP="00EA3246">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w:t>
            </w:r>
            <w:r w:rsidR="00EA3246">
              <w:rPr>
                <w:rFonts w:ascii="Times New Roman" w:hAnsi="Times New Roman"/>
                <w:sz w:val="20"/>
              </w:rPr>
              <w:t xml:space="preserve">results </w:t>
            </w:r>
            <w:r w:rsidR="000443B2">
              <w:rPr>
                <w:rFonts w:ascii="Times New Roman" w:hAnsi="Times New Roman"/>
                <w:sz w:val="20"/>
              </w:rPr>
              <w:t>in taxation upon supply of gold, rather that upon consumption</w:t>
            </w:r>
            <w:r>
              <w:rPr>
                <w:rFonts w:ascii="Times New Roman" w:hAnsi="Times New Roman"/>
                <w:sz w:val="20"/>
              </w:rPr>
              <w:t>.</w:t>
            </w:r>
          </w:p>
        </w:tc>
        <w:tc>
          <w:tcPr>
            <w:tcW w:w="1363" w:type="dxa"/>
            <w:tcBorders>
              <w:top w:val="single" w:sz="4" w:space="0" w:color="auto"/>
              <w:bottom w:val="nil"/>
            </w:tcBorders>
          </w:tcPr>
          <w:p w:rsidR="00B00DE4" w:rsidRPr="00ED5E55" w:rsidRDefault="00AE2FB3" w:rsidP="00AE2FB3">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w:t>
            </w:r>
          </w:p>
        </w:tc>
      </w:tr>
      <w:tr w:rsidR="00B00DE4" w:rsidTr="00B91E3E">
        <w:tc>
          <w:tcPr>
            <w:tcW w:w="2234" w:type="dxa"/>
            <w:tcBorders>
              <w:top w:val="nil"/>
            </w:tcBorders>
          </w:tcPr>
          <w:p w:rsidR="00B00DE4" w:rsidRPr="002F302C" w:rsidRDefault="00B00DE4" w:rsidP="00B00DE4">
            <w:pPr>
              <w:pStyle w:val="Bullet-list"/>
              <w:spacing w:after="0" w:line="240" w:lineRule="auto"/>
              <w:ind w:left="0" w:firstLine="0"/>
              <w:jc w:val="center"/>
              <w:rPr>
                <w:rFonts w:ascii="Times New Roman" w:hAnsi="Times New Roman"/>
                <w:b/>
                <w:sz w:val="24"/>
                <w:szCs w:val="24"/>
              </w:rPr>
            </w:pPr>
          </w:p>
        </w:tc>
        <w:tc>
          <w:tcPr>
            <w:tcW w:w="1985" w:type="dxa"/>
            <w:tcBorders>
              <w:top w:val="nil"/>
            </w:tcBorders>
          </w:tcPr>
          <w:p w:rsidR="00B00DE4" w:rsidRPr="00B91E3E" w:rsidRDefault="00D05759" w:rsidP="00B00DE4">
            <w:pPr>
              <w:pStyle w:val="Bullet-list"/>
              <w:spacing w:after="0" w:line="240" w:lineRule="auto"/>
              <w:ind w:left="0" w:firstLine="0"/>
              <w:jc w:val="center"/>
              <w:rPr>
                <w:rFonts w:ascii="Wingdings" w:hAnsi="Wingdings"/>
                <w:i/>
                <w:sz w:val="20"/>
              </w:rPr>
            </w:pPr>
            <w:r w:rsidRPr="00B91E3E">
              <w:rPr>
                <w:rFonts w:ascii="Times New Roman" w:hAnsi="Times New Roman"/>
                <w:i/>
                <w:sz w:val="20"/>
              </w:rPr>
              <w:t>Does not meet objective</w:t>
            </w:r>
            <w:r w:rsidRPr="00B91E3E" w:rsidDel="00D05759">
              <w:rPr>
                <w:rFonts w:ascii="Wingdings" w:hAnsi="Wingdings"/>
                <w:i/>
                <w:sz w:val="20"/>
              </w:rPr>
              <w:t></w:t>
            </w:r>
          </w:p>
        </w:tc>
        <w:tc>
          <w:tcPr>
            <w:tcW w:w="1842" w:type="dxa"/>
            <w:tcBorders>
              <w:top w:val="nil"/>
            </w:tcBorders>
          </w:tcPr>
          <w:p w:rsidR="00B00DE4" w:rsidRPr="00B91E3E" w:rsidRDefault="00D05759" w:rsidP="00B00DE4">
            <w:pPr>
              <w:pStyle w:val="Bullet-list"/>
              <w:spacing w:after="0" w:line="240" w:lineRule="auto"/>
              <w:ind w:left="0" w:firstLine="0"/>
              <w:jc w:val="center"/>
              <w:rPr>
                <w:rFonts w:ascii="Wingdings" w:hAnsi="Wingdings"/>
                <w:i/>
                <w:sz w:val="20"/>
              </w:rPr>
            </w:pPr>
            <w:r w:rsidRPr="00B91E3E">
              <w:rPr>
                <w:rFonts w:ascii="Times New Roman" w:hAnsi="Times New Roman"/>
                <w:i/>
                <w:sz w:val="20"/>
              </w:rPr>
              <w:t>Does not meet objective</w:t>
            </w:r>
          </w:p>
        </w:tc>
        <w:tc>
          <w:tcPr>
            <w:tcW w:w="1701" w:type="dxa"/>
            <w:tcBorders>
              <w:top w:val="nil"/>
            </w:tcBorders>
          </w:tcPr>
          <w:p w:rsidR="00B00DE4" w:rsidRPr="00B91E3E" w:rsidRDefault="00D05759" w:rsidP="00B00DE4">
            <w:pPr>
              <w:pStyle w:val="Bullet-list"/>
              <w:spacing w:after="0" w:line="240" w:lineRule="auto"/>
              <w:ind w:left="0" w:firstLine="0"/>
              <w:jc w:val="center"/>
              <w:rPr>
                <w:rFonts w:ascii="Wingdings" w:hAnsi="Wingdings"/>
                <w:i/>
                <w:sz w:val="20"/>
              </w:rPr>
            </w:pPr>
            <w:r w:rsidRPr="00B91E3E">
              <w:rPr>
                <w:rFonts w:ascii="Times New Roman" w:hAnsi="Times New Roman"/>
                <w:i/>
                <w:sz w:val="20"/>
              </w:rPr>
              <w:t>Does not meet objective</w:t>
            </w:r>
            <w:r w:rsidRPr="00B91E3E" w:rsidDel="00D05759">
              <w:rPr>
                <w:rFonts w:ascii="Wingdings" w:hAnsi="Wingdings"/>
                <w:i/>
                <w:sz w:val="20"/>
              </w:rPr>
              <w:t></w:t>
            </w:r>
          </w:p>
        </w:tc>
        <w:tc>
          <w:tcPr>
            <w:tcW w:w="1802" w:type="dxa"/>
            <w:tcBorders>
              <w:top w:val="nil"/>
            </w:tcBorders>
          </w:tcPr>
          <w:p w:rsidR="00B00DE4" w:rsidRPr="00B91E3E" w:rsidRDefault="00D05759" w:rsidP="00B00DE4">
            <w:pPr>
              <w:pStyle w:val="Bullet-list"/>
              <w:spacing w:after="0" w:line="240" w:lineRule="auto"/>
              <w:ind w:left="0" w:firstLine="0"/>
              <w:jc w:val="center"/>
              <w:rPr>
                <w:rFonts w:ascii="Wingdings" w:hAnsi="Wingdings"/>
                <w:i/>
                <w:sz w:val="20"/>
              </w:rPr>
            </w:pPr>
            <w:r w:rsidRPr="00B91E3E">
              <w:rPr>
                <w:rFonts w:ascii="Times New Roman" w:hAnsi="Times New Roman"/>
                <w:i/>
                <w:sz w:val="20"/>
              </w:rPr>
              <w:t>Meets objective</w:t>
            </w:r>
          </w:p>
        </w:tc>
        <w:tc>
          <w:tcPr>
            <w:tcW w:w="1888" w:type="dxa"/>
            <w:tcBorders>
              <w:top w:val="nil"/>
            </w:tcBorders>
          </w:tcPr>
          <w:p w:rsidR="00B00DE4" w:rsidRPr="00B91E3E" w:rsidRDefault="001362F9" w:rsidP="00B00DE4">
            <w:pPr>
              <w:pStyle w:val="Bullet-list"/>
              <w:spacing w:after="0" w:line="240" w:lineRule="auto"/>
              <w:ind w:left="0" w:firstLine="0"/>
              <w:jc w:val="center"/>
              <w:rPr>
                <w:rFonts w:ascii="Wingdings" w:hAnsi="Wingdings"/>
                <w:i/>
                <w:sz w:val="20"/>
              </w:rPr>
            </w:pPr>
            <w:r w:rsidRPr="00A0104F">
              <w:rPr>
                <w:rFonts w:ascii="Times New Roman" w:hAnsi="Times New Roman"/>
                <w:i/>
                <w:sz w:val="20"/>
              </w:rPr>
              <w:t>Does not meet objective</w:t>
            </w:r>
            <w:r w:rsidRPr="001362F9" w:rsidDel="00D05759">
              <w:rPr>
                <w:rFonts w:ascii="Wingdings" w:hAnsi="Wingdings"/>
                <w:i/>
                <w:sz w:val="20"/>
              </w:rPr>
              <w:t></w:t>
            </w:r>
          </w:p>
        </w:tc>
        <w:tc>
          <w:tcPr>
            <w:tcW w:w="1689" w:type="dxa"/>
            <w:tcBorders>
              <w:top w:val="nil"/>
            </w:tcBorders>
          </w:tcPr>
          <w:p w:rsidR="00B00DE4" w:rsidRPr="00B91E3E" w:rsidRDefault="00D05759" w:rsidP="00B00DE4">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Does not meet objective</w:t>
            </w:r>
          </w:p>
        </w:tc>
        <w:tc>
          <w:tcPr>
            <w:tcW w:w="1363" w:type="dxa"/>
            <w:tcBorders>
              <w:top w:val="nil"/>
            </w:tcBorders>
          </w:tcPr>
          <w:p w:rsidR="00B00DE4" w:rsidRPr="00ED5E55" w:rsidRDefault="00B00DE4" w:rsidP="00D05759">
            <w:pPr>
              <w:pStyle w:val="Bullet-list"/>
              <w:spacing w:after="0" w:line="240" w:lineRule="auto"/>
              <w:ind w:left="0" w:firstLine="0"/>
              <w:jc w:val="center"/>
              <w:rPr>
                <w:rFonts w:ascii="Times New Roman" w:hAnsi="Times New Roman"/>
                <w:sz w:val="20"/>
              </w:rPr>
            </w:pPr>
          </w:p>
        </w:tc>
      </w:tr>
    </w:tbl>
    <w:p w:rsidR="00B00DE4" w:rsidRDefault="00B00DE4" w:rsidP="00B00DE4">
      <w:pPr>
        <w:pStyle w:val="Bullet-list"/>
        <w:spacing w:after="0" w:line="240" w:lineRule="auto"/>
        <w:ind w:left="0" w:firstLine="0"/>
        <w:rPr>
          <w:rFonts w:ascii="Times New Roman" w:hAnsi="Times New Roman"/>
          <w:sz w:val="24"/>
          <w:szCs w:val="24"/>
        </w:rPr>
        <w:sectPr w:rsidR="00B00DE4" w:rsidSect="00B91E3E">
          <w:pgSz w:w="16840" w:h="11907" w:orient="landscape" w:code="9"/>
          <w:pgMar w:top="1418" w:right="1134" w:bottom="1418" w:left="1134" w:header="567" w:footer="567" w:gutter="0"/>
          <w:cols w:space="720"/>
          <w:docGrid w:linePitch="360"/>
        </w:sectPr>
      </w:pPr>
    </w:p>
    <w:p w:rsidR="00D06D45" w:rsidRPr="00ED5E55" w:rsidRDefault="00D06D45" w:rsidP="009C149F">
      <w:pPr>
        <w:pStyle w:val="Bullet-list"/>
        <w:spacing w:after="0" w:line="240" w:lineRule="auto"/>
        <w:jc w:val="both"/>
        <w:rPr>
          <w:rFonts w:ascii="Times New Roman" w:hAnsi="Times New Roman"/>
          <w:b/>
          <w:i/>
          <w:sz w:val="24"/>
          <w:szCs w:val="24"/>
        </w:rPr>
      </w:pPr>
      <w:r>
        <w:rPr>
          <w:rFonts w:ascii="Times New Roman" w:hAnsi="Times New Roman"/>
          <w:b/>
          <w:i/>
          <w:sz w:val="24"/>
          <w:szCs w:val="24"/>
        </w:rPr>
        <w:t>Consultation</w:t>
      </w:r>
    </w:p>
    <w:p w:rsidR="00D06D45" w:rsidRDefault="00D06D45" w:rsidP="009C149F">
      <w:pPr>
        <w:pStyle w:val="Bullet-list"/>
        <w:spacing w:after="0" w:line="240" w:lineRule="auto"/>
        <w:jc w:val="both"/>
        <w:rPr>
          <w:rFonts w:ascii="Times New Roman" w:hAnsi="Times New Roman"/>
          <w:sz w:val="24"/>
          <w:szCs w:val="24"/>
        </w:rPr>
      </w:pPr>
    </w:p>
    <w:p w:rsidR="00D06D45" w:rsidRDefault="00D06D45"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Four submissions were received on this </w:t>
      </w:r>
      <w:r w:rsidR="009B26B8">
        <w:rPr>
          <w:rFonts w:ascii="Times New Roman" w:hAnsi="Times New Roman"/>
          <w:sz w:val="24"/>
          <w:szCs w:val="24"/>
        </w:rPr>
        <w:t>item</w:t>
      </w:r>
      <w:r>
        <w:rPr>
          <w:rFonts w:ascii="Times New Roman" w:hAnsi="Times New Roman"/>
          <w:sz w:val="24"/>
          <w:szCs w:val="24"/>
        </w:rPr>
        <w:t>, supporting the proposal to make a retrospective amendment (</w:t>
      </w:r>
      <w:r w:rsidR="009C58B0">
        <w:rPr>
          <w:rFonts w:ascii="Times New Roman" w:hAnsi="Times New Roman"/>
          <w:sz w:val="24"/>
          <w:szCs w:val="24"/>
        </w:rPr>
        <w:t>Option 2</w:t>
      </w:r>
      <w:r>
        <w:rPr>
          <w:rFonts w:ascii="Times New Roman" w:hAnsi="Times New Roman"/>
          <w:sz w:val="24"/>
          <w:szCs w:val="24"/>
        </w:rPr>
        <w:t>).  Two submitters suggested ensuring that a business that had been reassessed during the retrospective period be able to recover the reassessed amount (even if the particular goods to which the claimed deductions related were purchased outside the four year period).  Officials supported this as being consistent with maintaining business’ status quo</w:t>
      </w:r>
      <w:r w:rsidR="00A2516B">
        <w:rPr>
          <w:rFonts w:ascii="Times New Roman" w:hAnsi="Times New Roman"/>
          <w:sz w:val="24"/>
          <w:szCs w:val="24"/>
        </w:rPr>
        <w:t xml:space="preserve"> while ensuring equity between taxpayers</w:t>
      </w:r>
      <w:r>
        <w:rPr>
          <w:rFonts w:ascii="Times New Roman" w:hAnsi="Times New Roman"/>
          <w:sz w:val="24"/>
          <w:szCs w:val="24"/>
        </w:rPr>
        <w:t>.</w:t>
      </w:r>
      <w:r w:rsidR="00A2516B">
        <w:rPr>
          <w:rFonts w:ascii="Times New Roman" w:hAnsi="Times New Roman"/>
          <w:sz w:val="24"/>
          <w:szCs w:val="24"/>
        </w:rPr>
        <w:t xml:space="preserve">  This has been incorporated into </w:t>
      </w:r>
      <w:r w:rsidR="009C58B0">
        <w:rPr>
          <w:rFonts w:ascii="Times New Roman" w:hAnsi="Times New Roman"/>
          <w:sz w:val="24"/>
          <w:szCs w:val="24"/>
        </w:rPr>
        <w:t>Option 2</w:t>
      </w:r>
      <w:r w:rsidR="00A2516B">
        <w:rPr>
          <w:rFonts w:ascii="Times New Roman" w:hAnsi="Times New Roman"/>
          <w:sz w:val="24"/>
          <w:szCs w:val="24"/>
        </w:rPr>
        <w:t>.</w:t>
      </w:r>
    </w:p>
    <w:p w:rsidR="00D06D45" w:rsidRDefault="00D06D45" w:rsidP="009C149F">
      <w:pPr>
        <w:pStyle w:val="Bullet-list"/>
        <w:spacing w:after="0" w:line="240" w:lineRule="auto"/>
        <w:ind w:left="0" w:firstLine="0"/>
        <w:jc w:val="both"/>
        <w:rPr>
          <w:rFonts w:ascii="Times New Roman" w:hAnsi="Times New Roman"/>
          <w:sz w:val="24"/>
          <w:szCs w:val="24"/>
        </w:rPr>
      </w:pPr>
    </w:p>
    <w:p w:rsidR="00D06D45" w:rsidRPr="006B2540" w:rsidRDefault="00D06D45" w:rsidP="00B91E3E">
      <w:pPr>
        <w:pStyle w:val="Bullet-list"/>
        <w:spacing w:after="0" w:line="240" w:lineRule="auto"/>
        <w:jc w:val="both"/>
        <w:rPr>
          <w:rFonts w:ascii="Times New Roman" w:hAnsi="Times New Roman"/>
          <w:b/>
          <w:i/>
          <w:sz w:val="24"/>
          <w:szCs w:val="24"/>
        </w:rPr>
      </w:pPr>
      <w:r w:rsidRPr="006B2540">
        <w:rPr>
          <w:rFonts w:ascii="Times New Roman" w:hAnsi="Times New Roman"/>
          <w:b/>
          <w:i/>
          <w:sz w:val="24"/>
          <w:szCs w:val="24"/>
        </w:rPr>
        <w:t>Conclusion and recommendation</w:t>
      </w:r>
    </w:p>
    <w:p w:rsidR="00D06D45" w:rsidRPr="00EC3737" w:rsidRDefault="00D06D45" w:rsidP="00B91E3E">
      <w:pPr>
        <w:pStyle w:val="Bullet-list"/>
        <w:spacing w:after="0" w:line="240" w:lineRule="auto"/>
        <w:ind w:left="0" w:firstLine="0"/>
        <w:jc w:val="both"/>
        <w:rPr>
          <w:rFonts w:ascii="Times New Roman" w:hAnsi="Times New Roman"/>
          <w:b/>
          <w:sz w:val="24"/>
          <w:szCs w:val="24"/>
        </w:rPr>
      </w:pPr>
    </w:p>
    <w:p w:rsidR="00B00DE4" w:rsidRDefault="009C58B0"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D06D45">
        <w:rPr>
          <w:rFonts w:ascii="Times New Roman" w:hAnsi="Times New Roman"/>
          <w:sz w:val="24"/>
          <w:szCs w:val="24"/>
        </w:rPr>
        <w:t xml:space="preserve"> and </w:t>
      </w:r>
      <w:r>
        <w:rPr>
          <w:rFonts w:ascii="Times New Roman" w:hAnsi="Times New Roman"/>
          <w:sz w:val="24"/>
          <w:szCs w:val="24"/>
        </w:rPr>
        <w:t>Option 2</w:t>
      </w:r>
      <w:r w:rsidR="00D06D45">
        <w:rPr>
          <w:rFonts w:ascii="Times New Roman" w:hAnsi="Times New Roman"/>
          <w:sz w:val="24"/>
          <w:szCs w:val="24"/>
        </w:rPr>
        <w:t xml:space="preserve"> both satisfy the </w:t>
      </w:r>
      <w:r w:rsidR="00B00DE4">
        <w:rPr>
          <w:rFonts w:ascii="Times New Roman" w:hAnsi="Times New Roman"/>
          <w:sz w:val="24"/>
          <w:szCs w:val="24"/>
        </w:rPr>
        <w:t xml:space="preserve">key objective </w:t>
      </w:r>
      <w:r w:rsidR="00D06D45">
        <w:rPr>
          <w:rFonts w:ascii="Times New Roman" w:hAnsi="Times New Roman"/>
          <w:sz w:val="24"/>
          <w:szCs w:val="24"/>
        </w:rPr>
        <w:t>that tax be neutral (both within a sector and b</w:t>
      </w:r>
      <w:r w:rsidR="00B00DE4">
        <w:rPr>
          <w:rFonts w:ascii="Times New Roman" w:hAnsi="Times New Roman"/>
          <w:sz w:val="24"/>
          <w:szCs w:val="24"/>
        </w:rPr>
        <w:t>etween sectors) and efficient.</w:t>
      </w:r>
    </w:p>
    <w:p w:rsidR="00B00DE4" w:rsidRDefault="00B00DE4" w:rsidP="00B91E3E">
      <w:pPr>
        <w:pStyle w:val="Bullet-list"/>
        <w:spacing w:after="0" w:line="240" w:lineRule="auto"/>
        <w:ind w:left="0" w:firstLine="0"/>
        <w:jc w:val="both"/>
        <w:rPr>
          <w:rFonts w:ascii="Times New Roman" w:hAnsi="Times New Roman"/>
          <w:sz w:val="24"/>
          <w:szCs w:val="24"/>
        </w:rPr>
      </w:pPr>
    </w:p>
    <w:p w:rsidR="00A2516B" w:rsidRPr="00F1236B" w:rsidRDefault="00D06D45"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It is difficult to determine the relative administration costs of the </w:t>
      </w:r>
      <w:r w:rsidR="001362F9">
        <w:rPr>
          <w:rFonts w:ascii="Times New Roman" w:hAnsi="Times New Roman"/>
          <w:sz w:val="24"/>
          <w:szCs w:val="24"/>
        </w:rPr>
        <w:t xml:space="preserve">options </w:t>
      </w:r>
      <w:r>
        <w:rPr>
          <w:rFonts w:ascii="Times New Roman" w:hAnsi="Times New Roman"/>
          <w:sz w:val="24"/>
          <w:szCs w:val="24"/>
        </w:rPr>
        <w:t xml:space="preserve">– under </w:t>
      </w:r>
      <w:r w:rsidR="009C58B0">
        <w:rPr>
          <w:rFonts w:ascii="Times New Roman" w:hAnsi="Times New Roman"/>
          <w:sz w:val="24"/>
          <w:szCs w:val="24"/>
        </w:rPr>
        <w:t xml:space="preserve">Option </w:t>
      </w:r>
      <w:proofErr w:type="gramStart"/>
      <w:r w:rsidR="009C58B0">
        <w:rPr>
          <w:rFonts w:ascii="Times New Roman" w:hAnsi="Times New Roman"/>
          <w:sz w:val="24"/>
          <w:szCs w:val="24"/>
        </w:rPr>
        <w:t>2</w:t>
      </w:r>
      <w:r>
        <w:rPr>
          <w:rFonts w:ascii="Times New Roman" w:hAnsi="Times New Roman"/>
          <w:sz w:val="24"/>
          <w:szCs w:val="24"/>
        </w:rPr>
        <w:t>,</w:t>
      </w:r>
      <w:proofErr w:type="gramEnd"/>
      <w:r>
        <w:rPr>
          <w:rFonts w:ascii="Times New Roman" w:hAnsi="Times New Roman"/>
          <w:sz w:val="24"/>
          <w:szCs w:val="24"/>
        </w:rPr>
        <w:t xml:space="preserve"> Inland Revenue may incur some costs in reopening a number of returns to pay claimed refunds.</w:t>
      </w:r>
      <w:r w:rsidR="00A2516B">
        <w:rPr>
          <w:rFonts w:ascii="Times New Roman" w:hAnsi="Times New Roman"/>
          <w:sz w:val="24"/>
          <w:szCs w:val="24"/>
        </w:rPr>
        <w:t xml:space="preserve">  However, the cost of the other options will depend on the amount of resources the Commissioner decides to spend on compliance activities.</w:t>
      </w:r>
    </w:p>
    <w:p w:rsidR="00D06D45" w:rsidRDefault="00D06D45" w:rsidP="00B91E3E">
      <w:pPr>
        <w:pStyle w:val="Bullet-list"/>
        <w:spacing w:after="0" w:line="240" w:lineRule="auto"/>
        <w:ind w:left="0" w:firstLine="0"/>
        <w:jc w:val="both"/>
        <w:rPr>
          <w:rFonts w:ascii="Times New Roman" w:hAnsi="Times New Roman"/>
          <w:sz w:val="24"/>
          <w:szCs w:val="24"/>
        </w:rPr>
      </w:pPr>
    </w:p>
    <w:p w:rsidR="00D06D45" w:rsidRDefault="00D06D45"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Both options provide similar certainty and simplicity of rules for businesses going forward.  </w:t>
      </w:r>
      <w:r w:rsidR="009C58B0">
        <w:rPr>
          <w:rFonts w:ascii="Times New Roman" w:hAnsi="Times New Roman"/>
          <w:sz w:val="24"/>
          <w:szCs w:val="24"/>
        </w:rPr>
        <w:t>Option 2</w:t>
      </w:r>
      <w:r>
        <w:rPr>
          <w:rFonts w:ascii="Times New Roman" w:hAnsi="Times New Roman"/>
          <w:sz w:val="24"/>
          <w:szCs w:val="24"/>
        </w:rPr>
        <w:t xml:space="preserve"> provides more certainty in respect of past periods, as businesses have certainty about their past affairs.   </w:t>
      </w:r>
      <w:r w:rsidR="009C58B0">
        <w:rPr>
          <w:rFonts w:ascii="Times New Roman" w:hAnsi="Times New Roman"/>
          <w:sz w:val="24"/>
          <w:szCs w:val="24"/>
        </w:rPr>
        <w:t>Option 2</w:t>
      </w:r>
      <w:r>
        <w:rPr>
          <w:rFonts w:ascii="Times New Roman" w:hAnsi="Times New Roman"/>
          <w:sz w:val="24"/>
          <w:szCs w:val="24"/>
        </w:rPr>
        <w:t xml:space="preserve"> is fairer than </w:t>
      </w:r>
      <w:r w:rsidR="009C58B0">
        <w:rPr>
          <w:rFonts w:ascii="Times New Roman" w:hAnsi="Times New Roman"/>
          <w:sz w:val="24"/>
          <w:szCs w:val="24"/>
        </w:rPr>
        <w:t>Option 1</w:t>
      </w:r>
      <w:r>
        <w:rPr>
          <w:rFonts w:ascii="Times New Roman" w:hAnsi="Times New Roman"/>
          <w:sz w:val="24"/>
          <w:szCs w:val="24"/>
        </w:rPr>
        <w:t>, as it ensure</w:t>
      </w:r>
      <w:r w:rsidR="000443B2">
        <w:rPr>
          <w:rFonts w:ascii="Times New Roman" w:hAnsi="Times New Roman"/>
          <w:sz w:val="24"/>
          <w:szCs w:val="24"/>
        </w:rPr>
        <w:t xml:space="preserve">s that </w:t>
      </w:r>
      <w:r>
        <w:rPr>
          <w:rFonts w:ascii="Times New Roman" w:hAnsi="Times New Roman"/>
          <w:sz w:val="24"/>
          <w:szCs w:val="24"/>
        </w:rPr>
        <w:t>compliant businesses are not disadvantaged by reason of their compliance</w:t>
      </w:r>
      <w:r w:rsidR="000443B2">
        <w:rPr>
          <w:rFonts w:ascii="Times New Roman" w:hAnsi="Times New Roman"/>
          <w:sz w:val="24"/>
          <w:szCs w:val="24"/>
        </w:rPr>
        <w:t xml:space="preserve">, while both </w:t>
      </w:r>
      <w:r w:rsidR="009B26B8">
        <w:rPr>
          <w:rFonts w:ascii="Times New Roman" w:hAnsi="Times New Roman"/>
          <w:sz w:val="24"/>
          <w:szCs w:val="24"/>
        </w:rPr>
        <w:t xml:space="preserve">options </w:t>
      </w:r>
      <w:r w:rsidR="000443B2">
        <w:rPr>
          <w:rFonts w:ascii="Times New Roman" w:hAnsi="Times New Roman"/>
          <w:sz w:val="24"/>
          <w:szCs w:val="24"/>
        </w:rPr>
        <w:t xml:space="preserve">ensure that the correct amount of tax </w:t>
      </w:r>
      <w:r w:rsidR="001362F9">
        <w:rPr>
          <w:rFonts w:ascii="Times New Roman" w:hAnsi="Times New Roman"/>
          <w:sz w:val="24"/>
          <w:szCs w:val="24"/>
        </w:rPr>
        <w:t xml:space="preserve">(in a policy sense) </w:t>
      </w:r>
      <w:r w:rsidR="000443B2">
        <w:rPr>
          <w:rFonts w:ascii="Times New Roman" w:hAnsi="Times New Roman"/>
          <w:sz w:val="24"/>
          <w:szCs w:val="24"/>
        </w:rPr>
        <w:t>is collected</w:t>
      </w:r>
      <w:r>
        <w:rPr>
          <w:rFonts w:ascii="Times New Roman" w:hAnsi="Times New Roman"/>
          <w:sz w:val="24"/>
          <w:szCs w:val="24"/>
        </w:rPr>
        <w:t>.</w:t>
      </w:r>
    </w:p>
    <w:p w:rsidR="00B00DE4" w:rsidRDefault="00B00DE4" w:rsidP="009C149F">
      <w:pPr>
        <w:pStyle w:val="ListParagraph"/>
        <w:rPr>
          <w:rFonts w:ascii="Times New Roman" w:hAnsi="Times New Roman"/>
          <w:sz w:val="24"/>
          <w:szCs w:val="24"/>
        </w:rPr>
      </w:pPr>
    </w:p>
    <w:p w:rsidR="00B00DE4" w:rsidRDefault="00B00DE4"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On balance, </w:t>
      </w:r>
      <w:r w:rsidR="009C58B0">
        <w:rPr>
          <w:rFonts w:ascii="Times New Roman" w:hAnsi="Times New Roman"/>
          <w:sz w:val="24"/>
          <w:szCs w:val="24"/>
        </w:rPr>
        <w:t>Option 2</w:t>
      </w:r>
      <w:r>
        <w:rPr>
          <w:rFonts w:ascii="Times New Roman" w:hAnsi="Times New Roman"/>
          <w:sz w:val="24"/>
          <w:szCs w:val="24"/>
        </w:rPr>
        <w:t xml:space="preserve"> best meets the objectives, including being the option that best meets all three key objectives.  We therefore recommend this option.</w:t>
      </w:r>
    </w:p>
    <w:p w:rsidR="00D05759" w:rsidRDefault="00D05759" w:rsidP="00B91E3E">
      <w:pPr>
        <w:pStyle w:val="Bullet-list"/>
        <w:spacing w:after="0" w:line="240" w:lineRule="auto"/>
        <w:ind w:left="0" w:firstLine="0"/>
        <w:jc w:val="both"/>
        <w:rPr>
          <w:rFonts w:ascii="Times New Roman" w:hAnsi="Times New Roman"/>
          <w:sz w:val="24"/>
          <w:szCs w:val="24"/>
        </w:rPr>
      </w:pPr>
    </w:p>
    <w:p w:rsidR="00FD4053" w:rsidRDefault="00FD4053" w:rsidP="00B91E3E">
      <w:pPr>
        <w:pStyle w:val="Bullet-list"/>
        <w:spacing w:after="0" w:line="240" w:lineRule="auto"/>
        <w:ind w:left="0" w:firstLine="0"/>
        <w:jc w:val="both"/>
        <w:rPr>
          <w:rFonts w:ascii="Times New Roman" w:hAnsi="Times New Roman"/>
          <w:sz w:val="24"/>
          <w:szCs w:val="24"/>
        </w:rPr>
      </w:pPr>
    </w:p>
    <w:p w:rsidR="00FD4053" w:rsidRPr="006B2540" w:rsidRDefault="00683B49" w:rsidP="00B91E3E">
      <w:pPr>
        <w:pStyle w:val="Bullet-list"/>
        <w:spacing w:after="0" w:line="240" w:lineRule="auto"/>
        <w:jc w:val="both"/>
        <w:rPr>
          <w:rFonts w:ascii="Times New Roman" w:hAnsi="Times New Roman"/>
          <w:b/>
          <w:sz w:val="24"/>
          <w:szCs w:val="24"/>
        </w:rPr>
      </w:pPr>
      <w:r>
        <w:rPr>
          <w:rFonts w:ascii="Times New Roman" w:hAnsi="Times New Roman"/>
          <w:b/>
          <w:sz w:val="24"/>
          <w:szCs w:val="24"/>
        </w:rPr>
        <w:t xml:space="preserve">Item </w:t>
      </w:r>
      <w:r w:rsidR="008741A0">
        <w:rPr>
          <w:rFonts w:ascii="Times New Roman" w:hAnsi="Times New Roman"/>
          <w:b/>
          <w:sz w:val="24"/>
          <w:szCs w:val="24"/>
        </w:rPr>
        <w:t>D</w:t>
      </w:r>
      <w:r>
        <w:rPr>
          <w:rFonts w:ascii="Times New Roman" w:hAnsi="Times New Roman"/>
          <w:b/>
          <w:sz w:val="24"/>
          <w:szCs w:val="24"/>
        </w:rPr>
        <w:t>:</w:t>
      </w:r>
      <w:r w:rsidR="00EE5369">
        <w:rPr>
          <w:rFonts w:ascii="Times New Roman" w:hAnsi="Times New Roman"/>
          <w:b/>
          <w:sz w:val="24"/>
          <w:szCs w:val="24"/>
        </w:rPr>
        <w:t xml:space="preserve"> </w:t>
      </w:r>
      <w:r w:rsidR="00FD4053" w:rsidRPr="006B2540">
        <w:rPr>
          <w:rFonts w:ascii="Times New Roman" w:hAnsi="Times New Roman"/>
          <w:b/>
          <w:sz w:val="24"/>
          <w:szCs w:val="24"/>
        </w:rPr>
        <w:t>Services connected with land</w:t>
      </w:r>
    </w:p>
    <w:p w:rsidR="00625424" w:rsidRDefault="00625424" w:rsidP="00B91E3E">
      <w:pPr>
        <w:pStyle w:val="Bullet-list"/>
        <w:spacing w:after="0" w:line="240" w:lineRule="auto"/>
        <w:ind w:left="0" w:firstLine="0"/>
        <w:jc w:val="both"/>
        <w:rPr>
          <w:rFonts w:ascii="Times New Roman" w:hAnsi="Times New Roman"/>
          <w:sz w:val="24"/>
          <w:szCs w:val="24"/>
          <w:lang w:val="en-NZ"/>
        </w:rPr>
      </w:pPr>
    </w:p>
    <w:p w:rsidR="00625424" w:rsidRPr="00B91E3E" w:rsidRDefault="00625424" w:rsidP="00B91E3E">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Status quo and problem definition</w:t>
      </w:r>
    </w:p>
    <w:p w:rsidR="007977BA" w:rsidRDefault="007977BA" w:rsidP="009C149F">
      <w:pPr>
        <w:pStyle w:val="ListParagraph"/>
        <w:rPr>
          <w:rFonts w:ascii="Times New Roman" w:hAnsi="Times New Roman"/>
          <w:sz w:val="24"/>
          <w:szCs w:val="24"/>
        </w:rPr>
      </w:pPr>
    </w:p>
    <w:p w:rsidR="007977BA" w:rsidRDefault="007977BA"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Exceptions to the normal rules that tax services based on the location and residence of the recipient exist for services that are closely connected with land.  The International VAT/GST Guidelines published by the OECD (the “Guidelines”) recognise that certain supplies, closely connected with real property, may be taxed where that property is located.  These services are likely to fall into one of three categories:</w:t>
      </w:r>
    </w:p>
    <w:p w:rsidR="007977BA" w:rsidRPr="00245B58" w:rsidRDefault="007977BA" w:rsidP="009C149F">
      <w:pPr>
        <w:pStyle w:val="ListParagraph"/>
        <w:numPr>
          <w:ilvl w:val="0"/>
          <w:numId w:val="14"/>
        </w:numPr>
        <w:autoSpaceDE w:val="0"/>
        <w:autoSpaceDN w:val="0"/>
        <w:adjustRightInd w:val="0"/>
        <w:spacing w:before="120"/>
        <w:rPr>
          <w:rFonts w:ascii="Times New Roman" w:hAnsi="Times New Roman"/>
          <w:sz w:val="24"/>
          <w:szCs w:val="24"/>
          <w:lang w:val="en-AU"/>
        </w:rPr>
      </w:pPr>
      <w:r w:rsidRPr="00245B58">
        <w:rPr>
          <w:rFonts w:ascii="Times New Roman" w:hAnsi="Times New Roman"/>
          <w:sz w:val="24"/>
          <w:szCs w:val="24"/>
          <w:lang w:val="en-AU"/>
        </w:rPr>
        <w:t>the transfer, sale, lease or the right to use, occupy, enjoy or exploit immovable property,</w:t>
      </w:r>
    </w:p>
    <w:p w:rsidR="007977BA" w:rsidRPr="00245B58" w:rsidRDefault="007977BA" w:rsidP="009C149F">
      <w:pPr>
        <w:pStyle w:val="ListParagraph"/>
        <w:numPr>
          <w:ilvl w:val="0"/>
          <w:numId w:val="14"/>
        </w:numPr>
        <w:autoSpaceDE w:val="0"/>
        <w:autoSpaceDN w:val="0"/>
        <w:adjustRightInd w:val="0"/>
        <w:spacing w:before="120"/>
        <w:rPr>
          <w:rFonts w:ascii="Times New Roman" w:hAnsi="Times New Roman"/>
          <w:sz w:val="24"/>
          <w:szCs w:val="24"/>
          <w:lang w:val="en-AU"/>
        </w:rPr>
      </w:pPr>
      <w:r w:rsidRPr="00245B58">
        <w:rPr>
          <w:rFonts w:ascii="Times New Roman" w:hAnsi="Times New Roman"/>
          <w:sz w:val="24"/>
          <w:szCs w:val="24"/>
          <w:lang w:val="en-AU"/>
        </w:rPr>
        <w:t>supplies of services that are physically provided to the immovable property itself, such as constructing, altering and maintaining the immovable property, or</w:t>
      </w:r>
    </w:p>
    <w:p w:rsidR="007977BA" w:rsidRPr="00245B58" w:rsidRDefault="007977BA" w:rsidP="009C149F">
      <w:pPr>
        <w:pStyle w:val="ListParagraph"/>
        <w:numPr>
          <w:ilvl w:val="0"/>
          <w:numId w:val="14"/>
        </w:numPr>
        <w:spacing w:before="120"/>
      </w:pPr>
      <w:proofErr w:type="gramStart"/>
      <w:r w:rsidRPr="00245B58">
        <w:rPr>
          <w:rFonts w:ascii="Times New Roman" w:hAnsi="Times New Roman"/>
          <w:sz w:val="24"/>
          <w:szCs w:val="24"/>
          <w:lang w:val="en-AU"/>
        </w:rPr>
        <w:t>other</w:t>
      </w:r>
      <w:proofErr w:type="gramEnd"/>
      <w:r w:rsidRPr="00245B58">
        <w:rPr>
          <w:rFonts w:ascii="Times New Roman" w:hAnsi="Times New Roman"/>
          <w:sz w:val="24"/>
          <w:szCs w:val="24"/>
          <w:lang w:val="en-AU"/>
        </w:rPr>
        <w:t xml:space="preserve"> supplies of services and intangibles that do not fall within the first two categories but</w:t>
      </w:r>
      <w:r>
        <w:rPr>
          <w:rFonts w:ascii="Times New Roman" w:hAnsi="Times New Roman"/>
          <w:sz w:val="24"/>
          <w:szCs w:val="24"/>
          <w:lang w:val="en-AU"/>
        </w:rPr>
        <w:t xml:space="preserve"> </w:t>
      </w:r>
      <w:r w:rsidRPr="00245B58">
        <w:rPr>
          <w:rFonts w:ascii="Times New Roman" w:hAnsi="Times New Roman"/>
          <w:sz w:val="24"/>
          <w:szCs w:val="24"/>
          <w:lang w:val="en-AU"/>
        </w:rPr>
        <w:t>where there is a very close, clear and obvious link or association with the immovable property.</w:t>
      </w:r>
    </w:p>
    <w:p w:rsidR="007977BA" w:rsidRPr="00074F2D" w:rsidRDefault="007977BA" w:rsidP="009C149F">
      <w:pPr>
        <w:pStyle w:val="ListParagraph"/>
        <w:rPr>
          <w:rFonts w:ascii="Times New Roman" w:hAnsi="Times New Roman"/>
          <w:sz w:val="24"/>
          <w:szCs w:val="24"/>
        </w:rPr>
      </w:pPr>
    </w:p>
    <w:p w:rsidR="007977BA" w:rsidRDefault="007977BA"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For services to have a sufficiently close connection with land, the Guidelines suggest that the connection with the land must be at the heart of the supply of services and constitute its predominant characteristic,</w:t>
      </w:r>
      <w:r w:rsidRPr="00E0388D">
        <w:rPr>
          <w:rStyle w:val="FootnoteReference"/>
          <w:rFonts w:ascii="Times New Roman" w:hAnsi="Times New Roman"/>
          <w:szCs w:val="24"/>
        </w:rPr>
        <w:footnoteReference w:id="2"/>
      </w:r>
      <w:r>
        <w:rPr>
          <w:rFonts w:ascii="Times New Roman" w:hAnsi="Times New Roman"/>
          <w:sz w:val="24"/>
          <w:szCs w:val="24"/>
        </w:rPr>
        <w:t xml:space="preserve"> and the associated land must be clearly identifiable.</w:t>
      </w:r>
      <w:r w:rsidRPr="001C4B87">
        <w:rPr>
          <w:rStyle w:val="FootnoteReference"/>
          <w:rFonts w:ascii="Times New Roman" w:hAnsi="Times New Roman"/>
          <w:szCs w:val="24"/>
        </w:rPr>
        <w:footnoteReference w:id="3"/>
      </w:r>
      <w:r>
        <w:rPr>
          <w:rFonts w:ascii="Times New Roman" w:hAnsi="Times New Roman"/>
          <w:sz w:val="24"/>
          <w:szCs w:val="24"/>
        </w:rPr>
        <w:t xml:space="preserve"> </w:t>
      </w:r>
    </w:p>
    <w:p w:rsidR="007977BA" w:rsidRDefault="007977BA" w:rsidP="00B91E3E">
      <w:pPr>
        <w:pStyle w:val="Bullet-list"/>
        <w:spacing w:after="0" w:line="240" w:lineRule="auto"/>
        <w:ind w:left="0" w:firstLine="0"/>
        <w:jc w:val="both"/>
        <w:rPr>
          <w:rFonts w:ascii="Times New Roman" w:hAnsi="Times New Roman"/>
          <w:sz w:val="24"/>
          <w:szCs w:val="24"/>
        </w:rPr>
      </w:pPr>
    </w:p>
    <w:p w:rsidR="007977BA" w:rsidRDefault="007977BA"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New Zealand</w:t>
      </w:r>
      <w:r w:rsidR="001362F9">
        <w:rPr>
          <w:rFonts w:ascii="Times New Roman" w:hAnsi="Times New Roman"/>
          <w:sz w:val="24"/>
          <w:szCs w:val="24"/>
        </w:rPr>
        <w:t xml:space="preserve"> to some extent</w:t>
      </w:r>
      <w:r>
        <w:rPr>
          <w:rFonts w:ascii="Times New Roman" w:hAnsi="Times New Roman"/>
          <w:sz w:val="24"/>
          <w:szCs w:val="24"/>
        </w:rPr>
        <w:t xml:space="preserve"> follows this approach of taxing services with a close relation</w:t>
      </w:r>
      <w:r w:rsidR="001362F9">
        <w:rPr>
          <w:rFonts w:ascii="Times New Roman" w:hAnsi="Times New Roman"/>
          <w:sz w:val="24"/>
          <w:szCs w:val="24"/>
        </w:rPr>
        <w:t>ship</w:t>
      </w:r>
      <w:r>
        <w:rPr>
          <w:rFonts w:ascii="Times New Roman" w:hAnsi="Times New Roman"/>
          <w:sz w:val="24"/>
          <w:szCs w:val="24"/>
        </w:rPr>
        <w:t xml:space="preserve"> to the land.  The GST Act contains two relevant provisions, which create special treatment for services connected to land:</w:t>
      </w:r>
    </w:p>
    <w:p w:rsidR="007977BA" w:rsidRPr="00F51496" w:rsidRDefault="007977BA" w:rsidP="00B91E3E">
      <w:pPr>
        <w:pStyle w:val="Bullet-list"/>
        <w:numPr>
          <w:ilvl w:val="0"/>
          <w:numId w:val="23"/>
        </w:numPr>
        <w:spacing w:before="120" w:after="0" w:line="240" w:lineRule="auto"/>
        <w:jc w:val="both"/>
        <w:rPr>
          <w:rFonts w:ascii="Times New Roman" w:hAnsi="Times New Roman"/>
          <w:sz w:val="24"/>
          <w:szCs w:val="24"/>
        </w:rPr>
      </w:pPr>
      <w:r>
        <w:rPr>
          <w:rFonts w:ascii="Times New Roman" w:hAnsi="Times New Roman"/>
          <w:sz w:val="24"/>
          <w:szCs w:val="24"/>
        </w:rPr>
        <w:t>Supplies of services to non-residents, located outside New Zealand, (which are generally not taxable) may be taxed where the services are provided “directly in connection” with land in New Zealand (section 11A(1)(k)(i)</w:t>
      </w:r>
      <w:r w:rsidR="008C0280">
        <w:rPr>
          <w:rFonts w:ascii="Times New Roman" w:hAnsi="Times New Roman"/>
          <w:sz w:val="24"/>
          <w:szCs w:val="24"/>
        </w:rPr>
        <w:t>(A)</w:t>
      </w:r>
      <w:r w:rsidR="009B26B8">
        <w:rPr>
          <w:rFonts w:ascii="Times New Roman" w:hAnsi="Times New Roman"/>
          <w:sz w:val="24"/>
          <w:szCs w:val="24"/>
        </w:rPr>
        <w:t>)</w:t>
      </w:r>
      <w:r>
        <w:rPr>
          <w:rFonts w:ascii="Times New Roman" w:hAnsi="Times New Roman"/>
          <w:sz w:val="24"/>
          <w:szCs w:val="24"/>
        </w:rPr>
        <w:t>;</w:t>
      </w:r>
      <w:r w:rsidR="008C0280">
        <w:rPr>
          <w:rFonts w:ascii="Times New Roman" w:hAnsi="Times New Roman"/>
          <w:sz w:val="24"/>
          <w:szCs w:val="24"/>
        </w:rPr>
        <w:t xml:space="preserve"> and</w:t>
      </w:r>
    </w:p>
    <w:p w:rsidR="007977BA" w:rsidRDefault="007977BA" w:rsidP="00B91E3E">
      <w:pPr>
        <w:pStyle w:val="Bullet-list"/>
        <w:numPr>
          <w:ilvl w:val="0"/>
          <w:numId w:val="23"/>
        </w:numPr>
        <w:spacing w:before="120" w:after="0" w:line="240" w:lineRule="auto"/>
        <w:jc w:val="both"/>
        <w:rPr>
          <w:rFonts w:ascii="Times New Roman" w:hAnsi="Times New Roman"/>
          <w:sz w:val="24"/>
          <w:szCs w:val="24"/>
        </w:rPr>
      </w:pPr>
      <w:r>
        <w:rPr>
          <w:rFonts w:ascii="Times New Roman" w:hAnsi="Times New Roman"/>
          <w:sz w:val="24"/>
          <w:szCs w:val="24"/>
        </w:rPr>
        <w:t xml:space="preserve">Supplies of services “directly in connection” with land outside New Zealand are not taxed (section </w:t>
      </w:r>
      <w:proofErr w:type="gramStart"/>
      <w:r>
        <w:rPr>
          <w:rFonts w:ascii="Times New Roman" w:hAnsi="Times New Roman"/>
          <w:sz w:val="24"/>
          <w:szCs w:val="24"/>
        </w:rPr>
        <w:t>11A(</w:t>
      </w:r>
      <w:proofErr w:type="gramEnd"/>
      <w:r>
        <w:rPr>
          <w:rFonts w:ascii="Times New Roman" w:hAnsi="Times New Roman"/>
          <w:sz w:val="24"/>
          <w:szCs w:val="24"/>
        </w:rPr>
        <w:t>1)(</w:t>
      </w:r>
      <w:r w:rsidR="008C0280">
        <w:rPr>
          <w:rFonts w:ascii="Times New Roman" w:hAnsi="Times New Roman"/>
          <w:sz w:val="24"/>
          <w:szCs w:val="24"/>
        </w:rPr>
        <w:t>e</w:t>
      </w:r>
      <w:r>
        <w:rPr>
          <w:rFonts w:ascii="Times New Roman" w:hAnsi="Times New Roman"/>
          <w:sz w:val="24"/>
          <w:szCs w:val="24"/>
        </w:rPr>
        <w:t>)</w:t>
      </w:r>
      <w:r w:rsidR="009B26B8">
        <w:rPr>
          <w:rFonts w:ascii="Times New Roman" w:hAnsi="Times New Roman"/>
          <w:sz w:val="24"/>
          <w:szCs w:val="24"/>
        </w:rPr>
        <w:t>)</w:t>
      </w:r>
      <w:r>
        <w:rPr>
          <w:rFonts w:ascii="Times New Roman" w:hAnsi="Times New Roman"/>
          <w:sz w:val="24"/>
          <w:szCs w:val="24"/>
        </w:rPr>
        <w:t>.</w:t>
      </w:r>
    </w:p>
    <w:p w:rsidR="00F8133F" w:rsidRPr="006B2540" w:rsidRDefault="00F8133F" w:rsidP="00B91E3E">
      <w:pPr>
        <w:pStyle w:val="Bullet-list"/>
        <w:spacing w:after="0" w:line="240" w:lineRule="auto"/>
        <w:ind w:left="0" w:firstLine="0"/>
        <w:jc w:val="both"/>
        <w:rPr>
          <w:rFonts w:ascii="Times New Roman" w:hAnsi="Times New Roman"/>
          <w:i/>
          <w:sz w:val="24"/>
          <w:szCs w:val="24"/>
        </w:rPr>
      </w:pPr>
    </w:p>
    <w:p w:rsidR="005A0013"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F55D65">
        <w:rPr>
          <w:rFonts w:ascii="Times New Roman" w:hAnsi="Times New Roman"/>
          <w:sz w:val="24"/>
          <w:szCs w:val="24"/>
        </w:rPr>
        <w:t>The meaning of the “directly in connection with” test</w:t>
      </w:r>
      <w:r>
        <w:rPr>
          <w:rFonts w:ascii="Times New Roman" w:hAnsi="Times New Roman"/>
          <w:sz w:val="24"/>
          <w:szCs w:val="24"/>
        </w:rPr>
        <w:t>, which is used to determine whether certain services with a close connection with land are taxable in New Zealand,</w:t>
      </w:r>
      <w:r w:rsidRPr="00F55D65">
        <w:rPr>
          <w:rFonts w:ascii="Times New Roman" w:hAnsi="Times New Roman"/>
          <w:sz w:val="24"/>
          <w:szCs w:val="24"/>
        </w:rPr>
        <w:t xml:space="preserve"> has been considered in cases such as </w:t>
      </w:r>
      <w:r w:rsidRPr="00F55D65">
        <w:rPr>
          <w:rFonts w:ascii="Times New Roman" w:hAnsi="Times New Roman"/>
          <w:i/>
          <w:sz w:val="24"/>
          <w:szCs w:val="24"/>
        </w:rPr>
        <w:t>Malololailai Interval Holidays New Zealand Ltd v CIR</w:t>
      </w:r>
      <w:r w:rsidRPr="00F55D65">
        <w:rPr>
          <w:rStyle w:val="FootnoteReference"/>
          <w:rFonts w:ascii="Times New Roman" w:hAnsi="Times New Roman"/>
          <w:i/>
          <w:szCs w:val="24"/>
        </w:rPr>
        <w:footnoteReference w:id="4"/>
      </w:r>
      <w:r w:rsidRPr="00F55D65">
        <w:rPr>
          <w:rFonts w:ascii="Times New Roman" w:hAnsi="Times New Roman"/>
          <w:i/>
          <w:sz w:val="24"/>
          <w:szCs w:val="24"/>
        </w:rPr>
        <w:t xml:space="preserve"> </w:t>
      </w:r>
      <w:r w:rsidRPr="00F55D65">
        <w:rPr>
          <w:rFonts w:ascii="Times New Roman" w:hAnsi="Times New Roman"/>
          <w:sz w:val="24"/>
          <w:szCs w:val="24"/>
        </w:rPr>
        <w:t xml:space="preserve">and </w:t>
      </w:r>
      <w:r w:rsidRPr="00F55D65">
        <w:rPr>
          <w:rFonts w:ascii="Times New Roman" w:hAnsi="Times New Roman"/>
          <w:i/>
          <w:sz w:val="24"/>
          <w:szCs w:val="24"/>
        </w:rPr>
        <w:t>Wilson &amp; Horton v CIR</w:t>
      </w:r>
      <w:r w:rsidRPr="00F55D65">
        <w:rPr>
          <w:rStyle w:val="FootnoteReference"/>
          <w:rFonts w:ascii="Times New Roman" w:hAnsi="Times New Roman"/>
          <w:i/>
          <w:szCs w:val="24"/>
        </w:rPr>
        <w:footnoteReference w:id="5"/>
      </w:r>
      <w:r w:rsidRPr="00F55D65">
        <w:rPr>
          <w:rFonts w:ascii="Times New Roman" w:hAnsi="Times New Roman"/>
          <w:i/>
          <w:szCs w:val="24"/>
        </w:rPr>
        <w:t xml:space="preserve">. </w:t>
      </w:r>
      <w:r w:rsidRPr="00F55D65">
        <w:rPr>
          <w:rFonts w:ascii="Times New Roman" w:hAnsi="Times New Roman"/>
          <w:sz w:val="24"/>
          <w:szCs w:val="24"/>
        </w:rPr>
        <w:t>The courts have found that a service will not be supplied directly in connection with land when the service merely brings about or facilitates a transaction with a direct effect on land, or when the service could be described as being “one step removed” from such a transaction.</w:t>
      </w:r>
    </w:p>
    <w:p w:rsidR="005A0013" w:rsidRPr="00F55D65" w:rsidRDefault="005A0013" w:rsidP="00B91E3E">
      <w:pPr>
        <w:pStyle w:val="Bullet-list"/>
        <w:spacing w:after="0" w:line="240" w:lineRule="auto"/>
        <w:ind w:left="0" w:firstLine="0"/>
        <w:jc w:val="both"/>
        <w:rPr>
          <w:rFonts w:ascii="Times New Roman" w:hAnsi="Times New Roman"/>
          <w:sz w:val="24"/>
          <w:szCs w:val="24"/>
        </w:rPr>
      </w:pPr>
    </w:p>
    <w:p w:rsidR="005A0013" w:rsidRPr="00A124A7"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124A7">
        <w:rPr>
          <w:rFonts w:ascii="Times New Roman" w:hAnsi="Times New Roman"/>
          <w:sz w:val="24"/>
          <w:szCs w:val="24"/>
        </w:rPr>
        <w:t xml:space="preserve">A consequence of this interpretation is that a number of services that have a close connection to land may not fall within the scope of these provisions. It is clear that services that have a direct physical effect on land, such as landscaping or construction services, will satisfy the “directly connected with” test under this interpretation. However, it is less clear how the test applies to professional or intellectual services that do not have a direct physical effect on land. </w:t>
      </w:r>
    </w:p>
    <w:p w:rsidR="005A0013" w:rsidRPr="00532AAA" w:rsidRDefault="005A0013" w:rsidP="00B91E3E">
      <w:pPr>
        <w:pStyle w:val="Bullet-list"/>
        <w:tabs>
          <w:tab w:val="num" w:pos="567"/>
        </w:tabs>
        <w:spacing w:after="0" w:line="240" w:lineRule="auto"/>
        <w:ind w:left="0" w:firstLine="0"/>
        <w:jc w:val="both"/>
        <w:rPr>
          <w:rFonts w:ascii="Times New Roman" w:hAnsi="Times New Roman"/>
          <w:sz w:val="24"/>
          <w:szCs w:val="24"/>
        </w:rPr>
      </w:pPr>
    </w:p>
    <w:p w:rsidR="005A0013" w:rsidRPr="00532AAA"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32AAA">
        <w:rPr>
          <w:rFonts w:ascii="Times New Roman" w:hAnsi="Times New Roman"/>
          <w:sz w:val="24"/>
          <w:szCs w:val="24"/>
        </w:rPr>
        <w:t xml:space="preserve">Inland Revenue has issued a Public Ruling that legal services provided in respect of land in New Zealand do not meet the test of being supplied “directly in connection with” land, and therefore </w:t>
      </w:r>
      <w:r w:rsidR="00DB7F73">
        <w:rPr>
          <w:rFonts w:ascii="Times New Roman" w:hAnsi="Times New Roman"/>
          <w:sz w:val="24"/>
          <w:szCs w:val="24"/>
        </w:rPr>
        <w:t>are</w:t>
      </w:r>
      <w:r w:rsidRPr="00532AAA">
        <w:rPr>
          <w:rFonts w:ascii="Times New Roman" w:hAnsi="Times New Roman"/>
          <w:sz w:val="24"/>
          <w:szCs w:val="24"/>
        </w:rPr>
        <w:t xml:space="preserve"> zero-rated under section 11A(1)(k) when supplied to offshore non-residents.</w:t>
      </w:r>
      <w:r w:rsidRPr="00532AAA">
        <w:rPr>
          <w:rStyle w:val="FootnoteReference"/>
          <w:rFonts w:ascii="Times New Roman" w:hAnsi="Times New Roman"/>
          <w:szCs w:val="24"/>
        </w:rPr>
        <w:footnoteReference w:id="6"/>
      </w:r>
      <w:r w:rsidRPr="00532AAA">
        <w:rPr>
          <w:rFonts w:ascii="Times New Roman" w:hAnsi="Times New Roman"/>
          <w:sz w:val="24"/>
          <w:szCs w:val="24"/>
        </w:rPr>
        <w:t xml:space="preserve"> For example, legal services that facilitate the change of ownership of land, such as the drafting of a sale and purchase agreement, </w:t>
      </w:r>
      <w:r>
        <w:rPr>
          <w:rFonts w:ascii="Times New Roman" w:hAnsi="Times New Roman"/>
          <w:sz w:val="24"/>
          <w:szCs w:val="24"/>
        </w:rPr>
        <w:t>are</w:t>
      </w:r>
      <w:r w:rsidRPr="00532AAA">
        <w:rPr>
          <w:rFonts w:ascii="Times New Roman" w:hAnsi="Times New Roman"/>
          <w:sz w:val="24"/>
          <w:szCs w:val="24"/>
        </w:rPr>
        <w:t xml:space="preserve"> zero-rated as the service is “one step removed” from the direct transaction between the vendor and the purchaser.</w:t>
      </w:r>
    </w:p>
    <w:p w:rsidR="005A0013" w:rsidRPr="00532AAA" w:rsidRDefault="005A0013" w:rsidP="00B91E3E">
      <w:pPr>
        <w:pStyle w:val="Bullet-list"/>
        <w:spacing w:after="0" w:line="240" w:lineRule="auto"/>
        <w:ind w:left="0" w:firstLine="0"/>
        <w:jc w:val="both"/>
        <w:rPr>
          <w:rFonts w:ascii="Times New Roman" w:hAnsi="Times New Roman"/>
          <w:sz w:val="24"/>
          <w:szCs w:val="24"/>
        </w:rPr>
      </w:pPr>
    </w:p>
    <w:p w:rsidR="005A0013" w:rsidRPr="00532AAA"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32AAA">
        <w:rPr>
          <w:rFonts w:ascii="Times New Roman" w:hAnsi="Times New Roman"/>
          <w:sz w:val="24"/>
          <w:szCs w:val="24"/>
        </w:rPr>
        <w:t>Other professional or intellectual services could also fall outside the scope of the specific rule under this interpretation. For example, services provided by an architect could be considered to be “one step removed” from a direct transaction, being the construction of a building.</w:t>
      </w:r>
      <w:r w:rsidR="00B3259B">
        <w:rPr>
          <w:rFonts w:ascii="Times New Roman" w:hAnsi="Times New Roman"/>
          <w:sz w:val="24"/>
          <w:szCs w:val="24"/>
        </w:rPr>
        <w:t xml:space="preserve"> </w:t>
      </w:r>
      <w:r w:rsidRPr="00532AAA">
        <w:rPr>
          <w:rFonts w:ascii="Times New Roman" w:hAnsi="Times New Roman"/>
          <w:sz w:val="24"/>
          <w:szCs w:val="24"/>
        </w:rPr>
        <w:t xml:space="preserve"> Similarly, services provided by real estate agents in facilitating a change in ownership of land could be “one step removed” from </w:t>
      </w:r>
      <w:r w:rsidR="001362F9">
        <w:rPr>
          <w:rFonts w:ascii="Times New Roman" w:hAnsi="Times New Roman"/>
          <w:sz w:val="24"/>
          <w:szCs w:val="24"/>
        </w:rPr>
        <w:t>having</w:t>
      </w:r>
      <w:r w:rsidRPr="00532AAA">
        <w:rPr>
          <w:rFonts w:ascii="Times New Roman" w:hAnsi="Times New Roman"/>
          <w:sz w:val="24"/>
          <w:szCs w:val="24"/>
        </w:rPr>
        <w:t xml:space="preserve"> a direct effect on land. </w:t>
      </w:r>
      <w:r w:rsidR="002424F2">
        <w:rPr>
          <w:rFonts w:ascii="Times New Roman" w:hAnsi="Times New Roman"/>
          <w:sz w:val="24"/>
          <w:szCs w:val="24"/>
        </w:rPr>
        <w:t xml:space="preserve"> </w:t>
      </w:r>
    </w:p>
    <w:p w:rsidR="005A0013" w:rsidRPr="00532AAA" w:rsidRDefault="005A0013" w:rsidP="00B91E3E">
      <w:pPr>
        <w:pStyle w:val="Bullet-list"/>
        <w:spacing w:after="0" w:line="240" w:lineRule="auto"/>
        <w:ind w:left="0" w:firstLine="0"/>
        <w:jc w:val="both"/>
        <w:rPr>
          <w:rFonts w:ascii="Times New Roman" w:hAnsi="Times New Roman"/>
          <w:sz w:val="24"/>
          <w:szCs w:val="24"/>
        </w:rPr>
      </w:pPr>
    </w:p>
    <w:p w:rsidR="005A0013" w:rsidRPr="00532AAA" w:rsidRDefault="007977BA"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Such a result </w:t>
      </w:r>
      <w:r w:rsidR="001362F9">
        <w:rPr>
          <w:rFonts w:ascii="Times New Roman" w:hAnsi="Times New Roman"/>
          <w:sz w:val="24"/>
          <w:szCs w:val="24"/>
        </w:rPr>
        <w:t xml:space="preserve">seems to </w:t>
      </w:r>
      <w:r>
        <w:rPr>
          <w:rFonts w:ascii="Times New Roman" w:hAnsi="Times New Roman"/>
          <w:sz w:val="24"/>
          <w:szCs w:val="24"/>
        </w:rPr>
        <w:t xml:space="preserve">be </w:t>
      </w:r>
      <w:r w:rsidR="005A0013" w:rsidRPr="00532AAA">
        <w:rPr>
          <w:rFonts w:ascii="Times New Roman" w:hAnsi="Times New Roman"/>
          <w:sz w:val="24"/>
          <w:szCs w:val="24"/>
        </w:rPr>
        <w:t xml:space="preserve">inconsistent with the policy intent of the provision. The test was intended to treat services that have a strong connection with land as effectively being consumed where the land is located. It was intended to encompass all services that are closely related to land, rather than to create a distinction between services that have a physical effect on land and those that </w:t>
      </w:r>
      <w:r w:rsidR="005A0013">
        <w:rPr>
          <w:rFonts w:ascii="Times New Roman" w:hAnsi="Times New Roman"/>
          <w:sz w:val="24"/>
          <w:szCs w:val="24"/>
        </w:rPr>
        <w:t>bring about or facilitate such a transaction.</w:t>
      </w:r>
    </w:p>
    <w:p w:rsidR="005A0013" w:rsidRPr="00532AAA" w:rsidRDefault="005A0013" w:rsidP="00B91E3E">
      <w:pPr>
        <w:pStyle w:val="Bullet-list"/>
        <w:spacing w:after="0" w:line="240" w:lineRule="auto"/>
        <w:ind w:left="0" w:firstLine="0"/>
        <w:jc w:val="both"/>
        <w:rPr>
          <w:rFonts w:ascii="Times New Roman" w:hAnsi="Times New Roman"/>
          <w:sz w:val="24"/>
          <w:szCs w:val="24"/>
        </w:rPr>
      </w:pPr>
    </w:p>
    <w:p w:rsidR="005A0013" w:rsidRPr="00532AAA" w:rsidRDefault="005A0013" w:rsidP="00B91E3E">
      <w:pPr>
        <w:pStyle w:val="Bullet-list"/>
        <w:numPr>
          <w:ilvl w:val="0"/>
          <w:numId w:val="2"/>
        </w:numPr>
        <w:spacing w:after="0" w:line="240" w:lineRule="auto"/>
        <w:ind w:left="0" w:firstLine="0"/>
        <w:jc w:val="both"/>
        <w:rPr>
          <w:rFonts w:ascii="Times New Roman" w:hAnsi="Times New Roman"/>
          <w:sz w:val="24"/>
          <w:szCs w:val="24"/>
        </w:rPr>
      </w:pPr>
      <w:r w:rsidRPr="00532AAA">
        <w:rPr>
          <w:rFonts w:ascii="Times New Roman" w:hAnsi="Times New Roman"/>
          <w:sz w:val="24"/>
          <w:szCs w:val="24"/>
        </w:rPr>
        <w:t>Another consequence of the interpretation is that New Zealand’s specific rule is out of step with international practice, which may lead to double taxation or non-taxation of cross-border services that are connected with land.</w:t>
      </w:r>
    </w:p>
    <w:p w:rsidR="005A0013" w:rsidRPr="00532AAA" w:rsidRDefault="005A0013" w:rsidP="00B91E3E">
      <w:pPr>
        <w:pStyle w:val="Bullet-list"/>
        <w:spacing w:after="0" w:line="240" w:lineRule="auto"/>
        <w:ind w:left="0" w:firstLine="0"/>
        <w:jc w:val="both"/>
        <w:rPr>
          <w:rFonts w:ascii="Times New Roman" w:hAnsi="Times New Roman"/>
          <w:sz w:val="24"/>
          <w:szCs w:val="24"/>
        </w:rPr>
      </w:pPr>
    </w:p>
    <w:p w:rsidR="005A0013" w:rsidRPr="00532AAA"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32AAA">
        <w:rPr>
          <w:rFonts w:ascii="Times New Roman" w:hAnsi="Times New Roman"/>
          <w:sz w:val="24"/>
          <w:szCs w:val="24"/>
        </w:rPr>
        <w:t xml:space="preserve">Equivalent provisions in Australia, Canada and the European Union apply to a broader range of services that are connected with land, as their tests consider whether there is a direct relationship between the purpose or objective of a service and land. In these jurisdictions, legal, architectural and real estate agent services </w:t>
      </w:r>
      <w:r w:rsidR="00DB7F73">
        <w:rPr>
          <w:rFonts w:ascii="Times New Roman" w:hAnsi="Times New Roman"/>
          <w:sz w:val="24"/>
          <w:szCs w:val="24"/>
        </w:rPr>
        <w:t>are</w:t>
      </w:r>
      <w:r w:rsidRPr="00532AAA">
        <w:rPr>
          <w:rFonts w:ascii="Times New Roman" w:hAnsi="Times New Roman"/>
          <w:sz w:val="24"/>
          <w:szCs w:val="24"/>
        </w:rPr>
        <w:t xml:space="preserve"> treated as having a sufficient connection with land where this test is satisfied in relation to a particular property. </w:t>
      </w:r>
      <w:r w:rsidR="00B3259B">
        <w:rPr>
          <w:rFonts w:ascii="Times New Roman" w:hAnsi="Times New Roman"/>
          <w:sz w:val="24"/>
          <w:szCs w:val="24"/>
        </w:rPr>
        <w:t xml:space="preserve"> (</w:t>
      </w:r>
      <w:r w:rsidRPr="00532AAA">
        <w:rPr>
          <w:rFonts w:ascii="Times New Roman" w:hAnsi="Times New Roman"/>
          <w:sz w:val="24"/>
          <w:szCs w:val="24"/>
        </w:rPr>
        <w:t xml:space="preserve">However, the Australian Taxation Office considers that, following the interpretation in </w:t>
      </w:r>
      <w:r w:rsidRPr="00532AAA">
        <w:rPr>
          <w:rFonts w:ascii="Times New Roman" w:hAnsi="Times New Roman"/>
          <w:i/>
          <w:sz w:val="24"/>
          <w:szCs w:val="24"/>
        </w:rPr>
        <w:t>Malololailai,</w:t>
      </w:r>
      <w:r w:rsidRPr="00532AAA">
        <w:rPr>
          <w:rFonts w:ascii="Times New Roman" w:hAnsi="Times New Roman"/>
          <w:sz w:val="24"/>
          <w:szCs w:val="24"/>
        </w:rPr>
        <w:t xml:space="preserve"> the services of a real estate agent will not be considered to be directly connected to real property if the agent merely markets the property to willing purchasers.</w:t>
      </w:r>
      <w:r w:rsidR="00B3259B">
        <w:rPr>
          <w:rFonts w:ascii="Times New Roman" w:hAnsi="Times New Roman"/>
          <w:sz w:val="24"/>
          <w:szCs w:val="24"/>
        </w:rPr>
        <w:t>)</w:t>
      </w:r>
    </w:p>
    <w:p w:rsidR="005A0013" w:rsidRPr="00532AAA" w:rsidRDefault="005A0013" w:rsidP="00B91E3E">
      <w:pPr>
        <w:pStyle w:val="Bullet-list"/>
        <w:spacing w:after="0" w:line="240" w:lineRule="auto"/>
        <w:ind w:left="0" w:firstLine="0"/>
        <w:jc w:val="both"/>
        <w:rPr>
          <w:rFonts w:ascii="Times New Roman" w:hAnsi="Times New Roman"/>
          <w:sz w:val="24"/>
          <w:szCs w:val="24"/>
        </w:rPr>
      </w:pPr>
    </w:p>
    <w:p w:rsidR="005A0013" w:rsidRPr="00532AAA"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32AAA">
        <w:rPr>
          <w:rFonts w:ascii="Times New Roman" w:hAnsi="Times New Roman"/>
          <w:sz w:val="24"/>
          <w:szCs w:val="24"/>
        </w:rPr>
        <w:t>Double taxation or non-taxation may arise when New Zealand’s specific rule does not capture similar services to those in other jurisdictions. For example, a service provided by a New Zealand lawyer to a New Zealand resident in relation to land outside New Zealand could be taxed in both jurisdictions. Conversely, a service provided by a New Zealand</w:t>
      </w:r>
      <w:r w:rsidR="00CF241C">
        <w:rPr>
          <w:rFonts w:ascii="Times New Roman" w:hAnsi="Times New Roman"/>
          <w:sz w:val="24"/>
          <w:szCs w:val="24"/>
        </w:rPr>
        <w:t xml:space="preserve"> lawyer </w:t>
      </w:r>
      <w:r w:rsidRPr="00532AAA">
        <w:rPr>
          <w:rFonts w:ascii="Times New Roman" w:hAnsi="Times New Roman"/>
          <w:sz w:val="24"/>
          <w:szCs w:val="24"/>
        </w:rPr>
        <w:t xml:space="preserve">in relation to </w:t>
      </w:r>
      <w:r w:rsidR="00CF241C">
        <w:rPr>
          <w:rFonts w:ascii="Times New Roman" w:hAnsi="Times New Roman"/>
          <w:sz w:val="24"/>
          <w:szCs w:val="24"/>
        </w:rPr>
        <w:t xml:space="preserve">the purchase of </w:t>
      </w:r>
      <w:r w:rsidRPr="00532AAA">
        <w:rPr>
          <w:rFonts w:ascii="Times New Roman" w:hAnsi="Times New Roman"/>
          <w:sz w:val="24"/>
          <w:szCs w:val="24"/>
        </w:rPr>
        <w:t xml:space="preserve">land in New Zealand may not be taxed in either jurisdiction, if the recipient is a non-resident who is outside New Zealand. </w:t>
      </w:r>
      <w:r w:rsidR="00CF241C">
        <w:rPr>
          <w:rFonts w:ascii="Times New Roman" w:hAnsi="Times New Roman"/>
          <w:sz w:val="24"/>
          <w:szCs w:val="24"/>
        </w:rPr>
        <w:t xml:space="preserve"> In contrast, a resident acquiring the same service, in respect of the same land in New Zealand, would incur GST.</w:t>
      </w:r>
    </w:p>
    <w:p w:rsidR="005A0013" w:rsidRPr="00532AAA" w:rsidRDefault="005A0013" w:rsidP="00B91E3E">
      <w:pPr>
        <w:pStyle w:val="Bullet-list"/>
        <w:spacing w:after="0" w:line="240" w:lineRule="auto"/>
        <w:ind w:left="0" w:firstLine="0"/>
        <w:jc w:val="both"/>
        <w:rPr>
          <w:rFonts w:ascii="Times New Roman" w:hAnsi="Times New Roman"/>
          <w:sz w:val="24"/>
          <w:szCs w:val="24"/>
        </w:rPr>
      </w:pPr>
    </w:p>
    <w:p w:rsidR="005A0013" w:rsidRDefault="005A0013"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32AAA">
        <w:rPr>
          <w:rFonts w:ascii="Times New Roman" w:hAnsi="Times New Roman"/>
          <w:sz w:val="24"/>
          <w:szCs w:val="24"/>
        </w:rPr>
        <w:t>The application of the specific rule for services that are received by non-residents is limited by the broad definition of “resident” that applies for GST purposes. Under the GST Act, a “resident” includes a person who carries on a taxable activity or any other activity in New Zealand, while having a fixed or permanent place in New Zealand relating to that activity. This means that services will generally already be taxed in New Zealand when they are supplied to a person who carries on an activity of developing, dividing or dealing in land, or residential or commercial rental of a property in New Zealand. The potentially narrow scope of the specific rule could lead to additional complexity for service providers, as they will need to consider whether their customer is a resident under the expanded definition in order to determine whether each supply should be zero rated.</w:t>
      </w:r>
    </w:p>
    <w:p w:rsidR="002424F2" w:rsidRDefault="002424F2" w:rsidP="00B91E3E">
      <w:pPr>
        <w:pStyle w:val="ListParagraph"/>
        <w:rPr>
          <w:rFonts w:ascii="Times New Roman" w:hAnsi="Times New Roman"/>
          <w:sz w:val="24"/>
          <w:szCs w:val="24"/>
        </w:rPr>
      </w:pPr>
    </w:p>
    <w:p w:rsidR="002424F2" w:rsidRPr="005B1E55" w:rsidRDefault="002424F2"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5B1E55">
        <w:rPr>
          <w:rFonts w:ascii="Times New Roman" w:hAnsi="Times New Roman"/>
          <w:sz w:val="24"/>
          <w:szCs w:val="24"/>
        </w:rPr>
        <w:t xml:space="preserve">The exact number of businesses providing services that fall outside the scope of the current definition </w:t>
      </w:r>
      <w:r w:rsidR="001362F9" w:rsidRPr="00B91E3E">
        <w:rPr>
          <w:rFonts w:ascii="Times New Roman" w:hAnsi="Times New Roman"/>
          <w:sz w:val="24"/>
          <w:szCs w:val="24"/>
        </w:rPr>
        <w:t>is</w:t>
      </w:r>
      <w:r w:rsidRPr="005B1E55">
        <w:rPr>
          <w:rFonts w:ascii="Times New Roman" w:hAnsi="Times New Roman"/>
          <w:sz w:val="24"/>
          <w:szCs w:val="24"/>
        </w:rPr>
        <w:t xml:space="preserve"> not known, </w:t>
      </w:r>
      <w:r w:rsidR="001362F9" w:rsidRPr="00B91E3E">
        <w:rPr>
          <w:rFonts w:ascii="Times New Roman" w:hAnsi="Times New Roman"/>
          <w:sz w:val="24"/>
          <w:szCs w:val="24"/>
        </w:rPr>
        <w:t>as we do not have detailed knowledge of the affected industries</w:t>
      </w:r>
      <w:r w:rsidRPr="005B1E55">
        <w:rPr>
          <w:rFonts w:ascii="Times New Roman" w:hAnsi="Times New Roman"/>
          <w:sz w:val="24"/>
          <w:szCs w:val="24"/>
        </w:rPr>
        <w:t>.  However, a number of law firms would be affected, and a number of other professional firms, such as real estate agents or architects may also be affected.</w:t>
      </w:r>
    </w:p>
    <w:p w:rsidR="00FD4053" w:rsidRDefault="00FD4053" w:rsidP="00B91E3E">
      <w:pPr>
        <w:pStyle w:val="Bullet-list"/>
        <w:spacing w:after="0" w:line="240" w:lineRule="auto"/>
        <w:jc w:val="both"/>
        <w:rPr>
          <w:rFonts w:ascii="Times New Roman" w:hAnsi="Times New Roman"/>
          <w:sz w:val="24"/>
          <w:szCs w:val="24"/>
        </w:rPr>
      </w:pPr>
    </w:p>
    <w:p w:rsidR="00F8133F" w:rsidRPr="006B2540" w:rsidRDefault="00DE3231" w:rsidP="00B91E3E">
      <w:pPr>
        <w:pStyle w:val="Bullet-list"/>
        <w:spacing w:after="0" w:line="240" w:lineRule="auto"/>
        <w:jc w:val="both"/>
        <w:rPr>
          <w:rFonts w:ascii="Times New Roman" w:hAnsi="Times New Roman"/>
          <w:b/>
          <w:i/>
          <w:sz w:val="24"/>
          <w:szCs w:val="24"/>
        </w:rPr>
      </w:pPr>
      <w:r>
        <w:rPr>
          <w:rFonts w:ascii="Times New Roman" w:hAnsi="Times New Roman"/>
          <w:b/>
          <w:i/>
          <w:sz w:val="24"/>
          <w:szCs w:val="24"/>
        </w:rPr>
        <w:t>O</w:t>
      </w:r>
      <w:r w:rsidR="00F8133F" w:rsidRPr="006B2540">
        <w:rPr>
          <w:rFonts w:ascii="Times New Roman" w:hAnsi="Times New Roman"/>
          <w:b/>
          <w:i/>
          <w:sz w:val="24"/>
          <w:szCs w:val="24"/>
        </w:rPr>
        <w:t>bjectives</w:t>
      </w:r>
    </w:p>
    <w:p w:rsidR="00F8133F" w:rsidRPr="002347EB" w:rsidRDefault="00F8133F" w:rsidP="00B91E3E">
      <w:pPr>
        <w:pStyle w:val="Bullet-list"/>
        <w:spacing w:after="0" w:line="240" w:lineRule="auto"/>
        <w:jc w:val="both"/>
        <w:rPr>
          <w:rFonts w:ascii="Times New Roman" w:hAnsi="Times New Roman"/>
          <w:sz w:val="24"/>
          <w:szCs w:val="24"/>
        </w:rPr>
      </w:pPr>
    </w:p>
    <w:p w:rsidR="0073093A" w:rsidRDefault="00C07E36"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EC3737">
        <w:rPr>
          <w:rFonts w:ascii="Times New Roman" w:hAnsi="Times New Roman"/>
          <w:sz w:val="24"/>
          <w:szCs w:val="24"/>
        </w:rPr>
        <w:t>The key objective is</w:t>
      </w:r>
      <w:r w:rsidR="00DE3231">
        <w:rPr>
          <w:rFonts w:ascii="Times New Roman" w:hAnsi="Times New Roman"/>
          <w:sz w:val="24"/>
          <w:szCs w:val="24"/>
        </w:rPr>
        <w:t xml:space="preserve"> effectiveness and fairness.  GST should apply evenly to consumption in New Zealand</w:t>
      </w:r>
      <w:r w:rsidR="00C3342A">
        <w:rPr>
          <w:rFonts w:ascii="Times New Roman" w:hAnsi="Times New Roman"/>
          <w:sz w:val="24"/>
          <w:szCs w:val="24"/>
        </w:rPr>
        <w:t>, and</w:t>
      </w:r>
      <w:r w:rsidR="005577B8">
        <w:rPr>
          <w:rFonts w:ascii="Times New Roman" w:hAnsi="Times New Roman"/>
          <w:sz w:val="24"/>
          <w:szCs w:val="24"/>
        </w:rPr>
        <w:t xml:space="preserve"> </w:t>
      </w:r>
      <w:r w:rsidR="00C3342A">
        <w:rPr>
          <w:rFonts w:ascii="Times New Roman" w:hAnsi="Times New Roman"/>
          <w:sz w:val="24"/>
          <w:szCs w:val="24"/>
        </w:rPr>
        <w:t>r</w:t>
      </w:r>
      <w:r w:rsidR="005577B8">
        <w:rPr>
          <w:rFonts w:ascii="Times New Roman" w:hAnsi="Times New Roman"/>
          <w:sz w:val="24"/>
          <w:szCs w:val="24"/>
        </w:rPr>
        <w:t xml:space="preserve">esidents and non-residents </w:t>
      </w:r>
      <w:r w:rsidR="00C3342A">
        <w:rPr>
          <w:rFonts w:ascii="Times New Roman" w:hAnsi="Times New Roman"/>
          <w:sz w:val="24"/>
          <w:szCs w:val="24"/>
        </w:rPr>
        <w:t>should be taxed alike</w:t>
      </w:r>
      <w:r w:rsidR="001362F9">
        <w:rPr>
          <w:rFonts w:ascii="Times New Roman" w:hAnsi="Times New Roman"/>
          <w:sz w:val="24"/>
          <w:szCs w:val="24"/>
        </w:rPr>
        <w:t>.</w:t>
      </w:r>
      <w:r w:rsidR="00C3342A">
        <w:rPr>
          <w:rFonts w:ascii="Times New Roman" w:hAnsi="Times New Roman"/>
          <w:sz w:val="24"/>
          <w:szCs w:val="24"/>
        </w:rPr>
        <w:t xml:space="preserve"> </w:t>
      </w:r>
      <w:r w:rsidR="001362F9">
        <w:rPr>
          <w:rFonts w:ascii="Times New Roman" w:hAnsi="Times New Roman"/>
          <w:sz w:val="24"/>
          <w:szCs w:val="24"/>
        </w:rPr>
        <w:t xml:space="preserve"> The </w:t>
      </w:r>
      <w:r w:rsidR="00C3342A">
        <w:rPr>
          <w:rFonts w:ascii="Times New Roman" w:hAnsi="Times New Roman"/>
          <w:sz w:val="24"/>
          <w:szCs w:val="24"/>
        </w:rPr>
        <w:t>determining factor for whether GST is charged should be where the goods or services are consumed, rather than who consumes them.</w:t>
      </w:r>
      <w:r w:rsidR="005577B8">
        <w:rPr>
          <w:rFonts w:ascii="Times New Roman" w:hAnsi="Times New Roman"/>
          <w:sz w:val="24"/>
          <w:szCs w:val="24"/>
        </w:rPr>
        <w:t xml:space="preserve"> </w:t>
      </w:r>
      <w:r w:rsidR="00CF241C">
        <w:rPr>
          <w:rFonts w:ascii="Times New Roman" w:hAnsi="Times New Roman"/>
          <w:sz w:val="24"/>
          <w:szCs w:val="24"/>
        </w:rPr>
        <w:t xml:space="preserve"> GST is not effective and fair when it results in different outcomes for residents and non-residents who are consuming the same services in relation to land in New Zealand.</w:t>
      </w:r>
    </w:p>
    <w:p w:rsidR="00C07E36" w:rsidRDefault="00C07E36" w:rsidP="00B91E3E">
      <w:pPr>
        <w:pStyle w:val="Bullet-list"/>
        <w:spacing w:after="0" w:line="240" w:lineRule="auto"/>
        <w:ind w:left="0" w:firstLine="0"/>
        <w:jc w:val="both"/>
        <w:rPr>
          <w:rFonts w:ascii="Times New Roman" w:hAnsi="Times New Roman"/>
          <w:sz w:val="24"/>
          <w:szCs w:val="24"/>
        </w:rPr>
      </w:pPr>
    </w:p>
    <w:p w:rsidR="00F8133F" w:rsidRPr="006B2540" w:rsidRDefault="00F8133F" w:rsidP="00B91E3E">
      <w:pPr>
        <w:pStyle w:val="Bullet-list"/>
        <w:keepNext/>
        <w:spacing w:after="0" w:line="240" w:lineRule="auto"/>
        <w:ind w:left="0" w:firstLine="0"/>
        <w:jc w:val="both"/>
        <w:rPr>
          <w:rFonts w:ascii="Times New Roman" w:hAnsi="Times New Roman"/>
          <w:b/>
          <w:i/>
          <w:sz w:val="24"/>
          <w:szCs w:val="24"/>
        </w:rPr>
      </w:pPr>
      <w:r w:rsidRPr="006B2540">
        <w:rPr>
          <w:rFonts w:ascii="Times New Roman" w:hAnsi="Times New Roman"/>
          <w:b/>
          <w:i/>
          <w:sz w:val="24"/>
          <w:szCs w:val="24"/>
        </w:rPr>
        <w:t>Regulatory impact analysis</w:t>
      </w:r>
    </w:p>
    <w:p w:rsidR="00F8133F" w:rsidRPr="00EC3737" w:rsidRDefault="00F8133F" w:rsidP="00B91E3E">
      <w:pPr>
        <w:pStyle w:val="Bullet-list"/>
        <w:keepNext/>
        <w:spacing w:after="0" w:line="240" w:lineRule="auto"/>
        <w:ind w:left="0" w:firstLine="0"/>
        <w:jc w:val="both"/>
        <w:rPr>
          <w:rFonts w:ascii="Times New Roman" w:hAnsi="Times New Roman"/>
          <w:sz w:val="24"/>
          <w:szCs w:val="24"/>
        </w:rPr>
      </w:pPr>
    </w:p>
    <w:p w:rsidR="00C07E36" w:rsidRPr="00EC3737" w:rsidRDefault="00C07E36"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EC3737">
        <w:rPr>
          <w:rFonts w:ascii="Times New Roman" w:hAnsi="Times New Roman"/>
          <w:sz w:val="24"/>
          <w:szCs w:val="24"/>
        </w:rPr>
        <w:t xml:space="preserve">One policy option and the status quo were considered for addressing the policy problem and meeting the objectives. </w:t>
      </w:r>
    </w:p>
    <w:p w:rsidR="00C07E36" w:rsidRPr="00EC3737" w:rsidRDefault="00C07E36" w:rsidP="00B91E3E">
      <w:pPr>
        <w:pStyle w:val="Bullet-list"/>
        <w:spacing w:after="0" w:line="240" w:lineRule="auto"/>
        <w:jc w:val="both"/>
        <w:rPr>
          <w:rFonts w:ascii="Times New Roman" w:hAnsi="Times New Roman"/>
          <w:sz w:val="24"/>
          <w:szCs w:val="24"/>
        </w:rPr>
      </w:pPr>
    </w:p>
    <w:p w:rsidR="00C07E36" w:rsidRPr="00A56878" w:rsidRDefault="00C07E36" w:rsidP="00B91E3E">
      <w:pPr>
        <w:pStyle w:val="Bullet-list"/>
        <w:numPr>
          <w:ilvl w:val="0"/>
          <w:numId w:val="5"/>
        </w:numPr>
        <w:spacing w:after="0" w:line="240" w:lineRule="auto"/>
        <w:ind w:left="1004"/>
        <w:jc w:val="both"/>
        <w:rPr>
          <w:rFonts w:ascii="Times New Roman" w:hAnsi="Times New Roman"/>
          <w:sz w:val="24"/>
          <w:szCs w:val="24"/>
        </w:rPr>
      </w:pPr>
      <w:r w:rsidRPr="00A56878">
        <w:rPr>
          <w:rFonts w:ascii="Times New Roman" w:hAnsi="Times New Roman"/>
          <w:sz w:val="24"/>
          <w:szCs w:val="24"/>
        </w:rPr>
        <w:t>Option 1: Broaden the scope of the specific rule to apply to services where there is a direct relationship between the purpose or objective of the service and land</w:t>
      </w:r>
      <w:r w:rsidR="001362F9">
        <w:rPr>
          <w:rFonts w:ascii="Times New Roman" w:hAnsi="Times New Roman"/>
          <w:sz w:val="24"/>
          <w:szCs w:val="24"/>
        </w:rPr>
        <w:t>,</w:t>
      </w:r>
    </w:p>
    <w:p w:rsidR="00C07E36" w:rsidRPr="00EC3737" w:rsidRDefault="00C07E36" w:rsidP="00B91E3E">
      <w:pPr>
        <w:pStyle w:val="Bullet-list"/>
        <w:spacing w:after="0" w:line="240" w:lineRule="auto"/>
        <w:ind w:left="1004"/>
        <w:jc w:val="both"/>
        <w:rPr>
          <w:rFonts w:ascii="Times New Roman" w:hAnsi="Times New Roman"/>
          <w:sz w:val="24"/>
          <w:szCs w:val="24"/>
        </w:rPr>
      </w:pPr>
    </w:p>
    <w:p w:rsidR="00C07E36" w:rsidRDefault="00C07E36" w:rsidP="00B91E3E">
      <w:pPr>
        <w:pStyle w:val="Bullet-list"/>
        <w:numPr>
          <w:ilvl w:val="0"/>
          <w:numId w:val="5"/>
        </w:numPr>
        <w:spacing w:after="0" w:line="240" w:lineRule="auto"/>
        <w:ind w:left="1004"/>
        <w:jc w:val="both"/>
        <w:rPr>
          <w:rFonts w:ascii="Times New Roman" w:hAnsi="Times New Roman"/>
          <w:sz w:val="24"/>
          <w:szCs w:val="24"/>
        </w:rPr>
      </w:pPr>
      <w:r w:rsidRPr="00A56878">
        <w:rPr>
          <w:rFonts w:ascii="Times New Roman" w:hAnsi="Times New Roman"/>
          <w:sz w:val="24"/>
          <w:szCs w:val="24"/>
        </w:rPr>
        <w:t xml:space="preserve">Option 2: Retain the current GST treatment where the specific rule applies to services which have a direct effect on land, and not to services that could be considered to be “one step removed” from a direct transaction. </w:t>
      </w:r>
    </w:p>
    <w:p w:rsidR="00B62E1F" w:rsidRDefault="00B62E1F" w:rsidP="009C149F">
      <w:pPr>
        <w:pStyle w:val="ListParagraph"/>
        <w:rPr>
          <w:rFonts w:ascii="Times New Roman" w:hAnsi="Times New Roman"/>
          <w:sz w:val="24"/>
          <w:szCs w:val="24"/>
        </w:rPr>
      </w:pPr>
    </w:p>
    <w:p w:rsidR="00B62E1F" w:rsidRPr="00F1236B" w:rsidRDefault="00B62E1F" w:rsidP="00B91E3E">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Note that it is assumed, for the purpose of this analysis, that the </w:t>
      </w:r>
      <w:r w:rsidR="00D679BF">
        <w:rPr>
          <w:rFonts w:ascii="Times New Roman" w:hAnsi="Times New Roman"/>
          <w:sz w:val="24"/>
          <w:szCs w:val="24"/>
        </w:rPr>
        <w:t xml:space="preserve">policy </w:t>
      </w:r>
      <w:r>
        <w:rPr>
          <w:rFonts w:ascii="Times New Roman" w:hAnsi="Times New Roman"/>
          <w:sz w:val="24"/>
          <w:szCs w:val="24"/>
        </w:rPr>
        <w:t xml:space="preserve">changes </w:t>
      </w:r>
      <w:r w:rsidR="00D679BF">
        <w:rPr>
          <w:rFonts w:ascii="Times New Roman" w:hAnsi="Times New Roman"/>
          <w:sz w:val="24"/>
          <w:szCs w:val="24"/>
        </w:rPr>
        <w:t xml:space="preserve">contained in the </w:t>
      </w:r>
      <w:r w:rsidR="00D679BF" w:rsidRPr="00BA1A35">
        <w:rPr>
          <w:rFonts w:ascii="Times New Roman" w:hAnsi="Times New Roman"/>
          <w:i/>
          <w:sz w:val="24"/>
          <w:szCs w:val="24"/>
        </w:rPr>
        <w:t>Taxation (Residential Land Withholding Tax, GST on Online Services, and Student Loans) Bill</w:t>
      </w:r>
      <w:r w:rsidR="00D679BF">
        <w:rPr>
          <w:rFonts w:ascii="Times New Roman" w:hAnsi="Times New Roman"/>
          <w:i/>
          <w:sz w:val="24"/>
          <w:szCs w:val="24"/>
        </w:rPr>
        <w:t xml:space="preserve"> </w:t>
      </w:r>
      <w:r w:rsidR="00D679BF">
        <w:rPr>
          <w:rFonts w:ascii="Times New Roman" w:hAnsi="Times New Roman"/>
          <w:sz w:val="24"/>
          <w:szCs w:val="24"/>
        </w:rPr>
        <w:t xml:space="preserve">would be implemented.  The Bill would treat cross-border services and intangibles, supplied by non-residents outside New Zealand and received by New Zealand residents, as supplied in New Zealand.  Non-residents providing these cross border services and intangibles may therefore be required to register and return GST.  The Bill also contains a “tax credit” rule that ensures services provided to non-residents will not be subject to double taxation under both </w:t>
      </w:r>
      <w:r w:rsidR="001362F9">
        <w:rPr>
          <w:rFonts w:ascii="Times New Roman" w:hAnsi="Times New Roman"/>
          <w:sz w:val="24"/>
          <w:szCs w:val="24"/>
        </w:rPr>
        <w:t xml:space="preserve">New Zealand’s </w:t>
      </w:r>
      <w:r w:rsidR="00D679BF">
        <w:rPr>
          <w:rFonts w:ascii="Times New Roman" w:hAnsi="Times New Roman"/>
          <w:sz w:val="24"/>
          <w:szCs w:val="24"/>
        </w:rPr>
        <w:t>GST and a foreign equivalent.</w:t>
      </w:r>
    </w:p>
    <w:p w:rsidR="009B26B8" w:rsidRPr="0073093A" w:rsidRDefault="009B26B8" w:rsidP="009B26B8">
      <w:pPr>
        <w:pStyle w:val="Bullet-list"/>
        <w:spacing w:after="0" w:line="240" w:lineRule="auto"/>
        <w:ind w:left="0" w:firstLine="0"/>
        <w:jc w:val="both"/>
        <w:rPr>
          <w:rFonts w:ascii="Times New Roman" w:hAnsi="Times New Roman"/>
          <w:sz w:val="24"/>
          <w:szCs w:val="24"/>
        </w:rPr>
      </w:pPr>
    </w:p>
    <w:p w:rsidR="009B26B8" w:rsidRDefault="009B26B8" w:rsidP="009B26B8">
      <w:pPr>
        <w:pStyle w:val="Bullet-list"/>
        <w:numPr>
          <w:ilvl w:val="0"/>
          <w:numId w:val="2"/>
        </w:numPr>
        <w:tabs>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identification of additional practical options to address the objectives was limited, due to the cause of the problem.  The problem arises due to a mismatch between the legal interpretation of the GST Act and the economic framework underpinning the GST Act.  The question is therefore whether the current legal test for where services are consumed (Option 2) ought to be altered to match the economic reality (Option 1).</w:t>
      </w:r>
    </w:p>
    <w:p w:rsidR="00C07E36" w:rsidRPr="00EC3737" w:rsidRDefault="00C07E36" w:rsidP="00B91E3E">
      <w:pPr>
        <w:pStyle w:val="Bullet-list"/>
        <w:spacing w:after="0" w:line="240" w:lineRule="auto"/>
        <w:ind w:left="0" w:firstLine="0"/>
        <w:jc w:val="both"/>
        <w:rPr>
          <w:rFonts w:ascii="Times New Roman" w:hAnsi="Times New Roman"/>
          <w:sz w:val="24"/>
          <w:szCs w:val="24"/>
        </w:rPr>
      </w:pPr>
    </w:p>
    <w:p w:rsidR="00C07E36" w:rsidRPr="006B2540" w:rsidRDefault="00C07E36" w:rsidP="00B91E3E">
      <w:pPr>
        <w:pStyle w:val="Bullet-list"/>
        <w:keepNext/>
        <w:spacing w:after="0" w:line="240" w:lineRule="auto"/>
        <w:ind w:left="567" w:hanging="567"/>
        <w:jc w:val="both"/>
        <w:rPr>
          <w:rFonts w:ascii="Times New Roman" w:hAnsi="Times New Roman"/>
          <w:i/>
          <w:sz w:val="24"/>
          <w:szCs w:val="24"/>
          <w:u w:val="single"/>
        </w:rPr>
      </w:pPr>
      <w:r w:rsidRPr="006B2540">
        <w:rPr>
          <w:rFonts w:ascii="Times New Roman" w:hAnsi="Times New Roman"/>
          <w:i/>
          <w:sz w:val="24"/>
          <w:szCs w:val="24"/>
          <w:u w:val="single"/>
        </w:rPr>
        <w:t>Option 1: B</w:t>
      </w:r>
      <w:r w:rsidR="00C527E9" w:rsidRPr="00F1236B">
        <w:rPr>
          <w:rFonts w:ascii="Times New Roman" w:hAnsi="Times New Roman"/>
          <w:i/>
          <w:sz w:val="24"/>
          <w:szCs w:val="24"/>
          <w:u w:val="single"/>
        </w:rPr>
        <w:t>roadening the scope of the test</w:t>
      </w:r>
    </w:p>
    <w:p w:rsidR="00C07E36" w:rsidRPr="00EC3737" w:rsidRDefault="00C07E36" w:rsidP="00B91E3E">
      <w:pPr>
        <w:pStyle w:val="Bullet-list"/>
        <w:keepNext/>
        <w:spacing w:after="0" w:line="240" w:lineRule="auto"/>
        <w:ind w:left="0" w:firstLine="0"/>
        <w:jc w:val="both"/>
        <w:rPr>
          <w:rFonts w:ascii="Times New Roman" w:hAnsi="Times New Roman"/>
          <w:sz w:val="24"/>
          <w:szCs w:val="24"/>
        </w:rPr>
      </w:pPr>
    </w:p>
    <w:p w:rsidR="00C07E36" w:rsidRPr="00EC3737" w:rsidRDefault="00C07E36"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EC3737">
        <w:rPr>
          <w:rFonts w:ascii="Times New Roman" w:hAnsi="Times New Roman"/>
          <w:sz w:val="24"/>
          <w:szCs w:val="24"/>
          <w:lang w:val="en-NZ"/>
        </w:rPr>
        <w:t xml:space="preserve">This option would alter the “directly in connection with land” test, so that it applies to services where there is a direct relationship between the purpose or the objective of the service and land. This would include services that have the purpose or objective of affecting or defining the nature or value of land, protecting land, or affecting the ownership or any interest in land. </w:t>
      </w:r>
      <w:r w:rsidRPr="00EC3737">
        <w:rPr>
          <w:rFonts w:ascii="Times New Roman" w:hAnsi="Times New Roman"/>
          <w:sz w:val="24"/>
          <w:szCs w:val="24"/>
        </w:rPr>
        <w:t>However, services would not satisfy the test where the part of the service that relates to land is only an incidental aspect of the supply, or if the service does not relate to a designated property.</w:t>
      </w:r>
    </w:p>
    <w:p w:rsidR="00C07E36" w:rsidRPr="00EC3737" w:rsidRDefault="00C07E36" w:rsidP="009C149F">
      <w:pPr>
        <w:pStyle w:val="Bullet-list"/>
        <w:spacing w:after="0" w:line="240" w:lineRule="auto"/>
        <w:ind w:left="0" w:firstLine="0"/>
        <w:jc w:val="both"/>
        <w:rPr>
          <w:rFonts w:ascii="Times New Roman" w:hAnsi="Times New Roman"/>
          <w:sz w:val="24"/>
          <w:szCs w:val="24"/>
          <w:lang w:val="en-NZ"/>
        </w:rPr>
      </w:pPr>
    </w:p>
    <w:p w:rsidR="00C07E36" w:rsidRPr="00EC3737" w:rsidRDefault="00C07E36"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EC3737">
        <w:rPr>
          <w:rFonts w:ascii="Times New Roman" w:hAnsi="Times New Roman"/>
          <w:sz w:val="24"/>
          <w:szCs w:val="24"/>
          <w:lang w:val="en-NZ"/>
        </w:rPr>
        <w:t>This would mean that services</w:t>
      </w:r>
      <w:r w:rsidR="001362F9">
        <w:rPr>
          <w:rFonts w:ascii="Times New Roman" w:hAnsi="Times New Roman"/>
          <w:sz w:val="24"/>
          <w:szCs w:val="24"/>
          <w:lang w:val="en-NZ"/>
        </w:rPr>
        <w:t xml:space="preserve"> such as those</w:t>
      </w:r>
      <w:r w:rsidRPr="00EC3737">
        <w:rPr>
          <w:rFonts w:ascii="Times New Roman" w:hAnsi="Times New Roman"/>
          <w:sz w:val="24"/>
          <w:szCs w:val="24"/>
          <w:lang w:val="en-NZ"/>
        </w:rPr>
        <w:t xml:space="preserve"> provided by real estate agents, architects and legal services in respect of land in New Zealand would not be zero-rated when supplied to offshore non-residents. </w:t>
      </w:r>
      <w:r w:rsidR="008C0280">
        <w:rPr>
          <w:rFonts w:ascii="Times New Roman" w:hAnsi="Times New Roman"/>
          <w:sz w:val="24"/>
          <w:szCs w:val="24"/>
          <w:lang w:val="en-NZ"/>
        </w:rPr>
        <w:t>Conversely, w</w:t>
      </w:r>
      <w:r w:rsidRPr="00EC3737">
        <w:rPr>
          <w:rFonts w:ascii="Times New Roman" w:hAnsi="Times New Roman"/>
          <w:sz w:val="24"/>
          <w:szCs w:val="24"/>
          <w:lang w:val="en-NZ"/>
        </w:rPr>
        <w:t xml:space="preserve">hen these services are provided in respect of land outside </w:t>
      </w:r>
      <w:r>
        <w:rPr>
          <w:rFonts w:ascii="Times New Roman" w:hAnsi="Times New Roman"/>
          <w:sz w:val="24"/>
          <w:szCs w:val="24"/>
          <w:lang w:val="en-NZ"/>
        </w:rPr>
        <w:t>N</w:t>
      </w:r>
      <w:r w:rsidRPr="00EC3737">
        <w:rPr>
          <w:rFonts w:ascii="Times New Roman" w:hAnsi="Times New Roman"/>
          <w:sz w:val="24"/>
          <w:szCs w:val="24"/>
          <w:lang w:val="en-NZ"/>
        </w:rPr>
        <w:t>ew Zealand, they would be zero-rated</w:t>
      </w:r>
      <w:r w:rsidR="008C0280">
        <w:rPr>
          <w:rFonts w:ascii="Times New Roman" w:hAnsi="Times New Roman"/>
          <w:sz w:val="24"/>
          <w:szCs w:val="24"/>
          <w:lang w:val="en-NZ"/>
        </w:rPr>
        <w:t xml:space="preserve"> regardless of the residence of the recipient</w:t>
      </w:r>
      <w:r w:rsidRPr="00EC3737">
        <w:rPr>
          <w:rFonts w:ascii="Times New Roman" w:hAnsi="Times New Roman"/>
          <w:sz w:val="24"/>
          <w:szCs w:val="24"/>
          <w:lang w:val="en-NZ"/>
        </w:rPr>
        <w:t xml:space="preserve">. </w:t>
      </w:r>
    </w:p>
    <w:p w:rsidR="0053233A" w:rsidRDefault="0053233A" w:rsidP="009C149F">
      <w:pPr>
        <w:pStyle w:val="ListParagraph"/>
        <w:rPr>
          <w:rFonts w:ascii="Times New Roman" w:hAnsi="Times New Roman"/>
          <w:sz w:val="24"/>
          <w:szCs w:val="24"/>
        </w:rPr>
      </w:pPr>
    </w:p>
    <w:p w:rsidR="00C07E36" w:rsidRDefault="00C07E36"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EC3737">
        <w:rPr>
          <w:rFonts w:ascii="Times New Roman" w:hAnsi="Times New Roman"/>
          <w:sz w:val="24"/>
          <w:szCs w:val="24"/>
          <w:lang w:val="en-NZ"/>
        </w:rPr>
        <w:t xml:space="preserve">Bringing New Zealand’s specific rule for services that are provided in respect of land in line with equivalent rules in other jurisdictions would reduce the potential for double taxation </w:t>
      </w:r>
      <w:r w:rsidR="0053233A">
        <w:rPr>
          <w:rFonts w:ascii="Times New Roman" w:hAnsi="Times New Roman"/>
          <w:sz w:val="24"/>
          <w:szCs w:val="24"/>
          <w:lang w:val="en-NZ"/>
        </w:rPr>
        <w:t>of New Zealand residents</w:t>
      </w:r>
      <w:r w:rsidR="00925A45">
        <w:rPr>
          <w:rFonts w:ascii="Times New Roman" w:hAnsi="Times New Roman"/>
          <w:sz w:val="24"/>
          <w:szCs w:val="24"/>
          <w:lang w:val="en-NZ"/>
        </w:rPr>
        <w:t>’</w:t>
      </w:r>
      <w:r w:rsidR="0053233A">
        <w:rPr>
          <w:rFonts w:ascii="Times New Roman" w:hAnsi="Times New Roman"/>
          <w:sz w:val="24"/>
          <w:szCs w:val="24"/>
          <w:lang w:val="en-NZ"/>
        </w:rPr>
        <w:t xml:space="preserve"> consumption, </w:t>
      </w:r>
      <w:r w:rsidRPr="00EC3737">
        <w:rPr>
          <w:rFonts w:ascii="Times New Roman" w:hAnsi="Times New Roman"/>
          <w:sz w:val="24"/>
          <w:szCs w:val="24"/>
          <w:lang w:val="en-NZ"/>
        </w:rPr>
        <w:t>and non-taxation</w:t>
      </w:r>
      <w:r w:rsidR="00925A45">
        <w:rPr>
          <w:rFonts w:ascii="Times New Roman" w:hAnsi="Times New Roman"/>
          <w:sz w:val="24"/>
          <w:szCs w:val="24"/>
          <w:lang w:val="en-NZ"/>
        </w:rPr>
        <w:t xml:space="preserve"> of non-residents consumption.</w:t>
      </w:r>
      <w:r w:rsidRPr="00EC3737">
        <w:rPr>
          <w:rFonts w:ascii="Times New Roman" w:hAnsi="Times New Roman"/>
          <w:sz w:val="24"/>
          <w:szCs w:val="24"/>
          <w:lang w:val="en-NZ"/>
        </w:rPr>
        <w:t xml:space="preserve"> </w:t>
      </w:r>
      <w:r w:rsidR="00925A45">
        <w:rPr>
          <w:rFonts w:ascii="Times New Roman" w:hAnsi="Times New Roman"/>
          <w:sz w:val="24"/>
          <w:szCs w:val="24"/>
          <w:lang w:val="en-NZ"/>
        </w:rPr>
        <w:t xml:space="preserve"> This would help ensure that GST taxes consumption effectively and fairly.</w:t>
      </w:r>
      <w:r w:rsidR="00D778E6">
        <w:rPr>
          <w:rFonts w:ascii="Times New Roman" w:hAnsi="Times New Roman"/>
          <w:sz w:val="24"/>
          <w:szCs w:val="24"/>
          <w:lang w:val="en-NZ"/>
        </w:rPr>
        <w:t xml:space="preserve">  It would also ensure that residents and non-residents incur the same amount of GST, increasing fairness. </w:t>
      </w:r>
    </w:p>
    <w:p w:rsidR="005E55BC" w:rsidRDefault="005E55BC" w:rsidP="009C149F">
      <w:pPr>
        <w:pStyle w:val="ListParagraph"/>
        <w:rPr>
          <w:rFonts w:ascii="Times New Roman" w:hAnsi="Times New Roman"/>
          <w:sz w:val="24"/>
          <w:szCs w:val="24"/>
        </w:rPr>
      </w:pPr>
    </w:p>
    <w:p w:rsidR="00712587" w:rsidRDefault="005E55BC"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In certain cases this option would create a competitive advantage for businesses</w:t>
      </w:r>
      <w:r w:rsidR="0053233A">
        <w:rPr>
          <w:rFonts w:ascii="Times New Roman" w:hAnsi="Times New Roman"/>
          <w:sz w:val="24"/>
          <w:szCs w:val="24"/>
          <w:lang w:val="en-NZ"/>
        </w:rPr>
        <w:t xml:space="preserve"> performing services – connected with land in New Zealand and supplied to non-residents – offshore.  These services may not be taxed, including under the new rules for cross-border supplies of services and intangibles.  </w:t>
      </w:r>
      <w:r w:rsidR="00712587">
        <w:rPr>
          <w:rFonts w:ascii="Times New Roman" w:hAnsi="Times New Roman"/>
          <w:sz w:val="24"/>
          <w:szCs w:val="24"/>
          <w:lang w:val="en-NZ"/>
        </w:rPr>
        <w:t>I</w:t>
      </w:r>
      <w:r w:rsidR="0053233A">
        <w:rPr>
          <w:rFonts w:ascii="Times New Roman" w:hAnsi="Times New Roman"/>
          <w:sz w:val="24"/>
          <w:szCs w:val="24"/>
          <w:lang w:val="en-NZ"/>
        </w:rPr>
        <w:t>f these services are performed in New Zealand, they may be taxable.  This create</w:t>
      </w:r>
      <w:r w:rsidR="00712587">
        <w:rPr>
          <w:rFonts w:ascii="Times New Roman" w:hAnsi="Times New Roman"/>
          <w:sz w:val="24"/>
          <w:szCs w:val="24"/>
          <w:lang w:val="en-NZ"/>
        </w:rPr>
        <w:t>s</w:t>
      </w:r>
      <w:r w:rsidR="0053233A">
        <w:rPr>
          <w:rFonts w:ascii="Times New Roman" w:hAnsi="Times New Roman"/>
          <w:sz w:val="24"/>
          <w:szCs w:val="24"/>
          <w:lang w:val="en-NZ"/>
        </w:rPr>
        <w:t xml:space="preserve"> an incentive for non-residents to acquire these services from offshore</w:t>
      </w:r>
      <w:r w:rsidR="008C0280">
        <w:rPr>
          <w:rFonts w:ascii="Times New Roman" w:hAnsi="Times New Roman"/>
          <w:sz w:val="24"/>
          <w:szCs w:val="24"/>
          <w:lang w:val="en-NZ"/>
        </w:rPr>
        <w:t>.</w:t>
      </w:r>
      <w:r w:rsidR="00712587">
        <w:rPr>
          <w:rFonts w:ascii="Times New Roman" w:hAnsi="Times New Roman"/>
          <w:sz w:val="24"/>
          <w:szCs w:val="24"/>
          <w:lang w:val="en-NZ"/>
        </w:rPr>
        <w:t xml:space="preserve"> </w:t>
      </w:r>
      <w:r w:rsidR="008C0280">
        <w:rPr>
          <w:rFonts w:ascii="Times New Roman" w:hAnsi="Times New Roman"/>
          <w:sz w:val="24"/>
          <w:szCs w:val="24"/>
          <w:lang w:val="en-NZ"/>
        </w:rPr>
        <w:t xml:space="preserve"> However</w:t>
      </w:r>
      <w:r w:rsidR="00712587">
        <w:rPr>
          <w:rFonts w:ascii="Times New Roman" w:hAnsi="Times New Roman"/>
          <w:sz w:val="24"/>
          <w:szCs w:val="24"/>
          <w:lang w:val="en-NZ"/>
        </w:rPr>
        <w:t>, it is not clear to what extent there is in fact competition between New Zealand and offshore suppliers in relation to these services.</w:t>
      </w:r>
    </w:p>
    <w:p w:rsidR="00712587" w:rsidRDefault="00712587" w:rsidP="009C149F">
      <w:pPr>
        <w:pStyle w:val="ListParagraph"/>
        <w:rPr>
          <w:rFonts w:ascii="Times New Roman" w:hAnsi="Times New Roman"/>
          <w:sz w:val="24"/>
          <w:szCs w:val="24"/>
        </w:rPr>
      </w:pPr>
    </w:p>
    <w:p w:rsidR="005E55BC" w:rsidRDefault="008C0280"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Pr>
          <w:rFonts w:ascii="Times New Roman" w:hAnsi="Times New Roman"/>
          <w:sz w:val="24"/>
          <w:szCs w:val="24"/>
          <w:lang w:val="en-NZ"/>
        </w:rPr>
        <w:t xml:space="preserve">The opposite applies to </w:t>
      </w:r>
      <w:r w:rsidR="0053233A">
        <w:rPr>
          <w:rFonts w:ascii="Times New Roman" w:hAnsi="Times New Roman"/>
          <w:sz w:val="24"/>
          <w:szCs w:val="24"/>
          <w:lang w:val="en-NZ"/>
        </w:rPr>
        <w:t>services connected with land outside New Zealand and supplied to residents – New Zealand businesses</w:t>
      </w:r>
      <w:r w:rsidR="00712587">
        <w:rPr>
          <w:rFonts w:ascii="Times New Roman" w:hAnsi="Times New Roman"/>
          <w:sz w:val="24"/>
          <w:szCs w:val="24"/>
          <w:lang w:val="en-NZ"/>
        </w:rPr>
        <w:t xml:space="preserve"> </w:t>
      </w:r>
      <w:r w:rsidR="0053233A">
        <w:rPr>
          <w:rFonts w:ascii="Times New Roman" w:hAnsi="Times New Roman"/>
          <w:sz w:val="24"/>
          <w:szCs w:val="24"/>
          <w:lang w:val="en-NZ"/>
        </w:rPr>
        <w:t xml:space="preserve">may have a competitive advantage </w:t>
      </w:r>
      <w:r w:rsidR="00712587">
        <w:rPr>
          <w:rFonts w:ascii="Times New Roman" w:hAnsi="Times New Roman"/>
          <w:sz w:val="24"/>
          <w:szCs w:val="24"/>
          <w:lang w:val="en-NZ"/>
        </w:rPr>
        <w:t xml:space="preserve">for services supplied to New Zealand residents </w:t>
      </w:r>
      <w:r w:rsidR="0053233A">
        <w:rPr>
          <w:rFonts w:ascii="Times New Roman" w:hAnsi="Times New Roman"/>
          <w:sz w:val="24"/>
          <w:szCs w:val="24"/>
          <w:lang w:val="en-NZ"/>
        </w:rPr>
        <w:t>(depending on overseas rules).</w:t>
      </w:r>
    </w:p>
    <w:p w:rsidR="00C07E36" w:rsidRPr="00EC3737" w:rsidRDefault="00C07E36" w:rsidP="00B91E3E">
      <w:pPr>
        <w:pStyle w:val="Bullet-list"/>
        <w:spacing w:after="0" w:line="240" w:lineRule="auto"/>
        <w:ind w:left="567" w:hanging="567"/>
        <w:jc w:val="both"/>
        <w:rPr>
          <w:rFonts w:ascii="Times New Roman" w:hAnsi="Times New Roman"/>
          <w:b/>
          <w:i/>
          <w:sz w:val="24"/>
          <w:szCs w:val="24"/>
        </w:rPr>
      </w:pPr>
    </w:p>
    <w:p w:rsidR="00993410" w:rsidRPr="006B2540" w:rsidRDefault="00993410" w:rsidP="009C149F">
      <w:pPr>
        <w:pStyle w:val="Bullet-list"/>
        <w:numPr>
          <w:ilvl w:val="0"/>
          <w:numId w:val="2"/>
        </w:numPr>
        <w:tabs>
          <w:tab w:val="clear" w:pos="786"/>
          <w:tab w:val="num" w:pos="567"/>
        </w:tabs>
        <w:spacing w:after="0" w:line="240" w:lineRule="auto"/>
        <w:ind w:left="0" w:firstLine="0"/>
        <w:jc w:val="both"/>
        <w:rPr>
          <w:rFonts w:ascii="Times New Roman" w:hAnsi="Times New Roman"/>
          <w:b/>
          <w:i/>
          <w:sz w:val="24"/>
          <w:szCs w:val="24"/>
        </w:rPr>
      </w:pPr>
      <w:r>
        <w:rPr>
          <w:rFonts w:ascii="Times New Roman" w:hAnsi="Times New Roman"/>
          <w:sz w:val="24"/>
          <w:szCs w:val="24"/>
          <w:lang w:val="en-NZ"/>
        </w:rPr>
        <w:t>Submitters expressed some concern that adopting a new test would reduce certainty, as businesses would need to adapt to the new test and</w:t>
      </w:r>
      <w:r w:rsidR="001362F9">
        <w:rPr>
          <w:rFonts w:ascii="Times New Roman" w:hAnsi="Times New Roman"/>
          <w:sz w:val="24"/>
          <w:szCs w:val="24"/>
          <w:lang w:val="en-NZ"/>
        </w:rPr>
        <w:t>,</w:t>
      </w:r>
      <w:r>
        <w:rPr>
          <w:rFonts w:ascii="Times New Roman" w:hAnsi="Times New Roman"/>
          <w:sz w:val="24"/>
          <w:szCs w:val="24"/>
          <w:lang w:val="en-NZ"/>
        </w:rPr>
        <w:t xml:space="preserve"> in contrast the status quo is relatively well understood.  </w:t>
      </w:r>
      <w:r w:rsidR="008707E1">
        <w:rPr>
          <w:rFonts w:ascii="Times New Roman" w:hAnsi="Times New Roman"/>
          <w:sz w:val="24"/>
          <w:szCs w:val="24"/>
          <w:lang w:val="en-NZ"/>
        </w:rPr>
        <w:t>It is expected that g</w:t>
      </w:r>
      <w:r w:rsidR="008707E1" w:rsidRPr="00EC3737">
        <w:rPr>
          <w:rFonts w:ascii="Times New Roman" w:hAnsi="Times New Roman"/>
          <w:sz w:val="24"/>
          <w:szCs w:val="24"/>
          <w:lang w:val="en-NZ"/>
        </w:rPr>
        <w:t xml:space="preserve">uidance </w:t>
      </w:r>
      <w:r w:rsidR="00D778E6" w:rsidRPr="00EC3737">
        <w:rPr>
          <w:rFonts w:ascii="Times New Roman" w:hAnsi="Times New Roman"/>
          <w:sz w:val="24"/>
          <w:szCs w:val="24"/>
          <w:lang w:val="en-NZ"/>
        </w:rPr>
        <w:t>on the</w:t>
      </w:r>
      <w:r w:rsidR="00D778E6">
        <w:rPr>
          <w:rFonts w:ascii="Times New Roman" w:hAnsi="Times New Roman"/>
          <w:sz w:val="24"/>
          <w:szCs w:val="24"/>
          <w:lang w:val="en-NZ"/>
        </w:rPr>
        <w:t xml:space="preserve"> intended</w:t>
      </w:r>
      <w:r w:rsidR="00D778E6" w:rsidRPr="00EC3737">
        <w:rPr>
          <w:rFonts w:ascii="Times New Roman" w:hAnsi="Times New Roman"/>
          <w:sz w:val="24"/>
          <w:szCs w:val="24"/>
          <w:lang w:val="en-NZ"/>
        </w:rPr>
        <w:t xml:space="preserve"> application of the rule </w:t>
      </w:r>
      <w:r w:rsidR="00D778E6">
        <w:rPr>
          <w:rFonts w:ascii="Times New Roman" w:hAnsi="Times New Roman"/>
          <w:sz w:val="24"/>
          <w:szCs w:val="24"/>
          <w:lang w:val="en-NZ"/>
        </w:rPr>
        <w:t>would be published, to help reduce the uncertainty and to clarify the intended effect of the rule.</w:t>
      </w:r>
    </w:p>
    <w:p w:rsidR="00993410" w:rsidRDefault="00993410" w:rsidP="009C149F">
      <w:pPr>
        <w:pStyle w:val="ListParagraph"/>
        <w:rPr>
          <w:rFonts w:ascii="Times New Roman" w:hAnsi="Times New Roman"/>
          <w:sz w:val="24"/>
          <w:szCs w:val="24"/>
        </w:rPr>
      </w:pPr>
    </w:p>
    <w:p w:rsidR="00C07E36" w:rsidRPr="00EC3737" w:rsidRDefault="00993410" w:rsidP="009C149F">
      <w:pPr>
        <w:pStyle w:val="Bullet-list"/>
        <w:numPr>
          <w:ilvl w:val="0"/>
          <w:numId w:val="2"/>
        </w:numPr>
        <w:tabs>
          <w:tab w:val="clear" w:pos="786"/>
          <w:tab w:val="num" w:pos="567"/>
        </w:tabs>
        <w:spacing w:after="0" w:line="240" w:lineRule="auto"/>
        <w:ind w:left="0" w:firstLine="0"/>
        <w:jc w:val="both"/>
        <w:rPr>
          <w:rFonts w:ascii="Times New Roman" w:hAnsi="Times New Roman"/>
          <w:b/>
          <w:i/>
          <w:sz w:val="24"/>
          <w:szCs w:val="24"/>
        </w:rPr>
      </w:pPr>
      <w:r>
        <w:rPr>
          <w:rFonts w:ascii="Times New Roman" w:hAnsi="Times New Roman"/>
          <w:sz w:val="24"/>
          <w:szCs w:val="24"/>
          <w:lang w:val="en-NZ"/>
        </w:rPr>
        <w:t xml:space="preserve">Submitters were also concerned that the change would potentially increase compliance costs, where businesses making multiple supplies to non-residents would need to distinguish between </w:t>
      </w:r>
      <w:r w:rsidR="008707E1">
        <w:rPr>
          <w:rFonts w:ascii="Times New Roman" w:hAnsi="Times New Roman"/>
          <w:sz w:val="24"/>
          <w:szCs w:val="24"/>
          <w:lang w:val="en-NZ"/>
        </w:rPr>
        <w:t xml:space="preserve">services </w:t>
      </w:r>
      <w:r w:rsidR="00D778E6">
        <w:rPr>
          <w:rFonts w:ascii="Times New Roman" w:hAnsi="Times New Roman"/>
          <w:sz w:val="24"/>
          <w:szCs w:val="24"/>
          <w:lang w:val="en-NZ"/>
        </w:rPr>
        <w:t xml:space="preserve">connected with land and subject to the new rule, and those that </w:t>
      </w:r>
      <w:r w:rsidR="008707E1">
        <w:rPr>
          <w:rFonts w:ascii="Times New Roman" w:hAnsi="Times New Roman"/>
          <w:sz w:val="24"/>
          <w:szCs w:val="24"/>
          <w:lang w:val="en-NZ"/>
        </w:rPr>
        <w:t xml:space="preserve">were </w:t>
      </w:r>
      <w:r w:rsidR="00D778E6">
        <w:rPr>
          <w:rFonts w:ascii="Times New Roman" w:hAnsi="Times New Roman"/>
          <w:sz w:val="24"/>
          <w:szCs w:val="24"/>
          <w:lang w:val="en-NZ"/>
        </w:rPr>
        <w:t>not</w:t>
      </w:r>
      <w:r>
        <w:rPr>
          <w:rFonts w:ascii="Times New Roman" w:hAnsi="Times New Roman"/>
          <w:sz w:val="24"/>
          <w:szCs w:val="24"/>
          <w:lang w:val="en-NZ"/>
        </w:rPr>
        <w:t xml:space="preserve">.  However, other businesses </w:t>
      </w:r>
      <w:r w:rsidR="00D778E6">
        <w:rPr>
          <w:rFonts w:ascii="Times New Roman" w:hAnsi="Times New Roman"/>
          <w:sz w:val="24"/>
          <w:szCs w:val="24"/>
          <w:lang w:val="en-NZ"/>
        </w:rPr>
        <w:t xml:space="preserve">may benefit from the </w:t>
      </w:r>
      <w:r w:rsidR="008707E1">
        <w:rPr>
          <w:rFonts w:ascii="Times New Roman" w:hAnsi="Times New Roman"/>
          <w:sz w:val="24"/>
          <w:szCs w:val="24"/>
          <w:lang w:val="en-NZ"/>
        </w:rPr>
        <w:t>option</w:t>
      </w:r>
      <w:r w:rsidR="00D778E6">
        <w:rPr>
          <w:rFonts w:ascii="Times New Roman" w:hAnsi="Times New Roman"/>
          <w:sz w:val="24"/>
          <w:szCs w:val="24"/>
          <w:lang w:val="en-NZ"/>
        </w:rPr>
        <w:t xml:space="preserve">, as a wider range of services would be subject to </w:t>
      </w:r>
      <w:r>
        <w:rPr>
          <w:rFonts w:ascii="Times New Roman" w:hAnsi="Times New Roman"/>
          <w:sz w:val="24"/>
          <w:szCs w:val="24"/>
          <w:lang w:val="en-NZ"/>
        </w:rPr>
        <w:t>more consistent treatment</w:t>
      </w:r>
      <w:r w:rsidR="00D778E6">
        <w:rPr>
          <w:rFonts w:ascii="Times New Roman" w:hAnsi="Times New Roman"/>
          <w:sz w:val="24"/>
          <w:szCs w:val="24"/>
          <w:lang w:val="en-NZ"/>
        </w:rPr>
        <w:t xml:space="preserve">, rather than the GST </w:t>
      </w:r>
      <w:r w:rsidR="008707E1">
        <w:rPr>
          <w:rFonts w:ascii="Times New Roman" w:hAnsi="Times New Roman"/>
          <w:sz w:val="24"/>
          <w:szCs w:val="24"/>
          <w:lang w:val="en-NZ"/>
        </w:rPr>
        <w:t xml:space="preserve">treatment </w:t>
      </w:r>
      <w:r w:rsidR="00D778E6">
        <w:rPr>
          <w:rFonts w:ascii="Times New Roman" w:hAnsi="Times New Roman"/>
          <w:sz w:val="24"/>
          <w:szCs w:val="24"/>
          <w:lang w:val="en-NZ"/>
        </w:rPr>
        <w:t>of a transaction varying based on the residence or location of the recipient</w:t>
      </w:r>
      <w:r>
        <w:rPr>
          <w:rFonts w:ascii="Times New Roman" w:hAnsi="Times New Roman"/>
          <w:sz w:val="24"/>
          <w:szCs w:val="24"/>
          <w:lang w:val="en-NZ"/>
        </w:rPr>
        <w:t>.</w:t>
      </w:r>
    </w:p>
    <w:p w:rsidR="00C07E36" w:rsidRPr="00EC3737" w:rsidRDefault="00C07E36" w:rsidP="009C149F">
      <w:pPr>
        <w:pStyle w:val="Bullet-list"/>
        <w:tabs>
          <w:tab w:val="num" w:pos="567"/>
        </w:tabs>
        <w:spacing w:after="0" w:line="240" w:lineRule="auto"/>
        <w:ind w:left="0" w:firstLine="0"/>
        <w:jc w:val="both"/>
        <w:rPr>
          <w:rFonts w:ascii="Times New Roman" w:hAnsi="Times New Roman"/>
          <w:b/>
          <w:i/>
          <w:sz w:val="24"/>
          <w:szCs w:val="24"/>
          <w:lang w:val="en-NZ"/>
        </w:rPr>
      </w:pPr>
    </w:p>
    <w:p w:rsidR="00C07E36" w:rsidRPr="006B2540" w:rsidRDefault="00C07E36" w:rsidP="00B91E3E">
      <w:pPr>
        <w:pStyle w:val="Bullet-list"/>
        <w:keepNext/>
        <w:spacing w:after="0" w:line="240" w:lineRule="auto"/>
        <w:ind w:left="567" w:hanging="567"/>
        <w:jc w:val="both"/>
        <w:rPr>
          <w:rFonts w:ascii="Times New Roman" w:hAnsi="Times New Roman"/>
          <w:i/>
          <w:sz w:val="24"/>
          <w:szCs w:val="24"/>
          <w:u w:val="single"/>
        </w:rPr>
      </w:pPr>
      <w:r w:rsidRPr="006B2540">
        <w:rPr>
          <w:rFonts w:ascii="Times New Roman" w:hAnsi="Times New Roman"/>
          <w:i/>
          <w:sz w:val="24"/>
          <w:szCs w:val="24"/>
          <w:u w:val="single"/>
        </w:rPr>
        <w:t xml:space="preserve">Option 2: Retain the status quo  </w:t>
      </w:r>
    </w:p>
    <w:p w:rsidR="00C07E36" w:rsidRPr="00EC3737" w:rsidRDefault="00C07E36" w:rsidP="00B91E3E">
      <w:pPr>
        <w:pStyle w:val="Bullet-list"/>
        <w:keepNext/>
        <w:spacing w:after="0" w:line="240" w:lineRule="auto"/>
        <w:ind w:left="0" w:firstLine="0"/>
        <w:jc w:val="both"/>
        <w:rPr>
          <w:rFonts w:ascii="Times New Roman" w:hAnsi="Times New Roman"/>
          <w:sz w:val="24"/>
          <w:szCs w:val="24"/>
        </w:rPr>
      </w:pPr>
    </w:p>
    <w:p w:rsidR="00032200" w:rsidRDefault="00C07E36" w:rsidP="009C149F">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lang w:val="en-NZ"/>
        </w:rPr>
      </w:pPr>
      <w:r w:rsidRPr="00EC3737">
        <w:rPr>
          <w:rFonts w:ascii="Times New Roman" w:hAnsi="Times New Roman"/>
          <w:sz w:val="24"/>
          <w:szCs w:val="24"/>
          <w:lang w:val="en-NZ"/>
        </w:rPr>
        <w:t xml:space="preserve">The status quo </w:t>
      </w:r>
      <w:r w:rsidR="00D778E6">
        <w:rPr>
          <w:rFonts w:ascii="Times New Roman" w:hAnsi="Times New Roman"/>
          <w:sz w:val="24"/>
          <w:szCs w:val="24"/>
          <w:lang w:val="en-NZ"/>
        </w:rPr>
        <w:t>results in a narrower range of services being</w:t>
      </w:r>
      <w:r w:rsidR="00032200">
        <w:rPr>
          <w:rFonts w:ascii="Times New Roman" w:hAnsi="Times New Roman"/>
          <w:sz w:val="24"/>
          <w:szCs w:val="24"/>
          <w:lang w:val="en-NZ"/>
        </w:rPr>
        <w:t xml:space="preserve"> included within the test.  In particular, this potentially results in:</w:t>
      </w:r>
    </w:p>
    <w:p w:rsidR="00032200" w:rsidRDefault="00032200" w:rsidP="00B91E3E">
      <w:pPr>
        <w:pStyle w:val="Bullet-list"/>
        <w:numPr>
          <w:ilvl w:val="0"/>
          <w:numId w:val="5"/>
        </w:numPr>
        <w:spacing w:before="120" w:after="0" w:line="240" w:lineRule="auto"/>
        <w:ind w:left="782" w:hanging="357"/>
        <w:jc w:val="both"/>
        <w:rPr>
          <w:rFonts w:ascii="Times New Roman" w:hAnsi="Times New Roman"/>
          <w:sz w:val="24"/>
          <w:szCs w:val="24"/>
          <w:lang w:val="en-NZ"/>
        </w:rPr>
      </w:pPr>
      <w:r>
        <w:rPr>
          <w:rFonts w:ascii="Times New Roman" w:hAnsi="Times New Roman"/>
          <w:sz w:val="24"/>
          <w:szCs w:val="24"/>
          <w:lang w:val="en-NZ"/>
        </w:rPr>
        <w:t xml:space="preserve">The non-taxation of certain services </w:t>
      </w:r>
      <w:r w:rsidR="008707E1">
        <w:rPr>
          <w:rFonts w:ascii="Times New Roman" w:hAnsi="Times New Roman"/>
          <w:sz w:val="24"/>
          <w:szCs w:val="24"/>
          <w:lang w:val="en-NZ"/>
        </w:rPr>
        <w:t xml:space="preserve">in relation to land in New Zealand that are </w:t>
      </w:r>
      <w:r>
        <w:rPr>
          <w:rFonts w:ascii="Times New Roman" w:hAnsi="Times New Roman"/>
          <w:sz w:val="24"/>
          <w:szCs w:val="24"/>
          <w:lang w:val="en-NZ"/>
        </w:rPr>
        <w:t>consumed in New Zealand by non-residents ;</w:t>
      </w:r>
    </w:p>
    <w:p w:rsidR="00032200" w:rsidRDefault="00032200" w:rsidP="00B91E3E">
      <w:pPr>
        <w:pStyle w:val="Bullet-list"/>
        <w:numPr>
          <w:ilvl w:val="0"/>
          <w:numId w:val="5"/>
        </w:numPr>
        <w:spacing w:before="120" w:after="0" w:line="240" w:lineRule="auto"/>
        <w:ind w:left="782" w:hanging="357"/>
        <w:jc w:val="both"/>
        <w:rPr>
          <w:rFonts w:ascii="Times New Roman" w:hAnsi="Times New Roman"/>
          <w:sz w:val="24"/>
          <w:szCs w:val="24"/>
          <w:lang w:val="en-NZ"/>
        </w:rPr>
      </w:pPr>
      <w:r>
        <w:rPr>
          <w:rFonts w:ascii="Times New Roman" w:hAnsi="Times New Roman"/>
          <w:sz w:val="24"/>
          <w:szCs w:val="24"/>
          <w:lang w:val="en-NZ"/>
        </w:rPr>
        <w:t xml:space="preserve">The taxation (and potential double taxation) of certain services </w:t>
      </w:r>
      <w:r w:rsidR="008707E1">
        <w:rPr>
          <w:rFonts w:ascii="Times New Roman" w:hAnsi="Times New Roman"/>
          <w:sz w:val="24"/>
          <w:szCs w:val="24"/>
          <w:lang w:val="en-NZ"/>
        </w:rPr>
        <w:t xml:space="preserve">that are </w:t>
      </w:r>
      <w:r>
        <w:rPr>
          <w:rFonts w:ascii="Times New Roman" w:hAnsi="Times New Roman"/>
          <w:sz w:val="24"/>
          <w:szCs w:val="24"/>
          <w:lang w:val="en-NZ"/>
        </w:rPr>
        <w:t>consumed by New Zealand residents outside New Zealand in relation to land outside New Zealand.</w:t>
      </w:r>
    </w:p>
    <w:p w:rsidR="00D778E6" w:rsidRDefault="00D778E6" w:rsidP="009C149F">
      <w:pPr>
        <w:pStyle w:val="Bullet-list"/>
        <w:spacing w:after="0" w:line="240" w:lineRule="auto"/>
        <w:ind w:left="0" w:firstLine="0"/>
        <w:jc w:val="both"/>
        <w:rPr>
          <w:rFonts w:ascii="Times New Roman" w:hAnsi="Times New Roman"/>
          <w:sz w:val="24"/>
          <w:szCs w:val="24"/>
          <w:lang w:val="en-NZ"/>
        </w:rPr>
      </w:pPr>
    </w:p>
    <w:p w:rsidR="00C07E36" w:rsidRPr="00EC3737" w:rsidRDefault="00D778E6" w:rsidP="009C149F">
      <w:pPr>
        <w:pStyle w:val="Bullet-list"/>
        <w:spacing w:after="0" w:line="240" w:lineRule="auto"/>
        <w:ind w:left="0" w:firstLine="0"/>
        <w:jc w:val="both"/>
        <w:rPr>
          <w:rFonts w:ascii="Times New Roman" w:hAnsi="Times New Roman"/>
          <w:b/>
          <w:i/>
          <w:sz w:val="24"/>
          <w:szCs w:val="24"/>
          <w:lang w:val="en-NZ"/>
        </w:rPr>
      </w:pPr>
      <w:r>
        <w:rPr>
          <w:rFonts w:ascii="Times New Roman" w:hAnsi="Times New Roman"/>
          <w:sz w:val="24"/>
          <w:szCs w:val="24"/>
          <w:lang w:val="en-NZ"/>
        </w:rPr>
        <w:t xml:space="preserve">Submitters indicated that they considered their obligations under the status quo to be relatively well known.  However, submissions were primarily received from industry associations and professional firms – it is not clear if this view is </w:t>
      </w:r>
      <w:r w:rsidR="008707E1">
        <w:rPr>
          <w:rFonts w:ascii="Times New Roman" w:hAnsi="Times New Roman"/>
          <w:sz w:val="24"/>
          <w:szCs w:val="24"/>
          <w:lang w:val="en-NZ"/>
        </w:rPr>
        <w:t>more widely held</w:t>
      </w:r>
      <w:r>
        <w:rPr>
          <w:rFonts w:ascii="Times New Roman" w:hAnsi="Times New Roman"/>
          <w:sz w:val="24"/>
          <w:szCs w:val="24"/>
          <w:lang w:val="en-NZ"/>
        </w:rPr>
        <w:t>, particularly as there is no published guidance from Inland Revenue on the application of this test to services, aside from legal services.</w:t>
      </w:r>
    </w:p>
    <w:p w:rsidR="001C4B87" w:rsidRPr="00532AAA" w:rsidRDefault="001C4B87" w:rsidP="009C149F">
      <w:pPr>
        <w:pStyle w:val="Bullet-list"/>
        <w:tabs>
          <w:tab w:val="num" w:pos="567"/>
        </w:tabs>
        <w:spacing w:after="0" w:line="240" w:lineRule="auto"/>
        <w:ind w:left="0" w:firstLine="0"/>
        <w:jc w:val="both"/>
        <w:rPr>
          <w:rFonts w:ascii="Times New Roman" w:hAnsi="Times New Roman"/>
          <w:b/>
          <w:i/>
          <w:sz w:val="24"/>
          <w:szCs w:val="24"/>
          <w:lang w:val="en-NZ"/>
        </w:rPr>
      </w:pPr>
      <w:r w:rsidRPr="00532AAA">
        <w:rPr>
          <w:rFonts w:ascii="Times New Roman" w:hAnsi="Times New Roman"/>
          <w:b/>
          <w:i/>
          <w:sz w:val="24"/>
          <w:szCs w:val="24"/>
          <w:lang w:val="en-NZ"/>
        </w:rPr>
        <w:t>Summary of the analysis of the options</w:t>
      </w:r>
    </w:p>
    <w:p w:rsidR="002424F2" w:rsidRPr="006B2540" w:rsidRDefault="002424F2" w:rsidP="002424F2">
      <w:pPr>
        <w:pStyle w:val="Bullet-list"/>
        <w:spacing w:after="0" w:line="240" w:lineRule="auto"/>
        <w:ind w:left="0" w:firstLine="0"/>
        <w:jc w:val="both"/>
        <w:rPr>
          <w:rFonts w:ascii="Times New Roman" w:hAnsi="Times New Roman"/>
          <w:sz w:val="24"/>
          <w:szCs w:val="24"/>
          <w:lang w:val="en-NZ"/>
        </w:rPr>
      </w:pPr>
    </w:p>
    <w:p w:rsidR="00A87D1D" w:rsidRDefault="00A87D1D" w:rsidP="002424F2">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Option 1 is expected to slightly reduce economic efficiency, as offshore businesses </w:t>
      </w:r>
      <w:r w:rsidR="009B26B8">
        <w:rPr>
          <w:rFonts w:ascii="Times New Roman" w:hAnsi="Times New Roman"/>
          <w:sz w:val="24"/>
          <w:szCs w:val="24"/>
        </w:rPr>
        <w:t>may</w:t>
      </w:r>
      <w:r>
        <w:rPr>
          <w:rFonts w:ascii="Times New Roman" w:hAnsi="Times New Roman"/>
          <w:sz w:val="24"/>
          <w:szCs w:val="24"/>
        </w:rPr>
        <w:t xml:space="preserve"> have a</w:t>
      </w:r>
      <w:r w:rsidR="009B26B8">
        <w:rPr>
          <w:rFonts w:ascii="Times New Roman" w:hAnsi="Times New Roman"/>
          <w:sz w:val="24"/>
          <w:szCs w:val="24"/>
        </w:rPr>
        <w:t>n</w:t>
      </w:r>
      <w:r>
        <w:rPr>
          <w:rFonts w:ascii="Times New Roman" w:hAnsi="Times New Roman"/>
          <w:sz w:val="24"/>
          <w:szCs w:val="24"/>
        </w:rPr>
        <w:t xml:space="preserve"> advantage </w:t>
      </w:r>
      <w:r w:rsidR="009B26B8">
        <w:rPr>
          <w:rFonts w:ascii="Times New Roman" w:hAnsi="Times New Roman"/>
          <w:sz w:val="24"/>
          <w:szCs w:val="24"/>
        </w:rPr>
        <w:t xml:space="preserve">in some cases </w:t>
      </w:r>
      <w:r>
        <w:rPr>
          <w:rFonts w:ascii="Times New Roman" w:hAnsi="Times New Roman"/>
          <w:sz w:val="24"/>
          <w:szCs w:val="24"/>
        </w:rPr>
        <w:t xml:space="preserve">when providing services to non-residents, in connection with land in New Zealand.  It is not clear to what extent there is competition between these resident and non-resident </w:t>
      </w:r>
      <w:r w:rsidR="008707E1">
        <w:rPr>
          <w:rFonts w:ascii="Times New Roman" w:hAnsi="Times New Roman"/>
          <w:sz w:val="24"/>
          <w:szCs w:val="24"/>
        </w:rPr>
        <w:t>service providers</w:t>
      </w:r>
      <w:r>
        <w:rPr>
          <w:rFonts w:ascii="Times New Roman" w:hAnsi="Times New Roman"/>
          <w:sz w:val="24"/>
          <w:szCs w:val="24"/>
        </w:rPr>
        <w:t xml:space="preserve">, or to what extent GST </w:t>
      </w:r>
      <w:r w:rsidR="0073093A">
        <w:rPr>
          <w:rFonts w:ascii="Times New Roman" w:hAnsi="Times New Roman"/>
          <w:sz w:val="24"/>
          <w:szCs w:val="24"/>
        </w:rPr>
        <w:t xml:space="preserve">influences </w:t>
      </w:r>
      <w:r>
        <w:rPr>
          <w:rFonts w:ascii="Times New Roman" w:hAnsi="Times New Roman"/>
          <w:sz w:val="24"/>
          <w:szCs w:val="24"/>
        </w:rPr>
        <w:t>decision</w:t>
      </w:r>
      <w:r w:rsidR="0073093A">
        <w:rPr>
          <w:rFonts w:ascii="Times New Roman" w:hAnsi="Times New Roman"/>
          <w:sz w:val="24"/>
          <w:szCs w:val="24"/>
        </w:rPr>
        <w:t>s</w:t>
      </w:r>
      <w:r>
        <w:rPr>
          <w:rFonts w:ascii="Times New Roman" w:hAnsi="Times New Roman"/>
          <w:sz w:val="24"/>
          <w:szCs w:val="24"/>
        </w:rPr>
        <w:t>.</w:t>
      </w:r>
    </w:p>
    <w:p w:rsidR="00A87D1D" w:rsidRDefault="00A87D1D" w:rsidP="00B91E3E">
      <w:pPr>
        <w:pStyle w:val="Bullet-list"/>
        <w:spacing w:after="0" w:line="240" w:lineRule="auto"/>
        <w:ind w:left="0" w:firstLine="0"/>
        <w:jc w:val="both"/>
        <w:rPr>
          <w:rFonts w:ascii="Times New Roman" w:hAnsi="Times New Roman"/>
          <w:sz w:val="24"/>
          <w:szCs w:val="24"/>
        </w:rPr>
      </w:pPr>
    </w:p>
    <w:p w:rsidR="00A87D1D" w:rsidRPr="00A87D1D" w:rsidRDefault="00A87D1D" w:rsidP="00A87D1D">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Both options are expected to be relatively neutral in relation to compliance costs.  </w:t>
      </w:r>
      <w:r w:rsidRPr="00A87D1D">
        <w:rPr>
          <w:rFonts w:ascii="Times New Roman" w:hAnsi="Times New Roman"/>
          <w:sz w:val="24"/>
          <w:szCs w:val="24"/>
        </w:rPr>
        <w:t xml:space="preserve">Option 1 would </w:t>
      </w:r>
      <w:r w:rsidR="0073093A">
        <w:rPr>
          <w:rFonts w:ascii="Times New Roman" w:hAnsi="Times New Roman"/>
          <w:sz w:val="24"/>
          <w:szCs w:val="24"/>
        </w:rPr>
        <w:t xml:space="preserve">change the legal test applied by </w:t>
      </w:r>
      <w:r w:rsidRPr="00A87D1D">
        <w:rPr>
          <w:rFonts w:ascii="Times New Roman" w:hAnsi="Times New Roman"/>
          <w:sz w:val="24"/>
          <w:szCs w:val="24"/>
        </w:rPr>
        <w:t xml:space="preserve">businesses to determine the </w:t>
      </w:r>
      <w:r>
        <w:rPr>
          <w:rFonts w:ascii="Times New Roman" w:hAnsi="Times New Roman"/>
          <w:sz w:val="24"/>
          <w:szCs w:val="24"/>
        </w:rPr>
        <w:t>GST treatment of their supplies</w:t>
      </w:r>
      <w:r w:rsidR="0073093A">
        <w:rPr>
          <w:rFonts w:ascii="Times New Roman" w:hAnsi="Times New Roman"/>
          <w:sz w:val="24"/>
          <w:szCs w:val="24"/>
        </w:rPr>
        <w:t xml:space="preserve">.  While there may be some initial uncertainty, this can be reduced </w:t>
      </w:r>
      <w:r w:rsidR="008707E1">
        <w:rPr>
          <w:rFonts w:ascii="Times New Roman" w:hAnsi="Times New Roman"/>
          <w:sz w:val="24"/>
          <w:szCs w:val="24"/>
        </w:rPr>
        <w:t>by</w:t>
      </w:r>
      <w:r w:rsidR="0073093A">
        <w:rPr>
          <w:rFonts w:ascii="Times New Roman" w:hAnsi="Times New Roman"/>
          <w:sz w:val="24"/>
          <w:szCs w:val="24"/>
        </w:rPr>
        <w:t xml:space="preserve"> published guidance on the </w:t>
      </w:r>
      <w:r w:rsidR="009B26B8">
        <w:rPr>
          <w:rFonts w:ascii="Times New Roman" w:hAnsi="Times New Roman"/>
          <w:sz w:val="24"/>
          <w:szCs w:val="24"/>
        </w:rPr>
        <w:t xml:space="preserve">policy </w:t>
      </w:r>
      <w:r w:rsidR="0073093A">
        <w:rPr>
          <w:rFonts w:ascii="Times New Roman" w:hAnsi="Times New Roman"/>
          <w:sz w:val="24"/>
          <w:szCs w:val="24"/>
        </w:rPr>
        <w:t xml:space="preserve">intention </w:t>
      </w:r>
      <w:r w:rsidR="009B26B8">
        <w:rPr>
          <w:rFonts w:ascii="Times New Roman" w:hAnsi="Times New Roman"/>
          <w:sz w:val="24"/>
          <w:szCs w:val="24"/>
        </w:rPr>
        <w:t xml:space="preserve">and intended application </w:t>
      </w:r>
      <w:r w:rsidR="0073093A">
        <w:rPr>
          <w:rFonts w:ascii="Times New Roman" w:hAnsi="Times New Roman"/>
          <w:sz w:val="24"/>
          <w:szCs w:val="24"/>
        </w:rPr>
        <w:t>of new rules, when they are enacted.</w:t>
      </w:r>
    </w:p>
    <w:p w:rsidR="00A87D1D" w:rsidRDefault="00A87D1D" w:rsidP="00B91E3E">
      <w:pPr>
        <w:pStyle w:val="ListParagraph"/>
        <w:rPr>
          <w:rFonts w:ascii="Times New Roman" w:hAnsi="Times New Roman"/>
          <w:sz w:val="24"/>
          <w:szCs w:val="24"/>
        </w:rPr>
      </w:pPr>
    </w:p>
    <w:p w:rsidR="00A87D1D" w:rsidRPr="00A87D1D" w:rsidRDefault="00A87D1D" w:rsidP="00A87D1D">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Neither option is expected to significantly affect administration costs</w:t>
      </w:r>
      <w:r w:rsidR="0073093A">
        <w:rPr>
          <w:rFonts w:ascii="Times New Roman" w:hAnsi="Times New Roman"/>
          <w:sz w:val="24"/>
          <w:szCs w:val="24"/>
        </w:rPr>
        <w:t xml:space="preserve">. </w:t>
      </w:r>
    </w:p>
    <w:p w:rsidR="00A87D1D" w:rsidRDefault="00A87D1D" w:rsidP="00B91E3E">
      <w:pPr>
        <w:pStyle w:val="Bullet-list"/>
        <w:spacing w:after="0" w:line="240" w:lineRule="auto"/>
        <w:ind w:left="0" w:firstLine="0"/>
        <w:jc w:val="both"/>
        <w:rPr>
          <w:rFonts w:ascii="Times New Roman" w:hAnsi="Times New Roman"/>
          <w:sz w:val="24"/>
          <w:szCs w:val="24"/>
        </w:rPr>
      </w:pPr>
    </w:p>
    <w:p w:rsidR="002424F2" w:rsidRDefault="002424F2" w:rsidP="002424F2">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Neither option is expected to have social, cultural or environmental impacts.</w:t>
      </w:r>
    </w:p>
    <w:p w:rsidR="00A87D1D" w:rsidRDefault="00A87D1D" w:rsidP="00B91E3E">
      <w:pPr>
        <w:pStyle w:val="ListParagraph"/>
        <w:rPr>
          <w:rFonts w:ascii="Times New Roman" w:hAnsi="Times New Roman"/>
          <w:sz w:val="24"/>
          <w:szCs w:val="24"/>
        </w:rPr>
      </w:pPr>
    </w:p>
    <w:p w:rsidR="00A87D1D" w:rsidRDefault="00A87D1D" w:rsidP="002424F2">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As noted in the problem definition, the exact scale of the impact is not known.  Law firms and real estate agencies are expected to be affected</w:t>
      </w:r>
      <w:r w:rsidR="0073093A">
        <w:rPr>
          <w:rFonts w:ascii="Times New Roman" w:hAnsi="Times New Roman"/>
          <w:sz w:val="24"/>
          <w:szCs w:val="24"/>
        </w:rPr>
        <w:t xml:space="preserve"> by a change</w:t>
      </w:r>
      <w:r>
        <w:rPr>
          <w:rFonts w:ascii="Times New Roman" w:hAnsi="Times New Roman"/>
          <w:sz w:val="24"/>
          <w:szCs w:val="24"/>
        </w:rPr>
        <w:t>.  The changes in Option 1 would affect services they provide to non-residents, in</w:t>
      </w:r>
      <w:r w:rsidR="008707E1">
        <w:rPr>
          <w:rFonts w:ascii="Times New Roman" w:hAnsi="Times New Roman"/>
          <w:sz w:val="24"/>
          <w:szCs w:val="24"/>
        </w:rPr>
        <w:t xml:space="preserve"> respect of land in New Zealand</w:t>
      </w:r>
      <w:r>
        <w:rPr>
          <w:rFonts w:ascii="Times New Roman" w:hAnsi="Times New Roman"/>
          <w:sz w:val="24"/>
          <w:szCs w:val="24"/>
        </w:rPr>
        <w:t xml:space="preserve"> and services they provide to residents, in respect of overseas land.  It is uncertain which other businesses will be affected, as it will depend on their specific contractual agreements.</w:t>
      </w:r>
    </w:p>
    <w:p w:rsidR="001C4B87" w:rsidRPr="00532AAA" w:rsidRDefault="001C4B87" w:rsidP="009C149F">
      <w:pPr>
        <w:pStyle w:val="Bullet-list"/>
        <w:tabs>
          <w:tab w:val="num" w:pos="567"/>
        </w:tabs>
        <w:spacing w:after="0" w:line="240" w:lineRule="auto"/>
        <w:ind w:left="0" w:firstLine="0"/>
        <w:jc w:val="both"/>
        <w:rPr>
          <w:rFonts w:ascii="Times New Roman" w:hAnsi="Times New Roman"/>
          <w:b/>
          <w:i/>
          <w:sz w:val="24"/>
          <w:szCs w:val="24"/>
          <w:lang w:val="en-NZ"/>
        </w:rPr>
      </w:pPr>
    </w:p>
    <w:p w:rsidR="008D4605" w:rsidRPr="00B91E3E" w:rsidRDefault="002424F2"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B91E3E">
        <w:rPr>
          <w:rFonts w:ascii="Times New Roman" w:hAnsi="Times New Roman"/>
          <w:sz w:val="24"/>
          <w:szCs w:val="24"/>
        </w:rPr>
        <w:t>Table</w:t>
      </w:r>
      <w:r w:rsidRPr="0073093A">
        <w:rPr>
          <w:rFonts w:ascii="Times New Roman" w:hAnsi="Times New Roman"/>
          <w:sz w:val="24"/>
          <w:szCs w:val="24"/>
        </w:rPr>
        <w:t xml:space="preserve"> 4 summarises the analysis of the options against the stated objectives.</w:t>
      </w:r>
    </w:p>
    <w:p w:rsidR="008D4605" w:rsidRDefault="008D4605" w:rsidP="008D4605">
      <w:pPr>
        <w:pStyle w:val="Bullet-list"/>
        <w:spacing w:after="0" w:line="240" w:lineRule="auto"/>
        <w:jc w:val="both"/>
        <w:rPr>
          <w:rFonts w:ascii="Times New Roman" w:hAnsi="Times New Roman"/>
          <w:sz w:val="24"/>
          <w:szCs w:val="24"/>
        </w:rPr>
        <w:sectPr w:rsidR="008D4605" w:rsidSect="00B91E3E">
          <w:pgSz w:w="11907" w:h="16840" w:code="9"/>
          <w:pgMar w:top="1134" w:right="1418" w:bottom="1134" w:left="1418" w:header="567" w:footer="567" w:gutter="0"/>
          <w:cols w:space="720"/>
          <w:docGrid w:linePitch="360"/>
        </w:sectPr>
      </w:pPr>
    </w:p>
    <w:tbl>
      <w:tblPr>
        <w:tblStyle w:val="TableGrid"/>
        <w:tblW w:w="0" w:type="auto"/>
        <w:tblInd w:w="284" w:type="dxa"/>
        <w:tblLayout w:type="fixed"/>
        <w:tblLook w:val="04A0" w:firstRow="1" w:lastRow="0" w:firstColumn="1" w:lastColumn="0" w:noHBand="0" w:noVBand="1"/>
      </w:tblPr>
      <w:tblGrid>
        <w:gridCol w:w="2234"/>
        <w:gridCol w:w="1985"/>
        <w:gridCol w:w="2268"/>
        <w:gridCol w:w="1559"/>
        <w:gridCol w:w="1843"/>
        <w:gridCol w:w="1701"/>
        <w:gridCol w:w="1551"/>
        <w:gridCol w:w="1363"/>
      </w:tblGrid>
      <w:tr w:rsidR="00C527E9" w:rsidRPr="002F302C" w:rsidTr="00B91E3E">
        <w:tc>
          <w:tcPr>
            <w:tcW w:w="2234" w:type="dxa"/>
            <w:vMerge w:val="restart"/>
          </w:tcPr>
          <w:p w:rsidR="00C527E9" w:rsidRPr="002F302C" w:rsidRDefault="00C527E9" w:rsidP="00C527E9">
            <w:pPr>
              <w:pStyle w:val="Bullet-list"/>
              <w:spacing w:after="0" w:line="240" w:lineRule="auto"/>
              <w:ind w:left="0" w:firstLine="0"/>
              <w:rPr>
                <w:rFonts w:ascii="Times New Roman" w:hAnsi="Times New Roman"/>
                <w:b/>
                <w:sz w:val="24"/>
                <w:szCs w:val="24"/>
              </w:rPr>
            </w:pPr>
          </w:p>
        </w:tc>
        <w:tc>
          <w:tcPr>
            <w:tcW w:w="4253" w:type="dxa"/>
            <w:gridSpan w:val="2"/>
          </w:tcPr>
          <w:p w:rsidR="00C527E9" w:rsidRPr="002F302C" w:rsidRDefault="00625424" w:rsidP="00C527E9">
            <w:pPr>
              <w:pStyle w:val="Bullet-list"/>
              <w:spacing w:after="0" w:line="240" w:lineRule="auto"/>
              <w:ind w:left="0" w:firstLine="0"/>
              <w:jc w:val="center"/>
              <w:rPr>
                <w:rFonts w:ascii="Times New Roman" w:hAnsi="Times New Roman"/>
                <w:b/>
                <w:sz w:val="24"/>
                <w:szCs w:val="24"/>
              </w:rPr>
            </w:pPr>
            <w:r w:rsidRPr="00625424">
              <w:rPr>
                <w:rFonts w:ascii="Times New Roman" w:hAnsi="Times New Roman"/>
                <w:noProof/>
                <w:sz w:val="24"/>
                <w:szCs w:val="24"/>
                <w:lang w:val="en-NZ" w:eastAsia="en-NZ"/>
              </w:rPr>
              <mc:AlternateContent>
                <mc:Choice Requires="wps">
                  <w:drawing>
                    <wp:anchor distT="0" distB="0" distL="114300" distR="114300" simplePos="0" relativeHeight="251697152" behindDoc="0" locked="0" layoutInCell="1" allowOverlap="1" wp14:anchorId="1CFFD089" wp14:editId="1CEFDAAF">
                      <wp:simplePos x="0" y="0"/>
                      <wp:positionH relativeFrom="column">
                        <wp:posOffset>513715</wp:posOffset>
                      </wp:positionH>
                      <wp:positionV relativeFrom="paragraph">
                        <wp:posOffset>-400050</wp:posOffset>
                      </wp:positionV>
                      <wp:extent cx="4906645" cy="391795"/>
                      <wp:effectExtent l="0" t="0" r="825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391795"/>
                              </a:xfrm>
                              <a:prstGeom prst="rect">
                                <a:avLst/>
                              </a:prstGeom>
                              <a:solidFill>
                                <a:srgbClr val="FFFFFF"/>
                              </a:solidFill>
                              <a:ln w="9525">
                                <a:noFill/>
                                <a:miter lim="800000"/>
                                <a:headEnd/>
                                <a:tailEnd/>
                              </a:ln>
                            </wps:spPr>
                            <wps:txbx>
                              <w:txbxContent>
                                <w:p w:rsidR="00EC3764" w:rsidRPr="00D0687C" w:rsidRDefault="00EC3764" w:rsidP="00625424">
                                  <w:pPr>
                                    <w:pStyle w:val="Header"/>
                                    <w:jc w:val="center"/>
                                    <w:rPr>
                                      <w:rFonts w:ascii="Times New Roman" w:hAnsi="Times New Roman"/>
                                      <w:b/>
                                      <w:sz w:val="24"/>
                                      <w:szCs w:val="24"/>
                                    </w:rPr>
                                  </w:pPr>
                                  <w:r w:rsidRPr="00D0687C">
                                    <w:rPr>
                                      <w:rFonts w:ascii="Times New Roman" w:hAnsi="Times New Roman"/>
                                      <w:b/>
                                      <w:sz w:val="24"/>
                                      <w:szCs w:val="24"/>
                                    </w:rPr>
                                    <w:t xml:space="preserve">Table </w:t>
                                  </w:r>
                                  <w:r>
                                    <w:rPr>
                                      <w:rFonts w:ascii="Times New Roman" w:hAnsi="Times New Roman"/>
                                      <w:b/>
                                      <w:sz w:val="24"/>
                                      <w:szCs w:val="24"/>
                                    </w:rPr>
                                    <w:t>4:</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D (Services connected with land)</w:t>
                                  </w:r>
                                </w:p>
                                <w:p w:rsidR="00EC3764" w:rsidRDefault="00EC3764" w:rsidP="00B91E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59" type="#_x0000_t202" style="position:absolute;left:0;text-align:left;margin-left:40.45pt;margin-top:-31.5pt;width:386.35pt;height:3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" stroked="f">
                      <v:textbox>
                        <w:txbxContent>
                          <w:p w:rsidR="00EC3764" w:rsidRPr="00D0687C" w:rsidRDefault="00EC3764" w:rsidP="00625424">
                            <w:pPr>
                              <w:pStyle w:val="Header"/>
                              <w:jc w:val="center"/>
                              <w:rPr>
                                <w:rFonts w:ascii="Times New Roman" w:hAnsi="Times New Roman"/>
                                <w:b/>
                                <w:sz w:val="24"/>
                                <w:szCs w:val="24"/>
                              </w:rPr>
                            </w:pPr>
                            <w:r w:rsidRPr="00D0687C">
                              <w:rPr>
                                <w:rFonts w:ascii="Times New Roman" w:hAnsi="Times New Roman"/>
                                <w:b/>
                                <w:sz w:val="24"/>
                                <w:szCs w:val="24"/>
                              </w:rPr>
                              <w:t xml:space="preserve">Table </w:t>
                            </w:r>
                            <w:r>
                              <w:rPr>
                                <w:rFonts w:ascii="Times New Roman" w:hAnsi="Times New Roman"/>
                                <w:b/>
                                <w:sz w:val="24"/>
                                <w:szCs w:val="24"/>
                              </w:rPr>
                              <w:t>4:</w:t>
                            </w:r>
                            <w:r w:rsidRPr="00D0687C">
                              <w:rPr>
                                <w:rFonts w:ascii="Times New Roman" w:hAnsi="Times New Roman"/>
                                <w:b/>
                                <w:sz w:val="24"/>
                                <w:szCs w:val="24"/>
                              </w:rPr>
                              <w:t xml:space="preserve"> </w:t>
                            </w:r>
                            <w:r>
                              <w:rPr>
                                <w:rFonts w:ascii="Times New Roman" w:hAnsi="Times New Roman"/>
                                <w:b/>
                                <w:sz w:val="24"/>
                                <w:szCs w:val="24"/>
                              </w:rPr>
                              <w:t>A</w:t>
                            </w:r>
                            <w:r w:rsidRPr="00D0687C">
                              <w:rPr>
                                <w:rFonts w:ascii="Times New Roman" w:hAnsi="Times New Roman"/>
                                <w:b/>
                                <w:sz w:val="24"/>
                                <w:szCs w:val="24"/>
                              </w:rPr>
                              <w:t>nalysis of options</w:t>
                            </w:r>
                            <w:r>
                              <w:rPr>
                                <w:rFonts w:ascii="Times New Roman" w:hAnsi="Times New Roman"/>
                                <w:b/>
                                <w:sz w:val="24"/>
                                <w:szCs w:val="24"/>
                              </w:rPr>
                              <w:t xml:space="preserve"> for Item D (Services connected with land)</w:t>
                            </w:r>
                          </w:p>
                          <w:p w:rsidR="00EC3764" w:rsidRDefault="00EC3764" w:rsidP="00B91E3E">
                            <w:pPr>
                              <w:jc w:val="center"/>
                            </w:pPr>
                          </w:p>
                        </w:txbxContent>
                      </v:textbox>
                    </v:shape>
                  </w:pict>
                </mc:Fallback>
              </mc:AlternateContent>
            </w:r>
            <w:r w:rsidR="00C527E9" w:rsidRPr="002F302C">
              <w:rPr>
                <w:rFonts w:ascii="Times New Roman" w:hAnsi="Times New Roman"/>
                <w:b/>
                <w:sz w:val="24"/>
                <w:szCs w:val="24"/>
              </w:rPr>
              <w:t>Neutrality</w:t>
            </w:r>
          </w:p>
        </w:tc>
        <w:tc>
          <w:tcPr>
            <w:tcW w:w="3402" w:type="dxa"/>
            <w:gridSpan w:val="2"/>
          </w:tcPr>
          <w:p w:rsidR="00C527E9" w:rsidRPr="002F302C" w:rsidRDefault="00C527E9" w:rsidP="00C527E9">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Efficiency</w:t>
            </w:r>
          </w:p>
        </w:tc>
        <w:tc>
          <w:tcPr>
            <w:tcW w:w="1701" w:type="dxa"/>
            <w:vMerge w:val="restart"/>
          </w:tcPr>
          <w:p w:rsidR="00C527E9" w:rsidRPr="002F302C" w:rsidRDefault="00C527E9" w:rsidP="00C527E9">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Certainty and simplicity</w:t>
            </w:r>
          </w:p>
        </w:tc>
        <w:tc>
          <w:tcPr>
            <w:tcW w:w="1551" w:type="dxa"/>
            <w:vMerge w:val="restart"/>
          </w:tcPr>
          <w:p w:rsidR="00C527E9" w:rsidRPr="002F302C" w:rsidRDefault="00C527E9" w:rsidP="00C527E9">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Effectiveness and fairness</w:t>
            </w:r>
            <w:r>
              <w:rPr>
                <w:rFonts w:ascii="Times New Roman" w:hAnsi="Times New Roman"/>
                <w:b/>
                <w:sz w:val="24"/>
                <w:szCs w:val="24"/>
              </w:rPr>
              <w:t>*</w:t>
            </w:r>
          </w:p>
        </w:tc>
        <w:tc>
          <w:tcPr>
            <w:tcW w:w="1363" w:type="dxa"/>
            <w:vMerge w:val="restart"/>
          </w:tcPr>
          <w:p w:rsidR="00C527E9" w:rsidRPr="002F302C" w:rsidRDefault="00C527E9" w:rsidP="00C527E9">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Fiscal impact</w:t>
            </w:r>
          </w:p>
        </w:tc>
      </w:tr>
      <w:tr w:rsidR="002F1C24" w:rsidRPr="002F302C" w:rsidTr="00B91E3E">
        <w:tc>
          <w:tcPr>
            <w:tcW w:w="2234" w:type="dxa"/>
            <w:vMerge/>
          </w:tcPr>
          <w:p w:rsidR="00C527E9" w:rsidRPr="002F302C" w:rsidRDefault="00C527E9" w:rsidP="00C527E9">
            <w:pPr>
              <w:pStyle w:val="Bullet-list"/>
              <w:spacing w:after="0" w:line="240" w:lineRule="auto"/>
              <w:ind w:left="0" w:firstLine="0"/>
              <w:rPr>
                <w:rFonts w:ascii="Times New Roman" w:hAnsi="Times New Roman"/>
                <w:b/>
                <w:sz w:val="24"/>
                <w:szCs w:val="24"/>
              </w:rPr>
            </w:pPr>
          </w:p>
        </w:tc>
        <w:tc>
          <w:tcPr>
            <w:tcW w:w="1985" w:type="dxa"/>
          </w:tcPr>
          <w:p w:rsidR="00C527E9" w:rsidRPr="002F302C" w:rsidRDefault="00EF341D" w:rsidP="00C527E9">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Land in New Zealand</w:t>
            </w:r>
          </w:p>
        </w:tc>
        <w:tc>
          <w:tcPr>
            <w:tcW w:w="2268" w:type="dxa"/>
          </w:tcPr>
          <w:p w:rsidR="00C527E9" w:rsidRPr="002F302C" w:rsidRDefault="00EF341D" w:rsidP="00C527E9">
            <w:pPr>
              <w:pStyle w:val="Bullet-list"/>
              <w:spacing w:after="0" w:line="240" w:lineRule="auto"/>
              <w:ind w:left="0" w:firstLine="0"/>
              <w:jc w:val="center"/>
              <w:rPr>
                <w:rFonts w:ascii="Times New Roman" w:hAnsi="Times New Roman"/>
                <w:b/>
                <w:sz w:val="24"/>
                <w:szCs w:val="24"/>
              </w:rPr>
            </w:pPr>
            <w:r>
              <w:rPr>
                <w:rFonts w:ascii="Times New Roman" w:hAnsi="Times New Roman"/>
                <w:b/>
                <w:sz w:val="24"/>
                <w:szCs w:val="24"/>
              </w:rPr>
              <w:t>Land outside New Zealand</w:t>
            </w:r>
          </w:p>
        </w:tc>
        <w:tc>
          <w:tcPr>
            <w:tcW w:w="1559" w:type="dxa"/>
          </w:tcPr>
          <w:p w:rsidR="00C527E9" w:rsidRPr="002F302C" w:rsidRDefault="00C527E9" w:rsidP="00C527E9">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 xml:space="preserve">Compliance </w:t>
            </w:r>
            <w:r w:rsidR="00EA3246">
              <w:rPr>
                <w:rFonts w:ascii="Times New Roman" w:hAnsi="Times New Roman"/>
                <w:b/>
                <w:sz w:val="24"/>
                <w:szCs w:val="24"/>
              </w:rPr>
              <w:t>costs</w:t>
            </w:r>
          </w:p>
        </w:tc>
        <w:tc>
          <w:tcPr>
            <w:tcW w:w="1843" w:type="dxa"/>
          </w:tcPr>
          <w:p w:rsidR="00C527E9" w:rsidRPr="002F302C" w:rsidRDefault="00C527E9" w:rsidP="00C527E9">
            <w:pPr>
              <w:pStyle w:val="Bullet-list"/>
              <w:spacing w:after="0" w:line="240" w:lineRule="auto"/>
              <w:ind w:left="0" w:firstLine="0"/>
              <w:jc w:val="center"/>
              <w:rPr>
                <w:rFonts w:ascii="Times New Roman" w:hAnsi="Times New Roman"/>
                <w:b/>
                <w:sz w:val="24"/>
                <w:szCs w:val="24"/>
              </w:rPr>
            </w:pPr>
            <w:r w:rsidRPr="002F302C">
              <w:rPr>
                <w:rFonts w:ascii="Times New Roman" w:hAnsi="Times New Roman"/>
                <w:b/>
                <w:sz w:val="24"/>
                <w:szCs w:val="24"/>
              </w:rPr>
              <w:t>Administration</w:t>
            </w:r>
            <w:r w:rsidR="00EA3246">
              <w:rPr>
                <w:rFonts w:ascii="Times New Roman" w:hAnsi="Times New Roman"/>
                <w:b/>
                <w:sz w:val="24"/>
                <w:szCs w:val="24"/>
              </w:rPr>
              <w:t xml:space="preserve"> costs</w:t>
            </w:r>
            <w:r w:rsidRPr="002F302C">
              <w:rPr>
                <w:rFonts w:ascii="Times New Roman" w:hAnsi="Times New Roman"/>
                <w:b/>
                <w:sz w:val="24"/>
                <w:szCs w:val="24"/>
              </w:rPr>
              <w:t xml:space="preserve"> </w:t>
            </w:r>
          </w:p>
        </w:tc>
        <w:tc>
          <w:tcPr>
            <w:tcW w:w="1701" w:type="dxa"/>
            <w:vMerge/>
          </w:tcPr>
          <w:p w:rsidR="00C527E9" w:rsidRPr="002F302C" w:rsidRDefault="00C527E9" w:rsidP="00C527E9">
            <w:pPr>
              <w:pStyle w:val="Bullet-list"/>
              <w:spacing w:after="0" w:line="240" w:lineRule="auto"/>
              <w:ind w:left="0" w:firstLine="0"/>
              <w:rPr>
                <w:rFonts w:ascii="Times New Roman" w:hAnsi="Times New Roman"/>
                <w:b/>
                <w:sz w:val="24"/>
                <w:szCs w:val="24"/>
              </w:rPr>
            </w:pPr>
          </w:p>
        </w:tc>
        <w:tc>
          <w:tcPr>
            <w:tcW w:w="1551" w:type="dxa"/>
            <w:vMerge/>
          </w:tcPr>
          <w:p w:rsidR="00C527E9" w:rsidRPr="002F302C" w:rsidRDefault="00C527E9" w:rsidP="00C527E9">
            <w:pPr>
              <w:pStyle w:val="Bullet-list"/>
              <w:spacing w:after="0" w:line="240" w:lineRule="auto"/>
              <w:ind w:left="0" w:firstLine="0"/>
              <w:rPr>
                <w:rFonts w:ascii="Times New Roman" w:hAnsi="Times New Roman"/>
                <w:b/>
                <w:sz w:val="24"/>
                <w:szCs w:val="24"/>
              </w:rPr>
            </w:pPr>
          </w:p>
        </w:tc>
        <w:tc>
          <w:tcPr>
            <w:tcW w:w="1363" w:type="dxa"/>
            <w:vMerge/>
          </w:tcPr>
          <w:p w:rsidR="00C527E9" w:rsidRPr="002F302C" w:rsidRDefault="00C527E9" w:rsidP="00C527E9">
            <w:pPr>
              <w:pStyle w:val="Bullet-list"/>
              <w:spacing w:after="0" w:line="240" w:lineRule="auto"/>
              <w:ind w:left="0" w:firstLine="0"/>
              <w:rPr>
                <w:rFonts w:ascii="Times New Roman" w:hAnsi="Times New Roman"/>
                <w:b/>
                <w:sz w:val="24"/>
                <w:szCs w:val="24"/>
              </w:rPr>
            </w:pPr>
          </w:p>
        </w:tc>
      </w:tr>
      <w:tr w:rsidR="002F1C24" w:rsidTr="00B91E3E">
        <w:tc>
          <w:tcPr>
            <w:tcW w:w="2234" w:type="dxa"/>
            <w:tcBorders>
              <w:bottom w:val="nil"/>
            </w:tcBorders>
          </w:tcPr>
          <w:p w:rsidR="00C527E9" w:rsidRPr="002F302C" w:rsidRDefault="00C527E9" w:rsidP="002F1C24">
            <w:pPr>
              <w:pStyle w:val="Bullet-list"/>
              <w:tabs>
                <w:tab w:val="num" w:pos="567"/>
              </w:tabs>
              <w:spacing w:after="0" w:line="240" w:lineRule="auto"/>
              <w:ind w:left="0" w:firstLine="0"/>
              <w:jc w:val="left"/>
              <w:rPr>
                <w:rFonts w:ascii="Times New Roman" w:hAnsi="Times New Roman"/>
                <w:b/>
                <w:sz w:val="24"/>
                <w:szCs w:val="24"/>
              </w:rPr>
            </w:pPr>
            <w:r w:rsidRPr="006B2540">
              <w:rPr>
                <w:rFonts w:ascii="Times New Roman" w:hAnsi="Times New Roman"/>
                <w:b/>
                <w:sz w:val="24"/>
                <w:szCs w:val="24"/>
                <w:lang w:val="en-NZ" w:eastAsia="en-AU"/>
              </w:rPr>
              <w:t>Option 1: Broaden</w:t>
            </w:r>
            <w:r w:rsidR="002F1C24">
              <w:rPr>
                <w:rFonts w:ascii="Times New Roman" w:hAnsi="Times New Roman"/>
                <w:b/>
                <w:sz w:val="24"/>
                <w:szCs w:val="24"/>
                <w:lang w:val="en-NZ" w:eastAsia="en-AU"/>
              </w:rPr>
              <w:t>ing</w:t>
            </w:r>
            <w:r w:rsidRPr="006B2540">
              <w:rPr>
                <w:rFonts w:ascii="Times New Roman" w:hAnsi="Times New Roman"/>
                <w:b/>
                <w:sz w:val="24"/>
                <w:szCs w:val="24"/>
                <w:lang w:val="en-NZ" w:eastAsia="en-AU"/>
              </w:rPr>
              <w:t xml:space="preserve"> the scope of the </w:t>
            </w:r>
            <w:r w:rsidR="002F1C24">
              <w:rPr>
                <w:rFonts w:ascii="Times New Roman" w:hAnsi="Times New Roman"/>
                <w:b/>
                <w:sz w:val="24"/>
                <w:szCs w:val="24"/>
                <w:lang w:val="en-NZ" w:eastAsia="en-AU"/>
              </w:rPr>
              <w:t>test</w:t>
            </w:r>
            <w:r w:rsidR="002F1C24" w:rsidRPr="006B2540">
              <w:rPr>
                <w:rFonts w:ascii="Times New Roman" w:hAnsi="Times New Roman"/>
                <w:b/>
                <w:sz w:val="24"/>
                <w:szCs w:val="24"/>
                <w:lang w:val="en-NZ" w:eastAsia="en-AU"/>
              </w:rPr>
              <w:t xml:space="preserve"> </w:t>
            </w:r>
          </w:p>
        </w:tc>
        <w:tc>
          <w:tcPr>
            <w:tcW w:w="1985" w:type="dxa"/>
            <w:tcBorders>
              <w:bottom w:val="nil"/>
            </w:tcBorders>
          </w:tcPr>
          <w:p w:rsidR="00EA3246" w:rsidRPr="00B91E3E" w:rsidRDefault="002F1C24">
            <w:pPr>
              <w:pStyle w:val="Bullet-list"/>
              <w:spacing w:after="0" w:line="240" w:lineRule="auto"/>
              <w:ind w:left="0" w:firstLine="0"/>
              <w:jc w:val="left"/>
              <w:rPr>
                <w:rFonts w:ascii="Times New Roman" w:hAnsi="Times New Roman"/>
                <w:b/>
                <w:sz w:val="20"/>
              </w:rPr>
            </w:pPr>
            <w:r w:rsidRPr="00A0104F">
              <w:rPr>
                <w:rFonts w:ascii="Times New Roman" w:hAnsi="Times New Roman"/>
                <w:b/>
                <w:sz w:val="20"/>
              </w:rPr>
              <w:t>Decrease</w:t>
            </w:r>
            <w:r>
              <w:rPr>
                <w:rFonts w:ascii="Times New Roman" w:hAnsi="Times New Roman"/>
                <w:b/>
                <w:sz w:val="20"/>
              </w:rPr>
              <w:t xml:space="preserve"> - </w:t>
            </w:r>
          </w:p>
          <w:p w:rsidR="00032200" w:rsidRPr="00780F83" w:rsidRDefault="00032200">
            <w:pPr>
              <w:pStyle w:val="Bullet-list"/>
              <w:spacing w:after="0" w:line="240" w:lineRule="auto"/>
              <w:ind w:left="0" w:firstLine="0"/>
              <w:jc w:val="left"/>
              <w:rPr>
                <w:rFonts w:ascii="Times New Roman" w:hAnsi="Times New Roman"/>
                <w:i/>
                <w:sz w:val="20"/>
              </w:rPr>
            </w:pPr>
            <w:r w:rsidRPr="00780F83">
              <w:rPr>
                <w:rFonts w:ascii="Times New Roman" w:hAnsi="Times New Roman"/>
                <w:i/>
                <w:sz w:val="20"/>
              </w:rPr>
              <w:t>Supplies to residents</w:t>
            </w:r>
          </w:p>
          <w:p w:rsidR="00032200" w:rsidRPr="00B3259B" w:rsidRDefault="00032200">
            <w:pPr>
              <w:pStyle w:val="Bullet-list"/>
              <w:spacing w:after="0" w:line="240" w:lineRule="auto"/>
              <w:ind w:left="0" w:firstLine="0"/>
              <w:jc w:val="left"/>
              <w:rPr>
                <w:rFonts w:ascii="Times New Roman" w:hAnsi="Times New Roman"/>
                <w:sz w:val="20"/>
              </w:rPr>
            </w:pPr>
            <w:r w:rsidRPr="00780F83">
              <w:rPr>
                <w:rFonts w:ascii="Times New Roman" w:hAnsi="Times New Roman"/>
                <w:sz w:val="20"/>
              </w:rPr>
              <w:t>Treatment of New Zealand and overseas businesses</w:t>
            </w:r>
            <w:r w:rsidRPr="00B3259B">
              <w:rPr>
                <w:rFonts w:ascii="Times New Roman" w:hAnsi="Times New Roman"/>
                <w:sz w:val="20"/>
              </w:rPr>
              <w:t xml:space="preserve"> should be e</w:t>
            </w:r>
            <w:r>
              <w:rPr>
                <w:rFonts w:ascii="Times New Roman" w:hAnsi="Times New Roman"/>
                <w:sz w:val="20"/>
              </w:rPr>
              <w:t>quivalent.</w:t>
            </w:r>
          </w:p>
          <w:p w:rsidR="00032200" w:rsidRDefault="00032200">
            <w:pPr>
              <w:pStyle w:val="Bullet-list"/>
              <w:spacing w:after="0" w:line="240" w:lineRule="auto"/>
              <w:ind w:left="0" w:firstLine="0"/>
              <w:jc w:val="left"/>
              <w:rPr>
                <w:rFonts w:ascii="Times New Roman" w:hAnsi="Times New Roman"/>
                <w:i/>
                <w:sz w:val="20"/>
              </w:rPr>
            </w:pPr>
          </w:p>
          <w:p w:rsidR="00E217F2" w:rsidRPr="006B2540" w:rsidRDefault="00E217F2">
            <w:pPr>
              <w:pStyle w:val="Bullet-list"/>
              <w:spacing w:after="0" w:line="240" w:lineRule="auto"/>
              <w:ind w:left="0" w:firstLine="0"/>
              <w:jc w:val="left"/>
              <w:rPr>
                <w:rFonts w:ascii="Times New Roman" w:hAnsi="Times New Roman"/>
                <w:i/>
                <w:sz w:val="20"/>
              </w:rPr>
            </w:pPr>
            <w:r w:rsidRPr="006B2540">
              <w:rPr>
                <w:rFonts w:ascii="Times New Roman" w:hAnsi="Times New Roman"/>
                <w:i/>
                <w:sz w:val="20"/>
              </w:rPr>
              <w:t>Supplies to non-residents</w:t>
            </w:r>
          </w:p>
          <w:p w:rsidR="00A13DF6" w:rsidRPr="00B3259B" w:rsidRDefault="00D679BF">
            <w:pPr>
              <w:pStyle w:val="Bullet-list"/>
              <w:spacing w:after="0" w:line="240" w:lineRule="auto"/>
              <w:ind w:left="0" w:firstLine="0"/>
              <w:jc w:val="left"/>
              <w:rPr>
                <w:rFonts w:ascii="Times New Roman" w:hAnsi="Times New Roman"/>
                <w:sz w:val="20"/>
              </w:rPr>
            </w:pPr>
            <w:r w:rsidRPr="00B3259B">
              <w:rPr>
                <w:rFonts w:ascii="Times New Roman" w:hAnsi="Times New Roman"/>
                <w:sz w:val="20"/>
              </w:rPr>
              <w:t>Possible</w:t>
            </w:r>
            <w:r w:rsidR="00E217F2" w:rsidRPr="006B2540">
              <w:rPr>
                <w:rFonts w:ascii="Times New Roman" w:hAnsi="Times New Roman"/>
                <w:sz w:val="20"/>
              </w:rPr>
              <w:t xml:space="preserve"> competitive</w:t>
            </w:r>
            <w:r w:rsidRPr="00B3259B">
              <w:rPr>
                <w:rFonts w:ascii="Times New Roman" w:hAnsi="Times New Roman"/>
                <w:sz w:val="20"/>
              </w:rPr>
              <w:t xml:space="preserve"> </w:t>
            </w:r>
            <w:r w:rsidRPr="005E55BC">
              <w:rPr>
                <w:rFonts w:ascii="Times New Roman" w:hAnsi="Times New Roman"/>
                <w:sz w:val="20"/>
              </w:rPr>
              <w:t xml:space="preserve">advantage for businesses performing services </w:t>
            </w:r>
            <w:r w:rsidR="00E217F2" w:rsidRPr="006B2540">
              <w:rPr>
                <w:rFonts w:ascii="Times New Roman" w:hAnsi="Times New Roman"/>
                <w:sz w:val="20"/>
              </w:rPr>
              <w:t>outside New Zealand.</w:t>
            </w:r>
          </w:p>
          <w:p w:rsidR="00B62E1F" w:rsidRPr="006B2540" w:rsidRDefault="00B62E1F">
            <w:pPr>
              <w:pStyle w:val="Bullet-list"/>
              <w:spacing w:after="0" w:line="240" w:lineRule="auto"/>
              <w:ind w:left="0" w:firstLine="0"/>
              <w:jc w:val="left"/>
              <w:rPr>
                <w:rFonts w:ascii="Times New Roman" w:hAnsi="Times New Roman"/>
                <w:sz w:val="20"/>
                <w:highlight w:val="yellow"/>
              </w:rPr>
            </w:pPr>
          </w:p>
        </w:tc>
        <w:tc>
          <w:tcPr>
            <w:tcW w:w="2268" w:type="dxa"/>
            <w:tcBorders>
              <w:bottom w:val="nil"/>
            </w:tcBorders>
          </w:tcPr>
          <w:p w:rsidR="00EA3246" w:rsidRPr="00B91E3E" w:rsidRDefault="002F1C24">
            <w:pPr>
              <w:pStyle w:val="Bullet-list"/>
              <w:spacing w:after="0" w:line="240" w:lineRule="auto"/>
              <w:ind w:left="0" w:firstLine="0"/>
              <w:jc w:val="left"/>
              <w:rPr>
                <w:rFonts w:ascii="Times New Roman" w:hAnsi="Times New Roman"/>
                <w:b/>
                <w:sz w:val="20"/>
              </w:rPr>
            </w:pPr>
            <w:r w:rsidRPr="00A0104F">
              <w:rPr>
                <w:rFonts w:ascii="Times New Roman" w:hAnsi="Times New Roman"/>
                <w:b/>
                <w:sz w:val="20"/>
              </w:rPr>
              <w:t>No change</w:t>
            </w:r>
            <w:r>
              <w:rPr>
                <w:rFonts w:ascii="Times New Roman" w:hAnsi="Times New Roman"/>
                <w:b/>
                <w:sz w:val="20"/>
              </w:rPr>
              <w:t xml:space="preserve"> - </w:t>
            </w:r>
          </w:p>
          <w:p w:rsidR="00032200" w:rsidRPr="00780F83" w:rsidRDefault="00032200">
            <w:pPr>
              <w:pStyle w:val="Bullet-list"/>
              <w:spacing w:after="0" w:line="240" w:lineRule="auto"/>
              <w:ind w:left="0" w:firstLine="0"/>
              <w:jc w:val="left"/>
              <w:rPr>
                <w:rFonts w:ascii="Times New Roman" w:hAnsi="Times New Roman"/>
                <w:i/>
                <w:sz w:val="20"/>
              </w:rPr>
            </w:pPr>
            <w:r w:rsidRPr="00780F83">
              <w:rPr>
                <w:rFonts w:ascii="Times New Roman" w:hAnsi="Times New Roman"/>
                <w:i/>
                <w:sz w:val="20"/>
              </w:rPr>
              <w:t>Supplies to residents</w:t>
            </w:r>
          </w:p>
          <w:p w:rsidR="00032200" w:rsidRPr="00245B58" w:rsidRDefault="00032200">
            <w:pPr>
              <w:pStyle w:val="Bullet-list"/>
              <w:spacing w:after="0" w:line="240" w:lineRule="auto"/>
              <w:ind w:left="0" w:firstLine="0"/>
              <w:jc w:val="left"/>
              <w:rPr>
                <w:rFonts w:ascii="Times New Roman" w:hAnsi="Times New Roman"/>
                <w:sz w:val="20"/>
              </w:rPr>
            </w:pPr>
            <w:r w:rsidRPr="00245B58">
              <w:rPr>
                <w:rFonts w:ascii="Times New Roman" w:hAnsi="Times New Roman"/>
                <w:sz w:val="20"/>
              </w:rPr>
              <w:t xml:space="preserve">Possible competitive advantage for </w:t>
            </w:r>
            <w:r>
              <w:rPr>
                <w:rFonts w:ascii="Times New Roman" w:hAnsi="Times New Roman"/>
                <w:sz w:val="20"/>
              </w:rPr>
              <w:t xml:space="preserve">New Zealand </w:t>
            </w:r>
            <w:r w:rsidRPr="00245B58">
              <w:rPr>
                <w:rFonts w:ascii="Times New Roman" w:hAnsi="Times New Roman"/>
                <w:sz w:val="20"/>
              </w:rPr>
              <w:t xml:space="preserve">businesses performing services </w:t>
            </w:r>
            <w:r>
              <w:rPr>
                <w:rFonts w:ascii="Times New Roman" w:hAnsi="Times New Roman"/>
                <w:sz w:val="20"/>
              </w:rPr>
              <w:t>in</w:t>
            </w:r>
            <w:r w:rsidRPr="00245B58">
              <w:rPr>
                <w:rFonts w:ascii="Times New Roman" w:hAnsi="Times New Roman"/>
                <w:sz w:val="20"/>
              </w:rPr>
              <w:t xml:space="preserve"> New Zealand.</w:t>
            </w:r>
          </w:p>
          <w:p w:rsidR="00032200" w:rsidRDefault="00032200">
            <w:pPr>
              <w:pStyle w:val="Bullet-list"/>
              <w:spacing w:after="0" w:line="240" w:lineRule="auto"/>
              <w:ind w:left="0" w:firstLine="0"/>
              <w:jc w:val="left"/>
              <w:rPr>
                <w:rFonts w:ascii="Times New Roman" w:hAnsi="Times New Roman"/>
                <w:i/>
                <w:sz w:val="20"/>
              </w:rPr>
            </w:pPr>
          </w:p>
          <w:p w:rsidR="00E217F2" w:rsidRPr="006B2540" w:rsidRDefault="00E217F2" w:rsidP="00EA3246">
            <w:pPr>
              <w:pStyle w:val="Bullet-list"/>
              <w:spacing w:after="0" w:line="240" w:lineRule="auto"/>
              <w:ind w:left="0" w:firstLine="0"/>
              <w:jc w:val="left"/>
              <w:rPr>
                <w:rFonts w:ascii="Times New Roman" w:hAnsi="Times New Roman"/>
                <w:i/>
                <w:sz w:val="20"/>
              </w:rPr>
            </w:pPr>
            <w:r w:rsidRPr="006B2540">
              <w:rPr>
                <w:rFonts w:ascii="Times New Roman" w:hAnsi="Times New Roman"/>
                <w:i/>
                <w:sz w:val="20"/>
              </w:rPr>
              <w:t>Supplies to non-residents</w:t>
            </w:r>
          </w:p>
          <w:p w:rsidR="00E217F2" w:rsidRPr="00245B58" w:rsidRDefault="00E217F2">
            <w:pPr>
              <w:pStyle w:val="Bullet-list"/>
              <w:spacing w:after="0" w:line="240" w:lineRule="auto"/>
              <w:ind w:left="0" w:firstLine="0"/>
              <w:jc w:val="left"/>
              <w:rPr>
                <w:rFonts w:ascii="Times New Roman" w:hAnsi="Times New Roman"/>
                <w:sz w:val="20"/>
              </w:rPr>
            </w:pPr>
            <w:r w:rsidRPr="00245B58">
              <w:rPr>
                <w:rFonts w:ascii="Times New Roman" w:hAnsi="Times New Roman"/>
                <w:sz w:val="20"/>
              </w:rPr>
              <w:t>Treatment of New Zealand and overseas businesses should be e</w:t>
            </w:r>
            <w:r>
              <w:rPr>
                <w:rFonts w:ascii="Times New Roman" w:hAnsi="Times New Roman"/>
                <w:sz w:val="20"/>
              </w:rPr>
              <w:t>quivalent.</w:t>
            </w:r>
          </w:p>
          <w:p w:rsidR="00A871B0" w:rsidRPr="006B2540" w:rsidRDefault="00A871B0">
            <w:pPr>
              <w:pStyle w:val="Bullet-list"/>
              <w:spacing w:after="0" w:line="240" w:lineRule="auto"/>
              <w:ind w:left="0" w:firstLine="0"/>
              <w:jc w:val="left"/>
              <w:rPr>
                <w:rFonts w:ascii="Times New Roman" w:hAnsi="Times New Roman"/>
                <w:sz w:val="20"/>
                <w:highlight w:val="yellow"/>
              </w:rPr>
            </w:pPr>
          </w:p>
        </w:tc>
        <w:tc>
          <w:tcPr>
            <w:tcW w:w="1559" w:type="dxa"/>
            <w:tcBorders>
              <w:bottom w:val="nil"/>
            </w:tcBorders>
          </w:tcPr>
          <w:p w:rsidR="00C527E9" w:rsidRPr="00ED5E55" w:rsidRDefault="002F1C24" w:rsidP="00B91E3E">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b/>
                <w:sz w:val="20"/>
              </w:rPr>
              <w:t xml:space="preserve"> - </w:t>
            </w:r>
            <w:r>
              <w:rPr>
                <w:rFonts w:ascii="Times New Roman" w:hAnsi="Times New Roman"/>
                <w:sz w:val="20"/>
              </w:rPr>
              <w:t>b</w:t>
            </w:r>
            <w:r w:rsidR="000C6385">
              <w:rPr>
                <w:rFonts w:ascii="Times New Roman" w:hAnsi="Times New Roman"/>
                <w:sz w:val="20"/>
              </w:rPr>
              <w:t xml:space="preserve">usinesses </w:t>
            </w:r>
            <w:r w:rsidR="009B26B8">
              <w:rPr>
                <w:rFonts w:ascii="Times New Roman" w:hAnsi="Times New Roman"/>
                <w:sz w:val="20"/>
              </w:rPr>
              <w:t>would apply a new test, which is not expected to significantly alter compliance costs from the current test.</w:t>
            </w:r>
            <w:r w:rsidR="000C6385">
              <w:rPr>
                <w:rFonts w:ascii="Times New Roman" w:hAnsi="Times New Roman"/>
                <w:sz w:val="20"/>
              </w:rPr>
              <w:t xml:space="preserve"> </w:t>
            </w:r>
          </w:p>
        </w:tc>
        <w:tc>
          <w:tcPr>
            <w:tcW w:w="1843" w:type="dxa"/>
            <w:tcBorders>
              <w:bottom w:val="nil"/>
            </w:tcBorders>
          </w:tcPr>
          <w:p w:rsidR="00EA3246" w:rsidRDefault="00EA3246">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IRD monitors taxpayers’ compliance with the rules (as with other tax rules).</w:t>
            </w:r>
          </w:p>
          <w:p w:rsidR="00EA3246" w:rsidRDefault="00EA3246">
            <w:pPr>
              <w:pStyle w:val="Bullet-list"/>
              <w:spacing w:after="0" w:line="240" w:lineRule="auto"/>
              <w:ind w:left="0" w:firstLine="0"/>
              <w:jc w:val="left"/>
              <w:rPr>
                <w:rFonts w:ascii="Times New Roman" w:hAnsi="Times New Roman"/>
                <w:sz w:val="20"/>
              </w:rPr>
            </w:pPr>
          </w:p>
          <w:p w:rsidR="00C527E9" w:rsidRPr="005B3497" w:rsidRDefault="00B62E1F">
            <w:pPr>
              <w:pStyle w:val="Bullet-list"/>
              <w:spacing w:after="0" w:line="240" w:lineRule="auto"/>
              <w:ind w:left="0" w:firstLine="0"/>
              <w:jc w:val="left"/>
              <w:rPr>
                <w:rFonts w:ascii="Times New Roman" w:hAnsi="Times New Roman"/>
                <w:sz w:val="20"/>
              </w:rPr>
            </w:pPr>
            <w:r>
              <w:rPr>
                <w:rFonts w:ascii="Times New Roman" w:hAnsi="Times New Roman"/>
                <w:sz w:val="20"/>
              </w:rPr>
              <w:t>C</w:t>
            </w:r>
            <w:r w:rsidR="00C527E9">
              <w:rPr>
                <w:rFonts w:ascii="Times New Roman" w:hAnsi="Times New Roman"/>
                <w:sz w:val="20"/>
              </w:rPr>
              <w:t xml:space="preserve">ost </w:t>
            </w:r>
            <w:r>
              <w:rPr>
                <w:rFonts w:ascii="Times New Roman" w:hAnsi="Times New Roman"/>
                <w:sz w:val="20"/>
              </w:rPr>
              <w:t xml:space="preserve">from </w:t>
            </w:r>
            <w:r w:rsidR="00C527E9">
              <w:rPr>
                <w:rFonts w:ascii="Times New Roman" w:hAnsi="Times New Roman"/>
                <w:sz w:val="20"/>
              </w:rPr>
              <w:t>updating products and communicati</w:t>
            </w:r>
            <w:r w:rsidR="00A13DF6">
              <w:rPr>
                <w:rFonts w:ascii="Times New Roman" w:hAnsi="Times New Roman"/>
                <w:sz w:val="20"/>
              </w:rPr>
              <w:t>ng changes</w:t>
            </w:r>
            <w:r w:rsidR="002F1C24">
              <w:rPr>
                <w:rFonts w:ascii="Times New Roman" w:hAnsi="Times New Roman"/>
                <w:sz w:val="20"/>
              </w:rPr>
              <w:t>.</w:t>
            </w:r>
          </w:p>
          <w:p w:rsidR="00C527E9" w:rsidRPr="00ED5E55" w:rsidRDefault="00C527E9">
            <w:pPr>
              <w:pStyle w:val="Bullet-list"/>
              <w:spacing w:after="0" w:line="240" w:lineRule="auto"/>
              <w:ind w:left="0" w:firstLine="0"/>
              <w:jc w:val="left"/>
              <w:rPr>
                <w:rFonts w:ascii="Times New Roman" w:hAnsi="Times New Roman"/>
                <w:sz w:val="20"/>
              </w:rPr>
            </w:pPr>
          </w:p>
        </w:tc>
        <w:tc>
          <w:tcPr>
            <w:tcW w:w="1701" w:type="dxa"/>
            <w:tcBorders>
              <w:bottom w:val="nil"/>
            </w:tcBorders>
          </w:tcPr>
          <w:p w:rsidR="00EA3246" w:rsidRDefault="00EA3246">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Decrease</w:t>
            </w:r>
            <w:r>
              <w:rPr>
                <w:rFonts w:ascii="Times New Roman" w:hAnsi="Times New Roman"/>
                <w:sz w:val="20"/>
              </w:rPr>
              <w:t xml:space="preserve"> - increases </w:t>
            </w:r>
            <w:r w:rsidR="00BE4D5F">
              <w:rPr>
                <w:rFonts w:ascii="Times New Roman" w:hAnsi="Times New Roman"/>
                <w:sz w:val="20"/>
              </w:rPr>
              <w:t>uncertainty of business’ obligations.</w:t>
            </w:r>
          </w:p>
          <w:p w:rsidR="00EA3246" w:rsidRDefault="00EA3246">
            <w:pPr>
              <w:pStyle w:val="Bullet-list"/>
              <w:spacing w:after="0" w:line="240" w:lineRule="auto"/>
              <w:ind w:left="0" w:firstLine="0"/>
              <w:jc w:val="left"/>
              <w:rPr>
                <w:rFonts w:ascii="Times New Roman" w:hAnsi="Times New Roman"/>
                <w:sz w:val="20"/>
              </w:rPr>
            </w:pPr>
          </w:p>
          <w:p w:rsidR="00C527E9" w:rsidRPr="00ED5E55" w:rsidRDefault="00BE4D5F">
            <w:pPr>
              <w:pStyle w:val="Bullet-list"/>
              <w:spacing w:after="0" w:line="240" w:lineRule="auto"/>
              <w:ind w:left="0" w:firstLine="0"/>
              <w:jc w:val="left"/>
              <w:rPr>
                <w:rFonts w:ascii="Times New Roman" w:hAnsi="Times New Roman"/>
                <w:sz w:val="20"/>
              </w:rPr>
            </w:pPr>
            <w:r>
              <w:rPr>
                <w:rFonts w:ascii="Times New Roman" w:hAnsi="Times New Roman"/>
                <w:sz w:val="20"/>
              </w:rPr>
              <w:t>Guidance on intended effect would help mitigate this uncertainty.</w:t>
            </w:r>
          </w:p>
        </w:tc>
        <w:tc>
          <w:tcPr>
            <w:tcW w:w="1551" w:type="dxa"/>
            <w:tcBorders>
              <w:bottom w:val="nil"/>
            </w:tcBorders>
          </w:tcPr>
          <w:p w:rsidR="00EF341D" w:rsidRPr="00ED5E55" w:rsidRDefault="00EA3246">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Increase</w:t>
            </w:r>
            <w:r>
              <w:rPr>
                <w:rFonts w:ascii="Times New Roman" w:hAnsi="Times New Roman"/>
                <w:sz w:val="20"/>
              </w:rPr>
              <w:t xml:space="preserve"> - </w:t>
            </w:r>
            <w:r w:rsidR="00032200">
              <w:rPr>
                <w:rFonts w:ascii="Times New Roman" w:hAnsi="Times New Roman"/>
                <w:sz w:val="20"/>
              </w:rPr>
              <w:t>GST applies evenly to consumption in New Zealand</w:t>
            </w:r>
            <w:r w:rsidR="002F1C24">
              <w:rPr>
                <w:rFonts w:ascii="Times New Roman" w:hAnsi="Times New Roman"/>
                <w:sz w:val="20"/>
              </w:rPr>
              <w:t xml:space="preserve">.  GST does </w:t>
            </w:r>
            <w:r w:rsidR="00032200">
              <w:rPr>
                <w:rFonts w:ascii="Times New Roman" w:hAnsi="Times New Roman"/>
                <w:sz w:val="20"/>
              </w:rPr>
              <w:t>not apply to consumption outside New Zealand.</w:t>
            </w:r>
          </w:p>
        </w:tc>
        <w:tc>
          <w:tcPr>
            <w:tcW w:w="1363" w:type="dxa"/>
            <w:tcBorders>
              <w:bottom w:val="nil"/>
            </w:tcBorders>
          </w:tcPr>
          <w:p w:rsidR="00C527E9" w:rsidRPr="00ED5E55" w:rsidRDefault="00EA3246">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Increase</w:t>
            </w:r>
            <w:r>
              <w:rPr>
                <w:rFonts w:ascii="Times New Roman" w:hAnsi="Times New Roman"/>
                <w:sz w:val="20"/>
              </w:rPr>
              <w:t xml:space="preserve"> – revenue increase forecast at </w:t>
            </w:r>
            <w:r w:rsidR="00EF341D">
              <w:rPr>
                <w:rFonts w:ascii="Times New Roman" w:hAnsi="Times New Roman"/>
                <w:sz w:val="20"/>
              </w:rPr>
              <w:t>$4</w:t>
            </w:r>
            <w:r w:rsidR="000C43AB">
              <w:rPr>
                <w:rFonts w:ascii="Times New Roman" w:hAnsi="Times New Roman"/>
                <w:sz w:val="20"/>
              </w:rPr>
              <w:t xml:space="preserve"> </w:t>
            </w:r>
            <w:r w:rsidR="00EF341D">
              <w:rPr>
                <w:rFonts w:ascii="Times New Roman" w:hAnsi="Times New Roman"/>
                <w:sz w:val="20"/>
              </w:rPr>
              <w:t>m</w:t>
            </w:r>
            <w:r w:rsidR="000C43AB">
              <w:rPr>
                <w:rFonts w:ascii="Times New Roman" w:hAnsi="Times New Roman"/>
                <w:sz w:val="20"/>
              </w:rPr>
              <w:t>illion</w:t>
            </w:r>
            <w:r w:rsidR="00EF341D">
              <w:rPr>
                <w:rFonts w:ascii="Times New Roman" w:hAnsi="Times New Roman"/>
                <w:sz w:val="20"/>
              </w:rPr>
              <w:t xml:space="preserve"> per annum</w:t>
            </w:r>
            <w:r>
              <w:rPr>
                <w:rFonts w:ascii="Times New Roman" w:hAnsi="Times New Roman"/>
                <w:sz w:val="20"/>
              </w:rPr>
              <w:t>.</w:t>
            </w:r>
          </w:p>
        </w:tc>
      </w:tr>
      <w:tr w:rsidR="002F1C24" w:rsidTr="00B91E3E">
        <w:tc>
          <w:tcPr>
            <w:tcW w:w="2234" w:type="dxa"/>
            <w:tcBorders>
              <w:top w:val="nil"/>
            </w:tcBorders>
          </w:tcPr>
          <w:p w:rsidR="00C527E9" w:rsidRPr="002F302C" w:rsidRDefault="00C527E9" w:rsidP="00C527E9">
            <w:pPr>
              <w:pStyle w:val="Bullet-list"/>
              <w:spacing w:after="0" w:line="240" w:lineRule="auto"/>
              <w:ind w:left="0" w:firstLine="0"/>
              <w:rPr>
                <w:rFonts w:ascii="Times New Roman" w:hAnsi="Times New Roman"/>
                <w:b/>
                <w:sz w:val="24"/>
                <w:szCs w:val="24"/>
              </w:rPr>
            </w:pPr>
          </w:p>
        </w:tc>
        <w:tc>
          <w:tcPr>
            <w:tcW w:w="1985" w:type="dxa"/>
            <w:tcBorders>
              <w:top w:val="nil"/>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268" w:type="dxa"/>
            <w:tcBorders>
              <w:top w:val="nil"/>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559" w:type="dxa"/>
            <w:tcBorders>
              <w:top w:val="nil"/>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43" w:type="dxa"/>
            <w:tcBorders>
              <w:top w:val="nil"/>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701" w:type="dxa"/>
            <w:tcBorders>
              <w:top w:val="nil"/>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551" w:type="dxa"/>
            <w:tcBorders>
              <w:top w:val="nil"/>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363" w:type="dxa"/>
            <w:tcBorders>
              <w:top w:val="nil"/>
            </w:tcBorders>
          </w:tcPr>
          <w:p w:rsidR="00C527E9" w:rsidRPr="00B91E3E" w:rsidRDefault="00C527E9" w:rsidP="00C527E9">
            <w:pPr>
              <w:pStyle w:val="Bullet-list"/>
              <w:spacing w:after="0" w:line="240" w:lineRule="auto"/>
              <w:ind w:left="0" w:firstLine="0"/>
              <w:jc w:val="center"/>
              <w:rPr>
                <w:rFonts w:ascii="Times New Roman" w:hAnsi="Times New Roman"/>
                <w:i/>
                <w:sz w:val="20"/>
              </w:rPr>
            </w:pPr>
          </w:p>
        </w:tc>
      </w:tr>
      <w:tr w:rsidR="002F1C24" w:rsidTr="00B91E3E">
        <w:trPr>
          <w:trHeight w:val="3008"/>
        </w:trPr>
        <w:tc>
          <w:tcPr>
            <w:tcW w:w="2234" w:type="dxa"/>
            <w:tcBorders>
              <w:bottom w:val="nil"/>
            </w:tcBorders>
          </w:tcPr>
          <w:p w:rsidR="00C527E9" w:rsidRPr="006B2540" w:rsidRDefault="00C527E9" w:rsidP="006B2540">
            <w:pPr>
              <w:pStyle w:val="Bullet-list"/>
              <w:tabs>
                <w:tab w:val="num" w:pos="567"/>
              </w:tabs>
              <w:spacing w:after="0" w:line="240" w:lineRule="auto"/>
              <w:ind w:left="0" w:firstLine="0"/>
              <w:jc w:val="left"/>
              <w:rPr>
                <w:rFonts w:ascii="Times New Roman" w:hAnsi="Times New Roman"/>
                <w:b/>
                <w:sz w:val="24"/>
                <w:szCs w:val="24"/>
                <w:lang w:val="en-NZ" w:eastAsia="en-AU"/>
              </w:rPr>
            </w:pPr>
            <w:r w:rsidRPr="006B2540">
              <w:rPr>
                <w:rFonts w:ascii="Times New Roman" w:hAnsi="Times New Roman"/>
                <w:b/>
                <w:sz w:val="24"/>
                <w:szCs w:val="24"/>
                <w:lang w:val="en-NZ" w:eastAsia="en-AU"/>
              </w:rPr>
              <w:t xml:space="preserve">Option 2: </w:t>
            </w:r>
            <w:r w:rsidR="007733FE">
              <w:rPr>
                <w:rFonts w:ascii="Times New Roman" w:hAnsi="Times New Roman"/>
                <w:b/>
                <w:sz w:val="24"/>
                <w:szCs w:val="24"/>
                <w:lang w:val="en-NZ" w:eastAsia="en-AU"/>
              </w:rPr>
              <w:t>Status quo</w:t>
            </w:r>
          </w:p>
        </w:tc>
        <w:tc>
          <w:tcPr>
            <w:tcW w:w="1985" w:type="dxa"/>
            <w:tcBorders>
              <w:bottom w:val="nil"/>
            </w:tcBorders>
          </w:tcPr>
          <w:p w:rsidR="00EA3246" w:rsidRPr="00B91E3E" w:rsidRDefault="00EA3246">
            <w:pPr>
              <w:pStyle w:val="Bullet-list"/>
              <w:spacing w:after="0" w:line="240" w:lineRule="auto"/>
              <w:ind w:left="0" w:firstLine="0"/>
              <w:jc w:val="left"/>
              <w:rPr>
                <w:rFonts w:ascii="Times New Roman" w:hAnsi="Times New Roman"/>
                <w:b/>
                <w:sz w:val="20"/>
              </w:rPr>
            </w:pPr>
            <w:r w:rsidRPr="00B91E3E">
              <w:rPr>
                <w:rFonts w:ascii="Times New Roman" w:hAnsi="Times New Roman"/>
                <w:b/>
                <w:sz w:val="20"/>
              </w:rPr>
              <w:t>No change</w:t>
            </w:r>
            <w:r>
              <w:rPr>
                <w:rFonts w:ascii="Times New Roman" w:hAnsi="Times New Roman"/>
                <w:b/>
                <w:sz w:val="20"/>
              </w:rPr>
              <w:t xml:space="preserve"> -</w:t>
            </w:r>
          </w:p>
          <w:p w:rsidR="00032200" w:rsidRPr="00B3259B" w:rsidRDefault="00032200">
            <w:pPr>
              <w:pStyle w:val="Bullet-list"/>
              <w:spacing w:after="0" w:line="240" w:lineRule="auto"/>
              <w:ind w:left="0" w:firstLine="0"/>
              <w:jc w:val="left"/>
              <w:rPr>
                <w:rFonts w:ascii="Times New Roman" w:hAnsi="Times New Roman"/>
                <w:sz w:val="20"/>
              </w:rPr>
            </w:pPr>
            <w:r w:rsidRPr="00245B58">
              <w:rPr>
                <w:rFonts w:ascii="Times New Roman" w:hAnsi="Times New Roman"/>
                <w:i/>
                <w:sz w:val="20"/>
              </w:rPr>
              <w:t>Supplies to residents</w:t>
            </w:r>
          </w:p>
          <w:p w:rsidR="00032200" w:rsidRPr="00245B58" w:rsidRDefault="00032200">
            <w:pPr>
              <w:pStyle w:val="Bullet-list"/>
              <w:spacing w:after="0" w:line="240" w:lineRule="auto"/>
              <w:ind w:left="0" w:firstLine="0"/>
              <w:jc w:val="left"/>
              <w:rPr>
                <w:rFonts w:ascii="Times New Roman" w:hAnsi="Times New Roman"/>
                <w:sz w:val="20"/>
              </w:rPr>
            </w:pPr>
            <w:r w:rsidRPr="00245B58">
              <w:rPr>
                <w:rFonts w:ascii="Times New Roman" w:hAnsi="Times New Roman"/>
                <w:sz w:val="20"/>
              </w:rPr>
              <w:t>Treatment of New Zealand and overseas businesses should be e</w:t>
            </w:r>
            <w:r>
              <w:rPr>
                <w:rFonts w:ascii="Times New Roman" w:hAnsi="Times New Roman"/>
                <w:sz w:val="20"/>
              </w:rPr>
              <w:t>quivalent.</w:t>
            </w:r>
          </w:p>
          <w:p w:rsidR="00032200" w:rsidRDefault="00032200">
            <w:pPr>
              <w:pStyle w:val="Bullet-list"/>
              <w:spacing w:after="0" w:line="240" w:lineRule="auto"/>
              <w:ind w:left="0" w:firstLine="0"/>
              <w:jc w:val="left"/>
              <w:rPr>
                <w:rFonts w:ascii="Times New Roman" w:hAnsi="Times New Roman"/>
                <w:i/>
                <w:sz w:val="20"/>
              </w:rPr>
            </w:pPr>
          </w:p>
          <w:p w:rsidR="00E217F2" w:rsidRPr="006B2540" w:rsidRDefault="00E217F2" w:rsidP="00EA3246">
            <w:pPr>
              <w:pStyle w:val="Bullet-list"/>
              <w:spacing w:after="0" w:line="240" w:lineRule="auto"/>
              <w:ind w:left="0" w:firstLine="0"/>
              <w:jc w:val="left"/>
              <w:rPr>
                <w:rFonts w:ascii="Times New Roman" w:hAnsi="Times New Roman"/>
                <w:i/>
                <w:sz w:val="20"/>
              </w:rPr>
            </w:pPr>
            <w:r w:rsidRPr="006B2540">
              <w:rPr>
                <w:rFonts w:ascii="Times New Roman" w:hAnsi="Times New Roman"/>
                <w:i/>
                <w:sz w:val="20"/>
              </w:rPr>
              <w:t>Supplies to non-residents</w:t>
            </w:r>
          </w:p>
          <w:p w:rsidR="00A13DF6" w:rsidRPr="00BE4D5F" w:rsidRDefault="00E217F2">
            <w:pPr>
              <w:pStyle w:val="Bullet-list"/>
              <w:spacing w:after="0" w:line="240" w:lineRule="auto"/>
              <w:ind w:left="0" w:firstLine="0"/>
              <w:jc w:val="left"/>
              <w:rPr>
                <w:rFonts w:ascii="Times New Roman" w:hAnsi="Times New Roman"/>
                <w:sz w:val="20"/>
              </w:rPr>
            </w:pPr>
            <w:r w:rsidRPr="00245B58">
              <w:rPr>
                <w:rFonts w:ascii="Times New Roman" w:hAnsi="Times New Roman"/>
                <w:sz w:val="20"/>
              </w:rPr>
              <w:t>Treatment of New Zealand and overseas businesses should be e</w:t>
            </w:r>
            <w:r>
              <w:rPr>
                <w:rFonts w:ascii="Times New Roman" w:hAnsi="Times New Roman"/>
                <w:sz w:val="20"/>
              </w:rPr>
              <w:t>quivalent.</w:t>
            </w:r>
          </w:p>
        </w:tc>
        <w:tc>
          <w:tcPr>
            <w:tcW w:w="2268" w:type="dxa"/>
            <w:tcBorders>
              <w:bottom w:val="nil"/>
            </w:tcBorders>
          </w:tcPr>
          <w:p w:rsidR="00EA3246" w:rsidRPr="00B91E3E" w:rsidRDefault="002F1C24">
            <w:pPr>
              <w:pStyle w:val="Bullet-list"/>
              <w:spacing w:after="0" w:line="240" w:lineRule="auto"/>
              <w:ind w:left="0" w:firstLine="0"/>
              <w:jc w:val="left"/>
              <w:rPr>
                <w:rFonts w:ascii="Times New Roman" w:hAnsi="Times New Roman"/>
                <w:b/>
                <w:sz w:val="20"/>
              </w:rPr>
            </w:pPr>
            <w:r w:rsidRPr="00A0104F">
              <w:rPr>
                <w:rFonts w:ascii="Times New Roman" w:hAnsi="Times New Roman"/>
                <w:b/>
                <w:sz w:val="20"/>
              </w:rPr>
              <w:t>No change</w:t>
            </w:r>
            <w:r>
              <w:rPr>
                <w:rFonts w:ascii="Times New Roman" w:hAnsi="Times New Roman"/>
                <w:b/>
                <w:sz w:val="20"/>
              </w:rPr>
              <w:t xml:space="preserve"> -</w:t>
            </w:r>
          </w:p>
          <w:p w:rsidR="00032200" w:rsidRPr="00780F83" w:rsidRDefault="00032200">
            <w:pPr>
              <w:pStyle w:val="Bullet-list"/>
              <w:spacing w:after="0" w:line="240" w:lineRule="auto"/>
              <w:ind w:left="0" w:firstLine="0"/>
              <w:jc w:val="left"/>
              <w:rPr>
                <w:rFonts w:ascii="Times New Roman" w:hAnsi="Times New Roman"/>
                <w:sz w:val="20"/>
                <w:highlight w:val="yellow"/>
              </w:rPr>
            </w:pPr>
            <w:r w:rsidRPr="00245B58">
              <w:rPr>
                <w:rFonts w:ascii="Times New Roman" w:hAnsi="Times New Roman"/>
                <w:i/>
                <w:sz w:val="20"/>
              </w:rPr>
              <w:t>Supplies to residents</w:t>
            </w:r>
          </w:p>
          <w:p w:rsidR="00032200" w:rsidRPr="00245B58" w:rsidRDefault="00032200">
            <w:pPr>
              <w:pStyle w:val="Bullet-list"/>
              <w:spacing w:after="0" w:line="240" w:lineRule="auto"/>
              <w:ind w:left="0" w:firstLine="0"/>
              <w:jc w:val="left"/>
              <w:rPr>
                <w:rFonts w:ascii="Times New Roman" w:hAnsi="Times New Roman"/>
                <w:sz w:val="20"/>
              </w:rPr>
            </w:pPr>
            <w:r w:rsidRPr="00245B58">
              <w:rPr>
                <w:rFonts w:ascii="Times New Roman" w:hAnsi="Times New Roman"/>
                <w:sz w:val="20"/>
              </w:rPr>
              <w:t xml:space="preserve">Possible competitive advantage for </w:t>
            </w:r>
            <w:r>
              <w:rPr>
                <w:rFonts w:ascii="Times New Roman" w:hAnsi="Times New Roman"/>
                <w:sz w:val="20"/>
              </w:rPr>
              <w:t xml:space="preserve">New Zealand </w:t>
            </w:r>
            <w:r w:rsidRPr="00245B58">
              <w:rPr>
                <w:rFonts w:ascii="Times New Roman" w:hAnsi="Times New Roman"/>
                <w:sz w:val="20"/>
              </w:rPr>
              <w:t xml:space="preserve">businesses performing services </w:t>
            </w:r>
            <w:r>
              <w:rPr>
                <w:rFonts w:ascii="Times New Roman" w:hAnsi="Times New Roman"/>
                <w:sz w:val="20"/>
              </w:rPr>
              <w:t>in</w:t>
            </w:r>
            <w:r w:rsidRPr="00245B58">
              <w:rPr>
                <w:rFonts w:ascii="Times New Roman" w:hAnsi="Times New Roman"/>
                <w:sz w:val="20"/>
              </w:rPr>
              <w:t xml:space="preserve"> New Zealand.</w:t>
            </w:r>
          </w:p>
          <w:p w:rsidR="00032200" w:rsidRDefault="00032200">
            <w:pPr>
              <w:pStyle w:val="Bullet-list"/>
              <w:spacing w:after="0" w:line="240" w:lineRule="auto"/>
              <w:ind w:left="0" w:firstLine="0"/>
              <w:jc w:val="left"/>
              <w:rPr>
                <w:rFonts w:ascii="Times New Roman" w:hAnsi="Times New Roman"/>
                <w:i/>
                <w:sz w:val="20"/>
              </w:rPr>
            </w:pPr>
          </w:p>
          <w:p w:rsidR="00E217F2" w:rsidRPr="006B2540" w:rsidRDefault="00E217F2" w:rsidP="00EA3246">
            <w:pPr>
              <w:pStyle w:val="Bullet-list"/>
              <w:spacing w:after="0" w:line="240" w:lineRule="auto"/>
              <w:ind w:left="0" w:firstLine="0"/>
              <w:jc w:val="left"/>
              <w:rPr>
                <w:rFonts w:ascii="Times New Roman" w:hAnsi="Times New Roman"/>
                <w:i/>
                <w:sz w:val="20"/>
              </w:rPr>
            </w:pPr>
            <w:r w:rsidRPr="006B2540">
              <w:rPr>
                <w:rFonts w:ascii="Times New Roman" w:hAnsi="Times New Roman"/>
                <w:i/>
                <w:sz w:val="20"/>
              </w:rPr>
              <w:t>Supplies to non-residents</w:t>
            </w:r>
          </w:p>
          <w:p w:rsidR="00A13DF6" w:rsidRDefault="00E217F2">
            <w:pPr>
              <w:pStyle w:val="Bullet-list"/>
              <w:spacing w:after="0" w:line="240" w:lineRule="auto"/>
              <w:ind w:left="0" w:firstLine="0"/>
              <w:jc w:val="left"/>
              <w:rPr>
                <w:rFonts w:ascii="Times New Roman" w:hAnsi="Times New Roman"/>
                <w:sz w:val="20"/>
              </w:rPr>
            </w:pPr>
            <w:r w:rsidRPr="00245B58">
              <w:rPr>
                <w:rFonts w:ascii="Times New Roman" w:hAnsi="Times New Roman"/>
                <w:sz w:val="20"/>
              </w:rPr>
              <w:t>Treatment of New Zealand and overseas businesses should be e</w:t>
            </w:r>
            <w:r>
              <w:rPr>
                <w:rFonts w:ascii="Times New Roman" w:hAnsi="Times New Roman"/>
                <w:sz w:val="20"/>
              </w:rPr>
              <w:t>quivalent.</w:t>
            </w:r>
          </w:p>
          <w:p w:rsidR="00BE4D5F" w:rsidRPr="00BE4D5F" w:rsidRDefault="00BE4D5F">
            <w:pPr>
              <w:pStyle w:val="Bullet-list"/>
              <w:spacing w:after="0" w:line="240" w:lineRule="auto"/>
              <w:ind w:left="0" w:firstLine="0"/>
              <w:jc w:val="left"/>
              <w:rPr>
                <w:rFonts w:ascii="Times New Roman" w:hAnsi="Times New Roman"/>
                <w:sz w:val="20"/>
              </w:rPr>
            </w:pPr>
          </w:p>
        </w:tc>
        <w:tc>
          <w:tcPr>
            <w:tcW w:w="1559" w:type="dxa"/>
            <w:tcBorders>
              <w:bottom w:val="nil"/>
            </w:tcBorders>
          </w:tcPr>
          <w:p w:rsidR="00C527E9" w:rsidRPr="00ED5E55" w:rsidRDefault="002F1C24" w:rsidP="00B91E3E">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b/>
                <w:sz w:val="20"/>
              </w:rPr>
              <w:t xml:space="preserve"> - </w:t>
            </w:r>
            <w:r>
              <w:rPr>
                <w:rFonts w:ascii="Times New Roman" w:hAnsi="Times New Roman"/>
                <w:sz w:val="20"/>
              </w:rPr>
              <w:t xml:space="preserve">businesses </w:t>
            </w:r>
            <w:r w:rsidR="009B26B8">
              <w:rPr>
                <w:rFonts w:ascii="Times New Roman" w:hAnsi="Times New Roman"/>
                <w:sz w:val="20"/>
              </w:rPr>
              <w:t>continue to apply current test.</w:t>
            </w:r>
          </w:p>
        </w:tc>
        <w:tc>
          <w:tcPr>
            <w:tcW w:w="1843" w:type="dxa"/>
            <w:tcBorders>
              <w:bottom w:val="nil"/>
            </w:tcBorders>
          </w:tcPr>
          <w:p w:rsidR="00C527E9" w:rsidRPr="00ED5E55" w:rsidRDefault="00EA3246">
            <w:pPr>
              <w:pStyle w:val="Bullet-list"/>
              <w:spacing w:after="0" w:line="240" w:lineRule="auto"/>
              <w:ind w:left="0" w:firstLine="0"/>
              <w:jc w:val="left"/>
              <w:rPr>
                <w:rFonts w:ascii="Times New Roman" w:hAnsi="Times New Roman"/>
                <w:sz w:val="20"/>
              </w:rPr>
            </w:pPr>
            <w:r w:rsidRPr="00A0104F">
              <w:rPr>
                <w:rFonts w:ascii="Times New Roman" w:hAnsi="Times New Roman"/>
                <w:b/>
                <w:sz w:val="20"/>
              </w:rPr>
              <w:t>No change</w:t>
            </w:r>
            <w:r>
              <w:rPr>
                <w:rFonts w:ascii="Times New Roman" w:hAnsi="Times New Roman"/>
                <w:sz w:val="20"/>
              </w:rPr>
              <w:t xml:space="preserve"> - IRD monitors taxpayers’ compliance with the rules (as with other tax rules).</w:t>
            </w:r>
          </w:p>
        </w:tc>
        <w:tc>
          <w:tcPr>
            <w:tcW w:w="1701" w:type="dxa"/>
            <w:tcBorders>
              <w:bottom w:val="nil"/>
            </w:tcBorders>
          </w:tcPr>
          <w:p w:rsidR="00C527E9" w:rsidRDefault="00EA3246">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w:t>
            </w:r>
            <w:r w:rsidR="005620B7">
              <w:rPr>
                <w:rFonts w:ascii="Times New Roman" w:hAnsi="Times New Roman"/>
                <w:sz w:val="20"/>
              </w:rPr>
              <w:t>–</w:t>
            </w:r>
            <w:r>
              <w:rPr>
                <w:rFonts w:ascii="Times New Roman" w:hAnsi="Times New Roman"/>
                <w:sz w:val="20"/>
              </w:rPr>
              <w:t xml:space="preserve"> </w:t>
            </w:r>
            <w:r w:rsidR="005620B7">
              <w:rPr>
                <w:rFonts w:ascii="Times New Roman" w:hAnsi="Times New Roman"/>
                <w:sz w:val="20"/>
              </w:rPr>
              <w:t xml:space="preserve">businesses would apply a </w:t>
            </w:r>
            <w:r w:rsidR="00BE4D5F">
              <w:rPr>
                <w:rFonts w:ascii="Times New Roman" w:hAnsi="Times New Roman"/>
                <w:sz w:val="20"/>
              </w:rPr>
              <w:t>longstanding test.</w:t>
            </w:r>
          </w:p>
          <w:p w:rsidR="00BE4D5F" w:rsidRDefault="00BE4D5F">
            <w:pPr>
              <w:pStyle w:val="Bullet-list"/>
              <w:spacing w:after="0" w:line="240" w:lineRule="auto"/>
              <w:ind w:left="0" w:firstLine="0"/>
              <w:jc w:val="left"/>
              <w:rPr>
                <w:rFonts w:ascii="Times New Roman" w:hAnsi="Times New Roman"/>
                <w:sz w:val="20"/>
              </w:rPr>
            </w:pPr>
          </w:p>
          <w:p w:rsidR="00BE4D5F" w:rsidRPr="00ED5E55" w:rsidRDefault="00BE4D5F">
            <w:pPr>
              <w:pStyle w:val="Bullet-list"/>
              <w:spacing w:after="0" w:line="240" w:lineRule="auto"/>
              <w:ind w:left="0" w:firstLine="0"/>
              <w:jc w:val="left"/>
              <w:rPr>
                <w:rFonts w:ascii="Times New Roman" w:hAnsi="Times New Roman"/>
                <w:sz w:val="20"/>
              </w:rPr>
            </w:pPr>
            <w:r>
              <w:rPr>
                <w:rFonts w:ascii="Times New Roman" w:hAnsi="Times New Roman"/>
                <w:sz w:val="20"/>
              </w:rPr>
              <w:t>Currently little guidance on application to services, other than legal services.</w:t>
            </w:r>
          </w:p>
        </w:tc>
        <w:tc>
          <w:tcPr>
            <w:tcW w:w="1551" w:type="dxa"/>
            <w:tcBorders>
              <w:bottom w:val="nil"/>
            </w:tcBorders>
          </w:tcPr>
          <w:p w:rsidR="00FB590B" w:rsidRDefault="00EA3246">
            <w:pPr>
              <w:pStyle w:val="Bullet-list"/>
              <w:spacing w:after="0" w:line="240" w:lineRule="auto"/>
              <w:ind w:left="0" w:firstLine="0"/>
              <w:jc w:val="left"/>
              <w:rPr>
                <w:rFonts w:ascii="Times New Roman" w:hAnsi="Times New Roman"/>
                <w:sz w:val="20"/>
              </w:rPr>
            </w:pPr>
            <w:r w:rsidRPr="00B91E3E">
              <w:rPr>
                <w:rFonts w:ascii="Times New Roman" w:hAnsi="Times New Roman"/>
                <w:b/>
                <w:sz w:val="20"/>
              </w:rPr>
              <w:t>No change</w:t>
            </w:r>
            <w:r>
              <w:rPr>
                <w:rFonts w:ascii="Times New Roman" w:hAnsi="Times New Roman"/>
                <w:sz w:val="20"/>
              </w:rPr>
              <w:t xml:space="preserve"> - non</w:t>
            </w:r>
            <w:r w:rsidR="00FB590B">
              <w:rPr>
                <w:rFonts w:ascii="Times New Roman" w:hAnsi="Times New Roman"/>
                <w:sz w:val="20"/>
              </w:rPr>
              <w:t xml:space="preserve">-residents </w:t>
            </w:r>
            <w:r w:rsidR="00032200">
              <w:rPr>
                <w:rFonts w:ascii="Times New Roman" w:hAnsi="Times New Roman"/>
                <w:sz w:val="20"/>
              </w:rPr>
              <w:t xml:space="preserve">receive more favourable treatment of some consumption in New Zealand. </w:t>
            </w:r>
          </w:p>
          <w:p w:rsidR="00032200" w:rsidRDefault="00032200">
            <w:pPr>
              <w:pStyle w:val="Bullet-list"/>
              <w:spacing w:after="0" w:line="240" w:lineRule="auto"/>
              <w:ind w:left="0" w:firstLine="0"/>
              <w:jc w:val="left"/>
              <w:rPr>
                <w:rFonts w:ascii="Times New Roman" w:hAnsi="Times New Roman"/>
                <w:sz w:val="20"/>
              </w:rPr>
            </w:pPr>
          </w:p>
          <w:p w:rsidR="00FB590B" w:rsidRPr="00ED5E55" w:rsidRDefault="00FB590B">
            <w:pPr>
              <w:pStyle w:val="Bullet-list"/>
              <w:spacing w:after="0" w:line="240" w:lineRule="auto"/>
              <w:ind w:left="0" w:firstLine="0"/>
              <w:jc w:val="left"/>
              <w:rPr>
                <w:rFonts w:ascii="Times New Roman" w:hAnsi="Times New Roman"/>
                <w:sz w:val="20"/>
              </w:rPr>
            </w:pPr>
            <w:r>
              <w:rPr>
                <w:rFonts w:ascii="Times New Roman" w:hAnsi="Times New Roman"/>
                <w:sz w:val="20"/>
              </w:rPr>
              <w:t>Residents</w:t>
            </w:r>
            <w:r w:rsidR="00BE4D5F">
              <w:rPr>
                <w:rFonts w:ascii="Times New Roman" w:hAnsi="Times New Roman"/>
                <w:sz w:val="20"/>
              </w:rPr>
              <w:t>’</w:t>
            </w:r>
            <w:r w:rsidR="002F1C24">
              <w:rPr>
                <w:rFonts w:ascii="Times New Roman" w:hAnsi="Times New Roman"/>
                <w:sz w:val="20"/>
              </w:rPr>
              <w:t xml:space="preserve"> </w:t>
            </w:r>
            <w:r w:rsidR="00BE4D5F">
              <w:rPr>
                <w:rFonts w:ascii="Times New Roman" w:hAnsi="Times New Roman"/>
                <w:sz w:val="20"/>
              </w:rPr>
              <w:t>consumption outside New Zealand is taxed.</w:t>
            </w:r>
          </w:p>
        </w:tc>
        <w:tc>
          <w:tcPr>
            <w:tcW w:w="1363" w:type="dxa"/>
            <w:tcBorders>
              <w:bottom w:val="nil"/>
            </w:tcBorders>
          </w:tcPr>
          <w:p w:rsidR="00C527E9" w:rsidRPr="00B91E3E" w:rsidRDefault="00BE4D5F">
            <w:pPr>
              <w:pStyle w:val="Bullet-list"/>
              <w:spacing w:after="0" w:line="240" w:lineRule="auto"/>
              <w:ind w:left="0" w:firstLine="0"/>
              <w:jc w:val="left"/>
              <w:rPr>
                <w:rFonts w:ascii="Times New Roman" w:hAnsi="Times New Roman"/>
                <w:b/>
                <w:sz w:val="20"/>
              </w:rPr>
            </w:pPr>
            <w:r w:rsidRPr="00B91E3E">
              <w:rPr>
                <w:rFonts w:ascii="Times New Roman" w:hAnsi="Times New Roman"/>
                <w:b/>
                <w:sz w:val="20"/>
              </w:rPr>
              <w:t>No change.</w:t>
            </w:r>
          </w:p>
        </w:tc>
      </w:tr>
      <w:tr w:rsidR="002F1C24" w:rsidTr="00B91E3E">
        <w:trPr>
          <w:trHeight w:val="80"/>
        </w:trPr>
        <w:tc>
          <w:tcPr>
            <w:tcW w:w="2234" w:type="dxa"/>
            <w:tcBorders>
              <w:top w:val="nil"/>
              <w:bottom w:val="single" w:sz="4" w:space="0" w:color="auto"/>
            </w:tcBorders>
          </w:tcPr>
          <w:p w:rsidR="00C527E9" w:rsidRPr="002F302C" w:rsidRDefault="00C527E9" w:rsidP="006B2540">
            <w:pPr>
              <w:pStyle w:val="Bullet-list"/>
              <w:spacing w:after="0" w:line="240" w:lineRule="auto"/>
              <w:ind w:left="0" w:firstLine="0"/>
              <w:jc w:val="left"/>
              <w:rPr>
                <w:rFonts w:ascii="Times New Roman" w:hAnsi="Times New Roman"/>
                <w:b/>
                <w:sz w:val="24"/>
                <w:szCs w:val="24"/>
              </w:rPr>
            </w:pPr>
          </w:p>
        </w:tc>
        <w:tc>
          <w:tcPr>
            <w:tcW w:w="1985" w:type="dxa"/>
            <w:tcBorders>
              <w:top w:val="nil"/>
              <w:bottom w:val="single" w:sz="4" w:space="0" w:color="auto"/>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2268" w:type="dxa"/>
            <w:tcBorders>
              <w:top w:val="nil"/>
              <w:bottom w:val="single" w:sz="4" w:space="0" w:color="auto"/>
            </w:tcBorders>
          </w:tcPr>
          <w:p w:rsidR="00C527E9" w:rsidRPr="00B91E3E" w:rsidRDefault="00D05759" w:rsidP="00F1236B">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559" w:type="dxa"/>
            <w:tcBorders>
              <w:top w:val="nil"/>
              <w:bottom w:val="single" w:sz="4" w:space="0" w:color="auto"/>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843" w:type="dxa"/>
            <w:tcBorders>
              <w:top w:val="nil"/>
              <w:bottom w:val="single" w:sz="4" w:space="0" w:color="auto"/>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701" w:type="dxa"/>
            <w:tcBorders>
              <w:top w:val="nil"/>
              <w:bottom w:val="single" w:sz="4" w:space="0" w:color="auto"/>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Meets objective</w:t>
            </w:r>
          </w:p>
        </w:tc>
        <w:tc>
          <w:tcPr>
            <w:tcW w:w="1551" w:type="dxa"/>
            <w:tcBorders>
              <w:top w:val="nil"/>
              <w:bottom w:val="single" w:sz="4" w:space="0" w:color="auto"/>
            </w:tcBorders>
          </w:tcPr>
          <w:p w:rsidR="00C527E9" w:rsidRPr="00B91E3E" w:rsidRDefault="00D05759" w:rsidP="00C527E9">
            <w:pPr>
              <w:pStyle w:val="Bullet-list"/>
              <w:spacing w:after="0" w:line="240" w:lineRule="auto"/>
              <w:ind w:left="0" w:firstLine="0"/>
              <w:jc w:val="center"/>
              <w:rPr>
                <w:rFonts w:ascii="Times New Roman" w:hAnsi="Times New Roman"/>
                <w:i/>
                <w:sz w:val="20"/>
              </w:rPr>
            </w:pPr>
            <w:r w:rsidRPr="00B91E3E">
              <w:rPr>
                <w:rFonts w:ascii="Times New Roman" w:hAnsi="Times New Roman"/>
                <w:i/>
                <w:sz w:val="20"/>
              </w:rPr>
              <w:t>Does not meet objective</w:t>
            </w:r>
          </w:p>
        </w:tc>
        <w:tc>
          <w:tcPr>
            <w:tcW w:w="1363" w:type="dxa"/>
            <w:tcBorders>
              <w:top w:val="nil"/>
              <w:bottom w:val="single" w:sz="4" w:space="0" w:color="auto"/>
            </w:tcBorders>
          </w:tcPr>
          <w:p w:rsidR="00C527E9" w:rsidRPr="00B91E3E" w:rsidRDefault="00C527E9" w:rsidP="00C527E9">
            <w:pPr>
              <w:pStyle w:val="Bullet-list"/>
              <w:spacing w:after="0" w:line="240" w:lineRule="auto"/>
              <w:ind w:left="0" w:firstLine="0"/>
              <w:jc w:val="center"/>
              <w:rPr>
                <w:rFonts w:ascii="Times New Roman" w:hAnsi="Times New Roman"/>
                <w:i/>
                <w:sz w:val="20"/>
              </w:rPr>
            </w:pPr>
          </w:p>
        </w:tc>
      </w:tr>
      <w:tr w:rsidR="00625424" w:rsidTr="00B91E3E">
        <w:trPr>
          <w:trHeight w:val="80"/>
        </w:trPr>
        <w:tc>
          <w:tcPr>
            <w:tcW w:w="14504" w:type="dxa"/>
            <w:gridSpan w:val="8"/>
            <w:tcBorders>
              <w:top w:val="single" w:sz="4" w:space="0" w:color="auto"/>
              <w:bottom w:val="single" w:sz="4" w:space="0" w:color="auto"/>
            </w:tcBorders>
          </w:tcPr>
          <w:p w:rsidR="00625424" w:rsidRPr="00B91E3E" w:rsidDel="00D05759" w:rsidRDefault="00625424" w:rsidP="00C527E9">
            <w:pPr>
              <w:pStyle w:val="Bullet-list"/>
              <w:spacing w:after="0" w:line="240" w:lineRule="auto"/>
              <w:ind w:left="0" w:firstLine="0"/>
              <w:jc w:val="center"/>
              <w:rPr>
                <w:rFonts w:ascii="Wingdings" w:hAnsi="Wingdings"/>
                <w:i/>
                <w:sz w:val="20"/>
              </w:rPr>
            </w:pPr>
            <w:r>
              <w:rPr>
                <w:rFonts w:ascii="Times New Roman" w:hAnsi="Times New Roman"/>
                <w:i/>
                <w:sz w:val="20"/>
              </w:rPr>
              <w:t>* = Key objective</w:t>
            </w:r>
          </w:p>
        </w:tc>
      </w:tr>
    </w:tbl>
    <w:p w:rsidR="00066C51" w:rsidRDefault="00066C51" w:rsidP="001C4B87">
      <w:pPr>
        <w:pStyle w:val="Bullet-list"/>
        <w:keepNext/>
        <w:spacing w:after="0" w:line="240" w:lineRule="auto"/>
        <w:ind w:left="0" w:firstLine="0"/>
        <w:jc w:val="both"/>
        <w:rPr>
          <w:rFonts w:ascii="Times New Roman" w:hAnsi="Times New Roman"/>
          <w:sz w:val="24"/>
          <w:szCs w:val="24"/>
        </w:rPr>
      </w:pPr>
    </w:p>
    <w:p w:rsidR="00066C51" w:rsidRDefault="00066C51" w:rsidP="001C4B87">
      <w:pPr>
        <w:pStyle w:val="Bullet-list"/>
        <w:keepNext/>
        <w:spacing w:after="0" w:line="240" w:lineRule="auto"/>
        <w:ind w:left="0" w:firstLine="0"/>
        <w:jc w:val="both"/>
        <w:rPr>
          <w:rFonts w:ascii="Times New Roman" w:hAnsi="Times New Roman"/>
          <w:sz w:val="24"/>
          <w:szCs w:val="24"/>
        </w:rPr>
        <w:sectPr w:rsidR="00066C51" w:rsidSect="00B91E3E">
          <w:pgSz w:w="16840" w:h="11907" w:orient="landscape" w:code="9"/>
          <w:pgMar w:top="1418" w:right="1134" w:bottom="1418" w:left="1134" w:header="567" w:footer="567" w:gutter="0"/>
          <w:cols w:space="720"/>
          <w:docGrid w:linePitch="360"/>
        </w:sectPr>
      </w:pPr>
    </w:p>
    <w:p w:rsidR="00F8133F" w:rsidRPr="00ED5E55" w:rsidRDefault="00F8133F" w:rsidP="00F8133F">
      <w:pPr>
        <w:rPr>
          <w:rFonts w:ascii="Times New Roman" w:hAnsi="Times New Roman"/>
          <w:b/>
          <w:i/>
          <w:sz w:val="24"/>
          <w:szCs w:val="24"/>
        </w:rPr>
      </w:pPr>
      <w:r>
        <w:rPr>
          <w:rFonts w:ascii="Times New Roman" w:hAnsi="Times New Roman"/>
          <w:b/>
          <w:i/>
          <w:sz w:val="24"/>
          <w:szCs w:val="24"/>
        </w:rPr>
        <w:t>Consultation</w:t>
      </w:r>
    </w:p>
    <w:p w:rsidR="00F8133F" w:rsidRPr="00ED5E55" w:rsidRDefault="00F8133F" w:rsidP="00F1236B">
      <w:pPr>
        <w:pStyle w:val="Bullet-list"/>
        <w:numPr>
          <w:ilvl w:val="0"/>
          <w:numId w:val="2"/>
        </w:numPr>
        <w:tabs>
          <w:tab w:val="clear" w:pos="786"/>
          <w:tab w:val="num" w:pos="567"/>
        </w:tabs>
        <w:spacing w:after="0" w:line="240" w:lineRule="auto"/>
        <w:ind w:left="0" w:firstLine="0"/>
        <w:jc w:val="both"/>
        <w:rPr>
          <w:rFonts w:ascii="Times New Roman" w:hAnsi="Times New Roman"/>
          <w:i/>
          <w:sz w:val="24"/>
          <w:szCs w:val="24"/>
        </w:rPr>
      </w:pPr>
      <w:r w:rsidRPr="00532AAA">
        <w:rPr>
          <w:rFonts w:ascii="Times New Roman" w:hAnsi="Times New Roman"/>
          <w:sz w:val="24"/>
          <w:szCs w:val="24"/>
        </w:rPr>
        <w:t xml:space="preserve">Submitters were generally opposed to </w:t>
      </w:r>
      <w:r w:rsidR="009C58B0">
        <w:rPr>
          <w:rFonts w:ascii="Times New Roman" w:hAnsi="Times New Roman"/>
          <w:sz w:val="24"/>
          <w:szCs w:val="24"/>
        </w:rPr>
        <w:t>Option 1</w:t>
      </w:r>
      <w:r>
        <w:rPr>
          <w:rFonts w:ascii="Times New Roman" w:hAnsi="Times New Roman"/>
          <w:sz w:val="24"/>
          <w:szCs w:val="24"/>
        </w:rPr>
        <w:t xml:space="preserve">, </w:t>
      </w:r>
      <w:r w:rsidR="00A13DF6">
        <w:rPr>
          <w:rFonts w:ascii="Times New Roman" w:hAnsi="Times New Roman"/>
          <w:sz w:val="24"/>
          <w:szCs w:val="24"/>
        </w:rPr>
        <w:t xml:space="preserve">with concerns focussing on the uncertainty created by replacing an existing test, </w:t>
      </w:r>
      <w:r w:rsidR="000C6385">
        <w:rPr>
          <w:rFonts w:ascii="Times New Roman" w:hAnsi="Times New Roman"/>
          <w:sz w:val="24"/>
          <w:szCs w:val="24"/>
        </w:rPr>
        <w:t>which</w:t>
      </w:r>
      <w:r w:rsidR="00A13DF6">
        <w:rPr>
          <w:rFonts w:ascii="Times New Roman" w:hAnsi="Times New Roman"/>
          <w:sz w:val="24"/>
          <w:szCs w:val="24"/>
        </w:rPr>
        <w:t xml:space="preserve"> was said to be well understood, with a new one.  </w:t>
      </w:r>
      <w:r>
        <w:rPr>
          <w:rFonts w:ascii="Times New Roman" w:hAnsi="Times New Roman"/>
          <w:sz w:val="24"/>
          <w:szCs w:val="24"/>
        </w:rPr>
        <w:t xml:space="preserve">Officials are aware of this concern, and will seek to clearly set out the policy underlying a change, if one is made, in publicly available material, including the commentary to the relevant amendment bill, and an article in </w:t>
      </w:r>
      <w:r w:rsidR="008707E1">
        <w:rPr>
          <w:rFonts w:ascii="Times New Roman" w:hAnsi="Times New Roman"/>
          <w:sz w:val="24"/>
          <w:szCs w:val="24"/>
        </w:rPr>
        <w:t xml:space="preserve">Inland Revenue’s </w:t>
      </w:r>
      <w:r>
        <w:rPr>
          <w:rFonts w:ascii="Times New Roman" w:hAnsi="Times New Roman"/>
          <w:sz w:val="24"/>
          <w:szCs w:val="24"/>
        </w:rPr>
        <w:t>Tax Information Bulletin.</w:t>
      </w:r>
    </w:p>
    <w:p w:rsidR="00F8133F" w:rsidRDefault="00F8133F" w:rsidP="00F8133F">
      <w:pPr>
        <w:pStyle w:val="ListParagraph"/>
        <w:rPr>
          <w:rFonts w:ascii="Times New Roman" w:hAnsi="Times New Roman"/>
          <w:i/>
          <w:sz w:val="24"/>
          <w:szCs w:val="24"/>
        </w:rPr>
      </w:pPr>
    </w:p>
    <w:p w:rsidR="00F8133F" w:rsidRPr="00ED5E55" w:rsidRDefault="00F8133F" w:rsidP="00F8133F">
      <w:pPr>
        <w:pStyle w:val="Bullet-list"/>
        <w:numPr>
          <w:ilvl w:val="0"/>
          <w:numId w:val="2"/>
        </w:numPr>
        <w:tabs>
          <w:tab w:val="clear" w:pos="786"/>
          <w:tab w:val="num" w:pos="567"/>
        </w:tabs>
        <w:spacing w:after="0" w:line="240" w:lineRule="auto"/>
        <w:ind w:left="0" w:firstLine="0"/>
        <w:jc w:val="both"/>
        <w:rPr>
          <w:rFonts w:ascii="Times New Roman" w:hAnsi="Times New Roman"/>
          <w:i/>
          <w:sz w:val="24"/>
          <w:szCs w:val="24"/>
        </w:rPr>
      </w:pPr>
      <w:r>
        <w:rPr>
          <w:rFonts w:ascii="Times New Roman" w:hAnsi="Times New Roman"/>
          <w:sz w:val="24"/>
          <w:szCs w:val="24"/>
        </w:rPr>
        <w:t xml:space="preserve">Submitters noted that there is currently congruence between the tests for when services provided in connection with land </w:t>
      </w:r>
      <w:r w:rsidR="00DB7F73">
        <w:rPr>
          <w:rFonts w:ascii="Times New Roman" w:hAnsi="Times New Roman"/>
          <w:sz w:val="24"/>
          <w:szCs w:val="24"/>
        </w:rPr>
        <w:t>are</w:t>
      </w:r>
      <w:r>
        <w:rPr>
          <w:rFonts w:ascii="Times New Roman" w:hAnsi="Times New Roman"/>
          <w:sz w:val="24"/>
          <w:szCs w:val="24"/>
        </w:rPr>
        <w:t xml:space="preserve"> subject to GST and for when services provided in connection with other goods </w:t>
      </w:r>
      <w:r w:rsidR="00DB7F73">
        <w:rPr>
          <w:rFonts w:ascii="Times New Roman" w:hAnsi="Times New Roman"/>
          <w:sz w:val="24"/>
          <w:szCs w:val="24"/>
        </w:rPr>
        <w:t>are</w:t>
      </w:r>
      <w:r>
        <w:rPr>
          <w:rFonts w:ascii="Times New Roman" w:hAnsi="Times New Roman"/>
          <w:sz w:val="24"/>
          <w:szCs w:val="24"/>
        </w:rPr>
        <w:t xml:space="preserve"> subject to GST.  Submitters considered that aligning these two tests increases simplicity and consistency of the rules.</w:t>
      </w:r>
    </w:p>
    <w:p w:rsidR="00F8133F" w:rsidRPr="00ED5E55" w:rsidRDefault="00F8133F" w:rsidP="00F8133F">
      <w:pPr>
        <w:pStyle w:val="Bullet-list"/>
        <w:spacing w:after="0" w:line="240" w:lineRule="auto"/>
        <w:ind w:left="0" w:firstLine="0"/>
        <w:jc w:val="both"/>
        <w:rPr>
          <w:rFonts w:ascii="Times New Roman" w:hAnsi="Times New Roman"/>
          <w:sz w:val="24"/>
          <w:szCs w:val="24"/>
        </w:rPr>
      </w:pPr>
    </w:p>
    <w:p w:rsidR="00F8133F" w:rsidRPr="00ED5E55" w:rsidRDefault="00F8133F" w:rsidP="00F8133F">
      <w:pPr>
        <w:pStyle w:val="Bullet-list"/>
        <w:numPr>
          <w:ilvl w:val="0"/>
          <w:numId w:val="2"/>
        </w:numPr>
        <w:tabs>
          <w:tab w:val="clear" w:pos="786"/>
          <w:tab w:val="num" w:pos="567"/>
        </w:tabs>
        <w:spacing w:after="0" w:line="240" w:lineRule="auto"/>
        <w:ind w:left="0" w:firstLine="0"/>
        <w:jc w:val="both"/>
        <w:rPr>
          <w:rFonts w:ascii="Times New Roman" w:hAnsi="Times New Roman"/>
          <w:i/>
          <w:sz w:val="24"/>
          <w:szCs w:val="24"/>
        </w:rPr>
      </w:pPr>
      <w:r>
        <w:rPr>
          <w:rFonts w:ascii="Times New Roman" w:hAnsi="Times New Roman"/>
          <w:sz w:val="24"/>
          <w:szCs w:val="24"/>
        </w:rPr>
        <w:t xml:space="preserve">Two submitters were concerned that </w:t>
      </w:r>
      <w:r w:rsidR="009C58B0">
        <w:rPr>
          <w:rFonts w:ascii="Times New Roman" w:hAnsi="Times New Roman"/>
          <w:sz w:val="24"/>
          <w:szCs w:val="24"/>
        </w:rPr>
        <w:t>Option 1</w:t>
      </w:r>
      <w:r>
        <w:rPr>
          <w:rFonts w:ascii="Times New Roman" w:hAnsi="Times New Roman"/>
          <w:sz w:val="24"/>
          <w:szCs w:val="24"/>
        </w:rPr>
        <w:t xml:space="preserve"> would negatively impact the neutrality of the rules by creat</w:t>
      </w:r>
      <w:r w:rsidR="008707E1">
        <w:rPr>
          <w:rFonts w:ascii="Times New Roman" w:hAnsi="Times New Roman"/>
          <w:sz w:val="24"/>
          <w:szCs w:val="24"/>
        </w:rPr>
        <w:t>ing</w:t>
      </w:r>
      <w:r>
        <w:rPr>
          <w:rFonts w:ascii="Times New Roman" w:hAnsi="Times New Roman"/>
          <w:sz w:val="24"/>
          <w:szCs w:val="24"/>
        </w:rPr>
        <w:t xml:space="preserve"> an incentive for non-residents to source services from overseas, as these services would remain untaxed.  It is not clear to what extent providers of services, closely connected to land, within New Zealand compete wit</w:t>
      </w:r>
      <w:r w:rsidR="00A13DF6">
        <w:rPr>
          <w:rFonts w:ascii="Times New Roman" w:hAnsi="Times New Roman"/>
          <w:sz w:val="24"/>
          <w:szCs w:val="24"/>
        </w:rPr>
        <w:t>h persons outside New Zealand.</w:t>
      </w:r>
    </w:p>
    <w:p w:rsidR="00F8133F" w:rsidRDefault="00F8133F" w:rsidP="001C4B87">
      <w:pPr>
        <w:pStyle w:val="Bullet-list"/>
        <w:keepNext/>
        <w:spacing w:after="0" w:line="240" w:lineRule="auto"/>
        <w:ind w:left="0" w:firstLine="0"/>
        <w:jc w:val="both"/>
        <w:rPr>
          <w:rFonts w:ascii="Times New Roman" w:hAnsi="Times New Roman"/>
          <w:sz w:val="24"/>
          <w:szCs w:val="24"/>
          <w:lang w:val="en-GB" w:eastAsia="en-GB"/>
        </w:rPr>
      </w:pPr>
    </w:p>
    <w:p w:rsidR="00F8133F" w:rsidRPr="006B2540" w:rsidRDefault="00F8133F" w:rsidP="00F8133F">
      <w:pPr>
        <w:pStyle w:val="Bullet-list"/>
        <w:spacing w:after="0" w:line="240" w:lineRule="auto"/>
        <w:ind w:left="0" w:firstLine="0"/>
        <w:jc w:val="both"/>
        <w:rPr>
          <w:rFonts w:ascii="Times New Roman" w:hAnsi="Times New Roman"/>
          <w:b/>
          <w:i/>
          <w:sz w:val="24"/>
          <w:szCs w:val="24"/>
        </w:rPr>
      </w:pPr>
      <w:r w:rsidRPr="006B2540">
        <w:rPr>
          <w:rFonts w:ascii="Times New Roman" w:hAnsi="Times New Roman"/>
          <w:b/>
          <w:i/>
          <w:sz w:val="24"/>
          <w:szCs w:val="24"/>
        </w:rPr>
        <w:t>Conclusion and recommendation</w:t>
      </w:r>
    </w:p>
    <w:p w:rsidR="00F8133F" w:rsidRDefault="00F8133F" w:rsidP="00F8133F">
      <w:pPr>
        <w:pStyle w:val="Bullet-list"/>
        <w:spacing w:after="0" w:line="240" w:lineRule="auto"/>
        <w:ind w:left="0" w:firstLine="0"/>
        <w:jc w:val="both"/>
        <w:rPr>
          <w:rFonts w:ascii="Times New Roman" w:hAnsi="Times New Roman"/>
          <w:sz w:val="24"/>
          <w:szCs w:val="24"/>
        </w:rPr>
      </w:pPr>
    </w:p>
    <w:p w:rsidR="000C6385" w:rsidRDefault="009C58B0" w:rsidP="006B2540">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Option 1</w:t>
      </w:r>
      <w:r w:rsidR="00A871B0" w:rsidRPr="00F1236B">
        <w:rPr>
          <w:rFonts w:ascii="Times New Roman" w:hAnsi="Times New Roman"/>
          <w:sz w:val="24"/>
          <w:szCs w:val="24"/>
        </w:rPr>
        <w:t xml:space="preserve"> best </w:t>
      </w:r>
      <w:r w:rsidR="00A871B0" w:rsidRPr="00B3259B">
        <w:rPr>
          <w:rFonts w:ascii="Times New Roman" w:hAnsi="Times New Roman"/>
          <w:sz w:val="24"/>
          <w:szCs w:val="24"/>
        </w:rPr>
        <w:t xml:space="preserve">satisfied the </w:t>
      </w:r>
      <w:r w:rsidR="00A871B0" w:rsidRPr="005E55BC">
        <w:rPr>
          <w:rFonts w:ascii="Times New Roman" w:hAnsi="Times New Roman"/>
          <w:sz w:val="24"/>
          <w:szCs w:val="24"/>
        </w:rPr>
        <w:t>objective</w:t>
      </w:r>
      <w:r w:rsidR="00F1236B" w:rsidRPr="005E55BC">
        <w:rPr>
          <w:rFonts w:ascii="Times New Roman" w:hAnsi="Times New Roman"/>
          <w:sz w:val="24"/>
          <w:szCs w:val="24"/>
        </w:rPr>
        <w:t>s of</w:t>
      </w:r>
      <w:r w:rsidR="00A871B0" w:rsidRPr="005E55BC">
        <w:rPr>
          <w:rFonts w:ascii="Times New Roman" w:hAnsi="Times New Roman"/>
          <w:sz w:val="24"/>
          <w:szCs w:val="24"/>
        </w:rPr>
        <w:t xml:space="preserve"> effectiveness and fairness.  </w:t>
      </w:r>
      <w:r w:rsidR="00326CA2">
        <w:rPr>
          <w:rFonts w:ascii="Times New Roman" w:hAnsi="Times New Roman"/>
          <w:sz w:val="24"/>
          <w:szCs w:val="24"/>
        </w:rPr>
        <w:t>The status quo</w:t>
      </w:r>
      <w:r w:rsidR="00F1236B" w:rsidRPr="005E55BC">
        <w:rPr>
          <w:rFonts w:ascii="Times New Roman" w:hAnsi="Times New Roman"/>
          <w:sz w:val="24"/>
          <w:szCs w:val="24"/>
        </w:rPr>
        <w:t xml:space="preserve"> be</w:t>
      </w:r>
      <w:r w:rsidR="00326CA2">
        <w:rPr>
          <w:rFonts w:ascii="Times New Roman" w:hAnsi="Times New Roman"/>
          <w:sz w:val="24"/>
          <w:szCs w:val="24"/>
        </w:rPr>
        <w:t>st</w:t>
      </w:r>
      <w:r w:rsidR="00A871B0" w:rsidRPr="00F1236B">
        <w:rPr>
          <w:rFonts w:ascii="Times New Roman" w:hAnsi="Times New Roman"/>
          <w:sz w:val="24"/>
          <w:szCs w:val="24"/>
        </w:rPr>
        <w:t xml:space="preserve"> satisfied the objectives of neutrality, </w:t>
      </w:r>
      <w:r w:rsidR="00A871B0" w:rsidRPr="00B3259B">
        <w:rPr>
          <w:rFonts w:ascii="Times New Roman" w:hAnsi="Times New Roman"/>
          <w:sz w:val="24"/>
          <w:szCs w:val="24"/>
        </w:rPr>
        <w:t>efficiency, and certainty and simplicity.</w:t>
      </w:r>
      <w:r w:rsidR="00326CA2">
        <w:rPr>
          <w:rFonts w:ascii="Times New Roman" w:hAnsi="Times New Roman"/>
          <w:sz w:val="24"/>
          <w:szCs w:val="24"/>
        </w:rPr>
        <w:t xml:space="preserve">  While the status quo better satisfies more </w:t>
      </w:r>
      <w:r w:rsidR="00F1236B">
        <w:rPr>
          <w:rFonts w:ascii="Times New Roman" w:hAnsi="Times New Roman"/>
          <w:sz w:val="24"/>
          <w:szCs w:val="24"/>
        </w:rPr>
        <w:t xml:space="preserve">objectives than </w:t>
      </w:r>
      <w:r>
        <w:rPr>
          <w:rFonts w:ascii="Times New Roman" w:hAnsi="Times New Roman"/>
          <w:sz w:val="24"/>
          <w:szCs w:val="24"/>
        </w:rPr>
        <w:t>Option 1</w:t>
      </w:r>
      <w:r w:rsidR="00F1236B">
        <w:rPr>
          <w:rFonts w:ascii="Times New Roman" w:hAnsi="Times New Roman"/>
          <w:sz w:val="24"/>
          <w:szCs w:val="24"/>
        </w:rPr>
        <w:t xml:space="preserve">, </w:t>
      </w:r>
      <w:r w:rsidR="00326CA2">
        <w:rPr>
          <w:rFonts w:ascii="Times New Roman" w:hAnsi="Times New Roman"/>
          <w:sz w:val="24"/>
          <w:szCs w:val="24"/>
        </w:rPr>
        <w:t>it did not satisfy</w:t>
      </w:r>
      <w:r w:rsidR="00F1236B">
        <w:rPr>
          <w:rFonts w:ascii="Times New Roman" w:hAnsi="Times New Roman"/>
          <w:sz w:val="24"/>
          <w:szCs w:val="24"/>
        </w:rPr>
        <w:t xml:space="preserve"> the key objective, and </w:t>
      </w:r>
      <w:r w:rsidR="00326CA2">
        <w:rPr>
          <w:rFonts w:ascii="Times New Roman" w:hAnsi="Times New Roman"/>
          <w:sz w:val="24"/>
          <w:szCs w:val="24"/>
        </w:rPr>
        <w:t>where it did satisfy an object</w:t>
      </w:r>
      <w:r w:rsidR="009B26B8">
        <w:rPr>
          <w:rFonts w:ascii="Times New Roman" w:hAnsi="Times New Roman"/>
          <w:sz w:val="24"/>
          <w:szCs w:val="24"/>
        </w:rPr>
        <w:t>ive</w:t>
      </w:r>
      <w:r w:rsidR="00326CA2">
        <w:rPr>
          <w:rFonts w:ascii="Times New Roman" w:hAnsi="Times New Roman"/>
          <w:sz w:val="24"/>
          <w:szCs w:val="24"/>
        </w:rPr>
        <w:t xml:space="preserve"> better than </w:t>
      </w:r>
      <w:r>
        <w:rPr>
          <w:rFonts w:ascii="Times New Roman" w:hAnsi="Times New Roman"/>
          <w:sz w:val="24"/>
          <w:szCs w:val="24"/>
        </w:rPr>
        <w:t>Option 1</w:t>
      </w:r>
      <w:r w:rsidR="00326CA2">
        <w:rPr>
          <w:rFonts w:ascii="Times New Roman" w:hAnsi="Times New Roman"/>
          <w:sz w:val="24"/>
          <w:szCs w:val="24"/>
        </w:rPr>
        <w:t xml:space="preserve">, </w:t>
      </w:r>
      <w:r w:rsidR="00F1236B">
        <w:rPr>
          <w:rFonts w:ascii="Times New Roman" w:hAnsi="Times New Roman"/>
          <w:sz w:val="24"/>
          <w:szCs w:val="24"/>
        </w:rPr>
        <w:t xml:space="preserve">the </w:t>
      </w:r>
      <w:r w:rsidR="000C6385">
        <w:rPr>
          <w:rFonts w:ascii="Times New Roman" w:hAnsi="Times New Roman"/>
          <w:sz w:val="24"/>
          <w:szCs w:val="24"/>
        </w:rPr>
        <w:t xml:space="preserve">margin </w:t>
      </w:r>
      <w:r w:rsidR="00F1236B">
        <w:rPr>
          <w:rFonts w:ascii="Times New Roman" w:hAnsi="Times New Roman"/>
          <w:sz w:val="24"/>
          <w:szCs w:val="24"/>
        </w:rPr>
        <w:t>between the options</w:t>
      </w:r>
      <w:r w:rsidR="000C6385">
        <w:rPr>
          <w:rFonts w:ascii="Times New Roman" w:hAnsi="Times New Roman"/>
          <w:sz w:val="24"/>
          <w:szCs w:val="24"/>
        </w:rPr>
        <w:t xml:space="preserve"> </w:t>
      </w:r>
      <w:r w:rsidR="00F1236B">
        <w:rPr>
          <w:rFonts w:ascii="Times New Roman" w:hAnsi="Times New Roman"/>
          <w:sz w:val="24"/>
          <w:szCs w:val="24"/>
        </w:rPr>
        <w:t xml:space="preserve">was </w:t>
      </w:r>
      <w:r w:rsidR="000C6385">
        <w:rPr>
          <w:rFonts w:ascii="Times New Roman" w:hAnsi="Times New Roman"/>
          <w:sz w:val="24"/>
          <w:szCs w:val="24"/>
        </w:rPr>
        <w:t>small.</w:t>
      </w:r>
    </w:p>
    <w:p w:rsidR="000C6385" w:rsidRDefault="000C6385" w:rsidP="000C6385">
      <w:pPr>
        <w:pStyle w:val="Bullet-list"/>
        <w:spacing w:after="0" w:line="240" w:lineRule="auto"/>
        <w:ind w:left="0" w:firstLine="0"/>
        <w:jc w:val="both"/>
        <w:rPr>
          <w:rFonts w:ascii="Times New Roman" w:hAnsi="Times New Roman"/>
          <w:sz w:val="24"/>
          <w:szCs w:val="24"/>
        </w:rPr>
      </w:pPr>
    </w:p>
    <w:p w:rsidR="00F1236B" w:rsidRPr="000C6385" w:rsidRDefault="000C6385" w:rsidP="006B2540">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0C6385">
        <w:rPr>
          <w:rFonts w:ascii="Times New Roman" w:hAnsi="Times New Roman"/>
          <w:sz w:val="24"/>
          <w:szCs w:val="24"/>
        </w:rPr>
        <w:t xml:space="preserve">In contrast, </w:t>
      </w:r>
      <w:r w:rsidR="009C58B0">
        <w:rPr>
          <w:rFonts w:ascii="Times New Roman" w:hAnsi="Times New Roman"/>
          <w:sz w:val="24"/>
          <w:szCs w:val="24"/>
        </w:rPr>
        <w:t>Option 1</w:t>
      </w:r>
      <w:r w:rsidRPr="000C6385">
        <w:rPr>
          <w:rFonts w:ascii="Times New Roman" w:hAnsi="Times New Roman"/>
          <w:sz w:val="24"/>
          <w:szCs w:val="24"/>
        </w:rPr>
        <w:t xml:space="preserve"> best </w:t>
      </w:r>
      <w:r w:rsidR="00F1236B" w:rsidRPr="000C6385">
        <w:rPr>
          <w:rFonts w:ascii="Times New Roman" w:hAnsi="Times New Roman"/>
          <w:sz w:val="24"/>
          <w:szCs w:val="24"/>
        </w:rPr>
        <w:t>satisfie</w:t>
      </w:r>
      <w:r w:rsidRPr="000C6385">
        <w:rPr>
          <w:rFonts w:ascii="Times New Roman" w:hAnsi="Times New Roman"/>
          <w:sz w:val="24"/>
          <w:szCs w:val="24"/>
        </w:rPr>
        <w:t>s</w:t>
      </w:r>
      <w:r w:rsidR="00F1236B" w:rsidRPr="000C6385">
        <w:rPr>
          <w:rFonts w:ascii="Times New Roman" w:hAnsi="Times New Roman"/>
          <w:sz w:val="24"/>
          <w:szCs w:val="24"/>
        </w:rPr>
        <w:t xml:space="preserve"> the key objective, by ensuring that residents’ and non-residents’ consumption in New Zealand would be taxed </w:t>
      </w:r>
      <w:r w:rsidRPr="000C6385">
        <w:rPr>
          <w:rFonts w:ascii="Times New Roman" w:hAnsi="Times New Roman"/>
          <w:sz w:val="24"/>
          <w:szCs w:val="24"/>
        </w:rPr>
        <w:t xml:space="preserve">more </w:t>
      </w:r>
      <w:r w:rsidR="00F1236B" w:rsidRPr="000C6385">
        <w:rPr>
          <w:rFonts w:ascii="Times New Roman" w:hAnsi="Times New Roman"/>
          <w:sz w:val="24"/>
          <w:szCs w:val="24"/>
        </w:rPr>
        <w:t xml:space="preserve">evenly, </w:t>
      </w:r>
      <w:r w:rsidRPr="000C6385">
        <w:rPr>
          <w:rFonts w:ascii="Times New Roman" w:hAnsi="Times New Roman"/>
          <w:sz w:val="24"/>
          <w:szCs w:val="24"/>
        </w:rPr>
        <w:t>and satisfied the remaining objectives</w:t>
      </w:r>
      <w:r w:rsidR="00F1236B" w:rsidRPr="000C6385">
        <w:rPr>
          <w:rFonts w:ascii="Times New Roman" w:hAnsi="Times New Roman"/>
          <w:sz w:val="24"/>
          <w:szCs w:val="24"/>
        </w:rPr>
        <w:t>.</w:t>
      </w:r>
      <w:r w:rsidRPr="000C6385">
        <w:rPr>
          <w:rFonts w:ascii="Times New Roman" w:hAnsi="Times New Roman"/>
          <w:sz w:val="24"/>
          <w:szCs w:val="24"/>
        </w:rPr>
        <w:t xml:space="preserve">  </w:t>
      </w:r>
      <w:r w:rsidR="00F1236B" w:rsidRPr="000C6385">
        <w:rPr>
          <w:rFonts w:ascii="Times New Roman" w:hAnsi="Times New Roman"/>
          <w:sz w:val="24"/>
          <w:szCs w:val="24"/>
        </w:rPr>
        <w:t xml:space="preserve">On balance, </w:t>
      </w:r>
      <w:r w:rsidR="009C58B0">
        <w:rPr>
          <w:rFonts w:ascii="Times New Roman" w:hAnsi="Times New Roman"/>
          <w:sz w:val="24"/>
          <w:szCs w:val="24"/>
        </w:rPr>
        <w:t>Option 1</w:t>
      </w:r>
      <w:r w:rsidR="00F1236B" w:rsidRPr="000C6385">
        <w:rPr>
          <w:rFonts w:ascii="Times New Roman" w:hAnsi="Times New Roman"/>
          <w:sz w:val="24"/>
          <w:szCs w:val="24"/>
        </w:rPr>
        <w:t xml:space="preserve"> is therefore officials</w:t>
      </w:r>
      <w:r>
        <w:rPr>
          <w:rFonts w:ascii="Times New Roman" w:hAnsi="Times New Roman"/>
          <w:sz w:val="24"/>
          <w:szCs w:val="24"/>
        </w:rPr>
        <w:t>’</w:t>
      </w:r>
      <w:r w:rsidR="00F1236B" w:rsidRPr="000C6385">
        <w:rPr>
          <w:rFonts w:ascii="Times New Roman" w:hAnsi="Times New Roman"/>
          <w:sz w:val="24"/>
          <w:szCs w:val="24"/>
        </w:rPr>
        <w:t xml:space="preserve"> preferred option.</w:t>
      </w:r>
    </w:p>
    <w:p w:rsidR="00E012CE" w:rsidRPr="004342F0" w:rsidRDefault="00E012CE" w:rsidP="00B91E3E">
      <w:pPr>
        <w:pStyle w:val="Bullet-list"/>
        <w:spacing w:after="0" w:line="240" w:lineRule="auto"/>
        <w:ind w:left="0" w:firstLine="0"/>
        <w:jc w:val="both"/>
        <w:rPr>
          <w:rFonts w:ascii="Times New Roman" w:hAnsi="Times New Roman"/>
          <w:sz w:val="24"/>
          <w:szCs w:val="24"/>
        </w:rPr>
      </w:pPr>
      <w:bookmarkStart w:id="22" w:name="_Preferred_option_[optional]"/>
      <w:bookmarkStart w:id="23" w:name="_Toc244580368"/>
      <w:bookmarkStart w:id="24" w:name="_Toc244587044"/>
      <w:bookmarkStart w:id="25" w:name="_Toc244857278"/>
      <w:bookmarkStart w:id="26" w:name="_Toc244912543"/>
      <w:bookmarkStart w:id="27" w:name="_Toc244917000"/>
      <w:bookmarkEnd w:id="22"/>
    </w:p>
    <w:p w:rsidR="000545DC" w:rsidRPr="004342F0" w:rsidRDefault="00D943DD" w:rsidP="00B91E3E">
      <w:pPr>
        <w:pStyle w:val="RISheading"/>
        <w:jc w:val="both"/>
        <w:rPr>
          <w:spacing w:val="0"/>
          <w:w w:val="100"/>
        </w:rPr>
      </w:pPr>
      <w:r w:rsidRPr="004342F0">
        <w:rPr>
          <w:spacing w:val="0"/>
          <w:w w:val="100"/>
        </w:rPr>
        <w:t>IMPLEMENTATION</w:t>
      </w:r>
      <w:bookmarkEnd w:id="23"/>
      <w:bookmarkEnd w:id="24"/>
      <w:bookmarkEnd w:id="25"/>
      <w:bookmarkEnd w:id="26"/>
      <w:bookmarkEnd w:id="27"/>
      <w:r w:rsidRPr="004342F0">
        <w:rPr>
          <w:spacing w:val="0"/>
          <w:w w:val="100"/>
        </w:rPr>
        <w:t xml:space="preserve"> </w:t>
      </w:r>
    </w:p>
    <w:p w:rsidR="0081336B" w:rsidRDefault="00756557"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The recommended options would need to be g</w:t>
      </w:r>
      <w:r w:rsidR="0081336B">
        <w:rPr>
          <w:rFonts w:ascii="Times New Roman" w:hAnsi="Times New Roman"/>
          <w:sz w:val="24"/>
          <w:szCs w:val="24"/>
        </w:rPr>
        <w:t>iven effect through</w:t>
      </w:r>
      <w:r>
        <w:rPr>
          <w:rFonts w:ascii="Times New Roman" w:hAnsi="Times New Roman"/>
          <w:sz w:val="24"/>
          <w:szCs w:val="24"/>
        </w:rPr>
        <w:t xml:space="preserve"> primary legislation</w:t>
      </w:r>
      <w:r w:rsidR="009B26B8">
        <w:rPr>
          <w:rFonts w:ascii="Times New Roman" w:hAnsi="Times New Roman"/>
          <w:sz w:val="24"/>
          <w:szCs w:val="24"/>
        </w:rPr>
        <w:t xml:space="preserve"> amending the Goods and Services Tax Act 1985</w:t>
      </w:r>
      <w:r w:rsidR="0081336B">
        <w:rPr>
          <w:rFonts w:ascii="Times New Roman" w:hAnsi="Times New Roman"/>
          <w:sz w:val="24"/>
          <w:szCs w:val="24"/>
        </w:rPr>
        <w:t xml:space="preserve">.  </w:t>
      </w:r>
      <w:r>
        <w:rPr>
          <w:rFonts w:ascii="Times New Roman" w:hAnsi="Times New Roman"/>
          <w:sz w:val="24"/>
          <w:szCs w:val="24"/>
        </w:rPr>
        <w:t xml:space="preserve">Amendments would be suitable for inclusion in </w:t>
      </w:r>
      <w:r w:rsidR="00FE2DF5">
        <w:rPr>
          <w:rFonts w:ascii="Times New Roman" w:hAnsi="Times New Roman"/>
          <w:sz w:val="24"/>
          <w:szCs w:val="24"/>
        </w:rPr>
        <w:t xml:space="preserve">the next </w:t>
      </w:r>
      <w:r w:rsidR="0081336B">
        <w:rPr>
          <w:rFonts w:ascii="Times New Roman" w:hAnsi="Times New Roman"/>
          <w:sz w:val="24"/>
          <w:szCs w:val="24"/>
        </w:rPr>
        <w:t>omnibus taxation bill</w:t>
      </w:r>
      <w:r>
        <w:rPr>
          <w:rFonts w:ascii="Times New Roman" w:hAnsi="Times New Roman"/>
          <w:sz w:val="24"/>
          <w:szCs w:val="24"/>
        </w:rPr>
        <w:t>.</w:t>
      </w:r>
    </w:p>
    <w:p w:rsidR="0073093A" w:rsidRDefault="0073093A" w:rsidP="00B91E3E">
      <w:pPr>
        <w:pStyle w:val="Bullet-list"/>
        <w:spacing w:after="0" w:line="240" w:lineRule="auto"/>
        <w:ind w:left="0" w:firstLine="0"/>
        <w:jc w:val="both"/>
        <w:rPr>
          <w:rFonts w:ascii="Times New Roman" w:hAnsi="Times New Roman"/>
          <w:sz w:val="24"/>
          <w:szCs w:val="24"/>
        </w:rPr>
      </w:pPr>
    </w:p>
    <w:p w:rsidR="0073093A" w:rsidRDefault="0073093A"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We recommend amendments have effect from the following dates:</w:t>
      </w:r>
    </w:p>
    <w:p w:rsidR="0073093A" w:rsidRDefault="0073093A" w:rsidP="00B91E3E">
      <w:pPr>
        <w:pStyle w:val="Bullet-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Capital raising costs – from 1 April 2017</w:t>
      </w:r>
    </w:p>
    <w:p w:rsidR="0073093A" w:rsidRDefault="0073093A" w:rsidP="00B91E3E">
      <w:pPr>
        <w:pStyle w:val="Bullet-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Apportionment rules – from date of enactment</w:t>
      </w:r>
    </w:p>
    <w:p w:rsidR="0073093A" w:rsidRDefault="0073093A" w:rsidP="00B91E3E">
      <w:pPr>
        <w:pStyle w:val="Bullet-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Secondhand goods and gold – from date of enactment (with a four year retrospective effect)</w:t>
      </w:r>
    </w:p>
    <w:p w:rsidR="0073093A" w:rsidRDefault="0073093A" w:rsidP="00B91E3E">
      <w:pPr>
        <w:pStyle w:val="Bullet-list"/>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Services connected with land – from 1 April 2017</w:t>
      </w:r>
    </w:p>
    <w:p w:rsidR="0081336B" w:rsidRDefault="0081336B" w:rsidP="00B91E3E">
      <w:pPr>
        <w:pStyle w:val="Bullet-list"/>
        <w:spacing w:after="0" w:line="240" w:lineRule="auto"/>
        <w:ind w:left="0" w:firstLine="0"/>
        <w:jc w:val="both"/>
        <w:rPr>
          <w:rFonts w:ascii="Times New Roman" w:hAnsi="Times New Roman"/>
          <w:sz w:val="24"/>
          <w:szCs w:val="24"/>
        </w:rPr>
      </w:pPr>
    </w:p>
    <w:p w:rsidR="0081336B" w:rsidRDefault="00756557"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Once these amendments had been made, they would </w:t>
      </w:r>
      <w:r w:rsidR="00637B0C">
        <w:rPr>
          <w:rFonts w:ascii="Times New Roman" w:hAnsi="Times New Roman"/>
          <w:sz w:val="24"/>
          <w:szCs w:val="24"/>
        </w:rPr>
        <w:t xml:space="preserve">form part of the body of tax legislation </w:t>
      </w:r>
      <w:r>
        <w:rPr>
          <w:rFonts w:ascii="Times New Roman" w:hAnsi="Times New Roman"/>
          <w:sz w:val="24"/>
          <w:szCs w:val="24"/>
        </w:rPr>
        <w:t>applied by taxpayers and monitored and enforced by Inland Revenue</w:t>
      </w:r>
      <w:r w:rsidR="00FD4053">
        <w:rPr>
          <w:rFonts w:ascii="Times New Roman" w:hAnsi="Times New Roman"/>
          <w:sz w:val="24"/>
          <w:szCs w:val="24"/>
        </w:rPr>
        <w:t>.</w:t>
      </w:r>
      <w:r w:rsidR="0081336B">
        <w:rPr>
          <w:rFonts w:ascii="Times New Roman" w:hAnsi="Times New Roman"/>
          <w:sz w:val="24"/>
          <w:szCs w:val="24"/>
        </w:rPr>
        <w:t xml:space="preserve"> </w:t>
      </w:r>
      <w:r w:rsidR="00637B0C">
        <w:rPr>
          <w:rFonts w:ascii="Times New Roman" w:hAnsi="Times New Roman"/>
          <w:sz w:val="24"/>
          <w:szCs w:val="24"/>
        </w:rPr>
        <w:t xml:space="preserve"> </w:t>
      </w:r>
      <w:r w:rsidR="00FD4053">
        <w:rPr>
          <w:rFonts w:ascii="Times New Roman" w:hAnsi="Times New Roman"/>
          <w:sz w:val="24"/>
          <w:szCs w:val="24"/>
        </w:rPr>
        <w:t>Communications products, such as inclusion in a Tax Information Bulletin article, would publicise the changes, once they are enacted.</w:t>
      </w:r>
    </w:p>
    <w:p w:rsidR="0081336B" w:rsidRDefault="0081336B" w:rsidP="009C149F">
      <w:pPr>
        <w:pStyle w:val="ListParagraph"/>
        <w:rPr>
          <w:rFonts w:ascii="Times New Roman" w:hAnsi="Times New Roman"/>
          <w:sz w:val="24"/>
          <w:szCs w:val="24"/>
        </w:rPr>
      </w:pPr>
    </w:p>
    <w:p w:rsidR="00326CA2" w:rsidRDefault="0081336B"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is subject to the following </w:t>
      </w:r>
      <w:r w:rsidR="00DD1A0B">
        <w:rPr>
          <w:rFonts w:ascii="Times New Roman" w:hAnsi="Times New Roman"/>
          <w:sz w:val="24"/>
          <w:szCs w:val="24"/>
        </w:rPr>
        <w:t xml:space="preserve">additional comments: </w:t>
      </w:r>
    </w:p>
    <w:p w:rsidR="0081336B" w:rsidRDefault="0081336B" w:rsidP="00B91E3E">
      <w:pPr>
        <w:pStyle w:val="Bullet-list"/>
        <w:spacing w:after="0" w:line="240" w:lineRule="auto"/>
        <w:ind w:left="0" w:firstLine="0"/>
        <w:jc w:val="both"/>
        <w:rPr>
          <w:rFonts w:ascii="Times New Roman" w:hAnsi="Times New Roman"/>
          <w:sz w:val="24"/>
          <w:szCs w:val="24"/>
        </w:rPr>
      </w:pPr>
    </w:p>
    <w:p w:rsidR="00FD4053" w:rsidRDefault="00FD4053" w:rsidP="00B91E3E">
      <w:pPr>
        <w:spacing w:after="0"/>
        <w:jc w:val="both"/>
        <w:rPr>
          <w:rFonts w:ascii="Times New Roman" w:hAnsi="Times New Roman"/>
          <w:i/>
          <w:sz w:val="24"/>
          <w:szCs w:val="24"/>
        </w:rPr>
      </w:pPr>
      <w:r>
        <w:rPr>
          <w:rFonts w:ascii="Times New Roman" w:hAnsi="Times New Roman"/>
          <w:i/>
          <w:sz w:val="24"/>
          <w:szCs w:val="24"/>
        </w:rPr>
        <w:t>Apportionment rules</w:t>
      </w:r>
    </w:p>
    <w:p w:rsidR="009C58B0" w:rsidRPr="00A01D61" w:rsidRDefault="009C58B0" w:rsidP="00B91E3E">
      <w:pPr>
        <w:spacing w:after="0"/>
        <w:jc w:val="both"/>
        <w:rPr>
          <w:rFonts w:ascii="Times New Roman" w:hAnsi="Times New Roman"/>
          <w:i/>
          <w:sz w:val="24"/>
          <w:szCs w:val="24"/>
        </w:rPr>
      </w:pPr>
    </w:p>
    <w:p w:rsidR="00FD4053" w:rsidRDefault="00FD4053"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Under this proposal, individual taxpayers who meet the criteria and industry associations could apply to Inland Revenue to agree an alternative method, which would then be negotiated between the </w:t>
      </w:r>
      <w:r w:rsidRPr="005620B7">
        <w:rPr>
          <w:rFonts w:ascii="Times New Roman" w:hAnsi="Times New Roman"/>
          <w:sz w:val="24"/>
          <w:szCs w:val="24"/>
        </w:rPr>
        <w:t>parties</w:t>
      </w:r>
      <w:r w:rsidRPr="00B91E3E">
        <w:rPr>
          <w:rFonts w:ascii="Times New Roman" w:hAnsi="Times New Roman"/>
          <w:sz w:val="24"/>
          <w:szCs w:val="24"/>
        </w:rPr>
        <w:t>.</w:t>
      </w:r>
      <w:r w:rsidR="00326CA2" w:rsidRPr="00B91E3E">
        <w:rPr>
          <w:rFonts w:ascii="Times New Roman" w:hAnsi="Times New Roman"/>
          <w:sz w:val="24"/>
          <w:szCs w:val="24"/>
        </w:rPr>
        <w:t xml:space="preserve">  </w:t>
      </w:r>
    </w:p>
    <w:p w:rsidR="00FD4053" w:rsidRDefault="00FD4053" w:rsidP="00B91E3E">
      <w:pPr>
        <w:pStyle w:val="Bullet-list"/>
        <w:spacing w:after="0" w:line="240" w:lineRule="auto"/>
        <w:ind w:left="0" w:firstLine="0"/>
        <w:jc w:val="both"/>
        <w:rPr>
          <w:rFonts w:ascii="Times New Roman" w:hAnsi="Times New Roman"/>
          <w:sz w:val="24"/>
          <w:szCs w:val="24"/>
        </w:rPr>
      </w:pPr>
    </w:p>
    <w:p w:rsidR="00FD4053" w:rsidRPr="003D0059" w:rsidRDefault="00FD4053" w:rsidP="00B91E3E">
      <w:pPr>
        <w:pStyle w:val="Bullet-list"/>
        <w:keepNext/>
        <w:spacing w:after="0" w:line="240" w:lineRule="auto"/>
        <w:jc w:val="both"/>
        <w:rPr>
          <w:rFonts w:ascii="Times New Roman" w:hAnsi="Times New Roman"/>
          <w:i/>
          <w:sz w:val="24"/>
          <w:szCs w:val="24"/>
        </w:rPr>
      </w:pPr>
      <w:r>
        <w:rPr>
          <w:rFonts w:ascii="Times New Roman" w:hAnsi="Times New Roman"/>
          <w:i/>
          <w:sz w:val="24"/>
          <w:szCs w:val="24"/>
        </w:rPr>
        <w:t>Secondhand goods and gold</w:t>
      </w:r>
    </w:p>
    <w:p w:rsidR="00FD4053" w:rsidRDefault="00FD4053" w:rsidP="00B91E3E">
      <w:pPr>
        <w:pStyle w:val="Bullet-list"/>
        <w:keepNext/>
        <w:spacing w:after="0" w:line="240" w:lineRule="auto"/>
        <w:jc w:val="both"/>
        <w:rPr>
          <w:rFonts w:ascii="Times New Roman" w:hAnsi="Times New Roman"/>
          <w:sz w:val="24"/>
          <w:szCs w:val="24"/>
        </w:rPr>
      </w:pPr>
    </w:p>
    <w:p w:rsidR="00FD4053" w:rsidRPr="000053DA" w:rsidRDefault="00326CA2"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0053DA">
        <w:rPr>
          <w:rFonts w:ascii="Times New Roman" w:hAnsi="Times New Roman"/>
          <w:sz w:val="24"/>
          <w:szCs w:val="24"/>
        </w:rPr>
        <w:t xml:space="preserve">Enabling businesses to recover previously unclaimed deductions would require a number of returns to be reopened.  The number would depend on the number of taxpayers in this position.  This would be performed under </w:t>
      </w:r>
      <w:r w:rsidR="00637B0C" w:rsidRPr="000053DA">
        <w:rPr>
          <w:rFonts w:ascii="Times New Roman" w:hAnsi="Times New Roman"/>
          <w:sz w:val="24"/>
          <w:szCs w:val="24"/>
        </w:rPr>
        <w:t xml:space="preserve">existing </w:t>
      </w:r>
      <w:r w:rsidRPr="000053DA">
        <w:rPr>
          <w:rFonts w:ascii="Times New Roman" w:hAnsi="Times New Roman"/>
          <w:sz w:val="24"/>
          <w:szCs w:val="24"/>
        </w:rPr>
        <w:t>processes.</w:t>
      </w:r>
    </w:p>
    <w:p w:rsidR="00344EC8" w:rsidRDefault="00344EC8" w:rsidP="00B91E3E">
      <w:pPr>
        <w:pStyle w:val="Bullet-list"/>
        <w:spacing w:after="0" w:line="240" w:lineRule="auto"/>
        <w:ind w:left="0" w:firstLine="0"/>
        <w:jc w:val="both"/>
        <w:rPr>
          <w:rFonts w:ascii="Times New Roman" w:hAnsi="Times New Roman"/>
          <w:sz w:val="24"/>
          <w:szCs w:val="24"/>
        </w:rPr>
      </w:pPr>
    </w:p>
    <w:p w:rsidR="000545DC" w:rsidRPr="004342F0" w:rsidRDefault="00D943DD" w:rsidP="00B91E3E">
      <w:pPr>
        <w:pStyle w:val="RISheading"/>
        <w:jc w:val="both"/>
        <w:rPr>
          <w:spacing w:val="0"/>
          <w:w w:val="100"/>
        </w:rPr>
      </w:pPr>
      <w:bookmarkStart w:id="28" w:name="_Toc244580369"/>
      <w:bookmarkStart w:id="29" w:name="_Toc244587045"/>
      <w:bookmarkStart w:id="30" w:name="_Toc244857279"/>
      <w:bookmarkStart w:id="31" w:name="_Toc244912544"/>
      <w:bookmarkStart w:id="32" w:name="_Toc244917001"/>
      <w:r w:rsidRPr="004342F0">
        <w:rPr>
          <w:spacing w:val="0"/>
          <w:w w:val="100"/>
        </w:rPr>
        <w:t>MONITORING, EVALUATION AND REVIEW</w:t>
      </w:r>
      <w:bookmarkEnd w:id="28"/>
      <w:bookmarkEnd w:id="29"/>
      <w:bookmarkEnd w:id="30"/>
      <w:bookmarkEnd w:id="31"/>
      <w:bookmarkEnd w:id="32"/>
    </w:p>
    <w:p w:rsidR="00DB7F73" w:rsidRDefault="00FD4053"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E93E81">
        <w:rPr>
          <w:rFonts w:ascii="Times New Roman" w:hAnsi="Times New Roman"/>
          <w:sz w:val="24"/>
          <w:szCs w:val="24"/>
        </w:rPr>
        <w:t xml:space="preserve">Inland Revenue will monitor the </w:t>
      </w:r>
      <w:r w:rsidR="009B26B8">
        <w:rPr>
          <w:rFonts w:ascii="Times New Roman" w:hAnsi="Times New Roman"/>
          <w:sz w:val="24"/>
          <w:szCs w:val="24"/>
        </w:rPr>
        <w:t>effectiveness of the proposed changes</w:t>
      </w:r>
      <w:r w:rsidR="009B26B8" w:rsidRPr="00E93E81">
        <w:rPr>
          <w:rFonts w:ascii="Times New Roman" w:hAnsi="Times New Roman"/>
          <w:sz w:val="24"/>
          <w:szCs w:val="24"/>
        </w:rPr>
        <w:t xml:space="preserve"> </w:t>
      </w:r>
      <w:r w:rsidR="00DB7F73" w:rsidRPr="00DF0819">
        <w:rPr>
          <w:rFonts w:ascii="Times New Roman" w:hAnsi="Times New Roman"/>
          <w:sz w:val="24"/>
          <w:szCs w:val="24"/>
        </w:rPr>
        <w:t>in the</w:t>
      </w:r>
      <w:r w:rsidR="00DB7F73">
        <w:rPr>
          <w:rFonts w:ascii="Times New Roman" w:hAnsi="Times New Roman"/>
          <w:sz w:val="24"/>
          <w:szCs w:val="24"/>
        </w:rPr>
        <w:t xml:space="preserve"> first 12 months of operation,</w:t>
      </w:r>
      <w:r w:rsidR="00DB7F73" w:rsidRPr="00E93E81">
        <w:rPr>
          <w:rFonts w:ascii="Times New Roman" w:hAnsi="Times New Roman"/>
          <w:sz w:val="24"/>
          <w:szCs w:val="24"/>
        </w:rPr>
        <w:t xml:space="preserve"> </w:t>
      </w:r>
      <w:r w:rsidRPr="00E93E81">
        <w:rPr>
          <w:rFonts w:ascii="Times New Roman" w:hAnsi="Times New Roman"/>
          <w:sz w:val="24"/>
          <w:szCs w:val="24"/>
        </w:rPr>
        <w:t>pursuant to the Generic Tax Policy Process ("</w:t>
      </w:r>
      <w:r w:rsidR="00EA3246" w:rsidRPr="00E93E81">
        <w:rPr>
          <w:rFonts w:ascii="Times New Roman" w:hAnsi="Times New Roman"/>
          <w:sz w:val="24"/>
          <w:szCs w:val="24"/>
        </w:rPr>
        <w:t>GT</w:t>
      </w:r>
      <w:r w:rsidR="00EA3246">
        <w:rPr>
          <w:rFonts w:ascii="Times New Roman" w:hAnsi="Times New Roman"/>
          <w:sz w:val="24"/>
          <w:szCs w:val="24"/>
        </w:rPr>
        <w:t>P</w:t>
      </w:r>
      <w:r w:rsidR="00EA3246" w:rsidRPr="00E93E81">
        <w:rPr>
          <w:rFonts w:ascii="Times New Roman" w:hAnsi="Times New Roman"/>
          <w:sz w:val="24"/>
          <w:szCs w:val="24"/>
        </w:rPr>
        <w:t>P</w:t>
      </w:r>
      <w:r w:rsidRPr="00E93E81">
        <w:rPr>
          <w:rFonts w:ascii="Times New Roman" w:hAnsi="Times New Roman"/>
          <w:sz w:val="24"/>
          <w:szCs w:val="24"/>
        </w:rPr>
        <w:t xml:space="preserve">"). The GTPP is a multi-stage policy process that has been used to design tax policy </w:t>
      </w:r>
      <w:r w:rsidR="00FE2DF5" w:rsidRPr="00DF0819">
        <w:rPr>
          <w:rFonts w:ascii="Times New Roman" w:hAnsi="Times New Roman"/>
          <w:sz w:val="24"/>
          <w:szCs w:val="24"/>
        </w:rPr>
        <w:t xml:space="preserve">(and subsequently social policy administered by Inland Revenue) </w:t>
      </w:r>
      <w:r w:rsidRPr="00E93E81">
        <w:rPr>
          <w:rFonts w:ascii="Times New Roman" w:hAnsi="Times New Roman"/>
          <w:sz w:val="24"/>
          <w:szCs w:val="24"/>
        </w:rPr>
        <w:t>in New Zealand since 1995</w:t>
      </w:r>
    </w:p>
    <w:p w:rsidR="00FD4053" w:rsidRPr="00E93E81" w:rsidRDefault="00FD4053" w:rsidP="00B91E3E">
      <w:pPr>
        <w:pStyle w:val="Bullet-list"/>
        <w:spacing w:after="0" w:line="240" w:lineRule="auto"/>
        <w:ind w:left="0" w:firstLine="0"/>
        <w:jc w:val="both"/>
        <w:rPr>
          <w:rFonts w:ascii="Times New Roman" w:hAnsi="Times New Roman"/>
          <w:sz w:val="24"/>
          <w:szCs w:val="24"/>
        </w:rPr>
      </w:pPr>
    </w:p>
    <w:p w:rsidR="00FE2DF5" w:rsidRDefault="00DB7F73" w:rsidP="00B91E3E">
      <w:pPr>
        <w:pStyle w:val="Bullet-list"/>
        <w:numPr>
          <w:ilvl w:val="0"/>
          <w:numId w:val="2"/>
        </w:numPr>
        <w:tabs>
          <w:tab w:val="clear" w:pos="786"/>
          <w:tab w:val="num" w:pos="567"/>
        </w:tabs>
        <w:spacing w:after="0" w:line="240" w:lineRule="auto"/>
        <w:ind w:left="0" w:firstLine="0"/>
        <w:jc w:val="both"/>
        <w:rPr>
          <w:rFonts w:ascii="Times New Roman" w:hAnsi="Times New Roman"/>
          <w:sz w:val="24"/>
          <w:szCs w:val="24"/>
        </w:rPr>
      </w:pPr>
      <w:r w:rsidRPr="00DB7F73">
        <w:rPr>
          <w:rFonts w:ascii="Times New Roman" w:hAnsi="Times New Roman"/>
          <w:sz w:val="24"/>
          <w:szCs w:val="24"/>
        </w:rPr>
        <w:t xml:space="preserve">The final step in the </w:t>
      </w:r>
      <w:r w:rsidR="00625424">
        <w:rPr>
          <w:rFonts w:ascii="Times New Roman" w:hAnsi="Times New Roman"/>
          <w:sz w:val="24"/>
          <w:szCs w:val="24"/>
        </w:rPr>
        <w:t>GTPP</w:t>
      </w:r>
      <w:r w:rsidRPr="00DB7F73">
        <w:rPr>
          <w:rFonts w:ascii="Times New Roman" w:hAnsi="Times New Roman"/>
          <w:sz w:val="24"/>
          <w:szCs w:val="24"/>
        </w:rPr>
        <w:t xml:space="preserve">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GTPP.</w:t>
      </w:r>
    </w:p>
    <w:p w:rsidR="00FE2DF5" w:rsidRPr="0081336B" w:rsidRDefault="00FE2DF5" w:rsidP="00B91E3E">
      <w:pPr>
        <w:spacing w:after="0" w:line="240" w:lineRule="auto"/>
        <w:jc w:val="both"/>
        <w:rPr>
          <w:rFonts w:ascii="Times New Roman" w:hAnsi="Times New Roman"/>
          <w:sz w:val="24"/>
          <w:szCs w:val="24"/>
          <w:lang w:val="en-AU" w:eastAsia="en-US"/>
        </w:rPr>
      </w:pPr>
    </w:p>
    <w:sectPr w:rsidR="00FE2DF5" w:rsidRPr="0081336B" w:rsidSect="00B91E3E">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64" w:rsidRDefault="00EC3764" w:rsidP="00F72085">
      <w:r>
        <w:separator/>
      </w:r>
    </w:p>
  </w:endnote>
  <w:endnote w:type="continuationSeparator" w:id="0">
    <w:p w:rsidR="00EC3764" w:rsidRDefault="00EC3764"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12170055"/>
      <w:docPartObj>
        <w:docPartGallery w:val="Page Numbers (Bottom of Page)"/>
        <w:docPartUnique/>
      </w:docPartObj>
    </w:sdtPr>
    <w:sdtEndPr>
      <w:rPr>
        <w:noProof/>
      </w:rPr>
    </w:sdtEndPr>
    <w:sdtContent>
      <w:p w:rsidR="00EC3764" w:rsidRDefault="00EC3764">
        <w:pPr>
          <w:pStyle w:val="Footer"/>
        </w:pPr>
        <w:r>
          <w:rPr>
            <w:noProof w:val="0"/>
          </w:rPr>
          <w:fldChar w:fldCharType="begin"/>
        </w:r>
        <w:r>
          <w:instrText xml:space="preserve"> PAGE   \* MERGEFORMAT </w:instrText>
        </w:r>
        <w:r>
          <w:rPr>
            <w:noProof w:val="0"/>
          </w:rPr>
          <w:fldChar w:fldCharType="separate"/>
        </w:r>
        <w:r w:rsidR="00EF05C6">
          <w:t>31</w:t>
        </w:r>
        <w:r>
          <w:fldChar w:fldCharType="end"/>
        </w:r>
      </w:p>
    </w:sdtContent>
  </w:sdt>
  <w:p w:rsidR="00EC3764" w:rsidRDefault="00EC3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64" w:rsidRDefault="00EC3764" w:rsidP="00F72085">
      <w:r>
        <w:separator/>
      </w:r>
    </w:p>
  </w:footnote>
  <w:footnote w:type="continuationSeparator" w:id="0">
    <w:p w:rsidR="00EC3764" w:rsidRDefault="00EC3764" w:rsidP="00F72085">
      <w:r>
        <w:continuationSeparator/>
      </w:r>
    </w:p>
  </w:footnote>
  <w:footnote w:id="1">
    <w:p w:rsidR="00EC3764" w:rsidRDefault="00EC3764" w:rsidP="00B91E3E">
      <w:pPr>
        <w:pStyle w:val="FootnoteText"/>
        <w:tabs>
          <w:tab w:val="clear" w:pos="425"/>
          <w:tab w:val="left" w:pos="0"/>
        </w:tabs>
        <w:spacing w:after="0"/>
        <w:ind w:left="0" w:firstLine="0"/>
      </w:pPr>
      <w:r>
        <w:rPr>
          <w:rStyle w:val="FootnoteReference"/>
        </w:rPr>
        <w:footnoteRef/>
      </w:r>
      <w:r>
        <w:t xml:space="preserve"> The interpretation statement may be accessed on the “Technical tax area: interpretation guidelines and interpretation statements” page of the Inland Revenue website at:</w:t>
      </w:r>
    </w:p>
    <w:p w:rsidR="00EC3764" w:rsidRPr="00576604" w:rsidRDefault="00EC3764" w:rsidP="00B91E3E">
      <w:pPr>
        <w:pStyle w:val="FootnoteText"/>
        <w:tabs>
          <w:tab w:val="clear" w:pos="425"/>
          <w:tab w:val="left" w:pos="0"/>
        </w:tabs>
        <w:ind w:left="0" w:firstLine="0"/>
      </w:pPr>
      <w:r>
        <w:tab/>
      </w:r>
      <w:r>
        <w:tab/>
      </w:r>
      <w:hyperlink r:id="rId1" w:history="1">
        <w:r w:rsidRPr="00836543">
          <w:rPr>
            <w:rStyle w:val="Hyperlink"/>
          </w:rPr>
          <w:t>http://www.ird.govt.nz/technical-tax/interpretations/interpretations/2015/</w:t>
        </w:r>
      </w:hyperlink>
    </w:p>
  </w:footnote>
  <w:footnote w:id="2">
    <w:p w:rsidR="00EC3764" w:rsidRPr="009A28AB" w:rsidRDefault="00EC3764" w:rsidP="00B91E3E">
      <w:pPr>
        <w:pStyle w:val="FootnoteText"/>
        <w:spacing w:after="0"/>
        <w:rPr>
          <w:lang w:val="en-NZ"/>
        </w:rPr>
      </w:pPr>
      <w:r>
        <w:rPr>
          <w:rStyle w:val="FootnoteReference"/>
        </w:rPr>
        <w:footnoteRef/>
      </w:r>
      <w:r>
        <w:t xml:space="preserve"> </w:t>
      </w:r>
      <w:r w:rsidRPr="00B91E3E">
        <w:rPr>
          <w:i/>
          <w:lang w:val="en-NZ"/>
        </w:rPr>
        <w:t>International VAT/GST Guidelines</w:t>
      </w:r>
      <w:r w:rsidRPr="009A28AB">
        <w:rPr>
          <w:lang w:val="en-NZ"/>
        </w:rPr>
        <w:t xml:space="preserve"> (OECD, November 2015), at </w:t>
      </w:r>
      <w:r>
        <w:rPr>
          <w:lang w:val="en-NZ"/>
        </w:rPr>
        <w:t>[</w:t>
      </w:r>
      <w:r w:rsidRPr="00B91E3E">
        <w:rPr>
          <w:lang w:val="en-NZ"/>
        </w:rPr>
        <w:t>3.176</w:t>
      </w:r>
      <w:r>
        <w:rPr>
          <w:lang w:val="en-NZ"/>
        </w:rPr>
        <w:t>]</w:t>
      </w:r>
    </w:p>
  </w:footnote>
  <w:footnote w:id="3">
    <w:p w:rsidR="00EC3764" w:rsidRPr="007B2099" w:rsidRDefault="00EC3764" w:rsidP="00B91E3E">
      <w:pPr>
        <w:pStyle w:val="FootnoteText"/>
        <w:spacing w:after="0"/>
        <w:rPr>
          <w:lang w:val="en-NZ"/>
        </w:rPr>
      </w:pPr>
      <w:r w:rsidRPr="009A28AB">
        <w:rPr>
          <w:rStyle w:val="FootnoteReference"/>
        </w:rPr>
        <w:footnoteRef/>
      </w:r>
      <w:r w:rsidRPr="009A28AB">
        <w:t xml:space="preserve"> </w:t>
      </w:r>
      <w:r>
        <w:t>A</w:t>
      </w:r>
      <w:r w:rsidRPr="00B91E3E">
        <w:rPr>
          <w:lang w:val="en-NZ"/>
        </w:rPr>
        <w:t xml:space="preserve">t </w:t>
      </w:r>
      <w:r>
        <w:rPr>
          <w:lang w:val="en-NZ"/>
        </w:rPr>
        <w:t>[</w:t>
      </w:r>
      <w:r w:rsidRPr="009A28AB">
        <w:rPr>
          <w:lang w:val="en-NZ"/>
        </w:rPr>
        <w:t>3.175</w:t>
      </w:r>
      <w:r>
        <w:rPr>
          <w:lang w:val="en-NZ"/>
        </w:rPr>
        <w:t>]</w:t>
      </w:r>
    </w:p>
  </w:footnote>
  <w:footnote w:id="4">
    <w:p w:rsidR="00EC3764" w:rsidRDefault="00EC3764" w:rsidP="00B91E3E">
      <w:pPr>
        <w:spacing w:after="0" w:line="240" w:lineRule="auto"/>
        <w:rPr>
          <w:rFonts w:ascii="Times New Roman" w:hAnsi="Times New Roman"/>
          <w:lang w:val="en-US"/>
        </w:rPr>
      </w:pPr>
      <w:r>
        <w:rPr>
          <w:rStyle w:val="FootnoteReference"/>
        </w:rPr>
        <w:footnoteRef/>
      </w:r>
      <w:r>
        <w:t xml:space="preserve"> </w:t>
      </w:r>
      <w:r w:rsidRPr="00B025AD">
        <w:rPr>
          <w:rFonts w:cs="Arial"/>
          <w:sz w:val="18"/>
          <w:szCs w:val="18"/>
        </w:rPr>
        <w:t>(1997) 18 NZTC 13,137</w:t>
      </w:r>
    </w:p>
  </w:footnote>
  <w:footnote w:id="5">
    <w:p w:rsidR="00EC3764" w:rsidRDefault="00EC3764" w:rsidP="00B91E3E">
      <w:pPr>
        <w:spacing w:after="0" w:line="240" w:lineRule="auto"/>
        <w:rPr>
          <w:rFonts w:ascii="Times New Roman" w:hAnsi="Times New Roman"/>
          <w:lang w:val="en-US"/>
        </w:rPr>
      </w:pPr>
      <w:r>
        <w:rPr>
          <w:rStyle w:val="FootnoteReference"/>
        </w:rPr>
        <w:footnoteRef/>
      </w:r>
      <w:r>
        <w:t xml:space="preserve"> </w:t>
      </w:r>
      <w:r w:rsidRPr="00B025AD">
        <w:rPr>
          <w:rFonts w:cs="Arial"/>
          <w:sz w:val="18"/>
          <w:szCs w:val="18"/>
        </w:rPr>
        <w:t>(</w:t>
      </w:r>
      <w:r w:rsidRPr="00B025AD">
        <w:rPr>
          <w:rFonts w:cs="Arial"/>
          <w:sz w:val="18"/>
          <w:szCs w:val="18"/>
          <w:lang w:val="en-AU" w:eastAsia="en-US"/>
        </w:rPr>
        <w:t>1994) 16 NZTC 11,221</w:t>
      </w:r>
    </w:p>
  </w:footnote>
  <w:footnote w:id="6">
    <w:p w:rsidR="00EC3764" w:rsidRPr="006B2540" w:rsidRDefault="00EC3764" w:rsidP="00B91E3E">
      <w:pPr>
        <w:spacing w:after="0" w:line="240" w:lineRule="auto"/>
        <w:rPr>
          <w:rFonts w:ascii="Times New Roman" w:hAnsi="Times New Roman"/>
          <w:lang w:val="en-NZ"/>
        </w:rPr>
      </w:pPr>
      <w:r w:rsidRPr="00B91E3E">
        <w:rPr>
          <w:rStyle w:val="FootnoteReference"/>
        </w:rPr>
        <w:footnoteRef/>
      </w:r>
      <w:r w:rsidRPr="006B2540">
        <w:rPr>
          <w:rFonts w:ascii="Times New Roman" w:hAnsi="Times New Roman"/>
          <w:sz w:val="18"/>
          <w:szCs w:val="18"/>
          <w:lang w:val="en-US" w:eastAsia="en-US"/>
        </w:rPr>
        <w:t xml:space="preserve"> </w:t>
      </w:r>
      <w:r w:rsidRPr="00B91E3E">
        <w:rPr>
          <w:rFonts w:cs="Arial"/>
          <w:sz w:val="18"/>
          <w:szCs w:val="18"/>
          <w:lang w:val="en-AU" w:eastAsia="en-US"/>
        </w:rPr>
        <w:t>BR Pub 15/03 “Goods and Services Tax – legal services provided to non-residents relating  to transactions involving land in New Zealand”, Tax Information Bulletin Vol. 27, No. 3  (April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70"/>
    <w:multiLevelType w:val="hybridMultilevel"/>
    <w:tmpl w:val="C69CF5B8"/>
    <w:lvl w:ilvl="0" w:tplc="14090001">
      <w:start w:val="1"/>
      <w:numFmt w:val="bullet"/>
      <w:lvlText w:val=""/>
      <w:lvlJc w:val="left"/>
      <w:pPr>
        <w:ind w:left="786"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982D22"/>
    <w:multiLevelType w:val="hybridMultilevel"/>
    <w:tmpl w:val="627A6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987E35"/>
    <w:multiLevelType w:val="hybridMultilevel"/>
    <w:tmpl w:val="DF66F0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9F1DC8"/>
    <w:multiLevelType w:val="hybridMultilevel"/>
    <w:tmpl w:val="A8BA8C3C"/>
    <w:lvl w:ilvl="0" w:tplc="14090001">
      <w:start w:val="1"/>
      <w:numFmt w:val="bullet"/>
      <w:lvlText w:val=""/>
      <w:lvlJc w:val="left"/>
      <w:pPr>
        <w:ind w:left="644" w:hanging="360"/>
      </w:pPr>
      <w:rPr>
        <w:rFonts w:ascii="Symbol" w:eastAsia="Times New Roman" w:hAnsi="Symbol"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
    <w:nsid w:val="11F8066A"/>
    <w:multiLevelType w:val="hybridMultilevel"/>
    <w:tmpl w:val="787810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70033C"/>
    <w:multiLevelType w:val="hybridMultilevel"/>
    <w:tmpl w:val="904C3818"/>
    <w:lvl w:ilvl="0" w:tplc="41F48786">
      <w:start w:val="1"/>
      <w:numFmt w:val="decimal"/>
      <w:lvlText w:val="%1."/>
      <w:lvlJc w:val="left"/>
      <w:pPr>
        <w:tabs>
          <w:tab w:val="num" w:pos="786"/>
        </w:tabs>
        <w:ind w:left="786" w:hanging="360"/>
      </w:pPr>
      <w:rPr>
        <w:rFonts w:ascii="Times New Roman" w:hAnsi="Times New Roman" w:cs="Times New Roman" w:hint="default"/>
        <w:b w:val="0"/>
        <w:i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322C58"/>
    <w:multiLevelType w:val="hybridMultilevel"/>
    <w:tmpl w:val="536A8E8A"/>
    <w:lvl w:ilvl="0" w:tplc="EB74564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05707A"/>
    <w:multiLevelType w:val="hybridMultilevel"/>
    <w:tmpl w:val="943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333E0E0A"/>
    <w:multiLevelType w:val="hybridMultilevel"/>
    <w:tmpl w:val="7E64404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6731B78"/>
    <w:multiLevelType w:val="hybridMultilevel"/>
    <w:tmpl w:val="94724580"/>
    <w:lvl w:ilvl="0" w:tplc="B0A8D238">
      <w:start w:val="1"/>
      <w:numFmt w:val="upperLetter"/>
      <w:lvlText w:val="%1)"/>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A0E726F"/>
    <w:multiLevelType w:val="hybridMultilevel"/>
    <w:tmpl w:val="0B3A0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A121661"/>
    <w:multiLevelType w:val="hybridMultilevel"/>
    <w:tmpl w:val="7F4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406C9"/>
    <w:multiLevelType w:val="hybridMultilevel"/>
    <w:tmpl w:val="FC084094"/>
    <w:lvl w:ilvl="0" w:tplc="0150BF8C">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456543E"/>
    <w:multiLevelType w:val="hybridMultilevel"/>
    <w:tmpl w:val="5192A2C8"/>
    <w:lvl w:ilvl="0" w:tplc="CBE6DBA8">
      <w:start w:val="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AA97908"/>
    <w:multiLevelType w:val="hybridMultilevel"/>
    <w:tmpl w:val="833041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1027CF1"/>
    <w:multiLevelType w:val="hybridMultilevel"/>
    <w:tmpl w:val="010C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AA40C77"/>
    <w:multiLevelType w:val="hybridMultilevel"/>
    <w:tmpl w:val="92488192"/>
    <w:lvl w:ilvl="0" w:tplc="ADAC1A62">
      <w:numFmt w:val="bullet"/>
      <w:lvlText w:val=""/>
      <w:lvlJc w:val="left"/>
      <w:pPr>
        <w:ind w:left="720" w:hanging="360"/>
      </w:pPr>
      <w:rPr>
        <w:rFonts w:ascii="Symbol" w:eastAsia="Times New Roman" w:hAnsi="Symbol"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D7923A1"/>
    <w:multiLevelType w:val="hybridMultilevel"/>
    <w:tmpl w:val="A1E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7580A"/>
    <w:multiLevelType w:val="hybridMultilevel"/>
    <w:tmpl w:val="5628A12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696D3ABE"/>
    <w:multiLevelType w:val="hybridMultilevel"/>
    <w:tmpl w:val="C166F09A"/>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0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46218C2"/>
    <w:multiLevelType w:val="hybridMultilevel"/>
    <w:tmpl w:val="23EC8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325A75"/>
    <w:multiLevelType w:val="hybridMultilevel"/>
    <w:tmpl w:val="DA044D3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8"/>
  </w:num>
  <w:num w:numId="2">
    <w:abstractNumId w:val="5"/>
  </w:num>
  <w:num w:numId="3">
    <w:abstractNumId w:val="22"/>
  </w:num>
  <w:num w:numId="4">
    <w:abstractNumId w:val="10"/>
  </w:num>
  <w:num w:numId="5">
    <w:abstractNumId w:val="0"/>
  </w:num>
  <w:num w:numId="6">
    <w:abstractNumId w:val="14"/>
  </w:num>
  <w:num w:numId="7">
    <w:abstractNumId w:val="16"/>
  </w:num>
  <w:num w:numId="8">
    <w:abstractNumId w:val="9"/>
  </w:num>
  <w:num w:numId="9">
    <w:abstractNumId w:val="2"/>
  </w:num>
  <w:num w:numId="10">
    <w:abstractNumId w:val="20"/>
  </w:num>
  <w:num w:numId="11">
    <w:abstractNumId w:val="17"/>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7"/>
  </w:num>
  <w:num w:numId="17">
    <w:abstractNumId w:val="19"/>
  </w:num>
  <w:num w:numId="18">
    <w:abstractNumId w:val="15"/>
  </w:num>
  <w:num w:numId="19">
    <w:abstractNumId w:val="11"/>
  </w:num>
  <w:num w:numId="20">
    <w:abstractNumId w:val="6"/>
  </w:num>
  <w:num w:numId="21">
    <w:abstractNumId w:val="23"/>
  </w:num>
  <w:num w:numId="22">
    <w:abstractNumId w:val="12"/>
  </w:num>
  <w:num w:numId="23">
    <w:abstractNumId w:val="1"/>
  </w:num>
  <w:num w:numId="24">
    <w:abstractNumId w:val="3"/>
  </w:num>
  <w:num w:numId="25">
    <w:abstractNumId w:val="4"/>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9A"/>
    <w:rsid w:val="00001539"/>
    <w:rsid w:val="00002100"/>
    <w:rsid w:val="00002433"/>
    <w:rsid w:val="000037F4"/>
    <w:rsid w:val="00004A8A"/>
    <w:rsid w:val="000053DA"/>
    <w:rsid w:val="00005DC9"/>
    <w:rsid w:val="00010986"/>
    <w:rsid w:val="00010F7D"/>
    <w:rsid w:val="00012338"/>
    <w:rsid w:val="00013A18"/>
    <w:rsid w:val="00013E82"/>
    <w:rsid w:val="00014196"/>
    <w:rsid w:val="000147DC"/>
    <w:rsid w:val="00014CA5"/>
    <w:rsid w:val="00015072"/>
    <w:rsid w:val="00016722"/>
    <w:rsid w:val="0002068B"/>
    <w:rsid w:val="000232EB"/>
    <w:rsid w:val="00023BAB"/>
    <w:rsid w:val="00023EA6"/>
    <w:rsid w:val="00024B22"/>
    <w:rsid w:val="0002568E"/>
    <w:rsid w:val="00025954"/>
    <w:rsid w:val="00030890"/>
    <w:rsid w:val="00030DEA"/>
    <w:rsid w:val="00032200"/>
    <w:rsid w:val="00033950"/>
    <w:rsid w:val="000343E7"/>
    <w:rsid w:val="00034786"/>
    <w:rsid w:val="00035185"/>
    <w:rsid w:val="00036A3D"/>
    <w:rsid w:val="00036EE4"/>
    <w:rsid w:val="0003751B"/>
    <w:rsid w:val="00041469"/>
    <w:rsid w:val="00041CD1"/>
    <w:rsid w:val="0004221C"/>
    <w:rsid w:val="000431FE"/>
    <w:rsid w:val="000435AD"/>
    <w:rsid w:val="000443B2"/>
    <w:rsid w:val="00045AFC"/>
    <w:rsid w:val="00046BBC"/>
    <w:rsid w:val="00046F46"/>
    <w:rsid w:val="00047559"/>
    <w:rsid w:val="000523FC"/>
    <w:rsid w:val="000526E4"/>
    <w:rsid w:val="00053AAE"/>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439F"/>
    <w:rsid w:val="000655B2"/>
    <w:rsid w:val="00065E3C"/>
    <w:rsid w:val="00066C51"/>
    <w:rsid w:val="00070193"/>
    <w:rsid w:val="00073A19"/>
    <w:rsid w:val="00073F31"/>
    <w:rsid w:val="000745D3"/>
    <w:rsid w:val="00074B13"/>
    <w:rsid w:val="00074D02"/>
    <w:rsid w:val="00074F2D"/>
    <w:rsid w:val="0007562B"/>
    <w:rsid w:val="00080CE0"/>
    <w:rsid w:val="00080DE3"/>
    <w:rsid w:val="00082653"/>
    <w:rsid w:val="00082ABC"/>
    <w:rsid w:val="00083ADB"/>
    <w:rsid w:val="0008412F"/>
    <w:rsid w:val="00085660"/>
    <w:rsid w:val="00086007"/>
    <w:rsid w:val="000863E2"/>
    <w:rsid w:val="00086898"/>
    <w:rsid w:val="0008712F"/>
    <w:rsid w:val="00087C41"/>
    <w:rsid w:val="000930ED"/>
    <w:rsid w:val="00093451"/>
    <w:rsid w:val="00095446"/>
    <w:rsid w:val="00096BFA"/>
    <w:rsid w:val="000A073E"/>
    <w:rsid w:val="000A20D1"/>
    <w:rsid w:val="000A39F4"/>
    <w:rsid w:val="000A43F8"/>
    <w:rsid w:val="000A4419"/>
    <w:rsid w:val="000B005C"/>
    <w:rsid w:val="000B01CC"/>
    <w:rsid w:val="000B0480"/>
    <w:rsid w:val="000B0615"/>
    <w:rsid w:val="000B0C12"/>
    <w:rsid w:val="000B0D42"/>
    <w:rsid w:val="000B12B0"/>
    <w:rsid w:val="000B16BF"/>
    <w:rsid w:val="000B2052"/>
    <w:rsid w:val="000B5B1E"/>
    <w:rsid w:val="000C0912"/>
    <w:rsid w:val="000C2669"/>
    <w:rsid w:val="000C26E9"/>
    <w:rsid w:val="000C3EB5"/>
    <w:rsid w:val="000C43AB"/>
    <w:rsid w:val="000C43B6"/>
    <w:rsid w:val="000C6385"/>
    <w:rsid w:val="000C684B"/>
    <w:rsid w:val="000C6EED"/>
    <w:rsid w:val="000C79FD"/>
    <w:rsid w:val="000D012A"/>
    <w:rsid w:val="000D0FA0"/>
    <w:rsid w:val="000D2A6B"/>
    <w:rsid w:val="000D31FE"/>
    <w:rsid w:val="000D3508"/>
    <w:rsid w:val="000D5E01"/>
    <w:rsid w:val="000D6393"/>
    <w:rsid w:val="000D670A"/>
    <w:rsid w:val="000D77C0"/>
    <w:rsid w:val="000D7C12"/>
    <w:rsid w:val="000D7EC6"/>
    <w:rsid w:val="000E0036"/>
    <w:rsid w:val="000E310A"/>
    <w:rsid w:val="000E3979"/>
    <w:rsid w:val="000E3CE1"/>
    <w:rsid w:val="000E73FF"/>
    <w:rsid w:val="000E7C1C"/>
    <w:rsid w:val="000F03B0"/>
    <w:rsid w:val="000F162C"/>
    <w:rsid w:val="000F3333"/>
    <w:rsid w:val="000F6F99"/>
    <w:rsid w:val="000F7020"/>
    <w:rsid w:val="00101A24"/>
    <w:rsid w:val="00113146"/>
    <w:rsid w:val="00114F56"/>
    <w:rsid w:val="001158BA"/>
    <w:rsid w:val="00116006"/>
    <w:rsid w:val="001164C4"/>
    <w:rsid w:val="00116B51"/>
    <w:rsid w:val="0012410B"/>
    <w:rsid w:val="00125812"/>
    <w:rsid w:val="00125ADD"/>
    <w:rsid w:val="00126CD1"/>
    <w:rsid w:val="00127757"/>
    <w:rsid w:val="00130E8F"/>
    <w:rsid w:val="001336E3"/>
    <w:rsid w:val="001339BB"/>
    <w:rsid w:val="00135453"/>
    <w:rsid w:val="001362F9"/>
    <w:rsid w:val="00136EED"/>
    <w:rsid w:val="00141B20"/>
    <w:rsid w:val="00141D39"/>
    <w:rsid w:val="00142051"/>
    <w:rsid w:val="00143437"/>
    <w:rsid w:val="00144369"/>
    <w:rsid w:val="00144ADC"/>
    <w:rsid w:val="00144BBB"/>
    <w:rsid w:val="00144E49"/>
    <w:rsid w:val="00145E63"/>
    <w:rsid w:val="00146FC1"/>
    <w:rsid w:val="00150932"/>
    <w:rsid w:val="00152D49"/>
    <w:rsid w:val="00157E18"/>
    <w:rsid w:val="00161022"/>
    <w:rsid w:val="00161358"/>
    <w:rsid w:val="001620EB"/>
    <w:rsid w:val="0016538E"/>
    <w:rsid w:val="0016570E"/>
    <w:rsid w:val="00166A7A"/>
    <w:rsid w:val="00166C49"/>
    <w:rsid w:val="001674EB"/>
    <w:rsid w:val="00167EE1"/>
    <w:rsid w:val="001705C4"/>
    <w:rsid w:val="00171281"/>
    <w:rsid w:val="001712D6"/>
    <w:rsid w:val="001726B0"/>
    <w:rsid w:val="00174597"/>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42D5"/>
    <w:rsid w:val="00194873"/>
    <w:rsid w:val="00194B8A"/>
    <w:rsid w:val="00194CF9"/>
    <w:rsid w:val="00197273"/>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2DC"/>
    <w:rsid w:val="001B54FC"/>
    <w:rsid w:val="001B7122"/>
    <w:rsid w:val="001B7540"/>
    <w:rsid w:val="001C0CF6"/>
    <w:rsid w:val="001C2214"/>
    <w:rsid w:val="001C2524"/>
    <w:rsid w:val="001C41C2"/>
    <w:rsid w:val="001C4B87"/>
    <w:rsid w:val="001C4FBC"/>
    <w:rsid w:val="001C6912"/>
    <w:rsid w:val="001D0A46"/>
    <w:rsid w:val="001D22ED"/>
    <w:rsid w:val="001D3440"/>
    <w:rsid w:val="001D37FB"/>
    <w:rsid w:val="001D4719"/>
    <w:rsid w:val="001D4D62"/>
    <w:rsid w:val="001D53A8"/>
    <w:rsid w:val="001D7325"/>
    <w:rsid w:val="001E12C8"/>
    <w:rsid w:val="001E1A8F"/>
    <w:rsid w:val="001E6AFE"/>
    <w:rsid w:val="001E758E"/>
    <w:rsid w:val="001F0773"/>
    <w:rsid w:val="001F0DD3"/>
    <w:rsid w:val="001F156A"/>
    <w:rsid w:val="001F1711"/>
    <w:rsid w:val="001F1A2D"/>
    <w:rsid w:val="001F21CB"/>
    <w:rsid w:val="001F4163"/>
    <w:rsid w:val="001F6408"/>
    <w:rsid w:val="001F6750"/>
    <w:rsid w:val="00200311"/>
    <w:rsid w:val="002008D1"/>
    <w:rsid w:val="00202449"/>
    <w:rsid w:val="00202E20"/>
    <w:rsid w:val="002036AA"/>
    <w:rsid w:val="00203789"/>
    <w:rsid w:val="00204A66"/>
    <w:rsid w:val="00205334"/>
    <w:rsid w:val="00213B41"/>
    <w:rsid w:val="00216DB5"/>
    <w:rsid w:val="00216F08"/>
    <w:rsid w:val="00217A19"/>
    <w:rsid w:val="00222CA5"/>
    <w:rsid w:val="00223298"/>
    <w:rsid w:val="00224A1F"/>
    <w:rsid w:val="00224BD6"/>
    <w:rsid w:val="002253E9"/>
    <w:rsid w:val="002258FC"/>
    <w:rsid w:val="00226226"/>
    <w:rsid w:val="00227D78"/>
    <w:rsid w:val="00227FE4"/>
    <w:rsid w:val="00230EB4"/>
    <w:rsid w:val="002317B4"/>
    <w:rsid w:val="002331A0"/>
    <w:rsid w:val="00233C1F"/>
    <w:rsid w:val="00233DC9"/>
    <w:rsid w:val="0023447D"/>
    <w:rsid w:val="002347EB"/>
    <w:rsid w:val="0023708B"/>
    <w:rsid w:val="00237318"/>
    <w:rsid w:val="00237FE9"/>
    <w:rsid w:val="0024056B"/>
    <w:rsid w:val="0024128C"/>
    <w:rsid w:val="002424F2"/>
    <w:rsid w:val="00245DA0"/>
    <w:rsid w:val="00247ADA"/>
    <w:rsid w:val="00251406"/>
    <w:rsid w:val="002521C3"/>
    <w:rsid w:val="00254EC6"/>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22A3"/>
    <w:rsid w:val="00282DD1"/>
    <w:rsid w:val="00283259"/>
    <w:rsid w:val="00283AFA"/>
    <w:rsid w:val="00283D22"/>
    <w:rsid w:val="00287942"/>
    <w:rsid w:val="00292783"/>
    <w:rsid w:val="0029399F"/>
    <w:rsid w:val="00293E21"/>
    <w:rsid w:val="00295264"/>
    <w:rsid w:val="00295DFA"/>
    <w:rsid w:val="00296404"/>
    <w:rsid w:val="0029649F"/>
    <w:rsid w:val="002A05D3"/>
    <w:rsid w:val="002A06C6"/>
    <w:rsid w:val="002A107A"/>
    <w:rsid w:val="002A535E"/>
    <w:rsid w:val="002A5881"/>
    <w:rsid w:val="002A5E7A"/>
    <w:rsid w:val="002B0025"/>
    <w:rsid w:val="002B0801"/>
    <w:rsid w:val="002B0A3F"/>
    <w:rsid w:val="002B5324"/>
    <w:rsid w:val="002B56E7"/>
    <w:rsid w:val="002B5823"/>
    <w:rsid w:val="002B733A"/>
    <w:rsid w:val="002B7F4A"/>
    <w:rsid w:val="002C0074"/>
    <w:rsid w:val="002C097E"/>
    <w:rsid w:val="002C2315"/>
    <w:rsid w:val="002C301D"/>
    <w:rsid w:val="002C37E7"/>
    <w:rsid w:val="002C4A38"/>
    <w:rsid w:val="002C65B8"/>
    <w:rsid w:val="002C734D"/>
    <w:rsid w:val="002C744C"/>
    <w:rsid w:val="002D01BF"/>
    <w:rsid w:val="002D0FAA"/>
    <w:rsid w:val="002D2AC4"/>
    <w:rsid w:val="002D372C"/>
    <w:rsid w:val="002D3E81"/>
    <w:rsid w:val="002D4AC3"/>
    <w:rsid w:val="002D52A0"/>
    <w:rsid w:val="002D6691"/>
    <w:rsid w:val="002E0169"/>
    <w:rsid w:val="002E062E"/>
    <w:rsid w:val="002E1226"/>
    <w:rsid w:val="002E192D"/>
    <w:rsid w:val="002E1D30"/>
    <w:rsid w:val="002E2678"/>
    <w:rsid w:val="002E28C6"/>
    <w:rsid w:val="002E3F0C"/>
    <w:rsid w:val="002E4DB3"/>
    <w:rsid w:val="002E549D"/>
    <w:rsid w:val="002E6D37"/>
    <w:rsid w:val="002E79A6"/>
    <w:rsid w:val="002F10BF"/>
    <w:rsid w:val="002F110D"/>
    <w:rsid w:val="002F1C24"/>
    <w:rsid w:val="002F302C"/>
    <w:rsid w:val="002F32BD"/>
    <w:rsid w:val="002F4407"/>
    <w:rsid w:val="002F5A1A"/>
    <w:rsid w:val="002F6E67"/>
    <w:rsid w:val="002F71F1"/>
    <w:rsid w:val="002F7C03"/>
    <w:rsid w:val="0030111A"/>
    <w:rsid w:val="003020F3"/>
    <w:rsid w:val="003022D4"/>
    <w:rsid w:val="00302329"/>
    <w:rsid w:val="003038AC"/>
    <w:rsid w:val="00305726"/>
    <w:rsid w:val="00306E9B"/>
    <w:rsid w:val="003076FA"/>
    <w:rsid w:val="00310D70"/>
    <w:rsid w:val="0031214B"/>
    <w:rsid w:val="00313F3E"/>
    <w:rsid w:val="00314A19"/>
    <w:rsid w:val="00315307"/>
    <w:rsid w:val="00315D17"/>
    <w:rsid w:val="00316B54"/>
    <w:rsid w:val="003176BB"/>
    <w:rsid w:val="00317E1A"/>
    <w:rsid w:val="00320A3C"/>
    <w:rsid w:val="003232C2"/>
    <w:rsid w:val="00323393"/>
    <w:rsid w:val="003237B0"/>
    <w:rsid w:val="0032503F"/>
    <w:rsid w:val="003262CE"/>
    <w:rsid w:val="003264ED"/>
    <w:rsid w:val="00326CA2"/>
    <w:rsid w:val="003308B4"/>
    <w:rsid w:val="00333209"/>
    <w:rsid w:val="0033472F"/>
    <w:rsid w:val="00334A4E"/>
    <w:rsid w:val="003352EF"/>
    <w:rsid w:val="003418C0"/>
    <w:rsid w:val="003422AE"/>
    <w:rsid w:val="003424A8"/>
    <w:rsid w:val="003425F7"/>
    <w:rsid w:val="00343012"/>
    <w:rsid w:val="00343233"/>
    <w:rsid w:val="00343B25"/>
    <w:rsid w:val="003441E3"/>
    <w:rsid w:val="003445EA"/>
    <w:rsid w:val="00344EC8"/>
    <w:rsid w:val="00350175"/>
    <w:rsid w:val="00351EC0"/>
    <w:rsid w:val="00352990"/>
    <w:rsid w:val="00353113"/>
    <w:rsid w:val="00353518"/>
    <w:rsid w:val="00355DAA"/>
    <w:rsid w:val="003567D2"/>
    <w:rsid w:val="00356FEE"/>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81DB8"/>
    <w:rsid w:val="003826A0"/>
    <w:rsid w:val="00383462"/>
    <w:rsid w:val="00384B58"/>
    <w:rsid w:val="0038564C"/>
    <w:rsid w:val="00385683"/>
    <w:rsid w:val="00385EC1"/>
    <w:rsid w:val="00386DD1"/>
    <w:rsid w:val="00387CA4"/>
    <w:rsid w:val="00391389"/>
    <w:rsid w:val="00391E64"/>
    <w:rsid w:val="0039536E"/>
    <w:rsid w:val="00395750"/>
    <w:rsid w:val="0039581F"/>
    <w:rsid w:val="00396861"/>
    <w:rsid w:val="0039783E"/>
    <w:rsid w:val="003A0009"/>
    <w:rsid w:val="003A0E47"/>
    <w:rsid w:val="003A2189"/>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446D"/>
    <w:rsid w:val="003C722C"/>
    <w:rsid w:val="003C7985"/>
    <w:rsid w:val="003C7CAC"/>
    <w:rsid w:val="003C7E67"/>
    <w:rsid w:val="003D0059"/>
    <w:rsid w:val="003D20ED"/>
    <w:rsid w:val="003D4ED7"/>
    <w:rsid w:val="003D6531"/>
    <w:rsid w:val="003D6C84"/>
    <w:rsid w:val="003E017A"/>
    <w:rsid w:val="003E1FAF"/>
    <w:rsid w:val="003E20B9"/>
    <w:rsid w:val="003E2B0C"/>
    <w:rsid w:val="003E3836"/>
    <w:rsid w:val="003E39B9"/>
    <w:rsid w:val="003E4AC8"/>
    <w:rsid w:val="003E4BB4"/>
    <w:rsid w:val="003E5946"/>
    <w:rsid w:val="003E68B5"/>
    <w:rsid w:val="003F14AC"/>
    <w:rsid w:val="003F27A7"/>
    <w:rsid w:val="003F2D09"/>
    <w:rsid w:val="003F34BF"/>
    <w:rsid w:val="003F37EA"/>
    <w:rsid w:val="003F4500"/>
    <w:rsid w:val="003F47F5"/>
    <w:rsid w:val="003F59CC"/>
    <w:rsid w:val="003F5E57"/>
    <w:rsid w:val="003F5F9D"/>
    <w:rsid w:val="003F7652"/>
    <w:rsid w:val="003F7EDA"/>
    <w:rsid w:val="00401411"/>
    <w:rsid w:val="00401D87"/>
    <w:rsid w:val="00402BF8"/>
    <w:rsid w:val="00403755"/>
    <w:rsid w:val="0040387F"/>
    <w:rsid w:val="00406227"/>
    <w:rsid w:val="00407D3B"/>
    <w:rsid w:val="00410383"/>
    <w:rsid w:val="004110F1"/>
    <w:rsid w:val="0041363C"/>
    <w:rsid w:val="00414E9A"/>
    <w:rsid w:val="00415CC4"/>
    <w:rsid w:val="00415FD6"/>
    <w:rsid w:val="0041696F"/>
    <w:rsid w:val="00420D4C"/>
    <w:rsid w:val="004228D7"/>
    <w:rsid w:val="00423B79"/>
    <w:rsid w:val="004240D2"/>
    <w:rsid w:val="00424ADF"/>
    <w:rsid w:val="004303B8"/>
    <w:rsid w:val="00431677"/>
    <w:rsid w:val="00433183"/>
    <w:rsid w:val="00433AED"/>
    <w:rsid w:val="004342F0"/>
    <w:rsid w:val="004348C8"/>
    <w:rsid w:val="004353DD"/>
    <w:rsid w:val="00435F4A"/>
    <w:rsid w:val="00437C49"/>
    <w:rsid w:val="004400EF"/>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299"/>
    <w:rsid w:val="00452DA2"/>
    <w:rsid w:val="004532A3"/>
    <w:rsid w:val="00455172"/>
    <w:rsid w:val="00455363"/>
    <w:rsid w:val="00456B8F"/>
    <w:rsid w:val="00457045"/>
    <w:rsid w:val="004574C4"/>
    <w:rsid w:val="00457A91"/>
    <w:rsid w:val="004604E9"/>
    <w:rsid w:val="00460A55"/>
    <w:rsid w:val="004610FB"/>
    <w:rsid w:val="0046180A"/>
    <w:rsid w:val="00462BC6"/>
    <w:rsid w:val="00463FEB"/>
    <w:rsid w:val="004660F2"/>
    <w:rsid w:val="00470C11"/>
    <w:rsid w:val="004715FF"/>
    <w:rsid w:val="00471759"/>
    <w:rsid w:val="0047175C"/>
    <w:rsid w:val="004721E0"/>
    <w:rsid w:val="00472F9C"/>
    <w:rsid w:val="00473803"/>
    <w:rsid w:val="0047556F"/>
    <w:rsid w:val="004755FE"/>
    <w:rsid w:val="004759BF"/>
    <w:rsid w:val="00476857"/>
    <w:rsid w:val="00476B4E"/>
    <w:rsid w:val="0047782F"/>
    <w:rsid w:val="00480DC3"/>
    <w:rsid w:val="004828C6"/>
    <w:rsid w:val="00484675"/>
    <w:rsid w:val="00484F33"/>
    <w:rsid w:val="0048517E"/>
    <w:rsid w:val="004869CF"/>
    <w:rsid w:val="00487545"/>
    <w:rsid w:val="00490239"/>
    <w:rsid w:val="004908E6"/>
    <w:rsid w:val="00490B1D"/>
    <w:rsid w:val="00491DC5"/>
    <w:rsid w:val="004929EC"/>
    <w:rsid w:val="0049327E"/>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38C"/>
    <w:rsid w:val="004B2839"/>
    <w:rsid w:val="004B300A"/>
    <w:rsid w:val="004B4E7B"/>
    <w:rsid w:val="004B7418"/>
    <w:rsid w:val="004B78FA"/>
    <w:rsid w:val="004C0FBA"/>
    <w:rsid w:val="004C1080"/>
    <w:rsid w:val="004C2B29"/>
    <w:rsid w:val="004C3F61"/>
    <w:rsid w:val="004C3F7B"/>
    <w:rsid w:val="004C3FD4"/>
    <w:rsid w:val="004C4916"/>
    <w:rsid w:val="004C53A6"/>
    <w:rsid w:val="004C5743"/>
    <w:rsid w:val="004C6540"/>
    <w:rsid w:val="004C6A1A"/>
    <w:rsid w:val="004C7051"/>
    <w:rsid w:val="004C7324"/>
    <w:rsid w:val="004C78C4"/>
    <w:rsid w:val="004D2B88"/>
    <w:rsid w:val="004D2EB8"/>
    <w:rsid w:val="004D3A3F"/>
    <w:rsid w:val="004D512D"/>
    <w:rsid w:val="004D58A1"/>
    <w:rsid w:val="004D5D38"/>
    <w:rsid w:val="004D5F74"/>
    <w:rsid w:val="004D6ED4"/>
    <w:rsid w:val="004D777F"/>
    <w:rsid w:val="004E10E0"/>
    <w:rsid w:val="004E198A"/>
    <w:rsid w:val="004E2A32"/>
    <w:rsid w:val="004E3061"/>
    <w:rsid w:val="004E3F7E"/>
    <w:rsid w:val="004E67E6"/>
    <w:rsid w:val="004F0E40"/>
    <w:rsid w:val="004F19CD"/>
    <w:rsid w:val="004F1F6E"/>
    <w:rsid w:val="004F245D"/>
    <w:rsid w:val="004F415B"/>
    <w:rsid w:val="004F5E93"/>
    <w:rsid w:val="004F603D"/>
    <w:rsid w:val="004F6545"/>
    <w:rsid w:val="004F6D32"/>
    <w:rsid w:val="004F6FC8"/>
    <w:rsid w:val="0050046F"/>
    <w:rsid w:val="00500EEF"/>
    <w:rsid w:val="005013DC"/>
    <w:rsid w:val="005015CE"/>
    <w:rsid w:val="00501BD9"/>
    <w:rsid w:val="005033C2"/>
    <w:rsid w:val="005041A7"/>
    <w:rsid w:val="00504E3C"/>
    <w:rsid w:val="00506456"/>
    <w:rsid w:val="00506825"/>
    <w:rsid w:val="00506FA2"/>
    <w:rsid w:val="00507196"/>
    <w:rsid w:val="005103B1"/>
    <w:rsid w:val="00510966"/>
    <w:rsid w:val="00515680"/>
    <w:rsid w:val="005173F5"/>
    <w:rsid w:val="00517D7F"/>
    <w:rsid w:val="00517E7D"/>
    <w:rsid w:val="00520779"/>
    <w:rsid w:val="00520970"/>
    <w:rsid w:val="00521E8C"/>
    <w:rsid w:val="00523AAC"/>
    <w:rsid w:val="00523CF5"/>
    <w:rsid w:val="005246FD"/>
    <w:rsid w:val="00525A4C"/>
    <w:rsid w:val="00525C51"/>
    <w:rsid w:val="005265C2"/>
    <w:rsid w:val="00530417"/>
    <w:rsid w:val="00530B0F"/>
    <w:rsid w:val="005312C3"/>
    <w:rsid w:val="00532095"/>
    <w:rsid w:val="005321B7"/>
    <w:rsid w:val="0053233A"/>
    <w:rsid w:val="005328C3"/>
    <w:rsid w:val="0053379A"/>
    <w:rsid w:val="005337D5"/>
    <w:rsid w:val="0053679A"/>
    <w:rsid w:val="00536C66"/>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5763E"/>
    <w:rsid w:val="005577B8"/>
    <w:rsid w:val="005612C1"/>
    <w:rsid w:val="005620B7"/>
    <w:rsid w:val="00562BC9"/>
    <w:rsid w:val="0056357E"/>
    <w:rsid w:val="00563B07"/>
    <w:rsid w:val="00564874"/>
    <w:rsid w:val="00566834"/>
    <w:rsid w:val="005668F0"/>
    <w:rsid w:val="005677E2"/>
    <w:rsid w:val="0056783D"/>
    <w:rsid w:val="0057019F"/>
    <w:rsid w:val="005704E5"/>
    <w:rsid w:val="00570549"/>
    <w:rsid w:val="0057101F"/>
    <w:rsid w:val="00571A9D"/>
    <w:rsid w:val="00571BA5"/>
    <w:rsid w:val="00571FDE"/>
    <w:rsid w:val="00573B85"/>
    <w:rsid w:val="00574342"/>
    <w:rsid w:val="005754DE"/>
    <w:rsid w:val="00576604"/>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6F6"/>
    <w:rsid w:val="00594805"/>
    <w:rsid w:val="00596392"/>
    <w:rsid w:val="00596EAD"/>
    <w:rsid w:val="00597DFE"/>
    <w:rsid w:val="00597FAF"/>
    <w:rsid w:val="005A0013"/>
    <w:rsid w:val="005A13E7"/>
    <w:rsid w:val="005A196E"/>
    <w:rsid w:val="005A3D06"/>
    <w:rsid w:val="005A3DA9"/>
    <w:rsid w:val="005A580B"/>
    <w:rsid w:val="005A62E6"/>
    <w:rsid w:val="005A6CC1"/>
    <w:rsid w:val="005A6CCD"/>
    <w:rsid w:val="005A7107"/>
    <w:rsid w:val="005A7D51"/>
    <w:rsid w:val="005B099A"/>
    <w:rsid w:val="005B174D"/>
    <w:rsid w:val="005B1762"/>
    <w:rsid w:val="005B1E55"/>
    <w:rsid w:val="005B29AF"/>
    <w:rsid w:val="005B39D2"/>
    <w:rsid w:val="005B3B36"/>
    <w:rsid w:val="005B545C"/>
    <w:rsid w:val="005B55F8"/>
    <w:rsid w:val="005B5924"/>
    <w:rsid w:val="005B6561"/>
    <w:rsid w:val="005C0312"/>
    <w:rsid w:val="005C0453"/>
    <w:rsid w:val="005C218D"/>
    <w:rsid w:val="005C21D1"/>
    <w:rsid w:val="005C24B6"/>
    <w:rsid w:val="005C29FA"/>
    <w:rsid w:val="005C363D"/>
    <w:rsid w:val="005C3E40"/>
    <w:rsid w:val="005C5F92"/>
    <w:rsid w:val="005C6EDB"/>
    <w:rsid w:val="005D0763"/>
    <w:rsid w:val="005D0FD8"/>
    <w:rsid w:val="005D3DE0"/>
    <w:rsid w:val="005D4C84"/>
    <w:rsid w:val="005D57F3"/>
    <w:rsid w:val="005D67EA"/>
    <w:rsid w:val="005E0B96"/>
    <w:rsid w:val="005E3048"/>
    <w:rsid w:val="005E4156"/>
    <w:rsid w:val="005E55BC"/>
    <w:rsid w:val="005E6DB6"/>
    <w:rsid w:val="005E755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1332"/>
    <w:rsid w:val="006121E5"/>
    <w:rsid w:val="00612D19"/>
    <w:rsid w:val="0061317B"/>
    <w:rsid w:val="00613972"/>
    <w:rsid w:val="006159F2"/>
    <w:rsid w:val="00615E70"/>
    <w:rsid w:val="006170F2"/>
    <w:rsid w:val="00617398"/>
    <w:rsid w:val="0061761D"/>
    <w:rsid w:val="006207E9"/>
    <w:rsid w:val="00621E70"/>
    <w:rsid w:val="00624E7A"/>
    <w:rsid w:val="00625424"/>
    <w:rsid w:val="00626B7E"/>
    <w:rsid w:val="00632BA7"/>
    <w:rsid w:val="00632C89"/>
    <w:rsid w:val="00632E8C"/>
    <w:rsid w:val="00634F11"/>
    <w:rsid w:val="006359F5"/>
    <w:rsid w:val="00635A18"/>
    <w:rsid w:val="00636861"/>
    <w:rsid w:val="006371BF"/>
    <w:rsid w:val="00637749"/>
    <w:rsid w:val="006377D3"/>
    <w:rsid w:val="00637B0C"/>
    <w:rsid w:val="00637BB7"/>
    <w:rsid w:val="00642ADD"/>
    <w:rsid w:val="0064303D"/>
    <w:rsid w:val="00643396"/>
    <w:rsid w:val="00643788"/>
    <w:rsid w:val="0064402C"/>
    <w:rsid w:val="006442D2"/>
    <w:rsid w:val="006445A2"/>
    <w:rsid w:val="00645C45"/>
    <w:rsid w:val="00646179"/>
    <w:rsid w:val="006464FD"/>
    <w:rsid w:val="006474EE"/>
    <w:rsid w:val="0064763A"/>
    <w:rsid w:val="006544DB"/>
    <w:rsid w:val="00656647"/>
    <w:rsid w:val="0065677E"/>
    <w:rsid w:val="0065713B"/>
    <w:rsid w:val="0065713C"/>
    <w:rsid w:val="0065773E"/>
    <w:rsid w:val="00660B1F"/>
    <w:rsid w:val="00661979"/>
    <w:rsid w:val="00662194"/>
    <w:rsid w:val="006637FA"/>
    <w:rsid w:val="00663B17"/>
    <w:rsid w:val="00666A40"/>
    <w:rsid w:val="0067122C"/>
    <w:rsid w:val="00671424"/>
    <w:rsid w:val="006755C1"/>
    <w:rsid w:val="00675A28"/>
    <w:rsid w:val="00676159"/>
    <w:rsid w:val="006772A7"/>
    <w:rsid w:val="006772CA"/>
    <w:rsid w:val="00677EE9"/>
    <w:rsid w:val="006804CF"/>
    <w:rsid w:val="006822DA"/>
    <w:rsid w:val="00682473"/>
    <w:rsid w:val="006829A8"/>
    <w:rsid w:val="00682FBC"/>
    <w:rsid w:val="00683A57"/>
    <w:rsid w:val="00683B49"/>
    <w:rsid w:val="0068449E"/>
    <w:rsid w:val="00684A4C"/>
    <w:rsid w:val="006873EA"/>
    <w:rsid w:val="0069188E"/>
    <w:rsid w:val="00691FFC"/>
    <w:rsid w:val="00692162"/>
    <w:rsid w:val="00693024"/>
    <w:rsid w:val="00693F19"/>
    <w:rsid w:val="00694ABE"/>
    <w:rsid w:val="00694E49"/>
    <w:rsid w:val="006A0E74"/>
    <w:rsid w:val="006A0FE1"/>
    <w:rsid w:val="006A218F"/>
    <w:rsid w:val="006A3F76"/>
    <w:rsid w:val="006A4054"/>
    <w:rsid w:val="006A40A1"/>
    <w:rsid w:val="006A5C00"/>
    <w:rsid w:val="006A6165"/>
    <w:rsid w:val="006A6392"/>
    <w:rsid w:val="006A7E28"/>
    <w:rsid w:val="006B2116"/>
    <w:rsid w:val="006B2540"/>
    <w:rsid w:val="006B2982"/>
    <w:rsid w:val="006B35BE"/>
    <w:rsid w:val="006B4CE7"/>
    <w:rsid w:val="006C0A4C"/>
    <w:rsid w:val="006C1B43"/>
    <w:rsid w:val="006C1D7C"/>
    <w:rsid w:val="006C3765"/>
    <w:rsid w:val="006C39BF"/>
    <w:rsid w:val="006C4775"/>
    <w:rsid w:val="006C6FA2"/>
    <w:rsid w:val="006C7000"/>
    <w:rsid w:val="006C7763"/>
    <w:rsid w:val="006D012B"/>
    <w:rsid w:val="006D12A7"/>
    <w:rsid w:val="006D1A0C"/>
    <w:rsid w:val="006D2BD5"/>
    <w:rsid w:val="006D3ECE"/>
    <w:rsid w:val="006D46B6"/>
    <w:rsid w:val="006D4E45"/>
    <w:rsid w:val="006D5350"/>
    <w:rsid w:val="006E0317"/>
    <w:rsid w:val="006E0511"/>
    <w:rsid w:val="006E12C1"/>
    <w:rsid w:val="006E5580"/>
    <w:rsid w:val="006E607F"/>
    <w:rsid w:val="006E6E13"/>
    <w:rsid w:val="006E7DC2"/>
    <w:rsid w:val="006F0D73"/>
    <w:rsid w:val="006F1342"/>
    <w:rsid w:val="006F3D80"/>
    <w:rsid w:val="006F3EF5"/>
    <w:rsid w:val="006F49F0"/>
    <w:rsid w:val="006F5ACF"/>
    <w:rsid w:val="006F6430"/>
    <w:rsid w:val="0070184A"/>
    <w:rsid w:val="00702E8D"/>
    <w:rsid w:val="0070360B"/>
    <w:rsid w:val="007046B2"/>
    <w:rsid w:val="00704726"/>
    <w:rsid w:val="007053E7"/>
    <w:rsid w:val="0070569D"/>
    <w:rsid w:val="00705884"/>
    <w:rsid w:val="00705BD1"/>
    <w:rsid w:val="007063F2"/>
    <w:rsid w:val="00706E77"/>
    <w:rsid w:val="007075B8"/>
    <w:rsid w:val="00707B2E"/>
    <w:rsid w:val="00710B00"/>
    <w:rsid w:val="00711471"/>
    <w:rsid w:val="00712398"/>
    <w:rsid w:val="00712587"/>
    <w:rsid w:val="00716DEA"/>
    <w:rsid w:val="0072105B"/>
    <w:rsid w:val="0072284E"/>
    <w:rsid w:val="00722BC2"/>
    <w:rsid w:val="00723508"/>
    <w:rsid w:val="00730477"/>
    <w:rsid w:val="0073067E"/>
    <w:rsid w:val="0073093A"/>
    <w:rsid w:val="0073286C"/>
    <w:rsid w:val="007328CC"/>
    <w:rsid w:val="00732A15"/>
    <w:rsid w:val="007330DF"/>
    <w:rsid w:val="00733260"/>
    <w:rsid w:val="00735070"/>
    <w:rsid w:val="00735197"/>
    <w:rsid w:val="00735AD3"/>
    <w:rsid w:val="007364DA"/>
    <w:rsid w:val="007409D2"/>
    <w:rsid w:val="00742222"/>
    <w:rsid w:val="00743EA9"/>
    <w:rsid w:val="0074529C"/>
    <w:rsid w:val="00747ECC"/>
    <w:rsid w:val="00750BF8"/>
    <w:rsid w:val="00750E2F"/>
    <w:rsid w:val="007515BC"/>
    <w:rsid w:val="007525CE"/>
    <w:rsid w:val="0075326D"/>
    <w:rsid w:val="00753328"/>
    <w:rsid w:val="00753433"/>
    <w:rsid w:val="007541EB"/>
    <w:rsid w:val="00754E11"/>
    <w:rsid w:val="00756097"/>
    <w:rsid w:val="00756557"/>
    <w:rsid w:val="00756A72"/>
    <w:rsid w:val="00762002"/>
    <w:rsid w:val="00762645"/>
    <w:rsid w:val="00764F3A"/>
    <w:rsid w:val="00765CC1"/>
    <w:rsid w:val="007669BA"/>
    <w:rsid w:val="00770261"/>
    <w:rsid w:val="007712EA"/>
    <w:rsid w:val="00772439"/>
    <w:rsid w:val="007733FE"/>
    <w:rsid w:val="00773ACD"/>
    <w:rsid w:val="007768C5"/>
    <w:rsid w:val="0077715B"/>
    <w:rsid w:val="007773BD"/>
    <w:rsid w:val="00777B72"/>
    <w:rsid w:val="00777EEE"/>
    <w:rsid w:val="007811C0"/>
    <w:rsid w:val="007819CF"/>
    <w:rsid w:val="00781CC0"/>
    <w:rsid w:val="0078263F"/>
    <w:rsid w:val="00783657"/>
    <w:rsid w:val="0078521C"/>
    <w:rsid w:val="00786840"/>
    <w:rsid w:val="00790852"/>
    <w:rsid w:val="00790EEE"/>
    <w:rsid w:val="00791304"/>
    <w:rsid w:val="00791677"/>
    <w:rsid w:val="00791E8E"/>
    <w:rsid w:val="007931A9"/>
    <w:rsid w:val="00794E52"/>
    <w:rsid w:val="00794E6C"/>
    <w:rsid w:val="007952A7"/>
    <w:rsid w:val="00796982"/>
    <w:rsid w:val="007977BA"/>
    <w:rsid w:val="007A02C7"/>
    <w:rsid w:val="007A05C6"/>
    <w:rsid w:val="007A2C70"/>
    <w:rsid w:val="007A375D"/>
    <w:rsid w:val="007A51B2"/>
    <w:rsid w:val="007A5826"/>
    <w:rsid w:val="007A657A"/>
    <w:rsid w:val="007B131E"/>
    <w:rsid w:val="007B2099"/>
    <w:rsid w:val="007B249F"/>
    <w:rsid w:val="007B425C"/>
    <w:rsid w:val="007B4330"/>
    <w:rsid w:val="007B435A"/>
    <w:rsid w:val="007B5D7E"/>
    <w:rsid w:val="007B788E"/>
    <w:rsid w:val="007C17B1"/>
    <w:rsid w:val="007C1CE9"/>
    <w:rsid w:val="007C43BB"/>
    <w:rsid w:val="007C4A4C"/>
    <w:rsid w:val="007C6ED9"/>
    <w:rsid w:val="007C737B"/>
    <w:rsid w:val="007D1D13"/>
    <w:rsid w:val="007D20FF"/>
    <w:rsid w:val="007D36F2"/>
    <w:rsid w:val="007D3B6C"/>
    <w:rsid w:val="007D57DC"/>
    <w:rsid w:val="007E00A1"/>
    <w:rsid w:val="007E2BB1"/>
    <w:rsid w:val="007E2F2D"/>
    <w:rsid w:val="007E3A3A"/>
    <w:rsid w:val="007E3C1B"/>
    <w:rsid w:val="007E6D47"/>
    <w:rsid w:val="007E71C7"/>
    <w:rsid w:val="007F0096"/>
    <w:rsid w:val="007F0718"/>
    <w:rsid w:val="007F2BB3"/>
    <w:rsid w:val="007F35FA"/>
    <w:rsid w:val="007F3724"/>
    <w:rsid w:val="007F377A"/>
    <w:rsid w:val="007F4330"/>
    <w:rsid w:val="007F45A7"/>
    <w:rsid w:val="007F4C1B"/>
    <w:rsid w:val="007F62A9"/>
    <w:rsid w:val="007F65CA"/>
    <w:rsid w:val="008022F1"/>
    <w:rsid w:val="0080288A"/>
    <w:rsid w:val="00802E2A"/>
    <w:rsid w:val="00803569"/>
    <w:rsid w:val="008049CE"/>
    <w:rsid w:val="00804D6C"/>
    <w:rsid w:val="0080521D"/>
    <w:rsid w:val="00807058"/>
    <w:rsid w:val="0080739F"/>
    <w:rsid w:val="0080758E"/>
    <w:rsid w:val="0081025E"/>
    <w:rsid w:val="00812261"/>
    <w:rsid w:val="008124E6"/>
    <w:rsid w:val="00812B72"/>
    <w:rsid w:val="00813360"/>
    <w:rsid w:val="0081336B"/>
    <w:rsid w:val="00813620"/>
    <w:rsid w:val="00816F3A"/>
    <w:rsid w:val="008171ED"/>
    <w:rsid w:val="00820A94"/>
    <w:rsid w:val="00822DB3"/>
    <w:rsid w:val="00823B52"/>
    <w:rsid w:val="00823B90"/>
    <w:rsid w:val="0082413B"/>
    <w:rsid w:val="00824197"/>
    <w:rsid w:val="008304E8"/>
    <w:rsid w:val="00831ACA"/>
    <w:rsid w:val="00831AD5"/>
    <w:rsid w:val="00831BAA"/>
    <w:rsid w:val="00831E32"/>
    <w:rsid w:val="00834C7B"/>
    <w:rsid w:val="00836367"/>
    <w:rsid w:val="008375CF"/>
    <w:rsid w:val="008425D5"/>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E68"/>
    <w:rsid w:val="008707E1"/>
    <w:rsid w:val="00872CDA"/>
    <w:rsid w:val="0087340F"/>
    <w:rsid w:val="00873D37"/>
    <w:rsid w:val="00874188"/>
    <w:rsid w:val="008741A0"/>
    <w:rsid w:val="00876879"/>
    <w:rsid w:val="0088302D"/>
    <w:rsid w:val="008830FE"/>
    <w:rsid w:val="00883A51"/>
    <w:rsid w:val="008841C7"/>
    <w:rsid w:val="00885271"/>
    <w:rsid w:val="00885C28"/>
    <w:rsid w:val="00885F6B"/>
    <w:rsid w:val="008866E0"/>
    <w:rsid w:val="00887803"/>
    <w:rsid w:val="00887ABA"/>
    <w:rsid w:val="00891481"/>
    <w:rsid w:val="00893A34"/>
    <w:rsid w:val="00893F1F"/>
    <w:rsid w:val="00897964"/>
    <w:rsid w:val="008A2903"/>
    <w:rsid w:val="008A2ECB"/>
    <w:rsid w:val="008A41D1"/>
    <w:rsid w:val="008A5DC3"/>
    <w:rsid w:val="008A6B32"/>
    <w:rsid w:val="008A6D57"/>
    <w:rsid w:val="008A7DEB"/>
    <w:rsid w:val="008B08B3"/>
    <w:rsid w:val="008B0F8D"/>
    <w:rsid w:val="008B165F"/>
    <w:rsid w:val="008B39F2"/>
    <w:rsid w:val="008B7658"/>
    <w:rsid w:val="008B7CC7"/>
    <w:rsid w:val="008C0280"/>
    <w:rsid w:val="008C0BAD"/>
    <w:rsid w:val="008C1654"/>
    <w:rsid w:val="008C2E66"/>
    <w:rsid w:val="008C3CF3"/>
    <w:rsid w:val="008C4059"/>
    <w:rsid w:val="008C5061"/>
    <w:rsid w:val="008C7A70"/>
    <w:rsid w:val="008D321E"/>
    <w:rsid w:val="008D4069"/>
    <w:rsid w:val="008D4605"/>
    <w:rsid w:val="008D4C74"/>
    <w:rsid w:val="008D578D"/>
    <w:rsid w:val="008D5C61"/>
    <w:rsid w:val="008D6F8D"/>
    <w:rsid w:val="008E0799"/>
    <w:rsid w:val="008E144C"/>
    <w:rsid w:val="008E1524"/>
    <w:rsid w:val="008E1751"/>
    <w:rsid w:val="008E1D91"/>
    <w:rsid w:val="008E35D5"/>
    <w:rsid w:val="008E499D"/>
    <w:rsid w:val="008E6E6B"/>
    <w:rsid w:val="008F1742"/>
    <w:rsid w:val="008F3401"/>
    <w:rsid w:val="008F45DD"/>
    <w:rsid w:val="008F524F"/>
    <w:rsid w:val="008F546B"/>
    <w:rsid w:val="008F7F16"/>
    <w:rsid w:val="009011FA"/>
    <w:rsid w:val="00903A46"/>
    <w:rsid w:val="00907EF1"/>
    <w:rsid w:val="009112D6"/>
    <w:rsid w:val="009116C3"/>
    <w:rsid w:val="00911779"/>
    <w:rsid w:val="00912583"/>
    <w:rsid w:val="00912FE6"/>
    <w:rsid w:val="0091537A"/>
    <w:rsid w:val="0091613C"/>
    <w:rsid w:val="00916AA9"/>
    <w:rsid w:val="00917703"/>
    <w:rsid w:val="00921613"/>
    <w:rsid w:val="00921AD9"/>
    <w:rsid w:val="00922DFB"/>
    <w:rsid w:val="00924DAD"/>
    <w:rsid w:val="00924EF9"/>
    <w:rsid w:val="00925A45"/>
    <w:rsid w:val="00926B17"/>
    <w:rsid w:val="00930C9E"/>
    <w:rsid w:val="00931139"/>
    <w:rsid w:val="00931186"/>
    <w:rsid w:val="00931C60"/>
    <w:rsid w:val="00932330"/>
    <w:rsid w:val="009366A0"/>
    <w:rsid w:val="009407EE"/>
    <w:rsid w:val="00943B26"/>
    <w:rsid w:val="0094672B"/>
    <w:rsid w:val="00950235"/>
    <w:rsid w:val="00950357"/>
    <w:rsid w:val="0095200D"/>
    <w:rsid w:val="009542D3"/>
    <w:rsid w:val="00955A4A"/>
    <w:rsid w:val="00956DA6"/>
    <w:rsid w:val="009575E3"/>
    <w:rsid w:val="00957F52"/>
    <w:rsid w:val="00960387"/>
    <w:rsid w:val="00961C3D"/>
    <w:rsid w:val="00961DC0"/>
    <w:rsid w:val="00962484"/>
    <w:rsid w:val="0096278C"/>
    <w:rsid w:val="0096391C"/>
    <w:rsid w:val="009643C4"/>
    <w:rsid w:val="00966ABE"/>
    <w:rsid w:val="00967BAA"/>
    <w:rsid w:val="00970DF3"/>
    <w:rsid w:val="00975870"/>
    <w:rsid w:val="00975CDC"/>
    <w:rsid w:val="009768F2"/>
    <w:rsid w:val="0098040E"/>
    <w:rsid w:val="00981A56"/>
    <w:rsid w:val="00983242"/>
    <w:rsid w:val="00983700"/>
    <w:rsid w:val="00984467"/>
    <w:rsid w:val="0098563C"/>
    <w:rsid w:val="0098603E"/>
    <w:rsid w:val="00986A29"/>
    <w:rsid w:val="00986F53"/>
    <w:rsid w:val="0099053A"/>
    <w:rsid w:val="00990B45"/>
    <w:rsid w:val="009918E8"/>
    <w:rsid w:val="00991ACC"/>
    <w:rsid w:val="00992345"/>
    <w:rsid w:val="00993410"/>
    <w:rsid w:val="00993572"/>
    <w:rsid w:val="00995D58"/>
    <w:rsid w:val="0099604A"/>
    <w:rsid w:val="009962FE"/>
    <w:rsid w:val="00997B41"/>
    <w:rsid w:val="00997E46"/>
    <w:rsid w:val="009A0E5A"/>
    <w:rsid w:val="009A1F84"/>
    <w:rsid w:val="009A237B"/>
    <w:rsid w:val="009A23EE"/>
    <w:rsid w:val="009A28AB"/>
    <w:rsid w:val="009A2C24"/>
    <w:rsid w:val="009A4293"/>
    <w:rsid w:val="009A4686"/>
    <w:rsid w:val="009A6068"/>
    <w:rsid w:val="009A66AC"/>
    <w:rsid w:val="009B0337"/>
    <w:rsid w:val="009B0464"/>
    <w:rsid w:val="009B1209"/>
    <w:rsid w:val="009B26B8"/>
    <w:rsid w:val="009B3F9B"/>
    <w:rsid w:val="009B4464"/>
    <w:rsid w:val="009B5ED9"/>
    <w:rsid w:val="009B687E"/>
    <w:rsid w:val="009B78C5"/>
    <w:rsid w:val="009C0859"/>
    <w:rsid w:val="009C149F"/>
    <w:rsid w:val="009C4DC5"/>
    <w:rsid w:val="009C4F2E"/>
    <w:rsid w:val="009C5262"/>
    <w:rsid w:val="009C58B0"/>
    <w:rsid w:val="009C6B0A"/>
    <w:rsid w:val="009D07A9"/>
    <w:rsid w:val="009D176F"/>
    <w:rsid w:val="009D5865"/>
    <w:rsid w:val="009D5E4C"/>
    <w:rsid w:val="009D6D25"/>
    <w:rsid w:val="009E03FB"/>
    <w:rsid w:val="009E17B9"/>
    <w:rsid w:val="009E2B65"/>
    <w:rsid w:val="009E39BD"/>
    <w:rsid w:val="009E56D2"/>
    <w:rsid w:val="009F0445"/>
    <w:rsid w:val="009F06E5"/>
    <w:rsid w:val="009F08F7"/>
    <w:rsid w:val="009F09E6"/>
    <w:rsid w:val="009F39B2"/>
    <w:rsid w:val="009F3DAB"/>
    <w:rsid w:val="009F630C"/>
    <w:rsid w:val="009F7B9A"/>
    <w:rsid w:val="009F7F75"/>
    <w:rsid w:val="00A01D61"/>
    <w:rsid w:val="00A0358C"/>
    <w:rsid w:val="00A03704"/>
    <w:rsid w:val="00A05AD3"/>
    <w:rsid w:val="00A067D6"/>
    <w:rsid w:val="00A06AC7"/>
    <w:rsid w:val="00A11347"/>
    <w:rsid w:val="00A11C67"/>
    <w:rsid w:val="00A12961"/>
    <w:rsid w:val="00A12ECC"/>
    <w:rsid w:val="00A136AC"/>
    <w:rsid w:val="00A13885"/>
    <w:rsid w:val="00A13DF6"/>
    <w:rsid w:val="00A144CF"/>
    <w:rsid w:val="00A1525E"/>
    <w:rsid w:val="00A169B4"/>
    <w:rsid w:val="00A16CD8"/>
    <w:rsid w:val="00A178DF"/>
    <w:rsid w:val="00A20A04"/>
    <w:rsid w:val="00A20C92"/>
    <w:rsid w:val="00A214BF"/>
    <w:rsid w:val="00A227F2"/>
    <w:rsid w:val="00A240B1"/>
    <w:rsid w:val="00A241BD"/>
    <w:rsid w:val="00A2516B"/>
    <w:rsid w:val="00A260E7"/>
    <w:rsid w:val="00A2777E"/>
    <w:rsid w:val="00A3103A"/>
    <w:rsid w:val="00A31268"/>
    <w:rsid w:val="00A31E8F"/>
    <w:rsid w:val="00A3580A"/>
    <w:rsid w:val="00A40AF3"/>
    <w:rsid w:val="00A41E37"/>
    <w:rsid w:val="00A41FC7"/>
    <w:rsid w:val="00A44EB9"/>
    <w:rsid w:val="00A458F0"/>
    <w:rsid w:val="00A459BD"/>
    <w:rsid w:val="00A46A67"/>
    <w:rsid w:val="00A46C53"/>
    <w:rsid w:val="00A474F8"/>
    <w:rsid w:val="00A51CC9"/>
    <w:rsid w:val="00A51EF6"/>
    <w:rsid w:val="00A52763"/>
    <w:rsid w:val="00A52964"/>
    <w:rsid w:val="00A541BB"/>
    <w:rsid w:val="00A5626E"/>
    <w:rsid w:val="00A56878"/>
    <w:rsid w:val="00A637DD"/>
    <w:rsid w:val="00A65EA6"/>
    <w:rsid w:val="00A72D91"/>
    <w:rsid w:val="00A73D4B"/>
    <w:rsid w:val="00A748A3"/>
    <w:rsid w:val="00A761FA"/>
    <w:rsid w:val="00A771C0"/>
    <w:rsid w:val="00A80CA4"/>
    <w:rsid w:val="00A81192"/>
    <w:rsid w:val="00A81297"/>
    <w:rsid w:val="00A82A72"/>
    <w:rsid w:val="00A85A08"/>
    <w:rsid w:val="00A86724"/>
    <w:rsid w:val="00A8672D"/>
    <w:rsid w:val="00A871B0"/>
    <w:rsid w:val="00A87D1D"/>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07C8"/>
    <w:rsid w:val="00AB1C8B"/>
    <w:rsid w:val="00AB3180"/>
    <w:rsid w:val="00AB4B80"/>
    <w:rsid w:val="00AB7678"/>
    <w:rsid w:val="00AC014E"/>
    <w:rsid w:val="00AC0755"/>
    <w:rsid w:val="00AC238D"/>
    <w:rsid w:val="00AC4B7F"/>
    <w:rsid w:val="00AC7238"/>
    <w:rsid w:val="00AC7BEB"/>
    <w:rsid w:val="00AC7C05"/>
    <w:rsid w:val="00AD162D"/>
    <w:rsid w:val="00AD16E4"/>
    <w:rsid w:val="00AD2189"/>
    <w:rsid w:val="00AD2C02"/>
    <w:rsid w:val="00AD31A9"/>
    <w:rsid w:val="00AD5287"/>
    <w:rsid w:val="00AD604C"/>
    <w:rsid w:val="00AD6CF5"/>
    <w:rsid w:val="00AD7847"/>
    <w:rsid w:val="00AE097A"/>
    <w:rsid w:val="00AE1B5A"/>
    <w:rsid w:val="00AE2151"/>
    <w:rsid w:val="00AE249D"/>
    <w:rsid w:val="00AE2FB3"/>
    <w:rsid w:val="00AE31B0"/>
    <w:rsid w:val="00AE3EC0"/>
    <w:rsid w:val="00AE68BD"/>
    <w:rsid w:val="00AE6FC4"/>
    <w:rsid w:val="00AF0411"/>
    <w:rsid w:val="00AF0479"/>
    <w:rsid w:val="00AF0D94"/>
    <w:rsid w:val="00AF26A2"/>
    <w:rsid w:val="00AF3DFB"/>
    <w:rsid w:val="00AF411C"/>
    <w:rsid w:val="00AF4B64"/>
    <w:rsid w:val="00AF7EC6"/>
    <w:rsid w:val="00B00DE4"/>
    <w:rsid w:val="00B01B51"/>
    <w:rsid w:val="00B025AD"/>
    <w:rsid w:val="00B03333"/>
    <w:rsid w:val="00B033B6"/>
    <w:rsid w:val="00B0379D"/>
    <w:rsid w:val="00B0406A"/>
    <w:rsid w:val="00B06841"/>
    <w:rsid w:val="00B06B03"/>
    <w:rsid w:val="00B07DB6"/>
    <w:rsid w:val="00B113E5"/>
    <w:rsid w:val="00B1162D"/>
    <w:rsid w:val="00B13140"/>
    <w:rsid w:val="00B14C06"/>
    <w:rsid w:val="00B153F0"/>
    <w:rsid w:val="00B162A3"/>
    <w:rsid w:val="00B173DB"/>
    <w:rsid w:val="00B17ECC"/>
    <w:rsid w:val="00B20D38"/>
    <w:rsid w:val="00B23398"/>
    <w:rsid w:val="00B245B0"/>
    <w:rsid w:val="00B26CE6"/>
    <w:rsid w:val="00B26E56"/>
    <w:rsid w:val="00B31879"/>
    <w:rsid w:val="00B3259B"/>
    <w:rsid w:val="00B3311C"/>
    <w:rsid w:val="00B33125"/>
    <w:rsid w:val="00B34A3B"/>
    <w:rsid w:val="00B355C5"/>
    <w:rsid w:val="00B36649"/>
    <w:rsid w:val="00B3673D"/>
    <w:rsid w:val="00B44C6C"/>
    <w:rsid w:val="00B4757F"/>
    <w:rsid w:val="00B5187A"/>
    <w:rsid w:val="00B51F2C"/>
    <w:rsid w:val="00B5229A"/>
    <w:rsid w:val="00B52E33"/>
    <w:rsid w:val="00B55CD1"/>
    <w:rsid w:val="00B605F9"/>
    <w:rsid w:val="00B61C67"/>
    <w:rsid w:val="00B62E1F"/>
    <w:rsid w:val="00B6314D"/>
    <w:rsid w:val="00B64BD8"/>
    <w:rsid w:val="00B70EFF"/>
    <w:rsid w:val="00B713DA"/>
    <w:rsid w:val="00B71654"/>
    <w:rsid w:val="00B727C2"/>
    <w:rsid w:val="00B738C7"/>
    <w:rsid w:val="00B747AC"/>
    <w:rsid w:val="00B75E1D"/>
    <w:rsid w:val="00B763C8"/>
    <w:rsid w:val="00B763FA"/>
    <w:rsid w:val="00B77124"/>
    <w:rsid w:val="00B77715"/>
    <w:rsid w:val="00B8023E"/>
    <w:rsid w:val="00B82106"/>
    <w:rsid w:val="00B82526"/>
    <w:rsid w:val="00B82809"/>
    <w:rsid w:val="00B87915"/>
    <w:rsid w:val="00B9084D"/>
    <w:rsid w:val="00B91224"/>
    <w:rsid w:val="00B91420"/>
    <w:rsid w:val="00B91E3E"/>
    <w:rsid w:val="00B927CE"/>
    <w:rsid w:val="00B92DEC"/>
    <w:rsid w:val="00B9525A"/>
    <w:rsid w:val="00BA015D"/>
    <w:rsid w:val="00BA064C"/>
    <w:rsid w:val="00BA08F9"/>
    <w:rsid w:val="00BA0C85"/>
    <w:rsid w:val="00BA1B22"/>
    <w:rsid w:val="00BA4091"/>
    <w:rsid w:val="00BA4735"/>
    <w:rsid w:val="00BA54D5"/>
    <w:rsid w:val="00BA60ED"/>
    <w:rsid w:val="00BA68D0"/>
    <w:rsid w:val="00BB2DB8"/>
    <w:rsid w:val="00BB3A50"/>
    <w:rsid w:val="00BB4D9B"/>
    <w:rsid w:val="00BB647C"/>
    <w:rsid w:val="00BB78FA"/>
    <w:rsid w:val="00BC0C83"/>
    <w:rsid w:val="00BC0E7F"/>
    <w:rsid w:val="00BC33E7"/>
    <w:rsid w:val="00BC43A2"/>
    <w:rsid w:val="00BC5A0A"/>
    <w:rsid w:val="00BC61B1"/>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D5F"/>
    <w:rsid w:val="00BE4ED0"/>
    <w:rsid w:val="00BE57F6"/>
    <w:rsid w:val="00BE6E5D"/>
    <w:rsid w:val="00BE7220"/>
    <w:rsid w:val="00BF021D"/>
    <w:rsid w:val="00BF2D80"/>
    <w:rsid w:val="00BF2DF2"/>
    <w:rsid w:val="00BF2F6E"/>
    <w:rsid w:val="00BF32A0"/>
    <w:rsid w:val="00BF34A5"/>
    <w:rsid w:val="00BF3828"/>
    <w:rsid w:val="00BF48BA"/>
    <w:rsid w:val="00BF4F4D"/>
    <w:rsid w:val="00BF5144"/>
    <w:rsid w:val="00BF5E9D"/>
    <w:rsid w:val="00C00747"/>
    <w:rsid w:val="00C01116"/>
    <w:rsid w:val="00C02336"/>
    <w:rsid w:val="00C04254"/>
    <w:rsid w:val="00C043A7"/>
    <w:rsid w:val="00C044F1"/>
    <w:rsid w:val="00C050D3"/>
    <w:rsid w:val="00C07E36"/>
    <w:rsid w:val="00C10374"/>
    <w:rsid w:val="00C12840"/>
    <w:rsid w:val="00C12D18"/>
    <w:rsid w:val="00C13480"/>
    <w:rsid w:val="00C1593D"/>
    <w:rsid w:val="00C172E3"/>
    <w:rsid w:val="00C217D7"/>
    <w:rsid w:val="00C21910"/>
    <w:rsid w:val="00C22372"/>
    <w:rsid w:val="00C22791"/>
    <w:rsid w:val="00C244FF"/>
    <w:rsid w:val="00C268EB"/>
    <w:rsid w:val="00C27FC3"/>
    <w:rsid w:val="00C3342A"/>
    <w:rsid w:val="00C33D51"/>
    <w:rsid w:val="00C34065"/>
    <w:rsid w:val="00C34903"/>
    <w:rsid w:val="00C35BF3"/>
    <w:rsid w:val="00C3670D"/>
    <w:rsid w:val="00C374EA"/>
    <w:rsid w:val="00C41370"/>
    <w:rsid w:val="00C41A99"/>
    <w:rsid w:val="00C41EED"/>
    <w:rsid w:val="00C42607"/>
    <w:rsid w:val="00C442B6"/>
    <w:rsid w:val="00C459A1"/>
    <w:rsid w:val="00C47A2B"/>
    <w:rsid w:val="00C5096F"/>
    <w:rsid w:val="00C50CC6"/>
    <w:rsid w:val="00C527E9"/>
    <w:rsid w:val="00C5302D"/>
    <w:rsid w:val="00C5403F"/>
    <w:rsid w:val="00C55956"/>
    <w:rsid w:val="00C55A7E"/>
    <w:rsid w:val="00C55CDD"/>
    <w:rsid w:val="00C569CD"/>
    <w:rsid w:val="00C5787F"/>
    <w:rsid w:val="00C57E44"/>
    <w:rsid w:val="00C60A70"/>
    <w:rsid w:val="00C60E71"/>
    <w:rsid w:val="00C61A6F"/>
    <w:rsid w:val="00C62C8B"/>
    <w:rsid w:val="00C62F4A"/>
    <w:rsid w:val="00C6318D"/>
    <w:rsid w:val="00C634DB"/>
    <w:rsid w:val="00C63883"/>
    <w:rsid w:val="00C66506"/>
    <w:rsid w:val="00C70641"/>
    <w:rsid w:val="00C72EF0"/>
    <w:rsid w:val="00C7318D"/>
    <w:rsid w:val="00C74CC2"/>
    <w:rsid w:val="00C75C84"/>
    <w:rsid w:val="00C76487"/>
    <w:rsid w:val="00C77322"/>
    <w:rsid w:val="00C77ACD"/>
    <w:rsid w:val="00C80EDB"/>
    <w:rsid w:val="00C81584"/>
    <w:rsid w:val="00C82FC1"/>
    <w:rsid w:val="00C83726"/>
    <w:rsid w:val="00C85536"/>
    <w:rsid w:val="00C9240D"/>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A6A0D"/>
    <w:rsid w:val="00CB0179"/>
    <w:rsid w:val="00CB0C87"/>
    <w:rsid w:val="00CB2278"/>
    <w:rsid w:val="00CB2F91"/>
    <w:rsid w:val="00CB354D"/>
    <w:rsid w:val="00CB63CC"/>
    <w:rsid w:val="00CB6BD8"/>
    <w:rsid w:val="00CB74C1"/>
    <w:rsid w:val="00CC0031"/>
    <w:rsid w:val="00CC1B2D"/>
    <w:rsid w:val="00CC2C4F"/>
    <w:rsid w:val="00CC3FDF"/>
    <w:rsid w:val="00CC60B9"/>
    <w:rsid w:val="00CD1628"/>
    <w:rsid w:val="00CD2712"/>
    <w:rsid w:val="00CD35A0"/>
    <w:rsid w:val="00CD41EE"/>
    <w:rsid w:val="00CD476F"/>
    <w:rsid w:val="00CD49D5"/>
    <w:rsid w:val="00CD664F"/>
    <w:rsid w:val="00CD7C95"/>
    <w:rsid w:val="00CE3D5E"/>
    <w:rsid w:val="00CE49E7"/>
    <w:rsid w:val="00CE642E"/>
    <w:rsid w:val="00CF034B"/>
    <w:rsid w:val="00CF241C"/>
    <w:rsid w:val="00CF32E9"/>
    <w:rsid w:val="00CF345C"/>
    <w:rsid w:val="00CF4E94"/>
    <w:rsid w:val="00CF56C1"/>
    <w:rsid w:val="00CF75BA"/>
    <w:rsid w:val="00D0100E"/>
    <w:rsid w:val="00D010E3"/>
    <w:rsid w:val="00D01A19"/>
    <w:rsid w:val="00D02E90"/>
    <w:rsid w:val="00D0482D"/>
    <w:rsid w:val="00D05759"/>
    <w:rsid w:val="00D05810"/>
    <w:rsid w:val="00D06D45"/>
    <w:rsid w:val="00D10925"/>
    <w:rsid w:val="00D15ADE"/>
    <w:rsid w:val="00D20416"/>
    <w:rsid w:val="00D20CCF"/>
    <w:rsid w:val="00D21942"/>
    <w:rsid w:val="00D22B65"/>
    <w:rsid w:val="00D23682"/>
    <w:rsid w:val="00D30BD9"/>
    <w:rsid w:val="00D30C9F"/>
    <w:rsid w:val="00D31275"/>
    <w:rsid w:val="00D3196B"/>
    <w:rsid w:val="00D324FC"/>
    <w:rsid w:val="00D33BE4"/>
    <w:rsid w:val="00D35F36"/>
    <w:rsid w:val="00D378DF"/>
    <w:rsid w:val="00D41322"/>
    <w:rsid w:val="00D42B0C"/>
    <w:rsid w:val="00D45DCB"/>
    <w:rsid w:val="00D47AC5"/>
    <w:rsid w:val="00D5090D"/>
    <w:rsid w:val="00D5113F"/>
    <w:rsid w:val="00D52351"/>
    <w:rsid w:val="00D56336"/>
    <w:rsid w:val="00D56BA7"/>
    <w:rsid w:val="00D5733E"/>
    <w:rsid w:val="00D576E9"/>
    <w:rsid w:val="00D5781D"/>
    <w:rsid w:val="00D617EF"/>
    <w:rsid w:val="00D6256E"/>
    <w:rsid w:val="00D62ECD"/>
    <w:rsid w:val="00D65CF2"/>
    <w:rsid w:val="00D6682C"/>
    <w:rsid w:val="00D66CF8"/>
    <w:rsid w:val="00D66DB5"/>
    <w:rsid w:val="00D679BF"/>
    <w:rsid w:val="00D67F9B"/>
    <w:rsid w:val="00D7008D"/>
    <w:rsid w:val="00D7086E"/>
    <w:rsid w:val="00D70C49"/>
    <w:rsid w:val="00D70F3A"/>
    <w:rsid w:val="00D71A24"/>
    <w:rsid w:val="00D71EDD"/>
    <w:rsid w:val="00D72BEF"/>
    <w:rsid w:val="00D72C62"/>
    <w:rsid w:val="00D73886"/>
    <w:rsid w:val="00D76AB8"/>
    <w:rsid w:val="00D772B3"/>
    <w:rsid w:val="00D778E6"/>
    <w:rsid w:val="00D77A52"/>
    <w:rsid w:val="00D81B58"/>
    <w:rsid w:val="00D81C14"/>
    <w:rsid w:val="00D82B4D"/>
    <w:rsid w:val="00D832D5"/>
    <w:rsid w:val="00D83376"/>
    <w:rsid w:val="00D84B5D"/>
    <w:rsid w:val="00D853FF"/>
    <w:rsid w:val="00D8705F"/>
    <w:rsid w:val="00D87A07"/>
    <w:rsid w:val="00D92A15"/>
    <w:rsid w:val="00D92E62"/>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D1F"/>
    <w:rsid w:val="00DB7F73"/>
    <w:rsid w:val="00DC0CF2"/>
    <w:rsid w:val="00DC11CB"/>
    <w:rsid w:val="00DC13EA"/>
    <w:rsid w:val="00DC1BB7"/>
    <w:rsid w:val="00DC3ADA"/>
    <w:rsid w:val="00DC4A0B"/>
    <w:rsid w:val="00DC4D66"/>
    <w:rsid w:val="00DC73B8"/>
    <w:rsid w:val="00DC78F4"/>
    <w:rsid w:val="00DC7C8A"/>
    <w:rsid w:val="00DD026E"/>
    <w:rsid w:val="00DD1715"/>
    <w:rsid w:val="00DD1A0B"/>
    <w:rsid w:val="00DD2C4D"/>
    <w:rsid w:val="00DD35FE"/>
    <w:rsid w:val="00DD37BF"/>
    <w:rsid w:val="00DD4340"/>
    <w:rsid w:val="00DD44AD"/>
    <w:rsid w:val="00DD45F6"/>
    <w:rsid w:val="00DD5596"/>
    <w:rsid w:val="00DD5A7F"/>
    <w:rsid w:val="00DD6B23"/>
    <w:rsid w:val="00DE1E06"/>
    <w:rsid w:val="00DE3231"/>
    <w:rsid w:val="00DE342A"/>
    <w:rsid w:val="00DE48C3"/>
    <w:rsid w:val="00DE493A"/>
    <w:rsid w:val="00DE5099"/>
    <w:rsid w:val="00DE58AE"/>
    <w:rsid w:val="00DE7190"/>
    <w:rsid w:val="00DF1157"/>
    <w:rsid w:val="00DF178D"/>
    <w:rsid w:val="00DF1DF8"/>
    <w:rsid w:val="00DF2711"/>
    <w:rsid w:val="00DF2E2D"/>
    <w:rsid w:val="00DF38C7"/>
    <w:rsid w:val="00DF4392"/>
    <w:rsid w:val="00DF4E1F"/>
    <w:rsid w:val="00DF560B"/>
    <w:rsid w:val="00DF69A1"/>
    <w:rsid w:val="00DF6DE1"/>
    <w:rsid w:val="00DF752E"/>
    <w:rsid w:val="00E0035B"/>
    <w:rsid w:val="00E00956"/>
    <w:rsid w:val="00E00E72"/>
    <w:rsid w:val="00E011B3"/>
    <w:rsid w:val="00E012CE"/>
    <w:rsid w:val="00E01A14"/>
    <w:rsid w:val="00E01A51"/>
    <w:rsid w:val="00E02EE2"/>
    <w:rsid w:val="00E0388D"/>
    <w:rsid w:val="00E03D34"/>
    <w:rsid w:val="00E04B3B"/>
    <w:rsid w:val="00E04D61"/>
    <w:rsid w:val="00E05109"/>
    <w:rsid w:val="00E05894"/>
    <w:rsid w:val="00E0642C"/>
    <w:rsid w:val="00E06BD0"/>
    <w:rsid w:val="00E109E0"/>
    <w:rsid w:val="00E1364D"/>
    <w:rsid w:val="00E13C47"/>
    <w:rsid w:val="00E14255"/>
    <w:rsid w:val="00E14FA3"/>
    <w:rsid w:val="00E151B6"/>
    <w:rsid w:val="00E153CF"/>
    <w:rsid w:val="00E1543D"/>
    <w:rsid w:val="00E15D9B"/>
    <w:rsid w:val="00E169B1"/>
    <w:rsid w:val="00E17572"/>
    <w:rsid w:val="00E176F6"/>
    <w:rsid w:val="00E177EE"/>
    <w:rsid w:val="00E204AA"/>
    <w:rsid w:val="00E217F2"/>
    <w:rsid w:val="00E245F0"/>
    <w:rsid w:val="00E2566D"/>
    <w:rsid w:val="00E26D4B"/>
    <w:rsid w:val="00E27820"/>
    <w:rsid w:val="00E304B3"/>
    <w:rsid w:val="00E32827"/>
    <w:rsid w:val="00E329AF"/>
    <w:rsid w:val="00E342B0"/>
    <w:rsid w:val="00E34819"/>
    <w:rsid w:val="00E34A97"/>
    <w:rsid w:val="00E350B7"/>
    <w:rsid w:val="00E356BA"/>
    <w:rsid w:val="00E3620E"/>
    <w:rsid w:val="00E37D1E"/>
    <w:rsid w:val="00E40979"/>
    <w:rsid w:val="00E435B7"/>
    <w:rsid w:val="00E43A26"/>
    <w:rsid w:val="00E44520"/>
    <w:rsid w:val="00E466D8"/>
    <w:rsid w:val="00E46AF2"/>
    <w:rsid w:val="00E47557"/>
    <w:rsid w:val="00E503F7"/>
    <w:rsid w:val="00E53027"/>
    <w:rsid w:val="00E5543F"/>
    <w:rsid w:val="00E6140D"/>
    <w:rsid w:val="00E616D3"/>
    <w:rsid w:val="00E61F52"/>
    <w:rsid w:val="00E63191"/>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86579"/>
    <w:rsid w:val="00E90B31"/>
    <w:rsid w:val="00E90BDF"/>
    <w:rsid w:val="00E929ED"/>
    <w:rsid w:val="00E940AC"/>
    <w:rsid w:val="00E94F36"/>
    <w:rsid w:val="00E95883"/>
    <w:rsid w:val="00EA258A"/>
    <w:rsid w:val="00EA3246"/>
    <w:rsid w:val="00EA447E"/>
    <w:rsid w:val="00EA4DBC"/>
    <w:rsid w:val="00EA50AB"/>
    <w:rsid w:val="00EB037F"/>
    <w:rsid w:val="00EB10EA"/>
    <w:rsid w:val="00EB1595"/>
    <w:rsid w:val="00EB31AB"/>
    <w:rsid w:val="00EB4EFE"/>
    <w:rsid w:val="00EB5751"/>
    <w:rsid w:val="00EC175E"/>
    <w:rsid w:val="00EC22D7"/>
    <w:rsid w:val="00EC245A"/>
    <w:rsid w:val="00EC3764"/>
    <w:rsid w:val="00EC4BAE"/>
    <w:rsid w:val="00EC5B7C"/>
    <w:rsid w:val="00EC5D37"/>
    <w:rsid w:val="00EC6A3F"/>
    <w:rsid w:val="00EC7F62"/>
    <w:rsid w:val="00ED0D31"/>
    <w:rsid w:val="00ED2391"/>
    <w:rsid w:val="00ED3AE1"/>
    <w:rsid w:val="00ED3DA3"/>
    <w:rsid w:val="00EE5369"/>
    <w:rsid w:val="00EE6411"/>
    <w:rsid w:val="00EE66C7"/>
    <w:rsid w:val="00EE6B2F"/>
    <w:rsid w:val="00EE70C3"/>
    <w:rsid w:val="00EF02F8"/>
    <w:rsid w:val="00EF0400"/>
    <w:rsid w:val="00EF05C6"/>
    <w:rsid w:val="00EF07BC"/>
    <w:rsid w:val="00EF341D"/>
    <w:rsid w:val="00EF5730"/>
    <w:rsid w:val="00EF5C83"/>
    <w:rsid w:val="00EF5D35"/>
    <w:rsid w:val="00EF7D7A"/>
    <w:rsid w:val="00F002B2"/>
    <w:rsid w:val="00F00AC2"/>
    <w:rsid w:val="00F01C27"/>
    <w:rsid w:val="00F0204B"/>
    <w:rsid w:val="00F02A32"/>
    <w:rsid w:val="00F03B3D"/>
    <w:rsid w:val="00F05177"/>
    <w:rsid w:val="00F0601A"/>
    <w:rsid w:val="00F060A9"/>
    <w:rsid w:val="00F0724E"/>
    <w:rsid w:val="00F1236B"/>
    <w:rsid w:val="00F12FA2"/>
    <w:rsid w:val="00F14C67"/>
    <w:rsid w:val="00F14EBC"/>
    <w:rsid w:val="00F15518"/>
    <w:rsid w:val="00F17616"/>
    <w:rsid w:val="00F20A8D"/>
    <w:rsid w:val="00F22E12"/>
    <w:rsid w:val="00F22E5F"/>
    <w:rsid w:val="00F233B0"/>
    <w:rsid w:val="00F24E5E"/>
    <w:rsid w:val="00F25D76"/>
    <w:rsid w:val="00F26DA9"/>
    <w:rsid w:val="00F3124A"/>
    <w:rsid w:val="00F31D64"/>
    <w:rsid w:val="00F33537"/>
    <w:rsid w:val="00F33736"/>
    <w:rsid w:val="00F33B09"/>
    <w:rsid w:val="00F33C3A"/>
    <w:rsid w:val="00F3434E"/>
    <w:rsid w:val="00F358FC"/>
    <w:rsid w:val="00F36D4A"/>
    <w:rsid w:val="00F376EB"/>
    <w:rsid w:val="00F37FE5"/>
    <w:rsid w:val="00F40A9E"/>
    <w:rsid w:val="00F40EC2"/>
    <w:rsid w:val="00F40EFA"/>
    <w:rsid w:val="00F41545"/>
    <w:rsid w:val="00F41EEA"/>
    <w:rsid w:val="00F42E5F"/>
    <w:rsid w:val="00F4341D"/>
    <w:rsid w:val="00F4545C"/>
    <w:rsid w:val="00F45E80"/>
    <w:rsid w:val="00F50177"/>
    <w:rsid w:val="00F51132"/>
    <w:rsid w:val="00F51496"/>
    <w:rsid w:val="00F51CC5"/>
    <w:rsid w:val="00F51F90"/>
    <w:rsid w:val="00F55D65"/>
    <w:rsid w:val="00F567BF"/>
    <w:rsid w:val="00F56AC0"/>
    <w:rsid w:val="00F56F0E"/>
    <w:rsid w:val="00F56F47"/>
    <w:rsid w:val="00F57335"/>
    <w:rsid w:val="00F57A39"/>
    <w:rsid w:val="00F61F72"/>
    <w:rsid w:val="00F62680"/>
    <w:rsid w:val="00F63723"/>
    <w:rsid w:val="00F63BA4"/>
    <w:rsid w:val="00F657B8"/>
    <w:rsid w:val="00F65E9E"/>
    <w:rsid w:val="00F7025D"/>
    <w:rsid w:val="00F711B5"/>
    <w:rsid w:val="00F72085"/>
    <w:rsid w:val="00F73FF5"/>
    <w:rsid w:val="00F74EFB"/>
    <w:rsid w:val="00F76F54"/>
    <w:rsid w:val="00F7712A"/>
    <w:rsid w:val="00F77955"/>
    <w:rsid w:val="00F803F8"/>
    <w:rsid w:val="00F80AD5"/>
    <w:rsid w:val="00F8133F"/>
    <w:rsid w:val="00F8144D"/>
    <w:rsid w:val="00F82B0E"/>
    <w:rsid w:val="00F8415B"/>
    <w:rsid w:val="00F84424"/>
    <w:rsid w:val="00F869F8"/>
    <w:rsid w:val="00F86B46"/>
    <w:rsid w:val="00F86BE3"/>
    <w:rsid w:val="00F90EFD"/>
    <w:rsid w:val="00F926D8"/>
    <w:rsid w:val="00F93F4C"/>
    <w:rsid w:val="00F9535B"/>
    <w:rsid w:val="00F95DE8"/>
    <w:rsid w:val="00F962C7"/>
    <w:rsid w:val="00F969F6"/>
    <w:rsid w:val="00F96FD2"/>
    <w:rsid w:val="00F9780A"/>
    <w:rsid w:val="00FA06AC"/>
    <w:rsid w:val="00FA0E40"/>
    <w:rsid w:val="00FA13F8"/>
    <w:rsid w:val="00FA165D"/>
    <w:rsid w:val="00FA1906"/>
    <w:rsid w:val="00FA2EC0"/>
    <w:rsid w:val="00FA31AD"/>
    <w:rsid w:val="00FA3F1F"/>
    <w:rsid w:val="00FA47E1"/>
    <w:rsid w:val="00FA4EA3"/>
    <w:rsid w:val="00FA6C80"/>
    <w:rsid w:val="00FB0933"/>
    <w:rsid w:val="00FB13E0"/>
    <w:rsid w:val="00FB38D6"/>
    <w:rsid w:val="00FB4CA8"/>
    <w:rsid w:val="00FB590B"/>
    <w:rsid w:val="00FB5EBA"/>
    <w:rsid w:val="00FB6B34"/>
    <w:rsid w:val="00FB6E7A"/>
    <w:rsid w:val="00FC07C4"/>
    <w:rsid w:val="00FC1619"/>
    <w:rsid w:val="00FC19E8"/>
    <w:rsid w:val="00FC22CF"/>
    <w:rsid w:val="00FC2F74"/>
    <w:rsid w:val="00FC3B31"/>
    <w:rsid w:val="00FC3C49"/>
    <w:rsid w:val="00FC43D1"/>
    <w:rsid w:val="00FC4541"/>
    <w:rsid w:val="00FC5866"/>
    <w:rsid w:val="00FC5B63"/>
    <w:rsid w:val="00FC5E53"/>
    <w:rsid w:val="00FC6725"/>
    <w:rsid w:val="00FD0BDA"/>
    <w:rsid w:val="00FD3EB9"/>
    <w:rsid w:val="00FD4053"/>
    <w:rsid w:val="00FD4975"/>
    <w:rsid w:val="00FD4992"/>
    <w:rsid w:val="00FD6185"/>
    <w:rsid w:val="00FD6D00"/>
    <w:rsid w:val="00FD79FF"/>
    <w:rsid w:val="00FE03CD"/>
    <w:rsid w:val="00FE297B"/>
    <w:rsid w:val="00FE2DF5"/>
    <w:rsid w:val="00FE3880"/>
    <w:rsid w:val="00FE394D"/>
    <w:rsid w:val="00FE47DF"/>
    <w:rsid w:val="00FE6C79"/>
    <w:rsid w:val="00FE7555"/>
    <w:rsid w:val="00FE75DD"/>
    <w:rsid w:val="00FF0C5F"/>
    <w:rsid w:val="00FF0CC1"/>
    <w:rsid w:val="00FF253E"/>
    <w:rsid w:val="00FF274C"/>
    <w:rsid w:val="00FF29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564C"/>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1CE9"/>
    <w:pPr>
      <w:autoSpaceDE w:val="0"/>
      <w:autoSpaceDN w:val="0"/>
      <w:adjustRightInd w:val="0"/>
    </w:pPr>
    <w:rPr>
      <w:color w:val="000000"/>
      <w:sz w:val="24"/>
      <w:szCs w:val="24"/>
    </w:rPr>
  </w:style>
  <w:style w:type="paragraph" w:styleId="BodyText3">
    <w:name w:val="Body Text 3"/>
    <w:basedOn w:val="Normal"/>
    <w:link w:val="BodyText3Char"/>
    <w:rsid w:val="004C6540"/>
    <w:pPr>
      <w:spacing w:after="60" w:line="240" w:lineRule="auto"/>
      <w:jc w:val="both"/>
    </w:pPr>
    <w:rPr>
      <w:rFonts w:ascii="Times New Roman" w:hAnsi="Times New Roman"/>
      <w:sz w:val="20"/>
      <w:lang w:eastAsia="en-AU"/>
    </w:rPr>
  </w:style>
  <w:style w:type="character" w:customStyle="1" w:styleId="BodyText3Char">
    <w:name w:val="Body Text 3 Char"/>
    <w:basedOn w:val="DefaultParagraphFont"/>
    <w:link w:val="BodyText3"/>
    <w:rsid w:val="004C6540"/>
    <w:rPr>
      <w:lang w:val="en-GB" w:eastAsia="en-AU"/>
    </w:rPr>
  </w:style>
  <w:style w:type="paragraph" w:customStyle="1" w:styleId="TRBodyText">
    <w:name w:val="_TRBody Text"/>
    <w:rsid w:val="001C4B87"/>
    <w:pPr>
      <w:spacing w:line="300" w:lineRule="atLeast"/>
      <w:jc w:val="both"/>
    </w:pPr>
    <w:rPr>
      <w:sz w:val="24"/>
      <w:lang w:eastAsia="en-AU"/>
    </w:rPr>
  </w:style>
  <w:style w:type="paragraph" w:styleId="Revision">
    <w:name w:val="Revision"/>
    <w:hidden/>
    <w:uiPriority w:val="99"/>
    <w:semiHidden/>
    <w:rsid w:val="007F377A"/>
    <w:rPr>
      <w:rFonts w:ascii="Arial" w:hAnsi="Arial"/>
      <w:sz w:val="22"/>
      <w:lang w:val="en-GB" w:eastAsia="en-GB"/>
    </w:rPr>
  </w:style>
  <w:style w:type="paragraph" w:styleId="EndnoteText">
    <w:name w:val="endnote text"/>
    <w:basedOn w:val="Normal"/>
    <w:link w:val="EndnoteTextChar"/>
    <w:uiPriority w:val="99"/>
    <w:semiHidden/>
    <w:unhideWhenUsed/>
    <w:rsid w:val="0073093A"/>
    <w:pPr>
      <w:spacing w:after="0" w:line="240" w:lineRule="auto"/>
    </w:pPr>
    <w:rPr>
      <w:sz w:val="20"/>
    </w:rPr>
  </w:style>
  <w:style w:type="character" w:customStyle="1" w:styleId="EndnoteTextChar">
    <w:name w:val="Endnote Text Char"/>
    <w:basedOn w:val="DefaultParagraphFont"/>
    <w:link w:val="EndnoteText"/>
    <w:uiPriority w:val="99"/>
    <w:semiHidden/>
    <w:rsid w:val="0073093A"/>
    <w:rPr>
      <w:rFonts w:ascii="Arial" w:hAnsi="Arial"/>
      <w:lang w:val="en-GB" w:eastAsia="en-GB"/>
    </w:rPr>
  </w:style>
  <w:style w:type="character" w:styleId="EndnoteReference">
    <w:name w:val="endnote reference"/>
    <w:basedOn w:val="DefaultParagraphFont"/>
    <w:uiPriority w:val="99"/>
    <w:semiHidden/>
    <w:unhideWhenUsed/>
    <w:rsid w:val="007309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564C"/>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1CE9"/>
    <w:pPr>
      <w:autoSpaceDE w:val="0"/>
      <w:autoSpaceDN w:val="0"/>
      <w:adjustRightInd w:val="0"/>
    </w:pPr>
    <w:rPr>
      <w:color w:val="000000"/>
      <w:sz w:val="24"/>
      <w:szCs w:val="24"/>
    </w:rPr>
  </w:style>
  <w:style w:type="paragraph" w:styleId="BodyText3">
    <w:name w:val="Body Text 3"/>
    <w:basedOn w:val="Normal"/>
    <w:link w:val="BodyText3Char"/>
    <w:rsid w:val="004C6540"/>
    <w:pPr>
      <w:spacing w:after="60" w:line="240" w:lineRule="auto"/>
      <w:jc w:val="both"/>
    </w:pPr>
    <w:rPr>
      <w:rFonts w:ascii="Times New Roman" w:hAnsi="Times New Roman"/>
      <w:sz w:val="20"/>
      <w:lang w:eastAsia="en-AU"/>
    </w:rPr>
  </w:style>
  <w:style w:type="character" w:customStyle="1" w:styleId="BodyText3Char">
    <w:name w:val="Body Text 3 Char"/>
    <w:basedOn w:val="DefaultParagraphFont"/>
    <w:link w:val="BodyText3"/>
    <w:rsid w:val="004C6540"/>
    <w:rPr>
      <w:lang w:val="en-GB" w:eastAsia="en-AU"/>
    </w:rPr>
  </w:style>
  <w:style w:type="paragraph" w:customStyle="1" w:styleId="TRBodyText">
    <w:name w:val="_TRBody Text"/>
    <w:rsid w:val="001C4B87"/>
    <w:pPr>
      <w:spacing w:line="300" w:lineRule="atLeast"/>
      <w:jc w:val="both"/>
    </w:pPr>
    <w:rPr>
      <w:sz w:val="24"/>
      <w:lang w:eastAsia="en-AU"/>
    </w:rPr>
  </w:style>
  <w:style w:type="paragraph" w:styleId="Revision">
    <w:name w:val="Revision"/>
    <w:hidden/>
    <w:uiPriority w:val="99"/>
    <w:semiHidden/>
    <w:rsid w:val="007F377A"/>
    <w:rPr>
      <w:rFonts w:ascii="Arial" w:hAnsi="Arial"/>
      <w:sz w:val="22"/>
      <w:lang w:val="en-GB" w:eastAsia="en-GB"/>
    </w:rPr>
  </w:style>
  <w:style w:type="paragraph" w:styleId="EndnoteText">
    <w:name w:val="endnote text"/>
    <w:basedOn w:val="Normal"/>
    <w:link w:val="EndnoteTextChar"/>
    <w:uiPriority w:val="99"/>
    <w:semiHidden/>
    <w:unhideWhenUsed/>
    <w:rsid w:val="0073093A"/>
    <w:pPr>
      <w:spacing w:after="0" w:line="240" w:lineRule="auto"/>
    </w:pPr>
    <w:rPr>
      <w:sz w:val="20"/>
    </w:rPr>
  </w:style>
  <w:style w:type="character" w:customStyle="1" w:styleId="EndnoteTextChar">
    <w:name w:val="Endnote Text Char"/>
    <w:basedOn w:val="DefaultParagraphFont"/>
    <w:link w:val="EndnoteText"/>
    <w:uiPriority w:val="99"/>
    <w:semiHidden/>
    <w:rsid w:val="0073093A"/>
    <w:rPr>
      <w:rFonts w:ascii="Arial" w:hAnsi="Arial"/>
      <w:lang w:val="en-GB" w:eastAsia="en-GB"/>
    </w:rPr>
  </w:style>
  <w:style w:type="character" w:styleId="EndnoteReference">
    <w:name w:val="endnote reference"/>
    <w:basedOn w:val="DefaultParagraphFont"/>
    <w:uiPriority w:val="99"/>
    <w:semiHidden/>
    <w:unhideWhenUsed/>
    <w:rsid w:val="00730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7702">
      <w:bodyDiv w:val="1"/>
      <w:marLeft w:val="0"/>
      <w:marRight w:val="0"/>
      <w:marTop w:val="0"/>
      <w:marBottom w:val="0"/>
      <w:divBdr>
        <w:top w:val="none" w:sz="0" w:space="0" w:color="auto"/>
        <w:left w:val="none" w:sz="0" w:space="0" w:color="auto"/>
        <w:bottom w:val="none" w:sz="0" w:space="0" w:color="auto"/>
        <w:right w:val="none" w:sz="0" w:space="0" w:color="auto"/>
      </w:divBdr>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82458">
      <w:bodyDiv w:val="1"/>
      <w:marLeft w:val="0"/>
      <w:marRight w:val="0"/>
      <w:marTop w:val="0"/>
      <w:marBottom w:val="0"/>
      <w:divBdr>
        <w:top w:val="none" w:sz="0" w:space="0" w:color="auto"/>
        <w:left w:val="none" w:sz="0" w:space="0" w:color="auto"/>
        <w:bottom w:val="none" w:sz="0" w:space="0" w:color="auto"/>
        <w:right w:val="none" w:sz="0" w:space="0" w:color="auto"/>
      </w:divBdr>
    </w:div>
    <w:div w:id="893740219">
      <w:bodyDiv w:val="1"/>
      <w:marLeft w:val="0"/>
      <w:marRight w:val="0"/>
      <w:marTop w:val="0"/>
      <w:marBottom w:val="0"/>
      <w:divBdr>
        <w:top w:val="none" w:sz="0" w:space="0" w:color="auto"/>
        <w:left w:val="none" w:sz="0" w:space="0" w:color="auto"/>
        <w:bottom w:val="none" w:sz="0" w:space="0" w:color="auto"/>
        <w:right w:val="none" w:sz="0" w:space="0" w:color="auto"/>
      </w:divBdr>
      <w:divsChild>
        <w:div w:id="1187522681">
          <w:marLeft w:val="0"/>
          <w:marRight w:val="0"/>
          <w:marTop w:val="0"/>
          <w:marBottom w:val="0"/>
          <w:divBdr>
            <w:top w:val="none" w:sz="0" w:space="0" w:color="auto"/>
            <w:left w:val="none" w:sz="0" w:space="0" w:color="auto"/>
            <w:bottom w:val="none" w:sz="0" w:space="0" w:color="auto"/>
            <w:right w:val="none" w:sz="0" w:space="0" w:color="auto"/>
          </w:divBdr>
          <w:divsChild>
            <w:div w:id="975140887">
              <w:marLeft w:val="0"/>
              <w:marRight w:val="0"/>
              <w:marTop w:val="0"/>
              <w:marBottom w:val="0"/>
              <w:divBdr>
                <w:top w:val="none" w:sz="0" w:space="0" w:color="auto"/>
                <w:left w:val="none" w:sz="0" w:space="0" w:color="auto"/>
                <w:bottom w:val="none" w:sz="0" w:space="0" w:color="auto"/>
                <w:right w:val="none" w:sz="0" w:space="0" w:color="auto"/>
              </w:divBdr>
              <w:divsChild>
                <w:div w:id="363553550">
                  <w:marLeft w:val="150"/>
                  <w:marRight w:val="0"/>
                  <w:marTop w:val="0"/>
                  <w:marBottom w:val="0"/>
                  <w:divBdr>
                    <w:top w:val="none" w:sz="0" w:space="0" w:color="auto"/>
                    <w:left w:val="none" w:sz="0" w:space="0" w:color="auto"/>
                    <w:bottom w:val="none" w:sz="0" w:space="0" w:color="auto"/>
                    <w:right w:val="none" w:sz="0" w:space="0" w:color="auto"/>
                  </w:divBdr>
                  <w:divsChild>
                    <w:div w:id="1439717059">
                      <w:marLeft w:val="0"/>
                      <w:marRight w:val="0"/>
                      <w:marTop w:val="0"/>
                      <w:marBottom w:val="0"/>
                      <w:divBdr>
                        <w:top w:val="none" w:sz="0" w:space="0" w:color="auto"/>
                        <w:left w:val="none" w:sz="0" w:space="0" w:color="auto"/>
                        <w:bottom w:val="none" w:sz="0" w:space="0" w:color="auto"/>
                        <w:right w:val="none" w:sz="0" w:space="0" w:color="auto"/>
                      </w:divBdr>
                      <w:divsChild>
                        <w:div w:id="11135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2926">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 w:id="2065367063">
      <w:bodyDiv w:val="1"/>
      <w:marLeft w:val="0"/>
      <w:marRight w:val="0"/>
      <w:marTop w:val="0"/>
      <w:marBottom w:val="0"/>
      <w:divBdr>
        <w:top w:val="none" w:sz="0" w:space="0" w:color="auto"/>
        <w:left w:val="none" w:sz="0" w:space="0" w:color="auto"/>
        <w:bottom w:val="none" w:sz="0" w:space="0" w:color="auto"/>
        <w:right w:val="none" w:sz="0" w:space="0" w:color="auto"/>
      </w:divBdr>
      <w:divsChild>
        <w:div w:id="1960717792">
          <w:marLeft w:val="0"/>
          <w:marRight w:val="0"/>
          <w:marTop w:val="0"/>
          <w:marBottom w:val="0"/>
          <w:divBdr>
            <w:top w:val="none" w:sz="0" w:space="0" w:color="auto"/>
            <w:left w:val="none" w:sz="0" w:space="0" w:color="auto"/>
            <w:bottom w:val="none" w:sz="0" w:space="0" w:color="auto"/>
            <w:right w:val="none" w:sz="0" w:space="0" w:color="auto"/>
          </w:divBdr>
          <w:divsChild>
            <w:div w:id="806314187">
              <w:marLeft w:val="0"/>
              <w:marRight w:val="0"/>
              <w:marTop w:val="0"/>
              <w:marBottom w:val="0"/>
              <w:divBdr>
                <w:top w:val="none" w:sz="0" w:space="0" w:color="auto"/>
                <w:left w:val="none" w:sz="0" w:space="0" w:color="auto"/>
                <w:bottom w:val="none" w:sz="0" w:space="0" w:color="auto"/>
                <w:right w:val="none" w:sz="0" w:space="0" w:color="auto"/>
              </w:divBdr>
              <w:divsChild>
                <w:div w:id="225192954">
                  <w:marLeft w:val="0"/>
                  <w:marRight w:val="0"/>
                  <w:marTop w:val="0"/>
                  <w:marBottom w:val="0"/>
                  <w:divBdr>
                    <w:top w:val="none" w:sz="0" w:space="0" w:color="auto"/>
                    <w:left w:val="none" w:sz="0" w:space="0" w:color="auto"/>
                    <w:bottom w:val="none" w:sz="0" w:space="0" w:color="auto"/>
                    <w:right w:val="none" w:sz="0" w:space="0" w:color="auto"/>
                  </w:divBdr>
                  <w:divsChild>
                    <w:div w:id="19120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rd.govt.nz/technical-tax/interpretations/interpretation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183D-16AD-4968-88C6-46634B69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12814</Words>
  <Characters>68188</Characters>
  <Application>Microsoft Office Word</Application>
  <DocSecurity>0</DocSecurity>
  <Lines>1894</Lines>
  <Paragraphs>595</Paragraphs>
  <ScaleCrop>false</ScaleCrop>
  <HeadingPairs>
    <vt:vector size="2" baseType="variant">
      <vt:variant>
        <vt:lpstr>Title</vt:lpstr>
      </vt:variant>
      <vt:variant>
        <vt:i4>1</vt:i4>
      </vt:variant>
    </vt:vector>
  </HeadingPairs>
  <TitlesOfParts>
    <vt:vector size="1" baseType="lpstr">
      <vt:lpstr>Regulatory impact statement - GST current issues (February 2016)</vt:lpstr>
    </vt:vector>
  </TitlesOfParts>
  <Company>Inland Revenue</Company>
  <LinksUpToDate>false</LinksUpToDate>
  <CharactersWithSpaces>80407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GST current issues (February 2016)</dc:title>
  <dc:creator>Policy and Strategy</dc:creator>
  <dc:description>Published May 2016.</dc:description>
  <cp:lastModifiedBy>David Nind</cp:lastModifiedBy>
  <cp:revision>2</cp:revision>
  <dcterms:created xsi:type="dcterms:W3CDTF">2016-05-02T21:36:00Z</dcterms:created>
  <dcterms:modified xsi:type="dcterms:W3CDTF">2016-05-02T21:37:00Z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