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36" w:rsidRPr="00001136" w:rsidRDefault="00001136" w:rsidP="00001136">
      <w:pPr>
        <w:pStyle w:val="ListParagraph"/>
        <w:ind w:left="0" w:right="170"/>
        <w:contextualSpacing w:val="0"/>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001136">
        <w:rPr>
          <w:rFonts w:ascii="Times New Roman" w:hAnsi="Times New Roman"/>
          <w:b/>
          <w:sz w:val="32"/>
          <w:szCs w:val="24"/>
        </w:rPr>
        <w:t>Regulatory Impact Statement</w:t>
      </w:r>
    </w:p>
    <w:p w:rsidR="00001136" w:rsidRDefault="00001136" w:rsidP="00001136">
      <w:pPr>
        <w:pStyle w:val="ListParagraph"/>
        <w:ind w:left="0" w:right="170"/>
        <w:contextualSpacing w:val="0"/>
        <w:rPr>
          <w:rFonts w:ascii="Times New Roman" w:hAnsi="Times New Roman"/>
          <w:sz w:val="24"/>
          <w:szCs w:val="24"/>
        </w:rPr>
      </w:pPr>
    </w:p>
    <w:p w:rsidR="00001136" w:rsidRPr="00001136" w:rsidRDefault="008D6CD0" w:rsidP="00001136">
      <w:pPr>
        <w:pStyle w:val="ListParagraph"/>
        <w:ind w:left="0" w:right="170"/>
        <w:contextualSpacing w:val="0"/>
        <w:rPr>
          <w:rFonts w:ascii="Times New Roman" w:hAnsi="Times New Roman"/>
          <w:b/>
          <w:sz w:val="24"/>
          <w:szCs w:val="24"/>
        </w:rPr>
      </w:pPr>
      <w:r>
        <w:rPr>
          <w:rFonts w:ascii="Times New Roman" w:hAnsi="Times New Roman"/>
          <w:b/>
          <w:sz w:val="24"/>
          <w:szCs w:val="24"/>
        </w:rPr>
        <w:t>Exempting councils from the land tainting tax rules</w:t>
      </w:r>
    </w:p>
    <w:p w:rsidR="00001136" w:rsidRDefault="00001136" w:rsidP="00001136">
      <w:pPr>
        <w:pStyle w:val="ListParagraph"/>
        <w:ind w:left="0" w:right="170"/>
        <w:contextualSpacing w:val="0"/>
        <w:rPr>
          <w:rFonts w:ascii="Times New Roman" w:hAnsi="Times New Roman"/>
          <w:sz w:val="24"/>
          <w:szCs w:val="24"/>
        </w:rPr>
      </w:pPr>
    </w:p>
    <w:p w:rsidR="00001136" w:rsidRPr="00001136" w:rsidRDefault="00001136" w:rsidP="00001136">
      <w:pPr>
        <w:pStyle w:val="ListParagraph"/>
        <w:ind w:left="0" w:right="170"/>
        <w:contextualSpacing w:val="0"/>
        <w:rPr>
          <w:rFonts w:ascii="Times New Roman" w:hAnsi="Times New Roman"/>
          <w:b/>
          <w:sz w:val="24"/>
          <w:szCs w:val="24"/>
        </w:rPr>
      </w:pPr>
      <w:r w:rsidRPr="00001136">
        <w:rPr>
          <w:rFonts w:ascii="Times New Roman" w:hAnsi="Times New Roman"/>
          <w:b/>
          <w:sz w:val="24"/>
          <w:szCs w:val="24"/>
        </w:rPr>
        <w:t>Agency Disclosure Statement</w:t>
      </w:r>
    </w:p>
    <w:p w:rsidR="00001136" w:rsidRDefault="00001136" w:rsidP="00001136">
      <w:pPr>
        <w:pStyle w:val="ListParagraph"/>
        <w:ind w:left="0" w:right="170"/>
        <w:contextualSpacing w:val="0"/>
        <w:rPr>
          <w:rFonts w:ascii="Times New Roman" w:hAnsi="Times New Roman"/>
          <w:sz w:val="24"/>
          <w:szCs w:val="24"/>
        </w:rPr>
      </w:pPr>
    </w:p>
    <w:bookmarkEnd w:id="1"/>
    <w:bookmarkEnd w:id="2"/>
    <w:bookmarkEnd w:id="3"/>
    <w:bookmarkEnd w:id="4"/>
    <w:bookmarkEnd w:id="5"/>
    <w:p w:rsidR="000545DC" w:rsidRPr="00DC0C84" w:rsidRDefault="000545DC" w:rsidP="00001136">
      <w:pPr>
        <w:pStyle w:val="ListParagraph"/>
        <w:ind w:left="0" w:right="170"/>
        <w:contextualSpacing w:val="0"/>
        <w:rPr>
          <w:rFonts w:ascii="Times New Roman" w:hAnsi="Times New Roman"/>
          <w:sz w:val="24"/>
          <w:szCs w:val="24"/>
        </w:rPr>
      </w:pPr>
      <w:r w:rsidRPr="00DC0C84">
        <w:rPr>
          <w:rFonts w:ascii="Times New Roman" w:hAnsi="Times New Roman"/>
          <w:sz w:val="24"/>
          <w:szCs w:val="24"/>
        </w:rPr>
        <w:t>This Regulatory Impact Statement</w:t>
      </w:r>
      <w:r w:rsidR="007148A8">
        <w:rPr>
          <w:rFonts w:ascii="Times New Roman" w:hAnsi="Times New Roman"/>
          <w:sz w:val="24"/>
          <w:szCs w:val="24"/>
        </w:rPr>
        <w:t xml:space="preserve"> (RIS)</w:t>
      </w:r>
      <w:r w:rsidRPr="00DC0C84">
        <w:rPr>
          <w:rFonts w:ascii="Times New Roman" w:hAnsi="Times New Roman"/>
          <w:sz w:val="24"/>
          <w:szCs w:val="24"/>
        </w:rPr>
        <w:t xml:space="preserve"> has been prepared by </w:t>
      </w:r>
      <w:r w:rsidR="009F7B9A" w:rsidRPr="00DC0C84">
        <w:rPr>
          <w:rFonts w:ascii="Times New Roman" w:hAnsi="Times New Roman"/>
          <w:sz w:val="24"/>
          <w:szCs w:val="24"/>
        </w:rPr>
        <w:t>Inland Revenue</w:t>
      </w:r>
      <w:r w:rsidR="009A23EE" w:rsidRPr="00DC0C84">
        <w:rPr>
          <w:rFonts w:ascii="Times New Roman" w:hAnsi="Times New Roman"/>
          <w:sz w:val="24"/>
          <w:szCs w:val="24"/>
        </w:rPr>
        <w:t>.</w:t>
      </w:r>
    </w:p>
    <w:p w:rsidR="004342F0" w:rsidRPr="00DC0C84" w:rsidRDefault="004342F0" w:rsidP="00001136">
      <w:pPr>
        <w:pStyle w:val="ListParagraph"/>
        <w:ind w:left="0" w:right="170"/>
        <w:contextualSpacing w:val="0"/>
        <w:rPr>
          <w:rFonts w:ascii="Times New Roman" w:hAnsi="Times New Roman"/>
          <w:sz w:val="24"/>
          <w:szCs w:val="24"/>
        </w:rPr>
      </w:pPr>
    </w:p>
    <w:p w:rsidR="007E579C" w:rsidRDefault="000545DC" w:rsidP="00001136">
      <w:pPr>
        <w:pStyle w:val="ListParagraph"/>
        <w:ind w:left="0" w:right="170"/>
        <w:contextualSpacing w:val="0"/>
        <w:rPr>
          <w:rFonts w:ascii="Times New Roman" w:hAnsi="Times New Roman"/>
          <w:sz w:val="24"/>
          <w:szCs w:val="24"/>
        </w:rPr>
      </w:pPr>
      <w:r w:rsidRPr="00DC0C84">
        <w:rPr>
          <w:rFonts w:ascii="Times New Roman" w:hAnsi="Times New Roman"/>
          <w:sz w:val="24"/>
          <w:szCs w:val="24"/>
        </w:rPr>
        <w:t xml:space="preserve">It provides an analysis of options to </w:t>
      </w:r>
      <w:r w:rsidR="00472049" w:rsidRPr="00DC0C84">
        <w:rPr>
          <w:rFonts w:ascii="Times New Roman" w:hAnsi="Times New Roman"/>
          <w:sz w:val="24"/>
          <w:szCs w:val="24"/>
        </w:rPr>
        <w:t xml:space="preserve">address </w:t>
      </w:r>
      <w:r w:rsidR="007E579C">
        <w:rPr>
          <w:rFonts w:ascii="Times New Roman" w:hAnsi="Times New Roman"/>
          <w:sz w:val="24"/>
          <w:szCs w:val="24"/>
        </w:rPr>
        <w:t xml:space="preserve">problems with the </w:t>
      </w:r>
      <w:r w:rsidR="00472049" w:rsidRPr="00DC0C84">
        <w:rPr>
          <w:rFonts w:ascii="Times New Roman" w:hAnsi="Times New Roman"/>
          <w:sz w:val="24"/>
          <w:szCs w:val="24"/>
        </w:rPr>
        <w:t>“land tainting rules”</w:t>
      </w:r>
      <w:r w:rsidR="007E579C">
        <w:rPr>
          <w:rFonts w:ascii="Times New Roman" w:hAnsi="Times New Roman"/>
          <w:sz w:val="24"/>
          <w:szCs w:val="24"/>
        </w:rPr>
        <w:t xml:space="preserve"> in the Income Tax Act 2007</w:t>
      </w:r>
      <w:r w:rsidR="00472049" w:rsidRPr="00DC0C84">
        <w:rPr>
          <w:rFonts w:ascii="Times New Roman" w:hAnsi="Times New Roman"/>
          <w:sz w:val="24"/>
          <w:szCs w:val="24"/>
        </w:rPr>
        <w:t>.</w:t>
      </w:r>
      <w:r w:rsidR="003A4D22">
        <w:rPr>
          <w:rFonts w:ascii="Times New Roman" w:hAnsi="Times New Roman"/>
          <w:sz w:val="24"/>
          <w:szCs w:val="24"/>
        </w:rPr>
        <w:t xml:space="preserve">  The land tainting rules were introduced to combat tax avoidance, but overreach by taxing land that is used in business where there is no tax avoidance concern.  As a result, these rules distort decision making – for example, a decision to keep or sell land may be driven by tax, rather than what makes the most economic sense.  Further, the rules increase compliance costs as businesses </w:t>
      </w:r>
      <w:r w:rsidR="00DF1BE0">
        <w:rPr>
          <w:rFonts w:ascii="Times New Roman" w:hAnsi="Times New Roman"/>
          <w:sz w:val="24"/>
          <w:szCs w:val="24"/>
        </w:rPr>
        <w:t xml:space="preserve">obtain </w:t>
      </w:r>
      <w:r w:rsidR="003A4D22">
        <w:rPr>
          <w:rFonts w:ascii="Times New Roman" w:hAnsi="Times New Roman"/>
          <w:sz w:val="24"/>
          <w:szCs w:val="24"/>
        </w:rPr>
        <w:t>legal advice to mitigate the impact of the rules, and monitor purchase dates and the length of land ownership in order to determine whether a disposal is taxable under the rules.  An example</w:t>
      </w:r>
      <w:r w:rsidR="00B40522">
        <w:rPr>
          <w:rFonts w:ascii="Times New Roman" w:hAnsi="Times New Roman"/>
          <w:sz w:val="24"/>
          <w:szCs w:val="24"/>
        </w:rPr>
        <w:t>,</w:t>
      </w:r>
      <w:r w:rsidR="00B40522" w:rsidRPr="00B40522">
        <w:rPr>
          <w:rFonts w:ascii="Times New Roman" w:hAnsi="Times New Roman"/>
          <w:sz w:val="24"/>
          <w:szCs w:val="24"/>
          <w:lang w:val="en-GB" w:eastAsia="en-GB"/>
        </w:rPr>
        <w:t xml:space="preserve"> </w:t>
      </w:r>
      <w:r w:rsidR="00B40522" w:rsidRPr="00B40522">
        <w:rPr>
          <w:rFonts w:ascii="Times New Roman" w:hAnsi="Times New Roman"/>
          <w:sz w:val="24"/>
          <w:szCs w:val="24"/>
          <w:lang w:val="en-GB"/>
        </w:rPr>
        <w:t>discussed in this RIS</w:t>
      </w:r>
      <w:r w:rsidR="00B40522">
        <w:rPr>
          <w:rFonts w:ascii="Times New Roman" w:hAnsi="Times New Roman"/>
          <w:sz w:val="24"/>
          <w:szCs w:val="24"/>
          <w:lang w:val="en-GB"/>
        </w:rPr>
        <w:t>,</w:t>
      </w:r>
      <w:r w:rsidR="003A4D22">
        <w:rPr>
          <w:rFonts w:ascii="Times New Roman" w:hAnsi="Times New Roman"/>
          <w:sz w:val="24"/>
          <w:szCs w:val="24"/>
        </w:rPr>
        <w:t xml:space="preserve"> of where this is occurring is in the context of Auckland Council</w:t>
      </w:r>
      <w:r w:rsidR="00E8547B">
        <w:rPr>
          <w:rFonts w:ascii="Times New Roman" w:hAnsi="Times New Roman"/>
          <w:sz w:val="24"/>
          <w:szCs w:val="24"/>
        </w:rPr>
        <w:t>.</w:t>
      </w:r>
    </w:p>
    <w:p w:rsidR="00FF2A13" w:rsidRPr="00DC0C84" w:rsidRDefault="00FF2A13" w:rsidP="00001136">
      <w:pPr>
        <w:pStyle w:val="Text"/>
        <w:spacing w:before="0" w:after="0" w:line="240" w:lineRule="auto"/>
        <w:ind w:right="170"/>
        <w:rPr>
          <w:rFonts w:ascii="Times New Roman" w:hAnsi="Times New Roman"/>
          <w:sz w:val="24"/>
          <w:szCs w:val="24"/>
          <w:lang w:val="en-NZ"/>
        </w:rPr>
      </w:pPr>
    </w:p>
    <w:p w:rsidR="0092718C" w:rsidRDefault="004C28F0" w:rsidP="00001136">
      <w:pPr>
        <w:pStyle w:val="Text"/>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The preferred option re</w:t>
      </w:r>
      <w:r w:rsidR="00B94D73">
        <w:rPr>
          <w:rFonts w:ascii="Times New Roman" w:hAnsi="Times New Roman"/>
          <w:sz w:val="24"/>
          <w:szCs w:val="24"/>
          <w:lang w:val="en-NZ"/>
        </w:rPr>
        <w:t>moves</w:t>
      </w:r>
      <w:r w:rsidRPr="00DC0C84">
        <w:rPr>
          <w:rFonts w:ascii="Times New Roman" w:hAnsi="Times New Roman"/>
          <w:sz w:val="24"/>
          <w:szCs w:val="24"/>
          <w:lang w:val="en-NZ"/>
        </w:rPr>
        <w:t xml:space="preserve"> </w:t>
      </w:r>
      <w:r w:rsidR="00B94D73">
        <w:rPr>
          <w:rFonts w:ascii="Times New Roman" w:hAnsi="Times New Roman"/>
          <w:sz w:val="24"/>
          <w:szCs w:val="24"/>
          <w:lang w:val="en-NZ"/>
        </w:rPr>
        <w:t>the overreach of the rules</w:t>
      </w:r>
      <w:r w:rsidR="00004D19" w:rsidRPr="00DC0C84">
        <w:rPr>
          <w:rFonts w:ascii="Times New Roman" w:hAnsi="Times New Roman"/>
          <w:sz w:val="24"/>
          <w:szCs w:val="24"/>
          <w:lang w:val="en-NZ"/>
        </w:rPr>
        <w:t xml:space="preserve"> and the associated economic distortions and compliance costs </w:t>
      </w:r>
      <w:r w:rsidR="00E85420">
        <w:rPr>
          <w:rFonts w:ascii="Times New Roman" w:hAnsi="Times New Roman"/>
          <w:sz w:val="24"/>
          <w:szCs w:val="24"/>
          <w:lang w:val="en-NZ"/>
        </w:rPr>
        <w:t xml:space="preserve">for council groups </w:t>
      </w:r>
      <w:r w:rsidR="00004D19" w:rsidRPr="00DC0C84">
        <w:rPr>
          <w:rFonts w:ascii="Times New Roman" w:hAnsi="Times New Roman"/>
          <w:sz w:val="24"/>
          <w:szCs w:val="24"/>
          <w:lang w:val="en-NZ"/>
        </w:rPr>
        <w:t>by</w:t>
      </w:r>
      <w:r w:rsidR="00E85420">
        <w:rPr>
          <w:rFonts w:ascii="Times New Roman" w:hAnsi="Times New Roman"/>
          <w:sz w:val="24"/>
          <w:szCs w:val="24"/>
          <w:lang w:val="en-NZ"/>
        </w:rPr>
        <w:t xml:space="preserve"> </w:t>
      </w:r>
      <w:r w:rsidR="008B1ACB">
        <w:rPr>
          <w:rFonts w:ascii="Times New Roman" w:hAnsi="Times New Roman"/>
          <w:sz w:val="24"/>
          <w:szCs w:val="24"/>
          <w:lang w:val="en-NZ"/>
        </w:rPr>
        <w:t>exempting</w:t>
      </w:r>
      <w:r w:rsidR="00E85420">
        <w:rPr>
          <w:rFonts w:ascii="Times New Roman" w:hAnsi="Times New Roman"/>
          <w:sz w:val="24"/>
          <w:szCs w:val="24"/>
          <w:lang w:val="en-NZ"/>
        </w:rPr>
        <w:t xml:space="preserve"> them from the associated </w:t>
      </w:r>
      <w:proofErr w:type="gramStart"/>
      <w:r w:rsidR="00E85420">
        <w:rPr>
          <w:rFonts w:ascii="Times New Roman" w:hAnsi="Times New Roman"/>
          <w:sz w:val="24"/>
          <w:szCs w:val="24"/>
          <w:lang w:val="en-NZ"/>
        </w:rPr>
        <w:t>persons</w:t>
      </w:r>
      <w:proofErr w:type="gramEnd"/>
      <w:r w:rsidR="00E85420">
        <w:rPr>
          <w:rFonts w:ascii="Times New Roman" w:hAnsi="Times New Roman"/>
          <w:sz w:val="24"/>
          <w:szCs w:val="24"/>
          <w:lang w:val="en-NZ"/>
        </w:rPr>
        <w:t xml:space="preserve"> provisions in the tainting rules.</w:t>
      </w:r>
      <w:r w:rsidR="008B1ACB">
        <w:rPr>
          <w:rFonts w:ascii="Times New Roman" w:hAnsi="Times New Roman"/>
          <w:sz w:val="24"/>
          <w:szCs w:val="24"/>
          <w:lang w:val="en-NZ"/>
        </w:rPr>
        <w:t xml:space="preserve">  </w:t>
      </w:r>
      <w:r w:rsidR="009B5A71">
        <w:rPr>
          <w:rFonts w:ascii="Times New Roman" w:hAnsi="Times New Roman"/>
          <w:sz w:val="24"/>
          <w:szCs w:val="24"/>
          <w:lang w:val="en-NZ"/>
        </w:rPr>
        <w:t>However, t</w:t>
      </w:r>
      <w:r w:rsidR="008B1ACB">
        <w:rPr>
          <w:rFonts w:ascii="Times New Roman" w:hAnsi="Times New Roman"/>
          <w:sz w:val="24"/>
          <w:szCs w:val="24"/>
          <w:lang w:val="en-NZ"/>
        </w:rPr>
        <w:t>his option would not</w:t>
      </w:r>
      <w:r w:rsidR="00E3445E">
        <w:rPr>
          <w:rFonts w:ascii="Times New Roman" w:hAnsi="Times New Roman"/>
          <w:sz w:val="24"/>
          <w:szCs w:val="24"/>
          <w:lang w:val="en-NZ"/>
        </w:rPr>
        <w:t xml:space="preserve"> resolve the issue for other </w:t>
      </w:r>
      <w:r w:rsidR="00A0112C">
        <w:rPr>
          <w:rFonts w:ascii="Times New Roman" w:hAnsi="Times New Roman"/>
          <w:sz w:val="24"/>
          <w:szCs w:val="24"/>
          <w:lang w:val="en-NZ"/>
        </w:rPr>
        <w:t>taxpayers affected by the rules</w:t>
      </w:r>
      <w:r w:rsidR="00E3445E">
        <w:rPr>
          <w:rFonts w:ascii="Times New Roman" w:hAnsi="Times New Roman"/>
          <w:sz w:val="24"/>
          <w:szCs w:val="24"/>
          <w:lang w:val="en-NZ"/>
        </w:rPr>
        <w:t>.</w:t>
      </w:r>
    </w:p>
    <w:p w:rsidR="009D2175" w:rsidRDefault="009D2175" w:rsidP="00001136">
      <w:pPr>
        <w:pStyle w:val="Text"/>
        <w:spacing w:before="0" w:after="0" w:line="240" w:lineRule="auto"/>
        <w:ind w:right="170"/>
        <w:rPr>
          <w:rFonts w:ascii="Times New Roman" w:hAnsi="Times New Roman"/>
          <w:sz w:val="24"/>
          <w:szCs w:val="24"/>
          <w:lang w:val="en-NZ"/>
        </w:rPr>
      </w:pPr>
    </w:p>
    <w:p w:rsidR="005223E1" w:rsidRDefault="009D2175" w:rsidP="00001136">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A key gap in the analysis is that </w:t>
      </w:r>
      <w:r w:rsidR="00E8547B">
        <w:rPr>
          <w:rFonts w:ascii="Times New Roman" w:hAnsi="Times New Roman"/>
          <w:sz w:val="24"/>
          <w:szCs w:val="24"/>
          <w:lang w:val="en-NZ"/>
        </w:rPr>
        <w:t xml:space="preserve">Inland Revenue </w:t>
      </w:r>
      <w:r>
        <w:rPr>
          <w:rFonts w:ascii="Times New Roman" w:hAnsi="Times New Roman"/>
          <w:sz w:val="24"/>
          <w:szCs w:val="24"/>
          <w:lang w:val="en-NZ"/>
        </w:rPr>
        <w:t xml:space="preserve">does not hold sufficient data to provide an estimate of the fiscal impact of the options. </w:t>
      </w:r>
      <w:r w:rsidR="00957BB6">
        <w:rPr>
          <w:rFonts w:ascii="Times New Roman" w:hAnsi="Times New Roman"/>
          <w:sz w:val="24"/>
          <w:szCs w:val="24"/>
          <w:lang w:val="en-NZ"/>
        </w:rPr>
        <w:t xml:space="preserve">  An assumption made was</w:t>
      </w:r>
      <w:r w:rsidR="00D27E77">
        <w:rPr>
          <w:rFonts w:ascii="Times New Roman" w:hAnsi="Times New Roman"/>
          <w:sz w:val="24"/>
          <w:szCs w:val="24"/>
          <w:lang w:val="en-NZ"/>
        </w:rPr>
        <w:t xml:space="preserve"> that council groups</w:t>
      </w:r>
      <w:r w:rsidR="00957BB6">
        <w:rPr>
          <w:rFonts w:ascii="Times New Roman" w:hAnsi="Times New Roman"/>
          <w:sz w:val="24"/>
          <w:szCs w:val="24"/>
          <w:lang w:val="en-NZ"/>
        </w:rPr>
        <w:t xml:space="preserve"> would restructure if an amendment is not made.  Without this assumption, options 1 and 2 would have fiscal impacts.</w:t>
      </w:r>
    </w:p>
    <w:p w:rsidR="00E8547B" w:rsidRDefault="00E8547B" w:rsidP="00E8547B">
      <w:pPr>
        <w:pStyle w:val="Text"/>
        <w:spacing w:before="0" w:after="0" w:line="240" w:lineRule="auto"/>
        <w:ind w:right="170"/>
        <w:rPr>
          <w:rFonts w:ascii="Times New Roman" w:hAnsi="Times New Roman"/>
          <w:sz w:val="24"/>
          <w:szCs w:val="24"/>
          <w:lang w:val="en-NZ"/>
        </w:rPr>
      </w:pPr>
    </w:p>
    <w:p w:rsidR="004952BE" w:rsidRDefault="00E8547B" w:rsidP="00E8547B">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Inland Revenue ha</w:t>
      </w:r>
      <w:r w:rsidR="00A10E7A">
        <w:rPr>
          <w:rFonts w:ascii="Times New Roman" w:hAnsi="Times New Roman"/>
          <w:sz w:val="24"/>
          <w:szCs w:val="24"/>
          <w:lang w:val="en-NZ"/>
        </w:rPr>
        <w:t>s</w:t>
      </w:r>
      <w:r>
        <w:rPr>
          <w:rFonts w:ascii="Times New Roman" w:hAnsi="Times New Roman"/>
          <w:sz w:val="24"/>
          <w:szCs w:val="24"/>
          <w:lang w:val="en-NZ"/>
        </w:rPr>
        <w:t xml:space="preserve"> consulted the Treasury, the Department of Internal Affairs, Auckland Council, and Auckland Council’s tax advisors.  </w:t>
      </w:r>
      <w:r w:rsidR="009D2175">
        <w:rPr>
          <w:rFonts w:ascii="Times New Roman" w:hAnsi="Times New Roman"/>
          <w:sz w:val="24"/>
          <w:szCs w:val="24"/>
          <w:lang w:val="en-NZ"/>
        </w:rPr>
        <w:t xml:space="preserve">These parties </w:t>
      </w:r>
      <w:r w:rsidR="00DF1BE0">
        <w:rPr>
          <w:rFonts w:ascii="Times New Roman" w:hAnsi="Times New Roman"/>
          <w:sz w:val="24"/>
          <w:szCs w:val="24"/>
          <w:lang w:val="en-NZ"/>
        </w:rPr>
        <w:t xml:space="preserve">are </w:t>
      </w:r>
      <w:r w:rsidR="009D2175">
        <w:rPr>
          <w:rFonts w:ascii="Times New Roman" w:hAnsi="Times New Roman"/>
          <w:sz w:val="24"/>
          <w:szCs w:val="24"/>
          <w:lang w:val="en-NZ"/>
        </w:rPr>
        <w:t xml:space="preserve">supportive of the conclusion reached in this RIS.  </w:t>
      </w:r>
    </w:p>
    <w:p w:rsidR="004952BE" w:rsidRDefault="004952BE" w:rsidP="00E8547B">
      <w:pPr>
        <w:pStyle w:val="Text"/>
        <w:spacing w:before="0" w:after="0" w:line="240" w:lineRule="auto"/>
        <w:ind w:right="170"/>
        <w:rPr>
          <w:rFonts w:ascii="Times New Roman" w:hAnsi="Times New Roman"/>
          <w:sz w:val="24"/>
          <w:szCs w:val="24"/>
          <w:lang w:val="en-NZ"/>
        </w:rPr>
      </w:pPr>
    </w:p>
    <w:p w:rsidR="009D2175" w:rsidRDefault="00E8547B" w:rsidP="00E8547B">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Other affected </w:t>
      </w:r>
      <w:r w:rsidR="00A0112C">
        <w:rPr>
          <w:rFonts w:ascii="Times New Roman" w:hAnsi="Times New Roman"/>
          <w:sz w:val="24"/>
          <w:szCs w:val="24"/>
          <w:lang w:val="en-NZ"/>
        </w:rPr>
        <w:t>taxpayers</w:t>
      </w:r>
      <w:r>
        <w:rPr>
          <w:rFonts w:ascii="Times New Roman" w:hAnsi="Times New Roman"/>
          <w:sz w:val="24"/>
          <w:szCs w:val="24"/>
          <w:lang w:val="en-NZ"/>
        </w:rPr>
        <w:t xml:space="preserve"> were not consulted </w:t>
      </w:r>
      <w:r w:rsidR="009D2175">
        <w:rPr>
          <w:rFonts w:ascii="Times New Roman" w:hAnsi="Times New Roman"/>
          <w:sz w:val="24"/>
          <w:szCs w:val="24"/>
          <w:lang w:val="en-NZ"/>
        </w:rPr>
        <w:t xml:space="preserve">because of time constraints </w:t>
      </w:r>
      <w:r w:rsidR="00DF1BE0">
        <w:rPr>
          <w:rFonts w:ascii="Times New Roman" w:hAnsi="Times New Roman"/>
          <w:sz w:val="24"/>
          <w:szCs w:val="24"/>
          <w:lang w:val="en-NZ"/>
        </w:rPr>
        <w:t>–</w:t>
      </w:r>
      <w:r w:rsidR="009D2175">
        <w:rPr>
          <w:rFonts w:ascii="Times New Roman" w:hAnsi="Times New Roman"/>
          <w:sz w:val="24"/>
          <w:szCs w:val="24"/>
          <w:lang w:val="en-NZ"/>
        </w:rPr>
        <w:t xml:space="preserve"> Auckland Council </w:t>
      </w:r>
      <w:r w:rsidR="00DF1BE0">
        <w:rPr>
          <w:rFonts w:ascii="Times New Roman" w:hAnsi="Times New Roman"/>
          <w:sz w:val="24"/>
          <w:szCs w:val="24"/>
          <w:lang w:val="en-NZ"/>
        </w:rPr>
        <w:t xml:space="preserve">seeks </w:t>
      </w:r>
      <w:r w:rsidR="009D2175">
        <w:rPr>
          <w:rFonts w:ascii="Times New Roman" w:hAnsi="Times New Roman"/>
          <w:sz w:val="24"/>
          <w:szCs w:val="24"/>
          <w:lang w:val="en-NZ"/>
        </w:rPr>
        <w:t xml:space="preserve">assurance </w:t>
      </w:r>
      <w:r w:rsidR="00DF1BE0">
        <w:rPr>
          <w:rFonts w:ascii="Times New Roman" w:hAnsi="Times New Roman"/>
          <w:sz w:val="24"/>
          <w:szCs w:val="24"/>
          <w:lang w:val="en-NZ"/>
        </w:rPr>
        <w:t xml:space="preserve">as soon as possible </w:t>
      </w:r>
      <w:r w:rsidR="009D2175">
        <w:rPr>
          <w:rFonts w:ascii="Times New Roman" w:hAnsi="Times New Roman"/>
          <w:sz w:val="24"/>
          <w:szCs w:val="24"/>
          <w:lang w:val="en-NZ"/>
        </w:rPr>
        <w:t>that a legislative amendment will be made in order to provide certainty of tax treatment</w:t>
      </w:r>
      <w:r w:rsidR="008B3915">
        <w:rPr>
          <w:rFonts w:ascii="Times New Roman" w:hAnsi="Times New Roman"/>
          <w:sz w:val="24"/>
          <w:szCs w:val="24"/>
          <w:lang w:val="en-NZ"/>
        </w:rPr>
        <w:t>,</w:t>
      </w:r>
      <w:r w:rsidR="009D2175">
        <w:rPr>
          <w:rFonts w:ascii="Times New Roman" w:hAnsi="Times New Roman"/>
          <w:sz w:val="24"/>
          <w:szCs w:val="24"/>
          <w:lang w:val="en-NZ"/>
        </w:rPr>
        <w:t xml:space="preserve"> so that development activities proposed to be undertaken by Development Auckland do not distort the decision making of the A</w:t>
      </w:r>
      <w:r w:rsidR="008B3915">
        <w:rPr>
          <w:rFonts w:ascii="Times New Roman" w:hAnsi="Times New Roman"/>
          <w:sz w:val="24"/>
          <w:szCs w:val="24"/>
          <w:lang w:val="en-NZ"/>
        </w:rPr>
        <w:t xml:space="preserve">uckland </w:t>
      </w:r>
      <w:r w:rsidR="009D2175">
        <w:rPr>
          <w:rFonts w:ascii="Times New Roman" w:hAnsi="Times New Roman"/>
          <w:sz w:val="24"/>
          <w:szCs w:val="24"/>
          <w:lang w:val="en-NZ"/>
        </w:rPr>
        <w:t>C</w:t>
      </w:r>
      <w:r w:rsidR="008B3915">
        <w:rPr>
          <w:rFonts w:ascii="Times New Roman" w:hAnsi="Times New Roman"/>
          <w:sz w:val="24"/>
          <w:szCs w:val="24"/>
          <w:lang w:val="en-NZ"/>
        </w:rPr>
        <w:t>ouncil</w:t>
      </w:r>
      <w:r w:rsidR="009D2175">
        <w:rPr>
          <w:rFonts w:ascii="Times New Roman" w:hAnsi="Times New Roman"/>
          <w:sz w:val="24"/>
          <w:szCs w:val="24"/>
          <w:lang w:val="en-NZ"/>
        </w:rPr>
        <w:t xml:space="preserve"> group.</w:t>
      </w:r>
      <w:r w:rsidR="00271B40">
        <w:rPr>
          <w:rFonts w:ascii="Times New Roman" w:hAnsi="Times New Roman"/>
          <w:sz w:val="24"/>
          <w:szCs w:val="24"/>
          <w:lang w:val="en-NZ"/>
        </w:rPr>
        <w:t xml:space="preserve">  This time constraint has meant that </w:t>
      </w:r>
      <w:r w:rsidR="00D27E77">
        <w:rPr>
          <w:rFonts w:ascii="Times New Roman" w:hAnsi="Times New Roman"/>
          <w:sz w:val="24"/>
          <w:szCs w:val="24"/>
          <w:lang w:val="en-NZ"/>
        </w:rPr>
        <w:t>one of the options – extending the business premises exclusion in the land tainting rules -</w:t>
      </w:r>
      <w:r w:rsidR="00271B40">
        <w:rPr>
          <w:rFonts w:ascii="Times New Roman" w:hAnsi="Times New Roman"/>
          <w:sz w:val="24"/>
          <w:szCs w:val="24"/>
          <w:lang w:val="en-NZ"/>
        </w:rPr>
        <w:t xml:space="preserve"> was not able to be fully considered. </w:t>
      </w:r>
    </w:p>
    <w:p w:rsidR="00E8547B" w:rsidRPr="00DC0C84" w:rsidRDefault="00E8547B" w:rsidP="00001136">
      <w:pPr>
        <w:pStyle w:val="Text"/>
        <w:spacing w:before="0" w:after="0" w:line="240" w:lineRule="auto"/>
        <w:ind w:right="170"/>
        <w:rPr>
          <w:rFonts w:ascii="Times New Roman" w:hAnsi="Times New Roman"/>
          <w:sz w:val="24"/>
          <w:szCs w:val="24"/>
          <w:lang w:val="en-NZ"/>
        </w:rPr>
      </w:pPr>
    </w:p>
    <w:p w:rsidR="00385EC1" w:rsidRDefault="00840B59" w:rsidP="00001136">
      <w:pPr>
        <w:pStyle w:val="Text"/>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None of the policy options would</w:t>
      </w:r>
      <w:r w:rsidR="00E8547B">
        <w:rPr>
          <w:rFonts w:ascii="Times New Roman" w:hAnsi="Times New Roman"/>
          <w:sz w:val="24"/>
          <w:szCs w:val="24"/>
          <w:lang w:val="en-NZ"/>
        </w:rPr>
        <w:t xml:space="preserve"> impose additional costs on businesses,</w:t>
      </w:r>
      <w:r w:rsidRPr="00DC0C84">
        <w:rPr>
          <w:rFonts w:ascii="Times New Roman" w:hAnsi="Times New Roman"/>
          <w:sz w:val="24"/>
          <w:szCs w:val="24"/>
          <w:lang w:val="en-NZ"/>
        </w:rPr>
        <w:t xml:space="preserve"> impair private property rights, restrict market competition, </w:t>
      </w:r>
      <w:proofErr w:type="gramStart"/>
      <w:r w:rsidRPr="00DC0C84">
        <w:rPr>
          <w:rFonts w:ascii="Times New Roman" w:hAnsi="Times New Roman"/>
          <w:sz w:val="24"/>
          <w:szCs w:val="24"/>
          <w:lang w:val="en-NZ"/>
        </w:rPr>
        <w:t>reduce</w:t>
      </w:r>
      <w:proofErr w:type="gramEnd"/>
      <w:r w:rsidRPr="00DC0C84">
        <w:rPr>
          <w:rFonts w:ascii="Times New Roman" w:hAnsi="Times New Roman"/>
          <w:sz w:val="24"/>
          <w:szCs w:val="24"/>
          <w:lang w:val="en-NZ"/>
        </w:rPr>
        <w:t xml:space="preserve"> the incentives for businesses to innovate and invest, or override fun</w:t>
      </w:r>
      <w:r w:rsidR="00E3445E">
        <w:rPr>
          <w:rFonts w:ascii="Times New Roman" w:hAnsi="Times New Roman"/>
          <w:sz w:val="24"/>
          <w:szCs w:val="24"/>
          <w:lang w:val="en-NZ"/>
        </w:rPr>
        <w:t>damental common law principles.</w:t>
      </w:r>
    </w:p>
    <w:p w:rsidR="00E3445E" w:rsidRDefault="00E3445E" w:rsidP="00001136">
      <w:pPr>
        <w:pStyle w:val="Text"/>
        <w:spacing w:before="0" w:after="0" w:line="240" w:lineRule="auto"/>
        <w:ind w:right="170"/>
        <w:rPr>
          <w:rFonts w:ascii="Times New Roman" w:hAnsi="Times New Roman"/>
          <w:sz w:val="24"/>
          <w:szCs w:val="24"/>
          <w:lang w:val="en-NZ"/>
        </w:rPr>
      </w:pPr>
    </w:p>
    <w:p w:rsidR="00E3445E" w:rsidRPr="00DC0C84" w:rsidRDefault="00E3445E" w:rsidP="00001136">
      <w:pPr>
        <w:pStyle w:val="Text"/>
        <w:spacing w:before="0" w:after="0" w:line="240" w:lineRule="auto"/>
        <w:ind w:right="170"/>
        <w:rPr>
          <w:rFonts w:ascii="Times New Roman" w:hAnsi="Times New Roman"/>
          <w:sz w:val="24"/>
          <w:szCs w:val="24"/>
          <w:lang w:val="en-NZ"/>
        </w:rPr>
      </w:pPr>
    </w:p>
    <w:p w:rsidR="00085660" w:rsidRDefault="00085660" w:rsidP="00001136">
      <w:pPr>
        <w:pStyle w:val="Text"/>
        <w:spacing w:before="0" w:after="0" w:line="240" w:lineRule="auto"/>
        <w:ind w:right="170"/>
        <w:rPr>
          <w:rFonts w:ascii="Times New Roman" w:hAnsi="Times New Roman"/>
          <w:sz w:val="24"/>
          <w:szCs w:val="24"/>
          <w:lang w:val="en-NZ"/>
        </w:rPr>
      </w:pPr>
    </w:p>
    <w:p w:rsidR="007E579C" w:rsidRDefault="007E579C" w:rsidP="00001136">
      <w:pPr>
        <w:pStyle w:val="Text"/>
        <w:spacing w:before="0" w:after="0" w:line="240" w:lineRule="auto"/>
        <w:ind w:right="170"/>
        <w:rPr>
          <w:rFonts w:ascii="Times New Roman" w:hAnsi="Times New Roman"/>
          <w:sz w:val="24"/>
          <w:szCs w:val="24"/>
          <w:lang w:val="en-NZ"/>
        </w:rPr>
      </w:pPr>
    </w:p>
    <w:p w:rsidR="007E579C" w:rsidRPr="00DC0C84" w:rsidRDefault="007E579C" w:rsidP="00001136">
      <w:pPr>
        <w:pStyle w:val="Text"/>
        <w:spacing w:before="0" w:after="0" w:line="240" w:lineRule="auto"/>
        <w:ind w:right="170"/>
        <w:rPr>
          <w:rFonts w:ascii="Times New Roman" w:hAnsi="Times New Roman"/>
          <w:sz w:val="24"/>
          <w:szCs w:val="24"/>
          <w:lang w:val="en-NZ"/>
        </w:rPr>
      </w:pPr>
    </w:p>
    <w:p w:rsidR="00085660" w:rsidRPr="00DC0C84" w:rsidRDefault="00A10E7A" w:rsidP="00001136">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Mike Nutsford</w:t>
      </w:r>
    </w:p>
    <w:p w:rsidR="009F7B9A" w:rsidRPr="00DC0C84" w:rsidRDefault="00280B09" w:rsidP="00001136">
      <w:pPr>
        <w:pStyle w:val="Text"/>
        <w:tabs>
          <w:tab w:val="left" w:pos="567"/>
        </w:tabs>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Policy Manager,</w:t>
      </w:r>
      <w:r w:rsidR="005A62E6" w:rsidRPr="00DC0C84">
        <w:rPr>
          <w:rFonts w:ascii="Times New Roman" w:hAnsi="Times New Roman"/>
          <w:sz w:val="24"/>
          <w:szCs w:val="24"/>
          <w:lang w:val="en-NZ"/>
        </w:rPr>
        <w:t xml:space="preserve"> Policy and Strategy</w:t>
      </w:r>
    </w:p>
    <w:p w:rsidR="001C6912" w:rsidRPr="00DC0C84" w:rsidRDefault="001C6912" w:rsidP="00001136">
      <w:pPr>
        <w:pStyle w:val="Text"/>
        <w:tabs>
          <w:tab w:val="left" w:pos="567"/>
        </w:tabs>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Inland Revenue</w:t>
      </w:r>
    </w:p>
    <w:p w:rsidR="000545DC" w:rsidRPr="00DC0C84" w:rsidRDefault="000545DC" w:rsidP="00001136">
      <w:pPr>
        <w:pStyle w:val="Text"/>
        <w:tabs>
          <w:tab w:val="left" w:pos="567"/>
        </w:tabs>
        <w:spacing w:before="0" w:after="0" w:line="240" w:lineRule="auto"/>
        <w:ind w:right="170"/>
        <w:rPr>
          <w:rFonts w:ascii="Times New Roman" w:hAnsi="Times New Roman"/>
          <w:sz w:val="24"/>
          <w:szCs w:val="24"/>
          <w:lang w:val="en-NZ"/>
        </w:rPr>
      </w:pPr>
    </w:p>
    <w:p w:rsidR="000545DC" w:rsidRPr="00DC0C84" w:rsidRDefault="00D825ED" w:rsidP="00001136">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4</w:t>
      </w:r>
      <w:r w:rsidR="00E050A4">
        <w:rPr>
          <w:rFonts w:ascii="Times New Roman" w:hAnsi="Times New Roman"/>
          <w:sz w:val="24"/>
          <w:szCs w:val="24"/>
          <w:lang w:val="en-NZ"/>
        </w:rPr>
        <w:t xml:space="preserve"> February 2016</w:t>
      </w:r>
    </w:p>
    <w:p w:rsidR="00AF3977" w:rsidRDefault="00AF3977" w:rsidP="00001136">
      <w:pPr>
        <w:pStyle w:val="RISheading"/>
        <w:spacing w:before="0" w:after="0" w:line="240" w:lineRule="auto"/>
        <w:jc w:val="both"/>
        <w:rPr>
          <w:spacing w:val="0"/>
          <w:w w:val="100"/>
        </w:rPr>
        <w:sectPr w:rsidR="00AF3977" w:rsidSect="00E050A4">
          <w:pgSz w:w="11907" w:h="16840" w:code="9"/>
          <w:pgMar w:top="1134" w:right="1418" w:bottom="1134" w:left="1418" w:header="567" w:footer="567" w:gutter="0"/>
          <w:pgNumType w:start="0"/>
          <w:cols w:space="720"/>
          <w:docGrid w:linePitch="360"/>
        </w:sectPr>
      </w:pPr>
      <w:bookmarkStart w:id="7" w:name="_Toc244580363"/>
      <w:bookmarkStart w:id="8" w:name="_Toc244587039"/>
      <w:bookmarkStart w:id="9" w:name="_Toc244857273"/>
      <w:bookmarkStart w:id="10" w:name="_Toc244912538"/>
      <w:bookmarkStart w:id="11" w:name="_Toc244916995"/>
    </w:p>
    <w:p w:rsidR="000545DC" w:rsidRDefault="001C6912" w:rsidP="00001136">
      <w:pPr>
        <w:pStyle w:val="RISheading"/>
        <w:spacing w:before="0" w:after="0" w:line="240" w:lineRule="auto"/>
        <w:jc w:val="both"/>
        <w:rPr>
          <w:spacing w:val="0"/>
          <w:w w:val="100"/>
        </w:rPr>
      </w:pPr>
      <w:r w:rsidRPr="00DC0C84">
        <w:rPr>
          <w:spacing w:val="0"/>
          <w:w w:val="100"/>
        </w:rPr>
        <w:lastRenderedPageBreak/>
        <w:t>STATUS QUO AND PROBLEM DEFINITION</w:t>
      </w:r>
      <w:bookmarkEnd w:id="7"/>
      <w:bookmarkEnd w:id="8"/>
      <w:bookmarkEnd w:id="9"/>
      <w:bookmarkEnd w:id="10"/>
      <w:bookmarkEnd w:id="11"/>
    </w:p>
    <w:p w:rsidR="0071607C" w:rsidRPr="0071607C" w:rsidRDefault="0071607C" w:rsidP="0071607C">
      <w:pPr>
        <w:spacing w:after="0" w:line="240" w:lineRule="auto"/>
        <w:jc w:val="both"/>
        <w:rPr>
          <w:rFonts w:ascii="Times New Roman" w:hAnsi="Times New Roman"/>
          <w:sz w:val="24"/>
          <w:szCs w:val="24"/>
        </w:rPr>
      </w:pPr>
    </w:p>
    <w:p w:rsidR="00DC0C84" w:rsidRPr="0071607C" w:rsidRDefault="00DC0C84" w:rsidP="0071607C">
      <w:pPr>
        <w:spacing w:after="0" w:line="240" w:lineRule="auto"/>
        <w:jc w:val="both"/>
        <w:rPr>
          <w:rFonts w:ascii="Times New Roman" w:hAnsi="Times New Roman"/>
          <w:b/>
          <w:sz w:val="24"/>
          <w:szCs w:val="24"/>
        </w:rPr>
      </w:pPr>
      <w:r w:rsidRPr="0071607C">
        <w:rPr>
          <w:rFonts w:ascii="Times New Roman" w:hAnsi="Times New Roman"/>
          <w:b/>
          <w:sz w:val="24"/>
          <w:szCs w:val="24"/>
        </w:rPr>
        <w:t>Current tax rules</w:t>
      </w:r>
    </w:p>
    <w:p w:rsidR="0071607C" w:rsidRPr="0071607C" w:rsidRDefault="0071607C" w:rsidP="0071607C">
      <w:pPr>
        <w:spacing w:after="0" w:line="240" w:lineRule="auto"/>
        <w:jc w:val="both"/>
        <w:rPr>
          <w:rFonts w:ascii="Times New Roman" w:hAnsi="Times New Roman"/>
          <w:sz w:val="24"/>
          <w:szCs w:val="24"/>
        </w:rPr>
      </w:pPr>
    </w:p>
    <w:p w:rsidR="00171B79" w:rsidRDefault="00DC0C84" w:rsidP="0056241C">
      <w:pPr>
        <w:spacing w:after="0" w:line="240" w:lineRule="auto"/>
        <w:jc w:val="both"/>
        <w:rPr>
          <w:rFonts w:ascii="Times New Roman" w:hAnsi="Times New Roman"/>
          <w:sz w:val="24"/>
          <w:szCs w:val="24"/>
        </w:rPr>
      </w:pPr>
      <w:r w:rsidRPr="00DC0C84">
        <w:rPr>
          <w:rFonts w:ascii="Times New Roman" w:hAnsi="Times New Roman"/>
          <w:sz w:val="24"/>
          <w:szCs w:val="24"/>
        </w:rPr>
        <w:fldChar w:fldCharType="begin"/>
      </w:r>
      <w:r w:rsidRPr="00DC0C84">
        <w:rPr>
          <w:rFonts w:ascii="Times New Roman" w:hAnsi="Times New Roman"/>
          <w:sz w:val="24"/>
          <w:szCs w:val="24"/>
        </w:rPr>
        <w:instrText xml:space="preserve"> AUTONUM  </w:instrText>
      </w:r>
      <w:r w:rsidRPr="00DC0C84">
        <w:rPr>
          <w:rFonts w:ascii="Times New Roman" w:hAnsi="Times New Roman"/>
          <w:sz w:val="24"/>
          <w:szCs w:val="24"/>
        </w:rPr>
        <w:fldChar w:fldCharType="end"/>
      </w:r>
      <w:r w:rsidRPr="00DC0C84">
        <w:rPr>
          <w:rFonts w:ascii="Times New Roman" w:hAnsi="Times New Roman"/>
          <w:sz w:val="24"/>
          <w:szCs w:val="24"/>
        </w:rPr>
        <w:tab/>
      </w:r>
      <w:r w:rsidR="00171B79" w:rsidRPr="0056241C">
        <w:rPr>
          <w:rFonts w:ascii="Times New Roman" w:hAnsi="Times New Roman"/>
          <w:sz w:val="24"/>
          <w:szCs w:val="24"/>
        </w:rPr>
        <w:t>Generally, the proceeds from the disposal of land held on capital account are not taxable.  However, in certain circumstances, the proceeds are taxable under the land disposal provisions contained in sections CB 6 to CB 23B of the Income Tax Act 2007.  The sections that most commonly apply to land owners who are not land dealers, developers or builders, provide that the proceeds from the disposal of land are generally taxable if:</w:t>
      </w:r>
    </w:p>
    <w:p w:rsidR="00171B79" w:rsidRPr="0056241C" w:rsidRDefault="00171B79" w:rsidP="0056241C">
      <w:pPr>
        <w:spacing w:after="0" w:line="240" w:lineRule="auto"/>
        <w:jc w:val="both"/>
        <w:rPr>
          <w:rFonts w:ascii="Times New Roman" w:hAnsi="Times New Roman"/>
          <w:sz w:val="24"/>
          <w:szCs w:val="24"/>
        </w:rPr>
      </w:pPr>
    </w:p>
    <w:p w:rsidR="00171B79" w:rsidRPr="0056241C" w:rsidRDefault="00171B79" w:rsidP="00171B79">
      <w:pPr>
        <w:pStyle w:val="CommentText"/>
        <w:numPr>
          <w:ilvl w:val="0"/>
          <w:numId w:val="16"/>
        </w:numPr>
        <w:rPr>
          <w:rFonts w:ascii="Times New Roman" w:hAnsi="Times New Roman"/>
          <w:sz w:val="24"/>
          <w:szCs w:val="24"/>
        </w:rPr>
      </w:pPr>
      <w:r w:rsidRPr="0056241C">
        <w:rPr>
          <w:rFonts w:ascii="Times New Roman" w:hAnsi="Times New Roman"/>
          <w:sz w:val="24"/>
          <w:szCs w:val="24"/>
        </w:rPr>
        <w:t>the land was acquired for the purpose or with the intention of disposal (</w:t>
      </w:r>
      <w:r w:rsidR="0056241C">
        <w:rPr>
          <w:rFonts w:ascii="Times New Roman" w:hAnsi="Times New Roman"/>
          <w:sz w:val="24"/>
          <w:szCs w:val="24"/>
        </w:rPr>
        <w:t xml:space="preserve">section </w:t>
      </w:r>
      <w:r w:rsidRPr="0056241C">
        <w:rPr>
          <w:rFonts w:ascii="Times New Roman" w:hAnsi="Times New Roman"/>
          <w:sz w:val="24"/>
          <w:szCs w:val="24"/>
        </w:rPr>
        <w:t>CB 6); or</w:t>
      </w:r>
    </w:p>
    <w:p w:rsidR="00171B79" w:rsidRPr="0056241C" w:rsidRDefault="00171B79" w:rsidP="0056241C">
      <w:pPr>
        <w:pStyle w:val="CommentText"/>
        <w:numPr>
          <w:ilvl w:val="0"/>
          <w:numId w:val="16"/>
        </w:numPr>
        <w:rPr>
          <w:rFonts w:ascii="Times New Roman" w:hAnsi="Times New Roman"/>
          <w:sz w:val="24"/>
          <w:szCs w:val="24"/>
        </w:rPr>
      </w:pPr>
      <w:proofErr w:type="gramStart"/>
      <w:r w:rsidRPr="0056241C">
        <w:rPr>
          <w:rFonts w:ascii="Times New Roman" w:hAnsi="Times New Roman"/>
          <w:sz w:val="24"/>
          <w:szCs w:val="24"/>
        </w:rPr>
        <w:t>the</w:t>
      </w:r>
      <w:proofErr w:type="gramEnd"/>
      <w:r w:rsidRPr="0056241C">
        <w:rPr>
          <w:rFonts w:ascii="Times New Roman" w:hAnsi="Times New Roman"/>
          <w:sz w:val="24"/>
          <w:szCs w:val="24"/>
        </w:rPr>
        <w:t xml:space="preserve"> land was acquired for the purposes of a business relating to land (</w:t>
      </w:r>
      <w:r w:rsidR="0056241C">
        <w:rPr>
          <w:rFonts w:ascii="Times New Roman" w:hAnsi="Times New Roman"/>
          <w:sz w:val="24"/>
          <w:szCs w:val="24"/>
        </w:rPr>
        <w:t xml:space="preserve">section </w:t>
      </w:r>
      <w:r w:rsidRPr="0056241C">
        <w:rPr>
          <w:rFonts w:ascii="Times New Roman" w:hAnsi="Times New Roman"/>
          <w:sz w:val="24"/>
          <w:szCs w:val="24"/>
        </w:rPr>
        <w:t>CB 7).</w:t>
      </w:r>
    </w:p>
    <w:p w:rsidR="0071607C" w:rsidRPr="00DC0C84" w:rsidRDefault="0071607C" w:rsidP="00001136">
      <w:pPr>
        <w:spacing w:after="0" w:line="240" w:lineRule="auto"/>
        <w:jc w:val="both"/>
        <w:rPr>
          <w:rFonts w:ascii="Times New Roman" w:hAnsi="Times New Roman"/>
          <w:sz w:val="24"/>
          <w:szCs w:val="24"/>
        </w:rPr>
      </w:pPr>
    </w:p>
    <w:p w:rsidR="00DC0C84" w:rsidRDefault="00C807D0" w:rsidP="00001136">
      <w:pPr>
        <w:spacing w:after="0" w:line="240" w:lineRule="auto"/>
        <w:jc w:val="both"/>
        <w:rPr>
          <w:rFonts w:ascii="Times New Roman" w:hAnsi="Times New Roman"/>
          <w:sz w:val="24"/>
          <w:szCs w:val="24"/>
        </w:rPr>
      </w:pPr>
      <w:r w:rsidRPr="00C807D0">
        <w:rPr>
          <w:rFonts w:ascii="Times New Roman" w:hAnsi="Times New Roman"/>
          <w:sz w:val="24"/>
          <w:szCs w:val="24"/>
        </w:rPr>
        <w:fldChar w:fldCharType="begin"/>
      </w:r>
      <w:r w:rsidRPr="00C807D0">
        <w:rPr>
          <w:rFonts w:ascii="Times New Roman" w:hAnsi="Times New Roman"/>
          <w:sz w:val="24"/>
          <w:szCs w:val="24"/>
        </w:rPr>
        <w:instrText xml:space="preserve"> AUTONUM  </w:instrText>
      </w:r>
      <w:r w:rsidRPr="00C807D0">
        <w:rPr>
          <w:rFonts w:ascii="Times New Roman" w:hAnsi="Times New Roman"/>
          <w:sz w:val="24"/>
          <w:szCs w:val="24"/>
        </w:rPr>
        <w:fldChar w:fldCharType="end"/>
      </w:r>
      <w:r w:rsidRPr="00C807D0">
        <w:rPr>
          <w:rFonts w:ascii="Times New Roman" w:hAnsi="Times New Roman"/>
          <w:sz w:val="24"/>
          <w:szCs w:val="24"/>
        </w:rPr>
        <w:tab/>
      </w:r>
      <w:r w:rsidR="00171B79">
        <w:rPr>
          <w:rFonts w:ascii="Times New Roman" w:hAnsi="Times New Roman"/>
          <w:sz w:val="24"/>
          <w:szCs w:val="24"/>
        </w:rPr>
        <w:t>Part of the land disposal provisions</w:t>
      </w:r>
      <w:r w:rsidRPr="00C807D0">
        <w:rPr>
          <w:rFonts w:ascii="Times New Roman" w:hAnsi="Times New Roman"/>
          <w:sz w:val="24"/>
          <w:szCs w:val="24"/>
        </w:rPr>
        <w:t xml:space="preserve"> are the “land tainting rules” which are contained in sections CB 9 to CB 11 of the Income Tax Act.  For the purposes of this </w:t>
      </w:r>
      <w:r w:rsidR="007148A8">
        <w:rPr>
          <w:rFonts w:ascii="Times New Roman" w:hAnsi="Times New Roman"/>
          <w:sz w:val="24"/>
          <w:szCs w:val="24"/>
        </w:rPr>
        <w:t>RIS</w:t>
      </w:r>
      <w:r w:rsidRPr="00C807D0">
        <w:rPr>
          <w:rFonts w:ascii="Times New Roman" w:hAnsi="Times New Roman"/>
          <w:sz w:val="24"/>
          <w:szCs w:val="24"/>
        </w:rPr>
        <w:t>, the relevant parts of the legislation are sections CB 9(2), CB 10(2) and CB 11(2)</w:t>
      </w:r>
      <w:r w:rsidR="00F91862">
        <w:rPr>
          <w:rFonts w:ascii="Times New Roman" w:hAnsi="Times New Roman"/>
          <w:sz w:val="24"/>
          <w:szCs w:val="24"/>
        </w:rPr>
        <w:t xml:space="preserve"> of the Income Tax Act 2007</w:t>
      </w:r>
      <w:r w:rsidRPr="00C807D0">
        <w:rPr>
          <w:rFonts w:ascii="Times New Roman" w:hAnsi="Times New Roman"/>
          <w:sz w:val="24"/>
          <w:szCs w:val="24"/>
        </w:rPr>
        <w:t>.  These provisions include in the tax base land owned by an associated person of a land dealer, developer or builder, if it is acquired or improved at the time the dealer, developer or builder was in business and is disposed of within 10 years of acquisition or improvement.</w:t>
      </w:r>
    </w:p>
    <w:p w:rsidR="00171B79" w:rsidRDefault="00171B79" w:rsidP="00001136">
      <w:pPr>
        <w:spacing w:after="0" w:line="240" w:lineRule="auto"/>
        <w:jc w:val="both"/>
        <w:rPr>
          <w:rFonts w:ascii="Times New Roman" w:hAnsi="Times New Roman"/>
          <w:sz w:val="24"/>
          <w:szCs w:val="24"/>
        </w:rPr>
      </w:pPr>
    </w:p>
    <w:p w:rsidR="0026377A" w:rsidRDefault="00171B79" w:rsidP="0071607C">
      <w:pPr>
        <w:spacing w:after="0" w:line="240" w:lineRule="auto"/>
        <w:jc w:val="both"/>
        <w:rPr>
          <w:rFonts w:ascii="Times New Roman" w:hAnsi="Times New Roman"/>
          <w:sz w:val="24"/>
          <w:szCs w:val="24"/>
        </w:rPr>
      </w:pPr>
      <w:r w:rsidRPr="00C807D0">
        <w:rPr>
          <w:rFonts w:ascii="Times New Roman" w:hAnsi="Times New Roman"/>
          <w:sz w:val="24"/>
          <w:szCs w:val="24"/>
        </w:rPr>
        <w:fldChar w:fldCharType="begin"/>
      </w:r>
      <w:r w:rsidRPr="00C807D0">
        <w:rPr>
          <w:rFonts w:ascii="Times New Roman" w:hAnsi="Times New Roman"/>
          <w:sz w:val="24"/>
          <w:szCs w:val="24"/>
        </w:rPr>
        <w:instrText xml:space="preserve"> AUTONUM  </w:instrText>
      </w:r>
      <w:r w:rsidRPr="00C807D0">
        <w:rPr>
          <w:rFonts w:ascii="Times New Roman" w:hAnsi="Times New Roman"/>
          <w:sz w:val="24"/>
          <w:szCs w:val="24"/>
        </w:rPr>
        <w:fldChar w:fldCharType="end"/>
      </w:r>
      <w:r w:rsidRPr="00C807D0">
        <w:rPr>
          <w:rFonts w:ascii="Times New Roman" w:hAnsi="Times New Roman"/>
          <w:sz w:val="24"/>
          <w:szCs w:val="24"/>
        </w:rPr>
        <w:tab/>
      </w:r>
      <w:r w:rsidR="0091179D">
        <w:rPr>
          <w:rFonts w:ascii="Times New Roman" w:hAnsi="Times New Roman"/>
          <w:sz w:val="24"/>
          <w:szCs w:val="24"/>
        </w:rPr>
        <w:t>The Income Tax Act provides rules that govern where a person is associated with another person</w:t>
      </w:r>
      <w:r w:rsidR="0026377A" w:rsidRPr="00DF0819">
        <w:rPr>
          <w:rStyle w:val="FootnoteReference"/>
          <w:rFonts w:ascii="Times New Roman" w:hAnsi="Times New Roman"/>
          <w:szCs w:val="24"/>
        </w:rPr>
        <w:footnoteReference w:id="1"/>
      </w:r>
      <w:r w:rsidR="0091179D" w:rsidRPr="00DF0819">
        <w:rPr>
          <w:rFonts w:ascii="Times New Roman" w:hAnsi="Times New Roman"/>
          <w:sz w:val="24"/>
          <w:szCs w:val="24"/>
        </w:rPr>
        <w:t>.</w:t>
      </w:r>
      <w:r w:rsidR="0091179D">
        <w:rPr>
          <w:rFonts w:ascii="Times New Roman" w:hAnsi="Times New Roman"/>
          <w:sz w:val="24"/>
          <w:szCs w:val="24"/>
        </w:rPr>
        <w:t xml:space="preserve">  </w:t>
      </w:r>
      <w:r w:rsidR="0026377A">
        <w:rPr>
          <w:rFonts w:ascii="Times New Roman" w:hAnsi="Times New Roman"/>
          <w:sz w:val="24"/>
          <w:szCs w:val="24"/>
        </w:rPr>
        <w:t xml:space="preserve">Generally speaking, a person is associated with another where there is a </w:t>
      </w:r>
      <w:r w:rsidR="00271B40">
        <w:rPr>
          <w:rFonts w:ascii="Times New Roman" w:hAnsi="Times New Roman"/>
          <w:sz w:val="24"/>
          <w:szCs w:val="24"/>
        </w:rPr>
        <w:t xml:space="preserve">sufficiently close </w:t>
      </w:r>
      <w:r w:rsidR="0026377A">
        <w:rPr>
          <w:rFonts w:ascii="Times New Roman" w:hAnsi="Times New Roman"/>
          <w:sz w:val="24"/>
          <w:szCs w:val="24"/>
        </w:rPr>
        <w:t xml:space="preserve">relationship between the two parties.  The most relevant test for the purposes of this RIS is the company association rule, which provides that two companies are associated where a group of persons hold voting interests in each company of 50% or more.   </w:t>
      </w:r>
      <w:r w:rsidR="0091179D">
        <w:rPr>
          <w:rFonts w:ascii="Times New Roman" w:hAnsi="Times New Roman"/>
          <w:sz w:val="24"/>
          <w:szCs w:val="24"/>
        </w:rPr>
        <w:t xml:space="preserve"> </w:t>
      </w:r>
    </w:p>
    <w:p w:rsidR="00763C53" w:rsidRDefault="00763C53" w:rsidP="0071607C">
      <w:pPr>
        <w:spacing w:after="0" w:line="240" w:lineRule="auto"/>
        <w:jc w:val="both"/>
        <w:rPr>
          <w:rFonts w:ascii="Times New Roman" w:hAnsi="Times New Roman"/>
          <w:sz w:val="24"/>
          <w:szCs w:val="24"/>
        </w:rPr>
      </w:pPr>
    </w:p>
    <w:p w:rsidR="000B29C5" w:rsidRPr="00D27E77" w:rsidRDefault="000B29C5" w:rsidP="0071607C">
      <w:pPr>
        <w:spacing w:after="0" w:line="240" w:lineRule="auto"/>
        <w:jc w:val="both"/>
        <w:rPr>
          <w:rFonts w:ascii="Times New Roman" w:hAnsi="Times New Roman"/>
          <w:b/>
          <w:i/>
          <w:sz w:val="24"/>
          <w:szCs w:val="24"/>
        </w:rPr>
      </w:pPr>
      <w:r w:rsidRPr="00D27E77">
        <w:rPr>
          <w:rFonts w:ascii="Times New Roman" w:hAnsi="Times New Roman"/>
          <w:b/>
          <w:i/>
          <w:sz w:val="24"/>
          <w:szCs w:val="24"/>
        </w:rPr>
        <w:t>Policy intention behind the land tainting rules</w:t>
      </w:r>
    </w:p>
    <w:p w:rsidR="0071607C" w:rsidRDefault="0071607C" w:rsidP="0071607C">
      <w:pPr>
        <w:spacing w:after="0" w:line="240" w:lineRule="auto"/>
        <w:jc w:val="both"/>
        <w:rPr>
          <w:rFonts w:ascii="Times New Roman" w:hAnsi="Times New Roman"/>
          <w:sz w:val="24"/>
          <w:szCs w:val="24"/>
        </w:rPr>
      </w:pPr>
    </w:p>
    <w:p w:rsidR="00C807D0" w:rsidRPr="00DF0819" w:rsidRDefault="00C807D0"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r>
      <w:r w:rsidR="00F44237">
        <w:rPr>
          <w:rFonts w:ascii="Times New Roman" w:hAnsi="Times New Roman"/>
          <w:sz w:val="24"/>
          <w:szCs w:val="24"/>
        </w:rPr>
        <w:t>Before the land tainting rules were introduced there were</w:t>
      </w:r>
      <w:r w:rsidRPr="0071607C">
        <w:rPr>
          <w:rFonts w:ascii="Times New Roman" w:hAnsi="Times New Roman"/>
          <w:sz w:val="24"/>
          <w:szCs w:val="24"/>
        </w:rPr>
        <w:t xml:space="preserve"> evidentiary problems with proving a person’s purpose or intention, </w:t>
      </w:r>
      <w:r w:rsidR="00F44237" w:rsidRPr="00DF0819">
        <w:rPr>
          <w:rFonts w:ascii="Times New Roman" w:hAnsi="Times New Roman"/>
          <w:sz w:val="24"/>
          <w:szCs w:val="24"/>
        </w:rPr>
        <w:t xml:space="preserve">which meant that </w:t>
      </w:r>
      <w:r w:rsidRPr="00DF0819">
        <w:rPr>
          <w:rFonts w:ascii="Times New Roman" w:hAnsi="Times New Roman"/>
          <w:sz w:val="24"/>
          <w:szCs w:val="24"/>
        </w:rPr>
        <w:t>a developer was able to avoid tax by claiming that properties were held as investments</w:t>
      </w:r>
      <w:r w:rsidR="0071607C" w:rsidRPr="00DF0819">
        <w:rPr>
          <w:rStyle w:val="FootnoteReference"/>
          <w:rFonts w:ascii="Times New Roman" w:hAnsi="Times New Roman"/>
          <w:szCs w:val="24"/>
        </w:rPr>
        <w:footnoteReference w:id="2"/>
      </w:r>
      <w:r w:rsidRPr="00DF0819">
        <w:rPr>
          <w:rFonts w:ascii="Times New Roman" w:hAnsi="Times New Roman"/>
          <w:sz w:val="24"/>
          <w:szCs w:val="24"/>
        </w:rPr>
        <w:t xml:space="preserve"> or by </w:t>
      </w:r>
      <w:r w:rsidR="00D743FD" w:rsidRPr="00DF0819">
        <w:rPr>
          <w:rFonts w:ascii="Times New Roman" w:hAnsi="Times New Roman"/>
          <w:sz w:val="24"/>
          <w:szCs w:val="24"/>
        </w:rPr>
        <w:t xml:space="preserve">holding </w:t>
      </w:r>
      <w:r w:rsidRPr="00DF0819">
        <w:rPr>
          <w:rFonts w:ascii="Times New Roman" w:hAnsi="Times New Roman"/>
          <w:sz w:val="24"/>
          <w:szCs w:val="24"/>
        </w:rPr>
        <w:t xml:space="preserve">properties </w:t>
      </w:r>
      <w:r w:rsidR="00D743FD" w:rsidRPr="00DF0819">
        <w:rPr>
          <w:rFonts w:ascii="Times New Roman" w:hAnsi="Times New Roman"/>
          <w:sz w:val="24"/>
          <w:szCs w:val="24"/>
        </w:rPr>
        <w:t xml:space="preserve">in the name of </w:t>
      </w:r>
      <w:r w:rsidRPr="00DF0819">
        <w:rPr>
          <w:rFonts w:ascii="Times New Roman" w:hAnsi="Times New Roman"/>
          <w:sz w:val="24"/>
          <w:szCs w:val="24"/>
        </w:rPr>
        <w:t>an associated person</w:t>
      </w:r>
      <w:r w:rsidR="0071607C" w:rsidRPr="00DF0819">
        <w:rPr>
          <w:rStyle w:val="FootnoteReference"/>
          <w:rFonts w:ascii="Times New Roman" w:hAnsi="Times New Roman"/>
          <w:szCs w:val="24"/>
        </w:rPr>
        <w:footnoteReference w:id="3"/>
      </w:r>
      <w:r w:rsidRPr="00DF0819">
        <w:rPr>
          <w:rFonts w:ascii="Times New Roman" w:hAnsi="Times New Roman"/>
          <w:sz w:val="24"/>
          <w:szCs w:val="24"/>
        </w:rPr>
        <w:t>.</w:t>
      </w:r>
    </w:p>
    <w:p w:rsidR="0071607C" w:rsidRPr="00DF0819" w:rsidRDefault="0071607C" w:rsidP="0071607C">
      <w:pPr>
        <w:spacing w:after="0" w:line="240" w:lineRule="auto"/>
        <w:jc w:val="both"/>
        <w:rPr>
          <w:rFonts w:ascii="Times New Roman" w:hAnsi="Times New Roman"/>
          <w:sz w:val="24"/>
          <w:szCs w:val="24"/>
        </w:rPr>
      </w:pPr>
    </w:p>
    <w:p w:rsidR="00AE12C6" w:rsidRPr="00DF0819" w:rsidRDefault="00C807D0"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r>
      <w:r w:rsidR="00F44237" w:rsidRPr="00DF0819">
        <w:rPr>
          <w:rFonts w:ascii="Times New Roman" w:hAnsi="Times New Roman"/>
          <w:sz w:val="24"/>
          <w:szCs w:val="24"/>
        </w:rPr>
        <w:t>To combat this tax avoidance, in 1973, t</w:t>
      </w:r>
      <w:r w:rsidRPr="00DF0819">
        <w:rPr>
          <w:rFonts w:ascii="Times New Roman" w:hAnsi="Times New Roman"/>
          <w:sz w:val="24"/>
          <w:szCs w:val="24"/>
        </w:rPr>
        <w:t xml:space="preserve">he Government </w:t>
      </w:r>
      <w:r w:rsidR="00F44237" w:rsidRPr="00DF0819">
        <w:rPr>
          <w:rFonts w:ascii="Times New Roman" w:hAnsi="Times New Roman"/>
          <w:sz w:val="24"/>
          <w:szCs w:val="24"/>
        </w:rPr>
        <w:t xml:space="preserve">introduced </w:t>
      </w:r>
      <w:r w:rsidRPr="00DF0819">
        <w:rPr>
          <w:rFonts w:ascii="Times New Roman" w:hAnsi="Times New Roman"/>
          <w:sz w:val="24"/>
          <w:szCs w:val="24"/>
        </w:rPr>
        <w:t xml:space="preserve">the land tainting </w:t>
      </w:r>
      <w:r w:rsidR="009B3A54" w:rsidRPr="00DF0819">
        <w:rPr>
          <w:rFonts w:ascii="Times New Roman" w:hAnsi="Times New Roman"/>
          <w:sz w:val="24"/>
          <w:szCs w:val="24"/>
        </w:rPr>
        <w:t>rules.</w:t>
      </w:r>
      <w:r w:rsidR="00F44237" w:rsidRPr="00DF0819">
        <w:rPr>
          <w:rStyle w:val="FootnoteReference"/>
          <w:rFonts w:ascii="Times New Roman" w:hAnsi="Times New Roman"/>
          <w:szCs w:val="24"/>
        </w:rPr>
        <w:footnoteReference w:id="4"/>
      </w:r>
      <w:r w:rsidR="009B3A54" w:rsidRPr="00DF0819">
        <w:rPr>
          <w:rFonts w:ascii="Times New Roman" w:hAnsi="Times New Roman"/>
          <w:sz w:val="24"/>
          <w:szCs w:val="24"/>
        </w:rPr>
        <w:t xml:space="preserve">  These rules supplement</w:t>
      </w:r>
      <w:r w:rsidRPr="00DF0819">
        <w:rPr>
          <w:rFonts w:ascii="Times New Roman" w:hAnsi="Times New Roman"/>
          <w:sz w:val="24"/>
          <w:szCs w:val="24"/>
        </w:rPr>
        <w:t xml:space="preserve"> the purpose/intention test</w:t>
      </w:r>
      <w:r w:rsidR="0071607C" w:rsidRPr="00DF0819">
        <w:rPr>
          <w:rStyle w:val="FootnoteReference"/>
          <w:rFonts w:ascii="Times New Roman" w:hAnsi="Times New Roman"/>
          <w:szCs w:val="24"/>
        </w:rPr>
        <w:footnoteReference w:id="5"/>
      </w:r>
      <w:r w:rsidRPr="00DF0819">
        <w:rPr>
          <w:rFonts w:ascii="Times New Roman" w:hAnsi="Times New Roman"/>
          <w:sz w:val="24"/>
          <w:szCs w:val="24"/>
        </w:rPr>
        <w:t xml:space="preserve"> by providing an objective “bright line” rule under which developers and persons associated with them </w:t>
      </w:r>
      <w:r w:rsidR="009B3A54" w:rsidRPr="00DF0819">
        <w:rPr>
          <w:rFonts w:ascii="Times New Roman" w:hAnsi="Times New Roman"/>
          <w:sz w:val="24"/>
          <w:szCs w:val="24"/>
        </w:rPr>
        <w:t>are</w:t>
      </w:r>
      <w:r w:rsidRPr="00DF0819">
        <w:rPr>
          <w:rFonts w:ascii="Times New Roman" w:hAnsi="Times New Roman"/>
          <w:sz w:val="24"/>
          <w:szCs w:val="24"/>
        </w:rPr>
        <w:t xml:space="preserve"> taxed on land disposals made within 10 years of purchase or improvement.</w:t>
      </w:r>
      <w:r w:rsidR="000365FB" w:rsidRPr="00DF0819">
        <w:rPr>
          <w:rFonts w:ascii="Times New Roman" w:hAnsi="Times New Roman"/>
          <w:sz w:val="24"/>
          <w:szCs w:val="24"/>
        </w:rPr>
        <w:t xml:space="preserve">  As purpose or </w:t>
      </w:r>
      <w:r w:rsidR="0080598A" w:rsidRPr="00DF0819">
        <w:rPr>
          <w:rFonts w:ascii="Times New Roman" w:hAnsi="Times New Roman"/>
          <w:sz w:val="24"/>
          <w:szCs w:val="24"/>
        </w:rPr>
        <w:t xml:space="preserve">intention </w:t>
      </w:r>
      <w:r w:rsidR="009B3A54" w:rsidRPr="00DF0819">
        <w:rPr>
          <w:rFonts w:ascii="Times New Roman" w:hAnsi="Times New Roman"/>
          <w:sz w:val="24"/>
          <w:szCs w:val="24"/>
        </w:rPr>
        <w:t>are</w:t>
      </w:r>
      <w:r w:rsidR="0080598A" w:rsidRPr="00DF0819">
        <w:rPr>
          <w:rFonts w:ascii="Times New Roman" w:hAnsi="Times New Roman"/>
          <w:sz w:val="24"/>
          <w:szCs w:val="24"/>
        </w:rPr>
        <w:t xml:space="preserve"> not part of the tainting rules, the associated evidentiary problems and tax avoidance no longer </w:t>
      </w:r>
      <w:r w:rsidR="00ED17CF" w:rsidRPr="00DF0819">
        <w:rPr>
          <w:rFonts w:ascii="Times New Roman" w:hAnsi="Times New Roman"/>
          <w:sz w:val="24"/>
          <w:szCs w:val="24"/>
        </w:rPr>
        <w:t>occur</w:t>
      </w:r>
      <w:r w:rsidR="0080598A" w:rsidRPr="00DF0819">
        <w:rPr>
          <w:rFonts w:ascii="Times New Roman" w:hAnsi="Times New Roman"/>
          <w:sz w:val="24"/>
          <w:szCs w:val="24"/>
        </w:rPr>
        <w:t>.</w:t>
      </w:r>
    </w:p>
    <w:p w:rsidR="0071607C" w:rsidRPr="0071607C" w:rsidRDefault="0071607C" w:rsidP="0071607C">
      <w:pPr>
        <w:spacing w:after="0" w:line="240" w:lineRule="auto"/>
        <w:jc w:val="both"/>
        <w:rPr>
          <w:rFonts w:ascii="Times New Roman" w:hAnsi="Times New Roman"/>
          <w:sz w:val="24"/>
          <w:szCs w:val="24"/>
        </w:rPr>
      </w:pPr>
    </w:p>
    <w:p w:rsidR="00C807D0" w:rsidRDefault="00C807D0" w:rsidP="00001136">
      <w:pPr>
        <w:spacing w:after="0" w:line="240" w:lineRule="auto"/>
        <w:jc w:val="both"/>
        <w:rPr>
          <w:rFonts w:ascii="Times New Roman" w:hAnsi="Times New Roman"/>
          <w:sz w:val="24"/>
          <w:szCs w:val="24"/>
        </w:rPr>
      </w:pPr>
      <w:r w:rsidRPr="00C807D0">
        <w:rPr>
          <w:rFonts w:ascii="Times New Roman" w:hAnsi="Times New Roman"/>
          <w:sz w:val="24"/>
          <w:szCs w:val="24"/>
        </w:rPr>
        <w:lastRenderedPageBreak/>
        <w:fldChar w:fldCharType="begin"/>
      </w:r>
      <w:r w:rsidRPr="00C807D0">
        <w:rPr>
          <w:rFonts w:ascii="Times New Roman" w:hAnsi="Times New Roman"/>
          <w:sz w:val="24"/>
          <w:szCs w:val="24"/>
        </w:rPr>
        <w:instrText xml:space="preserve"> AUTONUM  </w:instrText>
      </w:r>
      <w:r w:rsidRPr="00C807D0">
        <w:rPr>
          <w:rFonts w:ascii="Times New Roman" w:hAnsi="Times New Roman"/>
          <w:sz w:val="24"/>
          <w:szCs w:val="24"/>
        </w:rPr>
        <w:fldChar w:fldCharType="end"/>
      </w:r>
      <w:r w:rsidRPr="00C807D0">
        <w:rPr>
          <w:rFonts w:ascii="Times New Roman" w:hAnsi="Times New Roman"/>
          <w:sz w:val="24"/>
          <w:szCs w:val="24"/>
        </w:rPr>
        <w:tab/>
        <w:t>Although it was recognised that such a blanket rule could result in capital account land being subject to tax in certain circumstances, it was a deliberate decision by Parliament that all gains on land sold by property developers and associated persons within 10 years of acquisi</w:t>
      </w:r>
      <w:r w:rsidR="0071607C">
        <w:rPr>
          <w:rFonts w:ascii="Times New Roman" w:hAnsi="Times New Roman"/>
          <w:sz w:val="24"/>
          <w:szCs w:val="24"/>
        </w:rPr>
        <w:t>tion should generally be taxed.</w:t>
      </w:r>
    </w:p>
    <w:p w:rsidR="0071607C" w:rsidRPr="00C807D0" w:rsidRDefault="0071607C" w:rsidP="00001136">
      <w:pPr>
        <w:spacing w:after="0" w:line="240" w:lineRule="auto"/>
        <w:jc w:val="both"/>
        <w:rPr>
          <w:rFonts w:ascii="Times New Roman" w:hAnsi="Times New Roman"/>
          <w:sz w:val="24"/>
          <w:szCs w:val="24"/>
        </w:rPr>
      </w:pPr>
    </w:p>
    <w:p w:rsidR="00652430" w:rsidRPr="0071607C" w:rsidRDefault="00652430" w:rsidP="0071607C">
      <w:pPr>
        <w:spacing w:after="0" w:line="240" w:lineRule="auto"/>
        <w:jc w:val="both"/>
        <w:rPr>
          <w:rFonts w:ascii="Times New Roman" w:hAnsi="Times New Roman"/>
          <w:b/>
          <w:i/>
          <w:sz w:val="24"/>
          <w:szCs w:val="24"/>
        </w:rPr>
      </w:pPr>
      <w:r w:rsidRPr="0071607C">
        <w:rPr>
          <w:rFonts w:ascii="Times New Roman" w:hAnsi="Times New Roman"/>
          <w:b/>
          <w:i/>
          <w:sz w:val="24"/>
          <w:szCs w:val="24"/>
        </w:rPr>
        <w:t>Exclusions from the rules</w:t>
      </w:r>
    </w:p>
    <w:p w:rsidR="0071607C" w:rsidRDefault="0071607C" w:rsidP="00001136">
      <w:pPr>
        <w:spacing w:after="0" w:line="240" w:lineRule="auto"/>
        <w:jc w:val="both"/>
        <w:rPr>
          <w:rFonts w:ascii="Times New Roman" w:hAnsi="Times New Roman"/>
          <w:sz w:val="24"/>
          <w:szCs w:val="24"/>
        </w:rPr>
      </w:pPr>
    </w:p>
    <w:p w:rsidR="0071607C" w:rsidRDefault="00652430" w:rsidP="00001136">
      <w:pPr>
        <w:spacing w:after="0" w:line="240" w:lineRule="auto"/>
        <w:jc w:val="both"/>
        <w:rPr>
          <w:rFonts w:ascii="Times New Roman" w:hAnsi="Times New Roman"/>
          <w:sz w:val="24"/>
          <w:szCs w:val="24"/>
        </w:rPr>
      </w:pPr>
      <w:r w:rsidRPr="00652430">
        <w:rPr>
          <w:rFonts w:ascii="Times New Roman" w:hAnsi="Times New Roman"/>
          <w:sz w:val="24"/>
          <w:szCs w:val="24"/>
        </w:rPr>
        <w:fldChar w:fldCharType="begin"/>
      </w:r>
      <w:r w:rsidRPr="00652430">
        <w:rPr>
          <w:rFonts w:ascii="Times New Roman" w:hAnsi="Times New Roman"/>
          <w:sz w:val="24"/>
          <w:szCs w:val="24"/>
        </w:rPr>
        <w:instrText xml:space="preserve"> AUTONUM  </w:instrText>
      </w:r>
      <w:r w:rsidRPr="00652430">
        <w:rPr>
          <w:rFonts w:ascii="Times New Roman" w:hAnsi="Times New Roman"/>
          <w:sz w:val="24"/>
          <w:szCs w:val="24"/>
        </w:rPr>
        <w:fldChar w:fldCharType="end"/>
      </w:r>
      <w:r w:rsidRPr="00652430">
        <w:rPr>
          <w:rFonts w:ascii="Times New Roman" w:hAnsi="Times New Roman"/>
          <w:sz w:val="24"/>
          <w:szCs w:val="24"/>
        </w:rPr>
        <w:tab/>
        <w:t xml:space="preserve">In order to reduce the circumstances </w:t>
      </w:r>
      <w:r w:rsidR="0071607C">
        <w:rPr>
          <w:rFonts w:ascii="Times New Roman" w:hAnsi="Times New Roman"/>
          <w:sz w:val="24"/>
          <w:szCs w:val="24"/>
        </w:rPr>
        <w:t>in which</w:t>
      </w:r>
      <w:r w:rsidRPr="00652430">
        <w:rPr>
          <w:rFonts w:ascii="Times New Roman" w:hAnsi="Times New Roman"/>
          <w:sz w:val="24"/>
          <w:szCs w:val="24"/>
        </w:rPr>
        <w:t xml:space="preserve"> the tainting rules would tax capital account land, residential land and business premises are excluded from the rules.  For the purposes of this </w:t>
      </w:r>
      <w:r>
        <w:rPr>
          <w:rFonts w:ascii="Times New Roman" w:hAnsi="Times New Roman"/>
          <w:sz w:val="24"/>
          <w:szCs w:val="24"/>
        </w:rPr>
        <w:t>RIS</w:t>
      </w:r>
      <w:r w:rsidRPr="00652430">
        <w:rPr>
          <w:rFonts w:ascii="Times New Roman" w:hAnsi="Times New Roman"/>
          <w:sz w:val="24"/>
          <w:szCs w:val="24"/>
        </w:rPr>
        <w:t xml:space="preserve">, the </w:t>
      </w:r>
      <w:r>
        <w:rPr>
          <w:rFonts w:ascii="Times New Roman" w:hAnsi="Times New Roman"/>
          <w:sz w:val="24"/>
          <w:szCs w:val="24"/>
        </w:rPr>
        <w:t>business premises exclusion contained in section CB 19 is the most relevant.</w:t>
      </w:r>
      <w:r w:rsidRPr="00652430">
        <w:rPr>
          <w:rFonts w:ascii="Times New Roman" w:hAnsi="Times New Roman"/>
          <w:sz w:val="24"/>
          <w:szCs w:val="24"/>
        </w:rPr>
        <w:t xml:space="preserve">  Put simply, this provision excludes from the tainting rules premises that are occupied mainly to carry on a substantial business.</w:t>
      </w:r>
    </w:p>
    <w:p w:rsidR="00763C53" w:rsidRDefault="00763C53" w:rsidP="00001136">
      <w:pPr>
        <w:spacing w:after="0" w:line="240" w:lineRule="auto"/>
        <w:jc w:val="both"/>
        <w:rPr>
          <w:rFonts w:ascii="Times New Roman" w:hAnsi="Times New Roman"/>
          <w:sz w:val="24"/>
          <w:szCs w:val="24"/>
        </w:rPr>
      </w:pPr>
    </w:p>
    <w:p w:rsidR="009871A5" w:rsidRPr="0071607C" w:rsidRDefault="009871A5" w:rsidP="0071607C">
      <w:pPr>
        <w:spacing w:after="0" w:line="240" w:lineRule="auto"/>
        <w:jc w:val="both"/>
        <w:rPr>
          <w:rFonts w:ascii="Times New Roman" w:hAnsi="Times New Roman"/>
          <w:b/>
          <w:sz w:val="24"/>
          <w:szCs w:val="24"/>
        </w:rPr>
      </w:pPr>
      <w:r w:rsidRPr="0071607C">
        <w:rPr>
          <w:rFonts w:ascii="Times New Roman" w:hAnsi="Times New Roman"/>
          <w:b/>
          <w:sz w:val="24"/>
          <w:szCs w:val="24"/>
        </w:rPr>
        <w:t>The problem</w:t>
      </w:r>
    </w:p>
    <w:p w:rsidR="0071607C" w:rsidRPr="0071607C" w:rsidRDefault="0071607C" w:rsidP="0071607C">
      <w:pPr>
        <w:spacing w:after="0" w:line="240" w:lineRule="auto"/>
        <w:jc w:val="both"/>
        <w:rPr>
          <w:rFonts w:ascii="Times New Roman" w:hAnsi="Times New Roman"/>
          <w:sz w:val="24"/>
          <w:szCs w:val="24"/>
        </w:rPr>
      </w:pPr>
    </w:p>
    <w:p w:rsidR="002C6EB3" w:rsidRDefault="009871A5"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r>
      <w:r w:rsidR="002C6EB3" w:rsidRPr="0071607C">
        <w:rPr>
          <w:rFonts w:ascii="Times New Roman" w:hAnsi="Times New Roman"/>
          <w:sz w:val="24"/>
          <w:szCs w:val="24"/>
        </w:rPr>
        <w:t xml:space="preserve">The tainting rules are overreaching by taxing capital account land </w:t>
      </w:r>
      <w:r w:rsidR="003A1870" w:rsidRPr="0071607C">
        <w:rPr>
          <w:rFonts w:ascii="Times New Roman" w:hAnsi="Times New Roman"/>
          <w:sz w:val="24"/>
          <w:szCs w:val="24"/>
        </w:rPr>
        <w:t>used in business</w:t>
      </w:r>
      <w:r w:rsidR="00D71E9F">
        <w:rPr>
          <w:rFonts w:ascii="Times New Roman" w:hAnsi="Times New Roman"/>
          <w:sz w:val="24"/>
          <w:szCs w:val="24"/>
        </w:rPr>
        <w:t>es</w:t>
      </w:r>
      <w:r w:rsidR="002D0F9A">
        <w:rPr>
          <w:rFonts w:ascii="Times New Roman" w:hAnsi="Times New Roman"/>
          <w:sz w:val="24"/>
          <w:szCs w:val="24"/>
        </w:rPr>
        <w:t xml:space="preserve"> of persons associated to a property developer</w:t>
      </w:r>
      <w:r w:rsidR="003A1870" w:rsidRPr="0071607C">
        <w:rPr>
          <w:rFonts w:ascii="Times New Roman" w:hAnsi="Times New Roman"/>
          <w:sz w:val="24"/>
          <w:szCs w:val="24"/>
        </w:rPr>
        <w:t xml:space="preserve"> </w:t>
      </w:r>
      <w:r w:rsidR="00D71E9F">
        <w:rPr>
          <w:rFonts w:ascii="Times New Roman" w:hAnsi="Times New Roman"/>
          <w:sz w:val="24"/>
          <w:szCs w:val="24"/>
        </w:rPr>
        <w:t>in situations where there is</w:t>
      </w:r>
      <w:r w:rsidR="002D0F9A">
        <w:rPr>
          <w:rFonts w:ascii="Times New Roman" w:hAnsi="Times New Roman"/>
          <w:sz w:val="24"/>
          <w:szCs w:val="24"/>
        </w:rPr>
        <w:t xml:space="preserve"> no</w:t>
      </w:r>
      <w:r w:rsidR="003A1870" w:rsidRPr="0071607C">
        <w:rPr>
          <w:rFonts w:ascii="Times New Roman" w:hAnsi="Times New Roman"/>
          <w:sz w:val="24"/>
          <w:szCs w:val="24"/>
        </w:rPr>
        <w:t xml:space="preserve"> tax avoidance concern.</w:t>
      </w:r>
    </w:p>
    <w:p w:rsidR="0071607C" w:rsidRPr="0071607C" w:rsidRDefault="0071607C" w:rsidP="0071607C">
      <w:pPr>
        <w:spacing w:after="0" w:line="240" w:lineRule="auto"/>
        <w:jc w:val="both"/>
        <w:rPr>
          <w:rFonts w:ascii="Times New Roman" w:hAnsi="Times New Roman"/>
          <w:sz w:val="24"/>
          <w:szCs w:val="24"/>
        </w:rPr>
      </w:pPr>
    </w:p>
    <w:p w:rsidR="009871A5" w:rsidRPr="0071607C" w:rsidRDefault="009871A5" w:rsidP="0071607C">
      <w:pPr>
        <w:spacing w:after="0" w:line="240" w:lineRule="auto"/>
        <w:jc w:val="both"/>
        <w:rPr>
          <w:rFonts w:ascii="Times New Roman" w:hAnsi="Times New Roman"/>
          <w:b/>
          <w:i/>
          <w:sz w:val="24"/>
          <w:szCs w:val="24"/>
        </w:rPr>
      </w:pPr>
      <w:r w:rsidRPr="0071607C">
        <w:rPr>
          <w:rFonts w:ascii="Times New Roman" w:hAnsi="Times New Roman"/>
          <w:b/>
          <w:i/>
          <w:sz w:val="24"/>
          <w:szCs w:val="24"/>
        </w:rPr>
        <w:t>Capital account land used in business</w:t>
      </w:r>
    </w:p>
    <w:p w:rsidR="0071607C" w:rsidRPr="0071607C" w:rsidRDefault="0071607C" w:rsidP="0071607C">
      <w:pPr>
        <w:spacing w:after="0" w:line="240" w:lineRule="auto"/>
        <w:jc w:val="both"/>
        <w:rPr>
          <w:rFonts w:ascii="Times New Roman" w:hAnsi="Times New Roman"/>
          <w:sz w:val="24"/>
          <w:szCs w:val="24"/>
        </w:rPr>
      </w:pPr>
    </w:p>
    <w:p w:rsidR="003A1870" w:rsidRPr="0071607C" w:rsidRDefault="003A1870"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t>The business premises exclusion is narrower than is required to ensure the tainting rules achieve their objective of combating tax avoidance.  For example, it has been held that:</w:t>
      </w:r>
    </w:p>
    <w:p w:rsidR="003A1870" w:rsidRPr="0071607C" w:rsidRDefault="003A1870" w:rsidP="0071607C">
      <w:pPr>
        <w:spacing w:after="0" w:line="240" w:lineRule="auto"/>
        <w:jc w:val="both"/>
        <w:rPr>
          <w:rFonts w:ascii="Times New Roman" w:hAnsi="Times New Roman"/>
          <w:sz w:val="24"/>
          <w:szCs w:val="24"/>
        </w:rPr>
      </w:pPr>
    </w:p>
    <w:p w:rsidR="003A1870" w:rsidRDefault="003A1870" w:rsidP="0071607C">
      <w:pPr>
        <w:pStyle w:val="ListParagraph"/>
        <w:numPr>
          <w:ilvl w:val="0"/>
          <w:numId w:val="12"/>
        </w:numPr>
        <w:rPr>
          <w:rFonts w:ascii="Times New Roman" w:hAnsi="Times New Roman"/>
          <w:sz w:val="24"/>
          <w:szCs w:val="24"/>
        </w:rPr>
      </w:pPr>
      <w:r w:rsidRPr="0071607C">
        <w:rPr>
          <w:rFonts w:ascii="Times New Roman" w:hAnsi="Times New Roman"/>
          <w:sz w:val="24"/>
          <w:szCs w:val="24"/>
        </w:rPr>
        <w:t>The provision only applies to land with buildings on them, not to a business solely involving land.</w:t>
      </w:r>
    </w:p>
    <w:p w:rsidR="0071607C" w:rsidRPr="0071607C" w:rsidRDefault="0071607C" w:rsidP="0071607C">
      <w:pPr>
        <w:pStyle w:val="ListParagraph"/>
        <w:rPr>
          <w:rFonts w:ascii="Times New Roman" w:hAnsi="Times New Roman"/>
          <w:sz w:val="24"/>
          <w:szCs w:val="24"/>
        </w:rPr>
      </w:pPr>
    </w:p>
    <w:p w:rsidR="003A1870" w:rsidRPr="0071607C" w:rsidRDefault="003A1870" w:rsidP="0071607C">
      <w:pPr>
        <w:pStyle w:val="ListParagraph"/>
        <w:numPr>
          <w:ilvl w:val="0"/>
          <w:numId w:val="12"/>
        </w:numPr>
        <w:rPr>
          <w:rFonts w:ascii="Times New Roman" w:hAnsi="Times New Roman"/>
          <w:sz w:val="24"/>
          <w:szCs w:val="24"/>
        </w:rPr>
      </w:pPr>
      <w:r w:rsidRPr="0071607C">
        <w:rPr>
          <w:rFonts w:ascii="Times New Roman" w:hAnsi="Times New Roman"/>
          <w:sz w:val="24"/>
          <w:szCs w:val="24"/>
        </w:rPr>
        <w:t>The land must be physically occupied by the taxpayer.</w:t>
      </w:r>
    </w:p>
    <w:p w:rsidR="0071607C" w:rsidRDefault="0071607C" w:rsidP="0071607C">
      <w:pPr>
        <w:pStyle w:val="ListParagraph"/>
        <w:rPr>
          <w:rFonts w:ascii="Times New Roman" w:hAnsi="Times New Roman"/>
          <w:sz w:val="24"/>
          <w:szCs w:val="24"/>
        </w:rPr>
      </w:pPr>
    </w:p>
    <w:p w:rsidR="003A1870" w:rsidRPr="0071607C" w:rsidRDefault="003A1870" w:rsidP="0071607C">
      <w:pPr>
        <w:pStyle w:val="ListParagraph"/>
        <w:numPr>
          <w:ilvl w:val="0"/>
          <w:numId w:val="12"/>
        </w:numPr>
        <w:rPr>
          <w:rFonts w:ascii="Times New Roman" w:hAnsi="Times New Roman"/>
          <w:sz w:val="24"/>
          <w:szCs w:val="24"/>
        </w:rPr>
      </w:pPr>
      <w:r w:rsidRPr="0071607C">
        <w:rPr>
          <w:rFonts w:ascii="Times New Roman" w:hAnsi="Times New Roman"/>
          <w:sz w:val="24"/>
          <w:szCs w:val="24"/>
        </w:rPr>
        <w:t>The taxpayer is required to be carrying out their business operations from the property because of the definition of “occupation” and that “carry on” implies a repetition of acts or a habitual course of conduct, which is to occur “from” the premises.</w:t>
      </w:r>
    </w:p>
    <w:p w:rsidR="0071607C" w:rsidRDefault="0071607C" w:rsidP="0071607C">
      <w:pPr>
        <w:pStyle w:val="ListParagraph"/>
        <w:rPr>
          <w:rFonts w:ascii="Times New Roman" w:hAnsi="Times New Roman"/>
          <w:sz w:val="24"/>
          <w:szCs w:val="24"/>
        </w:rPr>
      </w:pPr>
    </w:p>
    <w:p w:rsidR="003A1870" w:rsidRPr="0071607C" w:rsidRDefault="003A1870" w:rsidP="0071607C">
      <w:pPr>
        <w:pStyle w:val="ListParagraph"/>
        <w:numPr>
          <w:ilvl w:val="0"/>
          <w:numId w:val="12"/>
        </w:numPr>
        <w:rPr>
          <w:rFonts w:ascii="Times New Roman" w:hAnsi="Times New Roman"/>
          <w:sz w:val="24"/>
          <w:szCs w:val="24"/>
        </w:rPr>
      </w:pPr>
      <w:r w:rsidRPr="0071607C">
        <w:rPr>
          <w:rFonts w:ascii="Times New Roman" w:hAnsi="Times New Roman"/>
          <w:sz w:val="24"/>
          <w:szCs w:val="24"/>
        </w:rPr>
        <w:t>Substantial business must be carried on from the land – for example, it has been held that a storage facility does not fall within the exemption.</w:t>
      </w:r>
    </w:p>
    <w:p w:rsidR="0071607C" w:rsidRDefault="0071607C" w:rsidP="0071607C">
      <w:pPr>
        <w:spacing w:after="0" w:line="240" w:lineRule="auto"/>
        <w:jc w:val="both"/>
        <w:rPr>
          <w:rFonts w:ascii="Times New Roman" w:hAnsi="Times New Roman"/>
          <w:sz w:val="24"/>
          <w:szCs w:val="24"/>
        </w:rPr>
      </w:pPr>
    </w:p>
    <w:p w:rsidR="003A1870" w:rsidRPr="00DF0819" w:rsidRDefault="003A1870"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t xml:space="preserve">It is fact specific as to what falls within the ambit of this </w:t>
      </w:r>
      <w:r w:rsidR="005A171F">
        <w:rPr>
          <w:rFonts w:ascii="Times New Roman" w:hAnsi="Times New Roman"/>
          <w:sz w:val="24"/>
          <w:szCs w:val="24"/>
        </w:rPr>
        <w:t>provision</w:t>
      </w:r>
      <w:r w:rsidRPr="0071607C">
        <w:rPr>
          <w:rFonts w:ascii="Times New Roman" w:hAnsi="Times New Roman"/>
          <w:sz w:val="24"/>
          <w:szCs w:val="24"/>
        </w:rPr>
        <w:t xml:space="preserve">.  For the most part, a person associated with a developer would not be taxed on land they dispose of that has been used as their business premises. However, there could be circumstances in which capital account land used in the business does not fall within the exemption and, therefore, is subject to tax.  It is recognised that capital account land should be subject to tax to a certain extent as it would not be possible to create a workable rule to determine whether the land is </w:t>
      </w:r>
      <w:r w:rsidRPr="00DF0819">
        <w:rPr>
          <w:rFonts w:ascii="Times New Roman" w:hAnsi="Times New Roman"/>
          <w:sz w:val="24"/>
          <w:szCs w:val="24"/>
        </w:rPr>
        <w:t>held on capital account in every scenario unless purpose and intention are introduced into the rules.</w:t>
      </w:r>
      <w:r w:rsidR="006536A9" w:rsidRPr="00DF0819">
        <w:rPr>
          <w:rStyle w:val="FootnoteReference"/>
          <w:rFonts w:ascii="Times New Roman" w:hAnsi="Times New Roman"/>
          <w:szCs w:val="24"/>
        </w:rPr>
        <w:footnoteReference w:id="6"/>
      </w:r>
      <w:r w:rsidRPr="00DF0819">
        <w:rPr>
          <w:rFonts w:ascii="Times New Roman" w:hAnsi="Times New Roman"/>
          <w:sz w:val="24"/>
          <w:szCs w:val="24"/>
        </w:rPr>
        <w:t xml:space="preserve">  Even so, it is considered that the business premises exclusion results in capital account land being subject to tax more than is necessary to prevent tax avoidance.</w:t>
      </w:r>
    </w:p>
    <w:p w:rsidR="003A1870" w:rsidRPr="0071607C" w:rsidRDefault="003A1870" w:rsidP="0071607C">
      <w:pPr>
        <w:spacing w:after="0" w:line="240" w:lineRule="auto"/>
        <w:jc w:val="both"/>
        <w:rPr>
          <w:rFonts w:ascii="Times New Roman" w:hAnsi="Times New Roman"/>
          <w:sz w:val="24"/>
          <w:szCs w:val="24"/>
        </w:rPr>
      </w:pPr>
    </w:p>
    <w:p w:rsidR="003A1870" w:rsidRPr="00DF0819" w:rsidRDefault="003A1870" w:rsidP="0071607C">
      <w:pPr>
        <w:spacing w:after="0" w:line="240" w:lineRule="auto"/>
        <w:jc w:val="both"/>
        <w:rPr>
          <w:rFonts w:ascii="Times New Roman" w:hAnsi="Times New Roman"/>
          <w:sz w:val="24"/>
          <w:szCs w:val="24"/>
        </w:rPr>
      </w:pPr>
      <w:r w:rsidRPr="0071607C">
        <w:rPr>
          <w:rFonts w:ascii="Times New Roman" w:hAnsi="Times New Roman"/>
          <w:sz w:val="24"/>
          <w:szCs w:val="24"/>
        </w:rPr>
        <w:fldChar w:fldCharType="begin"/>
      </w:r>
      <w:r w:rsidRPr="0071607C">
        <w:rPr>
          <w:rFonts w:ascii="Times New Roman" w:hAnsi="Times New Roman"/>
          <w:sz w:val="24"/>
          <w:szCs w:val="24"/>
        </w:rPr>
        <w:instrText xml:space="preserve"> AUTONUM  </w:instrText>
      </w:r>
      <w:r w:rsidRPr="0071607C">
        <w:rPr>
          <w:rFonts w:ascii="Times New Roman" w:hAnsi="Times New Roman"/>
          <w:sz w:val="24"/>
          <w:szCs w:val="24"/>
        </w:rPr>
        <w:fldChar w:fldCharType="end"/>
      </w:r>
      <w:r w:rsidRPr="0071607C">
        <w:rPr>
          <w:rFonts w:ascii="Times New Roman" w:hAnsi="Times New Roman"/>
          <w:sz w:val="24"/>
          <w:szCs w:val="24"/>
        </w:rPr>
        <w:tab/>
        <w:t xml:space="preserve">Therefore, capital account land that is used in business could be taxable in circumstances when there is no tax avoidance concern.  For example, an ice-cream manufacturer (who is associated with a property developer) purchases a storage facility to store materials used in his business.  He sells the storage facility 9 years later because a downturn in </w:t>
      </w:r>
      <w:r w:rsidRPr="00DF0819">
        <w:rPr>
          <w:rFonts w:ascii="Times New Roman" w:hAnsi="Times New Roman"/>
          <w:sz w:val="24"/>
          <w:szCs w:val="24"/>
        </w:rPr>
        <w:t>business means it is no longer required.  Even though it is clear that no tax avoidance is occurring, this transaction would be subject to tax under the tainting rules because it has been held that the business premises exemption does not apply to storage facilities.</w:t>
      </w:r>
    </w:p>
    <w:p w:rsidR="008D6CD0" w:rsidRPr="00DF0819" w:rsidRDefault="008D6CD0" w:rsidP="00001136">
      <w:pPr>
        <w:spacing w:after="0" w:line="240" w:lineRule="auto"/>
        <w:jc w:val="both"/>
        <w:rPr>
          <w:rFonts w:ascii="Times New Roman" w:hAnsi="Times New Roman"/>
          <w:sz w:val="24"/>
          <w:szCs w:val="24"/>
        </w:rPr>
      </w:pPr>
    </w:p>
    <w:p w:rsidR="008D6CD0" w:rsidRPr="00DF0819" w:rsidRDefault="008D6CD0" w:rsidP="008D6CD0">
      <w:pPr>
        <w:spacing w:after="0" w:line="240" w:lineRule="auto"/>
        <w:jc w:val="both"/>
        <w:rPr>
          <w:rFonts w:ascii="Times New Roman" w:hAnsi="Times New Roman"/>
          <w:b/>
          <w:i/>
          <w:sz w:val="24"/>
          <w:szCs w:val="24"/>
        </w:rPr>
      </w:pPr>
      <w:r w:rsidRPr="00DF0819">
        <w:rPr>
          <w:rFonts w:ascii="Times New Roman" w:hAnsi="Times New Roman"/>
          <w:b/>
          <w:i/>
          <w:sz w:val="24"/>
          <w:szCs w:val="24"/>
        </w:rPr>
        <w:t>Application of the tainting rules to Auckland Council</w:t>
      </w:r>
    </w:p>
    <w:p w:rsidR="008D6CD0" w:rsidRPr="00DF0819" w:rsidRDefault="008D6CD0" w:rsidP="008D6CD0">
      <w:pPr>
        <w:spacing w:after="0" w:line="240" w:lineRule="auto"/>
        <w:jc w:val="both"/>
        <w:rPr>
          <w:rFonts w:ascii="Times New Roman" w:hAnsi="Times New Roman"/>
          <w:sz w:val="24"/>
          <w:szCs w:val="24"/>
        </w:rPr>
      </w:pPr>
    </w:p>
    <w:p w:rsidR="00795878" w:rsidRPr="00DF0819" w:rsidRDefault="008D6CD0" w:rsidP="008D6CD0">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A further example of the rules taxing capital account land genuinely used in business occurs in the context of Auckland Council (AC) subsidiaries</w:t>
      </w:r>
      <w:r w:rsidR="006219C2" w:rsidRPr="00DF0819">
        <w:rPr>
          <w:rStyle w:val="FootnoteReference"/>
          <w:rFonts w:ascii="Times New Roman" w:hAnsi="Times New Roman"/>
          <w:szCs w:val="24"/>
        </w:rPr>
        <w:footnoteReference w:id="7"/>
      </w:r>
      <w:r w:rsidRPr="00DF0819">
        <w:rPr>
          <w:rFonts w:ascii="Times New Roman" w:hAnsi="Times New Roman"/>
          <w:sz w:val="24"/>
          <w:szCs w:val="24"/>
        </w:rPr>
        <w:t>. AC</w:t>
      </w:r>
      <w:r w:rsidR="00795878" w:rsidRPr="00DF0819">
        <w:rPr>
          <w:rFonts w:ascii="Times New Roman" w:hAnsi="Times New Roman"/>
          <w:sz w:val="24"/>
          <w:szCs w:val="24"/>
        </w:rPr>
        <w:t xml:space="preserve">, through its subsidiary Development Auckland </w:t>
      </w:r>
      <w:r w:rsidR="00A366CB" w:rsidRPr="00DF0819">
        <w:rPr>
          <w:rFonts w:ascii="Times New Roman" w:hAnsi="Times New Roman"/>
          <w:sz w:val="24"/>
          <w:szCs w:val="24"/>
        </w:rPr>
        <w:t>(DA)</w:t>
      </w:r>
      <w:r w:rsidR="00795878" w:rsidRPr="00DF0819">
        <w:rPr>
          <w:rFonts w:ascii="Times New Roman" w:hAnsi="Times New Roman"/>
          <w:sz w:val="24"/>
          <w:szCs w:val="24"/>
        </w:rPr>
        <w:t>,</w:t>
      </w:r>
      <w:r w:rsidR="00A366CB" w:rsidRPr="00DF0819">
        <w:rPr>
          <w:rStyle w:val="FootnoteReference"/>
          <w:rFonts w:ascii="Times New Roman" w:hAnsi="Times New Roman"/>
          <w:szCs w:val="24"/>
        </w:rPr>
        <w:footnoteReference w:id="8"/>
      </w:r>
      <w:r w:rsidRPr="00DF0819">
        <w:rPr>
          <w:rFonts w:ascii="Times New Roman" w:hAnsi="Times New Roman"/>
          <w:sz w:val="24"/>
          <w:szCs w:val="24"/>
        </w:rPr>
        <w:t xml:space="preserve"> </w:t>
      </w:r>
      <w:r w:rsidR="00795878" w:rsidRPr="00DF0819">
        <w:rPr>
          <w:rFonts w:ascii="Times New Roman" w:hAnsi="Times New Roman"/>
          <w:sz w:val="24"/>
          <w:szCs w:val="24"/>
        </w:rPr>
        <w:t>will be</w:t>
      </w:r>
      <w:r w:rsidRPr="00DF0819">
        <w:rPr>
          <w:rFonts w:ascii="Times New Roman" w:hAnsi="Times New Roman"/>
          <w:sz w:val="24"/>
          <w:szCs w:val="24"/>
        </w:rPr>
        <w:t xml:space="preserve"> undertaking land development activities that seek to increase housing supply by creating infrastructure that allows for intensification of development in the Auckland region.  It could also be involved in social housing developments in the Auckland region, although this would only form part of its development role.  </w:t>
      </w:r>
    </w:p>
    <w:p w:rsidR="008D6CD0" w:rsidRPr="00DF0819" w:rsidRDefault="008D6CD0" w:rsidP="008D6CD0">
      <w:pPr>
        <w:spacing w:after="0" w:line="240" w:lineRule="auto"/>
        <w:jc w:val="both"/>
        <w:rPr>
          <w:rFonts w:ascii="Times New Roman" w:hAnsi="Times New Roman"/>
          <w:sz w:val="24"/>
          <w:szCs w:val="24"/>
        </w:rPr>
      </w:pPr>
    </w:p>
    <w:p w:rsidR="008D6CD0" w:rsidRPr="00DF0819" w:rsidRDefault="008D6CD0" w:rsidP="008D6CD0">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Council subsidiaries are subject to tax, whereas councils themselves are exempt as local authorities.  </w:t>
      </w:r>
      <w:r w:rsidR="00795878" w:rsidRPr="00DF0819">
        <w:rPr>
          <w:rFonts w:ascii="Times New Roman" w:hAnsi="Times New Roman"/>
          <w:sz w:val="24"/>
          <w:szCs w:val="24"/>
        </w:rPr>
        <w:t>Therefore, as</w:t>
      </w:r>
      <w:r w:rsidRPr="00DF0819">
        <w:rPr>
          <w:rFonts w:ascii="Times New Roman" w:hAnsi="Times New Roman"/>
          <w:sz w:val="24"/>
          <w:szCs w:val="24"/>
        </w:rPr>
        <w:t xml:space="preserve"> DA will b</w:t>
      </w:r>
      <w:r w:rsidR="00795878" w:rsidRPr="00DF0819">
        <w:rPr>
          <w:rFonts w:ascii="Times New Roman" w:hAnsi="Times New Roman"/>
          <w:sz w:val="24"/>
          <w:szCs w:val="24"/>
        </w:rPr>
        <w:t xml:space="preserve">e undertaking land developments, it is likely to </w:t>
      </w:r>
      <w:r w:rsidRPr="00DF0819">
        <w:rPr>
          <w:rFonts w:ascii="Times New Roman" w:hAnsi="Times New Roman"/>
          <w:sz w:val="24"/>
          <w:szCs w:val="24"/>
        </w:rPr>
        <w:t xml:space="preserve">be considered to be carrying on a business of dealing in land, developing land or erecting buildings.  The result of this is that any gain on the disposal of land by other </w:t>
      </w:r>
      <w:r w:rsidR="001C2209">
        <w:rPr>
          <w:rFonts w:ascii="Times New Roman" w:hAnsi="Times New Roman"/>
          <w:sz w:val="24"/>
          <w:szCs w:val="24"/>
        </w:rPr>
        <w:t>council-controlled organisations (“</w:t>
      </w:r>
      <w:r w:rsidRPr="00DF0819">
        <w:rPr>
          <w:rFonts w:ascii="Times New Roman" w:hAnsi="Times New Roman"/>
          <w:sz w:val="24"/>
          <w:szCs w:val="24"/>
        </w:rPr>
        <w:t>CCOs</w:t>
      </w:r>
      <w:r w:rsidR="001C2209">
        <w:rPr>
          <w:rFonts w:ascii="Times New Roman" w:hAnsi="Times New Roman"/>
          <w:sz w:val="24"/>
          <w:szCs w:val="24"/>
        </w:rPr>
        <w:t>”)</w:t>
      </w:r>
      <w:r w:rsidRPr="00DF0819">
        <w:rPr>
          <w:rFonts w:ascii="Times New Roman" w:hAnsi="Times New Roman"/>
          <w:sz w:val="24"/>
          <w:szCs w:val="24"/>
        </w:rPr>
        <w:t xml:space="preserve"> and port, energy and electricity companies controlled by AC could be taxable if the land has not been held for more than 10 years or if the disposal is made within 10 years of completing improvements to the land.</w:t>
      </w:r>
      <w:r w:rsidR="00957BB6" w:rsidRPr="00DF0819">
        <w:rPr>
          <w:rFonts w:ascii="Times New Roman" w:hAnsi="Times New Roman"/>
          <w:sz w:val="24"/>
          <w:szCs w:val="24"/>
        </w:rPr>
        <w:t xml:space="preserve">  Put simply, land held by other entities in the group that would not ordinarily be taxable</w:t>
      </w:r>
      <w:r w:rsidR="00AF05D2" w:rsidRPr="00DF0819">
        <w:rPr>
          <w:rFonts w:ascii="Times New Roman" w:hAnsi="Times New Roman"/>
          <w:sz w:val="24"/>
          <w:szCs w:val="24"/>
        </w:rPr>
        <w:t xml:space="preserve"> upon disposal</w:t>
      </w:r>
      <w:r w:rsidR="00957BB6" w:rsidRPr="00DF0819">
        <w:rPr>
          <w:rFonts w:ascii="Times New Roman" w:hAnsi="Times New Roman"/>
          <w:sz w:val="24"/>
          <w:szCs w:val="24"/>
        </w:rPr>
        <w:t xml:space="preserve"> </w:t>
      </w:r>
      <w:r w:rsidR="00BB1615" w:rsidRPr="00DF0819">
        <w:rPr>
          <w:rFonts w:ascii="Times New Roman" w:hAnsi="Times New Roman"/>
          <w:sz w:val="24"/>
          <w:szCs w:val="24"/>
        </w:rPr>
        <w:t>may</w:t>
      </w:r>
      <w:r w:rsidR="00957BB6" w:rsidRPr="00DF0819">
        <w:rPr>
          <w:rFonts w:ascii="Times New Roman" w:hAnsi="Times New Roman"/>
          <w:sz w:val="24"/>
          <w:szCs w:val="24"/>
        </w:rPr>
        <w:t xml:space="preserve"> be taxable simply by virtue of these entities</w:t>
      </w:r>
      <w:r w:rsidR="00271B40" w:rsidRPr="00DF0819">
        <w:rPr>
          <w:rFonts w:ascii="Times New Roman" w:hAnsi="Times New Roman"/>
          <w:sz w:val="24"/>
          <w:szCs w:val="24"/>
        </w:rPr>
        <w:t>’</w:t>
      </w:r>
      <w:r w:rsidR="00957BB6" w:rsidRPr="00DF0819">
        <w:rPr>
          <w:rFonts w:ascii="Times New Roman" w:hAnsi="Times New Roman"/>
          <w:sz w:val="24"/>
          <w:szCs w:val="24"/>
        </w:rPr>
        <w:t xml:space="preserve"> association to the development entity. </w:t>
      </w:r>
      <w:r w:rsidRPr="00DF0819">
        <w:rPr>
          <w:rFonts w:ascii="Times New Roman" w:hAnsi="Times New Roman"/>
          <w:sz w:val="24"/>
          <w:szCs w:val="24"/>
        </w:rPr>
        <w:t xml:space="preserve"> </w:t>
      </w:r>
    </w:p>
    <w:p w:rsidR="008D6CD0" w:rsidRPr="00DF0819" w:rsidRDefault="008D6CD0" w:rsidP="008D6CD0">
      <w:pPr>
        <w:spacing w:after="0" w:line="240" w:lineRule="auto"/>
        <w:jc w:val="both"/>
        <w:rPr>
          <w:rFonts w:ascii="Times New Roman" w:hAnsi="Times New Roman"/>
          <w:sz w:val="24"/>
          <w:szCs w:val="24"/>
        </w:rPr>
      </w:pPr>
    </w:p>
    <w:p w:rsidR="008D6CD0" w:rsidRPr="00DF0819" w:rsidRDefault="00795878" w:rsidP="008D6CD0">
      <w:pPr>
        <w:spacing w:after="0" w:line="240" w:lineRule="auto"/>
        <w:jc w:val="both"/>
        <w:rPr>
          <w:rFonts w:ascii="Times New Roman" w:hAnsi="Times New Roman"/>
          <w:i/>
          <w:sz w:val="24"/>
          <w:szCs w:val="24"/>
        </w:rPr>
      </w:pPr>
      <w:r w:rsidRPr="00DF0819">
        <w:rPr>
          <w:rFonts w:ascii="Times New Roman" w:hAnsi="Times New Roman"/>
          <w:i/>
          <w:sz w:val="24"/>
          <w:szCs w:val="24"/>
        </w:rPr>
        <w:t>Overreach in the context of A</w:t>
      </w:r>
      <w:r w:rsidR="006219C2" w:rsidRPr="00DF0819">
        <w:rPr>
          <w:rFonts w:ascii="Times New Roman" w:hAnsi="Times New Roman"/>
          <w:i/>
          <w:sz w:val="24"/>
          <w:szCs w:val="24"/>
        </w:rPr>
        <w:t xml:space="preserve">uckland </w:t>
      </w:r>
      <w:r w:rsidRPr="00DF0819">
        <w:rPr>
          <w:rFonts w:ascii="Times New Roman" w:hAnsi="Times New Roman"/>
          <w:i/>
          <w:sz w:val="24"/>
          <w:szCs w:val="24"/>
        </w:rPr>
        <w:t>C</w:t>
      </w:r>
      <w:r w:rsidR="006219C2" w:rsidRPr="00DF0819">
        <w:rPr>
          <w:rFonts w:ascii="Times New Roman" w:hAnsi="Times New Roman"/>
          <w:i/>
          <w:sz w:val="24"/>
          <w:szCs w:val="24"/>
        </w:rPr>
        <w:t>ouncil</w:t>
      </w:r>
    </w:p>
    <w:p w:rsidR="00795878" w:rsidRPr="00DF0819" w:rsidRDefault="00795878" w:rsidP="008D6CD0">
      <w:pPr>
        <w:spacing w:after="0" w:line="240" w:lineRule="auto"/>
        <w:jc w:val="both"/>
        <w:rPr>
          <w:rFonts w:ascii="Times New Roman" w:hAnsi="Times New Roman"/>
          <w:sz w:val="24"/>
          <w:szCs w:val="24"/>
        </w:rPr>
      </w:pPr>
    </w:p>
    <w:p w:rsidR="00795878" w:rsidRPr="00DF0819" w:rsidRDefault="00795878" w:rsidP="008D6CD0">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A27EC3" w:rsidRPr="00DF0819">
        <w:rPr>
          <w:rFonts w:ascii="Times New Roman" w:hAnsi="Times New Roman"/>
          <w:sz w:val="24"/>
          <w:szCs w:val="24"/>
        </w:rPr>
        <w:t xml:space="preserve">The tainting rules are overreaching by taxing capital account land that is genuinely used in the business of AC’s subsidiaries.  </w:t>
      </w:r>
      <w:r w:rsidR="00957BB6" w:rsidRPr="00DF0819">
        <w:rPr>
          <w:rFonts w:ascii="Times New Roman" w:hAnsi="Times New Roman"/>
          <w:sz w:val="24"/>
          <w:szCs w:val="24"/>
        </w:rPr>
        <w:t>The tainting rules were introduced to prevent avoidance, however i</w:t>
      </w:r>
      <w:r w:rsidR="00A27EC3" w:rsidRPr="00DF0819">
        <w:rPr>
          <w:rFonts w:ascii="Times New Roman" w:hAnsi="Times New Roman"/>
          <w:sz w:val="24"/>
          <w:szCs w:val="24"/>
        </w:rPr>
        <w:t>t is clear that the land held by the subsidiaries is not held in order to avoid tax for DA, because:</w:t>
      </w:r>
    </w:p>
    <w:p w:rsidR="00795878" w:rsidRPr="00DF0819" w:rsidRDefault="00795878" w:rsidP="00795878">
      <w:pPr>
        <w:spacing w:after="0" w:line="240" w:lineRule="auto"/>
        <w:jc w:val="both"/>
        <w:rPr>
          <w:rFonts w:ascii="Times New Roman" w:hAnsi="Times New Roman"/>
          <w:sz w:val="24"/>
          <w:szCs w:val="24"/>
        </w:rPr>
      </w:pPr>
    </w:p>
    <w:p w:rsidR="00A27EC3" w:rsidRPr="00DF0819" w:rsidRDefault="00A27EC3" w:rsidP="0056241C">
      <w:pPr>
        <w:pStyle w:val="ListParagraph"/>
        <w:numPr>
          <w:ilvl w:val="0"/>
          <w:numId w:val="17"/>
        </w:numPr>
        <w:rPr>
          <w:rFonts w:ascii="Times New Roman" w:hAnsi="Times New Roman"/>
          <w:sz w:val="24"/>
          <w:szCs w:val="24"/>
        </w:rPr>
      </w:pPr>
      <w:r w:rsidRPr="00DF0819">
        <w:rPr>
          <w:rFonts w:ascii="Times New Roman" w:hAnsi="Times New Roman"/>
          <w:sz w:val="24"/>
          <w:szCs w:val="24"/>
        </w:rPr>
        <w:t>The subsidiaries of AC are holding land necessary for their operations to ensure that they are individually accountable for its use and able to more easily make commercial decisions in relation to the land;</w:t>
      </w:r>
    </w:p>
    <w:p w:rsidR="003D3C18" w:rsidRPr="00DF0819" w:rsidRDefault="003D3C18" w:rsidP="0056241C">
      <w:pPr>
        <w:pStyle w:val="ListParagraph"/>
        <w:rPr>
          <w:rFonts w:ascii="Times New Roman" w:hAnsi="Times New Roman"/>
          <w:sz w:val="24"/>
          <w:szCs w:val="24"/>
        </w:rPr>
      </w:pPr>
    </w:p>
    <w:p w:rsidR="00795878" w:rsidRPr="00DF0819" w:rsidRDefault="00A27EC3" w:rsidP="0056241C">
      <w:pPr>
        <w:pStyle w:val="ListParagraph"/>
        <w:numPr>
          <w:ilvl w:val="0"/>
          <w:numId w:val="17"/>
        </w:numPr>
        <w:rPr>
          <w:rFonts w:ascii="Times New Roman" w:hAnsi="Times New Roman"/>
          <w:sz w:val="24"/>
          <w:szCs w:val="24"/>
        </w:rPr>
      </w:pPr>
      <w:r w:rsidRPr="00DF0819">
        <w:rPr>
          <w:rFonts w:ascii="Times New Roman" w:hAnsi="Times New Roman"/>
          <w:sz w:val="24"/>
          <w:szCs w:val="24"/>
        </w:rPr>
        <w:t>They have held land prior to any entity in the group being considered a developer;</w:t>
      </w:r>
    </w:p>
    <w:p w:rsidR="003D3C18" w:rsidRPr="00DF0819" w:rsidRDefault="003D3C18" w:rsidP="0056241C">
      <w:pPr>
        <w:pStyle w:val="ListParagraph"/>
        <w:rPr>
          <w:rFonts w:ascii="Times New Roman" w:hAnsi="Times New Roman"/>
          <w:sz w:val="24"/>
          <w:szCs w:val="24"/>
        </w:rPr>
      </w:pPr>
    </w:p>
    <w:p w:rsidR="00BE7733" w:rsidRPr="00DF0819" w:rsidRDefault="00A27EC3" w:rsidP="0056241C">
      <w:pPr>
        <w:pStyle w:val="ListParagraph"/>
        <w:numPr>
          <w:ilvl w:val="0"/>
          <w:numId w:val="17"/>
        </w:numPr>
        <w:rPr>
          <w:rFonts w:ascii="Times New Roman" w:hAnsi="Times New Roman"/>
          <w:sz w:val="24"/>
          <w:szCs w:val="24"/>
        </w:rPr>
      </w:pPr>
      <w:r w:rsidRPr="00DF0819">
        <w:rPr>
          <w:rFonts w:ascii="Times New Roman" w:hAnsi="Times New Roman"/>
          <w:sz w:val="24"/>
          <w:szCs w:val="24"/>
        </w:rPr>
        <w:t>If the AC group were intending to avoid tax, it would not develop land in a taxable entity such as DA, nor would it hold land in its taxable subsidiaries.  Instead, AC would undertake the development itself and lease all necessary land to its subsidiaries.  This would have no tax effect, as AC is exempt;</w:t>
      </w:r>
    </w:p>
    <w:p w:rsidR="00BE7733" w:rsidRPr="00DF0819" w:rsidRDefault="00BE7733" w:rsidP="0056241C">
      <w:pPr>
        <w:pStyle w:val="ListParagraph"/>
        <w:rPr>
          <w:rFonts w:ascii="Times New Roman" w:hAnsi="Times New Roman"/>
          <w:sz w:val="24"/>
          <w:szCs w:val="24"/>
        </w:rPr>
      </w:pPr>
    </w:p>
    <w:p w:rsidR="00A27EC3" w:rsidRPr="00DF0819" w:rsidRDefault="00A27EC3" w:rsidP="00A27EC3">
      <w:pPr>
        <w:pStyle w:val="ListParagraph"/>
        <w:numPr>
          <w:ilvl w:val="0"/>
          <w:numId w:val="17"/>
        </w:numPr>
        <w:rPr>
          <w:rFonts w:ascii="Times New Roman" w:hAnsi="Times New Roman"/>
          <w:sz w:val="24"/>
          <w:szCs w:val="24"/>
        </w:rPr>
      </w:pPr>
      <w:r w:rsidRPr="00DF0819">
        <w:rPr>
          <w:rFonts w:ascii="Times New Roman" w:hAnsi="Times New Roman"/>
          <w:sz w:val="24"/>
          <w:szCs w:val="24"/>
        </w:rPr>
        <w:t>The subsidiaries of AC are operated independently of each other, with distinct businesses and objectives.  They are so independent that each subsidiary has its own separate board and makes decisions without reference to AC or the other subsidiaries.  Therefore, any land held by a subsidiary is likely to be unrelated to the development activities of DA.</w:t>
      </w:r>
    </w:p>
    <w:p w:rsidR="008D6CD0" w:rsidRPr="00DF0819" w:rsidRDefault="008D6CD0" w:rsidP="008D6CD0">
      <w:pPr>
        <w:spacing w:after="0" w:line="240" w:lineRule="auto"/>
        <w:jc w:val="both"/>
        <w:rPr>
          <w:rFonts w:ascii="Times New Roman" w:hAnsi="Times New Roman"/>
          <w:sz w:val="24"/>
          <w:szCs w:val="24"/>
        </w:rPr>
      </w:pPr>
    </w:p>
    <w:p w:rsidR="008D6CD0" w:rsidRPr="00DF0819" w:rsidRDefault="008D6CD0" w:rsidP="008D6CD0">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Some of the land hel</w:t>
      </w:r>
      <w:r w:rsidR="006219C2" w:rsidRPr="00DF0819">
        <w:rPr>
          <w:rFonts w:ascii="Times New Roman" w:hAnsi="Times New Roman"/>
          <w:sz w:val="24"/>
          <w:szCs w:val="24"/>
        </w:rPr>
        <w:t>d</w:t>
      </w:r>
      <w:r w:rsidRPr="00DF0819">
        <w:rPr>
          <w:rFonts w:ascii="Times New Roman" w:hAnsi="Times New Roman"/>
          <w:sz w:val="24"/>
          <w:szCs w:val="24"/>
        </w:rPr>
        <w:t xml:space="preserve"> by the council group may fall under the business premises exemption in CB 19.  However, we have been made aware of numerous examples of land that may not fall within the exemption, resulting in a potential tax liability of multi-million dollar value.</w:t>
      </w:r>
    </w:p>
    <w:p w:rsidR="008D6CD0" w:rsidRPr="00DF0819" w:rsidRDefault="008D6CD0" w:rsidP="008D6CD0">
      <w:pPr>
        <w:spacing w:after="0" w:line="240" w:lineRule="auto"/>
        <w:jc w:val="both"/>
        <w:rPr>
          <w:rFonts w:ascii="Times New Roman" w:hAnsi="Times New Roman"/>
          <w:sz w:val="24"/>
          <w:szCs w:val="24"/>
        </w:rPr>
      </w:pPr>
    </w:p>
    <w:p w:rsidR="008D6CD0" w:rsidRPr="00DF0819" w:rsidRDefault="008D6CD0" w:rsidP="008D6CD0">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In order </w:t>
      </w:r>
      <w:r w:rsidR="00A366CB" w:rsidRPr="00DF0819">
        <w:rPr>
          <w:rFonts w:ascii="Times New Roman" w:hAnsi="Times New Roman"/>
          <w:sz w:val="24"/>
          <w:szCs w:val="24"/>
        </w:rPr>
        <w:t xml:space="preserve">for DA to </w:t>
      </w:r>
      <w:proofErr w:type="gramStart"/>
      <w:r w:rsidRPr="00DF0819">
        <w:rPr>
          <w:rFonts w:ascii="Times New Roman" w:hAnsi="Times New Roman"/>
          <w:sz w:val="24"/>
          <w:szCs w:val="24"/>
        </w:rPr>
        <w:t>proceed</w:t>
      </w:r>
      <w:proofErr w:type="gramEnd"/>
      <w:r w:rsidRPr="00DF0819">
        <w:rPr>
          <w:rFonts w:ascii="Times New Roman" w:hAnsi="Times New Roman"/>
          <w:sz w:val="24"/>
          <w:szCs w:val="24"/>
        </w:rPr>
        <w:t xml:space="preserve"> with its development activities with any certainty</w:t>
      </w:r>
      <w:r w:rsidR="00A366CB" w:rsidRPr="00DF0819">
        <w:rPr>
          <w:rFonts w:ascii="Times New Roman" w:hAnsi="Times New Roman"/>
          <w:sz w:val="24"/>
          <w:szCs w:val="24"/>
        </w:rPr>
        <w:t xml:space="preserve"> about the tax implications for the AC group</w:t>
      </w:r>
      <w:r w:rsidRPr="00DF0819">
        <w:rPr>
          <w:rFonts w:ascii="Times New Roman" w:hAnsi="Times New Roman"/>
          <w:sz w:val="24"/>
          <w:szCs w:val="24"/>
        </w:rPr>
        <w:t>, AC</w:t>
      </w:r>
      <w:r w:rsidR="00A366CB" w:rsidRPr="00DF0819">
        <w:rPr>
          <w:rFonts w:ascii="Times New Roman" w:hAnsi="Times New Roman"/>
          <w:sz w:val="24"/>
          <w:szCs w:val="24"/>
        </w:rPr>
        <w:t>’s subsidiaries</w:t>
      </w:r>
      <w:r w:rsidRPr="00DF0819">
        <w:rPr>
          <w:rFonts w:ascii="Times New Roman" w:hAnsi="Times New Roman"/>
          <w:sz w:val="24"/>
          <w:szCs w:val="24"/>
        </w:rPr>
        <w:t xml:space="preserve"> would need to seek a binding ruling on each individual premises that is on the borderline of the exemption.  This would have significant compliance costs and delay essential developments.  Even then, capital account land that does not fall within the exemption could still be tainted.</w:t>
      </w:r>
    </w:p>
    <w:p w:rsidR="008D6CD0" w:rsidRPr="00DF0819" w:rsidRDefault="008D6CD0" w:rsidP="008D6CD0">
      <w:pPr>
        <w:spacing w:after="0" w:line="240" w:lineRule="auto"/>
        <w:jc w:val="both"/>
        <w:rPr>
          <w:rFonts w:ascii="Times New Roman" w:hAnsi="Times New Roman"/>
          <w:sz w:val="24"/>
          <w:szCs w:val="24"/>
        </w:rPr>
      </w:pPr>
    </w:p>
    <w:p w:rsidR="008D6CD0" w:rsidRPr="00DF0819" w:rsidRDefault="008D6CD0"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AC </w:t>
      </w:r>
      <w:r w:rsidR="00795878" w:rsidRPr="00DF0819">
        <w:rPr>
          <w:rFonts w:ascii="Times New Roman" w:hAnsi="Times New Roman"/>
          <w:sz w:val="24"/>
          <w:szCs w:val="24"/>
        </w:rPr>
        <w:t>has</w:t>
      </w:r>
      <w:r w:rsidRPr="00DF0819">
        <w:rPr>
          <w:rFonts w:ascii="Times New Roman" w:hAnsi="Times New Roman"/>
          <w:sz w:val="24"/>
          <w:szCs w:val="24"/>
        </w:rPr>
        <w:t xml:space="preserve"> suggested that assurance that an amendment will be made</w:t>
      </w:r>
      <w:r w:rsidR="003D3C18" w:rsidRPr="00DF0819">
        <w:rPr>
          <w:rFonts w:ascii="Times New Roman" w:hAnsi="Times New Roman"/>
          <w:sz w:val="24"/>
          <w:szCs w:val="24"/>
        </w:rPr>
        <w:t xml:space="preserve"> to</w:t>
      </w:r>
      <w:r w:rsidRPr="00DF0819">
        <w:rPr>
          <w:rFonts w:ascii="Times New Roman" w:hAnsi="Times New Roman"/>
          <w:sz w:val="24"/>
          <w:szCs w:val="24"/>
        </w:rPr>
        <w:t xml:space="preserve"> resolve this issue should be provided as soon as possible so that </w:t>
      </w:r>
      <w:r w:rsidR="00A366CB" w:rsidRPr="00DF0819">
        <w:rPr>
          <w:rFonts w:ascii="Times New Roman" w:hAnsi="Times New Roman"/>
          <w:sz w:val="24"/>
          <w:szCs w:val="24"/>
        </w:rPr>
        <w:t>DA</w:t>
      </w:r>
      <w:r w:rsidRPr="00DF0819">
        <w:rPr>
          <w:rFonts w:ascii="Times New Roman" w:hAnsi="Times New Roman"/>
          <w:sz w:val="24"/>
          <w:szCs w:val="24"/>
        </w:rPr>
        <w:t xml:space="preserve"> can undertake its development activities w</w:t>
      </w:r>
      <w:r w:rsidR="00146FDE" w:rsidRPr="00DF0819">
        <w:rPr>
          <w:rFonts w:ascii="Times New Roman" w:hAnsi="Times New Roman"/>
          <w:sz w:val="24"/>
          <w:szCs w:val="24"/>
        </w:rPr>
        <w:t>ith certainty of tax treatment.</w:t>
      </w:r>
    </w:p>
    <w:p w:rsidR="00763C53" w:rsidRPr="00DF0819" w:rsidRDefault="00763C53" w:rsidP="00001136">
      <w:pPr>
        <w:spacing w:after="0" w:line="240" w:lineRule="auto"/>
        <w:jc w:val="both"/>
        <w:rPr>
          <w:rFonts w:ascii="Times New Roman" w:hAnsi="Times New Roman"/>
          <w:sz w:val="24"/>
          <w:szCs w:val="24"/>
        </w:rPr>
      </w:pPr>
    </w:p>
    <w:p w:rsidR="003A1870" w:rsidRPr="00DF0819" w:rsidRDefault="00654493" w:rsidP="0071607C">
      <w:pPr>
        <w:spacing w:after="0" w:line="240" w:lineRule="auto"/>
        <w:jc w:val="both"/>
        <w:rPr>
          <w:rFonts w:ascii="Times New Roman" w:hAnsi="Times New Roman"/>
          <w:b/>
          <w:sz w:val="24"/>
          <w:szCs w:val="24"/>
        </w:rPr>
      </w:pPr>
      <w:r w:rsidRPr="00DF0819">
        <w:rPr>
          <w:rFonts w:ascii="Times New Roman" w:hAnsi="Times New Roman"/>
          <w:b/>
          <w:sz w:val="24"/>
          <w:szCs w:val="24"/>
        </w:rPr>
        <w:t>Consequences arising from the rules</w:t>
      </w:r>
    </w:p>
    <w:p w:rsidR="003A1870" w:rsidRPr="00DF0819" w:rsidRDefault="003A1870" w:rsidP="0071607C">
      <w:pPr>
        <w:spacing w:after="0" w:line="240" w:lineRule="auto"/>
        <w:jc w:val="both"/>
        <w:rPr>
          <w:rFonts w:ascii="Times New Roman" w:hAnsi="Times New Roman"/>
          <w:sz w:val="24"/>
          <w:szCs w:val="24"/>
        </w:rPr>
      </w:pPr>
    </w:p>
    <w:p w:rsidR="00BE7733" w:rsidRPr="00DF0819" w:rsidRDefault="00654493" w:rsidP="0071607C">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BE7733" w:rsidRPr="00DF0819">
        <w:rPr>
          <w:rFonts w:ascii="Times New Roman" w:hAnsi="Times New Roman"/>
          <w:sz w:val="24"/>
          <w:szCs w:val="24"/>
        </w:rPr>
        <w:t>The tainting rules distort the decision making of businesses and result in excessive compliance costs.  The extent of these consequences is described below in the context of Auckland Council.</w:t>
      </w:r>
    </w:p>
    <w:p w:rsidR="00763C53" w:rsidRPr="00DF0819" w:rsidRDefault="00763C53" w:rsidP="0071607C">
      <w:pPr>
        <w:spacing w:after="0" w:line="240" w:lineRule="auto"/>
        <w:jc w:val="both"/>
        <w:rPr>
          <w:rFonts w:ascii="Times New Roman" w:hAnsi="Times New Roman"/>
          <w:sz w:val="24"/>
          <w:szCs w:val="24"/>
        </w:rPr>
      </w:pPr>
    </w:p>
    <w:p w:rsidR="00FC0F43" w:rsidRPr="00DF0819" w:rsidRDefault="00FC0F43" w:rsidP="0071607C">
      <w:pPr>
        <w:spacing w:after="0" w:line="240" w:lineRule="auto"/>
        <w:jc w:val="both"/>
        <w:rPr>
          <w:rFonts w:ascii="Times New Roman" w:hAnsi="Times New Roman"/>
          <w:b/>
          <w:i/>
          <w:sz w:val="24"/>
          <w:szCs w:val="24"/>
        </w:rPr>
      </w:pPr>
      <w:r w:rsidRPr="00DF0819">
        <w:rPr>
          <w:rFonts w:ascii="Times New Roman" w:hAnsi="Times New Roman"/>
          <w:b/>
          <w:i/>
          <w:sz w:val="24"/>
          <w:szCs w:val="24"/>
        </w:rPr>
        <w:t>Distortions to decision making</w:t>
      </w:r>
    </w:p>
    <w:p w:rsidR="00A903E2" w:rsidRPr="00DF0819" w:rsidRDefault="00A903E2" w:rsidP="0071607C">
      <w:pPr>
        <w:spacing w:after="0" w:line="240" w:lineRule="auto"/>
        <w:jc w:val="both"/>
        <w:rPr>
          <w:rFonts w:ascii="Times New Roman" w:hAnsi="Times New Roman"/>
          <w:sz w:val="24"/>
          <w:szCs w:val="24"/>
        </w:rPr>
      </w:pPr>
    </w:p>
    <w:p w:rsidR="00D743FD" w:rsidRPr="00DF0819" w:rsidRDefault="0072052C" w:rsidP="0071607C">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In the past, the AC group has specifically restricted the operations of its subsidiaries to prevent them from being considered land developers due to the tainting implications.</w:t>
      </w:r>
    </w:p>
    <w:p w:rsidR="00654493" w:rsidRPr="00DF0819" w:rsidRDefault="00654493" w:rsidP="0071607C">
      <w:pPr>
        <w:spacing w:after="0" w:line="240" w:lineRule="auto"/>
        <w:jc w:val="both"/>
        <w:rPr>
          <w:rFonts w:ascii="Times New Roman" w:hAnsi="Times New Roman"/>
          <w:sz w:val="24"/>
          <w:szCs w:val="24"/>
        </w:rPr>
      </w:pPr>
      <w:r w:rsidRPr="00DF0819">
        <w:rPr>
          <w:rFonts w:ascii="Times New Roman" w:hAnsi="Times New Roman"/>
          <w:sz w:val="24"/>
          <w:szCs w:val="24"/>
        </w:rPr>
        <w:t xml:space="preserve">  </w:t>
      </w:r>
    </w:p>
    <w:p w:rsidR="00CB6DE2" w:rsidRPr="00DF0819" w:rsidRDefault="00CB6DE2"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Following the formation of DA (which will be considered a developer) and without any legislative change to address the issue, the AC group may structure land holdings in a way that minimises the impact of the tainting rules even where </w:t>
      </w:r>
      <w:r w:rsidR="00B41C17" w:rsidRPr="00DF0819">
        <w:rPr>
          <w:rFonts w:ascii="Times New Roman" w:hAnsi="Times New Roman"/>
          <w:sz w:val="24"/>
          <w:szCs w:val="24"/>
        </w:rPr>
        <w:t xml:space="preserve">(ignoring tax) </w:t>
      </w:r>
      <w:r w:rsidRPr="00DF0819">
        <w:rPr>
          <w:rFonts w:ascii="Times New Roman" w:hAnsi="Times New Roman"/>
          <w:sz w:val="24"/>
          <w:szCs w:val="24"/>
        </w:rPr>
        <w:t xml:space="preserve">doing so does not make economic sense.  For example, if AC owns all group land and leases it back to the relevant subsidiaries it will not be taxable on any disposals. </w:t>
      </w:r>
      <w:r w:rsidR="00C44566" w:rsidRPr="00DF0819">
        <w:rPr>
          <w:rFonts w:ascii="Times New Roman" w:hAnsi="Times New Roman"/>
          <w:sz w:val="24"/>
          <w:szCs w:val="24"/>
        </w:rPr>
        <w:t xml:space="preserve"> </w:t>
      </w:r>
      <w:r w:rsidRPr="00DF0819">
        <w:rPr>
          <w:rFonts w:ascii="Times New Roman" w:hAnsi="Times New Roman"/>
          <w:sz w:val="24"/>
          <w:szCs w:val="24"/>
        </w:rPr>
        <w:t>The property would still be tainted, but there would be no tax effect, as AC is exempt from tax.  This type of structuring would not lead to good governance as AC subsidiaries would need approval from the council board in order to make commercial decisions in relation to land leased to them.</w:t>
      </w:r>
    </w:p>
    <w:p w:rsidR="006B13C0" w:rsidRPr="00DF0819" w:rsidRDefault="006B13C0" w:rsidP="00001136">
      <w:pPr>
        <w:spacing w:after="0" w:line="240" w:lineRule="auto"/>
        <w:jc w:val="both"/>
        <w:rPr>
          <w:rFonts w:ascii="Times New Roman" w:hAnsi="Times New Roman"/>
          <w:sz w:val="24"/>
          <w:szCs w:val="24"/>
        </w:rPr>
      </w:pPr>
    </w:p>
    <w:p w:rsidR="00CB6DE2" w:rsidRPr="00DF0819" w:rsidRDefault="00CB6DE2"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Even if this were not to occur, the tainting rules would affect business decisions in other ways – for example, a decision to keep or sell property could be dictated by tax rather than by what makes the most economic sense.  Furthermore, the AC group may refrain from undertaking certain activities because of the tax effect.</w:t>
      </w:r>
    </w:p>
    <w:p w:rsidR="006B13C0" w:rsidRPr="00DF0819" w:rsidRDefault="006B13C0" w:rsidP="00001136">
      <w:pPr>
        <w:spacing w:after="0" w:line="240" w:lineRule="auto"/>
        <w:jc w:val="both"/>
        <w:rPr>
          <w:rFonts w:ascii="Times New Roman" w:hAnsi="Times New Roman"/>
          <w:sz w:val="24"/>
          <w:szCs w:val="24"/>
        </w:rPr>
      </w:pPr>
    </w:p>
    <w:p w:rsidR="00C57CDE" w:rsidRPr="00DF0819" w:rsidRDefault="00CB6DE2"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Although taxes generally impose economic costs because they induce individuals to make decisions that they would not have made in absence of the tax, a principle of </w:t>
      </w:r>
      <w:r w:rsidR="00271B40" w:rsidRPr="00DF0819">
        <w:rPr>
          <w:rFonts w:ascii="Times New Roman" w:hAnsi="Times New Roman"/>
          <w:sz w:val="24"/>
          <w:szCs w:val="24"/>
        </w:rPr>
        <w:t>the Government’s</w:t>
      </w:r>
      <w:r w:rsidR="00AF05D2" w:rsidRPr="00DF0819">
        <w:rPr>
          <w:rFonts w:ascii="Times New Roman" w:hAnsi="Times New Roman"/>
          <w:sz w:val="24"/>
          <w:szCs w:val="24"/>
        </w:rPr>
        <w:t xml:space="preserve"> broad-base, low rate</w:t>
      </w:r>
      <w:r w:rsidR="00271B40" w:rsidRPr="00DF0819">
        <w:rPr>
          <w:rFonts w:ascii="Times New Roman" w:hAnsi="Times New Roman"/>
          <w:sz w:val="24"/>
          <w:szCs w:val="24"/>
        </w:rPr>
        <w:t xml:space="preserve"> </w:t>
      </w:r>
      <w:r w:rsidRPr="00DF0819">
        <w:rPr>
          <w:rFonts w:ascii="Times New Roman" w:hAnsi="Times New Roman"/>
          <w:sz w:val="24"/>
          <w:szCs w:val="24"/>
        </w:rPr>
        <w:t>tax policy</w:t>
      </w:r>
      <w:r w:rsidR="00271B40" w:rsidRPr="00DF0819">
        <w:rPr>
          <w:rFonts w:ascii="Times New Roman" w:hAnsi="Times New Roman"/>
          <w:sz w:val="24"/>
          <w:szCs w:val="24"/>
        </w:rPr>
        <w:t xml:space="preserve"> framework</w:t>
      </w:r>
      <w:r w:rsidRPr="00DF0819">
        <w:rPr>
          <w:rFonts w:ascii="Times New Roman" w:hAnsi="Times New Roman"/>
          <w:sz w:val="24"/>
          <w:szCs w:val="24"/>
        </w:rPr>
        <w:t xml:space="preserve"> is that tax should not, as far as possible, affect people’s decisions.</w:t>
      </w:r>
    </w:p>
    <w:p w:rsidR="006B13C0" w:rsidRPr="00DF0819" w:rsidRDefault="006B13C0" w:rsidP="0071607C">
      <w:pPr>
        <w:spacing w:after="0" w:line="240" w:lineRule="auto"/>
        <w:jc w:val="both"/>
        <w:rPr>
          <w:rFonts w:ascii="Times New Roman" w:hAnsi="Times New Roman"/>
          <w:sz w:val="24"/>
          <w:szCs w:val="24"/>
        </w:rPr>
      </w:pPr>
      <w:bookmarkStart w:id="12" w:name="_Toc244580364"/>
      <w:bookmarkStart w:id="13" w:name="_Toc244587040"/>
      <w:bookmarkStart w:id="14" w:name="_Toc244857274"/>
      <w:bookmarkStart w:id="15" w:name="_Toc244912539"/>
      <w:bookmarkStart w:id="16" w:name="_Toc244916996"/>
    </w:p>
    <w:p w:rsidR="00D825ED" w:rsidRDefault="00D825ED" w:rsidP="0071607C">
      <w:pPr>
        <w:spacing w:after="0" w:line="240" w:lineRule="auto"/>
        <w:jc w:val="both"/>
        <w:rPr>
          <w:rFonts w:ascii="Times New Roman" w:hAnsi="Times New Roman"/>
          <w:b/>
          <w:i/>
          <w:sz w:val="24"/>
          <w:szCs w:val="24"/>
        </w:rPr>
      </w:pPr>
    </w:p>
    <w:p w:rsidR="00CB6DE2" w:rsidRPr="00DF0819" w:rsidRDefault="00CB6DE2" w:rsidP="0071607C">
      <w:pPr>
        <w:spacing w:after="0" w:line="240" w:lineRule="auto"/>
        <w:jc w:val="both"/>
        <w:rPr>
          <w:rFonts w:ascii="Times New Roman" w:hAnsi="Times New Roman"/>
          <w:b/>
          <w:i/>
          <w:sz w:val="24"/>
          <w:szCs w:val="24"/>
        </w:rPr>
      </w:pPr>
      <w:r w:rsidRPr="00DF0819">
        <w:rPr>
          <w:rFonts w:ascii="Times New Roman" w:hAnsi="Times New Roman"/>
          <w:b/>
          <w:i/>
          <w:sz w:val="24"/>
          <w:szCs w:val="24"/>
        </w:rPr>
        <w:t>Excessive compliance costs</w:t>
      </w:r>
    </w:p>
    <w:p w:rsidR="006B13C0" w:rsidRPr="00DF0819" w:rsidRDefault="006B13C0" w:rsidP="0071607C">
      <w:pPr>
        <w:spacing w:after="0" w:line="240" w:lineRule="auto"/>
        <w:jc w:val="both"/>
        <w:rPr>
          <w:rFonts w:ascii="Times New Roman" w:hAnsi="Times New Roman"/>
          <w:sz w:val="24"/>
          <w:szCs w:val="24"/>
        </w:rPr>
      </w:pPr>
    </w:p>
    <w:p w:rsidR="00CB6DE2" w:rsidRPr="00DF0819" w:rsidRDefault="00CB6DE2" w:rsidP="0071607C">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In addition to affecting commercial decisions, the tainting rules as they currently operate increase compliance costs for AC.  AC is likely to continue to </w:t>
      </w:r>
      <w:r w:rsidR="00271B40" w:rsidRPr="00DF0819">
        <w:rPr>
          <w:rFonts w:ascii="Times New Roman" w:hAnsi="Times New Roman"/>
          <w:sz w:val="24"/>
          <w:szCs w:val="24"/>
        </w:rPr>
        <w:t xml:space="preserve">obtain </w:t>
      </w:r>
      <w:r w:rsidRPr="00DF0819">
        <w:rPr>
          <w:rFonts w:ascii="Times New Roman" w:hAnsi="Times New Roman"/>
          <w:sz w:val="24"/>
          <w:szCs w:val="24"/>
        </w:rPr>
        <w:t>expensive legal advice in order to mitigate the tax effects of the rules unless an amendment is made.  Furthermore, there is the added compliance cost of having to consider the impact that the transactions and activities undertaken by one subsidiary have on the tax position of the others. This is particularly burdensome given the autonomy and independence of the council subsidiaries.</w:t>
      </w:r>
    </w:p>
    <w:p w:rsidR="006B13C0" w:rsidRPr="00DF0819" w:rsidRDefault="006B13C0" w:rsidP="0071607C">
      <w:pPr>
        <w:spacing w:after="0" w:line="240" w:lineRule="auto"/>
        <w:jc w:val="both"/>
        <w:rPr>
          <w:rFonts w:ascii="Times New Roman" w:hAnsi="Times New Roman"/>
          <w:sz w:val="24"/>
          <w:szCs w:val="24"/>
        </w:rPr>
      </w:pPr>
    </w:p>
    <w:p w:rsidR="00CB6DE2" w:rsidRPr="00DF0819" w:rsidRDefault="00CB6DE2" w:rsidP="0071607C">
      <w:pPr>
        <w:spacing w:after="0" w:line="240" w:lineRule="auto"/>
        <w:jc w:val="both"/>
        <w:rPr>
          <w:rFonts w:ascii="Times New Roman" w:hAnsi="Times New Roman"/>
          <w:b/>
          <w:i/>
          <w:sz w:val="24"/>
          <w:szCs w:val="24"/>
        </w:rPr>
      </w:pPr>
      <w:r w:rsidRPr="00DF0819">
        <w:rPr>
          <w:rFonts w:ascii="Times New Roman" w:hAnsi="Times New Roman"/>
          <w:b/>
          <w:i/>
          <w:sz w:val="24"/>
          <w:szCs w:val="24"/>
        </w:rPr>
        <w:t>Wider implications</w:t>
      </w:r>
    </w:p>
    <w:p w:rsidR="006B13C0" w:rsidRPr="00DF0819" w:rsidRDefault="006B13C0" w:rsidP="00001136">
      <w:pPr>
        <w:spacing w:after="0" w:line="240" w:lineRule="auto"/>
        <w:jc w:val="both"/>
        <w:rPr>
          <w:rFonts w:ascii="Times New Roman" w:hAnsi="Times New Roman"/>
          <w:sz w:val="24"/>
          <w:szCs w:val="24"/>
        </w:rPr>
      </w:pPr>
    </w:p>
    <w:p w:rsidR="006B13C0" w:rsidRPr="00DF0819" w:rsidRDefault="00CB6DE2" w:rsidP="00001136">
      <w:pPr>
        <w:spacing w:after="0" w:line="240" w:lineRule="auto"/>
        <w:jc w:val="both"/>
        <w:rPr>
          <w:rFonts w:ascii="Times New Roman" w:hAnsi="Times New Roman"/>
          <w:color w:val="FF0000"/>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We consider that these impacts apply to any situation where the land tainting rules tax capital account land genuinely used in business by a person associated </w:t>
      </w:r>
      <w:r w:rsidR="00146FDE" w:rsidRPr="00DF0819">
        <w:rPr>
          <w:rFonts w:ascii="Times New Roman" w:hAnsi="Times New Roman"/>
          <w:sz w:val="24"/>
          <w:szCs w:val="24"/>
        </w:rPr>
        <w:t xml:space="preserve">with </w:t>
      </w:r>
      <w:r w:rsidRPr="00DF0819">
        <w:rPr>
          <w:rFonts w:ascii="Times New Roman" w:hAnsi="Times New Roman"/>
          <w:sz w:val="24"/>
          <w:szCs w:val="24"/>
        </w:rPr>
        <w:t>a builder or developer.  This mainly occurs in council groups and large corporate structures where many different businesses (as long as one of them involves property development</w:t>
      </w:r>
      <w:r w:rsidR="006B13C0" w:rsidRPr="00DF0819">
        <w:rPr>
          <w:rFonts w:ascii="Times New Roman" w:hAnsi="Times New Roman"/>
          <w:sz w:val="24"/>
          <w:szCs w:val="24"/>
        </w:rPr>
        <w:t>) are owned by the same parent.</w:t>
      </w:r>
      <w:r w:rsidR="00CD087A" w:rsidRPr="00DF0819">
        <w:rPr>
          <w:rFonts w:ascii="Times New Roman" w:hAnsi="Times New Roman"/>
          <w:sz w:val="24"/>
          <w:szCs w:val="24"/>
        </w:rPr>
        <w:t xml:space="preserve">  DIA have informed us of other council groups who are negatively impacted by the tainting rul</w:t>
      </w:r>
      <w:r w:rsidR="00AF05D2" w:rsidRPr="00DF0819">
        <w:rPr>
          <w:rFonts w:ascii="Times New Roman" w:hAnsi="Times New Roman"/>
          <w:sz w:val="24"/>
          <w:szCs w:val="24"/>
        </w:rPr>
        <w:t xml:space="preserve">es; we </w:t>
      </w:r>
      <w:r w:rsidR="00CD087A" w:rsidRPr="00DF0819">
        <w:rPr>
          <w:rFonts w:ascii="Times New Roman" w:hAnsi="Times New Roman"/>
          <w:sz w:val="24"/>
          <w:szCs w:val="24"/>
        </w:rPr>
        <w:t>have no measure of the scale of the problem in relation to the private sector</w:t>
      </w:r>
      <w:r w:rsidR="00271B40" w:rsidRPr="00DF0819">
        <w:rPr>
          <w:rFonts w:ascii="Times New Roman" w:hAnsi="Times New Roman"/>
          <w:sz w:val="24"/>
          <w:szCs w:val="24"/>
        </w:rPr>
        <w:t>, although</w:t>
      </w:r>
      <w:r w:rsidR="00AF05D2" w:rsidRPr="00DF0819">
        <w:rPr>
          <w:rFonts w:ascii="Times New Roman" w:hAnsi="Times New Roman"/>
          <w:sz w:val="24"/>
          <w:szCs w:val="24"/>
        </w:rPr>
        <w:t xml:space="preserve"> we</w:t>
      </w:r>
      <w:r w:rsidR="00271B40" w:rsidRPr="00DF0819">
        <w:rPr>
          <w:rFonts w:ascii="Times New Roman" w:hAnsi="Times New Roman"/>
          <w:sz w:val="24"/>
          <w:szCs w:val="24"/>
        </w:rPr>
        <w:t xml:space="preserve"> have received anecdotal evidence suggesting it is a problem.</w:t>
      </w:r>
    </w:p>
    <w:p w:rsidR="006B13C0" w:rsidRPr="00DF0819" w:rsidRDefault="006B13C0" w:rsidP="00001136">
      <w:pPr>
        <w:spacing w:after="0" w:line="240" w:lineRule="auto"/>
        <w:jc w:val="both"/>
        <w:rPr>
          <w:rFonts w:ascii="Times New Roman" w:hAnsi="Times New Roman"/>
          <w:sz w:val="24"/>
          <w:szCs w:val="24"/>
        </w:rPr>
      </w:pPr>
    </w:p>
    <w:p w:rsidR="000545DC" w:rsidRPr="00DF0819" w:rsidRDefault="00D943DD" w:rsidP="0071607C">
      <w:pPr>
        <w:spacing w:after="0" w:line="240" w:lineRule="auto"/>
        <w:jc w:val="both"/>
        <w:rPr>
          <w:rFonts w:ascii="Times New Roman" w:hAnsi="Times New Roman"/>
          <w:b/>
          <w:sz w:val="24"/>
          <w:szCs w:val="24"/>
        </w:rPr>
      </w:pPr>
      <w:r w:rsidRPr="00DF0819">
        <w:rPr>
          <w:rFonts w:ascii="Times New Roman" w:hAnsi="Times New Roman"/>
          <w:b/>
          <w:sz w:val="24"/>
          <w:szCs w:val="24"/>
        </w:rPr>
        <w:t>OBJECTIVES</w:t>
      </w:r>
      <w:bookmarkEnd w:id="12"/>
      <w:bookmarkEnd w:id="13"/>
      <w:bookmarkEnd w:id="14"/>
      <w:bookmarkEnd w:id="15"/>
      <w:bookmarkEnd w:id="16"/>
    </w:p>
    <w:p w:rsidR="006B13C0" w:rsidRPr="00DF0819" w:rsidRDefault="006B13C0" w:rsidP="0071607C">
      <w:pPr>
        <w:spacing w:after="0" w:line="240" w:lineRule="auto"/>
        <w:jc w:val="both"/>
        <w:rPr>
          <w:rFonts w:ascii="Times New Roman" w:hAnsi="Times New Roman"/>
          <w:sz w:val="24"/>
          <w:szCs w:val="24"/>
        </w:rPr>
      </w:pPr>
    </w:p>
    <w:p w:rsidR="00AF748C" w:rsidRPr="00DF0819" w:rsidRDefault="00AF748C" w:rsidP="0071607C">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The objectives against which the options are to be assessed are to:</w:t>
      </w:r>
    </w:p>
    <w:p w:rsidR="00AF748C" w:rsidRPr="00DF0819" w:rsidRDefault="00AF748C" w:rsidP="0071607C">
      <w:pPr>
        <w:spacing w:after="0" w:line="240" w:lineRule="auto"/>
        <w:jc w:val="both"/>
        <w:rPr>
          <w:rFonts w:ascii="Times New Roman" w:hAnsi="Times New Roman"/>
          <w:sz w:val="24"/>
          <w:szCs w:val="24"/>
        </w:rPr>
      </w:pPr>
    </w:p>
    <w:p w:rsidR="00AF748C" w:rsidRPr="00DF0819" w:rsidRDefault="00AF748C" w:rsidP="0071607C">
      <w:pPr>
        <w:spacing w:after="0" w:line="240" w:lineRule="auto"/>
        <w:jc w:val="both"/>
        <w:rPr>
          <w:rFonts w:ascii="Times New Roman" w:hAnsi="Times New Roman"/>
          <w:sz w:val="24"/>
          <w:szCs w:val="24"/>
        </w:rPr>
      </w:pPr>
      <w:r w:rsidRPr="00DF0819">
        <w:rPr>
          <w:rFonts w:ascii="Times New Roman" w:hAnsi="Times New Roman"/>
          <w:sz w:val="24"/>
          <w:szCs w:val="24"/>
        </w:rPr>
        <w:t>(a)</w:t>
      </w:r>
      <w:r w:rsidRPr="00DF0819">
        <w:rPr>
          <w:rFonts w:ascii="Times New Roman" w:hAnsi="Times New Roman"/>
          <w:sz w:val="24"/>
          <w:szCs w:val="24"/>
        </w:rPr>
        <w:tab/>
        <w:t>Remove tax impediments to Auckland</w:t>
      </w:r>
      <w:r w:rsidR="00DF70EB" w:rsidRPr="00DF0819">
        <w:rPr>
          <w:rFonts w:ascii="Times New Roman" w:hAnsi="Times New Roman"/>
          <w:sz w:val="24"/>
          <w:szCs w:val="24"/>
        </w:rPr>
        <w:t xml:space="preserve"> </w:t>
      </w:r>
      <w:r w:rsidR="00B41C17" w:rsidRPr="00DF0819">
        <w:rPr>
          <w:rFonts w:ascii="Times New Roman" w:hAnsi="Times New Roman"/>
          <w:sz w:val="24"/>
          <w:szCs w:val="24"/>
        </w:rPr>
        <w:t>C</w:t>
      </w:r>
      <w:r w:rsidR="00DF70EB" w:rsidRPr="00DF0819">
        <w:rPr>
          <w:rFonts w:ascii="Times New Roman" w:hAnsi="Times New Roman"/>
          <w:sz w:val="24"/>
          <w:szCs w:val="24"/>
        </w:rPr>
        <w:t>ouncil</w:t>
      </w:r>
      <w:r w:rsidRPr="00DF0819">
        <w:rPr>
          <w:rFonts w:ascii="Times New Roman" w:hAnsi="Times New Roman"/>
          <w:sz w:val="24"/>
          <w:szCs w:val="24"/>
        </w:rPr>
        <w:t>’s development and housing objectives;</w:t>
      </w:r>
    </w:p>
    <w:p w:rsidR="006B13C0" w:rsidRPr="00DF0819" w:rsidRDefault="006B13C0" w:rsidP="0071607C">
      <w:pPr>
        <w:spacing w:after="0" w:line="240" w:lineRule="auto"/>
        <w:jc w:val="both"/>
        <w:rPr>
          <w:rFonts w:ascii="Times New Roman" w:hAnsi="Times New Roman"/>
          <w:sz w:val="24"/>
          <w:szCs w:val="24"/>
        </w:rPr>
      </w:pPr>
    </w:p>
    <w:p w:rsidR="00AF748C" w:rsidRPr="00DF0819" w:rsidRDefault="00AF748C" w:rsidP="0071607C">
      <w:pPr>
        <w:spacing w:after="0" w:line="240" w:lineRule="auto"/>
        <w:jc w:val="both"/>
        <w:rPr>
          <w:rFonts w:ascii="Times New Roman" w:hAnsi="Times New Roman"/>
          <w:sz w:val="24"/>
          <w:szCs w:val="24"/>
        </w:rPr>
      </w:pPr>
      <w:r w:rsidRPr="00DF0819">
        <w:rPr>
          <w:rFonts w:ascii="Times New Roman" w:hAnsi="Times New Roman"/>
          <w:sz w:val="24"/>
          <w:szCs w:val="24"/>
        </w:rPr>
        <w:t>(b)</w:t>
      </w:r>
      <w:r w:rsidRPr="00DF0819">
        <w:rPr>
          <w:rFonts w:ascii="Times New Roman" w:hAnsi="Times New Roman"/>
          <w:sz w:val="24"/>
          <w:szCs w:val="24"/>
        </w:rPr>
        <w:tab/>
        <w:t>Improve the coherence of the tax system overall;</w:t>
      </w:r>
    </w:p>
    <w:p w:rsidR="006B13C0" w:rsidRPr="00DF0819" w:rsidRDefault="006B13C0" w:rsidP="0071607C">
      <w:pPr>
        <w:spacing w:after="0" w:line="240" w:lineRule="auto"/>
        <w:jc w:val="both"/>
        <w:rPr>
          <w:rFonts w:ascii="Times New Roman" w:hAnsi="Times New Roman"/>
          <w:sz w:val="24"/>
          <w:szCs w:val="24"/>
        </w:rPr>
      </w:pPr>
    </w:p>
    <w:p w:rsidR="00AF748C" w:rsidRPr="00DF0819" w:rsidRDefault="00AF748C" w:rsidP="0071607C">
      <w:pPr>
        <w:spacing w:after="0" w:line="240" w:lineRule="auto"/>
        <w:jc w:val="both"/>
        <w:rPr>
          <w:rFonts w:ascii="Times New Roman" w:hAnsi="Times New Roman"/>
          <w:sz w:val="24"/>
          <w:szCs w:val="24"/>
        </w:rPr>
      </w:pPr>
      <w:r w:rsidRPr="00DF0819">
        <w:rPr>
          <w:rFonts w:ascii="Times New Roman" w:hAnsi="Times New Roman"/>
          <w:sz w:val="24"/>
          <w:szCs w:val="24"/>
        </w:rPr>
        <w:t>(c)</w:t>
      </w:r>
      <w:r w:rsidRPr="00DF0819">
        <w:rPr>
          <w:rFonts w:ascii="Times New Roman" w:hAnsi="Times New Roman"/>
          <w:sz w:val="24"/>
          <w:szCs w:val="24"/>
        </w:rPr>
        <w:tab/>
        <w:t>Improve the equity of the tax system;</w:t>
      </w:r>
    </w:p>
    <w:p w:rsidR="006B13C0" w:rsidRPr="00DF0819" w:rsidRDefault="006B13C0" w:rsidP="0071607C">
      <w:pPr>
        <w:spacing w:after="0" w:line="240" w:lineRule="auto"/>
        <w:jc w:val="both"/>
        <w:rPr>
          <w:rFonts w:ascii="Times New Roman" w:hAnsi="Times New Roman"/>
          <w:sz w:val="24"/>
          <w:szCs w:val="24"/>
        </w:rPr>
      </w:pPr>
    </w:p>
    <w:p w:rsidR="003335E2" w:rsidRPr="00DF0819" w:rsidRDefault="00AF748C" w:rsidP="009B5A71">
      <w:pPr>
        <w:spacing w:after="0" w:line="240" w:lineRule="auto"/>
        <w:ind w:left="567" w:hanging="567"/>
        <w:jc w:val="both"/>
        <w:rPr>
          <w:rFonts w:ascii="Times New Roman" w:hAnsi="Times New Roman"/>
          <w:sz w:val="24"/>
          <w:szCs w:val="24"/>
        </w:rPr>
      </w:pPr>
      <w:r w:rsidRPr="00DF0819">
        <w:rPr>
          <w:rFonts w:ascii="Times New Roman" w:hAnsi="Times New Roman"/>
          <w:sz w:val="24"/>
          <w:szCs w:val="24"/>
        </w:rPr>
        <w:t>(</w:t>
      </w:r>
      <w:r w:rsidR="008E0516" w:rsidRPr="00DF0819">
        <w:rPr>
          <w:rFonts w:ascii="Times New Roman" w:hAnsi="Times New Roman"/>
          <w:sz w:val="24"/>
          <w:szCs w:val="24"/>
        </w:rPr>
        <w:t>d</w:t>
      </w:r>
      <w:r w:rsidRPr="00DF0819">
        <w:rPr>
          <w:rFonts w:ascii="Times New Roman" w:hAnsi="Times New Roman"/>
          <w:sz w:val="24"/>
          <w:szCs w:val="24"/>
        </w:rPr>
        <w:t>)</w:t>
      </w:r>
      <w:r w:rsidRPr="00DF0819">
        <w:rPr>
          <w:rFonts w:ascii="Times New Roman" w:hAnsi="Times New Roman"/>
          <w:sz w:val="24"/>
          <w:szCs w:val="24"/>
        </w:rPr>
        <w:tab/>
      </w:r>
      <w:r w:rsidR="00D45326" w:rsidRPr="00DF0819">
        <w:rPr>
          <w:rFonts w:ascii="Times New Roman" w:hAnsi="Times New Roman"/>
          <w:sz w:val="24"/>
          <w:szCs w:val="24"/>
        </w:rPr>
        <w:t>Improve the economic efficiency of the tax system and minimise deadweight costs as far as practicable</w:t>
      </w:r>
      <w:r w:rsidR="00401BD3" w:rsidRPr="00DF0819">
        <w:rPr>
          <w:rFonts w:ascii="Times New Roman" w:hAnsi="Times New Roman"/>
          <w:sz w:val="24"/>
          <w:szCs w:val="24"/>
        </w:rPr>
        <w:t>; and</w:t>
      </w:r>
    </w:p>
    <w:p w:rsidR="00401BD3" w:rsidRPr="00DF0819" w:rsidRDefault="00401BD3" w:rsidP="009B5A71">
      <w:pPr>
        <w:spacing w:after="0" w:line="240" w:lineRule="auto"/>
        <w:ind w:left="567" w:hanging="567"/>
        <w:jc w:val="both"/>
        <w:rPr>
          <w:rFonts w:ascii="Times New Roman" w:hAnsi="Times New Roman"/>
          <w:sz w:val="24"/>
          <w:szCs w:val="24"/>
        </w:rPr>
      </w:pPr>
    </w:p>
    <w:p w:rsidR="006B13C0" w:rsidRPr="00DF0819" w:rsidRDefault="00401BD3" w:rsidP="00001136">
      <w:pPr>
        <w:spacing w:after="0" w:line="240" w:lineRule="auto"/>
        <w:jc w:val="both"/>
        <w:rPr>
          <w:rFonts w:ascii="Times New Roman" w:hAnsi="Times New Roman"/>
          <w:sz w:val="24"/>
          <w:szCs w:val="24"/>
        </w:rPr>
      </w:pPr>
      <w:r w:rsidRPr="00DF0819">
        <w:rPr>
          <w:rFonts w:ascii="Times New Roman" w:hAnsi="Times New Roman"/>
          <w:sz w:val="24"/>
          <w:szCs w:val="24"/>
        </w:rPr>
        <w:t>(e)</w:t>
      </w:r>
      <w:r w:rsidRPr="00DF0819">
        <w:rPr>
          <w:rFonts w:ascii="Times New Roman" w:hAnsi="Times New Roman"/>
          <w:sz w:val="24"/>
          <w:szCs w:val="24"/>
        </w:rPr>
        <w:tab/>
        <w:t>Reduce compliance costs.</w:t>
      </w:r>
    </w:p>
    <w:p w:rsidR="000D5145" w:rsidRPr="00DF0819" w:rsidRDefault="000D5145" w:rsidP="00001136">
      <w:pPr>
        <w:spacing w:after="0" w:line="240" w:lineRule="auto"/>
        <w:jc w:val="both"/>
        <w:rPr>
          <w:rFonts w:ascii="Times New Roman" w:hAnsi="Times New Roman"/>
          <w:sz w:val="24"/>
          <w:szCs w:val="24"/>
        </w:rPr>
      </w:pPr>
    </w:p>
    <w:p w:rsidR="00742A75" w:rsidRPr="00DF0819" w:rsidRDefault="006B5DD1"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742A75" w:rsidRPr="00DF0819">
        <w:rPr>
          <w:rFonts w:ascii="Times New Roman" w:hAnsi="Times New Roman"/>
          <w:sz w:val="24"/>
          <w:szCs w:val="24"/>
        </w:rPr>
        <w:t>All objectives are weighted equally.</w:t>
      </w:r>
      <w:r w:rsidR="00146FDE" w:rsidRPr="00DF0819">
        <w:rPr>
          <w:rFonts w:ascii="Times New Roman" w:hAnsi="Times New Roman"/>
          <w:sz w:val="24"/>
          <w:szCs w:val="24"/>
        </w:rPr>
        <w:t xml:space="preserve">  </w:t>
      </w:r>
      <w:r w:rsidR="005B4DB2" w:rsidRPr="00DF0819">
        <w:rPr>
          <w:rFonts w:ascii="Times New Roman" w:hAnsi="Times New Roman"/>
          <w:sz w:val="24"/>
          <w:szCs w:val="24"/>
        </w:rPr>
        <w:t xml:space="preserve">There may be trade-offs amongst the various objectives.  For example, a </w:t>
      </w:r>
      <w:r w:rsidR="00146FDE" w:rsidRPr="00DF0819">
        <w:rPr>
          <w:rFonts w:ascii="Times New Roman" w:hAnsi="Times New Roman"/>
          <w:sz w:val="24"/>
          <w:szCs w:val="24"/>
        </w:rPr>
        <w:t xml:space="preserve">specific exemption for councils would best meet objective </w:t>
      </w:r>
      <w:r w:rsidR="00322B2A" w:rsidRPr="00DF0819">
        <w:rPr>
          <w:rFonts w:ascii="Times New Roman" w:hAnsi="Times New Roman"/>
          <w:sz w:val="24"/>
          <w:szCs w:val="24"/>
        </w:rPr>
        <w:t>(</w:t>
      </w:r>
      <w:r w:rsidR="00146FDE" w:rsidRPr="00DF0819">
        <w:rPr>
          <w:rFonts w:ascii="Times New Roman" w:hAnsi="Times New Roman"/>
          <w:sz w:val="24"/>
          <w:szCs w:val="24"/>
        </w:rPr>
        <w:t>a</w:t>
      </w:r>
      <w:r w:rsidR="00322B2A" w:rsidRPr="00DF0819">
        <w:rPr>
          <w:rFonts w:ascii="Times New Roman" w:hAnsi="Times New Roman"/>
          <w:sz w:val="24"/>
          <w:szCs w:val="24"/>
        </w:rPr>
        <w:t>)</w:t>
      </w:r>
      <w:r w:rsidR="00146FDE" w:rsidRPr="00DF0819">
        <w:rPr>
          <w:rFonts w:ascii="Times New Roman" w:hAnsi="Times New Roman"/>
          <w:sz w:val="24"/>
          <w:szCs w:val="24"/>
        </w:rPr>
        <w:t xml:space="preserve">, but would be </w:t>
      </w:r>
      <w:r w:rsidR="005B4DB2" w:rsidRPr="00DF0819">
        <w:rPr>
          <w:rFonts w:ascii="Times New Roman" w:hAnsi="Times New Roman"/>
          <w:sz w:val="24"/>
          <w:szCs w:val="24"/>
        </w:rPr>
        <w:t xml:space="preserve">inconsistent with objective (c) as it </w:t>
      </w:r>
      <w:r w:rsidR="00146FDE" w:rsidRPr="00DF0819">
        <w:rPr>
          <w:rFonts w:ascii="Times New Roman" w:hAnsi="Times New Roman"/>
          <w:sz w:val="24"/>
          <w:szCs w:val="24"/>
        </w:rPr>
        <w:t>provides preferential treatment to councils</w:t>
      </w:r>
      <w:r w:rsidR="005B4DB2" w:rsidRPr="00DF0819">
        <w:rPr>
          <w:rFonts w:ascii="Times New Roman" w:hAnsi="Times New Roman"/>
          <w:sz w:val="24"/>
          <w:szCs w:val="24"/>
        </w:rPr>
        <w:t xml:space="preserve"> over other entities</w:t>
      </w:r>
      <w:r w:rsidR="00146FDE" w:rsidRPr="00DF0819">
        <w:rPr>
          <w:rFonts w:ascii="Times New Roman" w:hAnsi="Times New Roman"/>
          <w:sz w:val="24"/>
          <w:szCs w:val="24"/>
        </w:rPr>
        <w:t>.</w:t>
      </w:r>
    </w:p>
    <w:p w:rsidR="00274FC3" w:rsidRPr="00DF0819" w:rsidRDefault="00274FC3" w:rsidP="00001136">
      <w:pPr>
        <w:spacing w:after="0" w:line="240" w:lineRule="auto"/>
        <w:jc w:val="both"/>
        <w:rPr>
          <w:rFonts w:ascii="Times New Roman" w:hAnsi="Times New Roman"/>
          <w:sz w:val="24"/>
          <w:szCs w:val="24"/>
        </w:rPr>
      </w:pPr>
    </w:p>
    <w:p w:rsidR="006B13C0" w:rsidRPr="00DF0819" w:rsidRDefault="00742A75"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781ABC" w:rsidRPr="00DF0819">
        <w:rPr>
          <w:rFonts w:ascii="Times New Roman" w:hAnsi="Times New Roman"/>
          <w:sz w:val="24"/>
          <w:szCs w:val="24"/>
        </w:rPr>
        <w:t xml:space="preserve">AC </w:t>
      </w:r>
      <w:r w:rsidR="00DF1BE0" w:rsidRPr="00DF0819">
        <w:rPr>
          <w:rFonts w:ascii="Times New Roman" w:hAnsi="Times New Roman"/>
          <w:sz w:val="24"/>
          <w:szCs w:val="24"/>
        </w:rPr>
        <w:t xml:space="preserve">seeks </w:t>
      </w:r>
      <w:r w:rsidR="00781ABC" w:rsidRPr="00DF0819">
        <w:rPr>
          <w:rFonts w:ascii="Times New Roman" w:hAnsi="Times New Roman"/>
          <w:sz w:val="24"/>
          <w:szCs w:val="24"/>
        </w:rPr>
        <w:t>assurance</w:t>
      </w:r>
      <w:r w:rsidR="00DF70EB" w:rsidRPr="00DF0819">
        <w:rPr>
          <w:rFonts w:ascii="Times New Roman" w:hAnsi="Times New Roman"/>
          <w:sz w:val="24"/>
          <w:szCs w:val="24"/>
        </w:rPr>
        <w:t xml:space="preserve"> as soon as possible</w:t>
      </w:r>
      <w:r w:rsidR="00781ABC" w:rsidRPr="00DF0819">
        <w:rPr>
          <w:rFonts w:ascii="Times New Roman" w:hAnsi="Times New Roman"/>
          <w:sz w:val="24"/>
          <w:szCs w:val="24"/>
        </w:rPr>
        <w:t xml:space="preserve"> that a legislative change will be </w:t>
      </w:r>
      <w:r w:rsidR="00557388" w:rsidRPr="00DF0819">
        <w:rPr>
          <w:rFonts w:ascii="Times New Roman" w:hAnsi="Times New Roman"/>
          <w:sz w:val="24"/>
          <w:szCs w:val="24"/>
        </w:rPr>
        <w:t>included</w:t>
      </w:r>
      <w:r w:rsidR="00781ABC" w:rsidRPr="00DF0819">
        <w:rPr>
          <w:rFonts w:ascii="Times New Roman" w:hAnsi="Times New Roman"/>
          <w:sz w:val="24"/>
          <w:szCs w:val="24"/>
        </w:rPr>
        <w:t xml:space="preserve"> in the next </w:t>
      </w:r>
      <w:r w:rsidR="00852694" w:rsidRPr="00DF0819">
        <w:rPr>
          <w:rFonts w:ascii="Times New Roman" w:hAnsi="Times New Roman"/>
          <w:sz w:val="24"/>
          <w:szCs w:val="24"/>
        </w:rPr>
        <w:t xml:space="preserve">available </w:t>
      </w:r>
      <w:r w:rsidR="00781ABC" w:rsidRPr="00DF0819">
        <w:rPr>
          <w:rFonts w:ascii="Times New Roman" w:hAnsi="Times New Roman"/>
          <w:sz w:val="24"/>
          <w:szCs w:val="24"/>
        </w:rPr>
        <w:t>tax bill</w:t>
      </w:r>
      <w:r w:rsidR="00557388" w:rsidRPr="00DF0819">
        <w:rPr>
          <w:rFonts w:ascii="Times New Roman" w:hAnsi="Times New Roman"/>
          <w:sz w:val="24"/>
          <w:szCs w:val="24"/>
        </w:rPr>
        <w:t xml:space="preserve"> (</w:t>
      </w:r>
      <w:r w:rsidR="00852694" w:rsidRPr="00DF0819">
        <w:rPr>
          <w:rFonts w:ascii="Times New Roman" w:hAnsi="Times New Roman"/>
          <w:sz w:val="24"/>
          <w:szCs w:val="24"/>
        </w:rPr>
        <w:t xml:space="preserve">currently </w:t>
      </w:r>
      <w:r w:rsidR="00557388" w:rsidRPr="00DF0819">
        <w:rPr>
          <w:rFonts w:ascii="Times New Roman" w:hAnsi="Times New Roman"/>
          <w:sz w:val="24"/>
          <w:szCs w:val="24"/>
        </w:rPr>
        <w:t>scheduled for introduction in March 2016)</w:t>
      </w:r>
      <w:r w:rsidR="00781ABC" w:rsidRPr="00DF0819">
        <w:rPr>
          <w:rFonts w:ascii="Times New Roman" w:hAnsi="Times New Roman"/>
          <w:sz w:val="24"/>
          <w:szCs w:val="24"/>
        </w:rPr>
        <w:t>, so that DA can proceed with its developing activities without distorting the decision making of the AC group.</w:t>
      </w:r>
      <w:r w:rsidR="00557388" w:rsidRPr="00DF0819">
        <w:rPr>
          <w:rFonts w:ascii="Times New Roman" w:hAnsi="Times New Roman"/>
          <w:sz w:val="24"/>
          <w:szCs w:val="24"/>
        </w:rPr>
        <w:t xml:space="preserve">  </w:t>
      </w:r>
      <w:r w:rsidR="00852694" w:rsidRPr="00DF0819">
        <w:rPr>
          <w:rFonts w:ascii="Times New Roman" w:hAnsi="Times New Roman"/>
          <w:sz w:val="24"/>
          <w:szCs w:val="24"/>
        </w:rPr>
        <w:t>This feature presented a timing constraint on the extent of the analysis that could be undertaken.</w:t>
      </w:r>
    </w:p>
    <w:p w:rsidR="00BE53E0" w:rsidRPr="00DF0819" w:rsidRDefault="00BE53E0" w:rsidP="00001136">
      <w:pPr>
        <w:spacing w:after="0" w:line="240" w:lineRule="auto"/>
        <w:jc w:val="both"/>
        <w:rPr>
          <w:rFonts w:ascii="Times New Roman" w:hAnsi="Times New Roman"/>
          <w:sz w:val="24"/>
          <w:szCs w:val="24"/>
        </w:rPr>
      </w:pPr>
    </w:p>
    <w:p w:rsidR="00B654B4" w:rsidRPr="00DF0819" w:rsidRDefault="00D943DD" w:rsidP="0071607C">
      <w:pPr>
        <w:spacing w:after="0" w:line="240" w:lineRule="auto"/>
        <w:jc w:val="both"/>
        <w:rPr>
          <w:rFonts w:ascii="Times New Roman" w:hAnsi="Times New Roman"/>
          <w:b/>
          <w:sz w:val="24"/>
          <w:szCs w:val="24"/>
        </w:rPr>
      </w:pPr>
      <w:bookmarkStart w:id="17" w:name="_Toc244580365"/>
      <w:bookmarkStart w:id="18" w:name="_Toc244587041"/>
      <w:bookmarkStart w:id="19" w:name="_Toc244857275"/>
      <w:bookmarkStart w:id="20" w:name="_Toc244912540"/>
      <w:bookmarkStart w:id="21" w:name="_Toc244916997"/>
      <w:r w:rsidRPr="00DF0819">
        <w:rPr>
          <w:rFonts w:ascii="Times New Roman" w:hAnsi="Times New Roman"/>
          <w:b/>
          <w:sz w:val="24"/>
          <w:szCs w:val="24"/>
        </w:rPr>
        <w:t>REGULATORY IMPACT ANALYSIS</w:t>
      </w:r>
      <w:bookmarkEnd w:id="17"/>
      <w:bookmarkEnd w:id="18"/>
      <w:bookmarkEnd w:id="19"/>
      <w:bookmarkEnd w:id="20"/>
      <w:bookmarkEnd w:id="21"/>
      <w:r w:rsidRPr="00DF0819">
        <w:rPr>
          <w:rFonts w:ascii="Times New Roman" w:hAnsi="Times New Roman"/>
          <w:b/>
          <w:sz w:val="24"/>
          <w:szCs w:val="24"/>
        </w:rPr>
        <w:t xml:space="preserve"> </w:t>
      </w:r>
    </w:p>
    <w:p w:rsidR="006B13C0" w:rsidRPr="00DF0819" w:rsidRDefault="006B13C0" w:rsidP="0071607C">
      <w:pPr>
        <w:spacing w:after="0" w:line="240" w:lineRule="auto"/>
        <w:jc w:val="both"/>
        <w:rPr>
          <w:rFonts w:ascii="Times New Roman" w:hAnsi="Times New Roman"/>
          <w:sz w:val="24"/>
          <w:szCs w:val="24"/>
        </w:rPr>
      </w:pPr>
    </w:p>
    <w:p w:rsidR="00B654B4" w:rsidRPr="00DF0819" w:rsidRDefault="00B654B4" w:rsidP="0071607C">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9B5A71" w:rsidRPr="00DF0819">
        <w:rPr>
          <w:rFonts w:ascii="Times New Roman" w:hAnsi="Times New Roman"/>
          <w:sz w:val="24"/>
          <w:szCs w:val="24"/>
        </w:rPr>
        <w:t xml:space="preserve">Three </w:t>
      </w:r>
      <w:r w:rsidRPr="00DF0819">
        <w:rPr>
          <w:rFonts w:ascii="Times New Roman" w:hAnsi="Times New Roman"/>
          <w:sz w:val="24"/>
          <w:szCs w:val="24"/>
        </w:rPr>
        <w:t xml:space="preserve">options </w:t>
      </w:r>
      <w:r w:rsidR="009B5A71" w:rsidRPr="00DF0819">
        <w:rPr>
          <w:rFonts w:ascii="Times New Roman" w:hAnsi="Times New Roman"/>
          <w:sz w:val="24"/>
          <w:szCs w:val="24"/>
        </w:rPr>
        <w:t xml:space="preserve">for change and the status quo </w:t>
      </w:r>
      <w:r w:rsidRPr="00DF0819">
        <w:rPr>
          <w:rFonts w:ascii="Times New Roman" w:hAnsi="Times New Roman"/>
          <w:sz w:val="24"/>
          <w:szCs w:val="24"/>
        </w:rPr>
        <w:t xml:space="preserve">have been considered for addressing the problem and achieving the stated objectives.  </w:t>
      </w:r>
      <w:r w:rsidR="00AB1428" w:rsidRPr="00DF0819">
        <w:rPr>
          <w:rFonts w:ascii="Times New Roman" w:hAnsi="Times New Roman"/>
          <w:sz w:val="24"/>
          <w:szCs w:val="24"/>
        </w:rPr>
        <w:t>The options are:</w:t>
      </w:r>
    </w:p>
    <w:p w:rsidR="00AB1428" w:rsidRPr="00DF0819" w:rsidRDefault="00AB1428" w:rsidP="0071607C">
      <w:pPr>
        <w:spacing w:after="0" w:line="240" w:lineRule="auto"/>
        <w:jc w:val="both"/>
        <w:rPr>
          <w:rFonts w:ascii="Times New Roman" w:hAnsi="Times New Roman"/>
          <w:sz w:val="24"/>
          <w:szCs w:val="24"/>
        </w:rPr>
      </w:pPr>
    </w:p>
    <w:p w:rsidR="00AB1428" w:rsidRPr="00DF0819" w:rsidRDefault="00AB1428" w:rsidP="006B13C0">
      <w:pPr>
        <w:pStyle w:val="ListParagraph"/>
        <w:numPr>
          <w:ilvl w:val="0"/>
          <w:numId w:val="13"/>
        </w:numPr>
        <w:rPr>
          <w:rFonts w:ascii="Times New Roman" w:hAnsi="Times New Roman"/>
          <w:sz w:val="24"/>
          <w:szCs w:val="24"/>
        </w:rPr>
      </w:pPr>
      <w:r w:rsidRPr="00DF0819">
        <w:rPr>
          <w:rFonts w:ascii="Times New Roman" w:hAnsi="Times New Roman"/>
          <w:sz w:val="24"/>
          <w:szCs w:val="24"/>
        </w:rPr>
        <w:t xml:space="preserve">Option 1: AC exemption – Exempt AC subsidiaries from the associated persons provisions in the </w:t>
      </w:r>
      <w:r w:rsidR="00DF70EB" w:rsidRPr="00DF0819">
        <w:rPr>
          <w:rFonts w:ascii="Times New Roman" w:hAnsi="Times New Roman"/>
          <w:sz w:val="24"/>
          <w:szCs w:val="24"/>
        </w:rPr>
        <w:t xml:space="preserve">land </w:t>
      </w:r>
      <w:r w:rsidRPr="00DF0819">
        <w:rPr>
          <w:rFonts w:ascii="Times New Roman" w:hAnsi="Times New Roman"/>
          <w:sz w:val="24"/>
          <w:szCs w:val="24"/>
        </w:rPr>
        <w:t>tainting rules.</w:t>
      </w:r>
    </w:p>
    <w:p w:rsidR="00AB1428" w:rsidRPr="00DF0819" w:rsidRDefault="00AB1428" w:rsidP="0071607C">
      <w:pPr>
        <w:spacing w:after="0" w:line="240" w:lineRule="auto"/>
        <w:jc w:val="both"/>
        <w:rPr>
          <w:rFonts w:ascii="Times New Roman" w:hAnsi="Times New Roman"/>
          <w:sz w:val="24"/>
          <w:szCs w:val="24"/>
        </w:rPr>
      </w:pPr>
    </w:p>
    <w:p w:rsidR="00AB1428" w:rsidRPr="00DF0819" w:rsidRDefault="00AB1428" w:rsidP="006B13C0">
      <w:pPr>
        <w:pStyle w:val="ListParagraph"/>
        <w:numPr>
          <w:ilvl w:val="0"/>
          <w:numId w:val="13"/>
        </w:numPr>
        <w:rPr>
          <w:rFonts w:ascii="Times New Roman" w:hAnsi="Times New Roman"/>
          <w:sz w:val="24"/>
          <w:szCs w:val="24"/>
        </w:rPr>
      </w:pPr>
      <w:r w:rsidRPr="00DF0819">
        <w:rPr>
          <w:rFonts w:ascii="Times New Roman" w:hAnsi="Times New Roman"/>
          <w:sz w:val="24"/>
          <w:szCs w:val="24"/>
        </w:rPr>
        <w:t xml:space="preserve">Option 2: Council exemption – Exempt council subsidiaries generally from the associated persons provisions in the </w:t>
      </w:r>
      <w:r w:rsidR="00DF70EB" w:rsidRPr="00DF0819">
        <w:rPr>
          <w:rFonts w:ascii="Times New Roman" w:hAnsi="Times New Roman"/>
          <w:sz w:val="24"/>
          <w:szCs w:val="24"/>
        </w:rPr>
        <w:t xml:space="preserve">land </w:t>
      </w:r>
      <w:r w:rsidRPr="00DF0819">
        <w:rPr>
          <w:rFonts w:ascii="Times New Roman" w:hAnsi="Times New Roman"/>
          <w:sz w:val="24"/>
          <w:szCs w:val="24"/>
        </w:rPr>
        <w:t>tainting rules.</w:t>
      </w:r>
    </w:p>
    <w:p w:rsidR="00AB1428" w:rsidRPr="00DF0819" w:rsidRDefault="00AB1428" w:rsidP="0071607C">
      <w:pPr>
        <w:spacing w:after="0" w:line="240" w:lineRule="auto"/>
        <w:jc w:val="both"/>
        <w:rPr>
          <w:rFonts w:ascii="Times New Roman" w:hAnsi="Times New Roman"/>
          <w:sz w:val="24"/>
          <w:szCs w:val="24"/>
        </w:rPr>
      </w:pPr>
    </w:p>
    <w:p w:rsidR="00DA4067" w:rsidRPr="00DF0819" w:rsidRDefault="00AB1428" w:rsidP="006B13C0">
      <w:pPr>
        <w:pStyle w:val="ListParagraph"/>
        <w:numPr>
          <w:ilvl w:val="0"/>
          <w:numId w:val="13"/>
        </w:numPr>
        <w:rPr>
          <w:rFonts w:ascii="Times New Roman" w:hAnsi="Times New Roman"/>
          <w:sz w:val="24"/>
          <w:szCs w:val="24"/>
        </w:rPr>
      </w:pPr>
      <w:r w:rsidRPr="00DF0819">
        <w:rPr>
          <w:rFonts w:ascii="Times New Roman" w:hAnsi="Times New Roman"/>
          <w:sz w:val="24"/>
          <w:szCs w:val="24"/>
        </w:rPr>
        <w:t xml:space="preserve">Option 3: Extension of the business premises exclusion – </w:t>
      </w:r>
      <w:r w:rsidR="00417646" w:rsidRPr="00DF0819">
        <w:rPr>
          <w:rFonts w:ascii="Times New Roman" w:hAnsi="Times New Roman"/>
          <w:sz w:val="24"/>
          <w:szCs w:val="24"/>
        </w:rPr>
        <w:t>E</w:t>
      </w:r>
      <w:r w:rsidRPr="00DF0819">
        <w:rPr>
          <w:rFonts w:ascii="Times New Roman" w:hAnsi="Times New Roman"/>
          <w:sz w:val="24"/>
          <w:szCs w:val="24"/>
        </w:rPr>
        <w:t>xtend the business premises exclusion</w:t>
      </w:r>
      <w:r w:rsidR="00DF70EB" w:rsidRPr="00DF0819">
        <w:rPr>
          <w:rFonts w:ascii="Times New Roman" w:hAnsi="Times New Roman"/>
          <w:sz w:val="24"/>
          <w:szCs w:val="24"/>
        </w:rPr>
        <w:t xml:space="preserve"> in the land tainting rules</w:t>
      </w:r>
      <w:r w:rsidRPr="00DF0819">
        <w:rPr>
          <w:rFonts w:ascii="Times New Roman" w:hAnsi="Times New Roman"/>
          <w:sz w:val="24"/>
          <w:szCs w:val="24"/>
        </w:rPr>
        <w:t xml:space="preserve"> to ensure that more capital account land used in business falls within it, while also upholding the integrity of the tainting rules.</w:t>
      </w:r>
    </w:p>
    <w:p w:rsidR="00BA742D" w:rsidRPr="00DF0819" w:rsidRDefault="00BA742D" w:rsidP="00BA742D">
      <w:pPr>
        <w:pStyle w:val="ListParagraph"/>
        <w:rPr>
          <w:rFonts w:ascii="Times New Roman" w:hAnsi="Times New Roman"/>
          <w:sz w:val="24"/>
          <w:szCs w:val="24"/>
        </w:rPr>
      </w:pPr>
    </w:p>
    <w:p w:rsidR="006B13C0" w:rsidRPr="00DF0819" w:rsidRDefault="00BA742D" w:rsidP="006B13C0">
      <w:pPr>
        <w:pStyle w:val="ListParagraph"/>
        <w:numPr>
          <w:ilvl w:val="0"/>
          <w:numId w:val="13"/>
        </w:numPr>
        <w:rPr>
          <w:rFonts w:ascii="Times New Roman" w:hAnsi="Times New Roman"/>
          <w:sz w:val="24"/>
          <w:szCs w:val="24"/>
        </w:rPr>
      </w:pPr>
      <w:r w:rsidRPr="00DF0819">
        <w:rPr>
          <w:rFonts w:ascii="Times New Roman" w:hAnsi="Times New Roman"/>
          <w:sz w:val="24"/>
          <w:szCs w:val="24"/>
        </w:rPr>
        <w:t xml:space="preserve">Option 4:  </w:t>
      </w:r>
      <w:r w:rsidR="00C44566" w:rsidRPr="00DF0819">
        <w:rPr>
          <w:rFonts w:ascii="Times New Roman" w:hAnsi="Times New Roman"/>
          <w:sz w:val="24"/>
          <w:szCs w:val="24"/>
        </w:rPr>
        <w:t>N</w:t>
      </w:r>
      <w:r w:rsidRPr="00DF0819">
        <w:rPr>
          <w:rFonts w:ascii="Times New Roman" w:hAnsi="Times New Roman"/>
          <w:sz w:val="24"/>
          <w:szCs w:val="24"/>
        </w:rPr>
        <w:t>o changes are made to the land tainting rules.</w:t>
      </w:r>
      <w:r w:rsidR="00C44566" w:rsidRPr="00DF0819">
        <w:rPr>
          <w:rFonts w:ascii="Times New Roman" w:hAnsi="Times New Roman"/>
          <w:sz w:val="24"/>
          <w:szCs w:val="24"/>
        </w:rPr>
        <w:t xml:space="preserve">  This is the status quo option against which all other options are </w:t>
      </w:r>
      <w:r w:rsidR="00DF70EB" w:rsidRPr="00DF0819">
        <w:rPr>
          <w:rFonts w:ascii="Times New Roman" w:hAnsi="Times New Roman"/>
          <w:sz w:val="24"/>
          <w:szCs w:val="24"/>
        </w:rPr>
        <w:t xml:space="preserve">compared </w:t>
      </w:r>
      <w:r w:rsidR="00C44566" w:rsidRPr="00DF0819">
        <w:rPr>
          <w:rFonts w:ascii="Times New Roman" w:hAnsi="Times New Roman"/>
          <w:sz w:val="24"/>
          <w:szCs w:val="24"/>
        </w:rPr>
        <w:t>below.</w:t>
      </w:r>
    </w:p>
    <w:p w:rsidR="006B13C0" w:rsidRPr="00DF0819" w:rsidRDefault="006B13C0" w:rsidP="006B13C0">
      <w:pPr>
        <w:spacing w:after="0"/>
        <w:rPr>
          <w:rFonts w:ascii="Times New Roman" w:hAnsi="Times New Roman"/>
          <w:sz w:val="24"/>
          <w:szCs w:val="24"/>
        </w:rPr>
      </w:pPr>
    </w:p>
    <w:p w:rsidR="00DA4067" w:rsidRPr="00DF0819" w:rsidRDefault="00DA4067" w:rsidP="006B13C0">
      <w:pPr>
        <w:spacing w:after="0"/>
        <w:rPr>
          <w:rFonts w:ascii="Times New Roman" w:hAnsi="Times New Roman"/>
          <w:b/>
          <w:sz w:val="24"/>
          <w:szCs w:val="24"/>
        </w:rPr>
      </w:pPr>
      <w:r w:rsidRPr="00DF0819">
        <w:rPr>
          <w:rFonts w:ascii="Times New Roman" w:hAnsi="Times New Roman"/>
          <w:b/>
          <w:sz w:val="24"/>
          <w:szCs w:val="24"/>
        </w:rPr>
        <w:t>Option one</w:t>
      </w:r>
    </w:p>
    <w:p w:rsidR="00CF6539" w:rsidRPr="00DF0819" w:rsidRDefault="00CF6539" w:rsidP="006B13C0">
      <w:pPr>
        <w:spacing w:after="0" w:line="240" w:lineRule="auto"/>
        <w:jc w:val="both"/>
        <w:rPr>
          <w:rFonts w:ascii="Times New Roman" w:hAnsi="Times New Roman"/>
          <w:sz w:val="24"/>
          <w:szCs w:val="24"/>
        </w:rPr>
      </w:pPr>
    </w:p>
    <w:p w:rsidR="00CF6539" w:rsidRPr="00DF0819" w:rsidRDefault="00CF653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Under this option, there would be an exemption for AC subsidiaries from sections CB 9(2), CB 10(2) and CB 11(2) of the Income Tax Act.  The effect of this is that the land held by other AC subsidiaries would not be tainted by the development activities of DA.</w:t>
      </w:r>
    </w:p>
    <w:p w:rsidR="006B13C0" w:rsidRPr="00DF0819" w:rsidRDefault="006B13C0" w:rsidP="00001136">
      <w:pPr>
        <w:spacing w:after="0" w:line="240" w:lineRule="auto"/>
        <w:jc w:val="both"/>
        <w:rPr>
          <w:rFonts w:ascii="Times New Roman" w:hAnsi="Times New Roman"/>
          <w:sz w:val="24"/>
          <w:szCs w:val="24"/>
        </w:rPr>
      </w:pPr>
    </w:p>
    <w:p w:rsidR="00CF6539" w:rsidRPr="00DF0819" w:rsidRDefault="00CF653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The subsidiaries will still be subject to tax under the land </w:t>
      </w:r>
      <w:r w:rsidR="00417646" w:rsidRPr="00DF0819">
        <w:rPr>
          <w:rFonts w:ascii="Times New Roman" w:hAnsi="Times New Roman"/>
          <w:sz w:val="24"/>
          <w:szCs w:val="24"/>
        </w:rPr>
        <w:t xml:space="preserve">disposal </w:t>
      </w:r>
      <w:r w:rsidRPr="00DF0819">
        <w:rPr>
          <w:rFonts w:ascii="Times New Roman" w:hAnsi="Times New Roman"/>
          <w:sz w:val="24"/>
          <w:szCs w:val="24"/>
        </w:rPr>
        <w:t>provisions in sections CB 6 to CB 13 – for example, if they:</w:t>
      </w:r>
    </w:p>
    <w:p w:rsidR="006B13C0" w:rsidRPr="00DF0819" w:rsidRDefault="006B13C0" w:rsidP="0071607C">
      <w:pPr>
        <w:spacing w:after="0" w:line="240" w:lineRule="auto"/>
        <w:jc w:val="both"/>
        <w:rPr>
          <w:rFonts w:ascii="Times New Roman" w:hAnsi="Times New Roman"/>
          <w:sz w:val="24"/>
          <w:szCs w:val="24"/>
        </w:rPr>
      </w:pPr>
    </w:p>
    <w:p w:rsidR="00CF6539" w:rsidRPr="00DF0819" w:rsidRDefault="006B13C0" w:rsidP="006B13C0">
      <w:pPr>
        <w:pStyle w:val="ListParagraph"/>
        <w:numPr>
          <w:ilvl w:val="0"/>
          <w:numId w:val="14"/>
        </w:numPr>
        <w:rPr>
          <w:rFonts w:ascii="Times New Roman" w:hAnsi="Times New Roman"/>
          <w:sz w:val="24"/>
          <w:szCs w:val="24"/>
        </w:rPr>
      </w:pPr>
      <w:proofErr w:type="gramStart"/>
      <w:r w:rsidRPr="00DF0819">
        <w:rPr>
          <w:rFonts w:ascii="Times New Roman" w:hAnsi="Times New Roman"/>
          <w:sz w:val="24"/>
          <w:szCs w:val="24"/>
        </w:rPr>
        <w:t>a</w:t>
      </w:r>
      <w:r w:rsidR="00CF6539" w:rsidRPr="00DF0819">
        <w:rPr>
          <w:rFonts w:ascii="Times New Roman" w:hAnsi="Times New Roman"/>
          <w:sz w:val="24"/>
          <w:szCs w:val="24"/>
        </w:rPr>
        <w:t>re</w:t>
      </w:r>
      <w:proofErr w:type="gramEnd"/>
      <w:r w:rsidR="00CF6539" w:rsidRPr="00DF0819">
        <w:rPr>
          <w:rFonts w:ascii="Times New Roman" w:hAnsi="Times New Roman"/>
          <w:sz w:val="24"/>
          <w:szCs w:val="24"/>
        </w:rPr>
        <w:t xml:space="preserve"> considered to be developers, dealers or builders themselves (sections CB 9(1), CB 10(1) or CB 11(1).</w:t>
      </w:r>
    </w:p>
    <w:p w:rsidR="006B13C0" w:rsidRPr="00DF0819" w:rsidRDefault="006B13C0" w:rsidP="0071607C">
      <w:pPr>
        <w:spacing w:after="0" w:line="240" w:lineRule="auto"/>
        <w:jc w:val="both"/>
        <w:rPr>
          <w:rFonts w:ascii="Times New Roman" w:hAnsi="Times New Roman"/>
          <w:sz w:val="24"/>
          <w:szCs w:val="24"/>
        </w:rPr>
      </w:pPr>
    </w:p>
    <w:p w:rsidR="00CF6539" w:rsidRPr="00DF0819" w:rsidRDefault="006B13C0" w:rsidP="006B13C0">
      <w:pPr>
        <w:pStyle w:val="ListParagraph"/>
        <w:numPr>
          <w:ilvl w:val="0"/>
          <w:numId w:val="14"/>
        </w:numPr>
        <w:rPr>
          <w:rFonts w:ascii="Times New Roman" w:hAnsi="Times New Roman"/>
          <w:sz w:val="24"/>
          <w:szCs w:val="24"/>
        </w:rPr>
      </w:pPr>
      <w:proofErr w:type="gramStart"/>
      <w:r w:rsidRPr="00DF0819">
        <w:rPr>
          <w:rFonts w:ascii="Times New Roman" w:hAnsi="Times New Roman"/>
          <w:sz w:val="24"/>
          <w:szCs w:val="24"/>
        </w:rPr>
        <w:t>u</w:t>
      </w:r>
      <w:r w:rsidR="00CF6539" w:rsidRPr="00DF0819">
        <w:rPr>
          <w:rFonts w:ascii="Times New Roman" w:hAnsi="Times New Roman"/>
          <w:sz w:val="24"/>
          <w:szCs w:val="24"/>
        </w:rPr>
        <w:t>ndertake</w:t>
      </w:r>
      <w:proofErr w:type="gramEnd"/>
      <w:r w:rsidR="00CF6539" w:rsidRPr="00DF0819">
        <w:rPr>
          <w:rFonts w:ascii="Times New Roman" w:hAnsi="Times New Roman"/>
          <w:sz w:val="24"/>
          <w:szCs w:val="24"/>
        </w:rPr>
        <w:t xml:space="preserve"> certain development or division work (section CB 12 or CB 13).</w:t>
      </w:r>
    </w:p>
    <w:p w:rsidR="006B13C0" w:rsidRPr="00DF0819" w:rsidRDefault="006B13C0" w:rsidP="0071607C">
      <w:pPr>
        <w:spacing w:after="0" w:line="240" w:lineRule="auto"/>
        <w:jc w:val="both"/>
        <w:rPr>
          <w:rFonts w:ascii="Times New Roman" w:hAnsi="Times New Roman"/>
          <w:sz w:val="24"/>
          <w:szCs w:val="24"/>
        </w:rPr>
      </w:pPr>
    </w:p>
    <w:p w:rsidR="00CF6539" w:rsidRPr="00DF0819" w:rsidRDefault="006B13C0" w:rsidP="006B13C0">
      <w:pPr>
        <w:pStyle w:val="ListParagraph"/>
        <w:numPr>
          <w:ilvl w:val="0"/>
          <w:numId w:val="14"/>
        </w:numPr>
        <w:rPr>
          <w:rFonts w:ascii="Times New Roman" w:hAnsi="Times New Roman"/>
          <w:sz w:val="24"/>
          <w:szCs w:val="24"/>
        </w:rPr>
      </w:pPr>
      <w:proofErr w:type="gramStart"/>
      <w:r w:rsidRPr="00DF0819">
        <w:rPr>
          <w:rFonts w:ascii="Times New Roman" w:hAnsi="Times New Roman"/>
          <w:sz w:val="24"/>
          <w:szCs w:val="24"/>
        </w:rPr>
        <w:t>a</w:t>
      </w:r>
      <w:r w:rsidR="00CF6539" w:rsidRPr="00DF0819">
        <w:rPr>
          <w:rFonts w:ascii="Times New Roman" w:hAnsi="Times New Roman"/>
          <w:sz w:val="24"/>
          <w:szCs w:val="24"/>
        </w:rPr>
        <w:t>cquire</w:t>
      </w:r>
      <w:proofErr w:type="gramEnd"/>
      <w:r w:rsidR="00CF6539" w:rsidRPr="00DF0819">
        <w:rPr>
          <w:rFonts w:ascii="Times New Roman" w:hAnsi="Times New Roman"/>
          <w:sz w:val="24"/>
          <w:szCs w:val="24"/>
        </w:rPr>
        <w:t xml:space="preserve"> the land with the purpose or intent of selling it (section CB 6).</w:t>
      </w:r>
    </w:p>
    <w:p w:rsidR="006B13C0" w:rsidRPr="00DF0819" w:rsidRDefault="006B13C0" w:rsidP="0071607C">
      <w:pPr>
        <w:spacing w:after="0" w:line="240" w:lineRule="auto"/>
        <w:jc w:val="both"/>
        <w:rPr>
          <w:rFonts w:ascii="Times New Roman" w:hAnsi="Times New Roman"/>
          <w:sz w:val="24"/>
          <w:szCs w:val="24"/>
        </w:rPr>
      </w:pPr>
    </w:p>
    <w:p w:rsidR="00CF6539" w:rsidRPr="00DF0819" w:rsidRDefault="006B13C0" w:rsidP="006B13C0">
      <w:pPr>
        <w:pStyle w:val="ListParagraph"/>
        <w:numPr>
          <w:ilvl w:val="0"/>
          <w:numId w:val="14"/>
        </w:numPr>
        <w:rPr>
          <w:rFonts w:ascii="Times New Roman" w:hAnsi="Times New Roman"/>
          <w:sz w:val="24"/>
          <w:szCs w:val="24"/>
        </w:rPr>
      </w:pPr>
      <w:proofErr w:type="gramStart"/>
      <w:r w:rsidRPr="00DF0819">
        <w:rPr>
          <w:rFonts w:ascii="Times New Roman" w:hAnsi="Times New Roman"/>
          <w:sz w:val="24"/>
          <w:szCs w:val="24"/>
        </w:rPr>
        <w:t>a</w:t>
      </w:r>
      <w:r w:rsidR="00CF6539" w:rsidRPr="00DF0819">
        <w:rPr>
          <w:rFonts w:ascii="Times New Roman" w:hAnsi="Times New Roman"/>
          <w:sz w:val="24"/>
          <w:szCs w:val="24"/>
        </w:rPr>
        <w:t>cquire</w:t>
      </w:r>
      <w:proofErr w:type="gramEnd"/>
      <w:r w:rsidR="00CF6539" w:rsidRPr="00DF0819">
        <w:rPr>
          <w:rFonts w:ascii="Times New Roman" w:hAnsi="Times New Roman"/>
          <w:sz w:val="24"/>
          <w:szCs w:val="24"/>
        </w:rPr>
        <w:t xml:space="preserve"> the land for the purpose of a business relating to land (section CB 7). </w:t>
      </w:r>
    </w:p>
    <w:p w:rsidR="006B13C0" w:rsidRPr="00DF0819" w:rsidRDefault="006B13C0" w:rsidP="00001136">
      <w:pPr>
        <w:spacing w:after="0" w:line="240" w:lineRule="auto"/>
        <w:jc w:val="both"/>
        <w:rPr>
          <w:rFonts w:ascii="Times New Roman" w:hAnsi="Times New Roman"/>
          <w:sz w:val="24"/>
          <w:szCs w:val="24"/>
        </w:rPr>
      </w:pPr>
    </w:p>
    <w:p w:rsidR="00CF6539" w:rsidRPr="00DF0819" w:rsidRDefault="00CF653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It is only the</w:t>
      </w:r>
      <w:r w:rsidR="002F33C8" w:rsidRPr="00DF0819">
        <w:rPr>
          <w:rFonts w:ascii="Times New Roman" w:hAnsi="Times New Roman"/>
          <w:sz w:val="24"/>
          <w:szCs w:val="24"/>
        </w:rPr>
        <w:t xml:space="preserve"> associated person aspect of the</w:t>
      </w:r>
      <w:r w:rsidRPr="00DF0819">
        <w:rPr>
          <w:rFonts w:ascii="Times New Roman" w:hAnsi="Times New Roman"/>
          <w:sz w:val="24"/>
          <w:szCs w:val="24"/>
        </w:rPr>
        <w:t xml:space="preserve"> tainting rules that the subsidiaries would be exempt from</w:t>
      </w:r>
      <w:r w:rsidR="00417646" w:rsidRPr="00DF0819">
        <w:rPr>
          <w:rFonts w:ascii="Times New Roman" w:hAnsi="Times New Roman"/>
          <w:sz w:val="24"/>
          <w:szCs w:val="24"/>
        </w:rPr>
        <w:t xml:space="preserve"> –</w:t>
      </w:r>
      <w:r w:rsidRPr="00DF0819">
        <w:rPr>
          <w:rFonts w:ascii="Times New Roman" w:hAnsi="Times New Roman"/>
          <w:sz w:val="24"/>
          <w:szCs w:val="24"/>
        </w:rPr>
        <w:t xml:space="preserve"> </w:t>
      </w:r>
      <w:r w:rsidR="00417646" w:rsidRPr="00DF0819">
        <w:rPr>
          <w:rFonts w:ascii="Times New Roman" w:hAnsi="Times New Roman"/>
          <w:sz w:val="24"/>
          <w:szCs w:val="24"/>
        </w:rPr>
        <w:t>that is,</w:t>
      </w:r>
      <w:r w:rsidRPr="00DF0819">
        <w:rPr>
          <w:rFonts w:ascii="Times New Roman" w:hAnsi="Times New Roman"/>
          <w:sz w:val="24"/>
          <w:szCs w:val="24"/>
        </w:rPr>
        <w:t xml:space="preserve"> the development activities of one subsidiary would not taint la</w:t>
      </w:r>
      <w:r w:rsidR="006B13C0" w:rsidRPr="00DF0819">
        <w:rPr>
          <w:rFonts w:ascii="Times New Roman" w:hAnsi="Times New Roman"/>
          <w:sz w:val="24"/>
          <w:szCs w:val="24"/>
        </w:rPr>
        <w:t>nd owned by another subsidiary.</w:t>
      </w:r>
    </w:p>
    <w:p w:rsidR="006B13C0" w:rsidRPr="00DF0819" w:rsidRDefault="006B13C0" w:rsidP="00001136">
      <w:pPr>
        <w:spacing w:after="0" w:line="240" w:lineRule="auto"/>
        <w:jc w:val="both"/>
        <w:rPr>
          <w:rFonts w:ascii="Times New Roman" w:hAnsi="Times New Roman"/>
          <w:sz w:val="24"/>
          <w:szCs w:val="24"/>
        </w:rPr>
      </w:pPr>
    </w:p>
    <w:p w:rsidR="00CF6539" w:rsidRPr="00DF0819" w:rsidRDefault="00CF653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Additional property purchased by DA would still be “tainted” by its own development activities – for example, if DA purchased land that was not for development purposes, it would still be subject to tax upon sale, provided the necessary requirements in any of sections CB 9 to CB 11 were met.</w:t>
      </w:r>
    </w:p>
    <w:p w:rsidR="006B13C0" w:rsidRPr="00DF0819" w:rsidRDefault="006B13C0" w:rsidP="00001136">
      <w:pPr>
        <w:spacing w:after="0" w:line="240" w:lineRule="auto"/>
        <w:jc w:val="both"/>
        <w:rPr>
          <w:rFonts w:ascii="Times New Roman" w:hAnsi="Times New Roman"/>
          <w:sz w:val="24"/>
          <w:szCs w:val="24"/>
        </w:rPr>
      </w:pPr>
    </w:p>
    <w:p w:rsidR="00AB1428" w:rsidRPr="00DF0819" w:rsidRDefault="006B13C0" w:rsidP="00001136">
      <w:pPr>
        <w:spacing w:after="0" w:line="240" w:lineRule="auto"/>
        <w:jc w:val="both"/>
        <w:rPr>
          <w:rFonts w:ascii="Times New Roman" w:hAnsi="Times New Roman"/>
          <w:b/>
          <w:i/>
          <w:sz w:val="24"/>
          <w:szCs w:val="24"/>
        </w:rPr>
      </w:pPr>
      <w:r w:rsidRPr="00DF0819">
        <w:rPr>
          <w:rFonts w:ascii="Times New Roman" w:hAnsi="Times New Roman"/>
          <w:b/>
          <w:i/>
          <w:sz w:val="24"/>
          <w:szCs w:val="24"/>
        </w:rPr>
        <w:t>A</w:t>
      </w:r>
      <w:r w:rsidR="00AB1428" w:rsidRPr="00DF0819">
        <w:rPr>
          <w:rFonts w:ascii="Times New Roman" w:hAnsi="Times New Roman"/>
          <w:b/>
          <w:i/>
          <w:sz w:val="24"/>
          <w:szCs w:val="24"/>
        </w:rPr>
        <w:t>ssessment against objectives</w:t>
      </w:r>
      <w:r w:rsidRPr="00DF0819">
        <w:rPr>
          <w:rFonts w:ascii="Times New Roman" w:hAnsi="Times New Roman"/>
          <w:b/>
          <w:i/>
          <w:sz w:val="24"/>
          <w:szCs w:val="24"/>
        </w:rPr>
        <w:t xml:space="preserve"> – option one</w:t>
      </w:r>
    </w:p>
    <w:p w:rsidR="00D45326" w:rsidRPr="00DF0819" w:rsidRDefault="00D45326" w:rsidP="00001136">
      <w:pPr>
        <w:spacing w:after="0" w:line="240" w:lineRule="auto"/>
        <w:jc w:val="both"/>
        <w:rPr>
          <w:rFonts w:ascii="Times New Roman" w:hAnsi="Times New Roman"/>
          <w:b/>
          <w:i/>
          <w:sz w:val="24"/>
          <w:szCs w:val="24"/>
        </w:rPr>
      </w:pPr>
    </w:p>
    <w:p w:rsidR="00AB1428" w:rsidRPr="00DF0819" w:rsidRDefault="00AB1428" w:rsidP="00001136">
      <w:pPr>
        <w:pStyle w:val="TRListBullet"/>
        <w:numPr>
          <w:ilvl w:val="0"/>
          <w:numId w:val="6"/>
        </w:numPr>
        <w:spacing w:after="0" w:line="240" w:lineRule="auto"/>
      </w:pPr>
      <w:r w:rsidRPr="00DF0819">
        <w:rPr>
          <w:b/>
          <w:szCs w:val="24"/>
        </w:rPr>
        <w:t>Removal of tax impediments to Auckland</w:t>
      </w:r>
      <w:r w:rsidR="00417646" w:rsidRPr="00DF0819">
        <w:rPr>
          <w:b/>
          <w:szCs w:val="24"/>
        </w:rPr>
        <w:t xml:space="preserve"> Council</w:t>
      </w:r>
      <w:r w:rsidRPr="00DF0819">
        <w:rPr>
          <w:b/>
          <w:szCs w:val="24"/>
        </w:rPr>
        <w:t>’s development and housing objectives:</w:t>
      </w:r>
      <w:r w:rsidRPr="00DF0819">
        <w:rPr>
          <w:szCs w:val="24"/>
        </w:rPr>
        <w:t xml:space="preserve">  </w:t>
      </w:r>
      <w:r w:rsidRPr="00DF0819">
        <w:t>The tainting rules would not impede DA’s development objectives under this option, as the subsidiaries of AC would be exempt from the rules.</w:t>
      </w:r>
      <w:r w:rsidR="00DB1DBB" w:rsidRPr="00DF0819">
        <w:t xml:space="preserve">  This option meets </w:t>
      </w:r>
      <w:r w:rsidR="000F3DDE" w:rsidRPr="00DF0819">
        <w:t>this</w:t>
      </w:r>
      <w:r w:rsidR="0028339B" w:rsidRPr="00DF0819">
        <w:t xml:space="preserve"> </w:t>
      </w:r>
      <w:r w:rsidR="00DB1DBB" w:rsidRPr="00DF0819">
        <w:t>objective.</w:t>
      </w:r>
    </w:p>
    <w:p w:rsidR="006B13C0" w:rsidRPr="00DF0819" w:rsidRDefault="006B13C0" w:rsidP="006B13C0">
      <w:pPr>
        <w:pStyle w:val="TRListBullet"/>
        <w:spacing w:after="0" w:line="240" w:lineRule="auto"/>
        <w:ind w:left="720" w:firstLine="0"/>
      </w:pPr>
    </w:p>
    <w:p w:rsidR="00BA742D" w:rsidRPr="00DF0819" w:rsidRDefault="00AB1428" w:rsidP="00BA742D">
      <w:pPr>
        <w:pStyle w:val="TRListBullet"/>
        <w:numPr>
          <w:ilvl w:val="0"/>
          <w:numId w:val="6"/>
        </w:numPr>
        <w:spacing w:after="0" w:line="240" w:lineRule="auto"/>
      </w:pPr>
      <w:r w:rsidRPr="00DF0819">
        <w:rPr>
          <w:b/>
        </w:rPr>
        <w:t>Coherence:</w:t>
      </w:r>
      <w:r w:rsidRPr="00DF0819">
        <w:rPr>
          <w:b/>
          <w:i/>
        </w:rPr>
        <w:t xml:space="preserve"> </w:t>
      </w:r>
      <w:r w:rsidRPr="00DF0819">
        <w:t xml:space="preserve">Coherence would be improved under this option.  The unintended consequences of the tainting rules would no longer arise for the subsidiaries of AC (that is, they would no longer be taxed on the disposal of capital account land).  </w:t>
      </w:r>
      <w:r w:rsidR="00BA742D" w:rsidRPr="00DF0819">
        <w:t>This option partially meets this objective as it resolves the overreach of the tainting rules for a specific group, but does not resolve the issue for other groups.</w:t>
      </w:r>
    </w:p>
    <w:p w:rsidR="006B13C0" w:rsidRPr="00DF0819" w:rsidRDefault="00BA742D" w:rsidP="00BA742D">
      <w:pPr>
        <w:pStyle w:val="TRListBullet"/>
        <w:spacing w:after="0" w:line="240" w:lineRule="auto"/>
        <w:ind w:left="0" w:firstLine="0"/>
      </w:pPr>
      <w:r w:rsidRPr="00DF0819">
        <w:t xml:space="preserve"> </w:t>
      </w:r>
    </w:p>
    <w:p w:rsidR="00613BEB" w:rsidRPr="00DF0819" w:rsidRDefault="00AB1428" w:rsidP="00613BEB">
      <w:pPr>
        <w:pStyle w:val="TRListBullet"/>
        <w:numPr>
          <w:ilvl w:val="0"/>
          <w:numId w:val="6"/>
        </w:numPr>
        <w:spacing w:after="0" w:line="240" w:lineRule="auto"/>
      </w:pPr>
      <w:r w:rsidRPr="00DF0819">
        <w:rPr>
          <w:b/>
        </w:rPr>
        <w:t>Equity:</w:t>
      </w:r>
      <w:r w:rsidRPr="00DF0819">
        <w:t xml:space="preserve"> It may be seen as unfair for the subsidiaries of AC to be exempt from the tainting rules when other taxpayers are not.  This could encourage other entities to lobby for similar treatment.</w:t>
      </w:r>
      <w:r w:rsidR="00DB1DBB" w:rsidRPr="00DF0819">
        <w:t xml:space="preserve">  </w:t>
      </w:r>
      <w:r w:rsidR="00613BEB" w:rsidRPr="00DF0819">
        <w:t>However, this option partially meets the equity objective as it improves the fairness of the tain</w:t>
      </w:r>
      <w:r w:rsidR="00E54EFE" w:rsidRPr="00DF0819">
        <w:t>ting rules for Auckland Council when compared to the status quo.</w:t>
      </w:r>
    </w:p>
    <w:p w:rsidR="006B13C0" w:rsidRPr="00DF0819" w:rsidRDefault="00613BEB" w:rsidP="00613BEB">
      <w:pPr>
        <w:pStyle w:val="TRListBullet"/>
        <w:spacing w:after="0" w:line="240" w:lineRule="auto"/>
        <w:ind w:left="0" w:firstLine="0"/>
      </w:pPr>
      <w:r w:rsidRPr="00DF0819">
        <w:t xml:space="preserve"> </w:t>
      </w:r>
    </w:p>
    <w:p w:rsidR="006B13C0" w:rsidRPr="00DF0819" w:rsidRDefault="00AB1428" w:rsidP="0081545C">
      <w:pPr>
        <w:pStyle w:val="TRListBullet"/>
        <w:numPr>
          <w:ilvl w:val="0"/>
          <w:numId w:val="6"/>
        </w:numPr>
        <w:spacing w:after="0" w:line="240" w:lineRule="auto"/>
      </w:pPr>
      <w:r w:rsidRPr="00DF0819">
        <w:rPr>
          <w:b/>
        </w:rPr>
        <w:t xml:space="preserve">Economic </w:t>
      </w:r>
      <w:r w:rsidR="00DB1DBB" w:rsidRPr="00DF0819">
        <w:rPr>
          <w:b/>
        </w:rPr>
        <w:t>efficiency</w:t>
      </w:r>
      <w:r w:rsidRPr="00DF0819">
        <w:rPr>
          <w:b/>
        </w:rPr>
        <w:t>:</w:t>
      </w:r>
      <w:r w:rsidRPr="00DF0819">
        <w:t xml:space="preserve"> The distortions to decision making associated with the impact of the tainting rules would no longer affect AC.</w:t>
      </w:r>
      <w:r w:rsidR="00DB1DBB" w:rsidRPr="00DF0819">
        <w:t xml:space="preserve">  Due to this option’s limited scope, it </w:t>
      </w:r>
      <w:r w:rsidR="00613BEB" w:rsidRPr="00DF0819">
        <w:t>only partially meets this objective.</w:t>
      </w:r>
    </w:p>
    <w:p w:rsidR="00401BD3" w:rsidRPr="00DF0819" w:rsidRDefault="00401BD3" w:rsidP="00DB26A8">
      <w:pPr>
        <w:pStyle w:val="ListParagraph"/>
        <w:rPr>
          <w:rFonts w:ascii="Times New Roman" w:hAnsi="Times New Roman"/>
        </w:rPr>
      </w:pPr>
    </w:p>
    <w:p w:rsidR="00DB26A8" w:rsidRPr="00DF0819" w:rsidRDefault="00401BD3" w:rsidP="00DB26A8">
      <w:pPr>
        <w:pStyle w:val="TRListBullet"/>
        <w:numPr>
          <w:ilvl w:val="0"/>
          <w:numId w:val="6"/>
        </w:numPr>
        <w:spacing w:after="0" w:line="240" w:lineRule="auto"/>
      </w:pPr>
      <w:r w:rsidRPr="00DF0819">
        <w:rPr>
          <w:b/>
          <w:szCs w:val="24"/>
        </w:rPr>
        <w:t xml:space="preserve">Compliance costs:  </w:t>
      </w:r>
      <w:r w:rsidRPr="00DF0819">
        <w:rPr>
          <w:szCs w:val="24"/>
        </w:rPr>
        <w:t>Compliance costs would be reduced as AC would no longer incur compliance costs obtaining legal advice to mitigate the impact of the rules, or from monitoring the length of land ownership.</w:t>
      </w:r>
      <w:r w:rsidR="00DB26A8" w:rsidRPr="00DF0819">
        <w:rPr>
          <w:szCs w:val="24"/>
        </w:rPr>
        <w:t xml:space="preserve">  </w:t>
      </w:r>
      <w:r w:rsidR="00DB26A8" w:rsidRPr="00DF0819">
        <w:t>Due to this option’s limited scope, it only partially meets this objective.</w:t>
      </w:r>
    </w:p>
    <w:p w:rsidR="00DB26A8" w:rsidRPr="00DF0819" w:rsidRDefault="00DB26A8" w:rsidP="00DB26A8">
      <w:pPr>
        <w:pStyle w:val="TRListBullet"/>
        <w:spacing w:after="0" w:line="240" w:lineRule="auto"/>
        <w:ind w:left="720" w:firstLine="0"/>
      </w:pPr>
    </w:p>
    <w:p w:rsidR="003335E2" w:rsidRPr="00DF0819" w:rsidRDefault="003335E2" w:rsidP="006B13C0">
      <w:pPr>
        <w:pStyle w:val="TRListBullet"/>
        <w:spacing w:after="0" w:line="240" w:lineRule="auto"/>
        <w:rPr>
          <w:b/>
        </w:rPr>
      </w:pPr>
      <w:r w:rsidRPr="00DF0819">
        <w:rPr>
          <w:b/>
        </w:rPr>
        <w:t>Option two</w:t>
      </w:r>
      <w:r w:rsidR="002B2A3C" w:rsidRPr="00DF0819">
        <w:rPr>
          <w:b/>
        </w:rPr>
        <w:t xml:space="preserve"> (officials’ preferred option)</w:t>
      </w:r>
    </w:p>
    <w:p w:rsidR="006B13C0" w:rsidRPr="00DF0819" w:rsidRDefault="006B13C0" w:rsidP="00001136">
      <w:pPr>
        <w:spacing w:after="0" w:line="240" w:lineRule="auto"/>
        <w:jc w:val="both"/>
        <w:rPr>
          <w:rFonts w:ascii="Times New Roman" w:hAnsi="Times New Roman"/>
          <w:sz w:val="24"/>
          <w:szCs w:val="24"/>
        </w:rPr>
      </w:pPr>
    </w:p>
    <w:p w:rsidR="00D30051" w:rsidRPr="00DF0819" w:rsidRDefault="003335E2"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Under this option, there would be an exemption for all council subsidiaries from sections CB 9(2), CB 10(2) and CB 11(2) of the Income Tax Act.  This means that the subsidiaries of a council would not be tainted by the land development activities of one of the other subsidiaries.  Council subsidiaries would still be taxable </w:t>
      </w:r>
      <w:r w:rsidR="00696CE6" w:rsidRPr="00DF0819">
        <w:rPr>
          <w:rFonts w:ascii="Times New Roman" w:hAnsi="Times New Roman"/>
          <w:sz w:val="24"/>
          <w:szCs w:val="24"/>
        </w:rPr>
        <w:t xml:space="preserve">under the other land taxing provisions as outlined in </w:t>
      </w:r>
      <w:r w:rsidR="00696CE6" w:rsidRPr="00F61B38">
        <w:rPr>
          <w:rFonts w:ascii="Times New Roman" w:hAnsi="Times New Roman"/>
          <w:sz w:val="24"/>
          <w:szCs w:val="24"/>
        </w:rPr>
        <w:t xml:space="preserve">paragraph </w:t>
      </w:r>
      <w:r w:rsidR="003654FA" w:rsidRPr="00F61B38">
        <w:rPr>
          <w:rFonts w:ascii="Times New Roman" w:hAnsi="Times New Roman"/>
          <w:sz w:val="24"/>
          <w:szCs w:val="24"/>
        </w:rPr>
        <w:t>30</w:t>
      </w:r>
      <w:r w:rsidR="00696CE6" w:rsidRPr="00F61B38">
        <w:rPr>
          <w:rFonts w:ascii="Times New Roman" w:hAnsi="Times New Roman"/>
          <w:sz w:val="24"/>
          <w:szCs w:val="24"/>
        </w:rPr>
        <w:t>.</w:t>
      </w:r>
    </w:p>
    <w:p w:rsidR="006B13C0" w:rsidRPr="00DF0819" w:rsidRDefault="006B13C0" w:rsidP="00001136">
      <w:pPr>
        <w:spacing w:after="0" w:line="240" w:lineRule="auto"/>
        <w:jc w:val="both"/>
        <w:rPr>
          <w:rFonts w:ascii="Times New Roman" w:hAnsi="Times New Roman"/>
          <w:sz w:val="24"/>
          <w:szCs w:val="24"/>
        </w:rPr>
      </w:pPr>
    </w:p>
    <w:p w:rsidR="00D30051" w:rsidRPr="00DF0819" w:rsidRDefault="00D30051"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We are aware of subsidiaries of other </w:t>
      </w:r>
      <w:r w:rsidR="00B65FD0" w:rsidRPr="00DF0819">
        <w:rPr>
          <w:rFonts w:ascii="Times New Roman" w:hAnsi="Times New Roman"/>
          <w:sz w:val="24"/>
          <w:szCs w:val="24"/>
        </w:rPr>
        <w:t xml:space="preserve">councils </w:t>
      </w:r>
      <w:r w:rsidRPr="00DF0819">
        <w:rPr>
          <w:rFonts w:ascii="Times New Roman" w:hAnsi="Times New Roman"/>
          <w:sz w:val="24"/>
          <w:szCs w:val="24"/>
        </w:rPr>
        <w:t>that are undertaking land developments.  This option would prevent land tainting issues from arising for these entities, as all council subsidiaries would be exempt from the</w:t>
      </w:r>
      <w:r w:rsidR="00B32D8E" w:rsidRPr="00DF0819">
        <w:rPr>
          <w:rFonts w:ascii="Times New Roman" w:hAnsi="Times New Roman"/>
          <w:sz w:val="24"/>
          <w:szCs w:val="24"/>
        </w:rPr>
        <w:t xml:space="preserve"> associated person provisions in the land</w:t>
      </w:r>
      <w:r w:rsidRPr="00DF0819">
        <w:rPr>
          <w:rFonts w:ascii="Times New Roman" w:hAnsi="Times New Roman"/>
          <w:sz w:val="24"/>
          <w:szCs w:val="24"/>
        </w:rPr>
        <w:t xml:space="preserve"> tainting rules.</w:t>
      </w:r>
    </w:p>
    <w:p w:rsidR="006B13C0" w:rsidRPr="00DF0819" w:rsidRDefault="006B13C0" w:rsidP="00001136">
      <w:pPr>
        <w:spacing w:after="0" w:line="240" w:lineRule="auto"/>
        <w:jc w:val="both"/>
        <w:rPr>
          <w:rFonts w:ascii="Times New Roman" w:hAnsi="Times New Roman"/>
          <w:b/>
          <w:i/>
          <w:sz w:val="24"/>
          <w:szCs w:val="24"/>
        </w:rPr>
      </w:pPr>
    </w:p>
    <w:p w:rsidR="00D30051" w:rsidRPr="00DF0819" w:rsidRDefault="006B13C0" w:rsidP="00001136">
      <w:pPr>
        <w:spacing w:after="0" w:line="240" w:lineRule="auto"/>
        <w:jc w:val="both"/>
        <w:rPr>
          <w:rFonts w:ascii="Times New Roman" w:hAnsi="Times New Roman"/>
          <w:b/>
          <w:i/>
          <w:sz w:val="24"/>
          <w:szCs w:val="24"/>
        </w:rPr>
      </w:pPr>
      <w:r w:rsidRPr="00DF0819">
        <w:rPr>
          <w:rFonts w:ascii="Times New Roman" w:hAnsi="Times New Roman"/>
          <w:b/>
          <w:i/>
          <w:sz w:val="24"/>
          <w:szCs w:val="24"/>
        </w:rPr>
        <w:t>A</w:t>
      </w:r>
      <w:r w:rsidR="00D30051" w:rsidRPr="00DF0819">
        <w:rPr>
          <w:rFonts w:ascii="Times New Roman" w:hAnsi="Times New Roman"/>
          <w:b/>
          <w:i/>
          <w:sz w:val="24"/>
          <w:szCs w:val="24"/>
        </w:rPr>
        <w:t>ssessment against objectives</w:t>
      </w:r>
      <w:r w:rsidRPr="00DF0819">
        <w:rPr>
          <w:rFonts w:ascii="Times New Roman" w:hAnsi="Times New Roman"/>
          <w:b/>
          <w:i/>
          <w:sz w:val="24"/>
          <w:szCs w:val="24"/>
        </w:rPr>
        <w:t xml:space="preserve"> – option two</w:t>
      </w:r>
    </w:p>
    <w:p w:rsidR="006B13C0" w:rsidRPr="00DF0819" w:rsidRDefault="006B13C0" w:rsidP="00001136">
      <w:pPr>
        <w:spacing w:after="0" w:line="240" w:lineRule="auto"/>
        <w:jc w:val="both"/>
        <w:rPr>
          <w:rFonts w:ascii="Times New Roman" w:hAnsi="Times New Roman"/>
          <w:b/>
          <w:i/>
          <w:sz w:val="24"/>
          <w:szCs w:val="24"/>
        </w:rPr>
      </w:pPr>
    </w:p>
    <w:p w:rsidR="00A50891" w:rsidRPr="00DF0819" w:rsidRDefault="00D30051"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The analysis of this option against the objectives is much the same as for option one, although this option </w:t>
      </w:r>
      <w:r w:rsidR="007C211C" w:rsidRPr="00DF0819">
        <w:rPr>
          <w:rFonts w:ascii="Times New Roman" w:hAnsi="Times New Roman"/>
          <w:sz w:val="24"/>
          <w:szCs w:val="24"/>
        </w:rPr>
        <w:t xml:space="preserve">slightly </w:t>
      </w:r>
      <w:r w:rsidRPr="00DF0819">
        <w:rPr>
          <w:rFonts w:ascii="Times New Roman" w:hAnsi="Times New Roman"/>
          <w:sz w:val="24"/>
          <w:szCs w:val="24"/>
        </w:rPr>
        <w:t xml:space="preserve">better meets </w:t>
      </w:r>
      <w:r w:rsidR="00BA636A" w:rsidRPr="00DF0819">
        <w:rPr>
          <w:rFonts w:ascii="Times New Roman" w:hAnsi="Times New Roman"/>
          <w:sz w:val="24"/>
          <w:szCs w:val="24"/>
        </w:rPr>
        <w:t>objectives (b), (c)</w:t>
      </w:r>
      <w:r w:rsidR="000F55E4" w:rsidRPr="00DF0819">
        <w:rPr>
          <w:rFonts w:ascii="Times New Roman" w:hAnsi="Times New Roman"/>
          <w:sz w:val="24"/>
          <w:szCs w:val="24"/>
        </w:rPr>
        <w:t>,</w:t>
      </w:r>
      <w:r w:rsidR="00BA636A" w:rsidRPr="00DF0819">
        <w:rPr>
          <w:rFonts w:ascii="Times New Roman" w:hAnsi="Times New Roman"/>
          <w:sz w:val="24"/>
          <w:szCs w:val="24"/>
        </w:rPr>
        <w:t xml:space="preserve"> (d)</w:t>
      </w:r>
      <w:r w:rsidR="00401BD3" w:rsidRPr="00DF0819">
        <w:rPr>
          <w:rFonts w:ascii="Times New Roman" w:hAnsi="Times New Roman"/>
          <w:sz w:val="24"/>
          <w:szCs w:val="24"/>
        </w:rPr>
        <w:t xml:space="preserve"> and (e)</w:t>
      </w:r>
      <w:r w:rsidR="007C211C" w:rsidRPr="00DF0819">
        <w:rPr>
          <w:rFonts w:ascii="Times New Roman" w:hAnsi="Times New Roman"/>
          <w:sz w:val="24"/>
          <w:szCs w:val="24"/>
        </w:rPr>
        <w:t xml:space="preserve"> </w:t>
      </w:r>
      <w:r w:rsidRPr="00DF0819">
        <w:rPr>
          <w:rFonts w:ascii="Times New Roman" w:hAnsi="Times New Roman"/>
          <w:sz w:val="24"/>
          <w:szCs w:val="24"/>
        </w:rPr>
        <w:t>because of its wider application – that is, it applies to all council subsidiaries, not just AC subsidiaries.</w:t>
      </w:r>
      <w:r w:rsidR="00BA636A" w:rsidRPr="00DF0819">
        <w:rPr>
          <w:rFonts w:ascii="Times New Roman" w:hAnsi="Times New Roman"/>
          <w:sz w:val="24"/>
          <w:szCs w:val="24"/>
        </w:rPr>
        <w:t xml:space="preserve">  </w:t>
      </w:r>
    </w:p>
    <w:p w:rsidR="00763C53" w:rsidRPr="00DF0819" w:rsidRDefault="00763C53" w:rsidP="00001136">
      <w:pPr>
        <w:spacing w:after="0" w:line="240" w:lineRule="auto"/>
        <w:jc w:val="both"/>
        <w:rPr>
          <w:rFonts w:ascii="Times New Roman" w:hAnsi="Times New Roman"/>
          <w:b/>
          <w:i/>
          <w:sz w:val="24"/>
          <w:szCs w:val="24"/>
        </w:rPr>
      </w:pPr>
    </w:p>
    <w:p w:rsidR="00A14F29" w:rsidRPr="00DF0819" w:rsidRDefault="00A14F29" w:rsidP="006B13C0">
      <w:pPr>
        <w:spacing w:after="0" w:line="240" w:lineRule="auto"/>
        <w:jc w:val="both"/>
        <w:rPr>
          <w:rFonts w:ascii="Times New Roman" w:hAnsi="Times New Roman"/>
          <w:b/>
          <w:sz w:val="24"/>
          <w:szCs w:val="24"/>
        </w:rPr>
      </w:pPr>
      <w:r w:rsidRPr="00DF0819">
        <w:rPr>
          <w:rFonts w:ascii="Times New Roman" w:hAnsi="Times New Roman"/>
          <w:b/>
          <w:sz w:val="24"/>
          <w:szCs w:val="24"/>
        </w:rPr>
        <w:t>Option three</w:t>
      </w:r>
    </w:p>
    <w:p w:rsidR="006B13C0" w:rsidRPr="00DF0819" w:rsidRDefault="006B13C0" w:rsidP="00001136">
      <w:pPr>
        <w:spacing w:after="0" w:line="240" w:lineRule="auto"/>
        <w:jc w:val="both"/>
        <w:rPr>
          <w:rFonts w:ascii="Times New Roman" w:hAnsi="Times New Roman"/>
          <w:sz w:val="24"/>
          <w:szCs w:val="24"/>
        </w:rPr>
      </w:pPr>
    </w:p>
    <w:p w:rsidR="00A14F29" w:rsidRPr="00DF0819" w:rsidRDefault="00A14F2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Under this option, the business premises exemption would be better targeted to ensure it captures more capital account land used in business but at the same time prevents tax avoidance.</w:t>
      </w:r>
    </w:p>
    <w:p w:rsidR="00557388" w:rsidRPr="00DF0819" w:rsidRDefault="00557388" w:rsidP="00001136">
      <w:pPr>
        <w:spacing w:after="0" w:line="240" w:lineRule="auto"/>
        <w:jc w:val="both"/>
        <w:rPr>
          <w:rFonts w:ascii="Times New Roman" w:hAnsi="Times New Roman"/>
          <w:sz w:val="24"/>
          <w:szCs w:val="24"/>
        </w:rPr>
      </w:pPr>
    </w:p>
    <w:p w:rsidR="00557388" w:rsidRPr="00DF0819" w:rsidRDefault="00557388"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This option proposes that the business premises exemption should be amended to provide that the land tainting rules do not apply to a disposal of land where the land disposed of had a direct connection with the taxpayer’s business, and the taxpayer’s business is/was not related to a business of dealing in land, developing land, or erecting buildings.</w:t>
      </w:r>
    </w:p>
    <w:p w:rsidR="006B13C0" w:rsidRPr="00DF0819" w:rsidRDefault="006B13C0" w:rsidP="00001136">
      <w:pPr>
        <w:spacing w:after="0" w:line="240" w:lineRule="auto"/>
        <w:jc w:val="both"/>
        <w:rPr>
          <w:rFonts w:ascii="Times New Roman" w:hAnsi="Times New Roman"/>
          <w:sz w:val="24"/>
          <w:szCs w:val="24"/>
        </w:rPr>
      </w:pPr>
    </w:p>
    <w:p w:rsidR="00B82798" w:rsidRPr="00DF0819" w:rsidRDefault="00B82798"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Careful thought is required on the wording of this exemption as it could be susceptible to abuse.  For example, if the exemption were drafted so as to exclude all land used in business from the tainting rules, people may acquire land and take the minimum steps necessary to show the land is used in their business, and then dispose of the land in order to avoid tax for a developer associated with them.  The rule would need to provide that the land is to have a sufficient degree of connection with the business so tax avoiders would be discouraged by the amount of work required to establish such a connection.  At the same time, the rule should not be so strict as to exclude land genuinely used as part of a business – for example, the storage facility in the ice-cream manufacturer example above.</w:t>
      </w:r>
    </w:p>
    <w:p w:rsidR="006B13C0" w:rsidRPr="00DF0819" w:rsidRDefault="006B13C0" w:rsidP="00001136">
      <w:pPr>
        <w:spacing w:after="0" w:line="240" w:lineRule="auto"/>
        <w:jc w:val="both"/>
        <w:rPr>
          <w:rFonts w:ascii="Times New Roman" w:hAnsi="Times New Roman"/>
          <w:sz w:val="24"/>
          <w:szCs w:val="24"/>
        </w:rPr>
      </w:pPr>
    </w:p>
    <w:p w:rsidR="00C349BD" w:rsidRPr="00DF0819" w:rsidRDefault="00C349BD"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9B5A71" w:rsidRPr="00DF0819">
        <w:rPr>
          <w:rFonts w:ascii="Times New Roman" w:hAnsi="Times New Roman"/>
          <w:sz w:val="24"/>
          <w:szCs w:val="24"/>
        </w:rPr>
        <w:t>Owing to time constraints</w:t>
      </w:r>
      <w:r w:rsidR="00557388" w:rsidRPr="00DF0819">
        <w:rPr>
          <w:rFonts w:ascii="Times New Roman" w:hAnsi="Times New Roman"/>
          <w:sz w:val="24"/>
          <w:szCs w:val="24"/>
        </w:rPr>
        <w:t xml:space="preserve"> (outlined in paragraph </w:t>
      </w:r>
      <w:r w:rsidR="003654FA" w:rsidRPr="00F61B38">
        <w:rPr>
          <w:rFonts w:ascii="Times New Roman" w:hAnsi="Times New Roman"/>
          <w:sz w:val="24"/>
          <w:szCs w:val="24"/>
        </w:rPr>
        <w:t>27</w:t>
      </w:r>
      <w:r w:rsidR="00557388" w:rsidRPr="00DF0819">
        <w:rPr>
          <w:rFonts w:ascii="Times New Roman" w:hAnsi="Times New Roman"/>
          <w:sz w:val="24"/>
          <w:szCs w:val="24"/>
        </w:rPr>
        <w:t>)</w:t>
      </w:r>
      <w:r w:rsidR="009B5A71" w:rsidRPr="00DF0819">
        <w:rPr>
          <w:rFonts w:ascii="Times New Roman" w:hAnsi="Times New Roman"/>
          <w:sz w:val="24"/>
          <w:szCs w:val="24"/>
        </w:rPr>
        <w:t xml:space="preserve">, </w:t>
      </w:r>
      <w:r w:rsidRPr="00DF0819">
        <w:rPr>
          <w:rFonts w:ascii="Times New Roman" w:hAnsi="Times New Roman"/>
          <w:sz w:val="24"/>
          <w:szCs w:val="24"/>
        </w:rPr>
        <w:t xml:space="preserve">the exact parameters of this exemption </w:t>
      </w:r>
      <w:r w:rsidR="009B5A71" w:rsidRPr="00DF0819">
        <w:rPr>
          <w:rFonts w:ascii="Times New Roman" w:hAnsi="Times New Roman"/>
          <w:sz w:val="24"/>
          <w:szCs w:val="24"/>
        </w:rPr>
        <w:t xml:space="preserve">have not been able to be determined and so the extent of any </w:t>
      </w:r>
      <w:r w:rsidR="002E6269" w:rsidRPr="00DF0819">
        <w:rPr>
          <w:rFonts w:ascii="Times New Roman" w:hAnsi="Times New Roman"/>
          <w:sz w:val="24"/>
          <w:szCs w:val="24"/>
        </w:rPr>
        <w:t>unintended consequences</w:t>
      </w:r>
      <w:r w:rsidR="009B5A71" w:rsidRPr="00DF0819">
        <w:rPr>
          <w:rFonts w:ascii="Times New Roman" w:hAnsi="Times New Roman"/>
          <w:sz w:val="24"/>
          <w:szCs w:val="24"/>
        </w:rPr>
        <w:t xml:space="preserve"> has not been quantified</w:t>
      </w:r>
      <w:r w:rsidRPr="00DF0819">
        <w:rPr>
          <w:rFonts w:ascii="Times New Roman" w:hAnsi="Times New Roman"/>
          <w:sz w:val="24"/>
          <w:szCs w:val="24"/>
        </w:rPr>
        <w:t>.</w:t>
      </w:r>
    </w:p>
    <w:p w:rsidR="006B13C0" w:rsidRPr="00DF0819" w:rsidRDefault="006B13C0" w:rsidP="00001136">
      <w:pPr>
        <w:spacing w:after="0" w:line="240" w:lineRule="auto"/>
        <w:jc w:val="both"/>
        <w:rPr>
          <w:rFonts w:ascii="Times New Roman" w:hAnsi="Times New Roman"/>
          <w:sz w:val="24"/>
          <w:szCs w:val="24"/>
        </w:rPr>
      </w:pPr>
    </w:p>
    <w:p w:rsidR="00C349BD" w:rsidRPr="00DF0819" w:rsidRDefault="006B13C0" w:rsidP="00001136">
      <w:pPr>
        <w:spacing w:after="0" w:line="240" w:lineRule="auto"/>
        <w:jc w:val="both"/>
        <w:rPr>
          <w:rFonts w:ascii="Times New Roman" w:hAnsi="Times New Roman"/>
          <w:b/>
          <w:i/>
          <w:sz w:val="24"/>
          <w:szCs w:val="24"/>
        </w:rPr>
      </w:pPr>
      <w:r w:rsidRPr="00DF0819">
        <w:rPr>
          <w:rFonts w:ascii="Times New Roman" w:hAnsi="Times New Roman"/>
          <w:b/>
          <w:i/>
          <w:sz w:val="24"/>
          <w:szCs w:val="24"/>
        </w:rPr>
        <w:t>A</w:t>
      </w:r>
      <w:r w:rsidR="00C349BD" w:rsidRPr="00DF0819">
        <w:rPr>
          <w:rFonts w:ascii="Times New Roman" w:hAnsi="Times New Roman"/>
          <w:b/>
          <w:i/>
          <w:sz w:val="24"/>
          <w:szCs w:val="24"/>
        </w:rPr>
        <w:t>ssessment against objectives</w:t>
      </w:r>
      <w:r w:rsidRPr="00DF0819">
        <w:rPr>
          <w:rFonts w:ascii="Times New Roman" w:hAnsi="Times New Roman"/>
          <w:b/>
          <w:i/>
          <w:sz w:val="24"/>
          <w:szCs w:val="24"/>
        </w:rPr>
        <w:t xml:space="preserve"> – option three</w:t>
      </w:r>
    </w:p>
    <w:p w:rsidR="006B13C0" w:rsidRPr="00DF0819" w:rsidRDefault="006B13C0" w:rsidP="00001136">
      <w:pPr>
        <w:spacing w:after="0" w:line="240" w:lineRule="auto"/>
        <w:jc w:val="both"/>
        <w:rPr>
          <w:rFonts w:ascii="Times New Roman" w:hAnsi="Times New Roman"/>
          <w:b/>
          <w:i/>
          <w:sz w:val="24"/>
          <w:szCs w:val="24"/>
        </w:rPr>
      </w:pPr>
    </w:p>
    <w:p w:rsidR="00EB60EE" w:rsidRPr="00DF0819" w:rsidRDefault="00C349BD" w:rsidP="00001136">
      <w:pPr>
        <w:pStyle w:val="TRListBullet"/>
        <w:numPr>
          <w:ilvl w:val="0"/>
          <w:numId w:val="9"/>
        </w:numPr>
        <w:spacing w:after="0" w:line="240" w:lineRule="auto"/>
        <w:ind w:left="644"/>
      </w:pPr>
      <w:r w:rsidRPr="00DF0819">
        <w:rPr>
          <w:b/>
          <w:szCs w:val="24"/>
        </w:rPr>
        <w:t>Removal of tax impediments to Auckland</w:t>
      </w:r>
      <w:r w:rsidR="00DF4A24" w:rsidRPr="00DF0819">
        <w:rPr>
          <w:b/>
          <w:szCs w:val="24"/>
        </w:rPr>
        <w:t xml:space="preserve"> Council</w:t>
      </w:r>
      <w:r w:rsidRPr="00DF0819">
        <w:rPr>
          <w:b/>
          <w:szCs w:val="24"/>
        </w:rPr>
        <w:t>’s development and housing objectives:</w:t>
      </w:r>
      <w:r w:rsidR="00EB60EE" w:rsidRPr="00DF0819">
        <w:rPr>
          <w:szCs w:val="24"/>
        </w:rPr>
        <w:t xml:space="preserve"> </w:t>
      </w:r>
      <w:r w:rsidR="00EB60EE" w:rsidRPr="00DF0819">
        <w:t>The tainting rules would not, for the most part, impede DA’s development objectives under this option, although this would depend on the final draft of the exemption.  It could be that some capital account land used in business would still be taxable if a council subsidiary is unable to show that it is sufficiently connected to its business.</w:t>
      </w:r>
      <w:r w:rsidR="009778F1" w:rsidRPr="00DF0819">
        <w:t xml:space="preserve">  Because of the inherent uncertainty of such an exemption and the potential for unintended consequences, significant consultation would be required and therefore this option would not be able to be advanced in time for the March tax bill.  Further, the lack of certainty </w:t>
      </w:r>
      <w:r w:rsidR="00060161" w:rsidRPr="00DF0819">
        <w:t xml:space="preserve">this option </w:t>
      </w:r>
      <w:r w:rsidR="00DF4A24" w:rsidRPr="00DF0819">
        <w:t xml:space="preserve">would provide </w:t>
      </w:r>
      <w:r w:rsidR="009778F1" w:rsidRPr="00DF0819">
        <w:t>would not enable DA</w:t>
      </w:r>
      <w:r w:rsidR="00060161" w:rsidRPr="00DF0819">
        <w:t xml:space="preserve"> to undertake developments without distorting the decision making of the AC group, even if assurance was given that a legislative change would be made.</w:t>
      </w:r>
      <w:r w:rsidR="00EB60EE" w:rsidRPr="00DF0819">
        <w:t xml:space="preserve">  </w:t>
      </w:r>
      <w:r w:rsidR="006156AF" w:rsidRPr="00DF0819">
        <w:t>As a result, t</w:t>
      </w:r>
      <w:r w:rsidR="00E504EC" w:rsidRPr="00DF0819">
        <w:t>his option partially meets this objective.</w:t>
      </w:r>
      <w:r w:rsidR="006B13C0" w:rsidRPr="00DF0819">
        <w:t xml:space="preserve"> </w:t>
      </w:r>
    </w:p>
    <w:p w:rsidR="006B13C0" w:rsidRPr="00DF0819" w:rsidRDefault="006B13C0" w:rsidP="006B13C0">
      <w:pPr>
        <w:pStyle w:val="TRListBullet"/>
        <w:spacing w:after="0" w:line="240" w:lineRule="auto"/>
        <w:ind w:left="644" w:firstLine="0"/>
      </w:pPr>
    </w:p>
    <w:p w:rsidR="00C349BD" w:rsidRPr="00DF0819" w:rsidRDefault="00C349BD" w:rsidP="00001136">
      <w:pPr>
        <w:pStyle w:val="TRListBullet"/>
        <w:numPr>
          <w:ilvl w:val="0"/>
          <w:numId w:val="9"/>
        </w:numPr>
        <w:spacing w:after="0" w:line="240" w:lineRule="auto"/>
        <w:ind w:left="644"/>
      </w:pPr>
      <w:r w:rsidRPr="00DF0819">
        <w:rPr>
          <w:b/>
        </w:rPr>
        <w:t>Coherence:</w:t>
      </w:r>
      <w:r w:rsidRPr="00DF0819">
        <w:rPr>
          <w:b/>
          <w:i/>
        </w:rPr>
        <w:t xml:space="preserve"> </w:t>
      </w:r>
      <w:r w:rsidR="00EB60EE" w:rsidRPr="00DF0819">
        <w:t xml:space="preserve">This option promotes coherency in the tax system by ensuring the tainting rules are better targeted at their original problem for the majority of taxpayers, not just council subsidiaries.  On the other hand, the loosening of the rule creates the risk that some tax avoidance activities may escape the tax net.  Further, it would not promote certainty, as the words of the section would be open to interpretation.  </w:t>
      </w:r>
      <w:r w:rsidR="00606478" w:rsidRPr="00DF0819">
        <w:rPr>
          <w:szCs w:val="24"/>
        </w:rPr>
        <w:t xml:space="preserve">This option partially meets the coherence objective due to the risk of unintended consequences. </w:t>
      </w:r>
      <w:r w:rsidR="00EB60EE" w:rsidRPr="00DF0819">
        <w:rPr>
          <w:szCs w:val="24"/>
        </w:rPr>
        <w:t xml:space="preserve">  </w:t>
      </w:r>
    </w:p>
    <w:p w:rsidR="006B13C0" w:rsidRPr="00DF0819" w:rsidRDefault="006B13C0" w:rsidP="006B13C0">
      <w:pPr>
        <w:pStyle w:val="TRListBullet"/>
        <w:spacing w:after="0" w:line="240" w:lineRule="auto"/>
        <w:ind w:left="720" w:firstLine="0"/>
      </w:pPr>
    </w:p>
    <w:p w:rsidR="00606478" w:rsidRPr="00DF0819" w:rsidRDefault="00C349BD" w:rsidP="00001136">
      <w:pPr>
        <w:pStyle w:val="TRListBullet"/>
        <w:numPr>
          <w:ilvl w:val="0"/>
          <w:numId w:val="6"/>
        </w:numPr>
        <w:spacing w:after="0" w:line="240" w:lineRule="auto"/>
      </w:pPr>
      <w:r w:rsidRPr="00DF0819">
        <w:rPr>
          <w:b/>
        </w:rPr>
        <w:t>Equity:</w:t>
      </w:r>
      <w:r w:rsidRPr="00DF0819">
        <w:t xml:space="preserve"> </w:t>
      </w:r>
      <w:r w:rsidR="00EB60EE" w:rsidRPr="00DF0819">
        <w:t>This option is equitable, as taxpayers are treated equally.</w:t>
      </w:r>
      <w:r w:rsidR="00E54EFE" w:rsidRPr="00DF0819">
        <w:t xml:space="preserve">  It also improves the fairness of the rules over and above the status quo.</w:t>
      </w:r>
      <w:r w:rsidR="00E504EC" w:rsidRPr="00DF0819">
        <w:t xml:space="preserve">  This option meets this objective.</w:t>
      </w:r>
      <w:r w:rsidR="00EB60EE" w:rsidRPr="00DF0819">
        <w:t xml:space="preserve"> </w:t>
      </w:r>
    </w:p>
    <w:p w:rsidR="00C349BD" w:rsidRPr="00DF0819" w:rsidRDefault="00EB60EE" w:rsidP="00606478">
      <w:pPr>
        <w:pStyle w:val="TRListBullet"/>
        <w:spacing w:after="0" w:line="240" w:lineRule="auto"/>
        <w:ind w:left="720" w:firstLine="0"/>
      </w:pPr>
      <w:r w:rsidRPr="00DF0819">
        <w:t xml:space="preserve"> </w:t>
      </w:r>
    </w:p>
    <w:p w:rsidR="003B71BF" w:rsidRPr="00DF0819" w:rsidRDefault="00C349BD" w:rsidP="00001136">
      <w:pPr>
        <w:pStyle w:val="TRListBullet"/>
        <w:numPr>
          <w:ilvl w:val="0"/>
          <w:numId w:val="6"/>
        </w:numPr>
        <w:spacing w:after="0" w:line="240" w:lineRule="auto"/>
      </w:pPr>
      <w:r w:rsidRPr="00DF0819">
        <w:rPr>
          <w:b/>
        </w:rPr>
        <w:t xml:space="preserve">Economic </w:t>
      </w:r>
      <w:r w:rsidR="00ED0EA9" w:rsidRPr="00DF0819">
        <w:rPr>
          <w:b/>
        </w:rPr>
        <w:t>efficiency</w:t>
      </w:r>
      <w:r w:rsidRPr="00DF0819">
        <w:rPr>
          <w:b/>
        </w:rPr>
        <w:t>:</w:t>
      </w:r>
      <w:r w:rsidRPr="00DF0819">
        <w:t xml:space="preserve"> </w:t>
      </w:r>
      <w:r w:rsidR="00EB60EE" w:rsidRPr="00DF0819">
        <w:t>The distortions to decision making associated with the overreach of the tainting rules would no longer affect the majority of taxpayers.</w:t>
      </w:r>
      <w:r w:rsidR="00E504EC" w:rsidRPr="00DF0819">
        <w:t xml:space="preserve">  This option meets this objective.</w:t>
      </w:r>
    </w:p>
    <w:p w:rsidR="003B71BF" w:rsidRPr="00DF0819" w:rsidRDefault="003B71BF" w:rsidP="00DB26A8">
      <w:pPr>
        <w:pStyle w:val="ListParagraph"/>
        <w:rPr>
          <w:rFonts w:ascii="Times New Roman" w:hAnsi="Times New Roman"/>
        </w:rPr>
      </w:pPr>
    </w:p>
    <w:p w:rsidR="00C349BD" w:rsidRPr="00DF0819" w:rsidRDefault="003B71BF" w:rsidP="00001136">
      <w:pPr>
        <w:pStyle w:val="TRListBullet"/>
        <w:numPr>
          <w:ilvl w:val="0"/>
          <w:numId w:val="6"/>
        </w:numPr>
        <w:spacing w:after="0" w:line="240" w:lineRule="auto"/>
        <w:rPr>
          <w:b/>
        </w:rPr>
      </w:pPr>
      <w:r w:rsidRPr="00DF0819">
        <w:rPr>
          <w:b/>
        </w:rPr>
        <w:t xml:space="preserve">Compliance costs:  </w:t>
      </w:r>
      <w:r w:rsidR="00EB60EE" w:rsidRPr="00DF0819">
        <w:rPr>
          <w:b/>
        </w:rPr>
        <w:t xml:space="preserve">  </w:t>
      </w:r>
      <w:r w:rsidRPr="00DF0819">
        <w:t>This option would reduce compliance costs for the same reasons as option one (larger reduction than the other options due to the wider scope</w:t>
      </w:r>
      <w:r w:rsidR="00D753ED" w:rsidRPr="00DF0819">
        <w:t>)</w:t>
      </w:r>
      <w:r w:rsidRPr="00DF0819">
        <w:t>.  Some compliance costs may arise f</w:t>
      </w:r>
      <w:r w:rsidR="00DB26A8" w:rsidRPr="00DF0819">
        <w:t>or</w:t>
      </w:r>
      <w:r w:rsidRPr="00DF0819">
        <w:t xml:space="preserve"> taxpayers whose activities are </w:t>
      </w:r>
      <w:proofErr w:type="gramStart"/>
      <w:r w:rsidRPr="00DF0819">
        <w:t>borderline</w:t>
      </w:r>
      <w:proofErr w:type="gramEnd"/>
      <w:r w:rsidRPr="00DF0819">
        <w:t xml:space="preserve"> as they may </w:t>
      </w:r>
      <w:r w:rsidR="00DB26A8" w:rsidRPr="00DF0819">
        <w:t>wish</w:t>
      </w:r>
      <w:r w:rsidRPr="00DF0819">
        <w:t xml:space="preserve"> to obtain</w:t>
      </w:r>
      <w:r w:rsidR="00DB26A8" w:rsidRPr="00DF0819">
        <w:t xml:space="preserve"> legal</w:t>
      </w:r>
      <w:r w:rsidRPr="00DF0819">
        <w:t xml:space="preserve"> advice on whether their activities fall within the scope of the exemption.</w:t>
      </w:r>
    </w:p>
    <w:p w:rsidR="002A0869" w:rsidRPr="00DF0819" w:rsidRDefault="002A0869" w:rsidP="00802182">
      <w:pPr>
        <w:pStyle w:val="TRListBullet"/>
        <w:spacing w:after="0" w:line="240" w:lineRule="auto"/>
        <w:ind w:left="0" w:firstLine="0"/>
      </w:pPr>
    </w:p>
    <w:p w:rsidR="00763C53" w:rsidRPr="00DF0819" w:rsidRDefault="00763C53" w:rsidP="00802182">
      <w:pPr>
        <w:pStyle w:val="TRListBullet"/>
        <w:spacing w:after="0" w:line="240" w:lineRule="auto"/>
        <w:ind w:left="0" w:firstLine="0"/>
      </w:pPr>
    </w:p>
    <w:p w:rsidR="00BA742D" w:rsidRPr="00DF0819" w:rsidRDefault="00BA742D" w:rsidP="00BA742D">
      <w:pPr>
        <w:spacing w:after="0" w:line="240" w:lineRule="auto"/>
        <w:jc w:val="both"/>
        <w:rPr>
          <w:rFonts w:ascii="Times New Roman" w:hAnsi="Times New Roman"/>
          <w:b/>
          <w:sz w:val="24"/>
          <w:szCs w:val="24"/>
        </w:rPr>
      </w:pPr>
      <w:r w:rsidRPr="00DF0819">
        <w:rPr>
          <w:rFonts w:ascii="Times New Roman" w:hAnsi="Times New Roman"/>
          <w:b/>
          <w:sz w:val="24"/>
          <w:szCs w:val="24"/>
        </w:rPr>
        <w:t>Option four</w:t>
      </w:r>
    </w:p>
    <w:p w:rsidR="00BA742D" w:rsidRPr="00DF0819" w:rsidRDefault="00BA742D" w:rsidP="00001136">
      <w:pPr>
        <w:pStyle w:val="TRListBullet"/>
        <w:spacing w:after="0" w:line="240" w:lineRule="auto"/>
      </w:pPr>
    </w:p>
    <w:p w:rsidR="00BE4748" w:rsidRPr="00DF0819" w:rsidRDefault="00BE4748" w:rsidP="009418D5">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The status quo does not meet </w:t>
      </w:r>
      <w:r w:rsidR="005F7A08" w:rsidRPr="00DF0819">
        <w:rPr>
          <w:rFonts w:ascii="Times New Roman" w:hAnsi="Times New Roman"/>
          <w:sz w:val="24"/>
          <w:szCs w:val="24"/>
        </w:rPr>
        <w:t>objectives (a), (b) (d)</w:t>
      </w:r>
      <w:r w:rsidR="005F60B3" w:rsidRPr="00DF0819">
        <w:rPr>
          <w:rFonts w:ascii="Times New Roman" w:hAnsi="Times New Roman"/>
          <w:sz w:val="24"/>
          <w:szCs w:val="24"/>
        </w:rPr>
        <w:t xml:space="preserve"> and (e)</w:t>
      </w:r>
      <w:r w:rsidR="005F7A08" w:rsidRPr="00DF0819">
        <w:rPr>
          <w:rFonts w:ascii="Times New Roman" w:hAnsi="Times New Roman"/>
          <w:sz w:val="24"/>
          <w:szCs w:val="24"/>
        </w:rPr>
        <w:t>, but partially meets (c) because</w:t>
      </w:r>
      <w:r w:rsidRPr="00DF0819">
        <w:rPr>
          <w:rFonts w:ascii="Times New Roman" w:hAnsi="Times New Roman"/>
          <w:sz w:val="24"/>
          <w:szCs w:val="24"/>
        </w:rPr>
        <w:t>:</w:t>
      </w:r>
    </w:p>
    <w:p w:rsidR="00BE4748" w:rsidRPr="00DF0819" w:rsidRDefault="00BE4748" w:rsidP="00C04B34">
      <w:pPr>
        <w:pStyle w:val="TRListBullet"/>
        <w:spacing w:after="0" w:line="240" w:lineRule="auto"/>
        <w:ind w:left="0" w:firstLine="0"/>
      </w:pPr>
    </w:p>
    <w:p w:rsidR="00BE4748" w:rsidRPr="00DF0819" w:rsidRDefault="00BE4748" w:rsidP="00C04B34">
      <w:pPr>
        <w:pStyle w:val="TRListBullet"/>
        <w:numPr>
          <w:ilvl w:val="0"/>
          <w:numId w:val="6"/>
        </w:numPr>
        <w:spacing w:after="0" w:line="240" w:lineRule="auto"/>
      </w:pPr>
      <w:r w:rsidRPr="00DF0819">
        <w:t>The rules would impede DA’s development activities</w:t>
      </w:r>
      <w:r w:rsidR="00C04B34" w:rsidRPr="00DF0819">
        <w:t>.</w:t>
      </w:r>
    </w:p>
    <w:p w:rsidR="007C7DC7" w:rsidRPr="00DF0819" w:rsidRDefault="007C7DC7" w:rsidP="007C7DC7">
      <w:pPr>
        <w:pStyle w:val="TRListBullet"/>
        <w:spacing w:after="0" w:line="240" w:lineRule="auto"/>
        <w:ind w:left="720" w:firstLine="0"/>
      </w:pPr>
    </w:p>
    <w:p w:rsidR="00BE4748" w:rsidRPr="00DF0819" w:rsidRDefault="00BE4748" w:rsidP="00C04B34">
      <w:pPr>
        <w:pStyle w:val="TRListBullet"/>
        <w:numPr>
          <w:ilvl w:val="0"/>
          <w:numId w:val="6"/>
        </w:numPr>
        <w:spacing w:after="0" w:line="240" w:lineRule="auto"/>
      </w:pPr>
      <w:r w:rsidRPr="00DF0819">
        <w:t>The tainting rules would continue to overreach by taxing capital account land where there is no tax avoidance concern</w:t>
      </w:r>
      <w:r w:rsidR="00C04B34" w:rsidRPr="00DF0819">
        <w:t>.</w:t>
      </w:r>
    </w:p>
    <w:p w:rsidR="007C7DC7" w:rsidRPr="00DF0819" w:rsidRDefault="007C7DC7" w:rsidP="007C7DC7">
      <w:pPr>
        <w:pStyle w:val="TRListBullet"/>
        <w:spacing w:after="0" w:line="240" w:lineRule="auto"/>
        <w:ind w:left="720" w:firstLine="0"/>
      </w:pPr>
    </w:p>
    <w:p w:rsidR="00BE4748" w:rsidRPr="00DF0819" w:rsidRDefault="00BE4748" w:rsidP="00C04B34">
      <w:pPr>
        <w:pStyle w:val="TRListBullet"/>
        <w:numPr>
          <w:ilvl w:val="0"/>
          <w:numId w:val="6"/>
        </w:numPr>
        <w:spacing w:after="0" w:line="240" w:lineRule="auto"/>
      </w:pPr>
      <w:r w:rsidRPr="00DF0819">
        <w:t>The rules would operate unfai</w:t>
      </w:r>
      <w:r w:rsidR="00C04B34" w:rsidRPr="00DF0819">
        <w:t>rly, although they would apply consistently across the board.</w:t>
      </w:r>
    </w:p>
    <w:p w:rsidR="007C7DC7" w:rsidRPr="00DF0819" w:rsidRDefault="007C7DC7" w:rsidP="007C7DC7">
      <w:pPr>
        <w:pStyle w:val="TRListBullet"/>
        <w:spacing w:after="0" w:line="240" w:lineRule="auto"/>
        <w:ind w:left="720" w:firstLine="0"/>
      </w:pPr>
    </w:p>
    <w:p w:rsidR="00C04B34" w:rsidRPr="00DF0819" w:rsidRDefault="00C04B34" w:rsidP="009B5A71">
      <w:pPr>
        <w:pStyle w:val="TRListBullet"/>
        <w:numPr>
          <w:ilvl w:val="0"/>
          <w:numId w:val="6"/>
        </w:numPr>
        <w:spacing w:after="0" w:line="240" w:lineRule="auto"/>
      </w:pPr>
      <w:r w:rsidRPr="00DF0819">
        <w:t>The rules would continue to distort decision making.</w:t>
      </w:r>
    </w:p>
    <w:p w:rsidR="007E57D9" w:rsidRPr="00DF0819" w:rsidRDefault="007E57D9" w:rsidP="005F60B3">
      <w:pPr>
        <w:pStyle w:val="ListParagraph"/>
        <w:rPr>
          <w:rFonts w:ascii="Times New Roman" w:hAnsi="Times New Roman"/>
        </w:rPr>
      </w:pPr>
    </w:p>
    <w:p w:rsidR="007E57D9" w:rsidRPr="00DF0819" w:rsidRDefault="005F60B3" w:rsidP="009B5A71">
      <w:pPr>
        <w:pStyle w:val="TRListBullet"/>
        <w:numPr>
          <w:ilvl w:val="0"/>
          <w:numId w:val="6"/>
        </w:numPr>
        <w:spacing w:after="0" w:line="240" w:lineRule="auto"/>
      </w:pPr>
      <w:r w:rsidRPr="00DF0819">
        <w:t xml:space="preserve">The rules would result in excessive compliance costs (as outlined in </w:t>
      </w:r>
      <w:r w:rsidRPr="00F61B38">
        <w:t>paragraph 23</w:t>
      </w:r>
      <w:r w:rsidRPr="00DF0819">
        <w:t>).</w:t>
      </w:r>
    </w:p>
    <w:p w:rsidR="00763C53" w:rsidRPr="00DF0819" w:rsidRDefault="00763C53" w:rsidP="002F7306">
      <w:pPr>
        <w:rPr>
          <w:rFonts w:ascii="Times New Roman" w:hAnsi="Times New Roman"/>
          <w:sz w:val="24"/>
          <w:szCs w:val="24"/>
        </w:rPr>
      </w:pPr>
    </w:p>
    <w:p w:rsidR="00763C53" w:rsidRPr="00DF0819" w:rsidRDefault="00763C53" w:rsidP="00763C53">
      <w:pPr>
        <w:pStyle w:val="ListParagraph"/>
        <w:ind w:left="0"/>
        <w:rPr>
          <w:rFonts w:ascii="Times New Roman" w:hAnsi="Times New Roman"/>
          <w:b/>
          <w:sz w:val="24"/>
          <w:szCs w:val="24"/>
        </w:rPr>
      </w:pPr>
      <w:r w:rsidRPr="00DF0819">
        <w:rPr>
          <w:rFonts w:ascii="Times New Roman" w:hAnsi="Times New Roman"/>
          <w:b/>
          <w:sz w:val="24"/>
          <w:szCs w:val="24"/>
        </w:rPr>
        <w:t>Summary of analysis</w:t>
      </w:r>
      <w:r w:rsidR="00750B94" w:rsidRPr="00DF0819">
        <w:rPr>
          <w:rFonts w:ascii="Times New Roman" w:hAnsi="Times New Roman"/>
          <w:b/>
          <w:sz w:val="24"/>
          <w:szCs w:val="24"/>
        </w:rPr>
        <w:t xml:space="preserve"> of options</w:t>
      </w:r>
    </w:p>
    <w:p w:rsidR="00763C53" w:rsidRPr="00DF0819" w:rsidRDefault="00763C53" w:rsidP="00763C53">
      <w:pPr>
        <w:pStyle w:val="ListParagraph"/>
        <w:ind w:left="0"/>
        <w:rPr>
          <w:rFonts w:ascii="Times New Roman" w:hAnsi="Times New Roman"/>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1701"/>
        <w:gridCol w:w="1985"/>
        <w:gridCol w:w="1701"/>
        <w:gridCol w:w="2126"/>
      </w:tblGrid>
      <w:tr w:rsidR="0040656A" w:rsidRPr="00DF0819" w:rsidTr="007E57D9">
        <w:tc>
          <w:tcPr>
            <w:tcW w:w="1758"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40656A" w:rsidRPr="00DF0819" w:rsidRDefault="0040656A" w:rsidP="00001136">
            <w:pPr>
              <w:pStyle w:val="TRBodyText"/>
              <w:spacing w:line="240" w:lineRule="auto"/>
              <w:rPr>
                <w:b/>
                <w:sz w:val="18"/>
                <w:szCs w:val="18"/>
              </w:rPr>
            </w:pPr>
            <w:r w:rsidRPr="00DF0819">
              <w:rPr>
                <w:sz w:val="18"/>
                <w:szCs w:val="18"/>
              </w:rPr>
              <w:br w:type="page"/>
            </w:r>
            <w:r w:rsidRPr="00DF0819">
              <w:rPr>
                <w:b/>
                <w:sz w:val="18"/>
                <w:szCs w:val="18"/>
              </w:rPr>
              <w:t>Options</w:t>
            </w:r>
          </w:p>
        </w:tc>
        <w:tc>
          <w:tcPr>
            <w:tcW w:w="1701"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40656A" w:rsidRPr="00DF0819" w:rsidRDefault="0040656A" w:rsidP="00F61B38">
            <w:pPr>
              <w:pStyle w:val="TRBodyText"/>
              <w:spacing w:line="240" w:lineRule="auto"/>
              <w:rPr>
                <w:b/>
                <w:sz w:val="18"/>
                <w:szCs w:val="18"/>
              </w:rPr>
            </w:pPr>
            <w:r w:rsidRPr="00DF0819">
              <w:rPr>
                <w:b/>
                <w:sz w:val="18"/>
                <w:szCs w:val="18"/>
              </w:rPr>
              <w:t xml:space="preserve">Does </w:t>
            </w:r>
            <w:r w:rsidR="00750B94" w:rsidRPr="00DF0819">
              <w:rPr>
                <w:b/>
                <w:sz w:val="18"/>
                <w:szCs w:val="18"/>
              </w:rPr>
              <w:t>it meet the objectives (</w:t>
            </w:r>
            <w:r w:rsidR="00F61B38">
              <w:rPr>
                <w:b/>
                <w:sz w:val="18"/>
                <w:szCs w:val="18"/>
              </w:rPr>
              <w:t>A</w:t>
            </w:r>
            <w:r w:rsidR="00750B94" w:rsidRPr="00DF0819">
              <w:rPr>
                <w:b/>
                <w:sz w:val="18"/>
                <w:szCs w:val="18"/>
              </w:rPr>
              <w:t xml:space="preserve">, </w:t>
            </w:r>
            <w:r w:rsidR="00F61B38">
              <w:rPr>
                <w:b/>
                <w:sz w:val="18"/>
                <w:szCs w:val="18"/>
              </w:rPr>
              <w:t>B</w:t>
            </w:r>
            <w:r w:rsidR="00750B94" w:rsidRPr="00DF0819">
              <w:rPr>
                <w:b/>
                <w:sz w:val="18"/>
                <w:szCs w:val="18"/>
              </w:rPr>
              <w:t xml:space="preserve">, </w:t>
            </w:r>
            <w:r w:rsidR="00F61B38">
              <w:rPr>
                <w:b/>
                <w:sz w:val="18"/>
                <w:szCs w:val="18"/>
              </w:rPr>
              <w:t>C</w:t>
            </w:r>
            <w:r w:rsidRPr="00DF0819">
              <w:rPr>
                <w:b/>
                <w:sz w:val="18"/>
                <w:szCs w:val="18"/>
              </w:rPr>
              <w:t>,</w:t>
            </w:r>
            <w:r w:rsidR="00750B94" w:rsidRPr="00DF0819">
              <w:rPr>
                <w:b/>
                <w:sz w:val="18"/>
                <w:szCs w:val="18"/>
              </w:rPr>
              <w:t xml:space="preserve"> </w:t>
            </w:r>
            <w:r w:rsidR="00F61B38">
              <w:rPr>
                <w:b/>
                <w:sz w:val="18"/>
                <w:szCs w:val="18"/>
              </w:rPr>
              <w:t>D</w:t>
            </w:r>
            <w:r w:rsidR="00750B94" w:rsidRPr="00DF0819">
              <w:rPr>
                <w:b/>
                <w:sz w:val="18"/>
                <w:szCs w:val="18"/>
              </w:rPr>
              <w:t xml:space="preserve"> and </w:t>
            </w:r>
            <w:r w:rsidR="00F61B38">
              <w:rPr>
                <w:b/>
                <w:sz w:val="18"/>
                <w:szCs w:val="18"/>
              </w:rPr>
              <w:t>E</w:t>
            </w:r>
            <w:r w:rsidRPr="00DF0819">
              <w:rPr>
                <w:b/>
                <w:sz w:val="18"/>
                <w:szCs w:val="18"/>
              </w:rPr>
              <w:t>)</w:t>
            </w:r>
          </w:p>
        </w:tc>
        <w:tc>
          <w:tcPr>
            <w:tcW w:w="5812" w:type="dxa"/>
            <w:gridSpan w:val="3"/>
            <w:tcBorders>
              <w:top w:val="single" w:sz="4" w:space="0" w:color="auto"/>
              <w:left w:val="single" w:sz="4" w:space="0" w:color="auto"/>
              <w:bottom w:val="single" w:sz="4" w:space="0" w:color="auto"/>
              <w:right w:val="single" w:sz="4" w:space="0" w:color="auto"/>
            </w:tcBorders>
          </w:tcPr>
          <w:p w:rsidR="0040656A" w:rsidRPr="00DF0819" w:rsidRDefault="0040656A" w:rsidP="0040656A">
            <w:pPr>
              <w:pStyle w:val="TRBodyText"/>
              <w:spacing w:line="240" w:lineRule="auto"/>
              <w:jc w:val="center"/>
              <w:rPr>
                <w:b/>
                <w:sz w:val="18"/>
                <w:szCs w:val="18"/>
                <w:lang w:val="en-GB"/>
              </w:rPr>
            </w:pPr>
            <w:r w:rsidRPr="00DF0819">
              <w:rPr>
                <w:b/>
                <w:sz w:val="18"/>
                <w:szCs w:val="18"/>
                <w:lang w:val="en-GB"/>
              </w:rPr>
              <w:t>Impacts</w:t>
            </w:r>
          </w:p>
        </w:tc>
      </w:tr>
      <w:tr w:rsidR="007E57D9" w:rsidRPr="00DF0819" w:rsidTr="007E57D9">
        <w:trPr>
          <w:trHeight w:val="566"/>
        </w:trPr>
        <w:tc>
          <w:tcPr>
            <w:tcW w:w="1758"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7E57D9" w:rsidRPr="00DF0819" w:rsidRDefault="007E57D9" w:rsidP="00001136">
            <w:pPr>
              <w:spacing w:after="0" w:line="240" w:lineRule="auto"/>
              <w:jc w:val="both"/>
              <w:rPr>
                <w:rFonts w:ascii="Times New Roman" w:hAnsi="Times New Roman"/>
                <w:b/>
                <w:sz w:val="18"/>
                <w:szCs w:val="18"/>
                <w:lang w:eastAsia="en-AU"/>
              </w:rPr>
            </w:pPr>
          </w:p>
        </w:tc>
        <w:tc>
          <w:tcPr>
            <w:tcW w:w="1701"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7E57D9" w:rsidRPr="00DF0819" w:rsidRDefault="007E57D9" w:rsidP="00001136">
            <w:pPr>
              <w:spacing w:after="0" w:line="240" w:lineRule="auto"/>
              <w:jc w:val="both"/>
              <w:rPr>
                <w:rFonts w:ascii="Times New Roman" w:hAnsi="Times New Roman"/>
                <w:b/>
                <w:sz w:val="18"/>
                <w:szCs w:val="18"/>
                <w:lang w:eastAsia="en-AU"/>
              </w:rPr>
            </w:pPr>
          </w:p>
        </w:tc>
        <w:tc>
          <w:tcPr>
            <w:tcW w:w="1985" w:type="dxa"/>
            <w:tcBorders>
              <w:top w:val="single" w:sz="4" w:space="0" w:color="auto"/>
              <w:left w:val="single" w:sz="4" w:space="0" w:color="auto"/>
              <w:bottom w:val="single" w:sz="4" w:space="0" w:color="auto"/>
              <w:right w:val="single" w:sz="4" w:space="0" w:color="auto"/>
            </w:tcBorders>
            <w:tcMar>
              <w:bottom w:w="0" w:type="dxa"/>
            </w:tcMar>
            <w:vAlign w:val="center"/>
            <w:hideMark/>
          </w:tcPr>
          <w:p w:rsidR="007E57D9" w:rsidRPr="00DF0819" w:rsidRDefault="007E57D9" w:rsidP="009B5A71">
            <w:pPr>
              <w:pStyle w:val="TRBodyText"/>
              <w:spacing w:line="240" w:lineRule="auto"/>
              <w:jc w:val="center"/>
              <w:rPr>
                <w:b/>
                <w:sz w:val="18"/>
                <w:szCs w:val="18"/>
              </w:rPr>
            </w:pPr>
            <w:r w:rsidRPr="00DF0819">
              <w:rPr>
                <w:b/>
                <w:sz w:val="18"/>
                <w:szCs w:val="18"/>
              </w:rPr>
              <w:t>Fiscal</w:t>
            </w:r>
          </w:p>
        </w:tc>
        <w:tc>
          <w:tcPr>
            <w:tcW w:w="1701" w:type="dxa"/>
            <w:vAlign w:val="center"/>
          </w:tcPr>
          <w:p w:rsidR="007E57D9" w:rsidRPr="00DF0819" w:rsidRDefault="007E57D9" w:rsidP="009B5A71">
            <w:pPr>
              <w:pStyle w:val="TRBodyText"/>
              <w:spacing w:line="240" w:lineRule="auto"/>
              <w:jc w:val="center"/>
              <w:rPr>
                <w:b/>
                <w:sz w:val="18"/>
                <w:szCs w:val="18"/>
              </w:rPr>
            </w:pPr>
            <w:r w:rsidRPr="00DF0819">
              <w:rPr>
                <w:b/>
                <w:sz w:val="18"/>
                <w:szCs w:val="18"/>
              </w:rPr>
              <w:t>Administration</w:t>
            </w:r>
          </w:p>
        </w:tc>
        <w:tc>
          <w:tcPr>
            <w:tcW w:w="2126" w:type="dxa"/>
          </w:tcPr>
          <w:p w:rsidR="007E57D9" w:rsidRPr="00DF0819" w:rsidRDefault="007E57D9" w:rsidP="00001136">
            <w:pPr>
              <w:pStyle w:val="TRBodyText"/>
              <w:spacing w:line="240" w:lineRule="auto"/>
              <w:rPr>
                <w:b/>
                <w:sz w:val="18"/>
                <w:szCs w:val="18"/>
              </w:rPr>
            </w:pPr>
          </w:p>
          <w:p w:rsidR="007E57D9" w:rsidRPr="00DF0819" w:rsidRDefault="007E57D9" w:rsidP="00001136">
            <w:pPr>
              <w:pStyle w:val="TRBodyText"/>
              <w:spacing w:line="240" w:lineRule="auto"/>
              <w:rPr>
                <w:b/>
                <w:sz w:val="18"/>
                <w:szCs w:val="18"/>
              </w:rPr>
            </w:pPr>
            <w:r w:rsidRPr="00DF0819">
              <w:rPr>
                <w:b/>
                <w:sz w:val="18"/>
                <w:szCs w:val="18"/>
              </w:rPr>
              <w:t>Risks</w:t>
            </w:r>
          </w:p>
        </w:tc>
      </w:tr>
      <w:tr w:rsidR="007E57D9" w:rsidRPr="00DF0819" w:rsidTr="001E3849">
        <w:trPr>
          <w:trHeight w:val="2314"/>
        </w:trPr>
        <w:tc>
          <w:tcPr>
            <w:tcW w:w="1758" w:type="dxa"/>
            <w:tcBorders>
              <w:top w:val="single" w:sz="4" w:space="0" w:color="auto"/>
              <w:left w:val="single" w:sz="4" w:space="0" w:color="auto"/>
              <w:bottom w:val="single" w:sz="4" w:space="0" w:color="auto"/>
              <w:right w:val="single" w:sz="4" w:space="0" w:color="auto"/>
            </w:tcBorders>
            <w:tcMar>
              <w:bottom w:w="0" w:type="dxa"/>
            </w:tcMar>
            <w:hideMark/>
          </w:tcPr>
          <w:p w:rsidR="007E57D9" w:rsidRPr="00DF0819" w:rsidRDefault="007E57D9" w:rsidP="009B5A71">
            <w:pPr>
              <w:pStyle w:val="Bullet-list"/>
              <w:spacing w:after="0" w:line="240" w:lineRule="auto"/>
              <w:ind w:left="0" w:firstLine="0"/>
              <w:rPr>
                <w:rFonts w:ascii="Times New Roman" w:hAnsi="Times New Roman"/>
                <w:sz w:val="19"/>
                <w:szCs w:val="19"/>
                <w:lang w:eastAsia="en-NZ"/>
              </w:rPr>
            </w:pPr>
            <w:r w:rsidRPr="00DF0819">
              <w:rPr>
                <w:rFonts w:ascii="Times New Roman" w:hAnsi="Times New Roman"/>
                <w:sz w:val="19"/>
                <w:szCs w:val="19"/>
                <w:lang w:eastAsia="en-NZ"/>
              </w:rPr>
              <w:t>Option one – AC exemption</w:t>
            </w:r>
          </w:p>
        </w:tc>
        <w:tc>
          <w:tcPr>
            <w:tcW w:w="1701" w:type="dxa"/>
            <w:tcBorders>
              <w:top w:val="single" w:sz="4" w:space="0" w:color="auto"/>
              <w:left w:val="single" w:sz="4" w:space="0" w:color="auto"/>
              <w:bottom w:val="single" w:sz="4" w:space="0" w:color="auto"/>
              <w:right w:val="single" w:sz="4" w:space="0" w:color="auto"/>
            </w:tcBorders>
            <w:tcMar>
              <w:bottom w:w="0" w:type="dxa"/>
            </w:tcMar>
            <w:hideMark/>
          </w:tcPr>
          <w:p w:rsidR="007E57D9" w:rsidRPr="00DF0819" w:rsidRDefault="007E57D9" w:rsidP="009B5A71">
            <w:pPr>
              <w:pStyle w:val="TRBodyText"/>
              <w:spacing w:line="240" w:lineRule="auto"/>
              <w:jc w:val="left"/>
              <w:rPr>
                <w:sz w:val="19"/>
                <w:szCs w:val="19"/>
                <w:lang w:val="en-GB"/>
              </w:rPr>
            </w:pPr>
            <w:r w:rsidRPr="00DF0819">
              <w:rPr>
                <w:sz w:val="19"/>
                <w:szCs w:val="19"/>
                <w:lang w:val="en-GB"/>
              </w:rPr>
              <w:t>Meets A, partially meets B, C, D and E.</w:t>
            </w:r>
          </w:p>
          <w:p w:rsidR="007E57D9" w:rsidRPr="00DF0819" w:rsidRDefault="007E57D9" w:rsidP="009B5A71">
            <w:pPr>
              <w:pStyle w:val="TRBodyText"/>
              <w:spacing w:line="240" w:lineRule="auto"/>
              <w:jc w:val="left"/>
              <w:rPr>
                <w:sz w:val="19"/>
                <w:szCs w:val="19"/>
                <w:lang w:val="en-GB"/>
              </w:rPr>
            </w:pPr>
          </w:p>
        </w:tc>
        <w:tc>
          <w:tcPr>
            <w:tcW w:w="1985" w:type="dxa"/>
            <w:tcBorders>
              <w:top w:val="single" w:sz="4" w:space="0" w:color="auto"/>
              <w:left w:val="single" w:sz="4" w:space="0" w:color="auto"/>
              <w:bottom w:val="single" w:sz="4" w:space="0" w:color="auto"/>
              <w:right w:val="single" w:sz="4" w:space="0" w:color="auto"/>
            </w:tcBorders>
            <w:tcMar>
              <w:bottom w:w="0" w:type="dxa"/>
            </w:tcMar>
          </w:tcPr>
          <w:p w:rsidR="00E00EBB" w:rsidRPr="00DF0819" w:rsidRDefault="007E57D9" w:rsidP="009B5A71">
            <w:pPr>
              <w:pStyle w:val="TRBodyText"/>
              <w:spacing w:line="240" w:lineRule="auto"/>
              <w:jc w:val="left"/>
              <w:rPr>
                <w:sz w:val="19"/>
                <w:szCs w:val="19"/>
              </w:rPr>
            </w:pPr>
            <w:r w:rsidRPr="00DF0819">
              <w:rPr>
                <w:sz w:val="19"/>
                <w:szCs w:val="19"/>
              </w:rPr>
              <w:t xml:space="preserve">None – there will be no revenue impact if, should the status quo persist, councils restructure so that all group land is held in the tax exempt council entity and leased to the relevant subsidiaries.  </w:t>
            </w:r>
          </w:p>
          <w:p w:rsidR="00E00EBB" w:rsidRPr="00DF0819" w:rsidRDefault="00E00EBB" w:rsidP="009B5A71">
            <w:pPr>
              <w:pStyle w:val="TRBodyText"/>
              <w:spacing w:line="240" w:lineRule="auto"/>
              <w:jc w:val="left"/>
              <w:rPr>
                <w:sz w:val="19"/>
                <w:szCs w:val="19"/>
              </w:rPr>
            </w:pPr>
          </w:p>
          <w:p w:rsidR="007E57D9" w:rsidRPr="00DF0819" w:rsidRDefault="007E57D9" w:rsidP="009B5A71">
            <w:pPr>
              <w:pStyle w:val="TRBodyText"/>
              <w:spacing w:line="240" w:lineRule="auto"/>
              <w:jc w:val="left"/>
              <w:rPr>
                <w:sz w:val="19"/>
                <w:szCs w:val="19"/>
              </w:rPr>
            </w:pPr>
            <w:r w:rsidRPr="00DF0819">
              <w:rPr>
                <w:sz w:val="19"/>
                <w:szCs w:val="19"/>
              </w:rPr>
              <w:t xml:space="preserve">However, there will be a revenue impact if, should the status quo persist, </w:t>
            </w:r>
            <w:r w:rsidR="00E00EBB" w:rsidRPr="00DF0819">
              <w:rPr>
                <w:sz w:val="19"/>
                <w:szCs w:val="19"/>
              </w:rPr>
              <w:t>councils do not restructure</w:t>
            </w:r>
            <w:r w:rsidRPr="00DF0819">
              <w:rPr>
                <w:sz w:val="19"/>
                <w:szCs w:val="19"/>
              </w:rPr>
              <w:t xml:space="preserve"> (although we expect that AC will restructure if an amendment is not made).</w:t>
            </w:r>
          </w:p>
          <w:p w:rsidR="007E57D9" w:rsidRPr="00DF0819" w:rsidRDefault="007E57D9" w:rsidP="009B5A71">
            <w:pPr>
              <w:pStyle w:val="TRBodyText"/>
              <w:spacing w:line="240" w:lineRule="auto"/>
              <w:jc w:val="left"/>
              <w:rPr>
                <w:sz w:val="19"/>
                <w:szCs w:val="19"/>
              </w:rPr>
            </w:pPr>
          </w:p>
          <w:p w:rsidR="007E57D9" w:rsidRPr="00DF0819" w:rsidRDefault="007E57D9" w:rsidP="0014788C">
            <w:pPr>
              <w:pStyle w:val="TRBodyText"/>
              <w:spacing w:line="240" w:lineRule="auto"/>
              <w:jc w:val="left"/>
              <w:rPr>
                <w:sz w:val="19"/>
                <w:szCs w:val="19"/>
              </w:rPr>
            </w:pPr>
            <w:r w:rsidRPr="00DF0819">
              <w:rPr>
                <w:sz w:val="19"/>
                <w:szCs w:val="19"/>
              </w:rPr>
              <w:t xml:space="preserve">This option would also prevent AC subsidiaries from claiming losses on tainted land. </w:t>
            </w:r>
          </w:p>
        </w:tc>
        <w:tc>
          <w:tcPr>
            <w:tcW w:w="1701" w:type="dxa"/>
          </w:tcPr>
          <w:p w:rsidR="007E57D9" w:rsidRPr="00DF0819" w:rsidRDefault="007E57D9" w:rsidP="009B5A71">
            <w:pPr>
              <w:pStyle w:val="TRBodyText"/>
              <w:spacing w:line="240" w:lineRule="auto"/>
              <w:jc w:val="left"/>
              <w:rPr>
                <w:sz w:val="19"/>
                <w:szCs w:val="19"/>
              </w:rPr>
            </w:pPr>
            <w:r w:rsidRPr="00DF0819">
              <w:rPr>
                <w:sz w:val="19"/>
                <w:szCs w:val="19"/>
              </w:rPr>
              <w:t>Minimal</w:t>
            </w:r>
            <w:r w:rsidR="00D06B90" w:rsidRPr="00DF0819">
              <w:rPr>
                <w:sz w:val="19"/>
                <w:szCs w:val="19"/>
              </w:rPr>
              <w:t xml:space="preserve"> – costs associated with publications to communicate the changes.</w:t>
            </w:r>
          </w:p>
        </w:tc>
        <w:tc>
          <w:tcPr>
            <w:tcW w:w="2126" w:type="dxa"/>
          </w:tcPr>
          <w:p w:rsidR="007E57D9" w:rsidRPr="00DF0819" w:rsidRDefault="007E57D9" w:rsidP="009B5A71">
            <w:pPr>
              <w:pStyle w:val="TRBodyText"/>
              <w:spacing w:line="240" w:lineRule="auto"/>
              <w:jc w:val="left"/>
              <w:rPr>
                <w:sz w:val="19"/>
                <w:szCs w:val="19"/>
              </w:rPr>
            </w:pPr>
            <w:r w:rsidRPr="00DF0819">
              <w:rPr>
                <w:sz w:val="19"/>
                <w:szCs w:val="19"/>
              </w:rPr>
              <w:t>Precedent risk – other groups may lobby for similar treatment.</w:t>
            </w:r>
          </w:p>
        </w:tc>
      </w:tr>
      <w:tr w:rsidR="007E57D9" w:rsidRPr="00DF0819" w:rsidTr="001E3849">
        <w:trPr>
          <w:trHeight w:val="1330"/>
        </w:trPr>
        <w:tc>
          <w:tcPr>
            <w:tcW w:w="1758" w:type="dxa"/>
            <w:tcBorders>
              <w:top w:val="single" w:sz="4" w:space="0" w:color="auto"/>
              <w:left w:val="single" w:sz="4" w:space="0" w:color="auto"/>
              <w:bottom w:val="single" w:sz="4" w:space="0" w:color="auto"/>
              <w:right w:val="single" w:sz="4" w:space="0" w:color="auto"/>
            </w:tcBorders>
            <w:tcMar>
              <w:bottom w:w="0" w:type="dxa"/>
            </w:tcMar>
            <w:hideMark/>
          </w:tcPr>
          <w:p w:rsidR="007E57D9" w:rsidRPr="00DF0819" w:rsidRDefault="007E57D9" w:rsidP="009B5A71">
            <w:pPr>
              <w:pStyle w:val="Bullet-list"/>
              <w:spacing w:after="0" w:line="240" w:lineRule="auto"/>
              <w:ind w:left="0" w:firstLine="0"/>
              <w:rPr>
                <w:rFonts w:ascii="Times New Roman" w:hAnsi="Times New Roman"/>
                <w:sz w:val="19"/>
                <w:szCs w:val="19"/>
                <w:lang w:eastAsia="en-NZ"/>
              </w:rPr>
            </w:pPr>
            <w:r w:rsidRPr="00DF0819">
              <w:rPr>
                <w:rFonts w:ascii="Times New Roman" w:hAnsi="Times New Roman"/>
                <w:sz w:val="19"/>
                <w:szCs w:val="19"/>
                <w:lang w:eastAsia="en-NZ"/>
              </w:rPr>
              <w:t>Option two – Council exemption (officials’ preferred option)</w:t>
            </w:r>
          </w:p>
        </w:tc>
        <w:tc>
          <w:tcPr>
            <w:tcW w:w="1701" w:type="dxa"/>
            <w:tcBorders>
              <w:top w:val="single" w:sz="4" w:space="0" w:color="auto"/>
              <w:left w:val="single" w:sz="4" w:space="0" w:color="auto"/>
              <w:bottom w:val="single" w:sz="4" w:space="0" w:color="auto"/>
              <w:right w:val="single" w:sz="4" w:space="0" w:color="auto"/>
            </w:tcBorders>
            <w:tcMar>
              <w:bottom w:w="0" w:type="dxa"/>
            </w:tcMar>
            <w:hideMark/>
          </w:tcPr>
          <w:p w:rsidR="007E57D9" w:rsidRPr="00DF0819" w:rsidRDefault="007E57D9" w:rsidP="009B5A71">
            <w:pPr>
              <w:pStyle w:val="TRBodyText"/>
              <w:spacing w:line="240" w:lineRule="auto"/>
              <w:jc w:val="left"/>
              <w:rPr>
                <w:sz w:val="19"/>
                <w:szCs w:val="19"/>
              </w:rPr>
            </w:pPr>
            <w:r w:rsidRPr="00DF0819">
              <w:rPr>
                <w:sz w:val="19"/>
                <w:szCs w:val="19"/>
              </w:rPr>
              <w:t>Meets A, partially meets B, C, D and E (a higher partially meets than option one).</w:t>
            </w:r>
          </w:p>
          <w:p w:rsidR="007E57D9" w:rsidRPr="00DF0819" w:rsidRDefault="007E57D9" w:rsidP="009B5A71">
            <w:pPr>
              <w:pStyle w:val="TRBodyText"/>
              <w:spacing w:line="240" w:lineRule="auto"/>
              <w:jc w:val="left"/>
              <w:rPr>
                <w:sz w:val="19"/>
                <w:szCs w:val="19"/>
              </w:rPr>
            </w:pPr>
          </w:p>
          <w:p w:rsidR="007E57D9" w:rsidRPr="00DF0819" w:rsidRDefault="007E57D9" w:rsidP="009B5A71">
            <w:pPr>
              <w:pStyle w:val="TRBodyText"/>
              <w:spacing w:line="240" w:lineRule="auto"/>
              <w:jc w:val="left"/>
              <w:rPr>
                <w:sz w:val="19"/>
                <w:szCs w:val="19"/>
              </w:rPr>
            </w:pPr>
            <w:r w:rsidRPr="00DF0819">
              <w:rPr>
                <w:sz w:val="19"/>
                <w:szCs w:val="19"/>
              </w:rPr>
              <w:t xml:space="preserve"> </w:t>
            </w:r>
          </w:p>
        </w:tc>
        <w:tc>
          <w:tcPr>
            <w:tcW w:w="1985" w:type="dxa"/>
            <w:tcBorders>
              <w:top w:val="single" w:sz="4" w:space="0" w:color="auto"/>
              <w:left w:val="single" w:sz="4" w:space="0" w:color="auto"/>
              <w:bottom w:val="single" w:sz="4" w:space="0" w:color="auto"/>
              <w:right w:val="single" w:sz="4" w:space="0" w:color="auto"/>
            </w:tcBorders>
            <w:tcMar>
              <w:bottom w:w="0" w:type="dxa"/>
            </w:tcMar>
            <w:hideMark/>
          </w:tcPr>
          <w:p w:rsidR="007E57D9" w:rsidRPr="00DF0819" w:rsidRDefault="007E57D9" w:rsidP="009B5A71">
            <w:pPr>
              <w:pStyle w:val="TRBodyText"/>
              <w:spacing w:line="240" w:lineRule="auto"/>
              <w:jc w:val="left"/>
              <w:rPr>
                <w:sz w:val="19"/>
                <w:szCs w:val="19"/>
              </w:rPr>
            </w:pPr>
            <w:r w:rsidRPr="00DF0819">
              <w:rPr>
                <w:sz w:val="19"/>
                <w:szCs w:val="19"/>
              </w:rPr>
              <w:t>None – same as option one.</w:t>
            </w:r>
          </w:p>
        </w:tc>
        <w:tc>
          <w:tcPr>
            <w:tcW w:w="1701" w:type="dxa"/>
          </w:tcPr>
          <w:p w:rsidR="007E57D9" w:rsidRPr="00DF0819" w:rsidRDefault="007E57D9" w:rsidP="009B5A71">
            <w:pPr>
              <w:pStyle w:val="TRBodyText"/>
              <w:spacing w:line="240" w:lineRule="auto"/>
              <w:jc w:val="left"/>
              <w:rPr>
                <w:sz w:val="19"/>
                <w:szCs w:val="19"/>
              </w:rPr>
            </w:pPr>
            <w:r w:rsidRPr="00DF0819">
              <w:rPr>
                <w:sz w:val="19"/>
                <w:szCs w:val="19"/>
              </w:rPr>
              <w:t>Minimal</w:t>
            </w:r>
            <w:r w:rsidR="00D06B90" w:rsidRPr="00DF0819">
              <w:rPr>
                <w:sz w:val="19"/>
                <w:szCs w:val="19"/>
              </w:rPr>
              <w:t xml:space="preserve"> – same as option one.</w:t>
            </w:r>
          </w:p>
        </w:tc>
        <w:tc>
          <w:tcPr>
            <w:tcW w:w="2126" w:type="dxa"/>
          </w:tcPr>
          <w:p w:rsidR="007E57D9" w:rsidRPr="00DF0819" w:rsidRDefault="007E57D9" w:rsidP="009B5A71">
            <w:pPr>
              <w:pStyle w:val="Bullet-list"/>
              <w:spacing w:after="0" w:line="240" w:lineRule="auto"/>
              <w:ind w:left="0" w:firstLine="0"/>
              <w:rPr>
                <w:rFonts w:ascii="Times New Roman" w:hAnsi="Times New Roman"/>
                <w:sz w:val="19"/>
                <w:szCs w:val="19"/>
                <w:lang w:eastAsia="en-NZ"/>
              </w:rPr>
            </w:pPr>
            <w:r w:rsidRPr="00DF0819">
              <w:rPr>
                <w:rFonts w:ascii="Times New Roman" w:hAnsi="Times New Roman"/>
                <w:sz w:val="19"/>
                <w:szCs w:val="19"/>
                <w:lang w:eastAsia="en-NZ"/>
              </w:rPr>
              <w:t>Precedent risk – same as option one.</w:t>
            </w:r>
          </w:p>
        </w:tc>
      </w:tr>
    </w:tbl>
    <w:tbl>
      <w:tblPr>
        <w:tblpPr w:leftFromText="180" w:rightFromText="180" w:vertAnchor="text" w:horzAnchor="margin" w:tblpY="1"/>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1701"/>
        <w:gridCol w:w="1985"/>
        <w:gridCol w:w="1701"/>
        <w:gridCol w:w="2126"/>
      </w:tblGrid>
      <w:tr w:rsidR="007E57D9" w:rsidRPr="00DF0819" w:rsidTr="001E3849">
        <w:trPr>
          <w:trHeight w:val="1209"/>
        </w:trPr>
        <w:tc>
          <w:tcPr>
            <w:tcW w:w="1758"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6D224D">
            <w:pPr>
              <w:pStyle w:val="Bullet-list"/>
              <w:spacing w:after="0" w:line="240" w:lineRule="auto"/>
              <w:ind w:left="0" w:firstLine="0"/>
              <w:rPr>
                <w:rFonts w:ascii="Times New Roman" w:hAnsi="Times New Roman"/>
                <w:sz w:val="19"/>
                <w:szCs w:val="19"/>
                <w:lang w:eastAsia="en-NZ"/>
              </w:rPr>
            </w:pPr>
            <w:r w:rsidRPr="00DF0819">
              <w:rPr>
                <w:rFonts w:ascii="Times New Roman" w:hAnsi="Times New Roman"/>
                <w:sz w:val="19"/>
                <w:szCs w:val="19"/>
                <w:lang w:eastAsia="en-NZ"/>
              </w:rPr>
              <w:t>Option three – extension of the business premises exclusion</w:t>
            </w:r>
          </w:p>
        </w:tc>
        <w:tc>
          <w:tcPr>
            <w:tcW w:w="1701"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7E57D9">
            <w:pPr>
              <w:pStyle w:val="TRBodyText"/>
              <w:spacing w:line="240" w:lineRule="auto"/>
              <w:jc w:val="left"/>
              <w:rPr>
                <w:sz w:val="19"/>
                <w:szCs w:val="19"/>
              </w:rPr>
            </w:pPr>
            <w:r w:rsidRPr="00DF0819">
              <w:rPr>
                <w:sz w:val="19"/>
                <w:szCs w:val="19"/>
              </w:rPr>
              <w:t>Partially meets A and B, meets C, D and E</w:t>
            </w:r>
          </w:p>
        </w:tc>
        <w:tc>
          <w:tcPr>
            <w:tcW w:w="1985"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6D224D">
            <w:pPr>
              <w:pStyle w:val="TRBodyText"/>
              <w:spacing w:line="240" w:lineRule="auto"/>
              <w:jc w:val="left"/>
              <w:rPr>
                <w:sz w:val="19"/>
                <w:szCs w:val="19"/>
              </w:rPr>
            </w:pPr>
            <w:r w:rsidRPr="00DF0819">
              <w:rPr>
                <w:sz w:val="19"/>
                <w:szCs w:val="19"/>
              </w:rPr>
              <w:t>Unquantifiable reduction in revenue as more land will fall within the business premises exemption and therefore will not be subject to tax on disposal.</w:t>
            </w:r>
          </w:p>
        </w:tc>
        <w:tc>
          <w:tcPr>
            <w:tcW w:w="1701" w:type="dxa"/>
          </w:tcPr>
          <w:p w:rsidR="007E57D9" w:rsidRPr="00DF0819" w:rsidRDefault="007E57D9" w:rsidP="006D224D">
            <w:pPr>
              <w:pStyle w:val="TRBodyText"/>
              <w:spacing w:line="240" w:lineRule="auto"/>
              <w:jc w:val="left"/>
              <w:rPr>
                <w:sz w:val="19"/>
                <w:szCs w:val="19"/>
              </w:rPr>
            </w:pPr>
            <w:r w:rsidRPr="00DF0819">
              <w:rPr>
                <w:sz w:val="19"/>
                <w:szCs w:val="19"/>
              </w:rPr>
              <w:t>Moderate</w:t>
            </w:r>
            <w:r w:rsidR="00D06B90" w:rsidRPr="00DF0819">
              <w:rPr>
                <w:sz w:val="19"/>
                <w:szCs w:val="19"/>
              </w:rPr>
              <w:t xml:space="preserve"> – same as option one but there may also be administrative costs associated with confirming how the law impacts various groups.</w:t>
            </w:r>
          </w:p>
        </w:tc>
        <w:tc>
          <w:tcPr>
            <w:tcW w:w="2126" w:type="dxa"/>
          </w:tcPr>
          <w:p w:rsidR="007E57D9" w:rsidRPr="00DF0819" w:rsidRDefault="007E57D9" w:rsidP="006D224D">
            <w:pPr>
              <w:pStyle w:val="TRBodyText"/>
              <w:spacing w:line="240" w:lineRule="auto"/>
              <w:jc w:val="left"/>
              <w:rPr>
                <w:sz w:val="19"/>
                <w:szCs w:val="19"/>
              </w:rPr>
            </w:pPr>
            <w:r w:rsidRPr="00DF0819">
              <w:rPr>
                <w:sz w:val="19"/>
                <w:szCs w:val="19"/>
              </w:rPr>
              <w:t>Unintended consequences – the loosening of the rule creates the risk that some tax avoiders may escape the tax net.</w:t>
            </w:r>
          </w:p>
        </w:tc>
      </w:tr>
      <w:tr w:rsidR="007E57D9" w:rsidRPr="00DF0819" w:rsidTr="007E57D9">
        <w:trPr>
          <w:trHeight w:val="1209"/>
        </w:trPr>
        <w:tc>
          <w:tcPr>
            <w:tcW w:w="1758"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6D224D">
            <w:pPr>
              <w:pStyle w:val="Bullet-list"/>
              <w:spacing w:after="0" w:line="240" w:lineRule="auto"/>
              <w:ind w:left="0" w:firstLine="0"/>
              <w:rPr>
                <w:rFonts w:ascii="Times New Roman" w:hAnsi="Times New Roman"/>
                <w:sz w:val="19"/>
                <w:szCs w:val="19"/>
                <w:lang w:eastAsia="en-NZ"/>
              </w:rPr>
            </w:pPr>
            <w:r w:rsidRPr="00DF0819">
              <w:rPr>
                <w:rFonts w:ascii="Times New Roman" w:hAnsi="Times New Roman"/>
                <w:sz w:val="19"/>
                <w:szCs w:val="19"/>
                <w:lang w:eastAsia="en-NZ"/>
              </w:rPr>
              <w:t>Option four – status quo</w:t>
            </w:r>
          </w:p>
        </w:tc>
        <w:tc>
          <w:tcPr>
            <w:tcW w:w="1701"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5616C5">
            <w:pPr>
              <w:pStyle w:val="TRBodyText"/>
              <w:spacing w:line="240" w:lineRule="auto"/>
              <w:jc w:val="left"/>
              <w:rPr>
                <w:sz w:val="19"/>
                <w:szCs w:val="19"/>
              </w:rPr>
            </w:pPr>
            <w:r w:rsidRPr="00DF0819">
              <w:rPr>
                <w:sz w:val="19"/>
                <w:szCs w:val="19"/>
              </w:rPr>
              <w:t>Does not meet A, B, D</w:t>
            </w:r>
            <w:r w:rsidR="005616C5" w:rsidRPr="00DF0819">
              <w:rPr>
                <w:sz w:val="19"/>
                <w:szCs w:val="19"/>
              </w:rPr>
              <w:t xml:space="preserve"> or E</w:t>
            </w:r>
            <w:r w:rsidRPr="00DF0819">
              <w:rPr>
                <w:sz w:val="19"/>
                <w:szCs w:val="19"/>
              </w:rPr>
              <w:t>, partially meets C</w:t>
            </w:r>
          </w:p>
        </w:tc>
        <w:tc>
          <w:tcPr>
            <w:tcW w:w="1985" w:type="dxa"/>
            <w:tcBorders>
              <w:top w:val="single" w:sz="4" w:space="0" w:color="auto"/>
              <w:left w:val="single" w:sz="4" w:space="0" w:color="auto"/>
              <w:bottom w:val="single" w:sz="4" w:space="0" w:color="auto"/>
              <w:right w:val="single" w:sz="4" w:space="0" w:color="auto"/>
            </w:tcBorders>
            <w:tcMar>
              <w:bottom w:w="0" w:type="dxa"/>
            </w:tcMar>
          </w:tcPr>
          <w:p w:rsidR="007E57D9" w:rsidRPr="00DF0819" w:rsidRDefault="007E57D9" w:rsidP="006E277B">
            <w:pPr>
              <w:pStyle w:val="TRBodyText"/>
              <w:spacing w:line="240" w:lineRule="auto"/>
              <w:jc w:val="left"/>
              <w:rPr>
                <w:sz w:val="19"/>
                <w:szCs w:val="19"/>
              </w:rPr>
            </w:pPr>
            <w:r w:rsidRPr="00DF0819">
              <w:rPr>
                <w:sz w:val="19"/>
                <w:szCs w:val="19"/>
              </w:rPr>
              <w:t>None</w:t>
            </w:r>
          </w:p>
        </w:tc>
        <w:tc>
          <w:tcPr>
            <w:tcW w:w="1701" w:type="dxa"/>
          </w:tcPr>
          <w:p w:rsidR="007E57D9" w:rsidRPr="00DF0819" w:rsidRDefault="007E57D9" w:rsidP="006D224D">
            <w:pPr>
              <w:pStyle w:val="TRBodyText"/>
              <w:spacing w:line="240" w:lineRule="auto"/>
              <w:jc w:val="left"/>
              <w:rPr>
                <w:sz w:val="19"/>
                <w:szCs w:val="19"/>
              </w:rPr>
            </w:pPr>
            <w:r w:rsidRPr="00DF0819">
              <w:rPr>
                <w:sz w:val="19"/>
                <w:szCs w:val="19"/>
              </w:rPr>
              <w:t>Possible administrative costs associated with confirming how the law impacts on the arrangements entered into by the AC group.</w:t>
            </w:r>
          </w:p>
        </w:tc>
        <w:tc>
          <w:tcPr>
            <w:tcW w:w="2126" w:type="dxa"/>
          </w:tcPr>
          <w:p w:rsidR="007E57D9" w:rsidRPr="00DF0819" w:rsidRDefault="007E57D9" w:rsidP="006D224D">
            <w:pPr>
              <w:pStyle w:val="TRBodyText"/>
              <w:spacing w:line="240" w:lineRule="auto"/>
              <w:jc w:val="left"/>
              <w:rPr>
                <w:sz w:val="19"/>
                <w:szCs w:val="19"/>
                <w:lang w:eastAsia="en-NZ"/>
              </w:rPr>
            </w:pPr>
            <w:r w:rsidRPr="00DF0819">
              <w:rPr>
                <w:sz w:val="19"/>
                <w:szCs w:val="19"/>
                <w:lang w:eastAsia="en-NZ"/>
              </w:rPr>
              <w:t>This option will likely distort economic development decisions of the AC group (and others) and lead to excessive compliance costs.</w:t>
            </w:r>
          </w:p>
        </w:tc>
      </w:tr>
    </w:tbl>
    <w:p w:rsidR="005616C5" w:rsidRPr="00DF0819" w:rsidRDefault="005616C5" w:rsidP="00001136">
      <w:pPr>
        <w:pStyle w:val="TRListBullet"/>
        <w:spacing w:after="0" w:line="240" w:lineRule="auto"/>
        <w:ind w:left="0" w:firstLine="0"/>
        <w:rPr>
          <w:sz w:val="22"/>
          <w:lang w:val="en-GB" w:eastAsia="en-GB"/>
        </w:rPr>
      </w:pPr>
    </w:p>
    <w:p w:rsidR="002A0869" w:rsidRPr="00DF0819" w:rsidRDefault="006B13C0" w:rsidP="00001136">
      <w:pPr>
        <w:pStyle w:val="TRListBullet"/>
        <w:spacing w:after="0" w:line="240" w:lineRule="auto"/>
        <w:ind w:left="0" w:firstLine="0"/>
        <w:rPr>
          <w:i/>
          <w:sz w:val="20"/>
        </w:rPr>
      </w:pPr>
      <w:r w:rsidRPr="00DF0819">
        <w:rPr>
          <w:i/>
          <w:sz w:val="20"/>
        </w:rPr>
        <w:t>Key:  Objective A, Removal of tax impediments to Auckland’s development and housing objectives; Objective B</w:t>
      </w:r>
      <w:r w:rsidR="00D45326" w:rsidRPr="00DF0819">
        <w:rPr>
          <w:i/>
          <w:sz w:val="20"/>
        </w:rPr>
        <w:t>, Coherence; Objective C, Equity; Objective D,</w:t>
      </w:r>
      <w:r w:rsidRPr="00DF0819">
        <w:rPr>
          <w:i/>
          <w:sz w:val="20"/>
        </w:rPr>
        <w:t xml:space="preserve"> Efficiency</w:t>
      </w:r>
      <w:r w:rsidR="00EF3E02" w:rsidRPr="00DF0819">
        <w:rPr>
          <w:i/>
          <w:sz w:val="20"/>
        </w:rPr>
        <w:t>; Objective E, Compliance costs.</w:t>
      </w:r>
    </w:p>
    <w:p w:rsidR="009418D5" w:rsidRPr="00DF0819" w:rsidRDefault="009418D5" w:rsidP="00001136">
      <w:pPr>
        <w:pStyle w:val="TRListBullet"/>
        <w:spacing w:after="0" w:line="240" w:lineRule="auto"/>
        <w:ind w:left="0" w:firstLine="0"/>
        <w:rPr>
          <w:i/>
          <w:sz w:val="20"/>
        </w:rPr>
      </w:pPr>
    </w:p>
    <w:p w:rsidR="009418D5" w:rsidRPr="00DF0819" w:rsidRDefault="009418D5" w:rsidP="00001136">
      <w:pPr>
        <w:pStyle w:val="TRListBullet"/>
        <w:spacing w:after="0" w:line="240" w:lineRule="auto"/>
        <w:ind w:left="0" w:firstLine="0"/>
        <w:rPr>
          <w:sz w:val="20"/>
        </w:rPr>
      </w:pPr>
      <w:r w:rsidRPr="00DF0819">
        <w:rPr>
          <w:szCs w:val="24"/>
        </w:rPr>
        <w:fldChar w:fldCharType="begin"/>
      </w:r>
      <w:r w:rsidRPr="00DF0819">
        <w:rPr>
          <w:szCs w:val="24"/>
        </w:rPr>
        <w:instrText xml:space="preserve"> AUTONUM  </w:instrText>
      </w:r>
      <w:r w:rsidRPr="00DF0819">
        <w:rPr>
          <w:szCs w:val="24"/>
        </w:rPr>
        <w:fldChar w:fldCharType="end"/>
      </w:r>
      <w:r w:rsidRPr="00DF0819">
        <w:rPr>
          <w:szCs w:val="24"/>
        </w:rPr>
        <w:tab/>
        <w:t>The economic and compliance impacts of the options have been outlined in the assessment of the options against the objectives section of this RIS.  No cultural, social or environmental impacts are expected</w:t>
      </w:r>
      <w:r w:rsidR="00852694" w:rsidRPr="00DF0819">
        <w:rPr>
          <w:szCs w:val="24"/>
        </w:rPr>
        <w:t xml:space="preserve"> to arise directly from the options.</w:t>
      </w:r>
    </w:p>
    <w:p w:rsidR="006B13C0" w:rsidRPr="00DF0819" w:rsidRDefault="006B13C0" w:rsidP="00001136">
      <w:pPr>
        <w:pStyle w:val="TRListBullet"/>
        <w:spacing w:after="0" w:line="240" w:lineRule="auto"/>
        <w:ind w:left="0" w:firstLine="0"/>
      </w:pPr>
    </w:p>
    <w:p w:rsidR="000545DC" w:rsidRPr="00DF0819" w:rsidRDefault="00D943DD" w:rsidP="00C733D1">
      <w:pPr>
        <w:spacing w:after="0" w:line="240" w:lineRule="auto"/>
        <w:jc w:val="both"/>
        <w:rPr>
          <w:rFonts w:ascii="Times New Roman" w:hAnsi="Times New Roman"/>
          <w:b/>
          <w:sz w:val="24"/>
          <w:szCs w:val="24"/>
        </w:rPr>
      </w:pPr>
      <w:bookmarkStart w:id="22" w:name="_Toc244580366"/>
      <w:bookmarkStart w:id="23" w:name="_Toc244587042"/>
      <w:bookmarkStart w:id="24" w:name="_Toc244857276"/>
      <w:bookmarkStart w:id="25" w:name="_Toc244912541"/>
      <w:bookmarkStart w:id="26" w:name="_Toc244916998"/>
      <w:r w:rsidRPr="00DF0819">
        <w:rPr>
          <w:rFonts w:ascii="Times New Roman" w:hAnsi="Times New Roman"/>
          <w:b/>
          <w:sz w:val="24"/>
          <w:szCs w:val="24"/>
        </w:rPr>
        <w:t>CONSULTATION</w:t>
      </w:r>
      <w:bookmarkEnd w:id="22"/>
      <w:bookmarkEnd w:id="23"/>
      <w:bookmarkEnd w:id="24"/>
      <w:bookmarkEnd w:id="25"/>
      <w:bookmarkEnd w:id="26"/>
    </w:p>
    <w:p w:rsidR="00C733D1" w:rsidRPr="00DF0819" w:rsidRDefault="00C733D1" w:rsidP="00001136">
      <w:pPr>
        <w:spacing w:after="0" w:line="240" w:lineRule="auto"/>
        <w:jc w:val="both"/>
        <w:rPr>
          <w:rFonts w:ascii="Times New Roman" w:hAnsi="Times New Roman"/>
          <w:sz w:val="24"/>
          <w:szCs w:val="24"/>
        </w:rPr>
      </w:pPr>
    </w:p>
    <w:p w:rsidR="00BD7473" w:rsidRPr="00DF0819" w:rsidRDefault="00C44566"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635BF8" w:rsidRPr="00DF0819">
        <w:rPr>
          <w:rFonts w:ascii="Times New Roman" w:hAnsi="Times New Roman"/>
          <w:sz w:val="24"/>
          <w:szCs w:val="24"/>
        </w:rPr>
        <w:t xml:space="preserve">Inland Revenue officials have </w:t>
      </w:r>
      <w:r w:rsidR="00E05705" w:rsidRPr="00DF0819">
        <w:rPr>
          <w:rFonts w:ascii="Times New Roman" w:hAnsi="Times New Roman"/>
          <w:sz w:val="24"/>
          <w:szCs w:val="24"/>
        </w:rPr>
        <w:t>consulted</w:t>
      </w:r>
      <w:r w:rsidR="00635BF8" w:rsidRPr="00DF0819">
        <w:rPr>
          <w:rFonts w:ascii="Times New Roman" w:hAnsi="Times New Roman"/>
          <w:sz w:val="24"/>
          <w:szCs w:val="24"/>
        </w:rPr>
        <w:t xml:space="preserve"> with </w:t>
      </w:r>
      <w:r w:rsidR="00902ACA" w:rsidRPr="00DF0819">
        <w:rPr>
          <w:rFonts w:ascii="Times New Roman" w:hAnsi="Times New Roman"/>
          <w:sz w:val="24"/>
          <w:szCs w:val="24"/>
        </w:rPr>
        <w:t>Auckland Council (and their tax advisors)</w:t>
      </w:r>
      <w:r w:rsidR="003345BA" w:rsidRPr="00DF0819">
        <w:rPr>
          <w:rFonts w:ascii="Times New Roman" w:hAnsi="Times New Roman"/>
          <w:sz w:val="24"/>
          <w:szCs w:val="24"/>
        </w:rPr>
        <w:t xml:space="preserve"> and </w:t>
      </w:r>
      <w:r w:rsidR="003424B1" w:rsidRPr="00DF0819">
        <w:rPr>
          <w:rFonts w:ascii="Times New Roman" w:hAnsi="Times New Roman"/>
          <w:sz w:val="24"/>
          <w:szCs w:val="24"/>
        </w:rPr>
        <w:t>t</w:t>
      </w:r>
      <w:r w:rsidR="003345BA" w:rsidRPr="00DF0819">
        <w:rPr>
          <w:rFonts w:ascii="Times New Roman" w:hAnsi="Times New Roman"/>
          <w:sz w:val="24"/>
          <w:szCs w:val="24"/>
        </w:rPr>
        <w:t>he Treasury on the problem definition and the objectives, as well as on the legal analysis</w:t>
      </w:r>
      <w:r w:rsidR="00EF3E02" w:rsidRPr="00DF0819">
        <w:rPr>
          <w:rFonts w:ascii="Times New Roman" w:hAnsi="Times New Roman"/>
          <w:sz w:val="24"/>
          <w:szCs w:val="24"/>
        </w:rPr>
        <w:t xml:space="preserve"> and options</w:t>
      </w:r>
      <w:r w:rsidR="003345BA" w:rsidRPr="00DF0819">
        <w:rPr>
          <w:rFonts w:ascii="Times New Roman" w:hAnsi="Times New Roman"/>
          <w:sz w:val="24"/>
          <w:szCs w:val="24"/>
        </w:rPr>
        <w:t>.</w:t>
      </w:r>
      <w:r w:rsidR="00EF3E02" w:rsidRPr="00DF0819">
        <w:rPr>
          <w:rFonts w:ascii="Times New Roman" w:hAnsi="Times New Roman"/>
          <w:sz w:val="24"/>
          <w:szCs w:val="24"/>
        </w:rPr>
        <w:t xml:space="preserve">  Consultation was in the form of face-to-face meetings, telephone calls and emails</w:t>
      </w:r>
      <w:r w:rsidR="005616C5" w:rsidRPr="00DF0819">
        <w:rPr>
          <w:rFonts w:ascii="Times New Roman" w:hAnsi="Times New Roman"/>
          <w:sz w:val="24"/>
          <w:szCs w:val="24"/>
        </w:rPr>
        <w:t xml:space="preserve"> over the second half of 2015</w:t>
      </w:r>
      <w:r w:rsidR="00EF3E02" w:rsidRPr="00DF0819">
        <w:rPr>
          <w:rFonts w:ascii="Times New Roman" w:hAnsi="Times New Roman"/>
          <w:sz w:val="24"/>
          <w:szCs w:val="24"/>
        </w:rPr>
        <w:t>.</w:t>
      </w:r>
      <w:r w:rsidR="003345BA" w:rsidRPr="00DF0819">
        <w:rPr>
          <w:rFonts w:ascii="Times New Roman" w:hAnsi="Times New Roman"/>
          <w:sz w:val="24"/>
          <w:szCs w:val="24"/>
        </w:rPr>
        <w:t xml:space="preserve">  </w:t>
      </w:r>
      <w:r w:rsidR="00EF3E02" w:rsidRPr="00DF0819">
        <w:rPr>
          <w:rFonts w:ascii="Times New Roman" w:hAnsi="Times New Roman"/>
          <w:sz w:val="24"/>
          <w:szCs w:val="24"/>
        </w:rPr>
        <w:t xml:space="preserve">All </w:t>
      </w:r>
      <w:r w:rsidR="003345BA" w:rsidRPr="00DF0819">
        <w:rPr>
          <w:rFonts w:ascii="Times New Roman" w:hAnsi="Times New Roman"/>
          <w:sz w:val="24"/>
          <w:szCs w:val="24"/>
        </w:rPr>
        <w:t>support option two.</w:t>
      </w:r>
    </w:p>
    <w:p w:rsidR="00C733D1" w:rsidRPr="00DF0819" w:rsidRDefault="00C733D1" w:rsidP="00001136">
      <w:pPr>
        <w:spacing w:after="0" w:line="240" w:lineRule="auto"/>
        <w:jc w:val="both"/>
        <w:rPr>
          <w:rFonts w:ascii="Times New Roman" w:hAnsi="Times New Roman"/>
          <w:sz w:val="24"/>
          <w:szCs w:val="24"/>
        </w:rPr>
      </w:pPr>
    </w:p>
    <w:p w:rsidR="00EE2409" w:rsidRPr="00DF0819" w:rsidRDefault="00C44566"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635BF8" w:rsidRPr="00DF0819">
        <w:rPr>
          <w:rFonts w:ascii="Times New Roman" w:hAnsi="Times New Roman"/>
          <w:sz w:val="24"/>
          <w:szCs w:val="24"/>
        </w:rPr>
        <w:t>One of the major concerns raised</w:t>
      </w:r>
      <w:r w:rsidR="003338BA" w:rsidRPr="00DF0819">
        <w:rPr>
          <w:rFonts w:ascii="Times New Roman" w:hAnsi="Times New Roman"/>
          <w:sz w:val="24"/>
          <w:szCs w:val="24"/>
        </w:rPr>
        <w:t xml:space="preserve"> by the Treasury</w:t>
      </w:r>
      <w:r w:rsidR="00635BF8" w:rsidRPr="00DF0819">
        <w:rPr>
          <w:rFonts w:ascii="Times New Roman" w:hAnsi="Times New Roman"/>
          <w:sz w:val="24"/>
          <w:szCs w:val="24"/>
        </w:rPr>
        <w:t xml:space="preserve"> in </w:t>
      </w:r>
      <w:r w:rsidR="00EA34CA" w:rsidRPr="00DF0819">
        <w:rPr>
          <w:rFonts w:ascii="Times New Roman" w:hAnsi="Times New Roman"/>
          <w:sz w:val="24"/>
          <w:szCs w:val="24"/>
        </w:rPr>
        <w:t>consultation</w:t>
      </w:r>
      <w:r w:rsidR="00635BF8" w:rsidRPr="00DF0819">
        <w:rPr>
          <w:rFonts w:ascii="Times New Roman" w:hAnsi="Times New Roman"/>
          <w:sz w:val="24"/>
          <w:szCs w:val="24"/>
        </w:rPr>
        <w:t xml:space="preserve"> </w:t>
      </w:r>
      <w:r w:rsidR="001847C8" w:rsidRPr="00DF0819">
        <w:rPr>
          <w:rFonts w:ascii="Times New Roman" w:hAnsi="Times New Roman"/>
          <w:sz w:val="24"/>
          <w:szCs w:val="24"/>
        </w:rPr>
        <w:t>was</w:t>
      </w:r>
      <w:r w:rsidR="00635BF8" w:rsidRPr="00DF0819">
        <w:rPr>
          <w:rFonts w:ascii="Times New Roman" w:hAnsi="Times New Roman"/>
          <w:sz w:val="24"/>
          <w:szCs w:val="24"/>
        </w:rPr>
        <w:t xml:space="preserve"> that allowing a </w:t>
      </w:r>
      <w:r w:rsidR="001847C8" w:rsidRPr="00DF0819">
        <w:rPr>
          <w:rFonts w:ascii="Times New Roman" w:hAnsi="Times New Roman"/>
          <w:sz w:val="24"/>
          <w:szCs w:val="24"/>
        </w:rPr>
        <w:t xml:space="preserve">council-specific exemption </w:t>
      </w:r>
      <w:r w:rsidR="00635BF8" w:rsidRPr="00DF0819">
        <w:rPr>
          <w:rFonts w:ascii="Times New Roman" w:hAnsi="Times New Roman"/>
          <w:sz w:val="24"/>
          <w:szCs w:val="24"/>
        </w:rPr>
        <w:t>may</w:t>
      </w:r>
      <w:r w:rsidR="00EA34CA" w:rsidRPr="00DF0819">
        <w:rPr>
          <w:rFonts w:ascii="Times New Roman" w:hAnsi="Times New Roman"/>
          <w:sz w:val="24"/>
          <w:szCs w:val="24"/>
        </w:rPr>
        <w:t xml:space="preserve"> encourage others to lobby for similar treatment.</w:t>
      </w:r>
      <w:r w:rsidR="001847C8" w:rsidRPr="00DF0819">
        <w:rPr>
          <w:rFonts w:ascii="Times New Roman" w:hAnsi="Times New Roman"/>
          <w:sz w:val="24"/>
          <w:szCs w:val="24"/>
        </w:rPr>
        <w:t xml:space="preserve">  </w:t>
      </w:r>
      <w:r w:rsidR="00EF3E02" w:rsidRPr="00DF0819">
        <w:rPr>
          <w:rFonts w:ascii="Times New Roman" w:hAnsi="Times New Roman"/>
          <w:sz w:val="24"/>
          <w:szCs w:val="24"/>
        </w:rPr>
        <w:t xml:space="preserve">Inland Revenue, Treasury and Auckland Council’s tax advisors </w:t>
      </w:r>
      <w:r w:rsidR="001847C8" w:rsidRPr="00DF0819">
        <w:rPr>
          <w:rFonts w:ascii="Times New Roman" w:hAnsi="Times New Roman"/>
          <w:sz w:val="24"/>
          <w:szCs w:val="24"/>
        </w:rPr>
        <w:t>consider</w:t>
      </w:r>
      <w:r w:rsidR="005616C5" w:rsidRPr="00DF0819">
        <w:rPr>
          <w:rFonts w:ascii="Times New Roman" w:hAnsi="Times New Roman"/>
          <w:sz w:val="24"/>
          <w:szCs w:val="24"/>
        </w:rPr>
        <w:t xml:space="preserve"> </w:t>
      </w:r>
      <w:r w:rsidR="001847C8" w:rsidRPr="00DF0819">
        <w:rPr>
          <w:rFonts w:ascii="Times New Roman" w:hAnsi="Times New Roman"/>
          <w:sz w:val="24"/>
          <w:szCs w:val="24"/>
        </w:rPr>
        <w:t>that the unique circumstances</w:t>
      </w:r>
      <w:r w:rsidR="00C768E2" w:rsidRPr="00DF0819">
        <w:rPr>
          <w:rFonts w:ascii="Times New Roman" w:hAnsi="Times New Roman"/>
          <w:sz w:val="24"/>
          <w:szCs w:val="24"/>
        </w:rPr>
        <w:t xml:space="preserve"> </w:t>
      </w:r>
      <w:r w:rsidR="001847C8" w:rsidRPr="00DF0819">
        <w:rPr>
          <w:rFonts w:ascii="Times New Roman" w:hAnsi="Times New Roman"/>
          <w:sz w:val="24"/>
          <w:szCs w:val="24"/>
        </w:rPr>
        <w:t>of council groups</w:t>
      </w:r>
      <w:r w:rsidR="00EF3E02" w:rsidRPr="00DF0819">
        <w:rPr>
          <w:rFonts w:ascii="Times New Roman" w:hAnsi="Times New Roman"/>
          <w:sz w:val="24"/>
          <w:szCs w:val="24"/>
        </w:rPr>
        <w:t xml:space="preserve"> (see paragraph </w:t>
      </w:r>
      <w:r w:rsidR="00EF3E02" w:rsidRPr="005A17E0">
        <w:rPr>
          <w:rFonts w:ascii="Times New Roman" w:hAnsi="Times New Roman"/>
          <w:sz w:val="24"/>
          <w:szCs w:val="24"/>
        </w:rPr>
        <w:t>1</w:t>
      </w:r>
      <w:r w:rsidR="00B90701" w:rsidRPr="005A17E0">
        <w:rPr>
          <w:rFonts w:ascii="Times New Roman" w:hAnsi="Times New Roman"/>
          <w:sz w:val="24"/>
          <w:szCs w:val="24"/>
        </w:rPr>
        <w:t>4</w:t>
      </w:r>
      <w:r w:rsidR="00EF3E02" w:rsidRPr="00DF0819">
        <w:rPr>
          <w:rFonts w:ascii="Times New Roman" w:hAnsi="Times New Roman"/>
          <w:sz w:val="24"/>
          <w:szCs w:val="24"/>
        </w:rPr>
        <w:t>)</w:t>
      </w:r>
      <w:r w:rsidR="001847C8" w:rsidRPr="00DF0819">
        <w:rPr>
          <w:rFonts w:ascii="Times New Roman" w:hAnsi="Times New Roman"/>
          <w:sz w:val="24"/>
          <w:szCs w:val="24"/>
        </w:rPr>
        <w:t xml:space="preserve"> and the urgency of the situation warrant</w:t>
      </w:r>
      <w:r w:rsidR="00E05705" w:rsidRPr="00DF0819">
        <w:rPr>
          <w:rFonts w:ascii="Times New Roman" w:hAnsi="Times New Roman"/>
          <w:sz w:val="24"/>
          <w:szCs w:val="24"/>
        </w:rPr>
        <w:t>s</w:t>
      </w:r>
      <w:r w:rsidRPr="00DF0819">
        <w:rPr>
          <w:rFonts w:ascii="Times New Roman" w:hAnsi="Times New Roman"/>
          <w:sz w:val="24"/>
          <w:szCs w:val="24"/>
        </w:rPr>
        <w:t xml:space="preserve"> a specific fix for councils.  </w:t>
      </w:r>
    </w:p>
    <w:p w:rsidR="00C733D1" w:rsidRPr="00DF0819" w:rsidRDefault="00C733D1" w:rsidP="00001136">
      <w:pPr>
        <w:spacing w:after="0" w:line="240" w:lineRule="auto"/>
        <w:jc w:val="both"/>
        <w:rPr>
          <w:rFonts w:ascii="Times New Roman" w:hAnsi="Times New Roman"/>
          <w:sz w:val="24"/>
          <w:szCs w:val="24"/>
        </w:rPr>
      </w:pPr>
    </w:p>
    <w:p w:rsidR="00BD7473" w:rsidRPr="00DF0819" w:rsidRDefault="00C44566"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1847C8" w:rsidRPr="00DF0819">
        <w:rPr>
          <w:rFonts w:ascii="Times New Roman" w:hAnsi="Times New Roman"/>
          <w:sz w:val="24"/>
          <w:szCs w:val="24"/>
        </w:rPr>
        <w:t xml:space="preserve">The Department of Internal Affairs was also consulted </w:t>
      </w:r>
      <w:r w:rsidR="00C768E2" w:rsidRPr="00DF0819">
        <w:rPr>
          <w:rFonts w:ascii="Times New Roman" w:hAnsi="Times New Roman"/>
          <w:sz w:val="24"/>
          <w:szCs w:val="24"/>
        </w:rPr>
        <w:t>and informed us that the tainting rules were impacting</w:t>
      </w:r>
      <w:r w:rsidR="00A60688" w:rsidRPr="00DF0819">
        <w:rPr>
          <w:rFonts w:ascii="Times New Roman" w:hAnsi="Times New Roman"/>
          <w:sz w:val="24"/>
          <w:szCs w:val="24"/>
        </w:rPr>
        <w:t xml:space="preserve"> at least 2</w:t>
      </w:r>
      <w:r w:rsidR="00C768E2" w:rsidRPr="00DF0819">
        <w:rPr>
          <w:rFonts w:ascii="Times New Roman" w:hAnsi="Times New Roman"/>
          <w:sz w:val="24"/>
          <w:szCs w:val="24"/>
        </w:rPr>
        <w:t xml:space="preserve"> other council groups.</w:t>
      </w:r>
    </w:p>
    <w:p w:rsidR="007F3A69" w:rsidRPr="00DF0819" w:rsidRDefault="007F3A69" w:rsidP="00001136">
      <w:pPr>
        <w:spacing w:after="0" w:line="240" w:lineRule="auto"/>
        <w:jc w:val="both"/>
        <w:rPr>
          <w:rFonts w:ascii="Times New Roman" w:hAnsi="Times New Roman"/>
          <w:sz w:val="24"/>
          <w:szCs w:val="24"/>
        </w:rPr>
      </w:pPr>
    </w:p>
    <w:p w:rsidR="007F3A69" w:rsidRPr="00DF0819" w:rsidRDefault="007F3A6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Wider consultation was not conducted due to time constraints (described in paragraph </w:t>
      </w:r>
      <w:r w:rsidR="0087119D" w:rsidRPr="005A17E0">
        <w:rPr>
          <w:rFonts w:ascii="Times New Roman" w:hAnsi="Times New Roman"/>
          <w:sz w:val="24"/>
          <w:szCs w:val="24"/>
        </w:rPr>
        <w:t>27</w:t>
      </w:r>
      <w:r w:rsidRPr="00DF0819">
        <w:rPr>
          <w:rFonts w:ascii="Times New Roman" w:hAnsi="Times New Roman"/>
          <w:sz w:val="24"/>
          <w:szCs w:val="24"/>
        </w:rPr>
        <w:t>).</w:t>
      </w:r>
    </w:p>
    <w:p w:rsidR="00C733D1" w:rsidRPr="00DF0819" w:rsidRDefault="00C733D1" w:rsidP="00C733D1">
      <w:pPr>
        <w:spacing w:after="0" w:line="240" w:lineRule="auto"/>
        <w:jc w:val="both"/>
        <w:rPr>
          <w:rFonts w:ascii="Times New Roman" w:hAnsi="Times New Roman"/>
          <w:sz w:val="24"/>
          <w:szCs w:val="24"/>
        </w:rPr>
      </w:pPr>
      <w:bookmarkStart w:id="27" w:name="_Toc244580367"/>
      <w:bookmarkStart w:id="28" w:name="_Toc244587043"/>
      <w:bookmarkStart w:id="29" w:name="_Toc244857277"/>
      <w:bookmarkStart w:id="30" w:name="_Toc244912542"/>
      <w:bookmarkStart w:id="31" w:name="_Toc244916999"/>
    </w:p>
    <w:p w:rsidR="000545DC" w:rsidRPr="00DF0819" w:rsidRDefault="00D943DD" w:rsidP="00C733D1">
      <w:pPr>
        <w:spacing w:after="0" w:line="240" w:lineRule="auto"/>
        <w:jc w:val="both"/>
        <w:rPr>
          <w:rFonts w:ascii="Times New Roman" w:hAnsi="Times New Roman"/>
          <w:b/>
          <w:sz w:val="24"/>
          <w:szCs w:val="24"/>
        </w:rPr>
      </w:pPr>
      <w:r w:rsidRPr="00DF0819">
        <w:rPr>
          <w:rFonts w:ascii="Times New Roman" w:hAnsi="Times New Roman"/>
          <w:b/>
          <w:sz w:val="24"/>
          <w:szCs w:val="24"/>
        </w:rPr>
        <w:t>CONCLUSIONS AND RECOMMENDATIONS</w:t>
      </w:r>
      <w:bookmarkEnd w:id="27"/>
      <w:bookmarkEnd w:id="28"/>
      <w:bookmarkEnd w:id="29"/>
      <w:bookmarkEnd w:id="30"/>
      <w:bookmarkEnd w:id="31"/>
    </w:p>
    <w:p w:rsidR="00C733D1" w:rsidRPr="00DF0819" w:rsidRDefault="00C733D1" w:rsidP="00001136">
      <w:pPr>
        <w:spacing w:after="0" w:line="240" w:lineRule="auto"/>
        <w:jc w:val="both"/>
        <w:rPr>
          <w:rFonts w:ascii="Times New Roman" w:hAnsi="Times New Roman"/>
          <w:sz w:val="24"/>
          <w:szCs w:val="24"/>
        </w:rPr>
      </w:pPr>
      <w:bookmarkStart w:id="32" w:name="_Toc244580368"/>
      <w:bookmarkStart w:id="33" w:name="_Toc244587044"/>
      <w:bookmarkStart w:id="34" w:name="_Toc244857278"/>
      <w:bookmarkStart w:id="35" w:name="_Toc244912543"/>
      <w:bookmarkStart w:id="36" w:name="_Toc244917000"/>
    </w:p>
    <w:p w:rsidR="009C5B20" w:rsidRPr="00DF0819" w:rsidRDefault="00C44566"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9C5B20" w:rsidRPr="00DF0819">
        <w:rPr>
          <w:rFonts w:ascii="Times New Roman" w:hAnsi="Times New Roman"/>
          <w:sz w:val="24"/>
          <w:szCs w:val="24"/>
        </w:rPr>
        <w:t>Inland Revenue prefer</w:t>
      </w:r>
      <w:r w:rsidR="006C4F9E" w:rsidRPr="00DF0819">
        <w:rPr>
          <w:rFonts w:ascii="Times New Roman" w:hAnsi="Times New Roman"/>
          <w:sz w:val="24"/>
          <w:szCs w:val="24"/>
        </w:rPr>
        <w:t>s</w:t>
      </w:r>
      <w:r w:rsidR="009C5B20" w:rsidRPr="00DF0819">
        <w:rPr>
          <w:rFonts w:ascii="Times New Roman" w:hAnsi="Times New Roman"/>
          <w:sz w:val="24"/>
          <w:szCs w:val="24"/>
        </w:rPr>
        <w:t xml:space="preserve"> option two for the following reasons:</w:t>
      </w:r>
    </w:p>
    <w:p w:rsidR="00C733D1" w:rsidRPr="00DF0819" w:rsidRDefault="00C733D1" w:rsidP="00001136">
      <w:pPr>
        <w:spacing w:after="0" w:line="240" w:lineRule="auto"/>
        <w:jc w:val="both"/>
        <w:rPr>
          <w:rFonts w:ascii="Times New Roman" w:hAnsi="Times New Roman"/>
          <w:sz w:val="24"/>
          <w:szCs w:val="24"/>
        </w:rPr>
      </w:pPr>
    </w:p>
    <w:p w:rsidR="009C5B20" w:rsidRPr="00DF0819" w:rsidRDefault="009C5B20" w:rsidP="00001136">
      <w:pPr>
        <w:pStyle w:val="TRListBullet"/>
        <w:numPr>
          <w:ilvl w:val="0"/>
          <w:numId w:val="7"/>
        </w:numPr>
        <w:spacing w:after="0" w:line="240" w:lineRule="auto"/>
        <w:rPr>
          <w:szCs w:val="24"/>
        </w:rPr>
      </w:pPr>
      <w:r w:rsidRPr="00DF0819">
        <w:rPr>
          <w:szCs w:val="24"/>
        </w:rPr>
        <w:t>It would result in no revenue impact because</w:t>
      </w:r>
      <w:r w:rsidR="00906F5E" w:rsidRPr="00DF0819">
        <w:rPr>
          <w:szCs w:val="24"/>
        </w:rPr>
        <w:t xml:space="preserve"> it is expected that, if the status quo remained, council groups would restructure so that</w:t>
      </w:r>
      <w:r w:rsidRPr="00DF0819">
        <w:rPr>
          <w:szCs w:val="24"/>
        </w:rPr>
        <w:t xml:space="preserve"> the council owns the land (rather than its subsidiaries)</w:t>
      </w:r>
      <w:r w:rsidR="00906F5E" w:rsidRPr="00DF0819">
        <w:rPr>
          <w:szCs w:val="24"/>
        </w:rPr>
        <w:t>.</w:t>
      </w:r>
      <w:r w:rsidRPr="00DF0819">
        <w:rPr>
          <w:szCs w:val="24"/>
        </w:rPr>
        <w:t xml:space="preserve"> </w:t>
      </w:r>
      <w:r w:rsidR="00906F5E" w:rsidRPr="00DF0819">
        <w:rPr>
          <w:szCs w:val="24"/>
        </w:rPr>
        <w:t>The council</w:t>
      </w:r>
      <w:r w:rsidRPr="00DF0819">
        <w:rPr>
          <w:szCs w:val="24"/>
        </w:rPr>
        <w:t xml:space="preserve"> would not be taxable on any land disposals because of its tax exempt status.</w:t>
      </w:r>
    </w:p>
    <w:p w:rsidR="00C733D1" w:rsidRPr="00DF0819" w:rsidRDefault="00C733D1" w:rsidP="00C733D1">
      <w:pPr>
        <w:pStyle w:val="TRListBullet"/>
        <w:spacing w:after="0" w:line="240" w:lineRule="auto"/>
        <w:ind w:left="720" w:firstLine="0"/>
        <w:rPr>
          <w:szCs w:val="24"/>
        </w:rPr>
      </w:pPr>
    </w:p>
    <w:p w:rsidR="009C5B20" w:rsidRPr="00DF0819" w:rsidRDefault="009C5B20" w:rsidP="00001136">
      <w:pPr>
        <w:pStyle w:val="TRListBullet"/>
        <w:numPr>
          <w:ilvl w:val="0"/>
          <w:numId w:val="7"/>
        </w:numPr>
        <w:spacing w:after="0" w:line="240" w:lineRule="auto"/>
        <w:rPr>
          <w:szCs w:val="24"/>
        </w:rPr>
      </w:pPr>
      <w:r w:rsidRPr="00DF0819">
        <w:rPr>
          <w:szCs w:val="24"/>
        </w:rPr>
        <w:t xml:space="preserve">It would prevent the tainting rules from operating contrary to their policy intent in relation to councils as capital account land held by </w:t>
      </w:r>
      <w:r w:rsidR="007C620A" w:rsidRPr="00DF0819">
        <w:rPr>
          <w:szCs w:val="24"/>
        </w:rPr>
        <w:t xml:space="preserve">council subsidiaries </w:t>
      </w:r>
      <w:r w:rsidRPr="00DF0819">
        <w:rPr>
          <w:szCs w:val="24"/>
        </w:rPr>
        <w:t xml:space="preserve">would no longer be </w:t>
      </w:r>
      <w:r w:rsidR="007C620A" w:rsidRPr="00DF0819">
        <w:rPr>
          <w:szCs w:val="24"/>
        </w:rPr>
        <w:t>tainted by the activities of other council subsidiaries</w:t>
      </w:r>
      <w:r w:rsidRPr="00DF0819">
        <w:rPr>
          <w:szCs w:val="24"/>
        </w:rPr>
        <w:t>.</w:t>
      </w:r>
    </w:p>
    <w:p w:rsidR="00C733D1" w:rsidRPr="00DF0819" w:rsidRDefault="00C733D1" w:rsidP="00C733D1">
      <w:pPr>
        <w:pStyle w:val="TRListBullet"/>
        <w:spacing w:after="0" w:line="240" w:lineRule="auto"/>
        <w:ind w:left="720" w:firstLine="0"/>
        <w:rPr>
          <w:szCs w:val="24"/>
        </w:rPr>
      </w:pPr>
    </w:p>
    <w:p w:rsidR="009C5B20" w:rsidRPr="00DF0819" w:rsidRDefault="009C5B20" w:rsidP="00001136">
      <w:pPr>
        <w:pStyle w:val="TRListBullet"/>
        <w:numPr>
          <w:ilvl w:val="0"/>
          <w:numId w:val="7"/>
        </w:numPr>
        <w:spacing w:after="0" w:line="240" w:lineRule="auto"/>
        <w:rPr>
          <w:szCs w:val="24"/>
        </w:rPr>
      </w:pPr>
      <w:r w:rsidRPr="00DF0819">
        <w:rPr>
          <w:szCs w:val="24"/>
        </w:rPr>
        <w:t>The distortions to decision making and excessive compliance costs brought about by the tainting rules would cease, enabling DA and other council subsidiaries to undertake developments unencumbered by the rules.</w:t>
      </w:r>
    </w:p>
    <w:p w:rsidR="00C733D1" w:rsidRPr="00DF0819" w:rsidRDefault="00C733D1" w:rsidP="00C733D1">
      <w:pPr>
        <w:pStyle w:val="TRListBullet"/>
        <w:spacing w:after="0" w:line="240" w:lineRule="auto"/>
        <w:ind w:left="720" w:firstLine="0"/>
        <w:rPr>
          <w:szCs w:val="24"/>
        </w:rPr>
      </w:pPr>
    </w:p>
    <w:p w:rsidR="009C5B20" w:rsidRPr="00DF0819" w:rsidRDefault="009C5B20" w:rsidP="00001136">
      <w:pPr>
        <w:pStyle w:val="TRListBullet"/>
        <w:numPr>
          <w:ilvl w:val="0"/>
          <w:numId w:val="7"/>
        </w:numPr>
        <w:spacing w:after="0" w:line="240" w:lineRule="auto"/>
        <w:rPr>
          <w:szCs w:val="24"/>
        </w:rPr>
      </w:pPr>
      <w:r w:rsidRPr="00DF0819">
        <w:rPr>
          <w:szCs w:val="24"/>
        </w:rPr>
        <w:t xml:space="preserve">It provides a certain and </w:t>
      </w:r>
      <w:r w:rsidR="00DF1BE0" w:rsidRPr="00DF0819">
        <w:rPr>
          <w:szCs w:val="24"/>
        </w:rPr>
        <w:t xml:space="preserve">timely </w:t>
      </w:r>
      <w:r w:rsidRPr="00DF0819">
        <w:rPr>
          <w:szCs w:val="24"/>
        </w:rPr>
        <w:t>solution to an urgent situation.</w:t>
      </w:r>
    </w:p>
    <w:p w:rsidR="00C733D1" w:rsidRPr="00DF0819" w:rsidRDefault="00C733D1" w:rsidP="00001136">
      <w:pPr>
        <w:spacing w:after="0" w:line="240" w:lineRule="auto"/>
        <w:jc w:val="both"/>
        <w:rPr>
          <w:rFonts w:ascii="Times New Roman" w:hAnsi="Times New Roman"/>
          <w:sz w:val="24"/>
          <w:szCs w:val="24"/>
        </w:rPr>
      </w:pPr>
    </w:p>
    <w:p w:rsidR="009C5B20" w:rsidRPr="00DF0819" w:rsidRDefault="009C5B20"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Option 2 is preferable over option 1 as it would resolve the problem for all council groups, not just AC.  Options 1 and 2 would not resolve the problem for other groups.</w:t>
      </w:r>
    </w:p>
    <w:p w:rsidR="00C733D1" w:rsidRPr="00DF0819" w:rsidRDefault="00C733D1" w:rsidP="00001136">
      <w:pPr>
        <w:spacing w:after="0" w:line="240" w:lineRule="auto"/>
        <w:jc w:val="both"/>
        <w:rPr>
          <w:rFonts w:ascii="Times New Roman" w:hAnsi="Times New Roman"/>
          <w:sz w:val="24"/>
          <w:szCs w:val="24"/>
        </w:rPr>
      </w:pPr>
    </w:p>
    <w:p w:rsidR="00C733D1" w:rsidRPr="00DF0819" w:rsidRDefault="009C5B20" w:rsidP="00C733D1">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 xml:space="preserve">Although option 3 could resolve the issue for all affected parties, </w:t>
      </w:r>
      <w:r w:rsidR="007F3A69" w:rsidRPr="00DF0819">
        <w:rPr>
          <w:rFonts w:ascii="Times New Roman" w:hAnsi="Times New Roman"/>
          <w:sz w:val="24"/>
          <w:szCs w:val="24"/>
        </w:rPr>
        <w:t>it</w:t>
      </w:r>
      <w:r w:rsidR="009859D2" w:rsidRPr="00DF0819">
        <w:rPr>
          <w:rFonts w:ascii="Times New Roman" w:hAnsi="Times New Roman"/>
          <w:sz w:val="24"/>
          <w:szCs w:val="24"/>
        </w:rPr>
        <w:t xml:space="preserve"> </w:t>
      </w:r>
      <w:r w:rsidR="007F3A69" w:rsidRPr="00DF0819">
        <w:rPr>
          <w:rFonts w:ascii="Times New Roman" w:hAnsi="Times New Roman"/>
          <w:sz w:val="24"/>
          <w:szCs w:val="24"/>
        </w:rPr>
        <w:t xml:space="preserve">is not preferred because of the potential revenue implications, the timeframe that would be required for consultation and the uncertainty and potential unintended consequences that may arise. However, it is </w:t>
      </w:r>
      <w:r w:rsidRPr="00DF0819">
        <w:rPr>
          <w:rFonts w:ascii="Times New Roman" w:hAnsi="Times New Roman"/>
          <w:sz w:val="24"/>
          <w:szCs w:val="24"/>
        </w:rPr>
        <w:t xml:space="preserve">recommended that a review of the business premises exemption </w:t>
      </w:r>
      <w:r w:rsidR="007F3A69" w:rsidRPr="00DF0819">
        <w:rPr>
          <w:rFonts w:ascii="Times New Roman" w:hAnsi="Times New Roman"/>
          <w:sz w:val="24"/>
          <w:szCs w:val="24"/>
        </w:rPr>
        <w:t xml:space="preserve">is </w:t>
      </w:r>
      <w:r w:rsidR="00EF3E02" w:rsidRPr="00DF0819">
        <w:rPr>
          <w:rFonts w:ascii="Times New Roman" w:hAnsi="Times New Roman"/>
          <w:sz w:val="24"/>
          <w:szCs w:val="24"/>
        </w:rPr>
        <w:t xml:space="preserve">considered for </w:t>
      </w:r>
      <w:r w:rsidRPr="00DF0819">
        <w:rPr>
          <w:rFonts w:ascii="Times New Roman" w:hAnsi="Times New Roman"/>
          <w:sz w:val="24"/>
          <w:szCs w:val="24"/>
        </w:rPr>
        <w:t>inclu</w:t>
      </w:r>
      <w:r w:rsidR="00EF3E02" w:rsidRPr="00DF0819">
        <w:rPr>
          <w:rFonts w:ascii="Times New Roman" w:hAnsi="Times New Roman"/>
          <w:sz w:val="24"/>
          <w:szCs w:val="24"/>
        </w:rPr>
        <w:t>sion</w:t>
      </w:r>
      <w:r w:rsidRPr="00DF0819">
        <w:rPr>
          <w:rFonts w:ascii="Times New Roman" w:hAnsi="Times New Roman"/>
          <w:sz w:val="24"/>
          <w:szCs w:val="24"/>
        </w:rPr>
        <w:t xml:space="preserve"> on the </w:t>
      </w:r>
      <w:r w:rsidR="00906F5E" w:rsidRPr="00DF0819">
        <w:rPr>
          <w:rFonts w:ascii="Times New Roman" w:hAnsi="Times New Roman"/>
          <w:sz w:val="24"/>
          <w:szCs w:val="24"/>
        </w:rPr>
        <w:t xml:space="preserve">tax policy </w:t>
      </w:r>
      <w:r w:rsidRPr="00DF0819">
        <w:rPr>
          <w:rFonts w:ascii="Times New Roman" w:hAnsi="Times New Roman"/>
          <w:sz w:val="24"/>
          <w:szCs w:val="24"/>
        </w:rPr>
        <w:t>work programme for consideration at a later date.</w:t>
      </w:r>
    </w:p>
    <w:p w:rsidR="00C733D1" w:rsidRPr="00DF0819" w:rsidRDefault="00C733D1" w:rsidP="00C733D1">
      <w:pPr>
        <w:spacing w:after="0" w:line="240" w:lineRule="auto"/>
        <w:jc w:val="both"/>
        <w:rPr>
          <w:rFonts w:ascii="Times New Roman" w:hAnsi="Times New Roman"/>
          <w:sz w:val="24"/>
          <w:szCs w:val="24"/>
        </w:rPr>
      </w:pPr>
    </w:p>
    <w:p w:rsidR="000545DC" w:rsidRPr="00DF0819" w:rsidRDefault="00D943DD" w:rsidP="00C733D1">
      <w:pPr>
        <w:spacing w:after="0" w:line="240" w:lineRule="auto"/>
        <w:jc w:val="both"/>
        <w:rPr>
          <w:rFonts w:ascii="Times New Roman" w:hAnsi="Times New Roman"/>
          <w:b/>
          <w:sz w:val="24"/>
          <w:szCs w:val="24"/>
        </w:rPr>
      </w:pPr>
      <w:r w:rsidRPr="00DF0819">
        <w:rPr>
          <w:rFonts w:ascii="Times New Roman" w:hAnsi="Times New Roman"/>
          <w:b/>
          <w:sz w:val="24"/>
          <w:szCs w:val="24"/>
        </w:rPr>
        <w:t>IMPLEMENTATION</w:t>
      </w:r>
      <w:bookmarkEnd w:id="32"/>
      <w:bookmarkEnd w:id="33"/>
      <w:bookmarkEnd w:id="34"/>
      <w:bookmarkEnd w:id="35"/>
      <w:bookmarkEnd w:id="36"/>
      <w:r w:rsidRPr="00DF0819">
        <w:rPr>
          <w:rFonts w:ascii="Times New Roman" w:hAnsi="Times New Roman"/>
          <w:b/>
          <w:sz w:val="24"/>
          <w:szCs w:val="24"/>
        </w:rPr>
        <w:t xml:space="preserve"> </w:t>
      </w:r>
    </w:p>
    <w:p w:rsidR="00C733D1" w:rsidRPr="00DF0819" w:rsidRDefault="00C733D1" w:rsidP="00C733D1">
      <w:pPr>
        <w:spacing w:after="0" w:line="240" w:lineRule="auto"/>
        <w:jc w:val="both"/>
        <w:rPr>
          <w:rFonts w:ascii="Times New Roman" w:hAnsi="Times New Roman"/>
          <w:sz w:val="24"/>
          <w:szCs w:val="24"/>
        </w:rPr>
      </w:pPr>
    </w:p>
    <w:p w:rsidR="004C1E71" w:rsidRPr="00DF0819" w:rsidRDefault="00B4448F"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t>Changes to the land tainting rules will require amendment</w:t>
      </w:r>
      <w:r w:rsidR="003E0CA1" w:rsidRPr="00DF0819">
        <w:rPr>
          <w:rFonts w:ascii="Times New Roman" w:hAnsi="Times New Roman"/>
          <w:sz w:val="24"/>
          <w:szCs w:val="24"/>
        </w:rPr>
        <w:t>s</w:t>
      </w:r>
      <w:r w:rsidRPr="00DF0819">
        <w:rPr>
          <w:rFonts w:ascii="Times New Roman" w:hAnsi="Times New Roman"/>
          <w:sz w:val="24"/>
          <w:szCs w:val="24"/>
        </w:rPr>
        <w:t xml:space="preserve"> to the Income Tax Act 2007. </w:t>
      </w:r>
      <w:r w:rsidR="004C1E71" w:rsidRPr="00DF0819">
        <w:rPr>
          <w:rFonts w:ascii="Times New Roman" w:hAnsi="Times New Roman"/>
          <w:sz w:val="24"/>
          <w:szCs w:val="24"/>
        </w:rPr>
        <w:t xml:space="preserve"> </w:t>
      </w:r>
      <w:r w:rsidR="009859D2" w:rsidRPr="00DF0819">
        <w:rPr>
          <w:rFonts w:ascii="Times New Roman" w:hAnsi="Times New Roman"/>
          <w:sz w:val="24"/>
          <w:szCs w:val="24"/>
        </w:rPr>
        <w:t>It is proposed that these amendments will be included in the tax amendment bill scheduled for introduction in March 2016 (</w:t>
      </w:r>
      <w:r w:rsidR="003E0CA1" w:rsidRPr="00DF0819">
        <w:rPr>
          <w:rFonts w:ascii="Times New Roman" w:hAnsi="Times New Roman"/>
          <w:sz w:val="24"/>
          <w:szCs w:val="24"/>
        </w:rPr>
        <w:t xml:space="preserve">expected </w:t>
      </w:r>
      <w:r w:rsidR="009859D2" w:rsidRPr="00DF0819">
        <w:rPr>
          <w:rFonts w:ascii="Times New Roman" w:hAnsi="Times New Roman"/>
          <w:sz w:val="24"/>
          <w:szCs w:val="24"/>
        </w:rPr>
        <w:t xml:space="preserve">to receive </w:t>
      </w:r>
      <w:r w:rsidR="003E0CA1" w:rsidRPr="00DF0819">
        <w:rPr>
          <w:rFonts w:ascii="Times New Roman" w:hAnsi="Times New Roman"/>
          <w:sz w:val="24"/>
          <w:szCs w:val="24"/>
        </w:rPr>
        <w:t>R</w:t>
      </w:r>
      <w:r w:rsidR="009859D2" w:rsidRPr="00DF0819">
        <w:rPr>
          <w:rFonts w:ascii="Times New Roman" w:hAnsi="Times New Roman"/>
          <w:sz w:val="24"/>
          <w:szCs w:val="24"/>
        </w:rPr>
        <w:t xml:space="preserve">oyal assent by the end of 2016). </w:t>
      </w:r>
      <w:r w:rsidRPr="00DF0819">
        <w:rPr>
          <w:rFonts w:ascii="Times New Roman" w:hAnsi="Times New Roman"/>
          <w:sz w:val="24"/>
          <w:szCs w:val="24"/>
        </w:rPr>
        <w:t>This amendment will need to have retrospective application to 1 September 2015, the date DA was formed.</w:t>
      </w:r>
      <w:r w:rsidR="009859D2" w:rsidRPr="00DF0819">
        <w:rPr>
          <w:rFonts w:ascii="Times New Roman" w:hAnsi="Times New Roman"/>
          <w:sz w:val="24"/>
          <w:szCs w:val="24"/>
        </w:rPr>
        <w:t xml:space="preserve">  While the legislation would not need to be retrospectively applied until when DA begins developments, it is considered </w:t>
      </w:r>
      <w:r w:rsidR="00AB3396" w:rsidRPr="00DF0819">
        <w:rPr>
          <w:rFonts w:ascii="Times New Roman" w:hAnsi="Times New Roman"/>
          <w:sz w:val="24"/>
          <w:szCs w:val="24"/>
        </w:rPr>
        <w:t>appropriate</w:t>
      </w:r>
      <w:r w:rsidR="009859D2" w:rsidRPr="00DF0819">
        <w:rPr>
          <w:rFonts w:ascii="Times New Roman" w:hAnsi="Times New Roman"/>
          <w:sz w:val="24"/>
          <w:szCs w:val="24"/>
        </w:rPr>
        <w:t xml:space="preserve"> to apply the legislation from the date DA was formed as it can be unclear as to when exactly a development begins.  Inland Revenue will work with any council groups who have already filed their 2016 income tax by enactment date to ensure that only the correct amount of tax is paid.</w:t>
      </w:r>
    </w:p>
    <w:p w:rsidR="007F3A69" w:rsidRPr="00DF0819" w:rsidRDefault="007F3A69" w:rsidP="00001136">
      <w:pPr>
        <w:spacing w:after="0" w:line="240" w:lineRule="auto"/>
        <w:jc w:val="both"/>
        <w:rPr>
          <w:rFonts w:ascii="Times New Roman" w:hAnsi="Times New Roman"/>
          <w:sz w:val="24"/>
          <w:szCs w:val="24"/>
        </w:rPr>
      </w:pPr>
    </w:p>
    <w:p w:rsidR="007F3A69" w:rsidRPr="00DF0819" w:rsidRDefault="007F3A69"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D97E0C" w:rsidRPr="00DF0819">
        <w:rPr>
          <w:rFonts w:ascii="Times New Roman" w:hAnsi="Times New Roman"/>
          <w:sz w:val="24"/>
          <w:szCs w:val="24"/>
          <w:lang w:val="en-AU"/>
        </w:rPr>
        <w:t xml:space="preserve">When introduced to Parliament, commentary will be released explaining the amendments, and further explanation of their effect will be contained in a </w:t>
      </w:r>
      <w:r w:rsidR="00D97E0C" w:rsidRPr="00DF0819">
        <w:rPr>
          <w:rFonts w:ascii="Times New Roman" w:hAnsi="Times New Roman"/>
          <w:i/>
          <w:sz w:val="24"/>
          <w:szCs w:val="24"/>
          <w:lang w:val="en-AU"/>
        </w:rPr>
        <w:t>Tax Information Bulletin</w:t>
      </w:r>
      <w:r w:rsidR="00D97E0C" w:rsidRPr="00DF0819">
        <w:rPr>
          <w:rFonts w:ascii="Times New Roman" w:hAnsi="Times New Roman"/>
          <w:sz w:val="24"/>
          <w:szCs w:val="24"/>
          <w:lang w:val="en-AU"/>
        </w:rPr>
        <w:t xml:space="preserve">, which </w:t>
      </w:r>
      <w:r w:rsidR="002D53FF" w:rsidRPr="00DF0819">
        <w:rPr>
          <w:rFonts w:ascii="Times New Roman" w:hAnsi="Times New Roman"/>
          <w:sz w:val="24"/>
          <w:szCs w:val="24"/>
          <w:lang w:val="en-AU"/>
        </w:rPr>
        <w:t>will</w:t>
      </w:r>
      <w:r w:rsidR="00D97E0C" w:rsidRPr="00DF0819">
        <w:rPr>
          <w:rFonts w:ascii="Times New Roman" w:hAnsi="Times New Roman"/>
          <w:sz w:val="24"/>
          <w:szCs w:val="24"/>
          <w:lang w:val="en-AU"/>
        </w:rPr>
        <w:t xml:space="preserve"> be released shortly after the bill receives Royal assent.  </w:t>
      </w:r>
      <w:r w:rsidR="001F2816" w:rsidRPr="00DF0819">
        <w:rPr>
          <w:rFonts w:ascii="Times New Roman" w:hAnsi="Times New Roman"/>
          <w:sz w:val="24"/>
          <w:szCs w:val="24"/>
          <w:lang w:val="en-AU"/>
        </w:rPr>
        <w:t>Inland Revenue also plans to write to council groups informing them of the proposed changes, following their approval by Cabinet.</w:t>
      </w:r>
    </w:p>
    <w:p w:rsidR="009859D2" w:rsidRPr="00DF0819" w:rsidRDefault="009859D2" w:rsidP="00001136">
      <w:pPr>
        <w:spacing w:after="0" w:line="240" w:lineRule="auto"/>
        <w:jc w:val="both"/>
        <w:rPr>
          <w:rFonts w:ascii="Times New Roman" w:hAnsi="Times New Roman"/>
          <w:sz w:val="24"/>
          <w:szCs w:val="24"/>
        </w:rPr>
      </w:pPr>
    </w:p>
    <w:p w:rsidR="00C733D1" w:rsidRPr="00DF0819" w:rsidRDefault="009859D2"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AB3396" w:rsidRPr="00DF0819">
        <w:rPr>
          <w:rFonts w:ascii="Times New Roman" w:hAnsi="Times New Roman"/>
          <w:sz w:val="24"/>
          <w:szCs w:val="24"/>
        </w:rPr>
        <w:t xml:space="preserve">Inland Revenue will administer the proposed changes.  </w:t>
      </w:r>
      <w:r w:rsidR="00D06B90" w:rsidRPr="00DF0819">
        <w:rPr>
          <w:rFonts w:ascii="Times New Roman" w:hAnsi="Times New Roman"/>
          <w:sz w:val="24"/>
          <w:szCs w:val="24"/>
        </w:rPr>
        <w:t>The proposals would have no systems implications for Inland Revenue but may result in some additional administrative costs, such as costs associated with publications to communicate the changes.  These costs are expected to be insignificant and would be met within existing baselines.</w:t>
      </w:r>
    </w:p>
    <w:p w:rsidR="00C733D1" w:rsidRPr="00DF0819" w:rsidRDefault="00C733D1" w:rsidP="00001136">
      <w:pPr>
        <w:spacing w:after="0" w:line="240" w:lineRule="auto"/>
        <w:jc w:val="both"/>
        <w:rPr>
          <w:rFonts w:ascii="Times New Roman" w:hAnsi="Times New Roman"/>
          <w:sz w:val="24"/>
          <w:szCs w:val="24"/>
        </w:rPr>
      </w:pPr>
    </w:p>
    <w:p w:rsidR="000545DC" w:rsidRPr="00DF0819" w:rsidRDefault="00D943DD" w:rsidP="00C733D1">
      <w:pPr>
        <w:spacing w:after="0" w:line="240" w:lineRule="auto"/>
        <w:jc w:val="both"/>
        <w:rPr>
          <w:rFonts w:ascii="Times New Roman" w:hAnsi="Times New Roman"/>
          <w:b/>
          <w:sz w:val="24"/>
          <w:szCs w:val="24"/>
        </w:rPr>
      </w:pPr>
      <w:bookmarkStart w:id="37" w:name="_Toc244580369"/>
      <w:bookmarkStart w:id="38" w:name="_Toc244587045"/>
      <w:bookmarkStart w:id="39" w:name="_Toc244857279"/>
      <w:bookmarkStart w:id="40" w:name="_Toc244912544"/>
      <w:bookmarkStart w:id="41" w:name="_Toc244917001"/>
      <w:r w:rsidRPr="00DF0819">
        <w:rPr>
          <w:rFonts w:ascii="Times New Roman" w:hAnsi="Times New Roman"/>
          <w:b/>
          <w:sz w:val="24"/>
          <w:szCs w:val="24"/>
        </w:rPr>
        <w:t>MONITORING, EVALUATION AND REVIEW</w:t>
      </w:r>
      <w:bookmarkEnd w:id="37"/>
      <w:bookmarkEnd w:id="38"/>
      <w:bookmarkEnd w:id="39"/>
      <w:bookmarkEnd w:id="40"/>
      <w:bookmarkEnd w:id="41"/>
    </w:p>
    <w:p w:rsidR="00C733D1" w:rsidRPr="00DF0819" w:rsidRDefault="00C733D1" w:rsidP="00001136">
      <w:pPr>
        <w:spacing w:after="0" w:line="240" w:lineRule="auto"/>
        <w:jc w:val="both"/>
        <w:rPr>
          <w:rFonts w:ascii="Times New Roman" w:hAnsi="Times New Roman"/>
          <w:sz w:val="24"/>
          <w:szCs w:val="24"/>
        </w:rPr>
      </w:pPr>
    </w:p>
    <w:p w:rsidR="0052588F" w:rsidRPr="00DF0819" w:rsidRDefault="00EE340E"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52588F" w:rsidRPr="00DF0819">
        <w:rPr>
          <w:rFonts w:ascii="Times New Roman" w:hAnsi="Times New Roman"/>
          <w:sz w:val="24"/>
          <w:szCs w:val="24"/>
        </w:rPr>
        <w:t xml:space="preserve">Inland Revenue will monitor the effectiveness of the proposed changes in the first 12 months of operation.  This work will be carried out by a small group within Inland Revenue that is responsible for local authorities’ taxation.  Policy officials will deal with any calls for Inland Revenue to expand the proposed treatment to other </w:t>
      </w:r>
      <w:r w:rsidR="005A17E0">
        <w:rPr>
          <w:rFonts w:ascii="Times New Roman" w:hAnsi="Times New Roman"/>
          <w:sz w:val="24"/>
          <w:szCs w:val="24"/>
        </w:rPr>
        <w:t>taxpayers</w:t>
      </w:r>
      <w:r w:rsidR="0052588F" w:rsidRPr="00DF0819">
        <w:rPr>
          <w:rFonts w:ascii="Times New Roman" w:hAnsi="Times New Roman"/>
          <w:sz w:val="24"/>
          <w:szCs w:val="24"/>
        </w:rPr>
        <w:t xml:space="preserve"> that may be similarly affected.  </w:t>
      </w:r>
    </w:p>
    <w:p w:rsidR="0052588F" w:rsidRPr="00DF0819" w:rsidRDefault="0052588F" w:rsidP="00001136">
      <w:pPr>
        <w:spacing w:after="0" w:line="240" w:lineRule="auto"/>
        <w:jc w:val="both"/>
        <w:rPr>
          <w:rFonts w:ascii="Times New Roman" w:hAnsi="Times New Roman"/>
          <w:sz w:val="24"/>
          <w:szCs w:val="24"/>
        </w:rPr>
      </w:pPr>
    </w:p>
    <w:p w:rsidR="00EE340E" w:rsidRDefault="0052588F" w:rsidP="00001136">
      <w:pPr>
        <w:spacing w:after="0" w:line="240" w:lineRule="auto"/>
        <w:jc w:val="both"/>
        <w:rPr>
          <w:rFonts w:ascii="Times New Roman" w:hAnsi="Times New Roman"/>
          <w:sz w:val="24"/>
          <w:szCs w:val="24"/>
        </w:rPr>
      </w:pPr>
      <w:r w:rsidRPr="00DF0819">
        <w:rPr>
          <w:rFonts w:ascii="Times New Roman" w:hAnsi="Times New Roman"/>
          <w:sz w:val="24"/>
          <w:szCs w:val="24"/>
        </w:rPr>
        <w:fldChar w:fldCharType="begin"/>
      </w:r>
      <w:r w:rsidRPr="00DF0819">
        <w:rPr>
          <w:rFonts w:ascii="Times New Roman" w:hAnsi="Times New Roman"/>
          <w:sz w:val="24"/>
          <w:szCs w:val="24"/>
        </w:rPr>
        <w:instrText xml:space="preserve"> AUTONUM  </w:instrText>
      </w:r>
      <w:r w:rsidRPr="00DF0819">
        <w:rPr>
          <w:rFonts w:ascii="Times New Roman" w:hAnsi="Times New Roman"/>
          <w:sz w:val="24"/>
          <w:szCs w:val="24"/>
        </w:rPr>
        <w:fldChar w:fldCharType="end"/>
      </w:r>
      <w:r w:rsidRPr="00DF0819">
        <w:rPr>
          <w:rFonts w:ascii="Times New Roman" w:hAnsi="Times New Roman"/>
          <w:sz w:val="24"/>
          <w:szCs w:val="24"/>
        </w:rPr>
        <w:tab/>
      </w:r>
      <w:r w:rsidR="00EE340E" w:rsidRPr="00DF0819">
        <w:rPr>
          <w:rFonts w:ascii="Times New Roman" w:hAnsi="Times New Roman"/>
          <w:sz w:val="24"/>
          <w:szCs w:val="24"/>
        </w:rPr>
        <w:t xml:space="preserve">In general, Inland Revenue monitoring, evaluation and review of tax changes </w:t>
      </w:r>
      <w:r w:rsidRPr="00DF0819">
        <w:rPr>
          <w:rFonts w:ascii="Times New Roman" w:hAnsi="Times New Roman"/>
          <w:sz w:val="24"/>
          <w:szCs w:val="24"/>
        </w:rPr>
        <w:t xml:space="preserve">takes </w:t>
      </w:r>
      <w:r w:rsidR="00EE340E" w:rsidRPr="00DF0819">
        <w:rPr>
          <w:rFonts w:ascii="Times New Roman" w:hAnsi="Times New Roman"/>
          <w:sz w:val="24"/>
          <w:szCs w:val="24"/>
        </w:rPr>
        <w:t>place under the generic tax policy process (GTPP).  The GTPP is a multi-stage policy process that has been used to design tax policy (and subsequently social policy administered by Inland Revenue) in New Zealand since 1995.</w:t>
      </w:r>
      <w:r w:rsidR="00082577" w:rsidRPr="00DF0819">
        <w:rPr>
          <w:rFonts w:ascii="Times New Roman" w:hAnsi="Times New Roman"/>
          <w:sz w:val="24"/>
          <w:szCs w:val="24"/>
        </w:rPr>
        <w:t xml:space="preserve">  </w:t>
      </w:r>
      <w:r w:rsidR="00EE340E" w:rsidRPr="00DF0819">
        <w:rPr>
          <w:rFonts w:ascii="Times New Roman" w:hAnsi="Times New Roman"/>
          <w:sz w:val="24"/>
          <w:szCs w:val="24"/>
        </w:rPr>
        <w:t>The final step in the process is the implementation and review stage, which involves post-implementation review of legislation and the identification of remedial issues.</w:t>
      </w:r>
      <w:r w:rsidR="00D97E0C" w:rsidRPr="00DF0819">
        <w:rPr>
          <w:rFonts w:ascii="Times New Roman" w:hAnsi="Times New Roman"/>
          <w:sz w:val="24"/>
          <w:szCs w:val="24"/>
        </w:rPr>
        <w:t xml:space="preserve">  </w:t>
      </w:r>
      <w:r w:rsidR="00EE340E" w:rsidRPr="00DF0819">
        <w:rPr>
          <w:rFonts w:ascii="Times New Roman" w:hAnsi="Times New Roman"/>
          <w:sz w:val="24"/>
          <w:szCs w:val="24"/>
        </w:rPr>
        <w:t>Opportunities for external consultation are built into this stage.  In practice, any changes identified as necessary following enactment would be added to the tax policy work programme, and propo</w:t>
      </w:r>
      <w:r w:rsidR="00274844">
        <w:rPr>
          <w:rFonts w:ascii="Times New Roman" w:hAnsi="Times New Roman"/>
          <w:sz w:val="24"/>
          <w:szCs w:val="24"/>
        </w:rPr>
        <w:t>sals would go through the GTPP.</w:t>
      </w:r>
    </w:p>
    <w:p w:rsidR="00274844" w:rsidRPr="00DF0819" w:rsidRDefault="00274844" w:rsidP="00001136">
      <w:pPr>
        <w:spacing w:after="0" w:line="240" w:lineRule="auto"/>
        <w:jc w:val="both"/>
        <w:rPr>
          <w:rFonts w:ascii="Times New Roman" w:hAnsi="Times New Roman"/>
          <w:sz w:val="24"/>
          <w:szCs w:val="24"/>
        </w:rPr>
      </w:pPr>
    </w:p>
    <w:sectPr w:rsidR="00274844" w:rsidRPr="00DF0819" w:rsidSect="00AF3977">
      <w:footerReference w:type="default" r:id="rId9"/>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FF" w:rsidRDefault="004A3EFF" w:rsidP="00F72085">
      <w:r>
        <w:separator/>
      </w:r>
    </w:p>
  </w:endnote>
  <w:endnote w:type="continuationSeparator" w:id="0">
    <w:p w:rsidR="004A3EFF" w:rsidRDefault="004A3EFF"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4" w:rsidRPr="00274844" w:rsidRDefault="00274844" w:rsidP="00274844">
    <w:pPr>
      <w:pStyle w:val="Footer"/>
    </w:pPr>
    <w:r>
      <w:rPr>
        <w:noProof w:val="0"/>
      </w:rPr>
      <w:fldChar w:fldCharType="begin"/>
    </w:r>
    <w:r>
      <w:instrText xml:space="preserve"> PAGE   \* MERGEFORMAT </w:instrText>
    </w:r>
    <w:r>
      <w:rPr>
        <w:noProof w:val="0"/>
      </w:rPr>
      <w:fldChar w:fldCharType="separate"/>
    </w:r>
    <w:r w:rsidR="00016EC4">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FF" w:rsidRDefault="004A3EFF" w:rsidP="00F72085">
      <w:r>
        <w:separator/>
      </w:r>
    </w:p>
  </w:footnote>
  <w:footnote w:type="continuationSeparator" w:id="0">
    <w:p w:rsidR="004A3EFF" w:rsidRDefault="004A3EFF" w:rsidP="00F72085">
      <w:r>
        <w:continuationSeparator/>
      </w:r>
    </w:p>
  </w:footnote>
  <w:footnote w:id="1">
    <w:p w:rsidR="004A3EFF" w:rsidRPr="0056241C" w:rsidRDefault="004A3EFF" w:rsidP="0056241C">
      <w:pPr>
        <w:pStyle w:val="FootnoteText"/>
        <w:ind w:left="0" w:firstLine="0"/>
        <w:jc w:val="both"/>
        <w:rPr>
          <w:rFonts w:ascii="Times New Roman" w:hAnsi="Times New Roman"/>
          <w:lang w:val="en-NZ"/>
        </w:rPr>
      </w:pPr>
      <w:r w:rsidRPr="0056241C">
        <w:rPr>
          <w:rFonts w:ascii="Times New Roman" w:hAnsi="Times New Roman"/>
        </w:rPr>
        <w:footnoteRef/>
      </w:r>
      <w:r>
        <w:rPr>
          <w:rFonts w:ascii="Times New Roman" w:hAnsi="Times New Roman"/>
        </w:rPr>
        <w:t xml:space="preserve"> “Person” is used in a broad sense encompassing companies, persons acting in capacity as a trustee etc., as well as natural persons.</w:t>
      </w:r>
    </w:p>
  </w:footnote>
  <w:footnote w:id="2">
    <w:p w:rsidR="004A3EFF" w:rsidRPr="0071607C" w:rsidRDefault="004A3EFF" w:rsidP="00763C53">
      <w:pPr>
        <w:pStyle w:val="FootnoteText"/>
        <w:jc w:val="both"/>
        <w:rPr>
          <w:rFonts w:ascii="Times New Roman" w:hAnsi="Times New Roman"/>
        </w:rPr>
      </w:pPr>
      <w:r w:rsidRPr="0071607C">
        <w:rPr>
          <w:rFonts w:ascii="Times New Roman" w:hAnsi="Times New Roman"/>
        </w:rPr>
        <w:footnoteRef/>
      </w:r>
      <w:r w:rsidRPr="0071607C">
        <w:rPr>
          <w:rFonts w:ascii="Times New Roman" w:hAnsi="Times New Roman"/>
        </w:rPr>
        <w:t xml:space="preserve"> Dealers would buy and sell regularly under the “purpose” of acquiring better investments and thereby avoid tax.</w:t>
      </w:r>
    </w:p>
  </w:footnote>
  <w:footnote w:id="3">
    <w:p w:rsidR="004A3EFF" w:rsidRPr="0071607C" w:rsidRDefault="004A3EFF" w:rsidP="00763C53">
      <w:pPr>
        <w:pStyle w:val="FootnoteText"/>
        <w:ind w:left="0" w:firstLine="0"/>
        <w:jc w:val="both"/>
        <w:rPr>
          <w:rFonts w:ascii="Times New Roman" w:hAnsi="Times New Roman"/>
        </w:rPr>
      </w:pPr>
      <w:r w:rsidRPr="0071607C">
        <w:rPr>
          <w:rFonts w:ascii="Times New Roman" w:hAnsi="Times New Roman"/>
        </w:rPr>
        <w:footnoteRef/>
      </w:r>
      <w:r w:rsidRPr="0071607C">
        <w:rPr>
          <w:rFonts w:ascii="Times New Roman" w:hAnsi="Times New Roman"/>
        </w:rPr>
        <w:t xml:space="preserve"> The associated person would not be assessed on the sale as the taxing provisions require</w:t>
      </w:r>
      <w:r>
        <w:rPr>
          <w:rFonts w:ascii="Times New Roman" w:hAnsi="Times New Roman"/>
        </w:rPr>
        <w:t>d</w:t>
      </w:r>
      <w:r w:rsidRPr="0071607C">
        <w:rPr>
          <w:rFonts w:ascii="Times New Roman" w:hAnsi="Times New Roman"/>
        </w:rPr>
        <w:t xml:space="preserve"> them to acquire the land for the purpose of selling it or to have acquired the land for a business of dealing in property.  As both of these factors are established by a pattern of activity (among other things), it was very difficult to apply these provisions to a one-off venture.</w:t>
      </w:r>
    </w:p>
  </w:footnote>
  <w:footnote w:id="4">
    <w:p w:rsidR="004A3EFF" w:rsidRPr="00F91862" w:rsidRDefault="004A3EFF" w:rsidP="0056241C">
      <w:pPr>
        <w:pStyle w:val="FootnoteText"/>
        <w:ind w:left="0" w:firstLine="0"/>
        <w:jc w:val="both"/>
        <w:rPr>
          <w:rFonts w:ascii="Times New Roman" w:hAnsi="Times New Roman"/>
          <w:szCs w:val="18"/>
          <w:lang w:val="en-NZ"/>
        </w:rPr>
      </w:pPr>
      <w:r w:rsidRPr="00F91862">
        <w:rPr>
          <w:rFonts w:ascii="Times New Roman" w:hAnsi="Times New Roman"/>
        </w:rPr>
        <w:footnoteRef/>
      </w:r>
      <w:r w:rsidRPr="00F91862">
        <w:rPr>
          <w:rFonts w:ascii="Times New Roman" w:hAnsi="Times New Roman"/>
        </w:rPr>
        <w:t xml:space="preserve"> Sections CB 9 and CB 11 were introduced in 1973.  Section CB 10 was introduced in 1983 to ensure that land developers and </w:t>
      </w:r>
      <w:proofErr w:type="spellStart"/>
      <w:r w:rsidRPr="00F91862">
        <w:rPr>
          <w:rFonts w:ascii="Times New Roman" w:hAnsi="Times New Roman"/>
        </w:rPr>
        <w:t>subdividers</w:t>
      </w:r>
      <w:proofErr w:type="spellEnd"/>
      <w:r w:rsidRPr="00F91862">
        <w:rPr>
          <w:rFonts w:ascii="Times New Roman" w:hAnsi="Times New Roman"/>
        </w:rPr>
        <w:t xml:space="preserve"> were also caught by the land tainting rules.</w:t>
      </w:r>
    </w:p>
  </w:footnote>
  <w:footnote w:id="5">
    <w:p w:rsidR="004A3EFF" w:rsidRPr="0071607C" w:rsidRDefault="004A3EFF" w:rsidP="00763C53">
      <w:pPr>
        <w:pStyle w:val="FootnoteText"/>
        <w:jc w:val="both"/>
        <w:rPr>
          <w:rFonts w:ascii="Times New Roman" w:hAnsi="Times New Roman"/>
        </w:rPr>
      </w:pPr>
      <w:r w:rsidRPr="0071607C">
        <w:rPr>
          <w:rFonts w:ascii="Times New Roman" w:hAnsi="Times New Roman"/>
        </w:rPr>
        <w:footnoteRef/>
      </w:r>
      <w:r w:rsidRPr="0071607C">
        <w:rPr>
          <w:rFonts w:ascii="Times New Roman" w:hAnsi="Times New Roman"/>
        </w:rPr>
        <w:t xml:space="preserve"> “Intention” was not introduced into the rules until 1973.  </w:t>
      </w:r>
      <w:r>
        <w:rPr>
          <w:rFonts w:ascii="Times New Roman" w:hAnsi="Times New Roman"/>
        </w:rPr>
        <w:t xml:space="preserve">Before 1973 </w:t>
      </w:r>
      <w:r w:rsidRPr="0071607C">
        <w:rPr>
          <w:rFonts w:ascii="Times New Roman" w:hAnsi="Times New Roman"/>
        </w:rPr>
        <w:t>there was a “purpose of sale” rule.</w:t>
      </w:r>
    </w:p>
  </w:footnote>
  <w:footnote w:id="6">
    <w:p w:rsidR="004A3EFF" w:rsidRPr="006536A9" w:rsidRDefault="004A3EFF" w:rsidP="006536A9">
      <w:pPr>
        <w:pStyle w:val="FootnoteText"/>
        <w:ind w:left="0" w:firstLine="0"/>
        <w:jc w:val="both"/>
        <w:rPr>
          <w:rFonts w:ascii="Times New Roman" w:hAnsi="Times New Roman"/>
          <w:lang w:val="mi-NZ"/>
        </w:rPr>
      </w:pPr>
      <w:r w:rsidRPr="006536A9">
        <w:rPr>
          <w:rStyle w:val="FootnoteReference"/>
          <w:rFonts w:ascii="Times New Roman" w:hAnsi="Times New Roman"/>
        </w:rPr>
        <w:footnoteRef/>
      </w:r>
      <w:r w:rsidRPr="006536A9">
        <w:rPr>
          <w:rFonts w:ascii="Times New Roman" w:hAnsi="Times New Roman"/>
        </w:rPr>
        <w:t xml:space="preserve"> This would result in some of the original problems that the tainting rules were designed to prevent – that is, people avoiding tax because of the evidentiary problems with proving purpose or intention</w:t>
      </w:r>
      <w:r>
        <w:rPr>
          <w:rFonts w:ascii="Times New Roman" w:hAnsi="Times New Roman"/>
        </w:rPr>
        <w:t>.</w:t>
      </w:r>
    </w:p>
  </w:footnote>
  <w:footnote w:id="7">
    <w:p w:rsidR="004A3EFF" w:rsidRPr="006536A9" w:rsidRDefault="004A3EFF" w:rsidP="006219C2">
      <w:pPr>
        <w:pStyle w:val="FootnoteText"/>
        <w:ind w:left="0" w:firstLine="0"/>
        <w:jc w:val="both"/>
        <w:rPr>
          <w:rFonts w:ascii="Times New Roman" w:hAnsi="Times New Roman"/>
          <w:lang w:val="mi-NZ"/>
        </w:rPr>
      </w:pPr>
      <w:r w:rsidRPr="006536A9">
        <w:rPr>
          <w:rStyle w:val="FootnoteReference"/>
          <w:rFonts w:ascii="Times New Roman" w:hAnsi="Times New Roman"/>
        </w:rPr>
        <w:footnoteRef/>
      </w:r>
      <w:r w:rsidRPr="006536A9">
        <w:rPr>
          <w:rFonts w:ascii="Times New Roman" w:hAnsi="Times New Roman"/>
        </w:rPr>
        <w:t xml:space="preserve"> The term “subsidiary” is used in this </w:t>
      </w:r>
      <w:r>
        <w:rPr>
          <w:rFonts w:ascii="Times New Roman" w:hAnsi="Times New Roman"/>
        </w:rPr>
        <w:t>RIS</w:t>
      </w:r>
      <w:r w:rsidRPr="006536A9">
        <w:rPr>
          <w:rFonts w:ascii="Times New Roman" w:hAnsi="Times New Roman"/>
        </w:rPr>
        <w:t xml:space="preserve"> to denote CCOs as well as port, energy and electricity companies controlled by councils.  These entities do not fall within the CCO definition for tax purposes.  The tax definition of “council-controlled organisation” is wider than the ordinary meaning of subsidiary, as it includes entities controlled by councils through means other than an ownership interest.</w:t>
      </w:r>
    </w:p>
  </w:footnote>
  <w:footnote w:id="8">
    <w:p w:rsidR="004A3EFF" w:rsidRPr="00E848CE" w:rsidRDefault="004A3EFF" w:rsidP="00A366CB">
      <w:pPr>
        <w:pStyle w:val="FootnoteText"/>
        <w:rPr>
          <w:rFonts w:ascii="Times New Roman" w:hAnsi="Times New Roman"/>
          <w:szCs w:val="18"/>
          <w:lang w:val="en-NZ"/>
        </w:rPr>
      </w:pPr>
      <w:r w:rsidRPr="00E848CE">
        <w:rPr>
          <w:rStyle w:val="FootnoteReference"/>
          <w:rFonts w:ascii="Times New Roman" w:hAnsi="Times New Roman"/>
          <w:sz w:val="18"/>
          <w:szCs w:val="18"/>
        </w:rPr>
        <w:footnoteRef/>
      </w:r>
      <w:r w:rsidRPr="00E848CE">
        <w:rPr>
          <w:rFonts w:ascii="Times New Roman" w:hAnsi="Times New Roman"/>
          <w:szCs w:val="18"/>
        </w:rPr>
        <w:t xml:space="preserve"> </w:t>
      </w:r>
      <w:r w:rsidRPr="00E848CE">
        <w:rPr>
          <w:rFonts w:ascii="Times New Roman" w:hAnsi="Times New Roman"/>
          <w:szCs w:val="18"/>
          <w:lang w:val="en-NZ"/>
        </w:rPr>
        <w:t>Development Auckland</w:t>
      </w:r>
      <w:r>
        <w:rPr>
          <w:rFonts w:ascii="Times New Roman" w:hAnsi="Times New Roman"/>
          <w:szCs w:val="18"/>
          <w:lang w:val="en-NZ"/>
        </w:rPr>
        <w:t xml:space="preserve"> was</w:t>
      </w:r>
      <w:r w:rsidRPr="00E848CE">
        <w:rPr>
          <w:rFonts w:ascii="Times New Roman" w:hAnsi="Times New Roman"/>
          <w:szCs w:val="18"/>
          <w:lang w:val="en-NZ"/>
        </w:rPr>
        <w:t xml:space="preserve"> </w:t>
      </w:r>
      <w:r w:rsidRPr="00A366CB">
        <w:rPr>
          <w:rFonts w:ascii="Times New Roman" w:hAnsi="Times New Roman"/>
          <w:szCs w:val="18"/>
        </w:rPr>
        <w:t>established on 1 September 2015</w:t>
      </w:r>
      <w:r>
        <w:rPr>
          <w:rFonts w:ascii="Times New Roman" w:hAnsi="Times New Roman"/>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E0E"/>
    <w:multiLevelType w:val="hybridMultilevel"/>
    <w:tmpl w:val="5FDE2922"/>
    <w:lvl w:ilvl="0" w:tplc="44CE04E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DB4437"/>
    <w:multiLevelType w:val="hybridMultilevel"/>
    <w:tmpl w:val="45683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937C31"/>
    <w:multiLevelType w:val="hybridMultilevel"/>
    <w:tmpl w:val="7B1A32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670033C"/>
    <w:multiLevelType w:val="hybridMultilevel"/>
    <w:tmpl w:val="AE7C488C"/>
    <w:lvl w:ilvl="0" w:tplc="49302404">
      <w:start w:val="1"/>
      <w:numFmt w:val="decimal"/>
      <w:lvlText w:val="%1."/>
      <w:lvlJc w:val="left"/>
      <w:pPr>
        <w:tabs>
          <w:tab w:val="num" w:pos="502"/>
        </w:tabs>
        <w:ind w:left="502" w:hanging="360"/>
      </w:pPr>
      <w:rPr>
        <w:b w:val="0"/>
      </w:rPr>
    </w:lvl>
    <w:lvl w:ilvl="1" w:tplc="0C09000F">
      <w:start w:val="1"/>
      <w:numFmt w:val="decimal"/>
      <w:lvlText w:val="%2."/>
      <w:lvlJc w:val="left"/>
      <w:pPr>
        <w:tabs>
          <w:tab w:val="num" w:pos="1222"/>
        </w:tabs>
        <w:ind w:left="1222" w:hanging="360"/>
      </w:pPr>
      <w:rPr>
        <w:b w:val="0"/>
      </w:r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5">
    <w:nsid w:val="1BCA54E4"/>
    <w:multiLevelType w:val="hybridMultilevel"/>
    <w:tmpl w:val="07629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8F2887"/>
    <w:multiLevelType w:val="hybridMultilevel"/>
    <w:tmpl w:val="DE3E6D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A5957D5"/>
    <w:multiLevelType w:val="hybridMultilevel"/>
    <w:tmpl w:val="8228A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CC7B63"/>
    <w:multiLevelType w:val="hybridMultilevel"/>
    <w:tmpl w:val="CEECC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EC7AF4"/>
    <w:multiLevelType w:val="hybridMultilevel"/>
    <w:tmpl w:val="69148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19084A"/>
    <w:multiLevelType w:val="hybridMultilevel"/>
    <w:tmpl w:val="6BF8AA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58133A6"/>
    <w:multiLevelType w:val="hybridMultilevel"/>
    <w:tmpl w:val="6A385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3906F5"/>
    <w:multiLevelType w:val="hybridMultilevel"/>
    <w:tmpl w:val="31E8E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EE505A9"/>
    <w:multiLevelType w:val="hybridMultilevel"/>
    <w:tmpl w:val="B88416A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708A24B4"/>
    <w:multiLevelType w:val="hybridMultilevel"/>
    <w:tmpl w:val="9EFCA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14"/>
  </w:num>
  <w:num w:numId="6">
    <w:abstractNumId w:val="8"/>
  </w:num>
  <w:num w:numId="7">
    <w:abstractNumId w:val="7"/>
  </w:num>
  <w:num w:numId="8">
    <w:abstractNumId w:val="13"/>
  </w:num>
  <w:num w:numId="9">
    <w:abstractNumId w:val="5"/>
  </w:num>
  <w:num w:numId="10">
    <w:abstractNumId w:val="12"/>
  </w:num>
  <w:num w:numId="11">
    <w:abstractNumId w:val="6"/>
  </w:num>
  <w:num w:numId="12">
    <w:abstractNumId w:val="11"/>
  </w:num>
  <w:num w:numId="13">
    <w:abstractNumId w:val="17"/>
  </w:num>
  <w:num w:numId="14">
    <w:abstractNumId w:val="15"/>
  </w:num>
  <w:num w:numId="15">
    <w:abstractNumId w:val="2"/>
  </w:num>
  <w:num w:numId="16">
    <w:abstractNumId w:val="16"/>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136"/>
    <w:rsid w:val="00001539"/>
    <w:rsid w:val="00002433"/>
    <w:rsid w:val="000033A5"/>
    <w:rsid w:val="000037F4"/>
    <w:rsid w:val="00004A8A"/>
    <w:rsid w:val="00004D19"/>
    <w:rsid w:val="00005DC9"/>
    <w:rsid w:val="00010986"/>
    <w:rsid w:val="00010F7D"/>
    <w:rsid w:val="00012338"/>
    <w:rsid w:val="00013A18"/>
    <w:rsid w:val="00014196"/>
    <w:rsid w:val="000147DC"/>
    <w:rsid w:val="00015072"/>
    <w:rsid w:val="00016722"/>
    <w:rsid w:val="00016EC4"/>
    <w:rsid w:val="0002068B"/>
    <w:rsid w:val="0002286E"/>
    <w:rsid w:val="00022E67"/>
    <w:rsid w:val="000232EB"/>
    <w:rsid w:val="00023BAB"/>
    <w:rsid w:val="00023EA6"/>
    <w:rsid w:val="00024B22"/>
    <w:rsid w:val="0002568E"/>
    <w:rsid w:val="00025954"/>
    <w:rsid w:val="000267D0"/>
    <w:rsid w:val="000307D4"/>
    <w:rsid w:val="00030890"/>
    <w:rsid w:val="00030DEA"/>
    <w:rsid w:val="00031353"/>
    <w:rsid w:val="00033950"/>
    <w:rsid w:val="000343E7"/>
    <w:rsid w:val="00035185"/>
    <w:rsid w:val="000365FB"/>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161"/>
    <w:rsid w:val="000606D4"/>
    <w:rsid w:val="00060712"/>
    <w:rsid w:val="000607AA"/>
    <w:rsid w:val="00060AAB"/>
    <w:rsid w:val="00060CD3"/>
    <w:rsid w:val="00063422"/>
    <w:rsid w:val="000655B2"/>
    <w:rsid w:val="00070193"/>
    <w:rsid w:val="00073A19"/>
    <w:rsid w:val="00073F31"/>
    <w:rsid w:val="000745D3"/>
    <w:rsid w:val="00074B13"/>
    <w:rsid w:val="00074D02"/>
    <w:rsid w:val="0007562B"/>
    <w:rsid w:val="000771B6"/>
    <w:rsid w:val="00080CE0"/>
    <w:rsid w:val="00080DE3"/>
    <w:rsid w:val="00082577"/>
    <w:rsid w:val="00082653"/>
    <w:rsid w:val="00082ABC"/>
    <w:rsid w:val="00083ADB"/>
    <w:rsid w:val="00085660"/>
    <w:rsid w:val="0008588E"/>
    <w:rsid w:val="00086007"/>
    <w:rsid w:val="000863E2"/>
    <w:rsid w:val="00086898"/>
    <w:rsid w:val="0008712F"/>
    <w:rsid w:val="00087C41"/>
    <w:rsid w:val="00087FBB"/>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29C5"/>
    <w:rsid w:val="000B5B1E"/>
    <w:rsid w:val="000C0912"/>
    <w:rsid w:val="000C2145"/>
    <w:rsid w:val="000C2669"/>
    <w:rsid w:val="000C26E9"/>
    <w:rsid w:val="000C3EB5"/>
    <w:rsid w:val="000C43B6"/>
    <w:rsid w:val="000C684B"/>
    <w:rsid w:val="000C6EED"/>
    <w:rsid w:val="000C79FD"/>
    <w:rsid w:val="000D012A"/>
    <w:rsid w:val="000D0DB9"/>
    <w:rsid w:val="000D0FA0"/>
    <w:rsid w:val="000D2A6B"/>
    <w:rsid w:val="000D31FE"/>
    <w:rsid w:val="000D33EE"/>
    <w:rsid w:val="000D3C3F"/>
    <w:rsid w:val="000D5145"/>
    <w:rsid w:val="000D5E01"/>
    <w:rsid w:val="000D6393"/>
    <w:rsid w:val="000D670A"/>
    <w:rsid w:val="000D74BC"/>
    <w:rsid w:val="000D77C0"/>
    <w:rsid w:val="000D7C12"/>
    <w:rsid w:val="000E0036"/>
    <w:rsid w:val="000E089C"/>
    <w:rsid w:val="000E201A"/>
    <w:rsid w:val="000E310A"/>
    <w:rsid w:val="000E3979"/>
    <w:rsid w:val="000E3CE1"/>
    <w:rsid w:val="000E464A"/>
    <w:rsid w:val="000E73FF"/>
    <w:rsid w:val="000E7C1C"/>
    <w:rsid w:val="000F03B0"/>
    <w:rsid w:val="000F162C"/>
    <w:rsid w:val="000F3333"/>
    <w:rsid w:val="000F3DDE"/>
    <w:rsid w:val="000F55E4"/>
    <w:rsid w:val="000F6F99"/>
    <w:rsid w:val="000F7020"/>
    <w:rsid w:val="000F7840"/>
    <w:rsid w:val="00101A24"/>
    <w:rsid w:val="00107CE0"/>
    <w:rsid w:val="00113146"/>
    <w:rsid w:val="00114F56"/>
    <w:rsid w:val="001158BA"/>
    <w:rsid w:val="00116006"/>
    <w:rsid w:val="00116B51"/>
    <w:rsid w:val="0012410B"/>
    <w:rsid w:val="00125812"/>
    <w:rsid w:val="00125ADD"/>
    <w:rsid w:val="00126CD1"/>
    <w:rsid w:val="00127757"/>
    <w:rsid w:val="00130E8F"/>
    <w:rsid w:val="001336E3"/>
    <w:rsid w:val="001339BB"/>
    <w:rsid w:val="00136E6D"/>
    <w:rsid w:val="00136EED"/>
    <w:rsid w:val="00141B20"/>
    <w:rsid w:val="00141D39"/>
    <w:rsid w:val="00142051"/>
    <w:rsid w:val="00143437"/>
    <w:rsid w:val="00144369"/>
    <w:rsid w:val="00144ADC"/>
    <w:rsid w:val="00144BBB"/>
    <w:rsid w:val="00146272"/>
    <w:rsid w:val="00146FC1"/>
    <w:rsid w:val="00146FDE"/>
    <w:rsid w:val="0014788C"/>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1B79"/>
    <w:rsid w:val="001726B0"/>
    <w:rsid w:val="00175644"/>
    <w:rsid w:val="001767C7"/>
    <w:rsid w:val="001800AF"/>
    <w:rsid w:val="00180A3B"/>
    <w:rsid w:val="00180BD5"/>
    <w:rsid w:val="00180D17"/>
    <w:rsid w:val="001812DF"/>
    <w:rsid w:val="00183D99"/>
    <w:rsid w:val="00183EB1"/>
    <w:rsid w:val="00184219"/>
    <w:rsid w:val="001847C8"/>
    <w:rsid w:val="00185884"/>
    <w:rsid w:val="0019016D"/>
    <w:rsid w:val="001901C1"/>
    <w:rsid w:val="00190331"/>
    <w:rsid w:val="0019141D"/>
    <w:rsid w:val="00191B67"/>
    <w:rsid w:val="00191EEC"/>
    <w:rsid w:val="00194873"/>
    <w:rsid w:val="00194B8A"/>
    <w:rsid w:val="00194CF9"/>
    <w:rsid w:val="00197037"/>
    <w:rsid w:val="00197273"/>
    <w:rsid w:val="001A0AFD"/>
    <w:rsid w:val="001A13C8"/>
    <w:rsid w:val="001A1C61"/>
    <w:rsid w:val="001A1DFB"/>
    <w:rsid w:val="001A5694"/>
    <w:rsid w:val="001A5BEE"/>
    <w:rsid w:val="001B0726"/>
    <w:rsid w:val="001B0A7A"/>
    <w:rsid w:val="001B0DF0"/>
    <w:rsid w:val="001B1A87"/>
    <w:rsid w:val="001B1BDF"/>
    <w:rsid w:val="001B24D5"/>
    <w:rsid w:val="001B2869"/>
    <w:rsid w:val="001B2C5B"/>
    <w:rsid w:val="001B3F6D"/>
    <w:rsid w:val="001B3F81"/>
    <w:rsid w:val="001B4E6C"/>
    <w:rsid w:val="001B54FC"/>
    <w:rsid w:val="001B7122"/>
    <w:rsid w:val="001C0CF6"/>
    <w:rsid w:val="001C2209"/>
    <w:rsid w:val="001C2214"/>
    <w:rsid w:val="001C2524"/>
    <w:rsid w:val="001C3EB9"/>
    <w:rsid w:val="001C41C2"/>
    <w:rsid w:val="001C6912"/>
    <w:rsid w:val="001D0A46"/>
    <w:rsid w:val="001D22ED"/>
    <w:rsid w:val="001D2BBD"/>
    <w:rsid w:val="001D3440"/>
    <w:rsid w:val="001D37FB"/>
    <w:rsid w:val="001D4D62"/>
    <w:rsid w:val="001D53A8"/>
    <w:rsid w:val="001D7325"/>
    <w:rsid w:val="001E0750"/>
    <w:rsid w:val="001E12C8"/>
    <w:rsid w:val="001E1A8F"/>
    <w:rsid w:val="001E3599"/>
    <w:rsid w:val="001E3849"/>
    <w:rsid w:val="001E6AFE"/>
    <w:rsid w:val="001F0773"/>
    <w:rsid w:val="001F0DD3"/>
    <w:rsid w:val="001F1711"/>
    <w:rsid w:val="001F1A1A"/>
    <w:rsid w:val="001F1A2D"/>
    <w:rsid w:val="001F21CB"/>
    <w:rsid w:val="001F2816"/>
    <w:rsid w:val="001F3A69"/>
    <w:rsid w:val="001F47D9"/>
    <w:rsid w:val="001F6750"/>
    <w:rsid w:val="00200311"/>
    <w:rsid w:val="002008D1"/>
    <w:rsid w:val="00202E20"/>
    <w:rsid w:val="002036AA"/>
    <w:rsid w:val="00203789"/>
    <w:rsid w:val="00204A66"/>
    <w:rsid w:val="00204D1E"/>
    <w:rsid w:val="00205334"/>
    <w:rsid w:val="00211569"/>
    <w:rsid w:val="00213B41"/>
    <w:rsid w:val="00216DB5"/>
    <w:rsid w:val="00216F08"/>
    <w:rsid w:val="00217A19"/>
    <w:rsid w:val="00222CA5"/>
    <w:rsid w:val="00223298"/>
    <w:rsid w:val="00224A1F"/>
    <w:rsid w:val="00224BD6"/>
    <w:rsid w:val="00225109"/>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7836"/>
    <w:rsid w:val="0026377A"/>
    <w:rsid w:val="00264EEE"/>
    <w:rsid w:val="0026530E"/>
    <w:rsid w:val="00265DED"/>
    <w:rsid w:val="00265E6C"/>
    <w:rsid w:val="00266A30"/>
    <w:rsid w:val="002676BF"/>
    <w:rsid w:val="0026794D"/>
    <w:rsid w:val="00267FAB"/>
    <w:rsid w:val="00270CAF"/>
    <w:rsid w:val="002712C8"/>
    <w:rsid w:val="002719ED"/>
    <w:rsid w:val="00271B40"/>
    <w:rsid w:val="00271EB7"/>
    <w:rsid w:val="0027239E"/>
    <w:rsid w:val="00272E82"/>
    <w:rsid w:val="00273D5C"/>
    <w:rsid w:val="00273ECF"/>
    <w:rsid w:val="0027475D"/>
    <w:rsid w:val="00274844"/>
    <w:rsid w:val="00274FC3"/>
    <w:rsid w:val="00275209"/>
    <w:rsid w:val="0027527B"/>
    <w:rsid w:val="00275B26"/>
    <w:rsid w:val="0027706F"/>
    <w:rsid w:val="00280B09"/>
    <w:rsid w:val="00281580"/>
    <w:rsid w:val="00282DD1"/>
    <w:rsid w:val="00283259"/>
    <w:rsid w:val="0028339B"/>
    <w:rsid w:val="00283AFA"/>
    <w:rsid w:val="00283D22"/>
    <w:rsid w:val="002859DB"/>
    <w:rsid w:val="0028710C"/>
    <w:rsid w:val="00287942"/>
    <w:rsid w:val="00292783"/>
    <w:rsid w:val="002933A1"/>
    <w:rsid w:val="0029399F"/>
    <w:rsid w:val="00293E21"/>
    <w:rsid w:val="00295264"/>
    <w:rsid w:val="00295DFA"/>
    <w:rsid w:val="002963A5"/>
    <w:rsid w:val="00296404"/>
    <w:rsid w:val="0029649F"/>
    <w:rsid w:val="002A05D3"/>
    <w:rsid w:val="002A06C6"/>
    <w:rsid w:val="002A0869"/>
    <w:rsid w:val="002A0E08"/>
    <w:rsid w:val="002A107A"/>
    <w:rsid w:val="002A535E"/>
    <w:rsid w:val="002A5881"/>
    <w:rsid w:val="002A5E7A"/>
    <w:rsid w:val="002B0025"/>
    <w:rsid w:val="002B0801"/>
    <w:rsid w:val="002B0A3F"/>
    <w:rsid w:val="002B2A3C"/>
    <w:rsid w:val="002B5324"/>
    <w:rsid w:val="002B56E7"/>
    <w:rsid w:val="002B5823"/>
    <w:rsid w:val="002B733A"/>
    <w:rsid w:val="002B7F4A"/>
    <w:rsid w:val="002C0074"/>
    <w:rsid w:val="002C097E"/>
    <w:rsid w:val="002C2315"/>
    <w:rsid w:val="002C301D"/>
    <w:rsid w:val="002C42B5"/>
    <w:rsid w:val="002C4A38"/>
    <w:rsid w:val="002C65B8"/>
    <w:rsid w:val="002C6EB3"/>
    <w:rsid w:val="002C734D"/>
    <w:rsid w:val="002C744C"/>
    <w:rsid w:val="002C796C"/>
    <w:rsid w:val="002D01BF"/>
    <w:rsid w:val="002D0F9A"/>
    <w:rsid w:val="002D0FAA"/>
    <w:rsid w:val="002D3E81"/>
    <w:rsid w:val="002D4AC3"/>
    <w:rsid w:val="002D52A0"/>
    <w:rsid w:val="002D53FF"/>
    <w:rsid w:val="002D6691"/>
    <w:rsid w:val="002E0169"/>
    <w:rsid w:val="002E062E"/>
    <w:rsid w:val="002E1226"/>
    <w:rsid w:val="002E19BB"/>
    <w:rsid w:val="002E1D30"/>
    <w:rsid w:val="002E2678"/>
    <w:rsid w:val="002E28C6"/>
    <w:rsid w:val="002E4DB3"/>
    <w:rsid w:val="002E6269"/>
    <w:rsid w:val="002E6D37"/>
    <w:rsid w:val="002E6F69"/>
    <w:rsid w:val="002E79A6"/>
    <w:rsid w:val="002F10BF"/>
    <w:rsid w:val="002F110D"/>
    <w:rsid w:val="002F32BD"/>
    <w:rsid w:val="002F33C8"/>
    <w:rsid w:val="002F4407"/>
    <w:rsid w:val="002F5A1A"/>
    <w:rsid w:val="002F6E67"/>
    <w:rsid w:val="002F71F1"/>
    <w:rsid w:val="002F7306"/>
    <w:rsid w:val="002F7B65"/>
    <w:rsid w:val="002F7C03"/>
    <w:rsid w:val="0030111A"/>
    <w:rsid w:val="003020F3"/>
    <w:rsid w:val="003022D4"/>
    <w:rsid w:val="003038AC"/>
    <w:rsid w:val="00305726"/>
    <w:rsid w:val="00306E9B"/>
    <w:rsid w:val="003072C1"/>
    <w:rsid w:val="003076FA"/>
    <w:rsid w:val="0031016A"/>
    <w:rsid w:val="00310D70"/>
    <w:rsid w:val="0031214B"/>
    <w:rsid w:val="00312E0A"/>
    <w:rsid w:val="00313F3E"/>
    <w:rsid w:val="00314A19"/>
    <w:rsid w:val="00315307"/>
    <w:rsid w:val="00315D17"/>
    <w:rsid w:val="00316B54"/>
    <w:rsid w:val="003176BB"/>
    <w:rsid w:val="00317E1A"/>
    <w:rsid w:val="00320A3C"/>
    <w:rsid w:val="00322B2A"/>
    <w:rsid w:val="003232C2"/>
    <w:rsid w:val="003237B0"/>
    <w:rsid w:val="0032503F"/>
    <w:rsid w:val="003262CE"/>
    <w:rsid w:val="003264ED"/>
    <w:rsid w:val="003308B4"/>
    <w:rsid w:val="00333209"/>
    <w:rsid w:val="003335E2"/>
    <w:rsid w:val="003338BA"/>
    <w:rsid w:val="003345BA"/>
    <w:rsid w:val="00334A4E"/>
    <w:rsid w:val="003352EF"/>
    <w:rsid w:val="003401B9"/>
    <w:rsid w:val="003418C0"/>
    <w:rsid w:val="003424A8"/>
    <w:rsid w:val="003424B1"/>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4FA"/>
    <w:rsid w:val="00365680"/>
    <w:rsid w:val="00366A1A"/>
    <w:rsid w:val="00367B6E"/>
    <w:rsid w:val="00370B2E"/>
    <w:rsid w:val="003713BA"/>
    <w:rsid w:val="00372D68"/>
    <w:rsid w:val="00373F58"/>
    <w:rsid w:val="0037447C"/>
    <w:rsid w:val="0037458C"/>
    <w:rsid w:val="00374E9A"/>
    <w:rsid w:val="00375E4F"/>
    <w:rsid w:val="00375E7C"/>
    <w:rsid w:val="00375FFD"/>
    <w:rsid w:val="00381DB8"/>
    <w:rsid w:val="003826A0"/>
    <w:rsid w:val="00383462"/>
    <w:rsid w:val="00384B10"/>
    <w:rsid w:val="00384B58"/>
    <w:rsid w:val="00385683"/>
    <w:rsid w:val="00385EC1"/>
    <w:rsid w:val="00386DD1"/>
    <w:rsid w:val="00387CA4"/>
    <w:rsid w:val="00391389"/>
    <w:rsid w:val="00391E64"/>
    <w:rsid w:val="00395750"/>
    <w:rsid w:val="0039581F"/>
    <w:rsid w:val="00396861"/>
    <w:rsid w:val="0039783E"/>
    <w:rsid w:val="003A0009"/>
    <w:rsid w:val="003A0E47"/>
    <w:rsid w:val="003A1127"/>
    <w:rsid w:val="003A1870"/>
    <w:rsid w:val="003A4360"/>
    <w:rsid w:val="003A4D22"/>
    <w:rsid w:val="003A5C4B"/>
    <w:rsid w:val="003A68AA"/>
    <w:rsid w:val="003A734A"/>
    <w:rsid w:val="003A7561"/>
    <w:rsid w:val="003A76E4"/>
    <w:rsid w:val="003B09F2"/>
    <w:rsid w:val="003B1384"/>
    <w:rsid w:val="003B35B8"/>
    <w:rsid w:val="003B3A16"/>
    <w:rsid w:val="003B4A9D"/>
    <w:rsid w:val="003B4B13"/>
    <w:rsid w:val="003B4D2C"/>
    <w:rsid w:val="003B53A6"/>
    <w:rsid w:val="003B59FB"/>
    <w:rsid w:val="003B71BF"/>
    <w:rsid w:val="003C0785"/>
    <w:rsid w:val="003C1764"/>
    <w:rsid w:val="003C3AD0"/>
    <w:rsid w:val="003C722C"/>
    <w:rsid w:val="003C7985"/>
    <w:rsid w:val="003C7CAC"/>
    <w:rsid w:val="003C7E67"/>
    <w:rsid w:val="003D20ED"/>
    <w:rsid w:val="003D3C18"/>
    <w:rsid w:val="003D4C98"/>
    <w:rsid w:val="003D4ED7"/>
    <w:rsid w:val="003D6531"/>
    <w:rsid w:val="003D6C84"/>
    <w:rsid w:val="003E017A"/>
    <w:rsid w:val="003E0CA1"/>
    <w:rsid w:val="003E1FAF"/>
    <w:rsid w:val="003E20B9"/>
    <w:rsid w:val="003E2BB7"/>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BD3"/>
    <w:rsid w:val="00401D87"/>
    <w:rsid w:val="00402BF8"/>
    <w:rsid w:val="00403755"/>
    <w:rsid w:val="0040387F"/>
    <w:rsid w:val="00405B8C"/>
    <w:rsid w:val="00406227"/>
    <w:rsid w:val="0040656A"/>
    <w:rsid w:val="00407D3B"/>
    <w:rsid w:val="0041363C"/>
    <w:rsid w:val="00414E9A"/>
    <w:rsid w:val="00415CC4"/>
    <w:rsid w:val="00415FD6"/>
    <w:rsid w:val="004161A9"/>
    <w:rsid w:val="0041696F"/>
    <w:rsid w:val="00417646"/>
    <w:rsid w:val="00420D4C"/>
    <w:rsid w:val="00423B79"/>
    <w:rsid w:val="004240D2"/>
    <w:rsid w:val="00424924"/>
    <w:rsid w:val="00424ADF"/>
    <w:rsid w:val="004303B8"/>
    <w:rsid w:val="00431677"/>
    <w:rsid w:val="00433183"/>
    <w:rsid w:val="00433AED"/>
    <w:rsid w:val="004342F0"/>
    <w:rsid w:val="004353DD"/>
    <w:rsid w:val="00435F4A"/>
    <w:rsid w:val="00437C49"/>
    <w:rsid w:val="0044117C"/>
    <w:rsid w:val="004418F2"/>
    <w:rsid w:val="00443662"/>
    <w:rsid w:val="00443DF2"/>
    <w:rsid w:val="00444E78"/>
    <w:rsid w:val="004455A5"/>
    <w:rsid w:val="004455E5"/>
    <w:rsid w:val="00445911"/>
    <w:rsid w:val="00445F4D"/>
    <w:rsid w:val="00446050"/>
    <w:rsid w:val="00446FC1"/>
    <w:rsid w:val="00447C26"/>
    <w:rsid w:val="00447F1A"/>
    <w:rsid w:val="0045085A"/>
    <w:rsid w:val="00450CBA"/>
    <w:rsid w:val="0045109C"/>
    <w:rsid w:val="0045110A"/>
    <w:rsid w:val="00452DA2"/>
    <w:rsid w:val="00453274"/>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1AE"/>
    <w:rsid w:val="00471759"/>
    <w:rsid w:val="0047175C"/>
    <w:rsid w:val="00472049"/>
    <w:rsid w:val="004721E0"/>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52BE"/>
    <w:rsid w:val="0049615F"/>
    <w:rsid w:val="004971EF"/>
    <w:rsid w:val="004A2043"/>
    <w:rsid w:val="004A2FD9"/>
    <w:rsid w:val="004A3EFF"/>
    <w:rsid w:val="004A51CB"/>
    <w:rsid w:val="004A5D55"/>
    <w:rsid w:val="004A6C88"/>
    <w:rsid w:val="004A6D51"/>
    <w:rsid w:val="004B03BE"/>
    <w:rsid w:val="004B06AF"/>
    <w:rsid w:val="004B0A80"/>
    <w:rsid w:val="004B1950"/>
    <w:rsid w:val="004B2839"/>
    <w:rsid w:val="004B300A"/>
    <w:rsid w:val="004B4E7B"/>
    <w:rsid w:val="004B7418"/>
    <w:rsid w:val="004B7546"/>
    <w:rsid w:val="004B78FA"/>
    <w:rsid w:val="004C0FBA"/>
    <w:rsid w:val="004C1080"/>
    <w:rsid w:val="004C1B05"/>
    <w:rsid w:val="004C1E71"/>
    <w:rsid w:val="004C28F0"/>
    <w:rsid w:val="004C2B29"/>
    <w:rsid w:val="004C37F7"/>
    <w:rsid w:val="004C3F7B"/>
    <w:rsid w:val="004C3FD4"/>
    <w:rsid w:val="004C4916"/>
    <w:rsid w:val="004C6A1A"/>
    <w:rsid w:val="004C78C4"/>
    <w:rsid w:val="004D2B88"/>
    <w:rsid w:val="004D2EB8"/>
    <w:rsid w:val="004D3A3F"/>
    <w:rsid w:val="004D512D"/>
    <w:rsid w:val="004D58A1"/>
    <w:rsid w:val="004D5D38"/>
    <w:rsid w:val="004D5F74"/>
    <w:rsid w:val="004D6AFA"/>
    <w:rsid w:val="004D6ED4"/>
    <w:rsid w:val="004E10E0"/>
    <w:rsid w:val="004E198A"/>
    <w:rsid w:val="004E2A32"/>
    <w:rsid w:val="004E3061"/>
    <w:rsid w:val="004E3F7E"/>
    <w:rsid w:val="004E67E6"/>
    <w:rsid w:val="004F0E40"/>
    <w:rsid w:val="004F19CD"/>
    <w:rsid w:val="004F1F6E"/>
    <w:rsid w:val="004F245D"/>
    <w:rsid w:val="004F27DA"/>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3A11"/>
    <w:rsid w:val="00515680"/>
    <w:rsid w:val="005173F5"/>
    <w:rsid w:val="00517D7F"/>
    <w:rsid w:val="00517E7D"/>
    <w:rsid w:val="00520779"/>
    <w:rsid w:val="00521E8C"/>
    <w:rsid w:val="005223E1"/>
    <w:rsid w:val="00523AAC"/>
    <w:rsid w:val="00523CF5"/>
    <w:rsid w:val="005246FD"/>
    <w:rsid w:val="0052588F"/>
    <w:rsid w:val="00525A4C"/>
    <w:rsid w:val="00525C51"/>
    <w:rsid w:val="00530417"/>
    <w:rsid w:val="00530B0F"/>
    <w:rsid w:val="00532095"/>
    <w:rsid w:val="005321B7"/>
    <w:rsid w:val="005328C3"/>
    <w:rsid w:val="0053379A"/>
    <w:rsid w:val="005337D5"/>
    <w:rsid w:val="0053679A"/>
    <w:rsid w:val="00536C66"/>
    <w:rsid w:val="0054067C"/>
    <w:rsid w:val="00541C62"/>
    <w:rsid w:val="005423AB"/>
    <w:rsid w:val="005427EB"/>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57388"/>
    <w:rsid w:val="005612C1"/>
    <w:rsid w:val="005616C5"/>
    <w:rsid w:val="0056241C"/>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67F"/>
    <w:rsid w:val="005819B2"/>
    <w:rsid w:val="00582409"/>
    <w:rsid w:val="00582DC6"/>
    <w:rsid w:val="00583F9C"/>
    <w:rsid w:val="00585F5E"/>
    <w:rsid w:val="00586DC7"/>
    <w:rsid w:val="005900C9"/>
    <w:rsid w:val="00590BD9"/>
    <w:rsid w:val="00590D92"/>
    <w:rsid w:val="00591D93"/>
    <w:rsid w:val="00593561"/>
    <w:rsid w:val="00594805"/>
    <w:rsid w:val="00596392"/>
    <w:rsid w:val="00596EAD"/>
    <w:rsid w:val="00597703"/>
    <w:rsid w:val="00597DFE"/>
    <w:rsid w:val="00597FAF"/>
    <w:rsid w:val="005A058E"/>
    <w:rsid w:val="005A13E7"/>
    <w:rsid w:val="005A171F"/>
    <w:rsid w:val="005A17E0"/>
    <w:rsid w:val="005A196E"/>
    <w:rsid w:val="005A3D06"/>
    <w:rsid w:val="005A3DA9"/>
    <w:rsid w:val="005A62E6"/>
    <w:rsid w:val="005A6CC1"/>
    <w:rsid w:val="005A6CCD"/>
    <w:rsid w:val="005A7107"/>
    <w:rsid w:val="005B174D"/>
    <w:rsid w:val="005B1762"/>
    <w:rsid w:val="005B29AF"/>
    <w:rsid w:val="005B39D2"/>
    <w:rsid w:val="005B3B36"/>
    <w:rsid w:val="005B4DB2"/>
    <w:rsid w:val="005B545C"/>
    <w:rsid w:val="005B55F8"/>
    <w:rsid w:val="005B5924"/>
    <w:rsid w:val="005B6561"/>
    <w:rsid w:val="005C0312"/>
    <w:rsid w:val="005C0453"/>
    <w:rsid w:val="005C21D1"/>
    <w:rsid w:val="005C24B6"/>
    <w:rsid w:val="005C29FA"/>
    <w:rsid w:val="005C363D"/>
    <w:rsid w:val="005C3E40"/>
    <w:rsid w:val="005C5F92"/>
    <w:rsid w:val="005C6EDB"/>
    <w:rsid w:val="005D0763"/>
    <w:rsid w:val="005D0FD8"/>
    <w:rsid w:val="005D3C4E"/>
    <w:rsid w:val="005D3DE0"/>
    <w:rsid w:val="005D4C84"/>
    <w:rsid w:val="005D57F3"/>
    <w:rsid w:val="005D5A29"/>
    <w:rsid w:val="005D67EA"/>
    <w:rsid w:val="005E0B96"/>
    <w:rsid w:val="005E2792"/>
    <w:rsid w:val="005E4156"/>
    <w:rsid w:val="005E6DB6"/>
    <w:rsid w:val="005E7559"/>
    <w:rsid w:val="005F0CCA"/>
    <w:rsid w:val="005F2C40"/>
    <w:rsid w:val="005F4DCE"/>
    <w:rsid w:val="005F5FC9"/>
    <w:rsid w:val="005F60B3"/>
    <w:rsid w:val="005F74B9"/>
    <w:rsid w:val="005F7A08"/>
    <w:rsid w:val="0060184B"/>
    <w:rsid w:val="00601A52"/>
    <w:rsid w:val="00602508"/>
    <w:rsid w:val="00602D5E"/>
    <w:rsid w:val="00602E73"/>
    <w:rsid w:val="00603627"/>
    <w:rsid w:val="006036A6"/>
    <w:rsid w:val="00603E2B"/>
    <w:rsid w:val="00603FA8"/>
    <w:rsid w:val="006050DD"/>
    <w:rsid w:val="006062EF"/>
    <w:rsid w:val="00606478"/>
    <w:rsid w:val="0061025C"/>
    <w:rsid w:val="00610DB8"/>
    <w:rsid w:val="006121E5"/>
    <w:rsid w:val="00612D19"/>
    <w:rsid w:val="0061317B"/>
    <w:rsid w:val="00613972"/>
    <w:rsid w:val="00613BEB"/>
    <w:rsid w:val="00614E87"/>
    <w:rsid w:val="006156AF"/>
    <w:rsid w:val="006159F2"/>
    <w:rsid w:val="00615E70"/>
    <w:rsid w:val="006170F2"/>
    <w:rsid w:val="00617398"/>
    <w:rsid w:val="0061761D"/>
    <w:rsid w:val="006207E9"/>
    <w:rsid w:val="006219C2"/>
    <w:rsid w:val="00621E70"/>
    <w:rsid w:val="006238E0"/>
    <w:rsid w:val="00623C1D"/>
    <w:rsid w:val="00626B7E"/>
    <w:rsid w:val="00632AEE"/>
    <w:rsid w:val="00632BA7"/>
    <w:rsid w:val="00632C89"/>
    <w:rsid w:val="00632E8C"/>
    <w:rsid w:val="00634F11"/>
    <w:rsid w:val="006359F5"/>
    <w:rsid w:val="00635A18"/>
    <w:rsid w:val="00635BF8"/>
    <w:rsid w:val="006371BF"/>
    <w:rsid w:val="006377D3"/>
    <w:rsid w:val="00637BB7"/>
    <w:rsid w:val="00642ADD"/>
    <w:rsid w:val="00643396"/>
    <w:rsid w:val="00643788"/>
    <w:rsid w:val="0064402C"/>
    <w:rsid w:val="006445A2"/>
    <w:rsid w:val="00645C45"/>
    <w:rsid w:val="00646179"/>
    <w:rsid w:val="006464FD"/>
    <w:rsid w:val="006474EE"/>
    <w:rsid w:val="0064763A"/>
    <w:rsid w:val="00652430"/>
    <w:rsid w:val="006536A9"/>
    <w:rsid w:val="00654493"/>
    <w:rsid w:val="006544DB"/>
    <w:rsid w:val="00655D6E"/>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2162"/>
    <w:rsid w:val="00693024"/>
    <w:rsid w:val="00693D0E"/>
    <w:rsid w:val="00694ABE"/>
    <w:rsid w:val="00694E49"/>
    <w:rsid w:val="0069574A"/>
    <w:rsid w:val="00696CE6"/>
    <w:rsid w:val="006A009C"/>
    <w:rsid w:val="006A0E74"/>
    <w:rsid w:val="006A0FE1"/>
    <w:rsid w:val="006A218F"/>
    <w:rsid w:val="006A3E02"/>
    <w:rsid w:val="006A3F76"/>
    <w:rsid w:val="006A4054"/>
    <w:rsid w:val="006A40A1"/>
    <w:rsid w:val="006A485B"/>
    <w:rsid w:val="006A5C00"/>
    <w:rsid w:val="006A6165"/>
    <w:rsid w:val="006A6392"/>
    <w:rsid w:val="006A7E28"/>
    <w:rsid w:val="006B13C0"/>
    <w:rsid w:val="006B2116"/>
    <w:rsid w:val="006B2982"/>
    <w:rsid w:val="006B35BE"/>
    <w:rsid w:val="006B456E"/>
    <w:rsid w:val="006B5DD1"/>
    <w:rsid w:val="006C0A4C"/>
    <w:rsid w:val="006C1B43"/>
    <w:rsid w:val="006C1D7C"/>
    <w:rsid w:val="006C3765"/>
    <w:rsid w:val="006C39BF"/>
    <w:rsid w:val="006C4775"/>
    <w:rsid w:val="006C4F9E"/>
    <w:rsid w:val="006C6FA2"/>
    <w:rsid w:val="006C7000"/>
    <w:rsid w:val="006C7763"/>
    <w:rsid w:val="006D012B"/>
    <w:rsid w:val="006D12A7"/>
    <w:rsid w:val="006D224D"/>
    <w:rsid w:val="006D2BD5"/>
    <w:rsid w:val="006D3ECE"/>
    <w:rsid w:val="006D4DA4"/>
    <w:rsid w:val="006D4E45"/>
    <w:rsid w:val="006D5350"/>
    <w:rsid w:val="006E0317"/>
    <w:rsid w:val="006E0511"/>
    <w:rsid w:val="006E12C1"/>
    <w:rsid w:val="006E277B"/>
    <w:rsid w:val="006E5580"/>
    <w:rsid w:val="006E607F"/>
    <w:rsid w:val="006E7DC2"/>
    <w:rsid w:val="006F0D1D"/>
    <w:rsid w:val="006F0D73"/>
    <w:rsid w:val="006F1342"/>
    <w:rsid w:val="006F3D80"/>
    <w:rsid w:val="006F3EF5"/>
    <w:rsid w:val="006F4023"/>
    <w:rsid w:val="006F49F0"/>
    <w:rsid w:val="0070184A"/>
    <w:rsid w:val="00701BEE"/>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48A8"/>
    <w:rsid w:val="0071607C"/>
    <w:rsid w:val="00716DEA"/>
    <w:rsid w:val="0072052C"/>
    <w:rsid w:val="0072105B"/>
    <w:rsid w:val="0072284E"/>
    <w:rsid w:val="00723508"/>
    <w:rsid w:val="00724FA4"/>
    <w:rsid w:val="0073286C"/>
    <w:rsid w:val="007328CC"/>
    <w:rsid w:val="007330DF"/>
    <w:rsid w:val="00733260"/>
    <w:rsid w:val="00735070"/>
    <w:rsid w:val="00735AD3"/>
    <w:rsid w:val="007363E3"/>
    <w:rsid w:val="007364DA"/>
    <w:rsid w:val="00736EC1"/>
    <w:rsid w:val="007409D2"/>
    <w:rsid w:val="00742222"/>
    <w:rsid w:val="00742A75"/>
    <w:rsid w:val="00743885"/>
    <w:rsid w:val="00743EA9"/>
    <w:rsid w:val="0074529C"/>
    <w:rsid w:val="00747ECC"/>
    <w:rsid w:val="00750B94"/>
    <w:rsid w:val="00750BF8"/>
    <w:rsid w:val="00750E2F"/>
    <w:rsid w:val="0075135F"/>
    <w:rsid w:val="007515BC"/>
    <w:rsid w:val="00753328"/>
    <w:rsid w:val="00753433"/>
    <w:rsid w:val="00754E11"/>
    <w:rsid w:val="00756097"/>
    <w:rsid w:val="00763C53"/>
    <w:rsid w:val="00764F3A"/>
    <w:rsid w:val="00765CC1"/>
    <w:rsid w:val="007669BA"/>
    <w:rsid w:val="00770261"/>
    <w:rsid w:val="007712EA"/>
    <w:rsid w:val="00772439"/>
    <w:rsid w:val="00773ACD"/>
    <w:rsid w:val="0077578E"/>
    <w:rsid w:val="007768C5"/>
    <w:rsid w:val="0077715B"/>
    <w:rsid w:val="007773BD"/>
    <w:rsid w:val="00777B72"/>
    <w:rsid w:val="00777EEE"/>
    <w:rsid w:val="007810F8"/>
    <w:rsid w:val="007811C0"/>
    <w:rsid w:val="00781440"/>
    <w:rsid w:val="007819CF"/>
    <w:rsid w:val="00781ABC"/>
    <w:rsid w:val="0078263F"/>
    <w:rsid w:val="00783657"/>
    <w:rsid w:val="00786840"/>
    <w:rsid w:val="00790852"/>
    <w:rsid w:val="00790EEE"/>
    <w:rsid w:val="00791304"/>
    <w:rsid w:val="00791677"/>
    <w:rsid w:val="00791E8E"/>
    <w:rsid w:val="007931A9"/>
    <w:rsid w:val="00794E52"/>
    <w:rsid w:val="00794E6C"/>
    <w:rsid w:val="007952A7"/>
    <w:rsid w:val="00795878"/>
    <w:rsid w:val="00796982"/>
    <w:rsid w:val="007A02C7"/>
    <w:rsid w:val="007A05C6"/>
    <w:rsid w:val="007A2C70"/>
    <w:rsid w:val="007A375D"/>
    <w:rsid w:val="007A5826"/>
    <w:rsid w:val="007A657A"/>
    <w:rsid w:val="007B249F"/>
    <w:rsid w:val="007B35F5"/>
    <w:rsid w:val="007B4330"/>
    <w:rsid w:val="007B435A"/>
    <w:rsid w:val="007B5D7E"/>
    <w:rsid w:val="007B788E"/>
    <w:rsid w:val="007C17B1"/>
    <w:rsid w:val="007C211C"/>
    <w:rsid w:val="007C43BB"/>
    <w:rsid w:val="007C59C1"/>
    <w:rsid w:val="007C620A"/>
    <w:rsid w:val="007C6826"/>
    <w:rsid w:val="007C6ED9"/>
    <w:rsid w:val="007C737B"/>
    <w:rsid w:val="007C7DC7"/>
    <w:rsid w:val="007D1D13"/>
    <w:rsid w:val="007D20FF"/>
    <w:rsid w:val="007D36F2"/>
    <w:rsid w:val="007D3B6C"/>
    <w:rsid w:val="007D57DC"/>
    <w:rsid w:val="007E00A1"/>
    <w:rsid w:val="007E2BB1"/>
    <w:rsid w:val="007E2F2D"/>
    <w:rsid w:val="007E3A3A"/>
    <w:rsid w:val="007E3C1B"/>
    <w:rsid w:val="007E579C"/>
    <w:rsid w:val="007E57D9"/>
    <w:rsid w:val="007E64F5"/>
    <w:rsid w:val="007E6D47"/>
    <w:rsid w:val="007E71C7"/>
    <w:rsid w:val="007E7AA0"/>
    <w:rsid w:val="007F0096"/>
    <w:rsid w:val="007F2BB3"/>
    <w:rsid w:val="007F35FA"/>
    <w:rsid w:val="007F3724"/>
    <w:rsid w:val="007F3A69"/>
    <w:rsid w:val="007F4330"/>
    <w:rsid w:val="007F45A7"/>
    <w:rsid w:val="007F4C1B"/>
    <w:rsid w:val="007F62A9"/>
    <w:rsid w:val="00802182"/>
    <w:rsid w:val="008022F1"/>
    <w:rsid w:val="0080288A"/>
    <w:rsid w:val="00802E2A"/>
    <w:rsid w:val="00803569"/>
    <w:rsid w:val="008049CE"/>
    <w:rsid w:val="0080598A"/>
    <w:rsid w:val="00807058"/>
    <w:rsid w:val="0080739F"/>
    <w:rsid w:val="0080758E"/>
    <w:rsid w:val="0081025E"/>
    <w:rsid w:val="00812261"/>
    <w:rsid w:val="008124E6"/>
    <w:rsid w:val="00812B72"/>
    <w:rsid w:val="00813360"/>
    <w:rsid w:val="00813620"/>
    <w:rsid w:val="0081545C"/>
    <w:rsid w:val="00816F3A"/>
    <w:rsid w:val="008171ED"/>
    <w:rsid w:val="00820A94"/>
    <w:rsid w:val="00822DB3"/>
    <w:rsid w:val="0082319F"/>
    <w:rsid w:val="00823B52"/>
    <w:rsid w:val="00823B90"/>
    <w:rsid w:val="008304E8"/>
    <w:rsid w:val="00831ACA"/>
    <w:rsid w:val="00831AD5"/>
    <w:rsid w:val="00831BAA"/>
    <w:rsid w:val="00831E32"/>
    <w:rsid w:val="008326B3"/>
    <w:rsid w:val="00834C7B"/>
    <w:rsid w:val="00836367"/>
    <w:rsid w:val="008375CF"/>
    <w:rsid w:val="00840B59"/>
    <w:rsid w:val="0084168F"/>
    <w:rsid w:val="008425D5"/>
    <w:rsid w:val="00843088"/>
    <w:rsid w:val="00843D20"/>
    <w:rsid w:val="00844454"/>
    <w:rsid w:val="00847192"/>
    <w:rsid w:val="0084731D"/>
    <w:rsid w:val="00850142"/>
    <w:rsid w:val="0085035F"/>
    <w:rsid w:val="008511D0"/>
    <w:rsid w:val="00852694"/>
    <w:rsid w:val="00857001"/>
    <w:rsid w:val="00857420"/>
    <w:rsid w:val="0085773A"/>
    <w:rsid w:val="008603F1"/>
    <w:rsid w:val="00860CCE"/>
    <w:rsid w:val="00862540"/>
    <w:rsid w:val="00862551"/>
    <w:rsid w:val="0086294E"/>
    <w:rsid w:val="00863459"/>
    <w:rsid w:val="008637E1"/>
    <w:rsid w:val="00865FF1"/>
    <w:rsid w:val="008669BF"/>
    <w:rsid w:val="00867E68"/>
    <w:rsid w:val="0087119D"/>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C87"/>
    <w:rsid w:val="008A2ECB"/>
    <w:rsid w:val="008A32A4"/>
    <w:rsid w:val="008A41D1"/>
    <w:rsid w:val="008A6B32"/>
    <w:rsid w:val="008A6D57"/>
    <w:rsid w:val="008A7DEB"/>
    <w:rsid w:val="008B1ACB"/>
    <w:rsid w:val="008B2B11"/>
    <w:rsid w:val="008B3915"/>
    <w:rsid w:val="008B39F2"/>
    <w:rsid w:val="008B3C86"/>
    <w:rsid w:val="008B7CC7"/>
    <w:rsid w:val="008C0BAD"/>
    <w:rsid w:val="008C1654"/>
    <w:rsid w:val="008C2E66"/>
    <w:rsid w:val="008C3CF3"/>
    <w:rsid w:val="008C4059"/>
    <w:rsid w:val="008C5061"/>
    <w:rsid w:val="008D321E"/>
    <w:rsid w:val="008D4069"/>
    <w:rsid w:val="008D4C74"/>
    <w:rsid w:val="008D578D"/>
    <w:rsid w:val="008D6CD0"/>
    <w:rsid w:val="008D6F8D"/>
    <w:rsid w:val="008E0516"/>
    <w:rsid w:val="008E0799"/>
    <w:rsid w:val="008E144C"/>
    <w:rsid w:val="008E1524"/>
    <w:rsid w:val="008E1751"/>
    <w:rsid w:val="008E35D5"/>
    <w:rsid w:val="008E37D5"/>
    <w:rsid w:val="008E499D"/>
    <w:rsid w:val="008E4E7B"/>
    <w:rsid w:val="008F1742"/>
    <w:rsid w:val="008F2BA2"/>
    <w:rsid w:val="008F3401"/>
    <w:rsid w:val="008F45DD"/>
    <w:rsid w:val="008F524F"/>
    <w:rsid w:val="008F546B"/>
    <w:rsid w:val="008F5CBE"/>
    <w:rsid w:val="008F7083"/>
    <w:rsid w:val="008F739A"/>
    <w:rsid w:val="008F7F16"/>
    <w:rsid w:val="009011FA"/>
    <w:rsid w:val="00902ACA"/>
    <w:rsid w:val="009037C5"/>
    <w:rsid w:val="00903A46"/>
    <w:rsid w:val="00906AF0"/>
    <w:rsid w:val="00906F5E"/>
    <w:rsid w:val="00907D34"/>
    <w:rsid w:val="00907EF1"/>
    <w:rsid w:val="009112D6"/>
    <w:rsid w:val="00911779"/>
    <w:rsid w:val="0091179D"/>
    <w:rsid w:val="00912583"/>
    <w:rsid w:val="00912FE6"/>
    <w:rsid w:val="0091537A"/>
    <w:rsid w:val="0091613C"/>
    <w:rsid w:val="00916AA9"/>
    <w:rsid w:val="00917703"/>
    <w:rsid w:val="00921613"/>
    <w:rsid w:val="00921AD9"/>
    <w:rsid w:val="00922DFB"/>
    <w:rsid w:val="00924DAD"/>
    <w:rsid w:val="00924EF9"/>
    <w:rsid w:val="00926B17"/>
    <w:rsid w:val="0092718C"/>
    <w:rsid w:val="00931139"/>
    <w:rsid w:val="00931186"/>
    <w:rsid w:val="00931C60"/>
    <w:rsid w:val="009320F4"/>
    <w:rsid w:val="00932330"/>
    <w:rsid w:val="00934ED3"/>
    <w:rsid w:val="009366A0"/>
    <w:rsid w:val="009407EE"/>
    <w:rsid w:val="009418D5"/>
    <w:rsid w:val="00943B26"/>
    <w:rsid w:val="00950357"/>
    <w:rsid w:val="0095200D"/>
    <w:rsid w:val="009542D3"/>
    <w:rsid w:val="00956DA6"/>
    <w:rsid w:val="009575E3"/>
    <w:rsid w:val="00957BB6"/>
    <w:rsid w:val="00957F52"/>
    <w:rsid w:val="00960387"/>
    <w:rsid w:val="009616D5"/>
    <w:rsid w:val="00961C3D"/>
    <w:rsid w:val="00961DC0"/>
    <w:rsid w:val="00962484"/>
    <w:rsid w:val="0096278C"/>
    <w:rsid w:val="00963859"/>
    <w:rsid w:val="009643C4"/>
    <w:rsid w:val="00967BAA"/>
    <w:rsid w:val="00970DF3"/>
    <w:rsid w:val="00975870"/>
    <w:rsid w:val="00975CDC"/>
    <w:rsid w:val="009768F2"/>
    <w:rsid w:val="009778F1"/>
    <w:rsid w:val="00981A56"/>
    <w:rsid w:val="00983242"/>
    <w:rsid w:val="00983700"/>
    <w:rsid w:val="00984467"/>
    <w:rsid w:val="0098563C"/>
    <w:rsid w:val="009859D2"/>
    <w:rsid w:val="0098603E"/>
    <w:rsid w:val="00986F53"/>
    <w:rsid w:val="009871A5"/>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A7AFF"/>
    <w:rsid w:val="009B0464"/>
    <w:rsid w:val="009B1209"/>
    <w:rsid w:val="009B3A54"/>
    <w:rsid w:val="009B3F9B"/>
    <w:rsid w:val="009B4464"/>
    <w:rsid w:val="009B5A71"/>
    <w:rsid w:val="009B5ED9"/>
    <w:rsid w:val="009B687E"/>
    <w:rsid w:val="009B78C5"/>
    <w:rsid w:val="009C4DC5"/>
    <w:rsid w:val="009C4F2E"/>
    <w:rsid w:val="009C5262"/>
    <w:rsid w:val="009C5B20"/>
    <w:rsid w:val="009C6B0A"/>
    <w:rsid w:val="009D07A9"/>
    <w:rsid w:val="009D176F"/>
    <w:rsid w:val="009D1CA8"/>
    <w:rsid w:val="009D2175"/>
    <w:rsid w:val="009D5865"/>
    <w:rsid w:val="009D5E4C"/>
    <w:rsid w:val="009D6D25"/>
    <w:rsid w:val="009D7A37"/>
    <w:rsid w:val="009E03FB"/>
    <w:rsid w:val="009E17B9"/>
    <w:rsid w:val="009E39BD"/>
    <w:rsid w:val="009E56D2"/>
    <w:rsid w:val="009F06E5"/>
    <w:rsid w:val="009F09E6"/>
    <w:rsid w:val="009F1629"/>
    <w:rsid w:val="009F39B2"/>
    <w:rsid w:val="009F41A3"/>
    <w:rsid w:val="009F630C"/>
    <w:rsid w:val="009F7B9A"/>
    <w:rsid w:val="009F7F75"/>
    <w:rsid w:val="00A0112C"/>
    <w:rsid w:val="00A0358C"/>
    <w:rsid w:val="00A03704"/>
    <w:rsid w:val="00A051B4"/>
    <w:rsid w:val="00A05AD3"/>
    <w:rsid w:val="00A067D6"/>
    <w:rsid w:val="00A06AC7"/>
    <w:rsid w:val="00A10E7A"/>
    <w:rsid w:val="00A11347"/>
    <w:rsid w:val="00A11C67"/>
    <w:rsid w:val="00A12961"/>
    <w:rsid w:val="00A1363B"/>
    <w:rsid w:val="00A136AC"/>
    <w:rsid w:val="00A13885"/>
    <w:rsid w:val="00A144CF"/>
    <w:rsid w:val="00A14F29"/>
    <w:rsid w:val="00A169B4"/>
    <w:rsid w:val="00A16CD8"/>
    <w:rsid w:val="00A178DF"/>
    <w:rsid w:val="00A20806"/>
    <w:rsid w:val="00A20C92"/>
    <w:rsid w:val="00A214BF"/>
    <w:rsid w:val="00A21E9A"/>
    <w:rsid w:val="00A227F2"/>
    <w:rsid w:val="00A240B1"/>
    <w:rsid w:val="00A241BD"/>
    <w:rsid w:val="00A260E7"/>
    <w:rsid w:val="00A2777E"/>
    <w:rsid w:val="00A27EC3"/>
    <w:rsid w:val="00A3103A"/>
    <w:rsid w:val="00A31268"/>
    <w:rsid w:val="00A31A4A"/>
    <w:rsid w:val="00A31E8F"/>
    <w:rsid w:val="00A3580A"/>
    <w:rsid w:val="00A366CB"/>
    <w:rsid w:val="00A40AF3"/>
    <w:rsid w:val="00A41038"/>
    <w:rsid w:val="00A41E37"/>
    <w:rsid w:val="00A41FC7"/>
    <w:rsid w:val="00A42DE0"/>
    <w:rsid w:val="00A44EB9"/>
    <w:rsid w:val="00A458F0"/>
    <w:rsid w:val="00A46A67"/>
    <w:rsid w:val="00A474F8"/>
    <w:rsid w:val="00A50891"/>
    <w:rsid w:val="00A51CC9"/>
    <w:rsid w:val="00A51EF6"/>
    <w:rsid w:val="00A52763"/>
    <w:rsid w:val="00A52964"/>
    <w:rsid w:val="00A541BB"/>
    <w:rsid w:val="00A60688"/>
    <w:rsid w:val="00A627C9"/>
    <w:rsid w:val="00A637DD"/>
    <w:rsid w:val="00A6409E"/>
    <w:rsid w:val="00A65EA6"/>
    <w:rsid w:val="00A72D91"/>
    <w:rsid w:val="00A73D4B"/>
    <w:rsid w:val="00A748A3"/>
    <w:rsid w:val="00A761FA"/>
    <w:rsid w:val="00A771C0"/>
    <w:rsid w:val="00A80CA4"/>
    <w:rsid w:val="00A81192"/>
    <w:rsid w:val="00A81297"/>
    <w:rsid w:val="00A82A72"/>
    <w:rsid w:val="00A85A08"/>
    <w:rsid w:val="00A86724"/>
    <w:rsid w:val="00A8672D"/>
    <w:rsid w:val="00A903E2"/>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428"/>
    <w:rsid w:val="00AB1C8B"/>
    <w:rsid w:val="00AB3396"/>
    <w:rsid w:val="00AB4B80"/>
    <w:rsid w:val="00AB7678"/>
    <w:rsid w:val="00AC014E"/>
    <w:rsid w:val="00AC238D"/>
    <w:rsid w:val="00AC4B7F"/>
    <w:rsid w:val="00AC4FFA"/>
    <w:rsid w:val="00AC7238"/>
    <w:rsid w:val="00AC7BEB"/>
    <w:rsid w:val="00AC7C05"/>
    <w:rsid w:val="00AD003A"/>
    <w:rsid w:val="00AD162D"/>
    <w:rsid w:val="00AD16E4"/>
    <w:rsid w:val="00AD2189"/>
    <w:rsid w:val="00AD2C02"/>
    <w:rsid w:val="00AD31A9"/>
    <w:rsid w:val="00AD5287"/>
    <w:rsid w:val="00AD6CF5"/>
    <w:rsid w:val="00AD7847"/>
    <w:rsid w:val="00AE097A"/>
    <w:rsid w:val="00AE102F"/>
    <w:rsid w:val="00AE12C6"/>
    <w:rsid w:val="00AE1B5A"/>
    <w:rsid w:val="00AE2151"/>
    <w:rsid w:val="00AE249D"/>
    <w:rsid w:val="00AE31B0"/>
    <w:rsid w:val="00AE3EC0"/>
    <w:rsid w:val="00AE6FC4"/>
    <w:rsid w:val="00AF0479"/>
    <w:rsid w:val="00AF05D2"/>
    <w:rsid w:val="00AF1F17"/>
    <w:rsid w:val="00AF26A2"/>
    <w:rsid w:val="00AF2DFA"/>
    <w:rsid w:val="00AF3492"/>
    <w:rsid w:val="00AF3977"/>
    <w:rsid w:val="00AF3DFB"/>
    <w:rsid w:val="00AF411C"/>
    <w:rsid w:val="00AF4B4B"/>
    <w:rsid w:val="00AF4B64"/>
    <w:rsid w:val="00AF60CF"/>
    <w:rsid w:val="00AF748C"/>
    <w:rsid w:val="00AF7EC6"/>
    <w:rsid w:val="00B01B51"/>
    <w:rsid w:val="00B01EA6"/>
    <w:rsid w:val="00B03333"/>
    <w:rsid w:val="00B033B6"/>
    <w:rsid w:val="00B0379D"/>
    <w:rsid w:val="00B0406A"/>
    <w:rsid w:val="00B06841"/>
    <w:rsid w:val="00B06B03"/>
    <w:rsid w:val="00B07DB6"/>
    <w:rsid w:val="00B113E5"/>
    <w:rsid w:val="00B1162D"/>
    <w:rsid w:val="00B129D6"/>
    <w:rsid w:val="00B14C06"/>
    <w:rsid w:val="00B153F0"/>
    <w:rsid w:val="00B162A3"/>
    <w:rsid w:val="00B17ECC"/>
    <w:rsid w:val="00B20CF9"/>
    <w:rsid w:val="00B22DB6"/>
    <w:rsid w:val="00B23398"/>
    <w:rsid w:val="00B23DC7"/>
    <w:rsid w:val="00B245B0"/>
    <w:rsid w:val="00B24790"/>
    <w:rsid w:val="00B26E56"/>
    <w:rsid w:val="00B31879"/>
    <w:rsid w:val="00B32D8E"/>
    <w:rsid w:val="00B3311C"/>
    <w:rsid w:val="00B33125"/>
    <w:rsid w:val="00B332CB"/>
    <w:rsid w:val="00B34A3B"/>
    <w:rsid w:val="00B355C5"/>
    <w:rsid w:val="00B3673D"/>
    <w:rsid w:val="00B40522"/>
    <w:rsid w:val="00B411B8"/>
    <w:rsid w:val="00B41C17"/>
    <w:rsid w:val="00B4448F"/>
    <w:rsid w:val="00B44C6C"/>
    <w:rsid w:val="00B4757F"/>
    <w:rsid w:val="00B50E61"/>
    <w:rsid w:val="00B5187A"/>
    <w:rsid w:val="00B5229A"/>
    <w:rsid w:val="00B5257E"/>
    <w:rsid w:val="00B52E33"/>
    <w:rsid w:val="00B54089"/>
    <w:rsid w:val="00B55445"/>
    <w:rsid w:val="00B55CD1"/>
    <w:rsid w:val="00B605F9"/>
    <w:rsid w:val="00B61C67"/>
    <w:rsid w:val="00B6314D"/>
    <w:rsid w:val="00B64B2E"/>
    <w:rsid w:val="00B64BD8"/>
    <w:rsid w:val="00B64D4D"/>
    <w:rsid w:val="00B654B4"/>
    <w:rsid w:val="00B65FD0"/>
    <w:rsid w:val="00B70EFF"/>
    <w:rsid w:val="00B713DA"/>
    <w:rsid w:val="00B71654"/>
    <w:rsid w:val="00B727C2"/>
    <w:rsid w:val="00B738C7"/>
    <w:rsid w:val="00B747AC"/>
    <w:rsid w:val="00B75E1D"/>
    <w:rsid w:val="00B77124"/>
    <w:rsid w:val="00B8023E"/>
    <w:rsid w:val="00B80929"/>
    <w:rsid w:val="00B8104A"/>
    <w:rsid w:val="00B82106"/>
    <w:rsid w:val="00B82526"/>
    <w:rsid w:val="00B82798"/>
    <w:rsid w:val="00B82809"/>
    <w:rsid w:val="00B87915"/>
    <w:rsid w:val="00B90701"/>
    <w:rsid w:val="00B9084D"/>
    <w:rsid w:val="00B91224"/>
    <w:rsid w:val="00B91420"/>
    <w:rsid w:val="00B92DEC"/>
    <w:rsid w:val="00B94D73"/>
    <w:rsid w:val="00B9525A"/>
    <w:rsid w:val="00B95806"/>
    <w:rsid w:val="00B97E0F"/>
    <w:rsid w:val="00BA015D"/>
    <w:rsid w:val="00BA064C"/>
    <w:rsid w:val="00BA08F9"/>
    <w:rsid w:val="00BA0C85"/>
    <w:rsid w:val="00BA1B22"/>
    <w:rsid w:val="00BA3F19"/>
    <w:rsid w:val="00BA4091"/>
    <w:rsid w:val="00BA4735"/>
    <w:rsid w:val="00BA54D5"/>
    <w:rsid w:val="00BA636A"/>
    <w:rsid w:val="00BA6868"/>
    <w:rsid w:val="00BA742D"/>
    <w:rsid w:val="00BB1615"/>
    <w:rsid w:val="00BB2BC9"/>
    <w:rsid w:val="00BB2DB8"/>
    <w:rsid w:val="00BB3A50"/>
    <w:rsid w:val="00BB4D9B"/>
    <w:rsid w:val="00BB647C"/>
    <w:rsid w:val="00BC0C83"/>
    <w:rsid w:val="00BC33E7"/>
    <w:rsid w:val="00BC5A0A"/>
    <w:rsid w:val="00BC61B1"/>
    <w:rsid w:val="00BC6399"/>
    <w:rsid w:val="00BC74B2"/>
    <w:rsid w:val="00BD1F16"/>
    <w:rsid w:val="00BD201F"/>
    <w:rsid w:val="00BD27A9"/>
    <w:rsid w:val="00BD514A"/>
    <w:rsid w:val="00BD55D3"/>
    <w:rsid w:val="00BD7473"/>
    <w:rsid w:val="00BD787F"/>
    <w:rsid w:val="00BD7E26"/>
    <w:rsid w:val="00BE00F2"/>
    <w:rsid w:val="00BE209A"/>
    <w:rsid w:val="00BE2293"/>
    <w:rsid w:val="00BE2455"/>
    <w:rsid w:val="00BE24AF"/>
    <w:rsid w:val="00BE37DF"/>
    <w:rsid w:val="00BE37E1"/>
    <w:rsid w:val="00BE4748"/>
    <w:rsid w:val="00BE4B28"/>
    <w:rsid w:val="00BE4ED0"/>
    <w:rsid w:val="00BE53E0"/>
    <w:rsid w:val="00BE57F6"/>
    <w:rsid w:val="00BE6E5D"/>
    <w:rsid w:val="00BE7220"/>
    <w:rsid w:val="00BE7733"/>
    <w:rsid w:val="00BF0139"/>
    <w:rsid w:val="00BF021D"/>
    <w:rsid w:val="00BF0C8E"/>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4B34"/>
    <w:rsid w:val="00C04F01"/>
    <w:rsid w:val="00C050D3"/>
    <w:rsid w:val="00C10374"/>
    <w:rsid w:val="00C12840"/>
    <w:rsid w:val="00C13480"/>
    <w:rsid w:val="00C1593D"/>
    <w:rsid w:val="00C172E3"/>
    <w:rsid w:val="00C20678"/>
    <w:rsid w:val="00C217D7"/>
    <w:rsid w:val="00C21910"/>
    <w:rsid w:val="00C22372"/>
    <w:rsid w:val="00C22791"/>
    <w:rsid w:val="00C244FF"/>
    <w:rsid w:val="00C268EB"/>
    <w:rsid w:val="00C27FC3"/>
    <w:rsid w:val="00C33D51"/>
    <w:rsid w:val="00C34065"/>
    <w:rsid w:val="00C349BD"/>
    <w:rsid w:val="00C35BF3"/>
    <w:rsid w:val="00C3670D"/>
    <w:rsid w:val="00C41370"/>
    <w:rsid w:val="00C41EED"/>
    <w:rsid w:val="00C442B6"/>
    <w:rsid w:val="00C44566"/>
    <w:rsid w:val="00C459A1"/>
    <w:rsid w:val="00C47A2B"/>
    <w:rsid w:val="00C47CC3"/>
    <w:rsid w:val="00C5096F"/>
    <w:rsid w:val="00C50CC6"/>
    <w:rsid w:val="00C5302D"/>
    <w:rsid w:val="00C5403F"/>
    <w:rsid w:val="00C55956"/>
    <w:rsid w:val="00C55CDD"/>
    <w:rsid w:val="00C5787F"/>
    <w:rsid w:val="00C57CDE"/>
    <w:rsid w:val="00C57E44"/>
    <w:rsid w:val="00C60E71"/>
    <w:rsid w:val="00C61A6F"/>
    <w:rsid w:val="00C61D8E"/>
    <w:rsid w:val="00C62F4A"/>
    <w:rsid w:val="00C6318D"/>
    <w:rsid w:val="00C634DB"/>
    <w:rsid w:val="00C63883"/>
    <w:rsid w:val="00C66506"/>
    <w:rsid w:val="00C67AAD"/>
    <w:rsid w:val="00C70641"/>
    <w:rsid w:val="00C72EF0"/>
    <w:rsid w:val="00C7318D"/>
    <w:rsid w:val="00C733D1"/>
    <w:rsid w:val="00C74CC2"/>
    <w:rsid w:val="00C75307"/>
    <w:rsid w:val="00C76012"/>
    <w:rsid w:val="00C76487"/>
    <w:rsid w:val="00C768E2"/>
    <w:rsid w:val="00C77134"/>
    <w:rsid w:val="00C77322"/>
    <w:rsid w:val="00C77ACD"/>
    <w:rsid w:val="00C80440"/>
    <w:rsid w:val="00C807D0"/>
    <w:rsid w:val="00C81584"/>
    <w:rsid w:val="00C82FC1"/>
    <w:rsid w:val="00C83726"/>
    <w:rsid w:val="00C85508"/>
    <w:rsid w:val="00C85536"/>
    <w:rsid w:val="00C90E0F"/>
    <w:rsid w:val="00C9240D"/>
    <w:rsid w:val="00C96565"/>
    <w:rsid w:val="00C975F3"/>
    <w:rsid w:val="00C9766A"/>
    <w:rsid w:val="00C9795B"/>
    <w:rsid w:val="00CA111D"/>
    <w:rsid w:val="00CA1310"/>
    <w:rsid w:val="00CA27D5"/>
    <w:rsid w:val="00CA2A22"/>
    <w:rsid w:val="00CA3336"/>
    <w:rsid w:val="00CA3630"/>
    <w:rsid w:val="00CA49A2"/>
    <w:rsid w:val="00CA4D80"/>
    <w:rsid w:val="00CA552A"/>
    <w:rsid w:val="00CA55AC"/>
    <w:rsid w:val="00CA5DA4"/>
    <w:rsid w:val="00CA6831"/>
    <w:rsid w:val="00CA683E"/>
    <w:rsid w:val="00CB0179"/>
    <w:rsid w:val="00CB0C87"/>
    <w:rsid w:val="00CB2278"/>
    <w:rsid w:val="00CB354D"/>
    <w:rsid w:val="00CB4787"/>
    <w:rsid w:val="00CB6BD8"/>
    <w:rsid w:val="00CB6CB8"/>
    <w:rsid w:val="00CB6DE2"/>
    <w:rsid w:val="00CB74C1"/>
    <w:rsid w:val="00CC0031"/>
    <w:rsid w:val="00CC1B2D"/>
    <w:rsid w:val="00CC2C4F"/>
    <w:rsid w:val="00CC3FDF"/>
    <w:rsid w:val="00CC4A62"/>
    <w:rsid w:val="00CC60B9"/>
    <w:rsid w:val="00CC6943"/>
    <w:rsid w:val="00CD087A"/>
    <w:rsid w:val="00CD1628"/>
    <w:rsid w:val="00CD2712"/>
    <w:rsid w:val="00CD35A0"/>
    <w:rsid w:val="00CD41EE"/>
    <w:rsid w:val="00CD476F"/>
    <w:rsid w:val="00CD664F"/>
    <w:rsid w:val="00CD7C95"/>
    <w:rsid w:val="00CE1BBE"/>
    <w:rsid w:val="00CE3D5E"/>
    <w:rsid w:val="00CE49E7"/>
    <w:rsid w:val="00CE5C94"/>
    <w:rsid w:val="00CE642E"/>
    <w:rsid w:val="00CF034B"/>
    <w:rsid w:val="00CF32E9"/>
    <w:rsid w:val="00CF345C"/>
    <w:rsid w:val="00CF4E94"/>
    <w:rsid w:val="00CF56C1"/>
    <w:rsid w:val="00CF5D66"/>
    <w:rsid w:val="00CF6539"/>
    <w:rsid w:val="00CF75BA"/>
    <w:rsid w:val="00D0100E"/>
    <w:rsid w:val="00D010E3"/>
    <w:rsid w:val="00D01A19"/>
    <w:rsid w:val="00D02E90"/>
    <w:rsid w:val="00D0482D"/>
    <w:rsid w:val="00D05810"/>
    <w:rsid w:val="00D06B90"/>
    <w:rsid w:val="00D10925"/>
    <w:rsid w:val="00D126D3"/>
    <w:rsid w:val="00D15ADE"/>
    <w:rsid w:val="00D20416"/>
    <w:rsid w:val="00D20CCF"/>
    <w:rsid w:val="00D21942"/>
    <w:rsid w:val="00D21D2E"/>
    <w:rsid w:val="00D22B65"/>
    <w:rsid w:val="00D23682"/>
    <w:rsid w:val="00D27E77"/>
    <w:rsid w:val="00D30051"/>
    <w:rsid w:val="00D30BD9"/>
    <w:rsid w:val="00D30C9F"/>
    <w:rsid w:val="00D31275"/>
    <w:rsid w:val="00D3196B"/>
    <w:rsid w:val="00D324FC"/>
    <w:rsid w:val="00D35F36"/>
    <w:rsid w:val="00D378DF"/>
    <w:rsid w:val="00D41322"/>
    <w:rsid w:val="00D42B0C"/>
    <w:rsid w:val="00D44C86"/>
    <w:rsid w:val="00D45326"/>
    <w:rsid w:val="00D45CB1"/>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9F"/>
    <w:rsid w:val="00D71EDD"/>
    <w:rsid w:val="00D72BEF"/>
    <w:rsid w:val="00D72C62"/>
    <w:rsid w:val="00D73886"/>
    <w:rsid w:val="00D743FD"/>
    <w:rsid w:val="00D753ED"/>
    <w:rsid w:val="00D76AB8"/>
    <w:rsid w:val="00D772B3"/>
    <w:rsid w:val="00D77A52"/>
    <w:rsid w:val="00D81B58"/>
    <w:rsid w:val="00D81C14"/>
    <w:rsid w:val="00D825ED"/>
    <w:rsid w:val="00D83158"/>
    <w:rsid w:val="00D832D5"/>
    <w:rsid w:val="00D83376"/>
    <w:rsid w:val="00D841BE"/>
    <w:rsid w:val="00D84B5D"/>
    <w:rsid w:val="00D853FF"/>
    <w:rsid w:val="00D8705F"/>
    <w:rsid w:val="00D87A07"/>
    <w:rsid w:val="00D92A15"/>
    <w:rsid w:val="00D934FF"/>
    <w:rsid w:val="00D943DD"/>
    <w:rsid w:val="00D94F99"/>
    <w:rsid w:val="00D957C0"/>
    <w:rsid w:val="00D965FE"/>
    <w:rsid w:val="00D97E0C"/>
    <w:rsid w:val="00DA0546"/>
    <w:rsid w:val="00DA1332"/>
    <w:rsid w:val="00DA377B"/>
    <w:rsid w:val="00DA4067"/>
    <w:rsid w:val="00DA48F6"/>
    <w:rsid w:val="00DA5238"/>
    <w:rsid w:val="00DA53C1"/>
    <w:rsid w:val="00DA5621"/>
    <w:rsid w:val="00DA5B67"/>
    <w:rsid w:val="00DA7ECD"/>
    <w:rsid w:val="00DB09E4"/>
    <w:rsid w:val="00DB1DBB"/>
    <w:rsid w:val="00DB26A8"/>
    <w:rsid w:val="00DB2D17"/>
    <w:rsid w:val="00DB5504"/>
    <w:rsid w:val="00DB5E4D"/>
    <w:rsid w:val="00DB5F9F"/>
    <w:rsid w:val="00DB6D1F"/>
    <w:rsid w:val="00DC0C84"/>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607"/>
    <w:rsid w:val="00DD6B23"/>
    <w:rsid w:val="00DE1E06"/>
    <w:rsid w:val="00DE342A"/>
    <w:rsid w:val="00DE48C3"/>
    <w:rsid w:val="00DE493A"/>
    <w:rsid w:val="00DE5099"/>
    <w:rsid w:val="00DE58AE"/>
    <w:rsid w:val="00DE7190"/>
    <w:rsid w:val="00DF0819"/>
    <w:rsid w:val="00DF1157"/>
    <w:rsid w:val="00DF178D"/>
    <w:rsid w:val="00DF1BE0"/>
    <w:rsid w:val="00DF2711"/>
    <w:rsid w:val="00DF2A50"/>
    <w:rsid w:val="00DF2E2D"/>
    <w:rsid w:val="00DF38C7"/>
    <w:rsid w:val="00DF4392"/>
    <w:rsid w:val="00DF4A24"/>
    <w:rsid w:val="00DF4E1F"/>
    <w:rsid w:val="00DF69A1"/>
    <w:rsid w:val="00DF6DE1"/>
    <w:rsid w:val="00DF70EB"/>
    <w:rsid w:val="00DF752E"/>
    <w:rsid w:val="00E0035B"/>
    <w:rsid w:val="00E00857"/>
    <w:rsid w:val="00E00956"/>
    <w:rsid w:val="00E00EBB"/>
    <w:rsid w:val="00E011B3"/>
    <w:rsid w:val="00E01A14"/>
    <w:rsid w:val="00E01A51"/>
    <w:rsid w:val="00E02EE2"/>
    <w:rsid w:val="00E03A4B"/>
    <w:rsid w:val="00E04B3B"/>
    <w:rsid w:val="00E04D61"/>
    <w:rsid w:val="00E050A4"/>
    <w:rsid w:val="00E05109"/>
    <w:rsid w:val="00E05705"/>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1A21"/>
    <w:rsid w:val="00E32827"/>
    <w:rsid w:val="00E329AF"/>
    <w:rsid w:val="00E342B0"/>
    <w:rsid w:val="00E3445E"/>
    <w:rsid w:val="00E350B7"/>
    <w:rsid w:val="00E356BA"/>
    <w:rsid w:val="00E37D1E"/>
    <w:rsid w:val="00E40979"/>
    <w:rsid w:val="00E435B7"/>
    <w:rsid w:val="00E43A26"/>
    <w:rsid w:val="00E466D8"/>
    <w:rsid w:val="00E46AF2"/>
    <w:rsid w:val="00E47557"/>
    <w:rsid w:val="00E503F7"/>
    <w:rsid w:val="00E504EC"/>
    <w:rsid w:val="00E54EFE"/>
    <w:rsid w:val="00E5543F"/>
    <w:rsid w:val="00E6140D"/>
    <w:rsid w:val="00E61F52"/>
    <w:rsid w:val="00E6414B"/>
    <w:rsid w:val="00E64851"/>
    <w:rsid w:val="00E655CC"/>
    <w:rsid w:val="00E67C51"/>
    <w:rsid w:val="00E70BD3"/>
    <w:rsid w:val="00E71783"/>
    <w:rsid w:val="00E71967"/>
    <w:rsid w:val="00E7237E"/>
    <w:rsid w:val="00E72A5A"/>
    <w:rsid w:val="00E72D5C"/>
    <w:rsid w:val="00E735B1"/>
    <w:rsid w:val="00E73BE0"/>
    <w:rsid w:val="00E741ED"/>
    <w:rsid w:val="00E770AD"/>
    <w:rsid w:val="00E77FD2"/>
    <w:rsid w:val="00E819B3"/>
    <w:rsid w:val="00E81DCB"/>
    <w:rsid w:val="00E85206"/>
    <w:rsid w:val="00E85420"/>
    <w:rsid w:val="00E8547B"/>
    <w:rsid w:val="00E90B31"/>
    <w:rsid w:val="00E90BDF"/>
    <w:rsid w:val="00E90FE1"/>
    <w:rsid w:val="00E929ED"/>
    <w:rsid w:val="00E940AC"/>
    <w:rsid w:val="00E94F36"/>
    <w:rsid w:val="00E95883"/>
    <w:rsid w:val="00E95EEB"/>
    <w:rsid w:val="00EA258A"/>
    <w:rsid w:val="00EA34CA"/>
    <w:rsid w:val="00EA447E"/>
    <w:rsid w:val="00EA4DBC"/>
    <w:rsid w:val="00EA50AB"/>
    <w:rsid w:val="00EB037F"/>
    <w:rsid w:val="00EB10EA"/>
    <w:rsid w:val="00EB1595"/>
    <w:rsid w:val="00EB192B"/>
    <w:rsid w:val="00EB31AB"/>
    <w:rsid w:val="00EB4EFE"/>
    <w:rsid w:val="00EB5751"/>
    <w:rsid w:val="00EB60EE"/>
    <w:rsid w:val="00EC175E"/>
    <w:rsid w:val="00EC22D7"/>
    <w:rsid w:val="00EC245A"/>
    <w:rsid w:val="00EC4BAE"/>
    <w:rsid w:val="00EC5B7C"/>
    <w:rsid w:val="00EC5D37"/>
    <w:rsid w:val="00EC6A3F"/>
    <w:rsid w:val="00ED0EA9"/>
    <w:rsid w:val="00ED17CF"/>
    <w:rsid w:val="00ED2391"/>
    <w:rsid w:val="00ED3DA3"/>
    <w:rsid w:val="00ED4C53"/>
    <w:rsid w:val="00EE2409"/>
    <w:rsid w:val="00EE340E"/>
    <w:rsid w:val="00EE6411"/>
    <w:rsid w:val="00EE66C7"/>
    <w:rsid w:val="00EE6B2F"/>
    <w:rsid w:val="00EE70C3"/>
    <w:rsid w:val="00EF02F8"/>
    <w:rsid w:val="00EF0400"/>
    <w:rsid w:val="00EF33E4"/>
    <w:rsid w:val="00EF3E02"/>
    <w:rsid w:val="00EF5730"/>
    <w:rsid w:val="00EF5C83"/>
    <w:rsid w:val="00EF7D7A"/>
    <w:rsid w:val="00F002B2"/>
    <w:rsid w:val="00F00AC2"/>
    <w:rsid w:val="00F0168E"/>
    <w:rsid w:val="00F01C27"/>
    <w:rsid w:val="00F0204B"/>
    <w:rsid w:val="00F021FB"/>
    <w:rsid w:val="00F03B3D"/>
    <w:rsid w:val="00F043BC"/>
    <w:rsid w:val="00F05177"/>
    <w:rsid w:val="00F0601A"/>
    <w:rsid w:val="00F0724E"/>
    <w:rsid w:val="00F11327"/>
    <w:rsid w:val="00F12FA2"/>
    <w:rsid w:val="00F14C67"/>
    <w:rsid w:val="00F15518"/>
    <w:rsid w:val="00F17616"/>
    <w:rsid w:val="00F20F78"/>
    <w:rsid w:val="00F22E5F"/>
    <w:rsid w:val="00F233B0"/>
    <w:rsid w:val="00F24E5E"/>
    <w:rsid w:val="00F25D76"/>
    <w:rsid w:val="00F26DA9"/>
    <w:rsid w:val="00F31D64"/>
    <w:rsid w:val="00F33537"/>
    <w:rsid w:val="00F33736"/>
    <w:rsid w:val="00F33B09"/>
    <w:rsid w:val="00F342A1"/>
    <w:rsid w:val="00F3434E"/>
    <w:rsid w:val="00F358FC"/>
    <w:rsid w:val="00F362A3"/>
    <w:rsid w:val="00F36D4A"/>
    <w:rsid w:val="00F376EB"/>
    <w:rsid w:val="00F37FE5"/>
    <w:rsid w:val="00F40EC2"/>
    <w:rsid w:val="00F40EFA"/>
    <w:rsid w:val="00F41545"/>
    <w:rsid w:val="00F41EEA"/>
    <w:rsid w:val="00F4341D"/>
    <w:rsid w:val="00F44237"/>
    <w:rsid w:val="00F4545C"/>
    <w:rsid w:val="00F45E80"/>
    <w:rsid w:val="00F50177"/>
    <w:rsid w:val="00F51132"/>
    <w:rsid w:val="00F51CC5"/>
    <w:rsid w:val="00F51F90"/>
    <w:rsid w:val="00F567BF"/>
    <w:rsid w:val="00F56AC0"/>
    <w:rsid w:val="00F56F0E"/>
    <w:rsid w:val="00F56F47"/>
    <w:rsid w:val="00F57335"/>
    <w:rsid w:val="00F57A39"/>
    <w:rsid w:val="00F61B38"/>
    <w:rsid w:val="00F61F72"/>
    <w:rsid w:val="00F62680"/>
    <w:rsid w:val="00F63723"/>
    <w:rsid w:val="00F63BA4"/>
    <w:rsid w:val="00F65828"/>
    <w:rsid w:val="00F65E9E"/>
    <w:rsid w:val="00F7025D"/>
    <w:rsid w:val="00F72085"/>
    <w:rsid w:val="00F73FF5"/>
    <w:rsid w:val="00F74EFB"/>
    <w:rsid w:val="00F757C0"/>
    <w:rsid w:val="00F76F54"/>
    <w:rsid w:val="00F7712A"/>
    <w:rsid w:val="00F77955"/>
    <w:rsid w:val="00F803F8"/>
    <w:rsid w:val="00F8144D"/>
    <w:rsid w:val="00F82B0E"/>
    <w:rsid w:val="00F8415B"/>
    <w:rsid w:val="00F84424"/>
    <w:rsid w:val="00F869F8"/>
    <w:rsid w:val="00F86B46"/>
    <w:rsid w:val="00F86BE3"/>
    <w:rsid w:val="00F90EFD"/>
    <w:rsid w:val="00F91862"/>
    <w:rsid w:val="00F926D8"/>
    <w:rsid w:val="00F93F4C"/>
    <w:rsid w:val="00F9535B"/>
    <w:rsid w:val="00F95CCF"/>
    <w:rsid w:val="00F95DE8"/>
    <w:rsid w:val="00F962C7"/>
    <w:rsid w:val="00F96FD2"/>
    <w:rsid w:val="00F9780A"/>
    <w:rsid w:val="00FA06AC"/>
    <w:rsid w:val="00FA0E40"/>
    <w:rsid w:val="00FA139D"/>
    <w:rsid w:val="00FA13F8"/>
    <w:rsid w:val="00FA1906"/>
    <w:rsid w:val="00FA2EC0"/>
    <w:rsid w:val="00FA31AD"/>
    <w:rsid w:val="00FA3F1F"/>
    <w:rsid w:val="00FA47E1"/>
    <w:rsid w:val="00FA4EA3"/>
    <w:rsid w:val="00FB0933"/>
    <w:rsid w:val="00FB13E0"/>
    <w:rsid w:val="00FB38D6"/>
    <w:rsid w:val="00FB4CA8"/>
    <w:rsid w:val="00FB5EBA"/>
    <w:rsid w:val="00FB6B34"/>
    <w:rsid w:val="00FC07C4"/>
    <w:rsid w:val="00FC0F43"/>
    <w:rsid w:val="00FC1619"/>
    <w:rsid w:val="00FC19E8"/>
    <w:rsid w:val="00FC22CF"/>
    <w:rsid w:val="00FC3B31"/>
    <w:rsid w:val="00FC3FAA"/>
    <w:rsid w:val="00FC43D1"/>
    <w:rsid w:val="00FC4541"/>
    <w:rsid w:val="00FC5866"/>
    <w:rsid w:val="00FC5B63"/>
    <w:rsid w:val="00FC5E53"/>
    <w:rsid w:val="00FC629E"/>
    <w:rsid w:val="00FD0BDA"/>
    <w:rsid w:val="00FD3EB9"/>
    <w:rsid w:val="00FD4975"/>
    <w:rsid w:val="00FD4992"/>
    <w:rsid w:val="00FD6ED3"/>
    <w:rsid w:val="00FD79FF"/>
    <w:rsid w:val="00FE01C9"/>
    <w:rsid w:val="00FE297B"/>
    <w:rsid w:val="00FE3880"/>
    <w:rsid w:val="00FE47DF"/>
    <w:rsid w:val="00FE7555"/>
    <w:rsid w:val="00FE75DD"/>
    <w:rsid w:val="00FF0C5F"/>
    <w:rsid w:val="00FF0CC1"/>
    <w:rsid w:val="00FF253E"/>
    <w:rsid w:val="00FF274C"/>
    <w:rsid w:val="00FF2A13"/>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3C53"/>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274844"/>
    <w:pPr>
      <w:spacing w:after="0" w:line="240" w:lineRule="auto"/>
      <w:jc w:val="center"/>
    </w:pPr>
    <w:rPr>
      <w:rFonts w:ascii="Times New Roman" w:hAnsi="Times New Roman"/>
      <w:noProof/>
      <w:color w:val="002469"/>
      <w:spacing w:val="6"/>
      <w:sz w:val="20"/>
    </w:rPr>
  </w:style>
  <w:style w:type="character" w:customStyle="1" w:styleId="FooterChar">
    <w:name w:val="Footer Char"/>
    <w:basedOn w:val="DefaultParagraphFont"/>
    <w:link w:val="Footer"/>
    <w:uiPriority w:val="99"/>
    <w:rsid w:val="00274844"/>
    <w:rPr>
      <w:noProof/>
      <w:color w:val="002469"/>
      <w:spacing w:val="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472049"/>
    <w:pPr>
      <w:spacing w:line="300" w:lineRule="atLeast"/>
      <w:jc w:val="both"/>
    </w:pPr>
    <w:rPr>
      <w:sz w:val="24"/>
      <w:lang w:eastAsia="en-AU"/>
    </w:rPr>
  </w:style>
  <w:style w:type="paragraph" w:customStyle="1" w:styleId="TRHeading2">
    <w:name w:val="_TRHeading 2"/>
    <w:basedOn w:val="Normal"/>
    <w:next w:val="TRNormal"/>
    <w:rsid w:val="00DC0C84"/>
    <w:pPr>
      <w:keepNext/>
      <w:widowControl w:val="0"/>
      <w:spacing w:before="560" w:after="360" w:line="240" w:lineRule="auto"/>
    </w:pPr>
    <w:rPr>
      <w:rFonts w:ascii="Times New Roman" w:hAnsi="Times New Roman"/>
      <w:b/>
      <w:sz w:val="24"/>
      <w:lang w:val="en-NZ" w:eastAsia="en-AU"/>
    </w:rPr>
  </w:style>
  <w:style w:type="character" w:customStyle="1" w:styleId="EndnoteTextChar">
    <w:name w:val="Endnote Text Char"/>
    <w:basedOn w:val="DefaultParagraphFont"/>
    <w:link w:val="EndnoteText"/>
    <w:uiPriority w:val="99"/>
    <w:semiHidden/>
    <w:rsid w:val="00DC0C84"/>
    <w:rPr>
      <w:lang w:eastAsia="en-AU"/>
    </w:rPr>
  </w:style>
  <w:style w:type="paragraph" w:styleId="EndnoteText">
    <w:name w:val="endnote text"/>
    <w:basedOn w:val="Normal"/>
    <w:link w:val="EndnoteTextChar"/>
    <w:uiPriority w:val="99"/>
    <w:semiHidden/>
    <w:unhideWhenUsed/>
    <w:rsid w:val="00DC0C84"/>
    <w:pPr>
      <w:spacing w:after="0" w:line="240" w:lineRule="auto"/>
      <w:jc w:val="both"/>
    </w:pPr>
    <w:rPr>
      <w:rFonts w:ascii="Times New Roman" w:hAnsi="Times New Roman"/>
      <w:sz w:val="20"/>
      <w:lang w:val="en-NZ" w:eastAsia="en-AU"/>
    </w:rPr>
  </w:style>
  <w:style w:type="character" w:customStyle="1" w:styleId="EndnoteTextChar1">
    <w:name w:val="Endnote Text Char1"/>
    <w:basedOn w:val="DefaultParagraphFont"/>
    <w:uiPriority w:val="99"/>
    <w:semiHidden/>
    <w:rsid w:val="00DC0C84"/>
    <w:rPr>
      <w:rFonts w:ascii="Arial" w:hAnsi="Arial"/>
      <w:lang w:val="en-GB" w:eastAsia="en-GB"/>
    </w:rPr>
  </w:style>
  <w:style w:type="paragraph" w:customStyle="1" w:styleId="subprov1">
    <w:name w:val="subprov1"/>
    <w:basedOn w:val="Normal"/>
    <w:rsid w:val="000B29C5"/>
    <w:pPr>
      <w:spacing w:before="83" w:after="216" w:line="288" w:lineRule="atLeast"/>
    </w:pPr>
    <w:rPr>
      <w:rFonts w:ascii="Times New Roman" w:hAnsi="Times New Roman"/>
      <w:sz w:val="24"/>
      <w:szCs w:val="24"/>
      <w:lang w:val="en-NZ" w:eastAsia="en-NZ"/>
    </w:rPr>
  </w:style>
  <w:style w:type="paragraph" w:customStyle="1" w:styleId="TRHeading3">
    <w:name w:val="_TRHeading 3"/>
    <w:basedOn w:val="TRHeading2"/>
    <w:next w:val="TRNormal"/>
    <w:rsid w:val="00652430"/>
    <w:rPr>
      <w:i/>
    </w:rPr>
  </w:style>
  <w:style w:type="paragraph" w:customStyle="1" w:styleId="TRListBullet">
    <w:name w:val="_TRList Bullet"/>
    <w:basedOn w:val="TRNormal"/>
    <w:rsid w:val="00CF6539"/>
    <w:pPr>
      <w:spacing w:after="200"/>
      <w:ind w:left="539" w:hanging="539"/>
    </w:pPr>
  </w:style>
  <w:style w:type="character" w:customStyle="1" w:styleId="label3">
    <w:name w:val="label3"/>
    <w:basedOn w:val="DefaultParagraphFont"/>
    <w:rsid w:val="00312E0A"/>
  </w:style>
  <w:style w:type="paragraph" w:customStyle="1" w:styleId="text5">
    <w:name w:val="text5"/>
    <w:basedOn w:val="Normal"/>
    <w:rsid w:val="00312E0A"/>
    <w:pPr>
      <w:spacing w:before="83" w:after="216" w:line="288" w:lineRule="atLeast"/>
    </w:pPr>
    <w:rPr>
      <w:rFonts w:ascii="Times New Roman" w:hAnsi="Times New Roman"/>
      <w:sz w:val="24"/>
      <w:szCs w:val="24"/>
      <w:lang w:val="en-NZ" w:eastAsia="en-NZ"/>
    </w:rPr>
  </w:style>
  <w:style w:type="character" w:customStyle="1" w:styleId="TRBodyTextChar1">
    <w:name w:val="_TRBody Text Char1"/>
    <w:link w:val="TRBodyText"/>
    <w:locked/>
    <w:rsid w:val="002A0869"/>
    <w:rPr>
      <w:sz w:val="24"/>
      <w:lang w:eastAsia="en-AU"/>
    </w:rPr>
  </w:style>
  <w:style w:type="paragraph" w:customStyle="1" w:styleId="TRBodyText">
    <w:name w:val="_TRBody Text"/>
    <w:link w:val="TRBodyTextChar1"/>
    <w:rsid w:val="002A0869"/>
    <w:pPr>
      <w:spacing w:line="300" w:lineRule="atLeast"/>
      <w:jc w:val="both"/>
    </w:pPr>
    <w:rPr>
      <w:sz w:val="24"/>
      <w:lang w:eastAsia="en-AU"/>
    </w:rPr>
  </w:style>
  <w:style w:type="character" w:styleId="EndnoteReference">
    <w:name w:val="endnote reference"/>
    <w:basedOn w:val="DefaultParagraphFont"/>
    <w:uiPriority w:val="99"/>
    <w:semiHidden/>
    <w:unhideWhenUsed/>
    <w:rsid w:val="0026377A"/>
    <w:rPr>
      <w:vertAlign w:val="superscript"/>
    </w:rPr>
  </w:style>
  <w:style w:type="paragraph" w:styleId="Revision">
    <w:name w:val="Revision"/>
    <w:hidden/>
    <w:uiPriority w:val="99"/>
    <w:semiHidden/>
    <w:rsid w:val="00AE102F"/>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3C53"/>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274844"/>
    <w:pPr>
      <w:spacing w:after="0" w:line="240" w:lineRule="auto"/>
      <w:jc w:val="center"/>
    </w:pPr>
    <w:rPr>
      <w:rFonts w:ascii="Times New Roman" w:hAnsi="Times New Roman"/>
      <w:noProof/>
      <w:color w:val="002469"/>
      <w:spacing w:val="6"/>
      <w:sz w:val="20"/>
    </w:rPr>
  </w:style>
  <w:style w:type="character" w:customStyle="1" w:styleId="FooterChar">
    <w:name w:val="Footer Char"/>
    <w:basedOn w:val="DefaultParagraphFont"/>
    <w:link w:val="Footer"/>
    <w:uiPriority w:val="99"/>
    <w:rsid w:val="00274844"/>
    <w:rPr>
      <w:noProof/>
      <w:color w:val="002469"/>
      <w:spacing w:val="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472049"/>
    <w:pPr>
      <w:spacing w:line="300" w:lineRule="atLeast"/>
      <w:jc w:val="both"/>
    </w:pPr>
    <w:rPr>
      <w:sz w:val="24"/>
      <w:lang w:eastAsia="en-AU"/>
    </w:rPr>
  </w:style>
  <w:style w:type="paragraph" w:customStyle="1" w:styleId="TRHeading2">
    <w:name w:val="_TRHeading 2"/>
    <w:basedOn w:val="Normal"/>
    <w:next w:val="TRNormal"/>
    <w:rsid w:val="00DC0C84"/>
    <w:pPr>
      <w:keepNext/>
      <w:widowControl w:val="0"/>
      <w:spacing w:before="560" w:after="360" w:line="240" w:lineRule="auto"/>
    </w:pPr>
    <w:rPr>
      <w:rFonts w:ascii="Times New Roman" w:hAnsi="Times New Roman"/>
      <w:b/>
      <w:sz w:val="24"/>
      <w:lang w:val="en-NZ" w:eastAsia="en-AU"/>
    </w:rPr>
  </w:style>
  <w:style w:type="character" w:customStyle="1" w:styleId="EndnoteTextChar">
    <w:name w:val="Endnote Text Char"/>
    <w:basedOn w:val="DefaultParagraphFont"/>
    <w:link w:val="EndnoteText"/>
    <w:uiPriority w:val="99"/>
    <w:semiHidden/>
    <w:rsid w:val="00DC0C84"/>
    <w:rPr>
      <w:lang w:eastAsia="en-AU"/>
    </w:rPr>
  </w:style>
  <w:style w:type="paragraph" w:styleId="EndnoteText">
    <w:name w:val="endnote text"/>
    <w:basedOn w:val="Normal"/>
    <w:link w:val="EndnoteTextChar"/>
    <w:uiPriority w:val="99"/>
    <w:semiHidden/>
    <w:unhideWhenUsed/>
    <w:rsid w:val="00DC0C84"/>
    <w:pPr>
      <w:spacing w:after="0" w:line="240" w:lineRule="auto"/>
      <w:jc w:val="both"/>
    </w:pPr>
    <w:rPr>
      <w:rFonts w:ascii="Times New Roman" w:hAnsi="Times New Roman"/>
      <w:sz w:val="20"/>
      <w:lang w:val="en-NZ" w:eastAsia="en-AU"/>
    </w:rPr>
  </w:style>
  <w:style w:type="character" w:customStyle="1" w:styleId="EndnoteTextChar1">
    <w:name w:val="Endnote Text Char1"/>
    <w:basedOn w:val="DefaultParagraphFont"/>
    <w:uiPriority w:val="99"/>
    <w:semiHidden/>
    <w:rsid w:val="00DC0C84"/>
    <w:rPr>
      <w:rFonts w:ascii="Arial" w:hAnsi="Arial"/>
      <w:lang w:val="en-GB" w:eastAsia="en-GB"/>
    </w:rPr>
  </w:style>
  <w:style w:type="paragraph" w:customStyle="1" w:styleId="subprov1">
    <w:name w:val="subprov1"/>
    <w:basedOn w:val="Normal"/>
    <w:rsid w:val="000B29C5"/>
    <w:pPr>
      <w:spacing w:before="83" w:after="216" w:line="288" w:lineRule="atLeast"/>
    </w:pPr>
    <w:rPr>
      <w:rFonts w:ascii="Times New Roman" w:hAnsi="Times New Roman"/>
      <w:sz w:val="24"/>
      <w:szCs w:val="24"/>
      <w:lang w:val="en-NZ" w:eastAsia="en-NZ"/>
    </w:rPr>
  </w:style>
  <w:style w:type="paragraph" w:customStyle="1" w:styleId="TRHeading3">
    <w:name w:val="_TRHeading 3"/>
    <w:basedOn w:val="TRHeading2"/>
    <w:next w:val="TRNormal"/>
    <w:rsid w:val="00652430"/>
    <w:rPr>
      <w:i/>
    </w:rPr>
  </w:style>
  <w:style w:type="paragraph" w:customStyle="1" w:styleId="TRListBullet">
    <w:name w:val="_TRList Bullet"/>
    <w:basedOn w:val="TRNormal"/>
    <w:rsid w:val="00CF6539"/>
    <w:pPr>
      <w:spacing w:after="200"/>
      <w:ind w:left="539" w:hanging="539"/>
    </w:pPr>
  </w:style>
  <w:style w:type="character" w:customStyle="1" w:styleId="label3">
    <w:name w:val="label3"/>
    <w:basedOn w:val="DefaultParagraphFont"/>
    <w:rsid w:val="00312E0A"/>
  </w:style>
  <w:style w:type="paragraph" w:customStyle="1" w:styleId="text5">
    <w:name w:val="text5"/>
    <w:basedOn w:val="Normal"/>
    <w:rsid w:val="00312E0A"/>
    <w:pPr>
      <w:spacing w:before="83" w:after="216" w:line="288" w:lineRule="atLeast"/>
    </w:pPr>
    <w:rPr>
      <w:rFonts w:ascii="Times New Roman" w:hAnsi="Times New Roman"/>
      <w:sz w:val="24"/>
      <w:szCs w:val="24"/>
      <w:lang w:val="en-NZ" w:eastAsia="en-NZ"/>
    </w:rPr>
  </w:style>
  <w:style w:type="character" w:customStyle="1" w:styleId="TRBodyTextChar1">
    <w:name w:val="_TRBody Text Char1"/>
    <w:link w:val="TRBodyText"/>
    <w:locked/>
    <w:rsid w:val="002A0869"/>
    <w:rPr>
      <w:sz w:val="24"/>
      <w:lang w:eastAsia="en-AU"/>
    </w:rPr>
  </w:style>
  <w:style w:type="paragraph" w:customStyle="1" w:styleId="TRBodyText">
    <w:name w:val="_TRBody Text"/>
    <w:link w:val="TRBodyTextChar1"/>
    <w:rsid w:val="002A0869"/>
    <w:pPr>
      <w:spacing w:line="300" w:lineRule="atLeast"/>
      <w:jc w:val="both"/>
    </w:pPr>
    <w:rPr>
      <w:sz w:val="24"/>
      <w:lang w:eastAsia="en-AU"/>
    </w:rPr>
  </w:style>
  <w:style w:type="character" w:styleId="EndnoteReference">
    <w:name w:val="endnote reference"/>
    <w:basedOn w:val="DefaultParagraphFont"/>
    <w:uiPriority w:val="99"/>
    <w:semiHidden/>
    <w:unhideWhenUsed/>
    <w:rsid w:val="0026377A"/>
    <w:rPr>
      <w:vertAlign w:val="superscript"/>
    </w:rPr>
  </w:style>
  <w:style w:type="paragraph" w:styleId="Revision">
    <w:name w:val="Revision"/>
    <w:hidden/>
    <w:uiPriority w:val="99"/>
    <w:semiHidden/>
    <w:rsid w:val="00AE102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80248">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26461963">
      <w:bodyDiv w:val="1"/>
      <w:marLeft w:val="0"/>
      <w:marRight w:val="0"/>
      <w:marTop w:val="0"/>
      <w:marBottom w:val="0"/>
      <w:divBdr>
        <w:top w:val="none" w:sz="0" w:space="0" w:color="auto"/>
        <w:left w:val="none" w:sz="0" w:space="0" w:color="auto"/>
        <w:bottom w:val="none" w:sz="0" w:space="0" w:color="auto"/>
        <w:right w:val="none" w:sz="0" w:space="0" w:color="auto"/>
      </w:divBdr>
      <w:divsChild>
        <w:div w:id="724332631">
          <w:marLeft w:val="0"/>
          <w:marRight w:val="0"/>
          <w:marTop w:val="0"/>
          <w:marBottom w:val="0"/>
          <w:divBdr>
            <w:top w:val="none" w:sz="0" w:space="0" w:color="auto"/>
            <w:left w:val="none" w:sz="0" w:space="0" w:color="auto"/>
            <w:bottom w:val="none" w:sz="0" w:space="0" w:color="auto"/>
            <w:right w:val="none" w:sz="0" w:space="0" w:color="auto"/>
          </w:divBdr>
          <w:divsChild>
            <w:div w:id="346908964">
              <w:marLeft w:val="0"/>
              <w:marRight w:val="0"/>
              <w:marTop w:val="0"/>
              <w:marBottom w:val="0"/>
              <w:divBdr>
                <w:top w:val="none" w:sz="0" w:space="0" w:color="auto"/>
                <w:left w:val="none" w:sz="0" w:space="0" w:color="auto"/>
                <w:bottom w:val="none" w:sz="0" w:space="0" w:color="auto"/>
                <w:right w:val="none" w:sz="0" w:space="0" w:color="auto"/>
              </w:divBdr>
              <w:divsChild>
                <w:div w:id="92870461">
                  <w:marLeft w:val="0"/>
                  <w:marRight w:val="0"/>
                  <w:marTop w:val="105"/>
                  <w:marBottom w:val="0"/>
                  <w:divBdr>
                    <w:top w:val="none" w:sz="0" w:space="0" w:color="auto"/>
                    <w:left w:val="none" w:sz="0" w:space="0" w:color="auto"/>
                    <w:bottom w:val="none" w:sz="0" w:space="0" w:color="auto"/>
                    <w:right w:val="none" w:sz="0" w:space="0" w:color="auto"/>
                  </w:divBdr>
                  <w:divsChild>
                    <w:div w:id="228881520">
                      <w:marLeft w:val="450"/>
                      <w:marRight w:val="225"/>
                      <w:marTop w:val="0"/>
                      <w:marBottom w:val="0"/>
                      <w:divBdr>
                        <w:top w:val="none" w:sz="0" w:space="0" w:color="auto"/>
                        <w:left w:val="none" w:sz="0" w:space="0" w:color="auto"/>
                        <w:bottom w:val="none" w:sz="0" w:space="0" w:color="auto"/>
                        <w:right w:val="none" w:sz="0" w:space="0" w:color="auto"/>
                      </w:divBdr>
                      <w:divsChild>
                        <w:div w:id="461388758">
                          <w:marLeft w:val="0"/>
                          <w:marRight w:val="0"/>
                          <w:marTop w:val="0"/>
                          <w:marBottom w:val="600"/>
                          <w:divBdr>
                            <w:top w:val="single" w:sz="6" w:space="0" w:color="314664"/>
                            <w:left w:val="single" w:sz="6" w:space="0" w:color="314664"/>
                            <w:bottom w:val="single" w:sz="6" w:space="0" w:color="314664"/>
                            <w:right w:val="single" w:sz="6" w:space="0" w:color="314664"/>
                          </w:divBdr>
                          <w:divsChild>
                            <w:div w:id="181170274">
                              <w:marLeft w:val="0"/>
                              <w:marRight w:val="0"/>
                              <w:marTop w:val="0"/>
                              <w:marBottom w:val="0"/>
                              <w:divBdr>
                                <w:top w:val="none" w:sz="0" w:space="0" w:color="auto"/>
                                <w:left w:val="none" w:sz="0" w:space="0" w:color="auto"/>
                                <w:bottom w:val="none" w:sz="0" w:space="0" w:color="auto"/>
                                <w:right w:val="none" w:sz="0" w:space="0" w:color="auto"/>
                              </w:divBdr>
                              <w:divsChild>
                                <w:div w:id="1841650638">
                                  <w:marLeft w:val="0"/>
                                  <w:marRight w:val="0"/>
                                  <w:marTop w:val="0"/>
                                  <w:marBottom w:val="0"/>
                                  <w:divBdr>
                                    <w:top w:val="none" w:sz="0" w:space="0" w:color="auto"/>
                                    <w:left w:val="none" w:sz="0" w:space="0" w:color="auto"/>
                                    <w:bottom w:val="none" w:sz="0" w:space="0" w:color="auto"/>
                                    <w:right w:val="none" w:sz="0" w:space="0" w:color="auto"/>
                                  </w:divBdr>
                                  <w:divsChild>
                                    <w:div w:id="1651212266">
                                      <w:marLeft w:val="0"/>
                                      <w:marRight w:val="0"/>
                                      <w:marTop w:val="0"/>
                                      <w:marBottom w:val="0"/>
                                      <w:divBdr>
                                        <w:top w:val="none" w:sz="0" w:space="0" w:color="auto"/>
                                        <w:left w:val="none" w:sz="0" w:space="0" w:color="auto"/>
                                        <w:bottom w:val="none" w:sz="0" w:space="0" w:color="auto"/>
                                        <w:right w:val="none" w:sz="0" w:space="0" w:color="auto"/>
                                      </w:divBdr>
                                      <w:divsChild>
                                        <w:div w:id="797724670">
                                          <w:marLeft w:val="0"/>
                                          <w:marRight w:val="0"/>
                                          <w:marTop w:val="0"/>
                                          <w:marBottom w:val="0"/>
                                          <w:divBdr>
                                            <w:top w:val="none" w:sz="0" w:space="0" w:color="auto"/>
                                            <w:left w:val="none" w:sz="0" w:space="0" w:color="auto"/>
                                            <w:bottom w:val="none" w:sz="0" w:space="0" w:color="auto"/>
                                            <w:right w:val="none" w:sz="0" w:space="0" w:color="auto"/>
                                          </w:divBdr>
                                          <w:divsChild>
                                            <w:div w:id="1767725530">
                                              <w:marLeft w:val="0"/>
                                              <w:marRight w:val="0"/>
                                              <w:marTop w:val="0"/>
                                              <w:marBottom w:val="0"/>
                                              <w:divBdr>
                                                <w:top w:val="none" w:sz="0" w:space="0" w:color="auto"/>
                                                <w:left w:val="none" w:sz="0" w:space="0" w:color="auto"/>
                                                <w:bottom w:val="none" w:sz="0" w:space="0" w:color="auto"/>
                                                <w:right w:val="none" w:sz="0" w:space="0" w:color="auto"/>
                                              </w:divBdr>
                                              <w:divsChild>
                                                <w:div w:id="1988626165">
                                                  <w:marLeft w:val="0"/>
                                                  <w:marRight w:val="0"/>
                                                  <w:marTop w:val="0"/>
                                                  <w:marBottom w:val="0"/>
                                                  <w:divBdr>
                                                    <w:top w:val="none" w:sz="0" w:space="0" w:color="auto"/>
                                                    <w:left w:val="none" w:sz="0" w:space="0" w:color="auto"/>
                                                    <w:bottom w:val="none" w:sz="0" w:space="0" w:color="auto"/>
                                                    <w:right w:val="none" w:sz="0" w:space="0" w:color="auto"/>
                                                  </w:divBdr>
                                                  <w:divsChild>
                                                    <w:div w:id="683215145">
                                                      <w:marLeft w:val="0"/>
                                                      <w:marRight w:val="0"/>
                                                      <w:marTop w:val="0"/>
                                                      <w:marBottom w:val="0"/>
                                                      <w:divBdr>
                                                        <w:top w:val="none" w:sz="0" w:space="0" w:color="auto"/>
                                                        <w:left w:val="none" w:sz="0" w:space="0" w:color="auto"/>
                                                        <w:bottom w:val="none" w:sz="0" w:space="0" w:color="auto"/>
                                                        <w:right w:val="none" w:sz="0" w:space="0" w:color="auto"/>
                                                      </w:divBdr>
                                                      <w:divsChild>
                                                        <w:div w:id="295109410">
                                                          <w:marLeft w:val="0"/>
                                                          <w:marRight w:val="0"/>
                                                          <w:marTop w:val="0"/>
                                                          <w:marBottom w:val="0"/>
                                                          <w:divBdr>
                                                            <w:top w:val="none" w:sz="0" w:space="0" w:color="auto"/>
                                                            <w:left w:val="none" w:sz="0" w:space="0" w:color="auto"/>
                                                            <w:bottom w:val="none" w:sz="0" w:space="0" w:color="auto"/>
                                                            <w:right w:val="none" w:sz="0" w:space="0" w:color="auto"/>
                                                          </w:divBdr>
                                                          <w:divsChild>
                                                            <w:div w:id="599408438">
                                                              <w:marLeft w:val="0"/>
                                                              <w:marRight w:val="0"/>
                                                              <w:marTop w:val="0"/>
                                                              <w:marBottom w:val="0"/>
                                                              <w:divBdr>
                                                                <w:top w:val="none" w:sz="0" w:space="0" w:color="auto"/>
                                                                <w:left w:val="none" w:sz="0" w:space="0" w:color="auto"/>
                                                                <w:bottom w:val="none" w:sz="0" w:space="0" w:color="auto"/>
                                                                <w:right w:val="none" w:sz="0" w:space="0" w:color="auto"/>
                                                              </w:divBdr>
                                                              <w:divsChild>
                                                                <w:div w:id="714433183">
                                                                  <w:marLeft w:val="0"/>
                                                                  <w:marRight w:val="0"/>
                                                                  <w:marTop w:val="0"/>
                                                                  <w:marBottom w:val="0"/>
                                                                  <w:divBdr>
                                                                    <w:top w:val="none" w:sz="0" w:space="0" w:color="auto"/>
                                                                    <w:left w:val="none" w:sz="0" w:space="0" w:color="auto"/>
                                                                    <w:bottom w:val="none" w:sz="0" w:space="0" w:color="auto"/>
                                                                    <w:right w:val="none" w:sz="0" w:space="0" w:color="auto"/>
                                                                  </w:divBdr>
                                                                  <w:divsChild>
                                                                    <w:div w:id="18170628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0025911">
      <w:bodyDiv w:val="1"/>
      <w:marLeft w:val="0"/>
      <w:marRight w:val="0"/>
      <w:marTop w:val="0"/>
      <w:marBottom w:val="0"/>
      <w:divBdr>
        <w:top w:val="none" w:sz="0" w:space="0" w:color="auto"/>
        <w:left w:val="none" w:sz="0" w:space="0" w:color="auto"/>
        <w:bottom w:val="none" w:sz="0" w:space="0" w:color="auto"/>
        <w:right w:val="none" w:sz="0" w:space="0" w:color="auto"/>
      </w:divBdr>
      <w:divsChild>
        <w:div w:id="1650934874">
          <w:marLeft w:val="0"/>
          <w:marRight w:val="0"/>
          <w:marTop w:val="0"/>
          <w:marBottom w:val="0"/>
          <w:divBdr>
            <w:top w:val="none" w:sz="0" w:space="0" w:color="auto"/>
            <w:left w:val="none" w:sz="0" w:space="0" w:color="auto"/>
            <w:bottom w:val="none" w:sz="0" w:space="0" w:color="auto"/>
            <w:right w:val="none" w:sz="0" w:space="0" w:color="auto"/>
          </w:divBdr>
          <w:divsChild>
            <w:div w:id="523519994">
              <w:marLeft w:val="0"/>
              <w:marRight w:val="0"/>
              <w:marTop w:val="0"/>
              <w:marBottom w:val="0"/>
              <w:divBdr>
                <w:top w:val="none" w:sz="0" w:space="0" w:color="auto"/>
                <w:left w:val="none" w:sz="0" w:space="0" w:color="auto"/>
                <w:bottom w:val="none" w:sz="0" w:space="0" w:color="auto"/>
                <w:right w:val="none" w:sz="0" w:space="0" w:color="auto"/>
              </w:divBdr>
              <w:divsChild>
                <w:div w:id="1721243000">
                  <w:marLeft w:val="0"/>
                  <w:marRight w:val="0"/>
                  <w:marTop w:val="105"/>
                  <w:marBottom w:val="0"/>
                  <w:divBdr>
                    <w:top w:val="none" w:sz="0" w:space="0" w:color="auto"/>
                    <w:left w:val="none" w:sz="0" w:space="0" w:color="auto"/>
                    <w:bottom w:val="none" w:sz="0" w:space="0" w:color="auto"/>
                    <w:right w:val="none" w:sz="0" w:space="0" w:color="auto"/>
                  </w:divBdr>
                  <w:divsChild>
                    <w:div w:id="637615918">
                      <w:marLeft w:val="450"/>
                      <w:marRight w:val="225"/>
                      <w:marTop w:val="0"/>
                      <w:marBottom w:val="0"/>
                      <w:divBdr>
                        <w:top w:val="none" w:sz="0" w:space="0" w:color="auto"/>
                        <w:left w:val="none" w:sz="0" w:space="0" w:color="auto"/>
                        <w:bottom w:val="none" w:sz="0" w:space="0" w:color="auto"/>
                        <w:right w:val="none" w:sz="0" w:space="0" w:color="auto"/>
                      </w:divBdr>
                      <w:divsChild>
                        <w:div w:id="1012993893">
                          <w:marLeft w:val="0"/>
                          <w:marRight w:val="0"/>
                          <w:marTop w:val="0"/>
                          <w:marBottom w:val="600"/>
                          <w:divBdr>
                            <w:top w:val="single" w:sz="6" w:space="0" w:color="314664"/>
                            <w:left w:val="single" w:sz="6" w:space="0" w:color="314664"/>
                            <w:bottom w:val="single" w:sz="6" w:space="0" w:color="314664"/>
                            <w:right w:val="single" w:sz="6" w:space="0" w:color="314664"/>
                          </w:divBdr>
                          <w:divsChild>
                            <w:div w:id="24328861">
                              <w:marLeft w:val="0"/>
                              <w:marRight w:val="0"/>
                              <w:marTop w:val="0"/>
                              <w:marBottom w:val="0"/>
                              <w:divBdr>
                                <w:top w:val="none" w:sz="0" w:space="0" w:color="auto"/>
                                <w:left w:val="none" w:sz="0" w:space="0" w:color="auto"/>
                                <w:bottom w:val="none" w:sz="0" w:space="0" w:color="auto"/>
                                <w:right w:val="none" w:sz="0" w:space="0" w:color="auto"/>
                              </w:divBdr>
                              <w:divsChild>
                                <w:div w:id="2006862019">
                                  <w:marLeft w:val="0"/>
                                  <w:marRight w:val="0"/>
                                  <w:marTop w:val="0"/>
                                  <w:marBottom w:val="0"/>
                                  <w:divBdr>
                                    <w:top w:val="none" w:sz="0" w:space="0" w:color="auto"/>
                                    <w:left w:val="none" w:sz="0" w:space="0" w:color="auto"/>
                                    <w:bottom w:val="none" w:sz="0" w:space="0" w:color="auto"/>
                                    <w:right w:val="none" w:sz="0" w:space="0" w:color="auto"/>
                                  </w:divBdr>
                                  <w:divsChild>
                                    <w:div w:id="2094155704">
                                      <w:marLeft w:val="0"/>
                                      <w:marRight w:val="0"/>
                                      <w:marTop w:val="0"/>
                                      <w:marBottom w:val="0"/>
                                      <w:divBdr>
                                        <w:top w:val="none" w:sz="0" w:space="0" w:color="auto"/>
                                        <w:left w:val="none" w:sz="0" w:space="0" w:color="auto"/>
                                        <w:bottom w:val="none" w:sz="0" w:space="0" w:color="auto"/>
                                        <w:right w:val="none" w:sz="0" w:space="0" w:color="auto"/>
                                      </w:divBdr>
                                      <w:divsChild>
                                        <w:div w:id="693769641">
                                          <w:marLeft w:val="0"/>
                                          <w:marRight w:val="0"/>
                                          <w:marTop w:val="0"/>
                                          <w:marBottom w:val="0"/>
                                          <w:divBdr>
                                            <w:top w:val="none" w:sz="0" w:space="0" w:color="auto"/>
                                            <w:left w:val="none" w:sz="0" w:space="0" w:color="auto"/>
                                            <w:bottom w:val="none" w:sz="0" w:space="0" w:color="auto"/>
                                            <w:right w:val="none" w:sz="0" w:space="0" w:color="auto"/>
                                          </w:divBdr>
                                          <w:divsChild>
                                            <w:div w:id="500120654">
                                              <w:marLeft w:val="0"/>
                                              <w:marRight w:val="0"/>
                                              <w:marTop w:val="0"/>
                                              <w:marBottom w:val="0"/>
                                              <w:divBdr>
                                                <w:top w:val="none" w:sz="0" w:space="0" w:color="auto"/>
                                                <w:left w:val="none" w:sz="0" w:space="0" w:color="auto"/>
                                                <w:bottom w:val="none" w:sz="0" w:space="0" w:color="auto"/>
                                                <w:right w:val="none" w:sz="0" w:space="0" w:color="auto"/>
                                              </w:divBdr>
                                              <w:divsChild>
                                                <w:div w:id="182288213">
                                                  <w:marLeft w:val="0"/>
                                                  <w:marRight w:val="0"/>
                                                  <w:marTop w:val="0"/>
                                                  <w:marBottom w:val="0"/>
                                                  <w:divBdr>
                                                    <w:top w:val="none" w:sz="0" w:space="0" w:color="auto"/>
                                                    <w:left w:val="none" w:sz="0" w:space="0" w:color="auto"/>
                                                    <w:bottom w:val="none" w:sz="0" w:space="0" w:color="auto"/>
                                                    <w:right w:val="none" w:sz="0" w:space="0" w:color="auto"/>
                                                  </w:divBdr>
                                                  <w:divsChild>
                                                    <w:div w:id="1483690640">
                                                      <w:marLeft w:val="0"/>
                                                      <w:marRight w:val="0"/>
                                                      <w:marTop w:val="0"/>
                                                      <w:marBottom w:val="0"/>
                                                      <w:divBdr>
                                                        <w:top w:val="none" w:sz="0" w:space="0" w:color="auto"/>
                                                        <w:left w:val="none" w:sz="0" w:space="0" w:color="auto"/>
                                                        <w:bottom w:val="none" w:sz="0" w:space="0" w:color="auto"/>
                                                        <w:right w:val="none" w:sz="0" w:space="0" w:color="auto"/>
                                                      </w:divBdr>
                                                      <w:divsChild>
                                                        <w:div w:id="672882834">
                                                          <w:marLeft w:val="0"/>
                                                          <w:marRight w:val="0"/>
                                                          <w:marTop w:val="0"/>
                                                          <w:marBottom w:val="0"/>
                                                          <w:divBdr>
                                                            <w:top w:val="none" w:sz="0" w:space="0" w:color="auto"/>
                                                            <w:left w:val="none" w:sz="0" w:space="0" w:color="auto"/>
                                                            <w:bottom w:val="none" w:sz="0" w:space="0" w:color="auto"/>
                                                            <w:right w:val="none" w:sz="0" w:space="0" w:color="auto"/>
                                                          </w:divBdr>
                                                          <w:divsChild>
                                                            <w:div w:id="1294482117">
                                                              <w:marLeft w:val="0"/>
                                                              <w:marRight w:val="0"/>
                                                              <w:marTop w:val="0"/>
                                                              <w:marBottom w:val="0"/>
                                                              <w:divBdr>
                                                                <w:top w:val="none" w:sz="0" w:space="0" w:color="auto"/>
                                                                <w:left w:val="none" w:sz="0" w:space="0" w:color="auto"/>
                                                                <w:bottom w:val="none" w:sz="0" w:space="0" w:color="auto"/>
                                                                <w:right w:val="none" w:sz="0" w:space="0" w:color="auto"/>
                                                              </w:divBdr>
                                                              <w:divsChild>
                                                                <w:div w:id="987170668">
                                                                  <w:marLeft w:val="0"/>
                                                                  <w:marRight w:val="0"/>
                                                                  <w:marTop w:val="0"/>
                                                                  <w:marBottom w:val="0"/>
                                                                  <w:divBdr>
                                                                    <w:top w:val="none" w:sz="0" w:space="0" w:color="auto"/>
                                                                    <w:left w:val="none" w:sz="0" w:space="0" w:color="auto"/>
                                                                    <w:bottom w:val="none" w:sz="0" w:space="0" w:color="auto"/>
                                                                    <w:right w:val="none" w:sz="0" w:space="0" w:color="auto"/>
                                                                  </w:divBdr>
                                                                  <w:divsChild>
                                                                    <w:div w:id="688488111">
                                                                      <w:marLeft w:val="0"/>
                                                                      <w:marRight w:val="0"/>
                                                                      <w:marTop w:val="83"/>
                                                                      <w:marBottom w:val="0"/>
                                                                      <w:divBdr>
                                                                        <w:top w:val="none" w:sz="0" w:space="0" w:color="auto"/>
                                                                        <w:left w:val="none" w:sz="0" w:space="0" w:color="auto"/>
                                                                        <w:bottom w:val="none" w:sz="0" w:space="0" w:color="auto"/>
                                                                        <w:right w:val="none" w:sz="0" w:space="0" w:color="auto"/>
                                                                      </w:divBdr>
                                                                      <w:divsChild>
                                                                        <w:div w:id="1403142159">
                                                                          <w:marLeft w:val="0"/>
                                                                          <w:marRight w:val="0"/>
                                                                          <w:marTop w:val="0"/>
                                                                          <w:marBottom w:val="0"/>
                                                                          <w:divBdr>
                                                                            <w:top w:val="none" w:sz="0" w:space="0" w:color="auto"/>
                                                                            <w:left w:val="none" w:sz="0" w:space="0" w:color="auto"/>
                                                                            <w:bottom w:val="none" w:sz="0" w:space="0" w:color="auto"/>
                                                                            <w:right w:val="none" w:sz="0" w:space="0" w:color="auto"/>
                                                                          </w:divBdr>
                                                                          <w:divsChild>
                                                                            <w:div w:id="1760559837">
                                                                              <w:marLeft w:val="0"/>
                                                                              <w:marRight w:val="0"/>
                                                                              <w:marTop w:val="83"/>
                                                                              <w:marBottom w:val="0"/>
                                                                              <w:divBdr>
                                                                                <w:top w:val="none" w:sz="0" w:space="0" w:color="auto"/>
                                                                                <w:left w:val="none" w:sz="0" w:space="0" w:color="auto"/>
                                                                                <w:bottom w:val="none" w:sz="0" w:space="0" w:color="auto"/>
                                                                                <w:right w:val="none" w:sz="0" w:space="0" w:color="auto"/>
                                                                              </w:divBdr>
                                                                            </w:div>
                                                                          </w:divsChild>
                                                                        </w:div>
                                                                        <w:div w:id="1181355907">
                                                                          <w:marLeft w:val="0"/>
                                                                          <w:marRight w:val="0"/>
                                                                          <w:marTop w:val="0"/>
                                                                          <w:marBottom w:val="0"/>
                                                                          <w:divBdr>
                                                                            <w:top w:val="none" w:sz="0" w:space="0" w:color="auto"/>
                                                                            <w:left w:val="none" w:sz="0" w:space="0" w:color="auto"/>
                                                                            <w:bottom w:val="none" w:sz="0" w:space="0" w:color="auto"/>
                                                                            <w:right w:val="none" w:sz="0" w:space="0" w:color="auto"/>
                                                                          </w:divBdr>
                                                                          <w:divsChild>
                                                                            <w:div w:id="2414530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5296-8B00-4E8F-BB93-4711EF86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5252</Words>
  <Characters>27843</Characters>
  <Application>Microsoft Office Word</Application>
  <DocSecurity>0</DocSecurity>
  <Lines>696</Lines>
  <Paragraphs>200</Paragraphs>
  <ScaleCrop>false</ScaleCrop>
  <HeadingPairs>
    <vt:vector size="2" baseType="variant">
      <vt:variant>
        <vt:lpstr>Title</vt:lpstr>
      </vt:variant>
      <vt:variant>
        <vt:i4>1</vt:i4>
      </vt:variant>
    </vt:vector>
  </HeadingPairs>
  <TitlesOfParts>
    <vt:vector size="1" baseType="lpstr">
      <vt:lpstr>Regulatory impact statement - Exempting councils from the land tainting tax rules (February 2016)</vt:lpstr>
    </vt:vector>
  </TitlesOfParts>
  <Company>Inland Revenue</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Exempting councils from the land tainting tax rules (February 2016)</dc:title>
  <dc:creator>Policy and Strategy</dc:creator>
  <dc:description>Published May 2016.</dc:description>
  <cp:lastModifiedBy>David Nind</cp:lastModifiedBy>
  <cp:revision>2</cp:revision>
  <dcterms:created xsi:type="dcterms:W3CDTF">2016-05-02T21:35:00Z</dcterms:created>
  <dcterms:modified xsi:type="dcterms:W3CDTF">2016-05-02T21:36:00Z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